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1269" w14:textId="0F4E815D" w:rsidR="00972395" w:rsidRPr="00E73D4B" w:rsidRDefault="00E73D4B" w:rsidP="00675E3F">
      <w:pPr>
        <w:pStyle w:val="is-dep"/>
      </w:pPr>
      <w:r w:rsidRPr="00E73D4B">
        <w:t>Statsministerens kontor</w:t>
      </w:r>
    </w:p>
    <w:p w14:paraId="705332F0" w14:textId="77777777" w:rsidR="00972395" w:rsidRPr="00E73D4B" w:rsidRDefault="00F120C7" w:rsidP="00E73D4B">
      <w:pPr>
        <w:pStyle w:val="i-hode"/>
      </w:pPr>
      <w:r w:rsidRPr="00E73D4B">
        <w:t>Meld. St. 4</w:t>
      </w:r>
    </w:p>
    <w:p w14:paraId="42D61780" w14:textId="77777777" w:rsidR="00972395" w:rsidRPr="00E73D4B" w:rsidRDefault="00F120C7" w:rsidP="00E73D4B">
      <w:pPr>
        <w:pStyle w:val="i-sesjon"/>
      </w:pPr>
      <w:r w:rsidRPr="00E73D4B">
        <w:t>(2022–2023)</w:t>
      </w:r>
    </w:p>
    <w:p w14:paraId="2A505C26" w14:textId="77777777" w:rsidR="00972395" w:rsidRPr="00E73D4B" w:rsidRDefault="00F120C7" w:rsidP="00E73D4B">
      <w:pPr>
        <w:pStyle w:val="i-hode-tit"/>
      </w:pPr>
      <w:r w:rsidRPr="00E73D4B">
        <w:t>Melding til Stortinget</w:t>
      </w:r>
    </w:p>
    <w:p w14:paraId="67EBDEB1" w14:textId="77777777" w:rsidR="00972395" w:rsidRPr="00E73D4B" w:rsidRDefault="00F120C7" w:rsidP="00E73D4B">
      <w:pPr>
        <w:pStyle w:val="i-tit"/>
      </w:pPr>
      <w:r w:rsidRPr="00E73D4B">
        <w:t xml:space="preserve">Anmodnings- og utredningsvedtak </w:t>
      </w:r>
      <w:r w:rsidRPr="00E73D4B">
        <w:br/>
        <w:t>i stortingssesjonen 2021–2022</w:t>
      </w:r>
    </w:p>
    <w:p w14:paraId="5ECB11AD" w14:textId="5335A8C7" w:rsidR="00972395" w:rsidRPr="00E73D4B" w:rsidRDefault="00E73D4B" w:rsidP="00E73D4B">
      <w:pPr>
        <w:pStyle w:val="i-dep"/>
      </w:pPr>
      <w:r w:rsidRPr="00E73D4B">
        <w:t>Statsministerens kontor</w:t>
      </w:r>
    </w:p>
    <w:p w14:paraId="2F7210D6" w14:textId="77777777" w:rsidR="00972395" w:rsidRPr="00E73D4B" w:rsidRDefault="00F120C7" w:rsidP="00E73D4B">
      <w:pPr>
        <w:pStyle w:val="i-hode"/>
      </w:pPr>
      <w:r w:rsidRPr="00E73D4B">
        <w:t>Meld. St. 4</w:t>
      </w:r>
    </w:p>
    <w:p w14:paraId="45FCA64D" w14:textId="77777777" w:rsidR="00972395" w:rsidRPr="00E73D4B" w:rsidRDefault="00F120C7" w:rsidP="00E73D4B">
      <w:pPr>
        <w:pStyle w:val="i-sesjon"/>
      </w:pPr>
      <w:r w:rsidRPr="00E73D4B">
        <w:t>(2022–2023)</w:t>
      </w:r>
    </w:p>
    <w:p w14:paraId="0884B988" w14:textId="77777777" w:rsidR="00972395" w:rsidRPr="00E73D4B" w:rsidRDefault="00F120C7" w:rsidP="00E73D4B">
      <w:pPr>
        <w:pStyle w:val="i-hode-tit"/>
      </w:pPr>
      <w:r w:rsidRPr="00E73D4B">
        <w:t>Melding til Stortinget</w:t>
      </w:r>
    </w:p>
    <w:p w14:paraId="66CE5CE9" w14:textId="77777777" w:rsidR="00972395" w:rsidRPr="00E73D4B" w:rsidRDefault="00F120C7" w:rsidP="00E73D4B">
      <w:pPr>
        <w:pStyle w:val="i-tit"/>
      </w:pPr>
      <w:r w:rsidRPr="00E73D4B">
        <w:t xml:space="preserve">Anmodnings- og utredningsvedtak </w:t>
      </w:r>
      <w:r w:rsidRPr="00E73D4B">
        <w:br/>
        <w:t>i stortingssesjonen 2021–2022</w:t>
      </w:r>
    </w:p>
    <w:p w14:paraId="15CF53ED" w14:textId="77777777" w:rsidR="00972395" w:rsidRPr="00E73D4B" w:rsidRDefault="00F120C7" w:rsidP="00E73D4B">
      <w:pPr>
        <w:pStyle w:val="i-statsrdato"/>
      </w:pPr>
      <w:r w:rsidRPr="00E73D4B">
        <w:t xml:space="preserve">Tilråding fra </w:t>
      </w:r>
      <w:bookmarkStart w:id="0" w:name="_Hlk115429597"/>
      <w:r w:rsidRPr="00E73D4B">
        <w:t xml:space="preserve">Statsministerens kontor </w:t>
      </w:r>
      <w:bookmarkEnd w:id="0"/>
      <w:r w:rsidRPr="00E73D4B">
        <w:t xml:space="preserve">30. september 2022, </w:t>
      </w:r>
      <w:r w:rsidRPr="00E73D4B">
        <w:br/>
        <w:t>godkjent i statsråd samme dag.</w:t>
      </w:r>
      <w:r w:rsidRPr="00E73D4B">
        <w:br/>
        <w:t>(Regjeringen Støre)</w:t>
      </w:r>
    </w:p>
    <w:p w14:paraId="4DD3798C" w14:textId="77777777" w:rsidR="00972395" w:rsidRPr="00E73D4B" w:rsidRDefault="00F120C7" w:rsidP="00E73D4B">
      <w:pPr>
        <w:pStyle w:val="Overskrift1"/>
      </w:pPr>
      <w:r w:rsidRPr="00E73D4B">
        <w:t>Innledning</w:t>
      </w:r>
    </w:p>
    <w:p w14:paraId="44EAD084" w14:textId="77777777" w:rsidR="00972395" w:rsidRPr="00E73D4B" w:rsidRDefault="00F120C7" w:rsidP="00E73D4B">
      <w:pPr>
        <w:pStyle w:val="Overskrift2"/>
      </w:pPr>
      <w:r w:rsidRPr="00E73D4B">
        <w:t>Bakgrunn</w:t>
      </w:r>
    </w:p>
    <w:p w14:paraId="7F4E3DED" w14:textId="77777777" w:rsidR="00972395" w:rsidRPr="00E73D4B" w:rsidRDefault="00F120C7" w:rsidP="00E73D4B">
      <w:r w:rsidRPr="00E73D4B">
        <w:t xml:space="preserve">Stortingets forretningsorden § 14 nr. 8 bokstav b forutsetter at regjeringen legger frem en årlig melding om oppfølging av stortingsvedtak som inneholder en anmodning til regjeringen (anmodningsvedtak), og om behandling av representantforslag som er vedtatt oversendt regjeringen til utredning og </w:t>
      </w:r>
      <w:proofErr w:type="spellStart"/>
      <w:r w:rsidRPr="00E73D4B">
        <w:t>uttalelse</w:t>
      </w:r>
      <w:proofErr w:type="spellEnd"/>
      <w:r w:rsidRPr="00E73D4B">
        <w:t xml:space="preserve"> (utredningsvedtak).</w:t>
      </w:r>
    </w:p>
    <w:p w14:paraId="77AAB577" w14:textId="77777777" w:rsidR="00972395" w:rsidRPr="00E73D4B" w:rsidRDefault="00F120C7" w:rsidP="00E73D4B">
      <w:r w:rsidRPr="00E73D4B">
        <w:t xml:space="preserve">Regjeringen legger vekt på at Stortinget skal få en tydelig tilbakemelding om regjeringens oppfølging av de enkelte anmodnings- og utredningsvedtakene. Tilbakemelding gis i proposisjoner eller </w:t>
      </w:r>
      <w:r w:rsidRPr="00E73D4B">
        <w:lastRenderedPageBreak/>
        <w:t>meldinger fra fagdepartementene. På den måten får fagkomiteene anledning til en ordinær behandling av regjeringens oppfølging av det enkelte vedtak.</w:t>
      </w:r>
    </w:p>
    <w:p w14:paraId="6B00868C" w14:textId="77777777" w:rsidR="00972395" w:rsidRPr="00E73D4B" w:rsidRDefault="00F120C7" w:rsidP="00E73D4B">
      <w:r w:rsidRPr="00E73D4B">
        <w:t xml:space="preserve">Departementenes årlige budsjettproposisjoner gir en oversikt over hvordan anmodnings- og utredningsvedtakene under det aktuelle departement er fulgt opp. Fremstillingen omfatter alle anmodningsvedtak fra sesjon 2021–2022 og alle anmodningsvedtak hvor rapporteringen ikke er avsluttet i forbindelse med den årlige behandlingen av stortingsmeldingen om anmodningsvedtak i kontroll- og konstitusjonskomiteen, jf. </w:t>
      </w:r>
      <w:proofErr w:type="spellStart"/>
      <w:r w:rsidRPr="00E73D4B">
        <w:t>Innst</w:t>
      </w:r>
      <w:proofErr w:type="spellEnd"/>
      <w:r w:rsidRPr="00E73D4B">
        <w:t>. 141 S (2021–2022). I budsjettproposisjonene angis det om departementet anser at rapporteringen knyttet til det enkelte anmodningsvedtak kan avsluttes, eller om departementet planlegger å rapportere på vedtaket også i neste års budsjettproposisjon.</w:t>
      </w:r>
    </w:p>
    <w:p w14:paraId="0E368D7E" w14:textId="77777777" w:rsidR="00972395" w:rsidRPr="00E73D4B" w:rsidRDefault="00F120C7" w:rsidP="00E73D4B">
      <w:r w:rsidRPr="00E73D4B">
        <w:t xml:space="preserve">Etter ønske fra Stortinget ble fremleggelsestidspunktet for meldingen i 2021 endret til at den fremmes samtidig med statsbudsjettet. En samlet kontroll- og konstitusjonskomite skriver i </w:t>
      </w:r>
      <w:proofErr w:type="spellStart"/>
      <w:r w:rsidRPr="00E73D4B">
        <w:t>Innst</w:t>
      </w:r>
      <w:proofErr w:type="spellEnd"/>
      <w:r w:rsidRPr="00E73D4B">
        <w:t xml:space="preserve">. 141 S (2021–2022) følgende om endringen av fremleggelsestidspunkt: </w:t>
      </w:r>
      <w:r w:rsidRPr="00E73D4B">
        <w:rPr>
          <w:rStyle w:val="kursiv"/>
        </w:rPr>
        <w:t xml:space="preserve">«[Komiteen] vil uttrykke tilfredshet med at den årlige meldingen om anmodnings- og utredningsvedtak har blitt utarbeidet på samme rapporteringstidspunkt som budsjettproposisjonene, i tråd med anbefalingene fra </w:t>
      </w:r>
      <w:proofErr w:type="spellStart"/>
      <w:r w:rsidRPr="00E73D4B">
        <w:rPr>
          <w:rStyle w:val="kursiv"/>
        </w:rPr>
        <w:t>Harberg</w:t>
      </w:r>
      <w:proofErr w:type="spellEnd"/>
      <w:r w:rsidRPr="00E73D4B">
        <w:rPr>
          <w:rStyle w:val="kursiv"/>
        </w:rPr>
        <w:t>-utvalget. Denne samordningen har vært arbeidsbesparende både for fagkomiteene og for kontroll og konstitusjonskomiteen, som har ansvaret for å endelig kvittere ut anmodningsvedtakene.»</w:t>
      </w:r>
    </w:p>
    <w:p w14:paraId="5DDECC26" w14:textId="77777777" w:rsidR="00972395" w:rsidRPr="00E73D4B" w:rsidRDefault="00F120C7" w:rsidP="00E73D4B">
      <w:r w:rsidRPr="00E73D4B">
        <w:t xml:space="preserve">På bakgrunn av dette legges også årets melding om anmodningsvedtak frem samtidig med </w:t>
      </w:r>
      <w:proofErr w:type="spellStart"/>
      <w:r w:rsidRPr="00E73D4B">
        <w:t>Prop</w:t>
      </w:r>
      <w:proofErr w:type="spellEnd"/>
      <w:r w:rsidRPr="00E73D4B">
        <w:t>. 1 S (2022–2023). Stortingsmeldingen gjengir omtalen som gis i departementenes budsjettproposisjoner.</w:t>
      </w:r>
    </w:p>
    <w:p w14:paraId="474AC28B" w14:textId="4E112C73" w:rsidR="00972395" w:rsidRDefault="00F120C7" w:rsidP="00E73D4B">
      <w:r w:rsidRPr="00E73D4B">
        <w:t>Som tabell 1.1 viser, har antallet nye anmodningsvedtak vært på et høyt nivå de siste årene. Antall nye vedtak i forrige stortingssesjon er lavere enn i 2020–2021, men fortsatt på et høyt nivå.</w:t>
      </w:r>
    </w:p>
    <w:p w14:paraId="03E304BC" w14:textId="37394251" w:rsidR="00E73D4B" w:rsidRPr="00E73D4B" w:rsidRDefault="00E73D4B" w:rsidP="00E73D4B">
      <w:pPr>
        <w:pStyle w:val="tabell-tittel"/>
      </w:pPr>
      <w:r w:rsidRPr="00E73D4B">
        <w:t>Antall anmodningsvedtak de ni siste stortingssesjonene</w:t>
      </w:r>
    </w:p>
    <w:p w14:paraId="1A162830" w14:textId="77777777" w:rsidR="00972395" w:rsidRPr="00E73D4B" w:rsidRDefault="00F120C7" w:rsidP="00E73D4B">
      <w:pPr>
        <w:pStyle w:val="Tabellnavn"/>
      </w:pPr>
      <w:r w:rsidRPr="00E73D4B">
        <w:t>04J1xt2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1843"/>
        <w:gridCol w:w="1559"/>
        <w:gridCol w:w="1843"/>
        <w:gridCol w:w="3855"/>
      </w:tblGrid>
      <w:tr w:rsidR="00972395" w:rsidRPr="00E73D4B" w14:paraId="2F14ACB1" w14:textId="77777777" w:rsidTr="00E73D4B">
        <w:trPr>
          <w:trHeight w:val="1380"/>
        </w:trPr>
        <w:tc>
          <w:tcPr>
            <w:tcW w:w="18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6894DF" w14:textId="77777777" w:rsidR="00972395" w:rsidRPr="00E73D4B" w:rsidRDefault="00F120C7" w:rsidP="00E73D4B">
            <w:r w:rsidRPr="00E73D4B">
              <w:t>Stortingssesjon</w:t>
            </w:r>
          </w:p>
        </w:tc>
        <w:tc>
          <w:tcPr>
            <w:tcW w:w="155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24282D" w14:textId="77777777" w:rsidR="00972395" w:rsidRPr="00E73D4B" w:rsidRDefault="00F120C7" w:rsidP="00E73D4B">
            <w:pPr>
              <w:jc w:val="right"/>
            </w:pPr>
            <w:r w:rsidRPr="00E73D4B">
              <w:t>Antall vedtak</w:t>
            </w:r>
          </w:p>
        </w:tc>
        <w:tc>
          <w:tcPr>
            <w:tcW w:w="184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925EECE" w14:textId="77777777" w:rsidR="00972395" w:rsidRPr="00E73D4B" w:rsidRDefault="00F120C7" w:rsidP="00E73D4B">
            <w:pPr>
              <w:jc w:val="right"/>
            </w:pPr>
            <w:r w:rsidRPr="00E73D4B">
              <w:t>Vedtakspunkter</w:t>
            </w:r>
            <w:r w:rsidRPr="00E73D4B">
              <w:rPr>
                <w:rStyle w:val="skrift-hevet"/>
              </w:rPr>
              <w:t>1</w:t>
            </w:r>
          </w:p>
        </w:tc>
        <w:tc>
          <w:tcPr>
            <w:tcW w:w="385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475856" w14:textId="2AB1E2BC" w:rsidR="00972395" w:rsidRPr="00E73D4B" w:rsidRDefault="00F120C7" w:rsidP="00E73D4B">
            <w:pPr>
              <w:jc w:val="right"/>
            </w:pPr>
            <w:r w:rsidRPr="00E73D4B">
              <w:t xml:space="preserve">Vedtak der departementene i </w:t>
            </w:r>
            <w:proofErr w:type="spellStart"/>
            <w:r w:rsidRPr="00E73D4B">
              <w:t>Prop</w:t>
            </w:r>
            <w:proofErr w:type="spellEnd"/>
            <w:r w:rsidRPr="00E73D4B">
              <w:t>. 1 S (2022–2023) har lagt til grunn at</w:t>
            </w:r>
            <w:r w:rsidR="00E73D4B">
              <w:br/>
            </w:r>
            <w:r w:rsidRPr="00E73D4B">
              <w:t xml:space="preserve"> rapporteringen ikke kan avsluttes</w:t>
            </w:r>
          </w:p>
        </w:tc>
      </w:tr>
      <w:tr w:rsidR="00972395" w:rsidRPr="00E73D4B" w14:paraId="650BBFEC" w14:textId="77777777" w:rsidTr="00E73D4B">
        <w:trPr>
          <w:trHeight w:val="380"/>
        </w:trPr>
        <w:tc>
          <w:tcPr>
            <w:tcW w:w="1843" w:type="dxa"/>
            <w:tcBorders>
              <w:top w:val="single" w:sz="4" w:space="0" w:color="000000"/>
              <w:left w:val="nil"/>
              <w:bottom w:val="nil"/>
              <w:right w:val="nil"/>
            </w:tcBorders>
            <w:tcMar>
              <w:top w:w="128" w:type="dxa"/>
              <w:left w:w="43" w:type="dxa"/>
              <w:bottom w:w="43" w:type="dxa"/>
              <w:right w:w="43" w:type="dxa"/>
            </w:tcMar>
          </w:tcPr>
          <w:p w14:paraId="4731C6C9" w14:textId="77777777" w:rsidR="00972395" w:rsidRPr="00E73D4B" w:rsidRDefault="00F120C7" w:rsidP="00E73D4B">
            <w:r w:rsidRPr="00E73D4B">
              <w:t>2013–2014</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5BA3E79B" w14:textId="77777777" w:rsidR="00972395" w:rsidRPr="00E73D4B" w:rsidRDefault="00F120C7" w:rsidP="00E73D4B">
            <w:pPr>
              <w:jc w:val="right"/>
            </w:pPr>
            <w:r w:rsidRPr="00E73D4B">
              <w:t>82</w:t>
            </w:r>
          </w:p>
        </w:tc>
        <w:tc>
          <w:tcPr>
            <w:tcW w:w="1843" w:type="dxa"/>
            <w:tcBorders>
              <w:top w:val="single" w:sz="4" w:space="0" w:color="000000"/>
              <w:left w:val="nil"/>
              <w:bottom w:val="nil"/>
              <w:right w:val="nil"/>
            </w:tcBorders>
            <w:tcMar>
              <w:top w:w="128" w:type="dxa"/>
              <w:left w:w="43" w:type="dxa"/>
              <w:bottom w:w="43" w:type="dxa"/>
              <w:right w:w="43" w:type="dxa"/>
            </w:tcMar>
            <w:vAlign w:val="bottom"/>
          </w:tcPr>
          <w:p w14:paraId="39F9164D" w14:textId="77777777" w:rsidR="00972395" w:rsidRPr="00E73D4B" w:rsidRDefault="00F120C7" w:rsidP="00E73D4B">
            <w:pPr>
              <w:jc w:val="right"/>
            </w:pPr>
            <w:r w:rsidRPr="00E73D4B">
              <w:t>82</w:t>
            </w:r>
          </w:p>
        </w:tc>
        <w:tc>
          <w:tcPr>
            <w:tcW w:w="3855" w:type="dxa"/>
            <w:tcBorders>
              <w:top w:val="single" w:sz="4" w:space="0" w:color="000000"/>
              <w:left w:val="nil"/>
              <w:bottom w:val="nil"/>
              <w:right w:val="nil"/>
            </w:tcBorders>
            <w:tcMar>
              <w:top w:w="128" w:type="dxa"/>
              <w:left w:w="43" w:type="dxa"/>
              <w:bottom w:w="43" w:type="dxa"/>
              <w:right w:w="43" w:type="dxa"/>
            </w:tcMar>
            <w:vAlign w:val="bottom"/>
          </w:tcPr>
          <w:p w14:paraId="23D95E84" w14:textId="77777777" w:rsidR="00972395" w:rsidRPr="00E73D4B" w:rsidRDefault="00F120C7" w:rsidP="00E73D4B">
            <w:pPr>
              <w:jc w:val="right"/>
            </w:pPr>
            <w:r w:rsidRPr="00E73D4B">
              <w:t>1</w:t>
            </w:r>
          </w:p>
        </w:tc>
      </w:tr>
      <w:tr w:rsidR="00972395" w:rsidRPr="00E73D4B" w14:paraId="35058EC3" w14:textId="77777777" w:rsidTr="00E73D4B">
        <w:trPr>
          <w:trHeight w:val="380"/>
        </w:trPr>
        <w:tc>
          <w:tcPr>
            <w:tcW w:w="1843" w:type="dxa"/>
            <w:tcBorders>
              <w:top w:val="nil"/>
              <w:left w:val="nil"/>
              <w:bottom w:val="nil"/>
              <w:right w:val="nil"/>
            </w:tcBorders>
            <w:tcMar>
              <w:top w:w="128" w:type="dxa"/>
              <w:left w:w="43" w:type="dxa"/>
              <w:bottom w:w="43" w:type="dxa"/>
              <w:right w:w="43" w:type="dxa"/>
            </w:tcMar>
          </w:tcPr>
          <w:p w14:paraId="0ECEB600" w14:textId="77777777" w:rsidR="00972395" w:rsidRPr="00E73D4B" w:rsidRDefault="00F120C7" w:rsidP="00E73D4B">
            <w:r w:rsidRPr="00E73D4B">
              <w:t>2014–2015</w:t>
            </w:r>
          </w:p>
        </w:tc>
        <w:tc>
          <w:tcPr>
            <w:tcW w:w="1559" w:type="dxa"/>
            <w:tcBorders>
              <w:top w:val="nil"/>
              <w:left w:val="nil"/>
              <w:bottom w:val="nil"/>
              <w:right w:val="nil"/>
            </w:tcBorders>
            <w:tcMar>
              <w:top w:w="128" w:type="dxa"/>
              <w:left w:w="43" w:type="dxa"/>
              <w:bottom w:w="43" w:type="dxa"/>
              <w:right w:w="43" w:type="dxa"/>
            </w:tcMar>
            <w:vAlign w:val="bottom"/>
          </w:tcPr>
          <w:p w14:paraId="2B28DBBE" w14:textId="77777777" w:rsidR="00972395" w:rsidRPr="00E73D4B" w:rsidRDefault="00F120C7" w:rsidP="00E73D4B">
            <w:pPr>
              <w:jc w:val="right"/>
            </w:pPr>
            <w:r w:rsidRPr="00E73D4B">
              <w:t>192</w:t>
            </w:r>
          </w:p>
        </w:tc>
        <w:tc>
          <w:tcPr>
            <w:tcW w:w="1843" w:type="dxa"/>
            <w:tcBorders>
              <w:top w:val="nil"/>
              <w:left w:val="nil"/>
              <w:bottom w:val="nil"/>
              <w:right w:val="nil"/>
            </w:tcBorders>
            <w:tcMar>
              <w:top w:w="128" w:type="dxa"/>
              <w:left w:w="43" w:type="dxa"/>
              <w:bottom w:w="43" w:type="dxa"/>
              <w:right w:w="43" w:type="dxa"/>
            </w:tcMar>
            <w:vAlign w:val="bottom"/>
          </w:tcPr>
          <w:p w14:paraId="5982D546" w14:textId="77777777" w:rsidR="00972395" w:rsidRPr="00E73D4B" w:rsidRDefault="00F120C7" w:rsidP="00E73D4B">
            <w:pPr>
              <w:jc w:val="right"/>
            </w:pPr>
            <w:r w:rsidRPr="00E73D4B">
              <w:t>195</w:t>
            </w:r>
          </w:p>
        </w:tc>
        <w:tc>
          <w:tcPr>
            <w:tcW w:w="3855" w:type="dxa"/>
            <w:tcBorders>
              <w:top w:val="nil"/>
              <w:left w:val="nil"/>
              <w:bottom w:val="nil"/>
              <w:right w:val="nil"/>
            </w:tcBorders>
            <w:tcMar>
              <w:top w:w="128" w:type="dxa"/>
              <w:left w:w="43" w:type="dxa"/>
              <w:bottom w:w="43" w:type="dxa"/>
              <w:right w:w="43" w:type="dxa"/>
            </w:tcMar>
            <w:vAlign w:val="bottom"/>
          </w:tcPr>
          <w:p w14:paraId="0B3CC2B0" w14:textId="77777777" w:rsidR="00972395" w:rsidRPr="00E73D4B" w:rsidRDefault="00F120C7" w:rsidP="00E73D4B">
            <w:pPr>
              <w:jc w:val="right"/>
            </w:pPr>
            <w:r w:rsidRPr="00E73D4B">
              <w:t>1</w:t>
            </w:r>
          </w:p>
        </w:tc>
      </w:tr>
      <w:tr w:rsidR="00972395" w:rsidRPr="00E73D4B" w14:paraId="26966C88" w14:textId="77777777" w:rsidTr="00E73D4B">
        <w:trPr>
          <w:trHeight w:val="380"/>
        </w:trPr>
        <w:tc>
          <w:tcPr>
            <w:tcW w:w="1843" w:type="dxa"/>
            <w:tcBorders>
              <w:top w:val="nil"/>
              <w:left w:val="nil"/>
              <w:bottom w:val="nil"/>
              <w:right w:val="nil"/>
            </w:tcBorders>
            <w:tcMar>
              <w:top w:w="128" w:type="dxa"/>
              <w:left w:w="43" w:type="dxa"/>
              <w:bottom w:w="43" w:type="dxa"/>
              <w:right w:w="43" w:type="dxa"/>
            </w:tcMar>
          </w:tcPr>
          <w:p w14:paraId="3142AADA" w14:textId="77777777" w:rsidR="00972395" w:rsidRPr="00E73D4B" w:rsidRDefault="00F120C7" w:rsidP="00E73D4B">
            <w:r w:rsidRPr="00E73D4B">
              <w:t>2015–2016</w:t>
            </w:r>
          </w:p>
        </w:tc>
        <w:tc>
          <w:tcPr>
            <w:tcW w:w="1559" w:type="dxa"/>
            <w:tcBorders>
              <w:top w:val="nil"/>
              <w:left w:val="nil"/>
              <w:bottom w:val="nil"/>
              <w:right w:val="nil"/>
            </w:tcBorders>
            <w:tcMar>
              <w:top w:w="128" w:type="dxa"/>
              <w:left w:w="43" w:type="dxa"/>
              <w:bottom w:w="43" w:type="dxa"/>
              <w:right w:w="43" w:type="dxa"/>
            </w:tcMar>
            <w:vAlign w:val="bottom"/>
          </w:tcPr>
          <w:p w14:paraId="65A14921" w14:textId="77777777" w:rsidR="00972395" w:rsidRPr="00E73D4B" w:rsidRDefault="00F120C7" w:rsidP="00E73D4B">
            <w:pPr>
              <w:jc w:val="right"/>
            </w:pPr>
            <w:r w:rsidRPr="00E73D4B">
              <w:t>393</w:t>
            </w:r>
          </w:p>
        </w:tc>
        <w:tc>
          <w:tcPr>
            <w:tcW w:w="1843" w:type="dxa"/>
            <w:tcBorders>
              <w:top w:val="nil"/>
              <w:left w:val="nil"/>
              <w:bottom w:val="nil"/>
              <w:right w:val="nil"/>
            </w:tcBorders>
            <w:tcMar>
              <w:top w:w="128" w:type="dxa"/>
              <w:left w:w="43" w:type="dxa"/>
              <w:bottom w:w="43" w:type="dxa"/>
              <w:right w:w="43" w:type="dxa"/>
            </w:tcMar>
            <w:vAlign w:val="bottom"/>
          </w:tcPr>
          <w:p w14:paraId="777F7251" w14:textId="77777777" w:rsidR="00972395" w:rsidRPr="00E73D4B" w:rsidRDefault="00F120C7" w:rsidP="00E73D4B">
            <w:pPr>
              <w:jc w:val="right"/>
            </w:pPr>
            <w:r w:rsidRPr="00E73D4B">
              <w:t>477</w:t>
            </w:r>
          </w:p>
        </w:tc>
        <w:tc>
          <w:tcPr>
            <w:tcW w:w="3855" w:type="dxa"/>
            <w:tcBorders>
              <w:top w:val="nil"/>
              <w:left w:val="nil"/>
              <w:bottom w:val="nil"/>
              <w:right w:val="nil"/>
            </w:tcBorders>
            <w:tcMar>
              <w:top w:w="128" w:type="dxa"/>
              <w:left w:w="43" w:type="dxa"/>
              <w:bottom w:w="43" w:type="dxa"/>
              <w:right w:w="43" w:type="dxa"/>
            </w:tcMar>
            <w:vAlign w:val="bottom"/>
          </w:tcPr>
          <w:p w14:paraId="6F518CE0" w14:textId="77777777" w:rsidR="00972395" w:rsidRPr="00E73D4B" w:rsidRDefault="00F120C7" w:rsidP="00E73D4B">
            <w:pPr>
              <w:jc w:val="right"/>
            </w:pPr>
            <w:r w:rsidRPr="00E73D4B">
              <w:t>6</w:t>
            </w:r>
          </w:p>
        </w:tc>
      </w:tr>
      <w:tr w:rsidR="00972395" w:rsidRPr="00E73D4B" w14:paraId="2EB945B3" w14:textId="77777777" w:rsidTr="00E73D4B">
        <w:trPr>
          <w:trHeight w:val="380"/>
        </w:trPr>
        <w:tc>
          <w:tcPr>
            <w:tcW w:w="1843" w:type="dxa"/>
            <w:tcBorders>
              <w:top w:val="nil"/>
              <w:left w:val="nil"/>
              <w:bottom w:val="nil"/>
              <w:right w:val="nil"/>
            </w:tcBorders>
            <w:tcMar>
              <w:top w:w="128" w:type="dxa"/>
              <w:left w:w="43" w:type="dxa"/>
              <w:bottom w:w="43" w:type="dxa"/>
              <w:right w:w="43" w:type="dxa"/>
            </w:tcMar>
          </w:tcPr>
          <w:p w14:paraId="73CE5A52" w14:textId="77777777" w:rsidR="00972395" w:rsidRPr="00E73D4B" w:rsidRDefault="00F120C7" w:rsidP="00E73D4B">
            <w:r w:rsidRPr="00E73D4B">
              <w:t xml:space="preserve">2016–2017 </w:t>
            </w:r>
          </w:p>
        </w:tc>
        <w:tc>
          <w:tcPr>
            <w:tcW w:w="1559" w:type="dxa"/>
            <w:tcBorders>
              <w:top w:val="nil"/>
              <w:left w:val="nil"/>
              <w:bottom w:val="nil"/>
              <w:right w:val="nil"/>
            </w:tcBorders>
            <w:tcMar>
              <w:top w:w="128" w:type="dxa"/>
              <w:left w:w="43" w:type="dxa"/>
              <w:bottom w:w="43" w:type="dxa"/>
              <w:right w:w="43" w:type="dxa"/>
            </w:tcMar>
            <w:vAlign w:val="bottom"/>
          </w:tcPr>
          <w:p w14:paraId="4E6BEF7A" w14:textId="77777777" w:rsidR="00972395" w:rsidRPr="00E73D4B" w:rsidRDefault="00F120C7" w:rsidP="00E73D4B">
            <w:pPr>
              <w:jc w:val="right"/>
            </w:pPr>
            <w:r w:rsidRPr="00E73D4B">
              <w:t>386</w:t>
            </w:r>
          </w:p>
        </w:tc>
        <w:tc>
          <w:tcPr>
            <w:tcW w:w="1843" w:type="dxa"/>
            <w:tcBorders>
              <w:top w:val="nil"/>
              <w:left w:val="nil"/>
              <w:bottom w:val="nil"/>
              <w:right w:val="nil"/>
            </w:tcBorders>
            <w:tcMar>
              <w:top w:w="128" w:type="dxa"/>
              <w:left w:w="43" w:type="dxa"/>
              <w:bottom w:w="43" w:type="dxa"/>
              <w:right w:w="43" w:type="dxa"/>
            </w:tcMar>
            <w:vAlign w:val="bottom"/>
          </w:tcPr>
          <w:p w14:paraId="1DCF068C" w14:textId="77777777" w:rsidR="00972395" w:rsidRPr="00E73D4B" w:rsidRDefault="00F120C7" w:rsidP="00E73D4B">
            <w:pPr>
              <w:jc w:val="right"/>
            </w:pPr>
            <w:r w:rsidRPr="00E73D4B">
              <w:t>459</w:t>
            </w:r>
          </w:p>
        </w:tc>
        <w:tc>
          <w:tcPr>
            <w:tcW w:w="3855" w:type="dxa"/>
            <w:tcBorders>
              <w:top w:val="nil"/>
              <w:left w:val="nil"/>
              <w:bottom w:val="nil"/>
              <w:right w:val="nil"/>
            </w:tcBorders>
            <w:tcMar>
              <w:top w:w="128" w:type="dxa"/>
              <w:left w:w="43" w:type="dxa"/>
              <w:bottom w:w="43" w:type="dxa"/>
              <w:right w:w="43" w:type="dxa"/>
            </w:tcMar>
            <w:vAlign w:val="bottom"/>
          </w:tcPr>
          <w:p w14:paraId="2A3AD990" w14:textId="77777777" w:rsidR="00972395" w:rsidRPr="00E73D4B" w:rsidRDefault="00F120C7" w:rsidP="00E73D4B">
            <w:pPr>
              <w:jc w:val="right"/>
            </w:pPr>
            <w:r w:rsidRPr="00E73D4B">
              <w:t>21</w:t>
            </w:r>
          </w:p>
        </w:tc>
      </w:tr>
      <w:tr w:rsidR="00972395" w:rsidRPr="00E73D4B" w14:paraId="5546A6EE" w14:textId="77777777" w:rsidTr="00E73D4B">
        <w:trPr>
          <w:trHeight w:val="380"/>
        </w:trPr>
        <w:tc>
          <w:tcPr>
            <w:tcW w:w="1843" w:type="dxa"/>
            <w:tcBorders>
              <w:top w:val="nil"/>
              <w:left w:val="nil"/>
              <w:bottom w:val="nil"/>
              <w:right w:val="nil"/>
            </w:tcBorders>
            <w:tcMar>
              <w:top w:w="128" w:type="dxa"/>
              <w:left w:w="43" w:type="dxa"/>
              <w:bottom w:w="43" w:type="dxa"/>
              <w:right w:w="43" w:type="dxa"/>
            </w:tcMar>
          </w:tcPr>
          <w:p w14:paraId="14B3BC72" w14:textId="77777777" w:rsidR="00972395" w:rsidRPr="00E73D4B" w:rsidRDefault="00F120C7" w:rsidP="00E73D4B">
            <w:r w:rsidRPr="00E73D4B">
              <w:t>2017–2018</w:t>
            </w:r>
          </w:p>
        </w:tc>
        <w:tc>
          <w:tcPr>
            <w:tcW w:w="1559" w:type="dxa"/>
            <w:tcBorders>
              <w:top w:val="nil"/>
              <w:left w:val="nil"/>
              <w:bottom w:val="nil"/>
              <w:right w:val="nil"/>
            </w:tcBorders>
            <w:tcMar>
              <w:top w:w="128" w:type="dxa"/>
              <w:left w:w="43" w:type="dxa"/>
              <w:bottom w:w="43" w:type="dxa"/>
              <w:right w:w="43" w:type="dxa"/>
            </w:tcMar>
            <w:vAlign w:val="bottom"/>
          </w:tcPr>
          <w:p w14:paraId="4E5121C7" w14:textId="77777777" w:rsidR="00972395" w:rsidRPr="00E73D4B" w:rsidRDefault="00F120C7" w:rsidP="00E73D4B">
            <w:pPr>
              <w:jc w:val="right"/>
            </w:pPr>
            <w:r w:rsidRPr="00E73D4B">
              <w:t>429</w:t>
            </w:r>
          </w:p>
        </w:tc>
        <w:tc>
          <w:tcPr>
            <w:tcW w:w="1843" w:type="dxa"/>
            <w:tcBorders>
              <w:top w:val="nil"/>
              <w:left w:val="nil"/>
              <w:bottom w:val="nil"/>
              <w:right w:val="nil"/>
            </w:tcBorders>
            <w:tcMar>
              <w:top w:w="128" w:type="dxa"/>
              <w:left w:w="43" w:type="dxa"/>
              <w:bottom w:w="43" w:type="dxa"/>
              <w:right w:w="43" w:type="dxa"/>
            </w:tcMar>
            <w:vAlign w:val="bottom"/>
          </w:tcPr>
          <w:p w14:paraId="1989AA42" w14:textId="77777777" w:rsidR="00972395" w:rsidRPr="00E73D4B" w:rsidRDefault="00F120C7" w:rsidP="00E73D4B">
            <w:pPr>
              <w:jc w:val="right"/>
            </w:pPr>
            <w:r w:rsidRPr="00E73D4B">
              <w:t>429</w:t>
            </w:r>
          </w:p>
        </w:tc>
        <w:tc>
          <w:tcPr>
            <w:tcW w:w="3855" w:type="dxa"/>
            <w:tcBorders>
              <w:top w:val="nil"/>
              <w:left w:val="nil"/>
              <w:bottom w:val="nil"/>
              <w:right w:val="nil"/>
            </w:tcBorders>
            <w:tcMar>
              <w:top w:w="128" w:type="dxa"/>
              <w:left w:w="43" w:type="dxa"/>
              <w:bottom w:w="43" w:type="dxa"/>
              <w:right w:w="43" w:type="dxa"/>
            </w:tcMar>
            <w:vAlign w:val="bottom"/>
          </w:tcPr>
          <w:p w14:paraId="51556D15" w14:textId="77777777" w:rsidR="00972395" w:rsidRPr="00E73D4B" w:rsidRDefault="00F120C7" w:rsidP="00E73D4B">
            <w:pPr>
              <w:jc w:val="right"/>
            </w:pPr>
            <w:r w:rsidRPr="00E73D4B">
              <w:t>36</w:t>
            </w:r>
          </w:p>
        </w:tc>
      </w:tr>
      <w:tr w:rsidR="00972395" w:rsidRPr="00E73D4B" w14:paraId="5657AD0A" w14:textId="77777777" w:rsidTr="00E73D4B">
        <w:trPr>
          <w:trHeight w:val="380"/>
        </w:trPr>
        <w:tc>
          <w:tcPr>
            <w:tcW w:w="1843" w:type="dxa"/>
            <w:tcBorders>
              <w:top w:val="nil"/>
              <w:left w:val="nil"/>
              <w:bottom w:val="nil"/>
              <w:right w:val="nil"/>
            </w:tcBorders>
            <w:tcMar>
              <w:top w:w="128" w:type="dxa"/>
              <w:left w:w="43" w:type="dxa"/>
              <w:bottom w:w="43" w:type="dxa"/>
              <w:right w:w="43" w:type="dxa"/>
            </w:tcMar>
          </w:tcPr>
          <w:p w14:paraId="127ECC4F" w14:textId="77777777" w:rsidR="00972395" w:rsidRPr="00E73D4B" w:rsidRDefault="00F120C7" w:rsidP="00E73D4B">
            <w:r w:rsidRPr="00E73D4B">
              <w:t>2018–2019</w:t>
            </w:r>
          </w:p>
        </w:tc>
        <w:tc>
          <w:tcPr>
            <w:tcW w:w="1559" w:type="dxa"/>
            <w:tcBorders>
              <w:top w:val="nil"/>
              <w:left w:val="nil"/>
              <w:bottom w:val="nil"/>
              <w:right w:val="nil"/>
            </w:tcBorders>
            <w:tcMar>
              <w:top w:w="128" w:type="dxa"/>
              <w:left w:w="43" w:type="dxa"/>
              <w:bottom w:w="43" w:type="dxa"/>
              <w:right w:w="43" w:type="dxa"/>
            </w:tcMar>
            <w:vAlign w:val="bottom"/>
          </w:tcPr>
          <w:p w14:paraId="2570AFFE" w14:textId="77777777" w:rsidR="00972395" w:rsidRPr="00E73D4B" w:rsidRDefault="00F120C7" w:rsidP="00E73D4B">
            <w:pPr>
              <w:jc w:val="right"/>
            </w:pPr>
            <w:r w:rsidRPr="00E73D4B">
              <w:t>91</w:t>
            </w:r>
          </w:p>
        </w:tc>
        <w:tc>
          <w:tcPr>
            <w:tcW w:w="1843" w:type="dxa"/>
            <w:tcBorders>
              <w:top w:val="nil"/>
              <w:left w:val="nil"/>
              <w:bottom w:val="nil"/>
              <w:right w:val="nil"/>
            </w:tcBorders>
            <w:tcMar>
              <w:top w:w="128" w:type="dxa"/>
              <w:left w:w="43" w:type="dxa"/>
              <w:bottom w:w="43" w:type="dxa"/>
              <w:right w:w="43" w:type="dxa"/>
            </w:tcMar>
            <w:vAlign w:val="bottom"/>
          </w:tcPr>
          <w:p w14:paraId="6F1C6D13" w14:textId="77777777" w:rsidR="00972395" w:rsidRPr="00E73D4B" w:rsidRDefault="00F120C7" w:rsidP="00E73D4B">
            <w:pPr>
              <w:jc w:val="right"/>
            </w:pPr>
            <w:r w:rsidRPr="00E73D4B">
              <w:t>91</w:t>
            </w:r>
          </w:p>
        </w:tc>
        <w:tc>
          <w:tcPr>
            <w:tcW w:w="3855" w:type="dxa"/>
            <w:tcBorders>
              <w:top w:val="nil"/>
              <w:left w:val="nil"/>
              <w:bottom w:val="nil"/>
              <w:right w:val="nil"/>
            </w:tcBorders>
            <w:tcMar>
              <w:top w:w="128" w:type="dxa"/>
              <w:left w:w="43" w:type="dxa"/>
              <w:bottom w:w="43" w:type="dxa"/>
              <w:right w:w="43" w:type="dxa"/>
            </w:tcMar>
            <w:vAlign w:val="bottom"/>
          </w:tcPr>
          <w:p w14:paraId="30916EE2" w14:textId="77777777" w:rsidR="00972395" w:rsidRPr="00E73D4B" w:rsidRDefault="00F120C7" w:rsidP="00E73D4B">
            <w:pPr>
              <w:jc w:val="right"/>
            </w:pPr>
            <w:r w:rsidRPr="00E73D4B">
              <w:t>13</w:t>
            </w:r>
          </w:p>
        </w:tc>
      </w:tr>
      <w:tr w:rsidR="00972395" w:rsidRPr="00E73D4B" w14:paraId="248E4022" w14:textId="77777777" w:rsidTr="00E73D4B">
        <w:trPr>
          <w:trHeight w:val="380"/>
        </w:trPr>
        <w:tc>
          <w:tcPr>
            <w:tcW w:w="1843" w:type="dxa"/>
            <w:tcBorders>
              <w:top w:val="nil"/>
              <w:left w:val="nil"/>
              <w:bottom w:val="nil"/>
              <w:right w:val="nil"/>
            </w:tcBorders>
            <w:tcMar>
              <w:top w:w="128" w:type="dxa"/>
              <w:left w:w="43" w:type="dxa"/>
              <w:bottom w:w="43" w:type="dxa"/>
              <w:right w:w="43" w:type="dxa"/>
            </w:tcMar>
          </w:tcPr>
          <w:p w14:paraId="7C9649C5" w14:textId="77777777" w:rsidR="00972395" w:rsidRPr="00E73D4B" w:rsidRDefault="00F120C7" w:rsidP="00E73D4B">
            <w:r w:rsidRPr="00E73D4B">
              <w:lastRenderedPageBreak/>
              <w:t>2019–2020</w:t>
            </w:r>
          </w:p>
        </w:tc>
        <w:tc>
          <w:tcPr>
            <w:tcW w:w="1559" w:type="dxa"/>
            <w:tcBorders>
              <w:top w:val="nil"/>
              <w:left w:val="nil"/>
              <w:bottom w:val="nil"/>
              <w:right w:val="nil"/>
            </w:tcBorders>
            <w:tcMar>
              <w:top w:w="128" w:type="dxa"/>
              <w:left w:w="43" w:type="dxa"/>
              <w:bottom w:w="43" w:type="dxa"/>
              <w:right w:w="43" w:type="dxa"/>
            </w:tcMar>
            <w:vAlign w:val="bottom"/>
          </w:tcPr>
          <w:p w14:paraId="2C991569" w14:textId="77777777" w:rsidR="00972395" w:rsidRPr="00E73D4B" w:rsidRDefault="00F120C7" w:rsidP="00E73D4B">
            <w:pPr>
              <w:jc w:val="right"/>
            </w:pPr>
            <w:r w:rsidRPr="00E73D4B">
              <w:t>231</w:t>
            </w:r>
          </w:p>
        </w:tc>
        <w:tc>
          <w:tcPr>
            <w:tcW w:w="1843" w:type="dxa"/>
            <w:tcBorders>
              <w:top w:val="nil"/>
              <w:left w:val="nil"/>
              <w:bottom w:val="nil"/>
              <w:right w:val="nil"/>
            </w:tcBorders>
            <w:tcMar>
              <w:top w:w="128" w:type="dxa"/>
              <w:left w:w="43" w:type="dxa"/>
              <w:bottom w:w="43" w:type="dxa"/>
              <w:right w:w="43" w:type="dxa"/>
            </w:tcMar>
            <w:vAlign w:val="bottom"/>
          </w:tcPr>
          <w:p w14:paraId="07D726F4" w14:textId="77777777" w:rsidR="00972395" w:rsidRPr="00E73D4B" w:rsidRDefault="00F120C7" w:rsidP="00E73D4B">
            <w:pPr>
              <w:jc w:val="right"/>
            </w:pPr>
            <w:r w:rsidRPr="00E73D4B">
              <w:t>231</w:t>
            </w:r>
          </w:p>
        </w:tc>
        <w:tc>
          <w:tcPr>
            <w:tcW w:w="3855" w:type="dxa"/>
            <w:tcBorders>
              <w:top w:val="nil"/>
              <w:left w:val="nil"/>
              <w:bottom w:val="nil"/>
              <w:right w:val="nil"/>
            </w:tcBorders>
            <w:tcMar>
              <w:top w:w="128" w:type="dxa"/>
              <w:left w:w="43" w:type="dxa"/>
              <w:bottom w:w="43" w:type="dxa"/>
              <w:right w:w="43" w:type="dxa"/>
            </w:tcMar>
            <w:vAlign w:val="bottom"/>
          </w:tcPr>
          <w:p w14:paraId="63FE0EE5" w14:textId="77777777" w:rsidR="00972395" w:rsidRPr="00E73D4B" w:rsidRDefault="00F120C7" w:rsidP="00E73D4B">
            <w:pPr>
              <w:jc w:val="right"/>
            </w:pPr>
            <w:r w:rsidRPr="00E73D4B">
              <w:t>33</w:t>
            </w:r>
          </w:p>
        </w:tc>
      </w:tr>
      <w:tr w:rsidR="00972395" w:rsidRPr="00E73D4B" w14:paraId="059C15BE" w14:textId="77777777" w:rsidTr="00E73D4B">
        <w:trPr>
          <w:trHeight w:val="380"/>
        </w:trPr>
        <w:tc>
          <w:tcPr>
            <w:tcW w:w="1843" w:type="dxa"/>
            <w:tcBorders>
              <w:top w:val="nil"/>
              <w:left w:val="nil"/>
              <w:right w:val="nil"/>
            </w:tcBorders>
            <w:tcMar>
              <w:top w:w="128" w:type="dxa"/>
              <w:left w:w="43" w:type="dxa"/>
              <w:bottom w:w="43" w:type="dxa"/>
              <w:right w:w="43" w:type="dxa"/>
            </w:tcMar>
          </w:tcPr>
          <w:p w14:paraId="003F2322" w14:textId="77777777" w:rsidR="00972395" w:rsidRPr="00E73D4B" w:rsidRDefault="00F120C7" w:rsidP="00E73D4B">
            <w:r w:rsidRPr="00E73D4B">
              <w:t>2020–2021</w:t>
            </w:r>
          </w:p>
        </w:tc>
        <w:tc>
          <w:tcPr>
            <w:tcW w:w="1559" w:type="dxa"/>
            <w:tcBorders>
              <w:top w:val="nil"/>
              <w:left w:val="nil"/>
              <w:right w:val="nil"/>
            </w:tcBorders>
            <w:tcMar>
              <w:top w:w="128" w:type="dxa"/>
              <w:left w:w="43" w:type="dxa"/>
              <w:bottom w:w="43" w:type="dxa"/>
              <w:right w:w="43" w:type="dxa"/>
            </w:tcMar>
            <w:vAlign w:val="bottom"/>
          </w:tcPr>
          <w:p w14:paraId="11338D78" w14:textId="77777777" w:rsidR="00972395" w:rsidRPr="00E73D4B" w:rsidRDefault="00F120C7" w:rsidP="00E73D4B">
            <w:pPr>
              <w:jc w:val="right"/>
            </w:pPr>
            <w:r w:rsidRPr="00E73D4B">
              <w:t>568</w:t>
            </w:r>
          </w:p>
        </w:tc>
        <w:tc>
          <w:tcPr>
            <w:tcW w:w="1843" w:type="dxa"/>
            <w:tcBorders>
              <w:top w:val="nil"/>
              <w:left w:val="nil"/>
              <w:right w:val="nil"/>
            </w:tcBorders>
            <w:tcMar>
              <w:top w:w="128" w:type="dxa"/>
              <w:left w:w="43" w:type="dxa"/>
              <w:bottom w:w="43" w:type="dxa"/>
              <w:right w:w="43" w:type="dxa"/>
            </w:tcMar>
            <w:vAlign w:val="bottom"/>
          </w:tcPr>
          <w:p w14:paraId="01C6FE54" w14:textId="77777777" w:rsidR="00972395" w:rsidRPr="00E73D4B" w:rsidRDefault="00F120C7" w:rsidP="00E73D4B">
            <w:pPr>
              <w:jc w:val="right"/>
            </w:pPr>
            <w:r w:rsidRPr="00E73D4B">
              <w:t>568</w:t>
            </w:r>
          </w:p>
        </w:tc>
        <w:tc>
          <w:tcPr>
            <w:tcW w:w="3855" w:type="dxa"/>
            <w:tcBorders>
              <w:top w:val="nil"/>
              <w:left w:val="nil"/>
              <w:right w:val="nil"/>
            </w:tcBorders>
            <w:tcMar>
              <w:top w:w="128" w:type="dxa"/>
              <w:left w:w="43" w:type="dxa"/>
              <w:bottom w:w="43" w:type="dxa"/>
              <w:right w:w="43" w:type="dxa"/>
            </w:tcMar>
            <w:vAlign w:val="bottom"/>
          </w:tcPr>
          <w:p w14:paraId="4A17942B" w14:textId="77777777" w:rsidR="00972395" w:rsidRPr="00E73D4B" w:rsidRDefault="00F120C7" w:rsidP="00E73D4B">
            <w:pPr>
              <w:jc w:val="right"/>
            </w:pPr>
            <w:r w:rsidRPr="00E73D4B">
              <w:t>143</w:t>
            </w:r>
          </w:p>
        </w:tc>
      </w:tr>
      <w:tr w:rsidR="00972395" w:rsidRPr="00E73D4B" w14:paraId="4663CCDC" w14:textId="77777777" w:rsidTr="00E73D4B">
        <w:trPr>
          <w:trHeight w:val="380"/>
        </w:trPr>
        <w:tc>
          <w:tcPr>
            <w:tcW w:w="1843" w:type="dxa"/>
            <w:tcBorders>
              <w:top w:val="nil"/>
              <w:left w:val="nil"/>
              <w:bottom w:val="single" w:sz="4" w:space="0" w:color="000000"/>
              <w:right w:val="nil"/>
            </w:tcBorders>
            <w:shd w:val="clear" w:color="auto" w:fill="auto"/>
            <w:tcMar>
              <w:top w:w="128" w:type="dxa"/>
              <w:left w:w="43" w:type="dxa"/>
              <w:bottom w:w="43" w:type="dxa"/>
              <w:right w:w="43" w:type="dxa"/>
            </w:tcMar>
          </w:tcPr>
          <w:p w14:paraId="4FFAC7BB" w14:textId="77777777" w:rsidR="00972395" w:rsidRPr="00E73D4B" w:rsidRDefault="00F120C7" w:rsidP="00E73D4B">
            <w:r w:rsidRPr="00E73D4B">
              <w:t>2021–2022</w:t>
            </w:r>
          </w:p>
        </w:tc>
        <w:tc>
          <w:tcPr>
            <w:tcW w:w="155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2CD2321" w14:textId="77777777" w:rsidR="00972395" w:rsidRPr="00E73D4B" w:rsidRDefault="00F120C7" w:rsidP="00E73D4B">
            <w:pPr>
              <w:jc w:val="right"/>
            </w:pPr>
            <w:r w:rsidRPr="00E73D4B">
              <w:t>203</w:t>
            </w:r>
          </w:p>
        </w:tc>
        <w:tc>
          <w:tcPr>
            <w:tcW w:w="184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2C98CCA" w14:textId="77777777" w:rsidR="00972395" w:rsidRPr="00E73D4B" w:rsidRDefault="00F120C7" w:rsidP="00E73D4B">
            <w:pPr>
              <w:jc w:val="right"/>
            </w:pPr>
            <w:r w:rsidRPr="00E73D4B">
              <w:t>261</w:t>
            </w:r>
          </w:p>
        </w:tc>
        <w:tc>
          <w:tcPr>
            <w:tcW w:w="385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92B1F7D" w14:textId="77777777" w:rsidR="00972395" w:rsidRPr="00E73D4B" w:rsidRDefault="00F120C7" w:rsidP="00E73D4B">
            <w:pPr>
              <w:jc w:val="right"/>
            </w:pPr>
            <w:r w:rsidRPr="00E73D4B">
              <w:t>126</w:t>
            </w:r>
          </w:p>
        </w:tc>
      </w:tr>
    </w:tbl>
    <w:p w14:paraId="6ED1B7BE" w14:textId="77777777" w:rsidR="00972395" w:rsidRPr="00E73D4B" w:rsidRDefault="00F120C7" w:rsidP="00E73D4B">
      <w:pPr>
        <w:pStyle w:val="tabell-noter"/>
      </w:pPr>
      <w:r w:rsidRPr="00E73D4B">
        <w:rPr>
          <w:rStyle w:val="skrift-hevet"/>
        </w:rPr>
        <w:t>1</w:t>
      </w:r>
      <w:r w:rsidRPr="00E73D4B">
        <w:rPr>
          <w:rStyle w:val="skrift-hevet"/>
        </w:rPr>
        <w:tab/>
      </w:r>
      <w:r w:rsidRPr="00E73D4B">
        <w:t>Stortingets anmodningsvedtak består på noen områder av flere underpunkter.</w:t>
      </w:r>
    </w:p>
    <w:p w14:paraId="7E82D61A" w14:textId="77777777" w:rsidR="00972395" w:rsidRPr="00E73D4B" w:rsidRDefault="00F120C7" w:rsidP="00E73D4B">
      <w:r w:rsidRPr="00E73D4B">
        <w:t xml:space="preserve">Tabellen viser at i tilbakemeldingene i </w:t>
      </w:r>
      <w:proofErr w:type="spellStart"/>
      <w:r w:rsidRPr="00E73D4B">
        <w:t>Prop</w:t>
      </w:r>
      <w:proofErr w:type="spellEnd"/>
      <w:r w:rsidRPr="00E73D4B">
        <w:t>. 1 S (2022–2023) anser departementene at det er utestående 380 vedtak der rapporteringen ikke kan avsluttes, noe som utgjør 14 pst. av anmodningsvedtakene fra og med sesjonen 2013–2014.</w:t>
      </w:r>
    </w:p>
    <w:p w14:paraId="7C5C9ACD" w14:textId="77777777" w:rsidR="00972395" w:rsidRPr="00E73D4B" w:rsidRDefault="00F120C7" w:rsidP="00E73D4B">
      <w:pPr>
        <w:pStyle w:val="Overskrift2"/>
      </w:pPr>
      <w:r w:rsidRPr="00E73D4B">
        <w:t>Årets melding til Stortinget</w:t>
      </w:r>
    </w:p>
    <w:p w14:paraId="07ABB851" w14:textId="77777777" w:rsidR="00972395" w:rsidRPr="00E73D4B" w:rsidRDefault="00F120C7" w:rsidP="00E73D4B">
      <w:r w:rsidRPr="00E73D4B">
        <w:t xml:space="preserve">I kapittel 2 til 16, sortert per departement, følger omtale av regjeringens oppfølging av alle vedtak fra stortingssesjon 2021–2022, i tillegg til alle anmodninger fra tidligere sesjoner hvor rapporteringen ikke er avsluttet i forbindelse med behandlingen av </w:t>
      </w:r>
      <w:proofErr w:type="spellStart"/>
      <w:r w:rsidRPr="00E73D4B">
        <w:t>Innst</w:t>
      </w:r>
      <w:proofErr w:type="spellEnd"/>
      <w:r w:rsidRPr="00E73D4B">
        <w:t>. 141 S (2021–2022).</w:t>
      </w:r>
    </w:p>
    <w:p w14:paraId="61CAA90E" w14:textId="77777777" w:rsidR="00972395" w:rsidRPr="00E73D4B" w:rsidRDefault="00F120C7" w:rsidP="00E73D4B">
      <w:r w:rsidRPr="00E73D4B">
        <w:t xml:space="preserve">Hvert enkelt kapittel er en direkte gjengivelse av det aktuelle departementets omtale i </w:t>
      </w:r>
      <w:proofErr w:type="spellStart"/>
      <w:r w:rsidRPr="00E73D4B">
        <w:t>Prop</w:t>
      </w:r>
      <w:proofErr w:type="spellEnd"/>
      <w:r w:rsidRPr="00E73D4B">
        <w:t xml:space="preserve">. 1 S (2022–2023), som legges frem på samme tidspunkt. Ved henvisninger i omtalen i kapittel 2 til 16, vises det til </w:t>
      </w:r>
      <w:proofErr w:type="spellStart"/>
      <w:r w:rsidRPr="00E73D4B">
        <w:t>Prop</w:t>
      </w:r>
      <w:proofErr w:type="spellEnd"/>
      <w:r w:rsidRPr="00E73D4B">
        <w:t>. 1 S (2022–2023) fra det respektive departement. Statsministerens kontor har ikke hentet inn ny informasjon eller gjort egne separate vurderinger i forbindelse med fremleggelsen av stortingsmeldingen.</w:t>
      </w:r>
    </w:p>
    <w:p w14:paraId="36C46FAE" w14:textId="77777777" w:rsidR="00972395" w:rsidRPr="00E73D4B" w:rsidRDefault="00F120C7" w:rsidP="00E73D4B">
      <w:r w:rsidRPr="00E73D4B">
        <w:t>Det er ikke fattet noen utredningsvedtak i stortingssesjonen 2021–2022.</w:t>
      </w:r>
    </w:p>
    <w:p w14:paraId="28FD27C6" w14:textId="77777777" w:rsidR="00972395" w:rsidRPr="00E73D4B" w:rsidRDefault="00F120C7" w:rsidP="00E73D4B">
      <w:pPr>
        <w:pStyle w:val="Overskrift1"/>
      </w:pPr>
      <w:r w:rsidRPr="00E73D4B">
        <w:t>Arbeids- og inkluderingsdepartementet</w:t>
      </w:r>
    </w:p>
    <w:p w14:paraId="12EBAE4D" w14:textId="77777777" w:rsidR="00972395" w:rsidRPr="00E73D4B" w:rsidRDefault="00F120C7" w:rsidP="00E73D4B">
      <w:pPr>
        <w:pStyle w:val="avsnitt-undertittel"/>
      </w:pPr>
      <w:r w:rsidRPr="00E73D4B">
        <w:t>Oversikt over anmodnings- og utredningsvedtak</w:t>
      </w:r>
    </w:p>
    <w:p w14:paraId="768A6B81" w14:textId="6875061B" w:rsidR="00972395" w:rsidRDefault="00F120C7" w:rsidP="00E73D4B">
      <w:r w:rsidRPr="00E73D4B">
        <w:t>Nedenfor gis en oversikt over oppfølging av anmodnings- og utredningsvedtak under Arbeids- og inkluderingsdepartementet. Oversikten inkluderer alle vedtak fra stortingssesjonen 2021–2022</w:t>
      </w:r>
      <w:r w:rsidRPr="00E73D4B">
        <w:rPr>
          <w:rStyle w:val="halvfet0"/>
        </w:rPr>
        <w:t xml:space="preserve">, </w:t>
      </w:r>
      <w:r w:rsidRPr="00E73D4B">
        <w:t xml:space="preserve">samt de vedtakene fra tidligere stortingssesjoner som kontroll- og konstitusjonskomiteen i </w:t>
      </w:r>
      <w:proofErr w:type="spellStart"/>
      <w:r w:rsidRPr="00E73D4B">
        <w:t>Innst</w:t>
      </w:r>
      <w:proofErr w:type="spellEnd"/>
      <w:r w:rsidRPr="00E73D4B">
        <w:t>. 141 S (2021–2022) mente ikke var kvittert ut. I tabellen nedenfor angis det også hvorvidt departementet planlegger at rapporteringen knyttet til anmodningsvedtaket nå avsluttes eller om departementet vil rapportere konkret på vedtaket også i neste års budsjettproposisjon.</w:t>
      </w:r>
    </w:p>
    <w:p w14:paraId="6C783297" w14:textId="5A39C390" w:rsidR="00E73D4B" w:rsidRPr="00E73D4B" w:rsidRDefault="00E73D4B" w:rsidP="00E73D4B">
      <w:pPr>
        <w:pStyle w:val="tabell-tittel"/>
      </w:pPr>
      <w:r w:rsidRPr="00E73D4B">
        <w:t>Oversikt over anmodnings- og utredningsvedtak, ordnet etter seksjon og nummer</w:t>
      </w:r>
    </w:p>
    <w:p w14:paraId="374B2229" w14:textId="77777777" w:rsidR="00972395" w:rsidRPr="00E73D4B" w:rsidRDefault="00F120C7" w:rsidP="00E73D4B">
      <w:pPr>
        <w:pStyle w:val="Tabellnavn"/>
      </w:pPr>
      <w:r w:rsidRPr="00E73D4B">
        <w:t>04J1xt2</w:t>
      </w:r>
    </w:p>
    <w:tbl>
      <w:tblPr>
        <w:tblW w:w="9356" w:type="dxa"/>
        <w:tblInd w:w="43" w:type="dxa"/>
        <w:tblLayout w:type="fixed"/>
        <w:tblCellMar>
          <w:top w:w="126" w:type="dxa"/>
          <w:left w:w="43" w:type="dxa"/>
          <w:bottom w:w="40" w:type="dxa"/>
          <w:right w:w="43" w:type="dxa"/>
        </w:tblCellMar>
        <w:tblLook w:val="0000" w:firstRow="0" w:lastRow="0" w:firstColumn="0" w:lastColumn="0" w:noHBand="0" w:noVBand="0"/>
      </w:tblPr>
      <w:tblGrid>
        <w:gridCol w:w="1418"/>
        <w:gridCol w:w="1417"/>
        <w:gridCol w:w="4965"/>
        <w:gridCol w:w="1556"/>
      </w:tblGrid>
      <w:tr w:rsidR="00972395" w:rsidRPr="00E73D4B" w14:paraId="49569162" w14:textId="77777777" w:rsidTr="00681E28">
        <w:trPr>
          <w:trHeight w:val="860"/>
        </w:trPr>
        <w:tc>
          <w:tcPr>
            <w:tcW w:w="1418" w:type="dxa"/>
            <w:tcBorders>
              <w:top w:val="single" w:sz="4" w:space="0" w:color="000000"/>
              <w:left w:val="nil"/>
              <w:bottom w:val="single" w:sz="4" w:space="0" w:color="000000"/>
              <w:right w:val="nil"/>
            </w:tcBorders>
            <w:shd w:val="clear" w:color="auto" w:fill="auto"/>
            <w:tcMar>
              <w:top w:w="126" w:type="dxa"/>
              <w:left w:w="43" w:type="dxa"/>
              <w:bottom w:w="40" w:type="dxa"/>
              <w:right w:w="43" w:type="dxa"/>
            </w:tcMar>
            <w:vAlign w:val="bottom"/>
          </w:tcPr>
          <w:p w14:paraId="4D16A778" w14:textId="77777777" w:rsidR="00972395" w:rsidRPr="00E73D4B" w:rsidRDefault="00F120C7" w:rsidP="00E73D4B">
            <w:r w:rsidRPr="00E73D4B">
              <w:t>Sesjon</w:t>
            </w:r>
          </w:p>
        </w:tc>
        <w:tc>
          <w:tcPr>
            <w:tcW w:w="1417" w:type="dxa"/>
            <w:tcBorders>
              <w:top w:val="single" w:sz="4" w:space="0" w:color="000000"/>
              <w:left w:val="nil"/>
              <w:bottom w:val="single" w:sz="4" w:space="0" w:color="000000"/>
              <w:right w:val="nil"/>
            </w:tcBorders>
            <w:shd w:val="clear" w:color="auto" w:fill="auto"/>
            <w:tcMar>
              <w:top w:w="126" w:type="dxa"/>
              <w:left w:w="43" w:type="dxa"/>
              <w:bottom w:w="40" w:type="dxa"/>
              <w:right w:w="43" w:type="dxa"/>
            </w:tcMar>
            <w:vAlign w:val="bottom"/>
          </w:tcPr>
          <w:p w14:paraId="79239675" w14:textId="77777777" w:rsidR="00972395" w:rsidRPr="00E73D4B" w:rsidRDefault="00F120C7" w:rsidP="00E73D4B">
            <w:pPr>
              <w:jc w:val="right"/>
            </w:pPr>
            <w:r w:rsidRPr="00E73D4B">
              <w:t>Vedtak nr.</w:t>
            </w:r>
          </w:p>
        </w:tc>
        <w:tc>
          <w:tcPr>
            <w:tcW w:w="4965" w:type="dxa"/>
            <w:tcBorders>
              <w:top w:val="single" w:sz="4" w:space="0" w:color="000000"/>
              <w:left w:val="nil"/>
              <w:bottom w:val="single" w:sz="4" w:space="0" w:color="000000"/>
              <w:right w:val="nil"/>
            </w:tcBorders>
            <w:shd w:val="clear" w:color="auto" w:fill="auto"/>
            <w:tcMar>
              <w:top w:w="126" w:type="dxa"/>
              <w:left w:w="43" w:type="dxa"/>
              <w:bottom w:w="40" w:type="dxa"/>
              <w:right w:w="43" w:type="dxa"/>
            </w:tcMar>
            <w:vAlign w:val="bottom"/>
          </w:tcPr>
          <w:p w14:paraId="65500DF9" w14:textId="77777777" w:rsidR="00972395" w:rsidRPr="00E73D4B" w:rsidRDefault="00F120C7" w:rsidP="00681E28">
            <w:r w:rsidRPr="00E73D4B">
              <w:t>Stikkord</w:t>
            </w:r>
          </w:p>
        </w:tc>
        <w:tc>
          <w:tcPr>
            <w:tcW w:w="1556" w:type="dxa"/>
            <w:tcBorders>
              <w:top w:val="single" w:sz="4" w:space="0" w:color="000000"/>
              <w:left w:val="nil"/>
              <w:bottom w:val="single" w:sz="4" w:space="0" w:color="000000"/>
              <w:right w:val="nil"/>
            </w:tcBorders>
            <w:shd w:val="clear" w:color="auto" w:fill="auto"/>
            <w:tcMar>
              <w:top w:w="126" w:type="dxa"/>
              <w:left w:w="43" w:type="dxa"/>
              <w:bottom w:w="40" w:type="dxa"/>
              <w:right w:w="43" w:type="dxa"/>
            </w:tcMar>
            <w:vAlign w:val="bottom"/>
          </w:tcPr>
          <w:p w14:paraId="4B34F2E1" w14:textId="77777777" w:rsidR="00972395" w:rsidRPr="00E73D4B" w:rsidRDefault="00F120C7" w:rsidP="00E73D4B">
            <w:pPr>
              <w:jc w:val="right"/>
            </w:pPr>
            <w:r w:rsidRPr="00E73D4B">
              <w:t xml:space="preserve">Rapportering avsluttes </w:t>
            </w:r>
            <w:r w:rsidRPr="00E73D4B">
              <w:br/>
              <w:t>(Ja/Nei)</w:t>
            </w:r>
          </w:p>
        </w:tc>
      </w:tr>
      <w:tr w:rsidR="00972395" w:rsidRPr="00E73D4B" w14:paraId="24031ACC" w14:textId="77777777" w:rsidTr="00681E28">
        <w:trPr>
          <w:trHeight w:val="620"/>
        </w:trPr>
        <w:tc>
          <w:tcPr>
            <w:tcW w:w="1418" w:type="dxa"/>
            <w:tcBorders>
              <w:top w:val="single" w:sz="4" w:space="0" w:color="000000"/>
              <w:left w:val="nil"/>
              <w:bottom w:val="nil"/>
              <w:right w:val="nil"/>
            </w:tcBorders>
            <w:tcMar>
              <w:top w:w="126" w:type="dxa"/>
              <w:left w:w="43" w:type="dxa"/>
              <w:bottom w:w="40" w:type="dxa"/>
              <w:right w:w="43" w:type="dxa"/>
            </w:tcMar>
          </w:tcPr>
          <w:p w14:paraId="191428CE" w14:textId="77777777" w:rsidR="00972395" w:rsidRPr="00E73D4B" w:rsidRDefault="00F120C7" w:rsidP="00E73D4B">
            <w:r w:rsidRPr="00E73D4B">
              <w:t>2021–2022</w:t>
            </w:r>
          </w:p>
        </w:tc>
        <w:tc>
          <w:tcPr>
            <w:tcW w:w="1417" w:type="dxa"/>
            <w:tcBorders>
              <w:top w:val="single" w:sz="4" w:space="0" w:color="000000"/>
              <w:left w:val="nil"/>
              <w:bottom w:val="nil"/>
              <w:right w:val="nil"/>
            </w:tcBorders>
            <w:tcMar>
              <w:top w:w="126" w:type="dxa"/>
              <w:left w:w="43" w:type="dxa"/>
              <w:bottom w:w="40" w:type="dxa"/>
              <w:right w:w="43" w:type="dxa"/>
            </w:tcMar>
          </w:tcPr>
          <w:p w14:paraId="356E3643" w14:textId="77777777" w:rsidR="00972395" w:rsidRPr="00E73D4B" w:rsidRDefault="00F120C7" w:rsidP="00E73D4B">
            <w:pPr>
              <w:jc w:val="right"/>
            </w:pPr>
            <w:r w:rsidRPr="00E73D4B">
              <w:t>35, punkt 28</w:t>
            </w:r>
          </w:p>
        </w:tc>
        <w:tc>
          <w:tcPr>
            <w:tcW w:w="4965" w:type="dxa"/>
            <w:tcBorders>
              <w:top w:val="single" w:sz="4" w:space="0" w:color="000000"/>
              <w:left w:val="nil"/>
              <w:bottom w:val="nil"/>
              <w:right w:val="nil"/>
            </w:tcBorders>
            <w:tcMar>
              <w:top w:w="126" w:type="dxa"/>
              <w:left w:w="43" w:type="dxa"/>
              <w:bottom w:w="40" w:type="dxa"/>
              <w:right w:w="43" w:type="dxa"/>
            </w:tcMar>
          </w:tcPr>
          <w:p w14:paraId="6024707F" w14:textId="77777777" w:rsidR="00972395" w:rsidRPr="00E73D4B" w:rsidRDefault="00F120C7" w:rsidP="00681E28">
            <w:r w:rsidRPr="00E73D4B">
              <w:t>Tilskuddsordningen for nasjonale ressursmiljøer omgjøres ikke til en søknadsbasert ordning</w:t>
            </w:r>
          </w:p>
        </w:tc>
        <w:tc>
          <w:tcPr>
            <w:tcW w:w="1556" w:type="dxa"/>
            <w:tcBorders>
              <w:top w:val="single" w:sz="4" w:space="0" w:color="000000"/>
              <w:left w:val="nil"/>
              <w:bottom w:val="nil"/>
              <w:right w:val="nil"/>
            </w:tcBorders>
            <w:tcMar>
              <w:top w:w="126" w:type="dxa"/>
              <w:left w:w="43" w:type="dxa"/>
              <w:bottom w:w="40" w:type="dxa"/>
              <w:right w:w="43" w:type="dxa"/>
            </w:tcMar>
            <w:vAlign w:val="bottom"/>
          </w:tcPr>
          <w:p w14:paraId="70FC8EE7" w14:textId="77777777" w:rsidR="00972395" w:rsidRPr="00E73D4B" w:rsidRDefault="00F120C7" w:rsidP="00E73D4B">
            <w:pPr>
              <w:jc w:val="right"/>
            </w:pPr>
            <w:r w:rsidRPr="00E73D4B">
              <w:t>Ja</w:t>
            </w:r>
          </w:p>
        </w:tc>
      </w:tr>
      <w:tr w:rsidR="00972395" w:rsidRPr="00E73D4B" w14:paraId="4A487AB2"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2627C6B9"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5EFF6D0A" w14:textId="77777777" w:rsidR="00972395" w:rsidRPr="00E73D4B" w:rsidRDefault="00F120C7" w:rsidP="00E73D4B">
            <w:pPr>
              <w:jc w:val="right"/>
            </w:pPr>
            <w:r w:rsidRPr="00E73D4B">
              <w:t>35, punkt 46</w:t>
            </w:r>
          </w:p>
        </w:tc>
        <w:tc>
          <w:tcPr>
            <w:tcW w:w="4965" w:type="dxa"/>
            <w:tcBorders>
              <w:top w:val="nil"/>
              <w:left w:val="nil"/>
              <w:bottom w:val="nil"/>
              <w:right w:val="nil"/>
            </w:tcBorders>
            <w:tcMar>
              <w:top w:w="126" w:type="dxa"/>
              <w:left w:w="43" w:type="dxa"/>
              <w:bottom w:w="40" w:type="dxa"/>
              <w:right w:w="43" w:type="dxa"/>
            </w:tcMar>
          </w:tcPr>
          <w:p w14:paraId="0806FD91" w14:textId="77777777" w:rsidR="00972395" w:rsidRPr="00E73D4B" w:rsidRDefault="00F120C7" w:rsidP="00681E28">
            <w:r w:rsidRPr="00E73D4B">
              <w:t xml:space="preserve">Barnetrygd skal holdes utenfor ved beregning av økonomisk sosialhjelp </w:t>
            </w:r>
          </w:p>
        </w:tc>
        <w:tc>
          <w:tcPr>
            <w:tcW w:w="1556" w:type="dxa"/>
            <w:tcBorders>
              <w:top w:val="nil"/>
              <w:left w:val="nil"/>
              <w:bottom w:val="nil"/>
              <w:right w:val="nil"/>
            </w:tcBorders>
            <w:tcMar>
              <w:top w:w="126" w:type="dxa"/>
              <w:left w:w="43" w:type="dxa"/>
              <w:bottom w:w="40" w:type="dxa"/>
              <w:right w:w="43" w:type="dxa"/>
            </w:tcMar>
            <w:vAlign w:val="bottom"/>
          </w:tcPr>
          <w:p w14:paraId="0F3A4A7E" w14:textId="77777777" w:rsidR="00972395" w:rsidRPr="00E73D4B" w:rsidRDefault="00F120C7" w:rsidP="00E73D4B">
            <w:pPr>
              <w:jc w:val="right"/>
            </w:pPr>
            <w:r w:rsidRPr="00E73D4B">
              <w:t>Ja</w:t>
            </w:r>
          </w:p>
        </w:tc>
      </w:tr>
      <w:tr w:rsidR="00972395" w:rsidRPr="00E73D4B" w14:paraId="29E560F4"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5997DDF9"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322B7518" w14:textId="77777777" w:rsidR="00972395" w:rsidRPr="00E73D4B" w:rsidRDefault="00F120C7" w:rsidP="00E73D4B">
            <w:pPr>
              <w:jc w:val="right"/>
            </w:pPr>
            <w:r w:rsidRPr="00E73D4B">
              <w:t>35, punkt 50</w:t>
            </w:r>
          </w:p>
        </w:tc>
        <w:tc>
          <w:tcPr>
            <w:tcW w:w="4965" w:type="dxa"/>
            <w:tcBorders>
              <w:top w:val="nil"/>
              <w:left w:val="nil"/>
              <w:bottom w:val="nil"/>
              <w:right w:val="nil"/>
            </w:tcBorders>
            <w:tcMar>
              <w:top w:w="126" w:type="dxa"/>
              <w:left w:w="43" w:type="dxa"/>
              <w:bottom w:w="40" w:type="dxa"/>
              <w:right w:w="43" w:type="dxa"/>
            </w:tcMar>
          </w:tcPr>
          <w:p w14:paraId="4837F92D" w14:textId="77777777" w:rsidR="00972395" w:rsidRPr="00E73D4B" w:rsidRDefault="00F120C7" w:rsidP="00681E28">
            <w:r w:rsidRPr="00E73D4B">
              <w:t xml:space="preserve">Gjennomgang av regelverket for arbeidsavklaringspenger </w:t>
            </w:r>
          </w:p>
        </w:tc>
        <w:tc>
          <w:tcPr>
            <w:tcW w:w="1556" w:type="dxa"/>
            <w:tcBorders>
              <w:top w:val="nil"/>
              <w:left w:val="nil"/>
              <w:bottom w:val="nil"/>
              <w:right w:val="nil"/>
            </w:tcBorders>
            <w:tcMar>
              <w:top w:w="126" w:type="dxa"/>
              <w:left w:w="43" w:type="dxa"/>
              <w:bottom w:w="40" w:type="dxa"/>
              <w:right w:w="43" w:type="dxa"/>
            </w:tcMar>
            <w:vAlign w:val="bottom"/>
          </w:tcPr>
          <w:p w14:paraId="265F1CEC" w14:textId="77777777" w:rsidR="00972395" w:rsidRPr="00E73D4B" w:rsidRDefault="00F120C7" w:rsidP="00E73D4B">
            <w:pPr>
              <w:jc w:val="right"/>
            </w:pPr>
            <w:r w:rsidRPr="00E73D4B">
              <w:t>Ja</w:t>
            </w:r>
          </w:p>
        </w:tc>
      </w:tr>
      <w:tr w:rsidR="00972395" w:rsidRPr="00E73D4B" w14:paraId="36C7F25F"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5FC53499"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2B7FC81F" w14:textId="77777777" w:rsidR="00972395" w:rsidRPr="00E73D4B" w:rsidRDefault="00F120C7" w:rsidP="00E73D4B">
            <w:pPr>
              <w:jc w:val="right"/>
            </w:pPr>
            <w:r w:rsidRPr="00E73D4B">
              <w:t>35, punkt 55</w:t>
            </w:r>
          </w:p>
        </w:tc>
        <w:tc>
          <w:tcPr>
            <w:tcW w:w="4965" w:type="dxa"/>
            <w:tcBorders>
              <w:top w:val="nil"/>
              <w:left w:val="nil"/>
              <w:bottom w:val="nil"/>
              <w:right w:val="nil"/>
            </w:tcBorders>
            <w:tcMar>
              <w:top w:w="126" w:type="dxa"/>
              <w:left w:w="43" w:type="dxa"/>
              <w:bottom w:w="40" w:type="dxa"/>
              <w:right w:w="43" w:type="dxa"/>
            </w:tcMar>
          </w:tcPr>
          <w:p w14:paraId="602D0E5F" w14:textId="77777777" w:rsidR="00972395" w:rsidRPr="00E73D4B" w:rsidRDefault="00F120C7" w:rsidP="00681E28">
            <w:r w:rsidRPr="00E73D4B">
              <w:t>Varig ordning for ferietillegg for dagpenger</w:t>
            </w:r>
          </w:p>
        </w:tc>
        <w:tc>
          <w:tcPr>
            <w:tcW w:w="1556" w:type="dxa"/>
            <w:tcBorders>
              <w:top w:val="nil"/>
              <w:left w:val="nil"/>
              <w:bottom w:val="nil"/>
              <w:right w:val="nil"/>
            </w:tcBorders>
            <w:tcMar>
              <w:top w:w="126" w:type="dxa"/>
              <w:left w:w="43" w:type="dxa"/>
              <w:bottom w:w="40" w:type="dxa"/>
              <w:right w:w="43" w:type="dxa"/>
            </w:tcMar>
            <w:vAlign w:val="bottom"/>
          </w:tcPr>
          <w:p w14:paraId="3B8D4CCC" w14:textId="77777777" w:rsidR="00972395" w:rsidRPr="00E73D4B" w:rsidRDefault="00F120C7" w:rsidP="00E73D4B">
            <w:pPr>
              <w:jc w:val="right"/>
            </w:pPr>
            <w:r w:rsidRPr="00E73D4B">
              <w:t>Nei</w:t>
            </w:r>
          </w:p>
        </w:tc>
      </w:tr>
      <w:tr w:rsidR="00972395" w:rsidRPr="00E73D4B" w14:paraId="21807FEB"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2FA9EC32"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24D71128" w14:textId="77777777" w:rsidR="00972395" w:rsidRPr="00E73D4B" w:rsidRDefault="00F120C7" w:rsidP="00E73D4B">
            <w:pPr>
              <w:jc w:val="right"/>
            </w:pPr>
            <w:r w:rsidRPr="00E73D4B">
              <w:t>406</w:t>
            </w:r>
          </w:p>
        </w:tc>
        <w:tc>
          <w:tcPr>
            <w:tcW w:w="4965" w:type="dxa"/>
            <w:tcBorders>
              <w:top w:val="nil"/>
              <w:left w:val="nil"/>
              <w:bottom w:val="nil"/>
              <w:right w:val="nil"/>
            </w:tcBorders>
            <w:tcMar>
              <w:top w:w="126" w:type="dxa"/>
              <w:left w:w="43" w:type="dxa"/>
              <w:bottom w:w="40" w:type="dxa"/>
              <w:right w:w="43" w:type="dxa"/>
            </w:tcMar>
          </w:tcPr>
          <w:p w14:paraId="69BA00F3" w14:textId="77777777" w:rsidR="00972395" w:rsidRPr="00E73D4B" w:rsidRDefault="00F120C7" w:rsidP="00681E28">
            <w:r w:rsidRPr="00E73D4B">
              <w:t>Utrede behovet for flere varig tilrettelagte arbeidsplasser (VTA)</w:t>
            </w:r>
          </w:p>
        </w:tc>
        <w:tc>
          <w:tcPr>
            <w:tcW w:w="1556" w:type="dxa"/>
            <w:tcBorders>
              <w:top w:val="nil"/>
              <w:left w:val="nil"/>
              <w:bottom w:val="nil"/>
              <w:right w:val="nil"/>
            </w:tcBorders>
            <w:tcMar>
              <w:top w:w="126" w:type="dxa"/>
              <w:left w:w="43" w:type="dxa"/>
              <w:bottom w:w="40" w:type="dxa"/>
              <w:right w:w="43" w:type="dxa"/>
            </w:tcMar>
            <w:vAlign w:val="bottom"/>
          </w:tcPr>
          <w:p w14:paraId="1FC346D1" w14:textId="77777777" w:rsidR="00972395" w:rsidRPr="00E73D4B" w:rsidRDefault="00F120C7" w:rsidP="00E73D4B">
            <w:pPr>
              <w:jc w:val="right"/>
            </w:pPr>
            <w:r w:rsidRPr="00E73D4B">
              <w:t>Ja</w:t>
            </w:r>
          </w:p>
        </w:tc>
      </w:tr>
      <w:tr w:rsidR="00972395" w:rsidRPr="00E73D4B" w14:paraId="07BE14E4"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59B8127E"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05AA477D" w14:textId="77777777" w:rsidR="00972395" w:rsidRPr="00E73D4B" w:rsidRDefault="00F120C7" w:rsidP="00E73D4B">
            <w:pPr>
              <w:jc w:val="right"/>
            </w:pPr>
            <w:r w:rsidRPr="00E73D4B">
              <w:t>407</w:t>
            </w:r>
          </w:p>
        </w:tc>
        <w:tc>
          <w:tcPr>
            <w:tcW w:w="4965" w:type="dxa"/>
            <w:tcBorders>
              <w:top w:val="nil"/>
              <w:left w:val="nil"/>
              <w:bottom w:val="nil"/>
              <w:right w:val="nil"/>
            </w:tcBorders>
            <w:tcMar>
              <w:top w:w="126" w:type="dxa"/>
              <w:left w:w="43" w:type="dxa"/>
              <w:bottom w:w="40" w:type="dxa"/>
              <w:right w:w="43" w:type="dxa"/>
            </w:tcMar>
          </w:tcPr>
          <w:p w14:paraId="70854679" w14:textId="77777777" w:rsidR="00972395" w:rsidRPr="00E73D4B" w:rsidRDefault="00F120C7" w:rsidP="00681E28">
            <w:r w:rsidRPr="00E73D4B">
              <w:t>Utvikle modeller for tettere oppfølging i varig tilrettelagt arbeid i ordinær virksomhet (VTA-O)</w:t>
            </w:r>
          </w:p>
        </w:tc>
        <w:tc>
          <w:tcPr>
            <w:tcW w:w="1556" w:type="dxa"/>
            <w:tcBorders>
              <w:top w:val="nil"/>
              <w:left w:val="nil"/>
              <w:bottom w:val="nil"/>
              <w:right w:val="nil"/>
            </w:tcBorders>
            <w:tcMar>
              <w:top w:w="126" w:type="dxa"/>
              <w:left w:w="43" w:type="dxa"/>
              <w:bottom w:w="40" w:type="dxa"/>
              <w:right w:w="43" w:type="dxa"/>
            </w:tcMar>
            <w:vAlign w:val="bottom"/>
          </w:tcPr>
          <w:p w14:paraId="43ED7569" w14:textId="77777777" w:rsidR="00972395" w:rsidRPr="00E73D4B" w:rsidRDefault="00F120C7" w:rsidP="00E73D4B">
            <w:pPr>
              <w:jc w:val="right"/>
            </w:pPr>
            <w:r w:rsidRPr="00E73D4B">
              <w:t>Ja</w:t>
            </w:r>
          </w:p>
        </w:tc>
      </w:tr>
      <w:tr w:rsidR="00972395" w:rsidRPr="00E73D4B" w14:paraId="5150FAEC"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223416D8"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435D0FCB" w14:textId="77777777" w:rsidR="00972395" w:rsidRPr="00E73D4B" w:rsidRDefault="00F120C7" w:rsidP="00E73D4B">
            <w:pPr>
              <w:jc w:val="right"/>
            </w:pPr>
            <w:r w:rsidRPr="00E73D4B">
              <w:t>408</w:t>
            </w:r>
          </w:p>
        </w:tc>
        <w:tc>
          <w:tcPr>
            <w:tcW w:w="4965" w:type="dxa"/>
            <w:tcBorders>
              <w:top w:val="nil"/>
              <w:left w:val="nil"/>
              <w:bottom w:val="nil"/>
              <w:right w:val="nil"/>
            </w:tcBorders>
            <w:tcMar>
              <w:top w:w="126" w:type="dxa"/>
              <w:left w:w="43" w:type="dxa"/>
              <w:bottom w:w="40" w:type="dxa"/>
              <w:right w:w="43" w:type="dxa"/>
            </w:tcMar>
          </w:tcPr>
          <w:p w14:paraId="6433C8D8" w14:textId="77777777" w:rsidR="00972395" w:rsidRPr="00E73D4B" w:rsidRDefault="00F120C7" w:rsidP="00681E28">
            <w:r w:rsidRPr="00E73D4B">
              <w:t>Utrede behovet for flere varig tilrettelagte arbeidsplasser (VTA), innen statsbudsjettet for 2023</w:t>
            </w:r>
          </w:p>
        </w:tc>
        <w:tc>
          <w:tcPr>
            <w:tcW w:w="1556" w:type="dxa"/>
            <w:tcBorders>
              <w:top w:val="nil"/>
              <w:left w:val="nil"/>
              <w:bottom w:val="nil"/>
              <w:right w:val="nil"/>
            </w:tcBorders>
            <w:tcMar>
              <w:top w:w="126" w:type="dxa"/>
              <w:left w:w="43" w:type="dxa"/>
              <w:bottom w:w="40" w:type="dxa"/>
              <w:right w:w="43" w:type="dxa"/>
            </w:tcMar>
            <w:vAlign w:val="bottom"/>
          </w:tcPr>
          <w:p w14:paraId="31ACE81A" w14:textId="77777777" w:rsidR="00972395" w:rsidRPr="00E73D4B" w:rsidRDefault="00F120C7" w:rsidP="00E73D4B">
            <w:pPr>
              <w:jc w:val="right"/>
            </w:pPr>
            <w:r w:rsidRPr="00E73D4B">
              <w:t>Ja</w:t>
            </w:r>
          </w:p>
        </w:tc>
      </w:tr>
      <w:tr w:rsidR="00972395" w:rsidRPr="00E73D4B" w14:paraId="796E3005" w14:textId="77777777" w:rsidTr="00681E28">
        <w:trPr>
          <w:trHeight w:val="880"/>
        </w:trPr>
        <w:tc>
          <w:tcPr>
            <w:tcW w:w="1418" w:type="dxa"/>
            <w:tcBorders>
              <w:top w:val="nil"/>
              <w:left w:val="nil"/>
              <w:bottom w:val="nil"/>
              <w:right w:val="nil"/>
            </w:tcBorders>
            <w:tcMar>
              <w:top w:w="126" w:type="dxa"/>
              <w:left w:w="43" w:type="dxa"/>
              <w:bottom w:w="40" w:type="dxa"/>
              <w:right w:w="43" w:type="dxa"/>
            </w:tcMar>
          </w:tcPr>
          <w:p w14:paraId="2AB70288"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49E8EA3B" w14:textId="77777777" w:rsidR="00972395" w:rsidRPr="00E73D4B" w:rsidRDefault="00F120C7" w:rsidP="00E73D4B">
            <w:pPr>
              <w:jc w:val="right"/>
            </w:pPr>
            <w:r w:rsidRPr="00E73D4B">
              <w:t>409</w:t>
            </w:r>
          </w:p>
        </w:tc>
        <w:tc>
          <w:tcPr>
            <w:tcW w:w="4965" w:type="dxa"/>
            <w:tcBorders>
              <w:top w:val="nil"/>
              <w:left w:val="nil"/>
              <w:bottom w:val="nil"/>
              <w:right w:val="nil"/>
            </w:tcBorders>
            <w:tcMar>
              <w:top w:w="126" w:type="dxa"/>
              <w:left w:w="43" w:type="dxa"/>
              <w:bottom w:w="40" w:type="dxa"/>
              <w:right w:w="43" w:type="dxa"/>
            </w:tcMar>
          </w:tcPr>
          <w:p w14:paraId="076EB693" w14:textId="77777777" w:rsidR="00972395" w:rsidRPr="00E73D4B" w:rsidRDefault="00F120C7" w:rsidP="00681E28">
            <w:r w:rsidRPr="00E73D4B">
              <w:t>Utvikle modeller for tettere oppfølging i varig tilrettelagt arbeid i ordinær virksomhet (VTA-O) hvor også andre kan være ansvarlig for oppfølging</w:t>
            </w:r>
          </w:p>
        </w:tc>
        <w:tc>
          <w:tcPr>
            <w:tcW w:w="1556" w:type="dxa"/>
            <w:tcBorders>
              <w:top w:val="nil"/>
              <w:left w:val="nil"/>
              <w:bottom w:val="nil"/>
              <w:right w:val="nil"/>
            </w:tcBorders>
            <w:tcMar>
              <w:top w:w="126" w:type="dxa"/>
              <w:left w:w="43" w:type="dxa"/>
              <w:bottom w:w="40" w:type="dxa"/>
              <w:right w:w="43" w:type="dxa"/>
            </w:tcMar>
            <w:vAlign w:val="bottom"/>
          </w:tcPr>
          <w:p w14:paraId="3D5ED069" w14:textId="77777777" w:rsidR="00972395" w:rsidRPr="00E73D4B" w:rsidRDefault="00F120C7" w:rsidP="00E73D4B">
            <w:pPr>
              <w:jc w:val="right"/>
            </w:pPr>
            <w:r w:rsidRPr="00E73D4B">
              <w:t>Ja</w:t>
            </w:r>
          </w:p>
        </w:tc>
      </w:tr>
      <w:tr w:rsidR="00972395" w:rsidRPr="00E73D4B" w14:paraId="5F0EF481"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133534E4"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7B3AD914" w14:textId="77777777" w:rsidR="00972395" w:rsidRPr="00E73D4B" w:rsidRDefault="00F120C7" w:rsidP="00E73D4B">
            <w:pPr>
              <w:jc w:val="right"/>
            </w:pPr>
            <w:r w:rsidRPr="00E73D4B">
              <w:t>456</w:t>
            </w:r>
          </w:p>
        </w:tc>
        <w:tc>
          <w:tcPr>
            <w:tcW w:w="4965" w:type="dxa"/>
            <w:tcBorders>
              <w:top w:val="nil"/>
              <w:left w:val="nil"/>
              <w:bottom w:val="nil"/>
              <w:right w:val="nil"/>
            </w:tcBorders>
            <w:tcMar>
              <w:top w:w="126" w:type="dxa"/>
              <w:left w:w="43" w:type="dxa"/>
              <w:bottom w:w="40" w:type="dxa"/>
              <w:right w:w="43" w:type="dxa"/>
            </w:tcMar>
          </w:tcPr>
          <w:p w14:paraId="1BA6D4B2" w14:textId="77777777" w:rsidR="00972395" w:rsidRPr="00E73D4B" w:rsidRDefault="00F120C7" w:rsidP="00681E28">
            <w:r w:rsidRPr="00E73D4B">
              <w:t xml:space="preserve">Utrede om selvstendig næringsdrivende og frilansere skal opparbeide seg sterkere rettigheter til inntektssikring </w:t>
            </w:r>
          </w:p>
        </w:tc>
        <w:tc>
          <w:tcPr>
            <w:tcW w:w="1556" w:type="dxa"/>
            <w:tcBorders>
              <w:top w:val="nil"/>
              <w:left w:val="nil"/>
              <w:bottom w:val="nil"/>
              <w:right w:val="nil"/>
            </w:tcBorders>
            <w:tcMar>
              <w:top w:w="126" w:type="dxa"/>
              <w:left w:w="43" w:type="dxa"/>
              <w:bottom w:w="40" w:type="dxa"/>
              <w:right w:w="43" w:type="dxa"/>
            </w:tcMar>
            <w:vAlign w:val="bottom"/>
          </w:tcPr>
          <w:p w14:paraId="6A3A7106" w14:textId="77777777" w:rsidR="00972395" w:rsidRPr="00E73D4B" w:rsidRDefault="00F120C7" w:rsidP="00E73D4B">
            <w:pPr>
              <w:jc w:val="right"/>
            </w:pPr>
            <w:r w:rsidRPr="00E73D4B">
              <w:t>Nei</w:t>
            </w:r>
          </w:p>
        </w:tc>
      </w:tr>
      <w:tr w:rsidR="00972395" w:rsidRPr="00E73D4B" w14:paraId="658C0A32"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5BC6E655"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787F332D" w14:textId="77777777" w:rsidR="00972395" w:rsidRPr="00E73D4B" w:rsidRDefault="00F120C7" w:rsidP="00E73D4B">
            <w:pPr>
              <w:jc w:val="right"/>
            </w:pPr>
            <w:r w:rsidRPr="00E73D4B">
              <w:t>574</w:t>
            </w:r>
          </w:p>
        </w:tc>
        <w:tc>
          <w:tcPr>
            <w:tcW w:w="4965" w:type="dxa"/>
            <w:tcBorders>
              <w:top w:val="nil"/>
              <w:left w:val="nil"/>
              <w:bottom w:val="nil"/>
              <w:right w:val="nil"/>
            </w:tcBorders>
            <w:tcMar>
              <w:top w:w="126" w:type="dxa"/>
              <w:left w:w="43" w:type="dxa"/>
              <w:bottom w:w="40" w:type="dxa"/>
              <w:right w:w="43" w:type="dxa"/>
            </w:tcMar>
          </w:tcPr>
          <w:p w14:paraId="42DB3F8E" w14:textId="77777777" w:rsidR="00972395" w:rsidRPr="00E73D4B" w:rsidRDefault="00F120C7" w:rsidP="00681E28">
            <w:r w:rsidRPr="00E73D4B">
              <w:t>Samarbeidsavtaler mellom kommunene og frivillige organisasjoner for å styrke det lokale integreringsarbeidet</w:t>
            </w:r>
          </w:p>
        </w:tc>
        <w:tc>
          <w:tcPr>
            <w:tcW w:w="1556" w:type="dxa"/>
            <w:tcBorders>
              <w:top w:val="nil"/>
              <w:left w:val="nil"/>
              <w:bottom w:val="nil"/>
              <w:right w:val="nil"/>
            </w:tcBorders>
            <w:tcMar>
              <w:top w:w="126" w:type="dxa"/>
              <w:left w:w="43" w:type="dxa"/>
              <w:bottom w:w="40" w:type="dxa"/>
              <w:right w:w="43" w:type="dxa"/>
            </w:tcMar>
            <w:vAlign w:val="bottom"/>
          </w:tcPr>
          <w:p w14:paraId="70220E50" w14:textId="77777777" w:rsidR="00972395" w:rsidRPr="00E73D4B" w:rsidRDefault="00F120C7" w:rsidP="00E73D4B">
            <w:pPr>
              <w:jc w:val="right"/>
            </w:pPr>
            <w:r w:rsidRPr="00E73D4B">
              <w:t>Ja</w:t>
            </w:r>
          </w:p>
        </w:tc>
      </w:tr>
      <w:tr w:rsidR="00972395" w:rsidRPr="00E73D4B" w14:paraId="6F53CA04"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4870192C"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0F82943D" w14:textId="77777777" w:rsidR="00972395" w:rsidRPr="00E73D4B" w:rsidRDefault="00F120C7" w:rsidP="00E73D4B">
            <w:pPr>
              <w:jc w:val="right"/>
            </w:pPr>
            <w:r w:rsidRPr="00E73D4B">
              <w:t>794</w:t>
            </w:r>
          </w:p>
        </w:tc>
        <w:tc>
          <w:tcPr>
            <w:tcW w:w="4965" w:type="dxa"/>
            <w:tcBorders>
              <w:top w:val="nil"/>
              <w:left w:val="nil"/>
              <w:bottom w:val="nil"/>
              <w:right w:val="nil"/>
            </w:tcBorders>
            <w:tcMar>
              <w:top w:w="126" w:type="dxa"/>
              <w:left w:w="43" w:type="dxa"/>
              <w:bottom w:w="40" w:type="dxa"/>
              <w:right w:w="43" w:type="dxa"/>
            </w:tcMar>
          </w:tcPr>
          <w:p w14:paraId="1F7DA72D" w14:textId="77777777" w:rsidR="00972395" w:rsidRPr="00E73D4B" w:rsidRDefault="00F120C7" w:rsidP="00681E28">
            <w:r w:rsidRPr="00E73D4B">
              <w:t>Tilgjengelighet og kvalitet i økonomisk rådgivning og gjeldsrådgivning</w:t>
            </w:r>
          </w:p>
        </w:tc>
        <w:tc>
          <w:tcPr>
            <w:tcW w:w="1556" w:type="dxa"/>
            <w:tcBorders>
              <w:top w:val="nil"/>
              <w:left w:val="nil"/>
              <w:bottom w:val="nil"/>
              <w:right w:val="nil"/>
            </w:tcBorders>
            <w:tcMar>
              <w:top w:w="126" w:type="dxa"/>
              <w:left w:w="43" w:type="dxa"/>
              <w:bottom w:w="40" w:type="dxa"/>
              <w:right w:w="43" w:type="dxa"/>
            </w:tcMar>
            <w:vAlign w:val="bottom"/>
          </w:tcPr>
          <w:p w14:paraId="328339F9" w14:textId="77777777" w:rsidR="00972395" w:rsidRPr="00E73D4B" w:rsidRDefault="00F120C7" w:rsidP="00E73D4B">
            <w:pPr>
              <w:jc w:val="right"/>
            </w:pPr>
            <w:r w:rsidRPr="00E73D4B">
              <w:t>Nei</w:t>
            </w:r>
          </w:p>
        </w:tc>
      </w:tr>
      <w:tr w:rsidR="00972395" w:rsidRPr="00E73D4B" w14:paraId="3B124F62" w14:textId="77777777" w:rsidTr="00681E28">
        <w:trPr>
          <w:trHeight w:val="880"/>
        </w:trPr>
        <w:tc>
          <w:tcPr>
            <w:tcW w:w="1418" w:type="dxa"/>
            <w:tcBorders>
              <w:top w:val="nil"/>
              <w:left w:val="nil"/>
              <w:bottom w:val="nil"/>
              <w:right w:val="nil"/>
            </w:tcBorders>
            <w:tcMar>
              <w:top w:w="126" w:type="dxa"/>
              <w:left w:w="43" w:type="dxa"/>
              <w:bottom w:w="40" w:type="dxa"/>
              <w:right w:w="43" w:type="dxa"/>
            </w:tcMar>
          </w:tcPr>
          <w:p w14:paraId="7C79DD02"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6A2082BF" w14:textId="77777777" w:rsidR="00972395" w:rsidRPr="00E73D4B" w:rsidRDefault="00F120C7" w:rsidP="00E73D4B">
            <w:pPr>
              <w:jc w:val="right"/>
            </w:pPr>
            <w:r w:rsidRPr="00E73D4B">
              <w:t>813</w:t>
            </w:r>
          </w:p>
        </w:tc>
        <w:tc>
          <w:tcPr>
            <w:tcW w:w="4965" w:type="dxa"/>
            <w:tcBorders>
              <w:top w:val="nil"/>
              <w:left w:val="nil"/>
              <w:bottom w:val="nil"/>
              <w:right w:val="nil"/>
            </w:tcBorders>
            <w:tcMar>
              <w:top w:w="126" w:type="dxa"/>
              <w:left w:w="43" w:type="dxa"/>
              <w:bottom w:w="40" w:type="dxa"/>
              <w:right w:w="43" w:type="dxa"/>
            </w:tcMar>
          </w:tcPr>
          <w:p w14:paraId="7C44BE50" w14:textId="77777777" w:rsidR="00972395" w:rsidRPr="00E73D4B" w:rsidRDefault="00F120C7" w:rsidP="00681E28">
            <w:r w:rsidRPr="00E73D4B">
              <w:t xml:space="preserve">Beregning av uføretrygd når inntektsevnen tidligere har vært nedsatt pga. delvis uførhet uten at inngangsvilkåret for uføreytelser i folketrygden har vært oppfylt. </w:t>
            </w:r>
          </w:p>
        </w:tc>
        <w:tc>
          <w:tcPr>
            <w:tcW w:w="1556" w:type="dxa"/>
            <w:tcBorders>
              <w:top w:val="nil"/>
              <w:left w:val="nil"/>
              <w:bottom w:val="nil"/>
              <w:right w:val="nil"/>
            </w:tcBorders>
            <w:tcMar>
              <w:top w:w="126" w:type="dxa"/>
              <w:left w:w="43" w:type="dxa"/>
              <w:bottom w:w="40" w:type="dxa"/>
              <w:right w:w="43" w:type="dxa"/>
            </w:tcMar>
            <w:vAlign w:val="bottom"/>
          </w:tcPr>
          <w:p w14:paraId="7445F699" w14:textId="77777777" w:rsidR="00972395" w:rsidRPr="00E73D4B" w:rsidRDefault="00F120C7" w:rsidP="00E73D4B">
            <w:pPr>
              <w:jc w:val="right"/>
            </w:pPr>
            <w:r w:rsidRPr="00E73D4B">
              <w:t>Nei</w:t>
            </w:r>
          </w:p>
        </w:tc>
      </w:tr>
      <w:tr w:rsidR="00972395" w:rsidRPr="00E73D4B" w14:paraId="225F1CF8"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487C298F"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5E532D50" w14:textId="77777777" w:rsidR="00972395" w:rsidRPr="00E73D4B" w:rsidRDefault="00F120C7" w:rsidP="00E73D4B">
            <w:pPr>
              <w:jc w:val="right"/>
            </w:pPr>
            <w:r w:rsidRPr="00E73D4B">
              <w:t>814</w:t>
            </w:r>
          </w:p>
        </w:tc>
        <w:tc>
          <w:tcPr>
            <w:tcW w:w="4965" w:type="dxa"/>
            <w:tcBorders>
              <w:top w:val="nil"/>
              <w:left w:val="nil"/>
              <w:bottom w:val="nil"/>
              <w:right w:val="nil"/>
            </w:tcBorders>
            <w:tcMar>
              <w:top w:w="126" w:type="dxa"/>
              <w:left w:w="43" w:type="dxa"/>
              <w:bottom w:w="40" w:type="dxa"/>
              <w:right w:w="43" w:type="dxa"/>
            </w:tcMar>
          </w:tcPr>
          <w:p w14:paraId="37FE3226" w14:textId="77777777" w:rsidR="00972395" w:rsidRPr="00E73D4B" w:rsidRDefault="00F120C7" w:rsidP="00681E28">
            <w:r w:rsidRPr="00E73D4B">
              <w:t xml:space="preserve">Lovendringer for å styrke ansattes vern mot natt- og alenearbeid </w:t>
            </w:r>
          </w:p>
        </w:tc>
        <w:tc>
          <w:tcPr>
            <w:tcW w:w="1556" w:type="dxa"/>
            <w:tcBorders>
              <w:top w:val="nil"/>
              <w:left w:val="nil"/>
              <w:bottom w:val="nil"/>
              <w:right w:val="nil"/>
            </w:tcBorders>
            <w:tcMar>
              <w:top w:w="126" w:type="dxa"/>
              <w:left w:w="43" w:type="dxa"/>
              <w:bottom w:w="40" w:type="dxa"/>
              <w:right w:w="43" w:type="dxa"/>
            </w:tcMar>
            <w:vAlign w:val="bottom"/>
          </w:tcPr>
          <w:p w14:paraId="2DD6BEB6" w14:textId="77777777" w:rsidR="00972395" w:rsidRPr="00E73D4B" w:rsidRDefault="00F120C7" w:rsidP="00E73D4B">
            <w:pPr>
              <w:jc w:val="right"/>
            </w:pPr>
            <w:r w:rsidRPr="00E73D4B">
              <w:t>Nei</w:t>
            </w:r>
          </w:p>
        </w:tc>
      </w:tr>
      <w:tr w:rsidR="00972395" w:rsidRPr="00E73D4B" w14:paraId="20E8A80D"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35E70932" w14:textId="77777777" w:rsidR="00972395" w:rsidRPr="00E73D4B" w:rsidRDefault="00F120C7" w:rsidP="00E73D4B">
            <w:r w:rsidRPr="00E73D4B">
              <w:t>2021–2022</w:t>
            </w:r>
          </w:p>
        </w:tc>
        <w:tc>
          <w:tcPr>
            <w:tcW w:w="1417" w:type="dxa"/>
            <w:tcBorders>
              <w:top w:val="nil"/>
              <w:left w:val="nil"/>
              <w:bottom w:val="nil"/>
              <w:right w:val="nil"/>
            </w:tcBorders>
            <w:tcMar>
              <w:top w:w="126" w:type="dxa"/>
              <w:left w:w="43" w:type="dxa"/>
              <w:bottom w:w="40" w:type="dxa"/>
              <w:right w:w="43" w:type="dxa"/>
            </w:tcMar>
          </w:tcPr>
          <w:p w14:paraId="7B58985B" w14:textId="77777777" w:rsidR="00972395" w:rsidRPr="00E73D4B" w:rsidRDefault="00F120C7" w:rsidP="00E73D4B">
            <w:pPr>
              <w:jc w:val="right"/>
            </w:pPr>
            <w:r w:rsidRPr="00E73D4B">
              <w:t>843</w:t>
            </w:r>
          </w:p>
        </w:tc>
        <w:tc>
          <w:tcPr>
            <w:tcW w:w="4965" w:type="dxa"/>
            <w:tcBorders>
              <w:top w:val="nil"/>
              <w:left w:val="nil"/>
              <w:bottom w:val="nil"/>
              <w:right w:val="nil"/>
            </w:tcBorders>
            <w:tcMar>
              <w:top w:w="126" w:type="dxa"/>
              <w:left w:w="43" w:type="dxa"/>
              <w:bottom w:w="40" w:type="dxa"/>
              <w:right w:w="43" w:type="dxa"/>
            </w:tcMar>
          </w:tcPr>
          <w:p w14:paraId="10D9C90E" w14:textId="77777777" w:rsidR="00972395" w:rsidRPr="00E73D4B" w:rsidRDefault="00F120C7" w:rsidP="00681E28">
            <w:r w:rsidRPr="00E73D4B">
              <w:t xml:space="preserve">Prisjustere de veiledende satsene for økonomisk sosialhjelp </w:t>
            </w:r>
          </w:p>
        </w:tc>
        <w:tc>
          <w:tcPr>
            <w:tcW w:w="1556" w:type="dxa"/>
            <w:tcBorders>
              <w:top w:val="nil"/>
              <w:left w:val="nil"/>
              <w:bottom w:val="nil"/>
              <w:right w:val="nil"/>
            </w:tcBorders>
            <w:tcMar>
              <w:top w:w="126" w:type="dxa"/>
              <w:left w:w="43" w:type="dxa"/>
              <w:bottom w:w="40" w:type="dxa"/>
              <w:right w:w="43" w:type="dxa"/>
            </w:tcMar>
            <w:vAlign w:val="bottom"/>
          </w:tcPr>
          <w:p w14:paraId="0E02EA71" w14:textId="77777777" w:rsidR="00972395" w:rsidRPr="00E73D4B" w:rsidRDefault="00F120C7" w:rsidP="00E73D4B">
            <w:pPr>
              <w:jc w:val="right"/>
            </w:pPr>
            <w:r w:rsidRPr="00E73D4B">
              <w:t>Ja</w:t>
            </w:r>
          </w:p>
        </w:tc>
      </w:tr>
      <w:tr w:rsidR="00972395" w:rsidRPr="00E73D4B" w14:paraId="1317B297"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1883BAA4"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109BD6BC" w14:textId="77777777" w:rsidR="00972395" w:rsidRPr="00E73D4B" w:rsidRDefault="00F120C7" w:rsidP="00E73D4B">
            <w:pPr>
              <w:jc w:val="right"/>
            </w:pPr>
            <w:r w:rsidRPr="00E73D4B">
              <w:t>223</w:t>
            </w:r>
          </w:p>
        </w:tc>
        <w:tc>
          <w:tcPr>
            <w:tcW w:w="4965" w:type="dxa"/>
            <w:tcBorders>
              <w:top w:val="nil"/>
              <w:left w:val="nil"/>
              <w:bottom w:val="nil"/>
              <w:right w:val="nil"/>
            </w:tcBorders>
            <w:tcMar>
              <w:top w:w="126" w:type="dxa"/>
              <w:left w:w="43" w:type="dxa"/>
              <w:bottom w:w="40" w:type="dxa"/>
              <w:right w:w="43" w:type="dxa"/>
            </w:tcMar>
          </w:tcPr>
          <w:p w14:paraId="4589A3C4" w14:textId="77777777" w:rsidR="00972395" w:rsidRPr="00E73D4B" w:rsidRDefault="00F120C7" w:rsidP="00681E28">
            <w:r w:rsidRPr="00E73D4B">
              <w:t xml:space="preserve">Arbeidslivskompetansen ved NAV-kontorene i kommunene og bydelene, og </w:t>
            </w:r>
            <w:proofErr w:type="spellStart"/>
            <w:r w:rsidRPr="00E73D4B">
              <w:t>NAVs</w:t>
            </w:r>
            <w:proofErr w:type="spellEnd"/>
            <w:r w:rsidRPr="00E73D4B">
              <w:t xml:space="preserve"> rolle som arbeidsformidler</w:t>
            </w:r>
          </w:p>
        </w:tc>
        <w:tc>
          <w:tcPr>
            <w:tcW w:w="1556" w:type="dxa"/>
            <w:tcBorders>
              <w:top w:val="nil"/>
              <w:left w:val="nil"/>
              <w:bottom w:val="nil"/>
              <w:right w:val="nil"/>
            </w:tcBorders>
            <w:tcMar>
              <w:top w:w="126" w:type="dxa"/>
              <w:left w:w="43" w:type="dxa"/>
              <w:bottom w:w="40" w:type="dxa"/>
              <w:right w:w="43" w:type="dxa"/>
            </w:tcMar>
            <w:vAlign w:val="bottom"/>
          </w:tcPr>
          <w:p w14:paraId="4C5C7C41" w14:textId="77777777" w:rsidR="00972395" w:rsidRPr="00E73D4B" w:rsidRDefault="00F120C7" w:rsidP="00E73D4B">
            <w:pPr>
              <w:jc w:val="right"/>
            </w:pPr>
            <w:r w:rsidRPr="00E73D4B">
              <w:t>Ja</w:t>
            </w:r>
          </w:p>
        </w:tc>
      </w:tr>
      <w:tr w:rsidR="00972395" w:rsidRPr="00E73D4B" w14:paraId="13D05981" w14:textId="77777777" w:rsidTr="00681E28">
        <w:trPr>
          <w:trHeight w:val="880"/>
        </w:trPr>
        <w:tc>
          <w:tcPr>
            <w:tcW w:w="1418" w:type="dxa"/>
            <w:tcBorders>
              <w:top w:val="nil"/>
              <w:left w:val="nil"/>
              <w:bottom w:val="nil"/>
              <w:right w:val="nil"/>
            </w:tcBorders>
            <w:tcMar>
              <w:top w:w="126" w:type="dxa"/>
              <w:left w:w="43" w:type="dxa"/>
              <w:bottom w:w="40" w:type="dxa"/>
              <w:right w:w="43" w:type="dxa"/>
            </w:tcMar>
          </w:tcPr>
          <w:p w14:paraId="0F2B10B1"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022C14DF" w14:textId="77777777" w:rsidR="00972395" w:rsidRPr="00E73D4B" w:rsidRDefault="00F120C7" w:rsidP="00E73D4B">
            <w:pPr>
              <w:jc w:val="right"/>
            </w:pPr>
            <w:r w:rsidRPr="00E73D4B">
              <w:t>238</w:t>
            </w:r>
          </w:p>
        </w:tc>
        <w:tc>
          <w:tcPr>
            <w:tcW w:w="4965" w:type="dxa"/>
            <w:tcBorders>
              <w:top w:val="nil"/>
              <w:left w:val="nil"/>
              <w:bottom w:val="nil"/>
              <w:right w:val="nil"/>
            </w:tcBorders>
            <w:tcMar>
              <w:top w:w="126" w:type="dxa"/>
              <w:left w:w="43" w:type="dxa"/>
              <w:bottom w:w="40" w:type="dxa"/>
              <w:right w:w="43" w:type="dxa"/>
            </w:tcMar>
          </w:tcPr>
          <w:p w14:paraId="702955D2" w14:textId="77777777" w:rsidR="00972395" w:rsidRPr="00E73D4B" w:rsidRDefault="00F120C7" w:rsidP="00681E28">
            <w:r w:rsidRPr="00E73D4B">
              <w:t>Lovendringer for å redusere kravet til innbetaling av premie fra det tidspunktet den enkelte har kompensert for levealdersjusteringen</w:t>
            </w:r>
          </w:p>
        </w:tc>
        <w:tc>
          <w:tcPr>
            <w:tcW w:w="1556" w:type="dxa"/>
            <w:tcBorders>
              <w:top w:val="nil"/>
              <w:left w:val="nil"/>
              <w:bottom w:val="nil"/>
              <w:right w:val="nil"/>
            </w:tcBorders>
            <w:tcMar>
              <w:top w:w="126" w:type="dxa"/>
              <w:left w:w="43" w:type="dxa"/>
              <w:bottom w:w="40" w:type="dxa"/>
              <w:right w:w="43" w:type="dxa"/>
            </w:tcMar>
            <w:vAlign w:val="bottom"/>
          </w:tcPr>
          <w:p w14:paraId="7CCE5CF0" w14:textId="77777777" w:rsidR="00972395" w:rsidRPr="00E73D4B" w:rsidRDefault="00F120C7" w:rsidP="00E73D4B">
            <w:pPr>
              <w:jc w:val="right"/>
            </w:pPr>
            <w:r w:rsidRPr="00E73D4B">
              <w:t>Nei</w:t>
            </w:r>
          </w:p>
        </w:tc>
      </w:tr>
      <w:tr w:rsidR="00972395" w:rsidRPr="00E73D4B" w14:paraId="6226A02C"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3B065626"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7D23B0B0" w14:textId="77777777" w:rsidR="00972395" w:rsidRPr="00E73D4B" w:rsidRDefault="00F120C7" w:rsidP="00E73D4B">
            <w:pPr>
              <w:jc w:val="right"/>
            </w:pPr>
            <w:r w:rsidRPr="00E73D4B">
              <w:t>239</w:t>
            </w:r>
          </w:p>
        </w:tc>
        <w:tc>
          <w:tcPr>
            <w:tcW w:w="4965" w:type="dxa"/>
            <w:tcBorders>
              <w:top w:val="nil"/>
              <w:left w:val="nil"/>
              <w:bottom w:val="nil"/>
              <w:right w:val="nil"/>
            </w:tcBorders>
            <w:tcMar>
              <w:top w:w="126" w:type="dxa"/>
              <w:left w:w="43" w:type="dxa"/>
              <w:bottom w:w="40" w:type="dxa"/>
              <w:right w:w="43" w:type="dxa"/>
            </w:tcMar>
          </w:tcPr>
          <w:p w14:paraId="5D3E5BAD" w14:textId="77777777" w:rsidR="00972395" w:rsidRPr="00E73D4B" w:rsidRDefault="00F120C7" w:rsidP="00681E28">
            <w:r w:rsidRPr="00E73D4B">
              <w:t>Styrke arbeidslinjen for offentlig ansatte født i årene 1944–1962</w:t>
            </w:r>
          </w:p>
        </w:tc>
        <w:tc>
          <w:tcPr>
            <w:tcW w:w="1556" w:type="dxa"/>
            <w:tcBorders>
              <w:top w:val="nil"/>
              <w:left w:val="nil"/>
              <w:bottom w:val="nil"/>
              <w:right w:val="nil"/>
            </w:tcBorders>
            <w:tcMar>
              <w:top w:w="126" w:type="dxa"/>
              <w:left w:w="43" w:type="dxa"/>
              <w:bottom w:w="40" w:type="dxa"/>
              <w:right w:w="43" w:type="dxa"/>
            </w:tcMar>
            <w:vAlign w:val="bottom"/>
          </w:tcPr>
          <w:p w14:paraId="3C4FF2E9" w14:textId="77777777" w:rsidR="00972395" w:rsidRPr="00E73D4B" w:rsidRDefault="00F120C7" w:rsidP="00E73D4B">
            <w:pPr>
              <w:jc w:val="right"/>
            </w:pPr>
            <w:r w:rsidRPr="00E73D4B">
              <w:t>Nei</w:t>
            </w:r>
          </w:p>
        </w:tc>
      </w:tr>
      <w:tr w:rsidR="00972395" w:rsidRPr="00E73D4B" w14:paraId="0FD77675"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7EDB956B"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4900171E" w14:textId="77777777" w:rsidR="00972395" w:rsidRPr="00E73D4B" w:rsidRDefault="00F120C7" w:rsidP="00E73D4B">
            <w:pPr>
              <w:jc w:val="right"/>
            </w:pPr>
            <w:r w:rsidRPr="00E73D4B">
              <w:t>530</w:t>
            </w:r>
          </w:p>
        </w:tc>
        <w:tc>
          <w:tcPr>
            <w:tcW w:w="4965" w:type="dxa"/>
            <w:tcBorders>
              <w:top w:val="nil"/>
              <w:left w:val="nil"/>
              <w:bottom w:val="nil"/>
              <w:right w:val="nil"/>
            </w:tcBorders>
            <w:tcMar>
              <w:top w:w="126" w:type="dxa"/>
              <w:left w:w="43" w:type="dxa"/>
              <w:bottom w:w="40" w:type="dxa"/>
              <w:right w:w="43" w:type="dxa"/>
            </w:tcMar>
          </w:tcPr>
          <w:p w14:paraId="2383AD72" w14:textId="77777777" w:rsidR="00972395" w:rsidRPr="00E73D4B" w:rsidRDefault="00F120C7" w:rsidP="00681E28">
            <w:r w:rsidRPr="00E73D4B">
              <w:t>Rapportering om barn etterlatt i utlandet</w:t>
            </w:r>
          </w:p>
        </w:tc>
        <w:tc>
          <w:tcPr>
            <w:tcW w:w="1556" w:type="dxa"/>
            <w:tcBorders>
              <w:top w:val="nil"/>
              <w:left w:val="nil"/>
              <w:bottom w:val="nil"/>
              <w:right w:val="nil"/>
            </w:tcBorders>
            <w:tcMar>
              <w:top w:w="126" w:type="dxa"/>
              <w:left w:w="43" w:type="dxa"/>
              <w:bottom w:w="40" w:type="dxa"/>
              <w:right w:w="43" w:type="dxa"/>
            </w:tcMar>
            <w:vAlign w:val="bottom"/>
          </w:tcPr>
          <w:p w14:paraId="0DA1B633" w14:textId="77777777" w:rsidR="00972395" w:rsidRPr="00E73D4B" w:rsidRDefault="00F120C7" w:rsidP="00E73D4B">
            <w:pPr>
              <w:jc w:val="right"/>
            </w:pPr>
            <w:r w:rsidRPr="00E73D4B">
              <w:t>Nei</w:t>
            </w:r>
          </w:p>
        </w:tc>
      </w:tr>
      <w:tr w:rsidR="00972395" w:rsidRPr="00E73D4B" w14:paraId="6A96411C"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57E81542"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7D846C00" w14:textId="77777777" w:rsidR="00972395" w:rsidRPr="00E73D4B" w:rsidRDefault="00F120C7" w:rsidP="00E73D4B">
            <w:pPr>
              <w:jc w:val="right"/>
            </w:pPr>
            <w:r w:rsidRPr="00E73D4B">
              <w:t>615</w:t>
            </w:r>
          </w:p>
        </w:tc>
        <w:tc>
          <w:tcPr>
            <w:tcW w:w="4965" w:type="dxa"/>
            <w:tcBorders>
              <w:top w:val="nil"/>
              <w:left w:val="nil"/>
              <w:bottom w:val="nil"/>
              <w:right w:val="nil"/>
            </w:tcBorders>
            <w:tcMar>
              <w:top w:w="126" w:type="dxa"/>
              <w:left w:w="43" w:type="dxa"/>
              <w:bottom w:w="40" w:type="dxa"/>
              <w:right w:w="43" w:type="dxa"/>
            </w:tcMar>
          </w:tcPr>
          <w:p w14:paraId="5C3032D6" w14:textId="77777777" w:rsidR="00972395" w:rsidRPr="00E73D4B" w:rsidRDefault="00F120C7" w:rsidP="00681E28">
            <w:r w:rsidRPr="00E73D4B">
              <w:t xml:space="preserve">Pensjonsutvalgets vurderinger </w:t>
            </w:r>
          </w:p>
        </w:tc>
        <w:tc>
          <w:tcPr>
            <w:tcW w:w="1556" w:type="dxa"/>
            <w:tcBorders>
              <w:top w:val="nil"/>
              <w:left w:val="nil"/>
              <w:bottom w:val="nil"/>
              <w:right w:val="nil"/>
            </w:tcBorders>
            <w:tcMar>
              <w:top w:w="126" w:type="dxa"/>
              <w:left w:w="43" w:type="dxa"/>
              <w:bottom w:w="40" w:type="dxa"/>
              <w:right w:w="43" w:type="dxa"/>
            </w:tcMar>
            <w:vAlign w:val="bottom"/>
          </w:tcPr>
          <w:p w14:paraId="401B18E1" w14:textId="77777777" w:rsidR="00972395" w:rsidRPr="00E73D4B" w:rsidRDefault="00F120C7" w:rsidP="00E73D4B">
            <w:pPr>
              <w:jc w:val="right"/>
            </w:pPr>
            <w:r w:rsidRPr="00E73D4B">
              <w:t>Nei</w:t>
            </w:r>
          </w:p>
        </w:tc>
      </w:tr>
      <w:tr w:rsidR="00972395" w:rsidRPr="00E73D4B" w14:paraId="09FB3ABF"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214CB30E"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167DD86F" w14:textId="77777777" w:rsidR="00972395" w:rsidRPr="00E73D4B" w:rsidRDefault="00F120C7" w:rsidP="00E73D4B">
            <w:pPr>
              <w:jc w:val="right"/>
            </w:pPr>
            <w:r w:rsidRPr="00E73D4B">
              <w:t>618</w:t>
            </w:r>
          </w:p>
        </w:tc>
        <w:tc>
          <w:tcPr>
            <w:tcW w:w="4965" w:type="dxa"/>
            <w:tcBorders>
              <w:top w:val="nil"/>
              <w:left w:val="nil"/>
              <w:bottom w:val="nil"/>
              <w:right w:val="nil"/>
            </w:tcBorders>
            <w:tcMar>
              <w:top w:w="126" w:type="dxa"/>
              <w:left w:w="43" w:type="dxa"/>
              <w:bottom w:w="40" w:type="dxa"/>
              <w:right w:w="43" w:type="dxa"/>
            </w:tcMar>
          </w:tcPr>
          <w:p w14:paraId="74E4E493" w14:textId="77777777" w:rsidR="00972395" w:rsidRPr="00E73D4B" w:rsidRDefault="00F120C7" w:rsidP="00681E28">
            <w:proofErr w:type="spellStart"/>
            <w:r w:rsidRPr="00E73D4B">
              <w:t>Regelfesting</w:t>
            </w:r>
            <w:proofErr w:type="spellEnd"/>
            <w:r w:rsidRPr="00E73D4B">
              <w:t xml:space="preserve"> i forbindelse med de årlige trygdeoppgjørene</w:t>
            </w:r>
          </w:p>
        </w:tc>
        <w:tc>
          <w:tcPr>
            <w:tcW w:w="1556" w:type="dxa"/>
            <w:tcBorders>
              <w:top w:val="nil"/>
              <w:left w:val="nil"/>
              <w:bottom w:val="nil"/>
              <w:right w:val="nil"/>
            </w:tcBorders>
            <w:tcMar>
              <w:top w:w="126" w:type="dxa"/>
              <w:left w:w="43" w:type="dxa"/>
              <w:bottom w:w="40" w:type="dxa"/>
              <w:right w:w="43" w:type="dxa"/>
            </w:tcMar>
            <w:vAlign w:val="bottom"/>
          </w:tcPr>
          <w:p w14:paraId="0C21DBD5" w14:textId="77777777" w:rsidR="00972395" w:rsidRPr="00E73D4B" w:rsidRDefault="00F120C7" w:rsidP="00E73D4B">
            <w:pPr>
              <w:jc w:val="right"/>
            </w:pPr>
            <w:r w:rsidRPr="00E73D4B">
              <w:t>Ja</w:t>
            </w:r>
          </w:p>
        </w:tc>
      </w:tr>
      <w:tr w:rsidR="00972395" w:rsidRPr="00E73D4B" w14:paraId="7B2130A8"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060965FE"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319A6205" w14:textId="77777777" w:rsidR="00972395" w:rsidRPr="00E73D4B" w:rsidRDefault="00F120C7" w:rsidP="00E73D4B">
            <w:pPr>
              <w:jc w:val="right"/>
            </w:pPr>
            <w:r w:rsidRPr="00E73D4B">
              <w:t>622</w:t>
            </w:r>
          </w:p>
        </w:tc>
        <w:tc>
          <w:tcPr>
            <w:tcW w:w="4965" w:type="dxa"/>
            <w:tcBorders>
              <w:top w:val="nil"/>
              <w:left w:val="nil"/>
              <w:bottom w:val="nil"/>
              <w:right w:val="nil"/>
            </w:tcBorders>
            <w:tcMar>
              <w:top w:w="126" w:type="dxa"/>
              <w:left w:w="43" w:type="dxa"/>
              <w:bottom w:w="40" w:type="dxa"/>
              <w:right w:w="43" w:type="dxa"/>
            </w:tcMar>
          </w:tcPr>
          <w:p w14:paraId="0AAF1BC2" w14:textId="77777777" w:rsidR="00972395" w:rsidRPr="00E73D4B" w:rsidRDefault="00F120C7" w:rsidP="00681E28">
            <w:r w:rsidRPr="00E73D4B">
              <w:t>Regulere løpende pensjoner</w:t>
            </w:r>
          </w:p>
        </w:tc>
        <w:tc>
          <w:tcPr>
            <w:tcW w:w="1556" w:type="dxa"/>
            <w:tcBorders>
              <w:top w:val="nil"/>
              <w:left w:val="nil"/>
              <w:bottom w:val="nil"/>
              <w:right w:val="nil"/>
            </w:tcBorders>
            <w:tcMar>
              <w:top w:w="126" w:type="dxa"/>
              <w:left w:w="43" w:type="dxa"/>
              <w:bottom w:w="40" w:type="dxa"/>
              <w:right w:w="43" w:type="dxa"/>
            </w:tcMar>
            <w:vAlign w:val="bottom"/>
          </w:tcPr>
          <w:p w14:paraId="7AC88EF4" w14:textId="77777777" w:rsidR="00972395" w:rsidRPr="00E73D4B" w:rsidRDefault="00F120C7" w:rsidP="00E73D4B">
            <w:pPr>
              <w:jc w:val="right"/>
            </w:pPr>
            <w:r w:rsidRPr="00E73D4B">
              <w:t>Ja</w:t>
            </w:r>
          </w:p>
        </w:tc>
      </w:tr>
      <w:tr w:rsidR="00972395" w:rsidRPr="00E73D4B" w14:paraId="0F45C6A9"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43548D59"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1DBF73F7" w14:textId="77777777" w:rsidR="00972395" w:rsidRPr="00E73D4B" w:rsidRDefault="00F120C7" w:rsidP="00E73D4B">
            <w:pPr>
              <w:jc w:val="right"/>
            </w:pPr>
            <w:r w:rsidRPr="00E73D4B">
              <w:t>624</w:t>
            </w:r>
          </w:p>
        </w:tc>
        <w:tc>
          <w:tcPr>
            <w:tcW w:w="4965" w:type="dxa"/>
            <w:tcBorders>
              <w:top w:val="nil"/>
              <w:left w:val="nil"/>
              <w:bottom w:val="nil"/>
              <w:right w:val="nil"/>
            </w:tcBorders>
            <w:tcMar>
              <w:top w:w="126" w:type="dxa"/>
              <w:left w:w="43" w:type="dxa"/>
              <w:bottom w:w="40" w:type="dxa"/>
              <w:right w:w="43" w:type="dxa"/>
            </w:tcMar>
          </w:tcPr>
          <w:p w14:paraId="54D07C08" w14:textId="77777777" w:rsidR="00972395" w:rsidRPr="00E73D4B" w:rsidRDefault="00F120C7" w:rsidP="00681E28">
            <w:proofErr w:type="spellStart"/>
            <w:r w:rsidRPr="00E73D4B">
              <w:t>Kvartalsvise</w:t>
            </w:r>
            <w:proofErr w:type="spellEnd"/>
            <w:r w:rsidRPr="00E73D4B">
              <w:t xml:space="preserve"> møter mellom regjeringen og pensjonistorganisasjonene</w:t>
            </w:r>
          </w:p>
        </w:tc>
        <w:tc>
          <w:tcPr>
            <w:tcW w:w="1556" w:type="dxa"/>
            <w:tcBorders>
              <w:top w:val="nil"/>
              <w:left w:val="nil"/>
              <w:bottom w:val="nil"/>
              <w:right w:val="nil"/>
            </w:tcBorders>
            <w:tcMar>
              <w:top w:w="126" w:type="dxa"/>
              <w:left w:w="43" w:type="dxa"/>
              <w:bottom w:w="40" w:type="dxa"/>
              <w:right w:w="43" w:type="dxa"/>
            </w:tcMar>
            <w:vAlign w:val="bottom"/>
          </w:tcPr>
          <w:p w14:paraId="5D332CAD" w14:textId="77777777" w:rsidR="00972395" w:rsidRPr="00E73D4B" w:rsidRDefault="00F120C7" w:rsidP="00E73D4B">
            <w:pPr>
              <w:jc w:val="right"/>
            </w:pPr>
            <w:r w:rsidRPr="00E73D4B">
              <w:t>Ja</w:t>
            </w:r>
          </w:p>
        </w:tc>
      </w:tr>
      <w:tr w:rsidR="00972395" w:rsidRPr="00E73D4B" w14:paraId="4028C448"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02E304C2"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5A3A4544" w14:textId="77777777" w:rsidR="00972395" w:rsidRPr="00E73D4B" w:rsidRDefault="00F120C7" w:rsidP="00E73D4B">
            <w:pPr>
              <w:jc w:val="right"/>
            </w:pPr>
            <w:r w:rsidRPr="00E73D4B">
              <w:t>686</w:t>
            </w:r>
          </w:p>
        </w:tc>
        <w:tc>
          <w:tcPr>
            <w:tcW w:w="4965" w:type="dxa"/>
            <w:tcBorders>
              <w:top w:val="nil"/>
              <w:left w:val="nil"/>
              <w:bottom w:val="nil"/>
              <w:right w:val="nil"/>
            </w:tcBorders>
            <w:tcMar>
              <w:top w:w="126" w:type="dxa"/>
              <w:left w:w="43" w:type="dxa"/>
              <w:bottom w:w="40" w:type="dxa"/>
              <w:right w:w="43" w:type="dxa"/>
            </w:tcMar>
          </w:tcPr>
          <w:p w14:paraId="088023CA" w14:textId="77777777" w:rsidR="00972395" w:rsidRPr="00E73D4B" w:rsidRDefault="00F120C7" w:rsidP="00681E28">
            <w:r w:rsidRPr="00E73D4B">
              <w:t>Studenter i utlandet kan ha deltidsjobb uten å miste medlemskap i folketrygden</w:t>
            </w:r>
          </w:p>
        </w:tc>
        <w:tc>
          <w:tcPr>
            <w:tcW w:w="1556" w:type="dxa"/>
            <w:tcBorders>
              <w:top w:val="nil"/>
              <w:left w:val="nil"/>
              <w:bottom w:val="nil"/>
              <w:right w:val="nil"/>
            </w:tcBorders>
            <w:tcMar>
              <w:top w:w="126" w:type="dxa"/>
              <w:left w:w="43" w:type="dxa"/>
              <w:bottom w:w="40" w:type="dxa"/>
              <w:right w:w="43" w:type="dxa"/>
            </w:tcMar>
            <w:vAlign w:val="bottom"/>
          </w:tcPr>
          <w:p w14:paraId="36E9BDF2" w14:textId="77777777" w:rsidR="00972395" w:rsidRPr="00E73D4B" w:rsidRDefault="00F120C7" w:rsidP="00E73D4B">
            <w:pPr>
              <w:jc w:val="right"/>
            </w:pPr>
            <w:r w:rsidRPr="00E73D4B">
              <w:t>Nei</w:t>
            </w:r>
          </w:p>
        </w:tc>
      </w:tr>
      <w:tr w:rsidR="00972395" w:rsidRPr="00E73D4B" w14:paraId="781111C4"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76FED00D"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28807105" w14:textId="77777777" w:rsidR="00972395" w:rsidRPr="00E73D4B" w:rsidRDefault="00F120C7" w:rsidP="00E73D4B">
            <w:pPr>
              <w:jc w:val="right"/>
            </w:pPr>
            <w:r w:rsidRPr="00E73D4B">
              <w:t>770</w:t>
            </w:r>
          </w:p>
        </w:tc>
        <w:tc>
          <w:tcPr>
            <w:tcW w:w="4965" w:type="dxa"/>
            <w:tcBorders>
              <w:top w:val="nil"/>
              <w:left w:val="nil"/>
              <w:bottom w:val="nil"/>
              <w:right w:val="nil"/>
            </w:tcBorders>
            <w:tcMar>
              <w:top w:w="126" w:type="dxa"/>
              <w:left w:w="43" w:type="dxa"/>
              <w:bottom w:w="40" w:type="dxa"/>
              <w:right w:w="43" w:type="dxa"/>
            </w:tcMar>
          </w:tcPr>
          <w:p w14:paraId="627C8EAD" w14:textId="77777777" w:rsidR="00972395" w:rsidRPr="00E73D4B" w:rsidRDefault="00F120C7" w:rsidP="00681E28">
            <w:r w:rsidRPr="00E73D4B">
              <w:t>Endringer i arbeidsmiljøloven for yrkesdykking og losing, bestemmelser og rettigheter om sykepenger</w:t>
            </w:r>
          </w:p>
        </w:tc>
        <w:tc>
          <w:tcPr>
            <w:tcW w:w="1556" w:type="dxa"/>
            <w:tcBorders>
              <w:top w:val="nil"/>
              <w:left w:val="nil"/>
              <w:bottom w:val="nil"/>
              <w:right w:val="nil"/>
            </w:tcBorders>
            <w:tcMar>
              <w:top w:w="126" w:type="dxa"/>
              <w:left w:w="43" w:type="dxa"/>
              <w:bottom w:w="40" w:type="dxa"/>
              <w:right w:w="43" w:type="dxa"/>
            </w:tcMar>
            <w:vAlign w:val="bottom"/>
          </w:tcPr>
          <w:p w14:paraId="5F7A7616" w14:textId="77777777" w:rsidR="00972395" w:rsidRPr="00E73D4B" w:rsidRDefault="00F120C7" w:rsidP="00E73D4B">
            <w:pPr>
              <w:jc w:val="right"/>
            </w:pPr>
            <w:r w:rsidRPr="00E73D4B">
              <w:t>Nei</w:t>
            </w:r>
          </w:p>
        </w:tc>
      </w:tr>
      <w:tr w:rsidR="00972395" w:rsidRPr="00E73D4B" w14:paraId="4DFF89CB" w14:textId="77777777" w:rsidTr="00681E28">
        <w:trPr>
          <w:trHeight w:val="880"/>
        </w:trPr>
        <w:tc>
          <w:tcPr>
            <w:tcW w:w="1418" w:type="dxa"/>
            <w:tcBorders>
              <w:top w:val="nil"/>
              <w:left w:val="nil"/>
              <w:bottom w:val="nil"/>
              <w:right w:val="nil"/>
            </w:tcBorders>
            <w:tcMar>
              <w:top w:w="126" w:type="dxa"/>
              <w:left w:w="43" w:type="dxa"/>
              <w:bottom w:w="40" w:type="dxa"/>
              <w:right w:w="43" w:type="dxa"/>
            </w:tcMar>
          </w:tcPr>
          <w:p w14:paraId="41E37BFF"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4F18BFC6" w14:textId="77777777" w:rsidR="00972395" w:rsidRPr="00E73D4B" w:rsidRDefault="00F120C7" w:rsidP="00E73D4B">
            <w:pPr>
              <w:jc w:val="right"/>
            </w:pPr>
            <w:r w:rsidRPr="00E73D4B">
              <w:t>771</w:t>
            </w:r>
          </w:p>
        </w:tc>
        <w:tc>
          <w:tcPr>
            <w:tcW w:w="4965" w:type="dxa"/>
            <w:tcBorders>
              <w:top w:val="nil"/>
              <w:left w:val="nil"/>
              <w:bottom w:val="nil"/>
              <w:right w:val="nil"/>
            </w:tcBorders>
            <w:tcMar>
              <w:top w:w="126" w:type="dxa"/>
              <w:left w:w="43" w:type="dxa"/>
              <w:bottom w:w="40" w:type="dxa"/>
              <w:right w:w="43" w:type="dxa"/>
            </w:tcMar>
          </w:tcPr>
          <w:p w14:paraId="0381FC7B" w14:textId="77777777" w:rsidR="00972395" w:rsidRPr="00E73D4B" w:rsidRDefault="00F120C7" w:rsidP="00681E28">
            <w:r w:rsidRPr="00E73D4B">
              <w:t xml:space="preserve">Endringer i arbeidsmiljøloven for yrkesdykking og losing, kapteinens ansvarsforhold, bestemmelser om arbeids- og hviletid </w:t>
            </w:r>
          </w:p>
        </w:tc>
        <w:tc>
          <w:tcPr>
            <w:tcW w:w="1556" w:type="dxa"/>
            <w:tcBorders>
              <w:top w:val="nil"/>
              <w:left w:val="nil"/>
              <w:bottom w:val="nil"/>
              <w:right w:val="nil"/>
            </w:tcBorders>
            <w:tcMar>
              <w:top w:w="126" w:type="dxa"/>
              <w:left w:w="43" w:type="dxa"/>
              <w:bottom w:w="40" w:type="dxa"/>
              <w:right w:w="43" w:type="dxa"/>
            </w:tcMar>
            <w:vAlign w:val="bottom"/>
          </w:tcPr>
          <w:p w14:paraId="2CBF9D3A" w14:textId="77777777" w:rsidR="00972395" w:rsidRPr="00E73D4B" w:rsidRDefault="00F120C7" w:rsidP="00E73D4B">
            <w:pPr>
              <w:jc w:val="right"/>
            </w:pPr>
            <w:r w:rsidRPr="00E73D4B">
              <w:t>Nei</w:t>
            </w:r>
          </w:p>
        </w:tc>
      </w:tr>
      <w:tr w:rsidR="00972395" w:rsidRPr="00E73D4B" w14:paraId="4707B758"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5F5614C6"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0467DC94" w14:textId="77777777" w:rsidR="00972395" w:rsidRPr="00E73D4B" w:rsidRDefault="00F120C7" w:rsidP="00E73D4B">
            <w:pPr>
              <w:jc w:val="right"/>
            </w:pPr>
            <w:r w:rsidRPr="00E73D4B">
              <w:t>772</w:t>
            </w:r>
          </w:p>
        </w:tc>
        <w:tc>
          <w:tcPr>
            <w:tcW w:w="4965" w:type="dxa"/>
            <w:tcBorders>
              <w:top w:val="nil"/>
              <w:left w:val="nil"/>
              <w:bottom w:val="nil"/>
              <w:right w:val="nil"/>
            </w:tcBorders>
            <w:tcMar>
              <w:top w:w="126" w:type="dxa"/>
              <w:left w:w="43" w:type="dxa"/>
              <w:bottom w:w="40" w:type="dxa"/>
              <w:right w:w="43" w:type="dxa"/>
            </w:tcMar>
          </w:tcPr>
          <w:p w14:paraId="1F85DBC8" w14:textId="77777777" w:rsidR="00972395" w:rsidRPr="00E73D4B" w:rsidRDefault="00F120C7" w:rsidP="00681E28">
            <w:r w:rsidRPr="00E73D4B">
              <w:t>Endringer i arbeidsmiljøloven for yrkesdykking og losing, krav til arbeids- og hviletid</w:t>
            </w:r>
          </w:p>
        </w:tc>
        <w:tc>
          <w:tcPr>
            <w:tcW w:w="1556" w:type="dxa"/>
            <w:tcBorders>
              <w:top w:val="nil"/>
              <w:left w:val="nil"/>
              <w:bottom w:val="nil"/>
              <w:right w:val="nil"/>
            </w:tcBorders>
            <w:tcMar>
              <w:top w:w="126" w:type="dxa"/>
              <w:left w:w="43" w:type="dxa"/>
              <w:bottom w:w="40" w:type="dxa"/>
              <w:right w:w="43" w:type="dxa"/>
            </w:tcMar>
            <w:vAlign w:val="bottom"/>
          </w:tcPr>
          <w:p w14:paraId="6D4D3C1B" w14:textId="77777777" w:rsidR="00972395" w:rsidRPr="00E73D4B" w:rsidRDefault="00F120C7" w:rsidP="00E73D4B">
            <w:pPr>
              <w:jc w:val="right"/>
            </w:pPr>
            <w:r w:rsidRPr="00E73D4B">
              <w:t>Nei</w:t>
            </w:r>
          </w:p>
        </w:tc>
      </w:tr>
      <w:tr w:rsidR="00972395" w:rsidRPr="00E73D4B" w14:paraId="2FC207F2"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0E11753A"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4ECAE5C5" w14:textId="77777777" w:rsidR="00972395" w:rsidRPr="00E73D4B" w:rsidRDefault="00F120C7" w:rsidP="00E73D4B">
            <w:pPr>
              <w:jc w:val="right"/>
            </w:pPr>
            <w:r w:rsidRPr="00E73D4B">
              <w:t>773</w:t>
            </w:r>
          </w:p>
        </w:tc>
        <w:tc>
          <w:tcPr>
            <w:tcW w:w="4965" w:type="dxa"/>
            <w:tcBorders>
              <w:top w:val="nil"/>
              <w:left w:val="nil"/>
              <w:bottom w:val="nil"/>
              <w:right w:val="nil"/>
            </w:tcBorders>
            <w:tcMar>
              <w:top w:w="126" w:type="dxa"/>
              <w:left w:w="43" w:type="dxa"/>
              <w:bottom w:w="40" w:type="dxa"/>
              <w:right w:w="43" w:type="dxa"/>
            </w:tcMar>
          </w:tcPr>
          <w:p w14:paraId="58DD9D24" w14:textId="77777777" w:rsidR="00972395" w:rsidRPr="00E73D4B" w:rsidRDefault="00F120C7" w:rsidP="00681E28">
            <w:r w:rsidRPr="00E73D4B">
              <w:t xml:space="preserve">Avklaring av forholdet mellom folketrygdlovens </w:t>
            </w:r>
            <w:proofErr w:type="spellStart"/>
            <w:r w:rsidRPr="00E73D4B">
              <w:t>oppholdskrav</w:t>
            </w:r>
            <w:proofErr w:type="spellEnd"/>
            <w:r w:rsidRPr="00E73D4B">
              <w:t xml:space="preserve"> og trygdeforordning 883/2004</w:t>
            </w:r>
          </w:p>
        </w:tc>
        <w:tc>
          <w:tcPr>
            <w:tcW w:w="1556" w:type="dxa"/>
            <w:tcBorders>
              <w:top w:val="nil"/>
              <w:left w:val="nil"/>
              <w:bottom w:val="nil"/>
              <w:right w:val="nil"/>
            </w:tcBorders>
            <w:tcMar>
              <w:top w:w="126" w:type="dxa"/>
              <w:left w:w="43" w:type="dxa"/>
              <w:bottom w:w="40" w:type="dxa"/>
              <w:right w:w="43" w:type="dxa"/>
            </w:tcMar>
            <w:vAlign w:val="bottom"/>
          </w:tcPr>
          <w:p w14:paraId="48E26178" w14:textId="77777777" w:rsidR="00972395" w:rsidRPr="00E73D4B" w:rsidRDefault="00F120C7" w:rsidP="00E73D4B">
            <w:pPr>
              <w:jc w:val="right"/>
            </w:pPr>
            <w:r w:rsidRPr="00E73D4B">
              <w:t>Ja</w:t>
            </w:r>
          </w:p>
        </w:tc>
      </w:tr>
      <w:tr w:rsidR="00972395" w:rsidRPr="00E73D4B" w14:paraId="3815F2F1"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41B7901A"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3A201056" w14:textId="77777777" w:rsidR="00972395" w:rsidRPr="00E73D4B" w:rsidRDefault="00F120C7" w:rsidP="00E73D4B">
            <w:pPr>
              <w:jc w:val="right"/>
            </w:pPr>
            <w:r w:rsidRPr="00E73D4B">
              <w:t>816</w:t>
            </w:r>
          </w:p>
        </w:tc>
        <w:tc>
          <w:tcPr>
            <w:tcW w:w="4965" w:type="dxa"/>
            <w:tcBorders>
              <w:top w:val="nil"/>
              <w:left w:val="nil"/>
              <w:bottom w:val="nil"/>
              <w:right w:val="nil"/>
            </w:tcBorders>
            <w:tcMar>
              <w:top w:w="126" w:type="dxa"/>
              <w:left w:w="43" w:type="dxa"/>
              <w:bottom w:w="40" w:type="dxa"/>
              <w:right w:w="43" w:type="dxa"/>
            </w:tcMar>
          </w:tcPr>
          <w:p w14:paraId="7B1F7361" w14:textId="77777777" w:rsidR="00972395" w:rsidRPr="00E73D4B" w:rsidRDefault="00F120C7" w:rsidP="00681E28">
            <w:r w:rsidRPr="00E73D4B">
              <w:t>Flere med nedsatt arbeidsevne og tilretteleggingsbehov kan være i arbeid</w:t>
            </w:r>
          </w:p>
        </w:tc>
        <w:tc>
          <w:tcPr>
            <w:tcW w:w="1556" w:type="dxa"/>
            <w:tcBorders>
              <w:top w:val="nil"/>
              <w:left w:val="nil"/>
              <w:bottom w:val="nil"/>
              <w:right w:val="nil"/>
            </w:tcBorders>
            <w:tcMar>
              <w:top w:w="126" w:type="dxa"/>
              <w:left w:w="43" w:type="dxa"/>
              <w:bottom w:w="40" w:type="dxa"/>
              <w:right w:w="43" w:type="dxa"/>
            </w:tcMar>
            <w:vAlign w:val="bottom"/>
          </w:tcPr>
          <w:p w14:paraId="009A3CAA" w14:textId="77777777" w:rsidR="00972395" w:rsidRPr="00E73D4B" w:rsidRDefault="00F120C7" w:rsidP="00E73D4B">
            <w:pPr>
              <w:jc w:val="right"/>
            </w:pPr>
            <w:r w:rsidRPr="00E73D4B">
              <w:t>Ja</w:t>
            </w:r>
          </w:p>
        </w:tc>
      </w:tr>
      <w:tr w:rsidR="00972395" w:rsidRPr="00E73D4B" w14:paraId="4691BC6F" w14:textId="77777777" w:rsidTr="00681E28">
        <w:trPr>
          <w:trHeight w:val="880"/>
        </w:trPr>
        <w:tc>
          <w:tcPr>
            <w:tcW w:w="1418" w:type="dxa"/>
            <w:tcBorders>
              <w:top w:val="nil"/>
              <w:left w:val="nil"/>
              <w:bottom w:val="nil"/>
              <w:right w:val="nil"/>
            </w:tcBorders>
            <w:tcMar>
              <w:top w:w="126" w:type="dxa"/>
              <w:left w:w="43" w:type="dxa"/>
              <w:bottom w:w="40" w:type="dxa"/>
              <w:right w:w="43" w:type="dxa"/>
            </w:tcMar>
          </w:tcPr>
          <w:p w14:paraId="3D15CF55"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08BFD5A3" w14:textId="77777777" w:rsidR="00972395" w:rsidRPr="00E73D4B" w:rsidRDefault="00F120C7" w:rsidP="00E73D4B">
            <w:pPr>
              <w:jc w:val="right"/>
            </w:pPr>
            <w:r w:rsidRPr="00E73D4B">
              <w:t>869</w:t>
            </w:r>
          </w:p>
        </w:tc>
        <w:tc>
          <w:tcPr>
            <w:tcW w:w="4965" w:type="dxa"/>
            <w:tcBorders>
              <w:top w:val="nil"/>
              <w:left w:val="nil"/>
              <w:bottom w:val="nil"/>
              <w:right w:val="nil"/>
            </w:tcBorders>
            <w:tcMar>
              <w:top w:w="126" w:type="dxa"/>
              <w:left w:w="43" w:type="dxa"/>
              <w:bottom w:w="40" w:type="dxa"/>
              <w:right w:w="43" w:type="dxa"/>
            </w:tcMar>
          </w:tcPr>
          <w:p w14:paraId="427374F4" w14:textId="77777777" w:rsidR="00972395" w:rsidRPr="00E73D4B" w:rsidRDefault="00F120C7" w:rsidP="00681E28">
            <w:r w:rsidRPr="00E73D4B">
              <w:t xml:space="preserve">Forenklings- og moderniseringsutvalg som skal gjennomgå og fremme forslag til språklige endringer i arbeidervernlovgivningen </w:t>
            </w:r>
          </w:p>
        </w:tc>
        <w:tc>
          <w:tcPr>
            <w:tcW w:w="1556" w:type="dxa"/>
            <w:tcBorders>
              <w:top w:val="nil"/>
              <w:left w:val="nil"/>
              <w:bottom w:val="nil"/>
              <w:right w:val="nil"/>
            </w:tcBorders>
            <w:tcMar>
              <w:top w:w="126" w:type="dxa"/>
              <w:left w:w="43" w:type="dxa"/>
              <w:bottom w:w="40" w:type="dxa"/>
              <w:right w:w="43" w:type="dxa"/>
            </w:tcMar>
            <w:vAlign w:val="bottom"/>
          </w:tcPr>
          <w:p w14:paraId="625A8AF5" w14:textId="77777777" w:rsidR="00972395" w:rsidRPr="00E73D4B" w:rsidRDefault="00F120C7" w:rsidP="00E73D4B">
            <w:pPr>
              <w:jc w:val="right"/>
            </w:pPr>
            <w:r w:rsidRPr="00E73D4B">
              <w:t>Ja</w:t>
            </w:r>
          </w:p>
        </w:tc>
      </w:tr>
      <w:tr w:rsidR="00972395" w:rsidRPr="00E73D4B" w14:paraId="4B869AFF"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5FF6C996"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19A0627A" w14:textId="77777777" w:rsidR="00972395" w:rsidRPr="00E73D4B" w:rsidRDefault="00F120C7" w:rsidP="00E73D4B">
            <w:pPr>
              <w:jc w:val="right"/>
            </w:pPr>
            <w:r w:rsidRPr="00E73D4B">
              <w:t>906</w:t>
            </w:r>
          </w:p>
        </w:tc>
        <w:tc>
          <w:tcPr>
            <w:tcW w:w="4965" w:type="dxa"/>
            <w:tcBorders>
              <w:top w:val="nil"/>
              <w:left w:val="nil"/>
              <w:bottom w:val="nil"/>
              <w:right w:val="nil"/>
            </w:tcBorders>
            <w:tcMar>
              <w:top w:w="126" w:type="dxa"/>
              <w:left w:w="43" w:type="dxa"/>
              <w:bottom w:w="40" w:type="dxa"/>
              <w:right w:w="43" w:type="dxa"/>
            </w:tcMar>
          </w:tcPr>
          <w:p w14:paraId="38EE93C6" w14:textId="77777777" w:rsidR="00972395" w:rsidRPr="00E73D4B" w:rsidRDefault="00F120C7" w:rsidP="00681E28">
            <w:r w:rsidRPr="00E73D4B">
              <w:t xml:space="preserve">NAV settes i stand til å drive effektiv arbeidsformidling i tett samarbeid med arbeidsgivere </w:t>
            </w:r>
          </w:p>
        </w:tc>
        <w:tc>
          <w:tcPr>
            <w:tcW w:w="1556" w:type="dxa"/>
            <w:tcBorders>
              <w:top w:val="nil"/>
              <w:left w:val="nil"/>
              <w:bottom w:val="nil"/>
              <w:right w:val="nil"/>
            </w:tcBorders>
            <w:tcMar>
              <w:top w:w="126" w:type="dxa"/>
              <w:left w:w="43" w:type="dxa"/>
              <w:bottom w:w="40" w:type="dxa"/>
              <w:right w:w="43" w:type="dxa"/>
            </w:tcMar>
            <w:vAlign w:val="bottom"/>
          </w:tcPr>
          <w:p w14:paraId="33A7E846" w14:textId="77777777" w:rsidR="00972395" w:rsidRPr="00E73D4B" w:rsidRDefault="00F120C7" w:rsidP="00E73D4B">
            <w:pPr>
              <w:jc w:val="right"/>
            </w:pPr>
            <w:r w:rsidRPr="00E73D4B">
              <w:t>Ja</w:t>
            </w:r>
          </w:p>
        </w:tc>
      </w:tr>
      <w:tr w:rsidR="00972395" w:rsidRPr="00E73D4B" w14:paraId="4D152E37"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05F5131D"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25EAF749" w14:textId="77777777" w:rsidR="00972395" w:rsidRPr="00E73D4B" w:rsidRDefault="00F120C7" w:rsidP="00E73D4B">
            <w:pPr>
              <w:jc w:val="right"/>
            </w:pPr>
            <w:r w:rsidRPr="00E73D4B">
              <w:t>907</w:t>
            </w:r>
          </w:p>
        </w:tc>
        <w:tc>
          <w:tcPr>
            <w:tcW w:w="4965" w:type="dxa"/>
            <w:tcBorders>
              <w:top w:val="nil"/>
              <w:left w:val="nil"/>
              <w:bottom w:val="nil"/>
              <w:right w:val="nil"/>
            </w:tcBorders>
            <w:tcMar>
              <w:top w:w="126" w:type="dxa"/>
              <w:left w:w="43" w:type="dxa"/>
              <w:bottom w:w="40" w:type="dxa"/>
              <w:right w:w="43" w:type="dxa"/>
            </w:tcMar>
          </w:tcPr>
          <w:p w14:paraId="421D6464" w14:textId="77777777" w:rsidR="00972395" w:rsidRPr="00E73D4B" w:rsidRDefault="00F120C7" w:rsidP="00681E28">
            <w:r w:rsidRPr="00E73D4B">
              <w:t>Tilbud til dem som trenger varig tilrettelagt arbeid (VTA), opptrappingsplan for VTA-plasser</w:t>
            </w:r>
          </w:p>
        </w:tc>
        <w:tc>
          <w:tcPr>
            <w:tcW w:w="1556" w:type="dxa"/>
            <w:tcBorders>
              <w:top w:val="nil"/>
              <w:left w:val="nil"/>
              <w:bottom w:val="nil"/>
              <w:right w:val="nil"/>
            </w:tcBorders>
            <w:tcMar>
              <w:top w:w="126" w:type="dxa"/>
              <w:left w:w="43" w:type="dxa"/>
              <w:bottom w:w="40" w:type="dxa"/>
              <w:right w:w="43" w:type="dxa"/>
            </w:tcMar>
            <w:vAlign w:val="bottom"/>
          </w:tcPr>
          <w:p w14:paraId="7CA124FE" w14:textId="77777777" w:rsidR="00972395" w:rsidRPr="00E73D4B" w:rsidRDefault="00F120C7" w:rsidP="00E73D4B">
            <w:pPr>
              <w:jc w:val="right"/>
            </w:pPr>
            <w:r w:rsidRPr="00E73D4B">
              <w:t>Ja</w:t>
            </w:r>
          </w:p>
        </w:tc>
      </w:tr>
      <w:tr w:rsidR="00972395" w:rsidRPr="00E73D4B" w14:paraId="50332328"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409ADD41"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1026E853" w14:textId="77777777" w:rsidR="00972395" w:rsidRPr="00E73D4B" w:rsidRDefault="00F120C7" w:rsidP="00E73D4B">
            <w:pPr>
              <w:jc w:val="right"/>
            </w:pPr>
            <w:r w:rsidRPr="00E73D4B">
              <w:t>908</w:t>
            </w:r>
          </w:p>
        </w:tc>
        <w:tc>
          <w:tcPr>
            <w:tcW w:w="4965" w:type="dxa"/>
            <w:tcBorders>
              <w:top w:val="nil"/>
              <w:left w:val="nil"/>
              <w:bottom w:val="nil"/>
              <w:right w:val="nil"/>
            </w:tcBorders>
            <w:tcMar>
              <w:top w:w="126" w:type="dxa"/>
              <w:left w:w="43" w:type="dxa"/>
              <w:bottom w:w="40" w:type="dxa"/>
              <w:right w:w="43" w:type="dxa"/>
            </w:tcMar>
          </w:tcPr>
          <w:p w14:paraId="3FAB663C" w14:textId="77777777" w:rsidR="00972395" w:rsidRPr="00E73D4B" w:rsidRDefault="00F120C7" w:rsidP="00681E28">
            <w:r w:rsidRPr="00E73D4B">
              <w:t>Samordning av tjenestene i helsesektoren, NAV og utdanningssystemet</w:t>
            </w:r>
          </w:p>
        </w:tc>
        <w:tc>
          <w:tcPr>
            <w:tcW w:w="1556" w:type="dxa"/>
            <w:tcBorders>
              <w:top w:val="nil"/>
              <w:left w:val="nil"/>
              <w:bottom w:val="nil"/>
              <w:right w:val="nil"/>
            </w:tcBorders>
            <w:tcMar>
              <w:top w:w="126" w:type="dxa"/>
              <w:left w:w="43" w:type="dxa"/>
              <w:bottom w:w="40" w:type="dxa"/>
              <w:right w:w="43" w:type="dxa"/>
            </w:tcMar>
            <w:vAlign w:val="bottom"/>
          </w:tcPr>
          <w:p w14:paraId="2D7DDA79" w14:textId="77777777" w:rsidR="00972395" w:rsidRPr="00E73D4B" w:rsidRDefault="00F120C7" w:rsidP="00E73D4B">
            <w:pPr>
              <w:jc w:val="right"/>
            </w:pPr>
            <w:r w:rsidRPr="00E73D4B">
              <w:t>Ja</w:t>
            </w:r>
          </w:p>
        </w:tc>
      </w:tr>
      <w:tr w:rsidR="00972395" w:rsidRPr="00E73D4B" w14:paraId="764E0E25"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54D88F25"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12F86193" w14:textId="77777777" w:rsidR="00972395" w:rsidRPr="00E73D4B" w:rsidRDefault="00F120C7" w:rsidP="00E73D4B">
            <w:pPr>
              <w:jc w:val="right"/>
            </w:pPr>
            <w:r w:rsidRPr="00E73D4B">
              <w:t>909</w:t>
            </w:r>
          </w:p>
        </w:tc>
        <w:tc>
          <w:tcPr>
            <w:tcW w:w="4965" w:type="dxa"/>
            <w:tcBorders>
              <w:top w:val="nil"/>
              <w:left w:val="nil"/>
              <w:bottom w:val="nil"/>
              <w:right w:val="nil"/>
            </w:tcBorders>
            <w:tcMar>
              <w:top w:w="126" w:type="dxa"/>
              <w:left w:w="43" w:type="dxa"/>
              <w:bottom w:w="40" w:type="dxa"/>
              <w:right w:w="43" w:type="dxa"/>
            </w:tcMar>
          </w:tcPr>
          <w:p w14:paraId="5DC403CA" w14:textId="77777777" w:rsidR="00972395" w:rsidRPr="00E73D4B" w:rsidRDefault="00F120C7" w:rsidP="00681E28">
            <w:r w:rsidRPr="00E73D4B">
              <w:t>Nasjonale retningslinjer som sørger for at de svakeste brukerne er sikret et tilgjengelig og åpent NAV</w:t>
            </w:r>
          </w:p>
        </w:tc>
        <w:tc>
          <w:tcPr>
            <w:tcW w:w="1556" w:type="dxa"/>
            <w:tcBorders>
              <w:top w:val="nil"/>
              <w:left w:val="nil"/>
              <w:bottom w:val="nil"/>
              <w:right w:val="nil"/>
            </w:tcBorders>
            <w:tcMar>
              <w:top w:w="126" w:type="dxa"/>
              <w:left w:w="43" w:type="dxa"/>
              <w:bottom w:w="40" w:type="dxa"/>
              <w:right w:w="43" w:type="dxa"/>
            </w:tcMar>
            <w:vAlign w:val="bottom"/>
          </w:tcPr>
          <w:p w14:paraId="43D24FD9" w14:textId="77777777" w:rsidR="00972395" w:rsidRPr="00E73D4B" w:rsidRDefault="00F120C7" w:rsidP="00E73D4B">
            <w:pPr>
              <w:jc w:val="right"/>
            </w:pPr>
            <w:r w:rsidRPr="00E73D4B">
              <w:t>Ja</w:t>
            </w:r>
          </w:p>
        </w:tc>
      </w:tr>
      <w:tr w:rsidR="00972395" w:rsidRPr="00E73D4B" w14:paraId="200AA8D7"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2B81AB3C"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2892F823" w14:textId="77777777" w:rsidR="00972395" w:rsidRPr="00E73D4B" w:rsidRDefault="00F120C7" w:rsidP="00E73D4B">
            <w:pPr>
              <w:jc w:val="right"/>
            </w:pPr>
            <w:r w:rsidRPr="00E73D4B">
              <w:t>911</w:t>
            </w:r>
          </w:p>
        </w:tc>
        <w:tc>
          <w:tcPr>
            <w:tcW w:w="4965" w:type="dxa"/>
            <w:tcBorders>
              <w:top w:val="nil"/>
              <w:left w:val="nil"/>
              <w:bottom w:val="nil"/>
              <w:right w:val="nil"/>
            </w:tcBorders>
            <w:tcMar>
              <w:top w:w="126" w:type="dxa"/>
              <w:left w:w="43" w:type="dxa"/>
              <w:bottom w:w="40" w:type="dxa"/>
              <w:right w:w="43" w:type="dxa"/>
            </w:tcMar>
          </w:tcPr>
          <w:p w14:paraId="29461A4D" w14:textId="77777777" w:rsidR="00972395" w:rsidRPr="00E73D4B" w:rsidRDefault="00F120C7" w:rsidP="00681E28">
            <w:r w:rsidRPr="00E73D4B">
              <w:t>Forenkling av yrkesskadereglene</w:t>
            </w:r>
          </w:p>
        </w:tc>
        <w:tc>
          <w:tcPr>
            <w:tcW w:w="1556" w:type="dxa"/>
            <w:tcBorders>
              <w:top w:val="nil"/>
              <w:left w:val="nil"/>
              <w:bottom w:val="nil"/>
              <w:right w:val="nil"/>
            </w:tcBorders>
            <w:tcMar>
              <w:top w:w="126" w:type="dxa"/>
              <w:left w:w="43" w:type="dxa"/>
              <w:bottom w:w="40" w:type="dxa"/>
              <w:right w:w="43" w:type="dxa"/>
            </w:tcMar>
            <w:vAlign w:val="bottom"/>
          </w:tcPr>
          <w:p w14:paraId="016BCFAC" w14:textId="77777777" w:rsidR="00972395" w:rsidRPr="00E73D4B" w:rsidRDefault="00F120C7" w:rsidP="00E73D4B">
            <w:pPr>
              <w:jc w:val="right"/>
            </w:pPr>
            <w:r w:rsidRPr="00E73D4B">
              <w:t>Nei</w:t>
            </w:r>
          </w:p>
        </w:tc>
      </w:tr>
      <w:tr w:rsidR="00972395" w:rsidRPr="00E73D4B" w14:paraId="589D3F12"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53FC1227"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0851438A" w14:textId="77777777" w:rsidR="00972395" w:rsidRPr="00E73D4B" w:rsidRDefault="00F120C7" w:rsidP="00E73D4B">
            <w:pPr>
              <w:jc w:val="right"/>
            </w:pPr>
            <w:r w:rsidRPr="00E73D4B">
              <w:t>930</w:t>
            </w:r>
          </w:p>
        </w:tc>
        <w:tc>
          <w:tcPr>
            <w:tcW w:w="4965" w:type="dxa"/>
            <w:tcBorders>
              <w:top w:val="nil"/>
              <w:left w:val="nil"/>
              <w:bottom w:val="nil"/>
              <w:right w:val="nil"/>
            </w:tcBorders>
            <w:tcMar>
              <w:top w:w="126" w:type="dxa"/>
              <w:left w:w="43" w:type="dxa"/>
              <w:bottom w:w="40" w:type="dxa"/>
              <w:right w:w="43" w:type="dxa"/>
            </w:tcMar>
          </w:tcPr>
          <w:p w14:paraId="3098CD5D" w14:textId="77777777" w:rsidR="00972395" w:rsidRPr="00E73D4B" w:rsidRDefault="00F120C7" w:rsidP="00681E28">
            <w:r w:rsidRPr="00E73D4B">
              <w:t>NAV-ombud</w:t>
            </w:r>
          </w:p>
        </w:tc>
        <w:tc>
          <w:tcPr>
            <w:tcW w:w="1556" w:type="dxa"/>
            <w:tcBorders>
              <w:top w:val="nil"/>
              <w:left w:val="nil"/>
              <w:bottom w:val="nil"/>
              <w:right w:val="nil"/>
            </w:tcBorders>
            <w:tcMar>
              <w:top w:w="126" w:type="dxa"/>
              <w:left w:w="43" w:type="dxa"/>
              <w:bottom w:w="40" w:type="dxa"/>
              <w:right w:w="43" w:type="dxa"/>
            </w:tcMar>
            <w:vAlign w:val="bottom"/>
          </w:tcPr>
          <w:p w14:paraId="710B4685" w14:textId="77777777" w:rsidR="00972395" w:rsidRPr="00E73D4B" w:rsidRDefault="00F120C7" w:rsidP="00E73D4B">
            <w:pPr>
              <w:jc w:val="right"/>
            </w:pPr>
            <w:r w:rsidRPr="00E73D4B">
              <w:t>Nei</w:t>
            </w:r>
          </w:p>
        </w:tc>
      </w:tr>
      <w:tr w:rsidR="00972395" w:rsidRPr="00E73D4B" w14:paraId="06AA2084" w14:textId="77777777" w:rsidTr="00681E28">
        <w:trPr>
          <w:trHeight w:val="880"/>
        </w:trPr>
        <w:tc>
          <w:tcPr>
            <w:tcW w:w="1418" w:type="dxa"/>
            <w:tcBorders>
              <w:top w:val="nil"/>
              <w:left w:val="nil"/>
              <w:bottom w:val="nil"/>
              <w:right w:val="nil"/>
            </w:tcBorders>
            <w:tcMar>
              <w:top w:w="126" w:type="dxa"/>
              <w:left w:w="43" w:type="dxa"/>
              <w:bottom w:w="40" w:type="dxa"/>
              <w:right w:w="43" w:type="dxa"/>
            </w:tcMar>
          </w:tcPr>
          <w:p w14:paraId="23897EF7"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6CD89302" w14:textId="77777777" w:rsidR="00972395" w:rsidRPr="00E73D4B" w:rsidRDefault="00F120C7" w:rsidP="00E73D4B">
            <w:pPr>
              <w:jc w:val="right"/>
            </w:pPr>
            <w:r w:rsidRPr="00E73D4B">
              <w:t>1149</w:t>
            </w:r>
          </w:p>
        </w:tc>
        <w:tc>
          <w:tcPr>
            <w:tcW w:w="4965" w:type="dxa"/>
            <w:tcBorders>
              <w:top w:val="nil"/>
              <w:left w:val="nil"/>
              <w:bottom w:val="nil"/>
              <w:right w:val="nil"/>
            </w:tcBorders>
            <w:tcMar>
              <w:top w:w="126" w:type="dxa"/>
              <w:left w:w="43" w:type="dxa"/>
              <w:bottom w:w="40" w:type="dxa"/>
              <w:right w:w="43" w:type="dxa"/>
            </w:tcMar>
          </w:tcPr>
          <w:p w14:paraId="4B8CA64B" w14:textId="77777777" w:rsidR="00972395" w:rsidRPr="00E73D4B" w:rsidRDefault="00F120C7" w:rsidP="00681E28">
            <w:r w:rsidRPr="00E73D4B">
              <w:t>Endringer i arbeidsmiljøloven, tilfeldig uttrekk av meddommere fra hvert av de særskilt arbeidslivskyndige utvalgene</w:t>
            </w:r>
          </w:p>
        </w:tc>
        <w:tc>
          <w:tcPr>
            <w:tcW w:w="1556" w:type="dxa"/>
            <w:tcBorders>
              <w:top w:val="nil"/>
              <w:left w:val="nil"/>
              <w:bottom w:val="nil"/>
              <w:right w:val="nil"/>
            </w:tcBorders>
            <w:tcMar>
              <w:top w:w="126" w:type="dxa"/>
              <w:left w:w="43" w:type="dxa"/>
              <w:bottom w:w="40" w:type="dxa"/>
              <w:right w:w="43" w:type="dxa"/>
            </w:tcMar>
            <w:vAlign w:val="bottom"/>
          </w:tcPr>
          <w:p w14:paraId="6DD45ABE" w14:textId="77777777" w:rsidR="00972395" w:rsidRPr="00E73D4B" w:rsidRDefault="00F120C7" w:rsidP="00E73D4B">
            <w:pPr>
              <w:jc w:val="right"/>
            </w:pPr>
            <w:r w:rsidRPr="00E73D4B">
              <w:t>Nei</w:t>
            </w:r>
          </w:p>
        </w:tc>
      </w:tr>
      <w:tr w:rsidR="00972395" w:rsidRPr="00E73D4B" w14:paraId="2AF411F4"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47AE143C"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7C4B290B" w14:textId="77777777" w:rsidR="00972395" w:rsidRPr="00E73D4B" w:rsidRDefault="00F120C7" w:rsidP="00E73D4B">
            <w:pPr>
              <w:jc w:val="right"/>
            </w:pPr>
            <w:r w:rsidRPr="00E73D4B">
              <w:t>1200</w:t>
            </w:r>
          </w:p>
        </w:tc>
        <w:tc>
          <w:tcPr>
            <w:tcW w:w="4965" w:type="dxa"/>
            <w:tcBorders>
              <w:top w:val="nil"/>
              <w:left w:val="nil"/>
              <w:bottom w:val="nil"/>
              <w:right w:val="nil"/>
            </w:tcBorders>
            <w:tcMar>
              <w:top w:w="126" w:type="dxa"/>
              <w:left w:w="43" w:type="dxa"/>
              <w:bottom w:w="40" w:type="dxa"/>
              <w:right w:w="43" w:type="dxa"/>
            </w:tcMar>
          </w:tcPr>
          <w:p w14:paraId="6A7296BC" w14:textId="77777777" w:rsidR="00972395" w:rsidRPr="00E73D4B" w:rsidRDefault="00F120C7" w:rsidP="00681E28">
            <w:proofErr w:type="spellStart"/>
            <w:r w:rsidRPr="00E73D4B">
              <w:t>Avkorting</w:t>
            </w:r>
            <w:proofErr w:type="spellEnd"/>
            <w:r w:rsidRPr="00E73D4B">
              <w:t xml:space="preserve"> i uføretrygd for fosterforeldre </w:t>
            </w:r>
          </w:p>
        </w:tc>
        <w:tc>
          <w:tcPr>
            <w:tcW w:w="1556" w:type="dxa"/>
            <w:tcBorders>
              <w:top w:val="nil"/>
              <w:left w:val="nil"/>
              <w:bottom w:val="nil"/>
              <w:right w:val="nil"/>
            </w:tcBorders>
            <w:tcMar>
              <w:top w:w="126" w:type="dxa"/>
              <w:left w:w="43" w:type="dxa"/>
              <w:bottom w:w="40" w:type="dxa"/>
              <w:right w:w="43" w:type="dxa"/>
            </w:tcMar>
            <w:vAlign w:val="bottom"/>
          </w:tcPr>
          <w:p w14:paraId="490DA15C" w14:textId="77777777" w:rsidR="00972395" w:rsidRPr="00E73D4B" w:rsidRDefault="00F120C7" w:rsidP="00E73D4B">
            <w:pPr>
              <w:jc w:val="right"/>
            </w:pPr>
            <w:r w:rsidRPr="00E73D4B">
              <w:t>Nei</w:t>
            </w:r>
          </w:p>
        </w:tc>
      </w:tr>
      <w:tr w:rsidR="00972395" w:rsidRPr="00E73D4B" w14:paraId="31D9EFAF"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706174B6"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65C7575C" w14:textId="77777777" w:rsidR="00972395" w:rsidRPr="00E73D4B" w:rsidRDefault="00F120C7" w:rsidP="00E73D4B">
            <w:pPr>
              <w:jc w:val="right"/>
            </w:pPr>
            <w:r w:rsidRPr="00E73D4B">
              <w:t>1219</w:t>
            </w:r>
          </w:p>
        </w:tc>
        <w:tc>
          <w:tcPr>
            <w:tcW w:w="4965" w:type="dxa"/>
            <w:tcBorders>
              <w:top w:val="nil"/>
              <w:left w:val="nil"/>
              <w:bottom w:val="nil"/>
              <w:right w:val="nil"/>
            </w:tcBorders>
            <w:tcMar>
              <w:top w:w="126" w:type="dxa"/>
              <w:left w:w="43" w:type="dxa"/>
              <w:bottom w:w="40" w:type="dxa"/>
              <w:right w:w="43" w:type="dxa"/>
            </w:tcMar>
          </w:tcPr>
          <w:p w14:paraId="2B6F5E55" w14:textId="77777777" w:rsidR="00972395" w:rsidRPr="00E73D4B" w:rsidRDefault="00F120C7" w:rsidP="00681E28">
            <w:r w:rsidRPr="00E73D4B">
              <w:t>Reduksjon av ytelser under opphold i institusjon, likebehandling av pasientgrupper</w:t>
            </w:r>
          </w:p>
        </w:tc>
        <w:tc>
          <w:tcPr>
            <w:tcW w:w="1556" w:type="dxa"/>
            <w:tcBorders>
              <w:top w:val="nil"/>
              <w:left w:val="nil"/>
              <w:bottom w:val="nil"/>
              <w:right w:val="nil"/>
            </w:tcBorders>
            <w:tcMar>
              <w:top w:w="126" w:type="dxa"/>
              <w:left w:w="43" w:type="dxa"/>
              <w:bottom w:w="40" w:type="dxa"/>
              <w:right w:w="43" w:type="dxa"/>
            </w:tcMar>
            <w:vAlign w:val="bottom"/>
          </w:tcPr>
          <w:p w14:paraId="6A82AAA8" w14:textId="77777777" w:rsidR="00972395" w:rsidRPr="00E73D4B" w:rsidRDefault="00F120C7" w:rsidP="00E73D4B">
            <w:pPr>
              <w:jc w:val="right"/>
            </w:pPr>
            <w:r w:rsidRPr="00E73D4B">
              <w:t>Nei</w:t>
            </w:r>
          </w:p>
        </w:tc>
      </w:tr>
      <w:tr w:rsidR="00972395" w:rsidRPr="00E73D4B" w14:paraId="18FC10FE"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10CCE1B2"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1EFB2A54" w14:textId="77777777" w:rsidR="00972395" w:rsidRPr="00E73D4B" w:rsidRDefault="00F120C7" w:rsidP="00E73D4B">
            <w:pPr>
              <w:jc w:val="right"/>
            </w:pPr>
            <w:r w:rsidRPr="00E73D4B">
              <w:t>1221</w:t>
            </w:r>
          </w:p>
        </w:tc>
        <w:tc>
          <w:tcPr>
            <w:tcW w:w="4965" w:type="dxa"/>
            <w:tcBorders>
              <w:top w:val="nil"/>
              <w:left w:val="nil"/>
              <w:bottom w:val="nil"/>
              <w:right w:val="nil"/>
            </w:tcBorders>
            <w:tcMar>
              <w:top w:w="126" w:type="dxa"/>
              <w:left w:w="43" w:type="dxa"/>
              <w:bottom w:w="40" w:type="dxa"/>
              <w:right w:w="43" w:type="dxa"/>
            </w:tcMar>
          </w:tcPr>
          <w:p w14:paraId="2493A8FE" w14:textId="77777777" w:rsidR="00972395" w:rsidRPr="00E73D4B" w:rsidRDefault="00F120C7" w:rsidP="00681E28">
            <w:r w:rsidRPr="00E73D4B">
              <w:t>Arbeidssøkere tilknyttet NAV og som gis arbeid i jordbruksbedrifter</w:t>
            </w:r>
          </w:p>
        </w:tc>
        <w:tc>
          <w:tcPr>
            <w:tcW w:w="1556" w:type="dxa"/>
            <w:tcBorders>
              <w:top w:val="nil"/>
              <w:left w:val="nil"/>
              <w:bottom w:val="nil"/>
              <w:right w:val="nil"/>
            </w:tcBorders>
            <w:tcMar>
              <w:top w:w="126" w:type="dxa"/>
              <w:left w:w="43" w:type="dxa"/>
              <w:bottom w:w="40" w:type="dxa"/>
              <w:right w:w="43" w:type="dxa"/>
            </w:tcMar>
            <w:vAlign w:val="bottom"/>
          </w:tcPr>
          <w:p w14:paraId="4FC6CEE5" w14:textId="77777777" w:rsidR="00972395" w:rsidRPr="00E73D4B" w:rsidRDefault="00F120C7" w:rsidP="00E73D4B">
            <w:pPr>
              <w:jc w:val="right"/>
            </w:pPr>
            <w:r w:rsidRPr="00E73D4B">
              <w:t>Ja</w:t>
            </w:r>
          </w:p>
        </w:tc>
      </w:tr>
      <w:tr w:rsidR="00972395" w:rsidRPr="00E73D4B" w14:paraId="07F0747D"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1924A609"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2E025EDE" w14:textId="77777777" w:rsidR="00972395" w:rsidRPr="00E73D4B" w:rsidRDefault="00F120C7" w:rsidP="00E73D4B">
            <w:pPr>
              <w:jc w:val="right"/>
            </w:pPr>
            <w:r w:rsidRPr="00E73D4B">
              <w:t>1279</w:t>
            </w:r>
          </w:p>
        </w:tc>
        <w:tc>
          <w:tcPr>
            <w:tcW w:w="4965" w:type="dxa"/>
            <w:tcBorders>
              <w:top w:val="nil"/>
              <w:left w:val="nil"/>
              <w:bottom w:val="nil"/>
              <w:right w:val="nil"/>
            </w:tcBorders>
            <w:tcMar>
              <w:top w:w="126" w:type="dxa"/>
              <w:left w:w="43" w:type="dxa"/>
              <w:bottom w:w="40" w:type="dxa"/>
              <w:right w:w="43" w:type="dxa"/>
            </w:tcMar>
          </w:tcPr>
          <w:p w14:paraId="2BFE3BF2" w14:textId="77777777" w:rsidR="00972395" w:rsidRPr="00E73D4B" w:rsidRDefault="00F120C7" w:rsidP="00681E28">
            <w:r w:rsidRPr="00E73D4B">
              <w:t>Regulering av pensjoner under utbetaling for 2021</w:t>
            </w:r>
          </w:p>
        </w:tc>
        <w:tc>
          <w:tcPr>
            <w:tcW w:w="1556" w:type="dxa"/>
            <w:tcBorders>
              <w:top w:val="nil"/>
              <w:left w:val="nil"/>
              <w:bottom w:val="nil"/>
              <w:right w:val="nil"/>
            </w:tcBorders>
            <w:tcMar>
              <w:top w:w="126" w:type="dxa"/>
              <w:left w:w="43" w:type="dxa"/>
              <w:bottom w:w="40" w:type="dxa"/>
              <w:right w:w="43" w:type="dxa"/>
            </w:tcMar>
            <w:vAlign w:val="bottom"/>
          </w:tcPr>
          <w:p w14:paraId="534E8FD3" w14:textId="77777777" w:rsidR="00972395" w:rsidRPr="00E73D4B" w:rsidRDefault="00F120C7" w:rsidP="00E73D4B">
            <w:pPr>
              <w:jc w:val="right"/>
            </w:pPr>
            <w:r w:rsidRPr="00E73D4B">
              <w:t>Ja</w:t>
            </w:r>
          </w:p>
        </w:tc>
      </w:tr>
      <w:tr w:rsidR="00972395" w:rsidRPr="00E73D4B" w14:paraId="43735D6D"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2EB182ED" w14:textId="77777777" w:rsidR="00972395" w:rsidRPr="00E73D4B" w:rsidRDefault="00F120C7" w:rsidP="00E73D4B">
            <w:r w:rsidRPr="00E73D4B">
              <w:t>2020–2021</w:t>
            </w:r>
          </w:p>
        </w:tc>
        <w:tc>
          <w:tcPr>
            <w:tcW w:w="1417" w:type="dxa"/>
            <w:tcBorders>
              <w:top w:val="nil"/>
              <w:left w:val="nil"/>
              <w:bottom w:val="nil"/>
              <w:right w:val="nil"/>
            </w:tcBorders>
            <w:tcMar>
              <w:top w:w="126" w:type="dxa"/>
              <w:left w:w="43" w:type="dxa"/>
              <w:bottom w:w="40" w:type="dxa"/>
              <w:right w:w="43" w:type="dxa"/>
            </w:tcMar>
          </w:tcPr>
          <w:p w14:paraId="6AF89BAE" w14:textId="77777777" w:rsidR="00972395" w:rsidRPr="00E73D4B" w:rsidRDefault="00F120C7" w:rsidP="00E73D4B">
            <w:pPr>
              <w:jc w:val="right"/>
            </w:pPr>
            <w:r w:rsidRPr="00E73D4B">
              <w:t>1342</w:t>
            </w:r>
          </w:p>
        </w:tc>
        <w:tc>
          <w:tcPr>
            <w:tcW w:w="4965" w:type="dxa"/>
            <w:tcBorders>
              <w:top w:val="nil"/>
              <w:left w:val="nil"/>
              <w:bottom w:val="nil"/>
              <w:right w:val="nil"/>
            </w:tcBorders>
            <w:tcMar>
              <w:top w:w="126" w:type="dxa"/>
              <w:left w:w="43" w:type="dxa"/>
              <w:bottom w:w="40" w:type="dxa"/>
              <w:right w:w="43" w:type="dxa"/>
            </w:tcMar>
          </w:tcPr>
          <w:p w14:paraId="5E795D64" w14:textId="77777777" w:rsidR="00972395" w:rsidRPr="00E73D4B" w:rsidRDefault="00F120C7" w:rsidP="00681E28">
            <w:r w:rsidRPr="00E73D4B">
              <w:t xml:space="preserve">Evaluering av brillestøtteordningen </w:t>
            </w:r>
          </w:p>
        </w:tc>
        <w:tc>
          <w:tcPr>
            <w:tcW w:w="1556" w:type="dxa"/>
            <w:tcBorders>
              <w:top w:val="nil"/>
              <w:left w:val="nil"/>
              <w:bottom w:val="nil"/>
              <w:right w:val="nil"/>
            </w:tcBorders>
            <w:tcMar>
              <w:top w:w="126" w:type="dxa"/>
              <w:left w:w="43" w:type="dxa"/>
              <w:bottom w:w="40" w:type="dxa"/>
              <w:right w:w="43" w:type="dxa"/>
            </w:tcMar>
            <w:vAlign w:val="bottom"/>
          </w:tcPr>
          <w:p w14:paraId="7100B6D8" w14:textId="77777777" w:rsidR="00972395" w:rsidRPr="00E73D4B" w:rsidRDefault="00F120C7" w:rsidP="00E73D4B">
            <w:pPr>
              <w:jc w:val="right"/>
            </w:pPr>
            <w:r w:rsidRPr="00E73D4B">
              <w:t>Nei</w:t>
            </w:r>
          </w:p>
        </w:tc>
      </w:tr>
      <w:tr w:rsidR="00972395" w:rsidRPr="00E73D4B" w14:paraId="266B62FE"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3BD3FA3C" w14:textId="77777777" w:rsidR="00972395" w:rsidRPr="00E73D4B" w:rsidRDefault="00F120C7" w:rsidP="00E73D4B">
            <w:r w:rsidRPr="00E73D4B">
              <w:t>2019–2020</w:t>
            </w:r>
          </w:p>
        </w:tc>
        <w:tc>
          <w:tcPr>
            <w:tcW w:w="1417" w:type="dxa"/>
            <w:tcBorders>
              <w:top w:val="nil"/>
              <w:left w:val="nil"/>
              <w:bottom w:val="nil"/>
              <w:right w:val="nil"/>
            </w:tcBorders>
            <w:tcMar>
              <w:top w:w="126" w:type="dxa"/>
              <w:left w:w="43" w:type="dxa"/>
              <w:bottom w:w="40" w:type="dxa"/>
              <w:right w:w="43" w:type="dxa"/>
            </w:tcMar>
          </w:tcPr>
          <w:p w14:paraId="4E33AF41" w14:textId="77777777" w:rsidR="00972395" w:rsidRPr="00E73D4B" w:rsidRDefault="00F120C7" w:rsidP="00E73D4B">
            <w:pPr>
              <w:jc w:val="right"/>
            </w:pPr>
            <w:r w:rsidRPr="00E73D4B">
              <w:t>571</w:t>
            </w:r>
          </w:p>
        </w:tc>
        <w:tc>
          <w:tcPr>
            <w:tcW w:w="4965" w:type="dxa"/>
            <w:tcBorders>
              <w:top w:val="nil"/>
              <w:left w:val="nil"/>
              <w:bottom w:val="nil"/>
              <w:right w:val="nil"/>
            </w:tcBorders>
            <w:tcMar>
              <w:top w:w="126" w:type="dxa"/>
              <w:left w:w="43" w:type="dxa"/>
              <w:bottom w:w="40" w:type="dxa"/>
              <w:right w:w="43" w:type="dxa"/>
            </w:tcMar>
          </w:tcPr>
          <w:p w14:paraId="2FD73A30" w14:textId="77777777" w:rsidR="00972395" w:rsidRPr="00E73D4B" w:rsidRDefault="00F120C7" w:rsidP="00681E28">
            <w:r w:rsidRPr="00E73D4B">
              <w:t>Søksmålsfristen ved klage over Trygderettens kjennelser til Sivilombudsmannen</w:t>
            </w:r>
          </w:p>
        </w:tc>
        <w:tc>
          <w:tcPr>
            <w:tcW w:w="1556" w:type="dxa"/>
            <w:tcBorders>
              <w:top w:val="nil"/>
              <w:left w:val="nil"/>
              <w:bottom w:val="nil"/>
              <w:right w:val="nil"/>
            </w:tcBorders>
            <w:tcMar>
              <w:top w:w="126" w:type="dxa"/>
              <w:left w:w="43" w:type="dxa"/>
              <w:bottom w:w="40" w:type="dxa"/>
              <w:right w:w="43" w:type="dxa"/>
            </w:tcMar>
            <w:vAlign w:val="bottom"/>
          </w:tcPr>
          <w:p w14:paraId="6EE01AA7" w14:textId="77777777" w:rsidR="00972395" w:rsidRPr="00E73D4B" w:rsidRDefault="00F120C7" w:rsidP="00E73D4B">
            <w:pPr>
              <w:jc w:val="right"/>
            </w:pPr>
            <w:r w:rsidRPr="00E73D4B">
              <w:t>Ja</w:t>
            </w:r>
          </w:p>
        </w:tc>
      </w:tr>
      <w:tr w:rsidR="00972395" w:rsidRPr="00E73D4B" w14:paraId="15E66242"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00C17A87" w14:textId="77777777" w:rsidR="00972395" w:rsidRPr="00E73D4B" w:rsidRDefault="00F120C7" w:rsidP="00E73D4B">
            <w:r w:rsidRPr="00E73D4B">
              <w:t>2019–2020</w:t>
            </w:r>
          </w:p>
        </w:tc>
        <w:tc>
          <w:tcPr>
            <w:tcW w:w="1417" w:type="dxa"/>
            <w:tcBorders>
              <w:top w:val="nil"/>
              <w:left w:val="nil"/>
              <w:bottom w:val="nil"/>
              <w:right w:val="nil"/>
            </w:tcBorders>
            <w:tcMar>
              <w:top w:w="126" w:type="dxa"/>
              <w:left w:w="43" w:type="dxa"/>
              <w:bottom w:w="40" w:type="dxa"/>
              <w:right w:w="43" w:type="dxa"/>
            </w:tcMar>
          </w:tcPr>
          <w:p w14:paraId="19862EC3" w14:textId="77777777" w:rsidR="00972395" w:rsidRPr="00E73D4B" w:rsidRDefault="00F120C7" w:rsidP="00E73D4B">
            <w:pPr>
              <w:jc w:val="right"/>
            </w:pPr>
            <w:r w:rsidRPr="00E73D4B">
              <w:t>626</w:t>
            </w:r>
          </w:p>
        </w:tc>
        <w:tc>
          <w:tcPr>
            <w:tcW w:w="4965" w:type="dxa"/>
            <w:tcBorders>
              <w:top w:val="nil"/>
              <w:left w:val="nil"/>
              <w:bottom w:val="nil"/>
              <w:right w:val="nil"/>
            </w:tcBorders>
            <w:tcMar>
              <w:top w:w="126" w:type="dxa"/>
              <w:left w:w="43" w:type="dxa"/>
              <w:bottom w:w="40" w:type="dxa"/>
              <w:right w:w="43" w:type="dxa"/>
            </w:tcMar>
          </w:tcPr>
          <w:p w14:paraId="4BBCBEA4" w14:textId="77777777" w:rsidR="00972395" w:rsidRPr="00E73D4B" w:rsidRDefault="00F120C7" w:rsidP="00681E28">
            <w:r w:rsidRPr="00E73D4B">
              <w:t>Juridisk og økonomisk medansvar for transportkjøpere/transportbestillere</w:t>
            </w:r>
          </w:p>
        </w:tc>
        <w:tc>
          <w:tcPr>
            <w:tcW w:w="1556" w:type="dxa"/>
            <w:tcBorders>
              <w:top w:val="nil"/>
              <w:left w:val="nil"/>
              <w:bottom w:val="nil"/>
              <w:right w:val="nil"/>
            </w:tcBorders>
            <w:tcMar>
              <w:top w:w="126" w:type="dxa"/>
              <w:left w:w="43" w:type="dxa"/>
              <w:bottom w:w="40" w:type="dxa"/>
              <w:right w:w="43" w:type="dxa"/>
            </w:tcMar>
            <w:vAlign w:val="bottom"/>
          </w:tcPr>
          <w:p w14:paraId="22EA69B7" w14:textId="77777777" w:rsidR="00972395" w:rsidRPr="00E73D4B" w:rsidRDefault="00F120C7" w:rsidP="00E73D4B">
            <w:pPr>
              <w:jc w:val="right"/>
            </w:pPr>
            <w:r w:rsidRPr="00E73D4B">
              <w:t>Nei</w:t>
            </w:r>
          </w:p>
        </w:tc>
      </w:tr>
      <w:tr w:rsidR="00972395" w:rsidRPr="00E73D4B" w14:paraId="65E3E83D"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42542A1C" w14:textId="77777777" w:rsidR="00972395" w:rsidRPr="00E73D4B" w:rsidRDefault="00F120C7" w:rsidP="00E73D4B">
            <w:r w:rsidRPr="00E73D4B">
              <w:t>2019–2020</w:t>
            </w:r>
          </w:p>
        </w:tc>
        <w:tc>
          <w:tcPr>
            <w:tcW w:w="1417" w:type="dxa"/>
            <w:tcBorders>
              <w:top w:val="nil"/>
              <w:left w:val="nil"/>
              <w:bottom w:val="nil"/>
              <w:right w:val="nil"/>
            </w:tcBorders>
            <w:tcMar>
              <w:top w:w="126" w:type="dxa"/>
              <w:left w:w="43" w:type="dxa"/>
              <w:bottom w:w="40" w:type="dxa"/>
              <w:right w:w="43" w:type="dxa"/>
            </w:tcMar>
          </w:tcPr>
          <w:p w14:paraId="31E04D7D" w14:textId="77777777" w:rsidR="00972395" w:rsidRPr="00E73D4B" w:rsidRDefault="00F120C7" w:rsidP="00E73D4B">
            <w:pPr>
              <w:jc w:val="right"/>
            </w:pPr>
            <w:r w:rsidRPr="00E73D4B">
              <w:t>627</w:t>
            </w:r>
          </w:p>
        </w:tc>
        <w:tc>
          <w:tcPr>
            <w:tcW w:w="4965" w:type="dxa"/>
            <w:tcBorders>
              <w:top w:val="nil"/>
              <w:left w:val="nil"/>
              <w:bottom w:val="nil"/>
              <w:right w:val="nil"/>
            </w:tcBorders>
            <w:tcMar>
              <w:top w:w="126" w:type="dxa"/>
              <w:left w:w="43" w:type="dxa"/>
              <w:bottom w:w="40" w:type="dxa"/>
              <w:right w:w="43" w:type="dxa"/>
            </w:tcMar>
          </w:tcPr>
          <w:p w14:paraId="05097BAC" w14:textId="77777777" w:rsidR="00972395" w:rsidRPr="00E73D4B" w:rsidRDefault="00F120C7" w:rsidP="00681E28">
            <w:r w:rsidRPr="00E73D4B">
              <w:t>Håndhevingsrett til å stanse kjøretøyer</w:t>
            </w:r>
          </w:p>
        </w:tc>
        <w:tc>
          <w:tcPr>
            <w:tcW w:w="1556" w:type="dxa"/>
            <w:tcBorders>
              <w:top w:val="nil"/>
              <w:left w:val="nil"/>
              <w:bottom w:val="nil"/>
              <w:right w:val="nil"/>
            </w:tcBorders>
            <w:tcMar>
              <w:top w:w="126" w:type="dxa"/>
              <w:left w:w="43" w:type="dxa"/>
              <w:bottom w:w="40" w:type="dxa"/>
              <w:right w:w="43" w:type="dxa"/>
            </w:tcMar>
            <w:vAlign w:val="bottom"/>
          </w:tcPr>
          <w:p w14:paraId="57DA1EFE" w14:textId="77777777" w:rsidR="00972395" w:rsidRPr="00E73D4B" w:rsidRDefault="00F120C7" w:rsidP="00E73D4B">
            <w:pPr>
              <w:jc w:val="right"/>
            </w:pPr>
            <w:r w:rsidRPr="00E73D4B">
              <w:t>Nei</w:t>
            </w:r>
          </w:p>
        </w:tc>
      </w:tr>
      <w:tr w:rsidR="00972395" w:rsidRPr="00E73D4B" w14:paraId="4DB57D9E"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73515090" w14:textId="77777777" w:rsidR="00972395" w:rsidRPr="00E73D4B" w:rsidRDefault="00F120C7" w:rsidP="00E73D4B">
            <w:r w:rsidRPr="00E73D4B">
              <w:t>2019–2020</w:t>
            </w:r>
          </w:p>
        </w:tc>
        <w:tc>
          <w:tcPr>
            <w:tcW w:w="1417" w:type="dxa"/>
            <w:tcBorders>
              <w:top w:val="nil"/>
              <w:left w:val="nil"/>
              <w:bottom w:val="nil"/>
              <w:right w:val="nil"/>
            </w:tcBorders>
            <w:tcMar>
              <w:top w:w="126" w:type="dxa"/>
              <w:left w:w="43" w:type="dxa"/>
              <w:bottom w:w="40" w:type="dxa"/>
              <w:right w:w="43" w:type="dxa"/>
            </w:tcMar>
          </w:tcPr>
          <w:p w14:paraId="118C8D71" w14:textId="77777777" w:rsidR="00972395" w:rsidRPr="00E73D4B" w:rsidRDefault="00F120C7" w:rsidP="00E73D4B">
            <w:pPr>
              <w:jc w:val="right"/>
            </w:pPr>
            <w:r w:rsidRPr="00E73D4B">
              <w:t>656</w:t>
            </w:r>
          </w:p>
        </w:tc>
        <w:tc>
          <w:tcPr>
            <w:tcW w:w="4965" w:type="dxa"/>
            <w:tcBorders>
              <w:top w:val="nil"/>
              <w:left w:val="nil"/>
              <w:bottom w:val="nil"/>
              <w:right w:val="nil"/>
            </w:tcBorders>
            <w:tcMar>
              <w:top w:w="126" w:type="dxa"/>
              <w:left w:w="43" w:type="dxa"/>
              <w:bottom w:w="40" w:type="dxa"/>
              <w:right w:w="43" w:type="dxa"/>
            </w:tcMar>
          </w:tcPr>
          <w:p w14:paraId="581AD588" w14:textId="77777777" w:rsidR="00972395" w:rsidRPr="00E73D4B" w:rsidRDefault="00F120C7" w:rsidP="00681E28">
            <w:r w:rsidRPr="00E73D4B">
              <w:t>Straff for påvirkning til trygdemisbruk</w:t>
            </w:r>
          </w:p>
        </w:tc>
        <w:tc>
          <w:tcPr>
            <w:tcW w:w="1556" w:type="dxa"/>
            <w:tcBorders>
              <w:top w:val="nil"/>
              <w:left w:val="nil"/>
              <w:bottom w:val="nil"/>
              <w:right w:val="nil"/>
            </w:tcBorders>
            <w:tcMar>
              <w:top w:w="126" w:type="dxa"/>
              <w:left w:w="43" w:type="dxa"/>
              <w:bottom w:w="40" w:type="dxa"/>
              <w:right w:w="43" w:type="dxa"/>
            </w:tcMar>
            <w:vAlign w:val="bottom"/>
          </w:tcPr>
          <w:p w14:paraId="187EA610" w14:textId="77777777" w:rsidR="00972395" w:rsidRPr="00E73D4B" w:rsidRDefault="00F120C7" w:rsidP="00E73D4B">
            <w:pPr>
              <w:jc w:val="right"/>
            </w:pPr>
            <w:r w:rsidRPr="00E73D4B">
              <w:t>Ja</w:t>
            </w:r>
          </w:p>
        </w:tc>
      </w:tr>
      <w:tr w:rsidR="00972395" w:rsidRPr="00E73D4B" w14:paraId="4B7CCEA2" w14:textId="77777777" w:rsidTr="00681E28">
        <w:trPr>
          <w:trHeight w:val="620"/>
        </w:trPr>
        <w:tc>
          <w:tcPr>
            <w:tcW w:w="1418" w:type="dxa"/>
            <w:tcBorders>
              <w:top w:val="nil"/>
              <w:left w:val="nil"/>
              <w:bottom w:val="nil"/>
              <w:right w:val="nil"/>
            </w:tcBorders>
            <w:tcMar>
              <w:top w:w="126" w:type="dxa"/>
              <w:left w:w="43" w:type="dxa"/>
              <w:bottom w:w="40" w:type="dxa"/>
              <w:right w:w="43" w:type="dxa"/>
            </w:tcMar>
          </w:tcPr>
          <w:p w14:paraId="46A0ED04" w14:textId="77777777" w:rsidR="00972395" w:rsidRPr="00E73D4B" w:rsidRDefault="00F120C7" w:rsidP="00E73D4B">
            <w:r w:rsidRPr="00E73D4B">
              <w:t>2019–2020</w:t>
            </w:r>
          </w:p>
        </w:tc>
        <w:tc>
          <w:tcPr>
            <w:tcW w:w="1417" w:type="dxa"/>
            <w:tcBorders>
              <w:top w:val="nil"/>
              <w:left w:val="nil"/>
              <w:bottom w:val="nil"/>
              <w:right w:val="nil"/>
            </w:tcBorders>
            <w:tcMar>
              <w:top w:w="126" w:type="dxa"/>
              <w:left w:w="43" w:type="dxa"/>
              <w:bottom w:w="40" w:type="dxa"/>
              <w:right w:w="43" w:type="dxa"/>
            </w:tcMar>
          </w:tcPr>
          <w:p w14:paraId="26B18B65" w14:textId="77777777" w:rsidR="00972395" w:rsidRPr="00E73D4B" w:rsidRDefault="00F120C7" w:rsidP="00E73D4B">
            <w:pPr>
              <w:jc w:val="right"/>
            </w:pPr>
            <w:r w:rsidRPr="00E73D4B">
              <w:t>658</w:t>
            </w:r>
          </w:p>
        </w:tc>
        <w:tc>
          <w:tcPr>
            <w:tcW w:w="4965" w:type="dxa"/>
            <w:tcBorders>
              <w:top w:val="nil"/>
              <w:left w:val="nil"/>
              <w:bottom w:val="nil"/>
              <w:right w:val="nil"/>
            </w:tcBorders>
            <w:tcMar>
              <w:top w:w="126" w:type="dxa"/>
              <w:left w:w="43" w:type="dxa"/>
              <w:bottom w:w="40" w:type="dxa"/>
              <w:right w:w="43" w:type="dxa"/>
            </w:tcMar>
          </w:tcPr>
          <w:p w14:paraId="043D6C79" w14:textId="77777777" w:rsidR="00972395" w:rsidRPr="00E73D4B" w:rsidRDefault="00F120C7" w:rsidP="00681E28">
            <w:r w:rsidRPr="00E73D4B">
              <w:t xml:space="preserve">Omsorgspenger til foreldre som må være borte fra arbeidet deler av dagen </w:t>
            </w:r>
          </w:p>
        </w:tc>
        <w:tc>
          <w:tcPr>
            <w:tcW w:w="1556" w:type="dxa"/>
            <w:tcBorders>
              <w:top w:val="nil"/>
              <w:left w:val="nil"/>
              <w:bottom w:val="nil"/>
              <w:right w:val="nil"/>
            </w:tcBorders>
            <w:tcMar>
              <w:top w:w="126" w:type="dxa"/>
              <w:left w:w="43" w:type="dxa"/>
              <w:bottom w:w="40" w:type="dxa"/>
              <w:right w:w="43" w:type="dxa"/>
            </w:tcMar>
            <w:vAlign w:val="bottom"/>
          </w:tcPr>
          <w:p w14:paraId="43771C13" w14:textId="77777777" w:rsidR="00972395" w:rsidRPr="00E73D4B" w:rsidRDefault="00F120C7" w:rsidP="00E73D4B">
            <w:pPr>
              <w:jc w:val="right"/>
            </w:pPr>
            <w:r w:rsidRPr="00E73D4B">
              <w:t>Nei</w:t>
            </w:r>
          </w:p>
        </w:tc>
      </w:tr>
      <w:tr w:rsidR="00972395" w:rsidRPr="00E73D4B" w14:paraId="48CB8205" w14:textId="77777777" w:rsidTr="00681E28">
        <w:trPr>
          <w:trHeight w:val="360"/>
        </w:trPr>
        <w:tc>
          <w:tcPr>
            <w:tcW w:w="1418" w:type="dxa"/>
            <w:tcBorders>
              <w:top w:val="nil"/>
              <w:left w:val="nil"/>
              <w:bottom w:val="nil"/>
              <w:right w:val="nil"/>
            </w:tcBorders>
            <w:tcMar>
              <w:top w:w="126" w:type="dxa"/>
              <w:left w:w="43" w:type="dxa"/>
              <w:bottom w:w="40" w:type="dxa"/>
              <w:right w:w="43" w:type="dxa"/>
            </w:tcMar>
          </w:tcPr>
          <w:p w14:paraId="0E0FEC81" w14:textId="77777777" w:rsidR="00972395" w:rsidRPr="00E73D4B" w:rsidRDefault="00F120C7" w:rsidP="00E73D4B">
            <w:r w:rsidRPr="00E73D4B">
              <w:t>2017–2018</w:t>
            </w:r>
          </w:p>
        </w:tc>
        <w:tc>
          <w:tcPr>
            <w:tcW w:w="1417" w:type="dxa"/>
            <w:tcBorders>
              <w:top w:val="nil"/>
              <w:left w:val="nil"/>
              <w:bottom w:val="nil"/>
              <w:right w:val="nil"/>
            </w:tcBorders>
            <w:tcMar>
              <w:top w:w="126" w:type="dxa"/>
              <w:left w:w="43" w:type="dxa"/>
              <w:bottom w:w="40" w:type="dxa"/>
              <w:right w:w="43" w:type="dxa"/>
            </w:tcMar>
          </w:tcPr>
          <w:p w14:paraId="13F0C790" w14:textId="77777777" w:rsidR="00972395" w:rsidRPr="00E73D4B" w:rsidRDefault="00F120C7" w:rsidP="00E73D4B">
            <w:pPr>
              <w:jc w:val="right"/>
            </w:pPr>
            <w:r w:rsidRPr="00E73D4B">
              <w:t>42</w:t>
            </w:r>
          </w:p>
        </w:tc>
        <w:tc>
          <w:tcPr>
            <w:tcW w:w="4965" w:type="dxa"/>
            <w:tcBorders>
              <w:top w:val="nil"/>
              <w:left w:val="nil"/>
              <w:bottom w:val="nil"/>
              <w:right w:val="nil"/>
            </w:tcBorders>
            <w:tcMar>
              <w:top w:w="126" w:type="dxa"/>
              <w:left w:w="43" w:type="dxa"/>
              <w:bottom w:w="40" w:type="dxa"/>
              <w:right w:w="43" w:type="dxa"/>
            </w:tcMar>
          </w:tcPr>
          <w:p w14:paraId="1724A9B8" w14:textId="77777777" w:rsidR="00972395" w:rsidRPr="00E73D4B" w:rsidRDefault="00F120C7" w:rsidP="00681E28">
            <w:r w:rsidRPr="00E73D4B">
              <w:t xml:space="preserve">Særaldersgrenser for ansatte i staten </w:t>
            </w:r>
          </w:p>
        </w:tc>
        <w:tc>
          <w:tcPr>
            <w:tcW w:w="1556" w:type="dxa"/>
            <w:tcBorders>
              <w:top w:val="nil"/>
              <w:left w:val="nil"/>
              <w:bottom w:val="nil"/>
              <w:right w:val="nil"/>
            </w:tcBorders>
            <w:tcMar>
              <w:top w:w="126" w:type="dxa"/>
              <w:left w:w="43" w:type="dxa"/>
              <w:bottom w:w="40" w:type="dxa"/>
              <w:right w:w="43" w:type="dxa"/>
            </w:tcMar>
            <w:vAlign w:val="bottom"/>
          </w:tcPr>
          <w:p w14:paraId="748FB97A" w14:textId="77777777" w:rsidR="00972395" w:rsidRPr="00E73D4B" w:rsidRDefault="00F120C7" w:rsidP="00E73D4B">
            <w:pPr>
              <w:jc w:val="right"/>
            </w:pPr>
            <w:r w:rsidRPr="00E73D4B">
              <w:t>Nei</w:t>
            </w:r>
          </w:p>
        </w:tc>
      </w:tr>
      <w:tr w:rsidR="00972395" w:rsidRPr="00E73D4B" w14:paraId="079A17D2" w14:textId="77777777" w:rsidTr="00681E28">
        <w:trPr>
          <w:trHeight w:val="360"/>
        </w:trPr>
        <w:tc>
          <w:tcPr>
            <w:tcW w:w="1418" w:type="dxa"/>
            <w:tcBorders>
              <w:top w:val="nil"/>
              <w:left w:val="nil"/>
              <w:right w:val="nil"/>
            </w:tcBorders>
            <w:tcMar>
              <w:top w:w="126" w:type="dxa"/>
              <w:left w:w="43" w:type="dxa"/>
              <w:bottom w:w="40" w:type="dxa"/>
              <w:right w:w="43" w:type="dxa"/>
            </w:tcMar>
          </w:tcPr>
          <w:p w14:paraId="4247C7AB" w14:textId="77777777" w:rsidR="00972395" w:rsidRPr="00E73D4B" w:rsidRDefault="00F120C7" w:rsidP="00E73D4B">
            <w:r w:rsidRPr="00E73D4B">
              <w:t>2017–2018</w:t>
            </w:r>
          </w:p>
        </w:tc>
        <w:tc>
          <w:tcPr>
            <w:tcW w:w="1417" w:type="dxa"/>
            <w:tcBorders>
              <w:top w:val="nil"/>
              <w:left w:val="nil"/>
              <w:right w:val="nil"/>
            </w:tcBorders>
            <w:tcMar>
              <w:top w:w="126" w:type="dxa"/>
              <w:left w:w="43" w:type="dxa"/>
              <w:bottom w:w="40" w:type="dxa"/>
              <w:right w:w="43" w:type="dxa"/>
            </w:tcMar>
          </w:tcPr>
          <w:p w14:paraId="56C3BA65" w14:textId="77777777" w:rsidR="00972395" w:rsidRPr="00E73D4B" w:rsidRDefault="00F120C7" w:rsidP="00E73D4B">
            <w:pPr>
              <w:jc w:val="right"/>
            </w:pPr>
            <w:r w:rsidRPr="00E73D4B">
              <w:t>321</w:t>
            </w:r>
          </w:p>
        </w:tc>
        <w:tc>
          <w:tcPr>
            <w:tcW w:w="4965" w:type="dxa"/>
            <w:tcBorders>
              <w:top w:val="nil"/>
              <w:left w:val="nil"/>
              <w:right w:val="nil"/>
            </w:tcBorders>
            <w:tcMar>
              <w:top w:w="126" w:type="dxa"/>
              <w:left w:w="43" w:type="dxa"/>
              <w:bottom w:w="40" w:type="dxa"/>
              <w:right w:w="43" w:type="dxa"/>
            </w:tcMar>
          </w:tcPr>
          <w:p w14:paraId="2DD29547" w14:textId="77777777" w:rsidR="00972395" w:rsidRPr="00E73D4B" w:rsidRDefault="00F120C7" w:rsidP="00681E28">
            <w:r w:rsidRPr="00E73D4B">
              <w:t xml:space="preserve">Overgangsordning for fosterforeldre </w:t>
            </w:r>
          </w:p>
        </w:tc>
        <w:tc>
          <w:tcPr>
            <w:tcW w:w="1556" w:type="dxa"/>
            <w:tcBorders>
              <w:top w:val="nil"/>
              <w:left w:val="nil"/>
              <w:right w:val="nil"/>
            </w:tcBorders>
            <w:tcMar>
              <w:top w:w="126" w:type="dxa"/>
              <w:left w:w="43" w:type="dxa"/>
              <w:bottom w:w="40" w:type="dxa"/>
              <w:right w:w="43" w:type="dxa"/>
            </w:tcMar>
            <w:vAlign w:val="bottom"/>
          </w:tcPr>
          <w:p w14:paraId="02B57D71" w14:textId="77777777" w:rsidR="00972395" w:rsidRPr="00E73D4B" w:rsidRDefault="00F120C7" w:rsidP="00E73D4B">
            <w:pPr>
              <w:jc w:val="right"/>
            </w:pPr>
            <w:r w:rsidRPr="00E73D4B">
              <w:t>Nei</w:t>
            </w:r>
          </w:p>
        </w:tc>
      </w:tr>
      <w:tr w:rsidR="00972395" w:rsidRPr="00E73D4B" w14:paraId="0074DE29" w14:textId="77777777" w:rsidTr="00681E28">
        <w:trPr>
          <w:trHeight w:val="360"/>
        </w:trPr>
        <w:tc>
          <w:tcPr>
            <w:tcW w:w="1418" w:type="dxa"/>
            <w:tcBorders>
              <w:top w:val="nil"/>
              <w:left w:val="nil"/>
              <w:bottom w:val="single" w:sz="4" w:space="0" w:color="000000"/>
              <w:right w:val="nil"/>
            </w:tcBorders>
            <w:shd w:val="clear" w:color="auto" w:fill="auto"/>
            <w:tcMar>
              <w:top w:w="126" w:type="dxa"/>
              <w:left w:w="43" w:type="dxa"/>
              <w:bottom w:w="40" w:type="dxa"/>
              <w:right w:w="43" w:type="dxa"/>
            </w:tcMar>
          </w:tcPr>
          <w:p w14:paraId="3D907682" w14:textId="77777777" w:rsidR="00972395" w:rsidRPr="00E73D4B" w:rsidRDefault="00F120C7" w:rsidP="00E73D4B">
            <w:r w:rsidRPr="00E73D4B">
              <w:t>2016–2017</w:t>
            </w:r>
          </w:p>
        </w:tc>
        <w:tc>
          <w:tcPr>
            <w:tcW w:w="1417" w:type="dxa"/>
            <w:tcBorders>
              <w:top w:val="nil"/>
              <w:left w:val="nil"/>
              <w:bottom w:val="single" w:sz="4" w:space="0" w:color="000000"/>
              <w:right w:val="nil"/>
            </w:tcBorders>
            <w:shd w:val="clear" w:color="auto" w:fill="auto"/>
            <w:tcMar>
              <w:top w:w="126" w:type="dxa"/>
              <w:left w:w="43" w:type="dxa"/>
              <w:bottom w:w="40" w:type="dxa"/>
              <w:right w:w="43" w:type="dxa"/>
            </w:tcMar>
          </w:tcPr>
          <w:p w14:paraId="6A1F31EE" w14:textId="77777777" w:rsidR="00972395" w:rsidRPr="00E73D4B" w:rsidRDefault="00F120C7" w:rsidP="00E73D4B">
            <w:pPr>
              <w:jc w:val="right"/>
            </w:pPr>
            <w:r w:rsidRPr="00E73D4B">
              <w:t>737</w:t>
            </w:r>
          </w:p>
        </w:tc>
        <w:tc>
          <w:tcPr>
            <w:tcW w:w="4965" w:type="dxa"/>
            <w:tcBorders>
              <w:top w:val="nil"/>
              <w:left w:val="nil"/>
              <w:bottom w:val="single" w:sz="4" w:space="0" w:color="000000"/>
              <w:right w:val="nil"/>
            </w:tcBorders>
            <w:shd w:val="clear" w:color="auto" w:fill="auto"/>
            <w:tcMar>
              <w:top w:w="126" w:type="dxa"/>
              <w:left w:w="43" w:type="dxa"/>
              <w:bottom w:w="40" w:type="dxa"/>
              <w:right w:w="43" w:type="dxa"/>
            </w:tcMar>
          </w:tcPr>
          <w:p w14:paraId="49CB6AC6" w14:textId="77777777" w:rsidR="00972395" w:rsidRPr="00E73D4B" w:rsidRDefault="00F120C7" w:rsidP="00681E28">
            <w:r w:rsidRPr="00E73D4B">
              <w:t xml:space="preserve">Utsendte arbeidstakere og varslingsreglene </w:t>
            </w:r>
          </w:p>
        </w:tc>
        <w:tc>
          <w:tcPr>
            <w:tcW w:w="1556" w:type="dxa"/>
            <w:tcBorders>
              <w:top w:val="nil"/>
              <w:left w:val="nil"/>
              <w:bottom w:val="single" w:sz="4" w:space="0" w:color="000000"/>
              <w:right w:val="nil"/>
            </w:tcBorders>
            <w:shd w:val="clear" w:color="auto" w:fill="auto"/>
            <w:tcMar>
              <w:top w:w="126" w:type="dxa"/>
              <w:left w:w="43" w:type="dxa"/>
              <w:bottom w:w="40" w:type="dxa"/>
              <w:right w:w="43" w:type="dxa"/>
            </w:tcMar>
            <w:vAlign w:val="bottom"/>
          </w:tcPr>
          <w:p w14:paraId="1BCC1CAD" w14:textId="77777777" w:rsidR="00972395" w:rsidRPr="00E73D4B" w:rsidRDefault="00F120C7" w:rsidP="00E73D4B">
            <w:pPr>
              <w:jc w:val="right"/>
            </w:pPr>
            <w:r w:rsidRPr="00E73D4B">
              <w:t>Ja</w:t>
            </w:r>
          </w:p>
        </w:tc>
      </w:tr>
    </w:tbl>
    <w:p w14:paraId="02C5B306" w14:textId="77777777" w:rsidR="00972395" w:rsidRPr="00E73D4B" w:rsidRDefault="00F120C7" w:rsidP="00681E28">
      <w:pPr>
        <w:pStyle w:val="Overskrift2"/>
        <w:numPr>
          <w:ilvl w:val="1"/>
          <w:numId w:val="28"/>
        </w:numPr>
      </w:pPr>
      <w:r w:rsidRPr="00E73D4B">
        <w:t>Stortingssesjon 2021–2022</w:t>
      </w:r>
    </w:p>
    <w:p w14:paraId="7571ACFA" w14:textId="77777777" w:rsidR="00972395" w:rsidRPr="00E73D4B" w:rsidRDefault="00F120C7" w:rsidP="00E73D4B">
      <w:pPr>
        <w:pStyle w:val="avsnitt-tittel"/>
      </w:pPr>
      <w:r w:rsidRPr="00E73D4B">
        <w:t>Tilskuddsordningen for nasjonale ressursmiljøer omgjøres ikke til en søknadsbasert ordning</w:t>
      </w:r>
    </w:p>
    <w:p w14:paraId="2505F96F" w14:textId="77777777" w:rsidR="00972395" w:rsidRPr="00E73D4B" w:rsidRDefault="00F120C7" w:rsidP="00E73D4B">
      <w:pPr>
        <w:pStyle w:val="avsnitt-undertittel"/>
      </w:pPr>
      <w:r w:rsidRPr="00E73D4B">
        <w:t>Vedtak 35, punkt 28 2. desember 2021</w:t>
      </w:r>
    </w:p>
    <w:p w14:paraId="713EDAD5" w14:textId="77777777" w:rsidR="00972395" w:rsidRPr="00E73D4B" w:rsidRDefault="00F120C7" w:rsidP="00E73D4B">
      <w:pPr>
        <w:pStyle w:val="blokksit"/>
        <w:rPr>
          <w:rStyle w:val="kursiv"/>
        </w:rPr>
      </w:pPr>
      <w:r w:rsidRPr="00E73D4B">
        <w:rPr>
          <w:rStyle w:val="kursiv"/>
        </w:rPr>
        <w:t>«Stortinget ber regjeringen reversere den planlagte endringen om å gjøre tilskuddsordningen for nasjonale ressursmiljøer på integreringsfeltet til en ren søknadsbasert ordning i stedet for en navngitt ordning.»</w:t>
      </w:r>
    </w:p>
    <w:p w14:paraId="135E1079" w14:textId="77777777" w:rsidR="00972395" w:rsidRPr="00E73D4B" w:rsidRDefault="00F120C7" w:rsidP="00E73D4B">
      <w:r w:rsidRPr="00E73D4B">
        <w:t xml:space="preserve">Vedtaket ble truffet ved behandling av Meld. St. 1 (2021–2022), </w:t>
      </w:r>
      <w:proofErr w:type="spellStart"/>
      <w:r w:rsidRPr="00E73D4B">
        <w:t>Innst</w:t>
      </w:r>
      <w:proofErr w:type="spellEnd"/>
      <w:r w:rsidRPr="00E73D4B">
        <w:t xml:space="preserve">. 2 S (2021–2022). </w:t>
      </w:r>
    </w:p>
    <w:p w14:paraId="1AAAA56F" w14:textId="77777777" w:rsidR="00972395" w:rsidRPr="00E73D4B" w:rsidRDefault="00F120C7" w:rsidP="00E73D4B">
      <w:r w:rsidRPr="00E73D4B">
        <w:t xml:space="preserve">Tilskuddsordningen for nasjonale ressursmiljøer på integreringsfeltet er ikke gjort om til en søknadsbasert ordning. Med dette anses anmodningsvedtaket som fulgt opp. </w:t>
      </w:r>
    </w:p>
    <w:p w14:paraId="1F996500" w14:textId="77777777" w:rsidR="00972395" w:rsidRPr="00E73D4B" w:rsidRDefault="00F120C7" w:rsidP="00E73D4B">
      <w:pPr>
        <w:pStyle w:val="avsnitt-tittel"/>
      </w:pPr>
      <w:r w:rsidRPr="00E73D4B">
        <w:t xml:space="preserve">Barnetrygd skal holdes utenfor ved beregning av økonomisk sosialhjelp </w:t>
      </w:r>
    </w:p>
    <w:p w14:paraId="5AC46406" w14:textId="77777777" w:rsidR="00972395" w:rsidRPr="00E73D4B" w:rsidRDefault="00F120C7" w:rsidP="00E73D4B">
      <w:pPr>
        <w:pStyle w:val="avsnitt-undertittel"/>
      </w:pPr>
      <w:r w:rsidRPr="00E73D4B">
        <w:t>Vedtak 35, punkt 46 2. desember 2021</w:t>
      </w:r>
    </w:p>
    <w:p w14:paraId="3B3E2EC5" w14:textId="77777777" w:rsidR="00972395" w:rsidRPr="00E73D4B" w:rsidRDefault="00F120C7" w:rsidP="00E73D4B">
      <w:pPr>
        <w:pStyle w:val="blokksit"/>
        <w:rPr>
          <w:rStyle w:val="kursiv"/>
        </w:rPr>
      </w:pPr>
      <w:r w:rsidRPr="00E73D4B">
        <w:rPr>
          <w:rStyle w:val="kursiv"/>
        </w:rPr>
        <w:t>«Stortinget ber regjeringen</w:t>
      </w:r>
      <w:r w:rsidRPr="00E73D4B">
        <w:t xml:space="preserve"> </w:t>
      </w:r>
      <w:r w:rsidRPr="00E73D4B">
        <w:rPr>
          <w:rStyle w:val="kursiv"/>
        </w:rPr>
        <w:t>legge frem forslag til endring av sosialtjenesteloven om at barnetrygd blir holdt utenfor ved beregning av økonomisk sosialhjelp, med sikte på ikrafttredelse fra 1. september.»</w:t>
      </w:r>
    </w:p>
    <w:p w14:paraId="5B950751" w14:textId="77777777" w:rsidR="00972395" w:rsidRPr="00E73D4B" w:rsidRDefault="00F120C7" w:rsidP="00E73D4B">
      <w:r w:rsidRPr="00E73D4B">
        <w:t xml:space="preserve">Vedtaket ble truffet ved behandling av Meld. St. 1 (2021–2022), </w:t>
      </w:r>
      <w:proofErr w:type="spellStart"/>
      <w:r w:rsidRPr="00E73D4B">
        <w:t>Innst</w:t>
      </w:r>
      <w:proofErr w:type="spellEnd"/>
      <w:r w:rsidRPr="00E73D4B">
        <w:t xml:space="preserve">. 2 S (2021–2022). </w:t>
      </w:r>
    </w:p>
    <w:p w14:paraId="7F46A0C3" w14:textId="77777777" w:rsidR="00972395" w:rsidRPr="00E73D4B" w:rsidRDefault="00F120C7" w:rsidP="00E73D4B">
      <w:r w:rsidRPr="00E73D4B">
        <w:t xml:space="preserve">Stortinget har vedtatt endring i sosialtjenesteloven § 18 om at det ikke skal tas hensyn til barnetrygd ved vurdering av søknad om økonomisk stønad, med ikrafttredelse 1. september 2022, jf. </w:t>
      </w:r>
      <w:proofErr w:type="spellStart"/>
      <w:r w:rsidRPr="00E73D4B">
        <w:t>Prop</w:t>
      </w:r>
      <w:proofErr w:type="spellEnd"/>
      <w:r w:rsidRPr="00E73D4B">
        <w:t xml:space="preserve">. 87 L (2021–2022), </w:t>
      </w:r>
      <w:proofErr w:type="spellStart"/>
      <w:r w:rsidRPr="00E73D4B">
        <w:t>Innst</w:t>
      </w:r>
      <w:proofErr w:type="spellEnd"/>
      <w:r w:rsidRPr="00E73D4B">
        <w:t xml:space="preserve">. 375 L (2021–2022) og Lovvedtak 102 (2021–2022). Med dette anses anmodningsvedtaket som fulgt opp. </w:t>
      </w:r>
    </w:p>
    <w:p w14:paraId="53926016" w14:textId="77777777" w:rsidR="00972395" w:rsidRPr="00E73D4B" w:rsidRDefault="00F120C7" w:rsidP="00E73D4B">
      <w:pPr>
        <w:pStyle w:val="avsnitt-tittel"/>
      </w:pPr>
      <w:r w:rsidRPr="00E73D4B">
        <w:t xml:space="preserve">Gjennomgang av regelverket for arbeidsavklaringspenger  </w:t>
      </w:r>
    </w:p>
    <w:p w14:paraId="317D0096" w14:textId="77777777" w:rsidR="00972395" w:rsidRPr="00E73D4B" w:rsidRDefault="00F120C7" w:rsidP="00E73D4B">
      <w:pPr>
        <w:pStyle w:val="avsnitt-undertittel"/>
      </w:pPr>
      <w:r w:rsidRPr="00E73D4B">
        <w:t>Vedtak 35, punkt 50 2. desember 2021</w:t>
      </w:r>
    </w:p>
    <w:p w14:paraId="238C571B" w14:textId="77777777" w:rsidR="00972395" w:rsidRPr="00E73D4B" w:rsidRDefault="00F120C7" w:rsidP="00E73D4B">
      <w:pPr>
        <w:pStyle w:val="blokksit"/>
        <w:rPr>
          <w:rStyle w:val="kursiv"/>
        </w:rPr>
      </w:pPr>
      <w:r w:rsidRPr="00E73D4B">
        <w:rPr>
          <w:rStyle w:val="kursiv"/>
        </w:rPr>
        <w:t>«Stortinget ber regjeringen</w:t>
      </w:r>
      <w:r w:rsidRPr="00E73D4B">
        <w:t xml:space="preserve"> </w:t>
      </w:r>
      <w:r w:rsidRPr="00E73D4B">
        <w:rPr>
          <w:rStyle w:val="kursiv"/>
        </w:rPr>
        <w:t>gjennomgå regelverket for arbeidsavklaringspenger og komme tilbake til Stortinget med forslag som skal sørge for at personer som mottar arbeidsavklaringspenger får forlengelse dersom de ikke er ferdig avklart fra Nav eller helsevesenet.»</w:t>
      </w:r>
    </w:p>
    <w:p w14:paraId="59F66DC4" w14:textId="77777777" w:rsidR="00972395" w:rsidRPr="00E73D4B" w:rsidRDefault="00F120C7" w:rsidP="00E73D4B">
      <w:r w:rsidRPr="00E73D4B">
        <w:t xml:space="preserve">Vedtaket ble truffet ved behandling av Meld. St. 1 (2021–2022), </w:t>
      </w:r>
      <w:proofErr w:type="spellStart"/>
      <w:r w:rsidRPr="00E73D4B">
        <w:t>Innst</w:t>
      </w:r>
      <w:proofErr w:type="spellEnd"/>
      <w:r w:rsidRPr="00E73D4B">
        <w:t xml:space="preserve">. 2 S (2021–2022). </w:t>
      </w:r>
    </w:p>
    <w:p w14:paraId="5DDDD291" w14:textId="77777777" w:rsidR="00972395" w:rsidRPr="00E73D4B" w:rsidRDefault="00F120C7" w:rsidP="00E73D4B">
      <w:r w:rsidRPr="00E73D4B">
        <w:t xml:space="preserve">Stortinget har vedtatt endringer i folketrygdloven §§ 11-12 og 11-31, med ikrafttredelse 1. juli 2022, jf. </w:t>
      </w:r>
      <w:proofErr w:type="spellStart"/>
      <w:r w:rsidRPr="00E73D4B">
        <w:t>Prop</w:t>
      </w:r>
      <w:proofErr w:type="spellEnd"/>
      <w:r w:rsidRPr="00E73D4B">
        <w:t xml:space="preserve">. 114 LS (2021–2022), </w:t>
      </w:r>
      <w:proofErr w:type="spellStart"/>
      <w:r w:rsidRPr="00E73D4B">
        <w:t>Innst</w:t>
      </w:r>
      <w:proofErr w:type="spellEnd"/>
      <w:r w:rsidRPr="00E73D4B">
        <w:t>. 449 L (2021–2022) og Lovvedtak 108 (2021–2022). Endringene innebærer at bestemmelsen om karensperiode på 52 uker før det er mulig å søke arbeidsavklaringspenger på nytt for de som har gått ut maksimal stønadsperiode er opphevet. Videre er bestemmelsene for unntak fra maksimal varighet endret, slik at det er innført et nytt arbeidsrettet unntak til erstatning for eksisterende unntaksbestemmelser. Det er også innført en overgangsordning for å sikre at mottakere av arbeidsavklaringspenger ikke blir stående uten ytelse inntil eventuell rett til arbeidsavklaringspenger etter nye regler har blitt vurdert. Med dette anses anmodningsvedtaket som fulgt opp.</w:t>
      </w:r>
    </w:p>
    <w:p w14:paraId="21E3E0C4" w14:textId="77777777" w:rsidR="00972395" w:rsidRPr="00E73D4B" w:rsidRDefault="00F120C7" w:rsidP="00E73D4B">
      <w:pPr>
        <w:pStyle w:val="avsnitt-tittel"/>
      </w:pPr>
      <w:r w:rsidRPr="00E73D4B">
        <w:t xml:space="preserve">Varig ordning for ferietillegg for dagpenger   </w:t>
      </w:r>
    </w:p>
    <w:p w14:paraId="3E327BBF" w14:textId="77777777" w:rsidR="00972395" w:rsidRPr="00E73D4B" w:rsidRDefault="00F120C7" w:rsidP="00E73D4B">
      <w:pPr>
        <w:pStyle w:val="avsnitt-undertittel"/>
      </w:pPr>
      <w:r w:rsidRPr="00E73D4B">
        <w:t>Vedtak 35, punkt 55 2. desember 2021</w:t>
      </w:r>
    </w:p>
    <w:p w14:paraId="31C21F3C" w14:textId="77777777" w:rsidR="00972395" w:rsidRPr="00E73D4B" w:rsidRDefault="00F120C7" w:rsidP="00E73D4B">
      <w:pPr>
        <w:pStyle w:val="blokksit"/>
        <w:rPr>
          <w:rStyle w:val="kursiv"/>
        </w:rPr>
      </w:pPr>
      <w:r w:rsidRPr="00E73D4B">
        <w:rPr>
          <w:rStyle w:val="kursiv"/>
        </w:rPr>
        <w:t>«Stortinget ber regjeringen komme tilbake med forslag til varig ordning for ferietillegg for dagpenger med opptjening i 2022.»</w:t>
      </w:r>
    </w:p>
    <w:p w14:paraId="7F351A42" w14:textId="77777777" w:rsidR="00972395" w:rsidRPr="00E73D4B" w:rsidRDefault="00F120C7" w:rsidP="00E73D4B">
      <w:r w:rsidRPr="00E73D4B">
        <w:t xml:space="preserve">Vedtaket ble truffet ved behandling av Meld. St. 1 (2021–2022), </w:t>
      </w:r>
      <w:proofErr w:type="spellStart"/>
      <w:r w:rsidRPr="00E73D4B">
        <w:t>Innst</w:t>
      </w:r>
      <w:proofErr w:type="spellEnd"/>
      <w:r w:rsidRPr="00E73D4B">
        <w:t xml:space="preserve">. 2 S (2021–2022). </w:t>
      </w:r>
    </w:p>
    <w:p w14:paraId="333D5189" w14:textId="77777777" w:rsidR="00972395" w:rsidRPr="00E73D4B" w:rsidRDefault="00F120C7" w:rsidP="00E73D4B">
      <w:r w:rsidRPr="00E73D4B">
        <w:t>For å bidra til å styrke inntektssikringen ved ferie, foreslår regjeringen å innføre et ferietillegg til dagpenger i 2023. Dagpengemottakere som har mottatt ytelsen i åtte uker eller mer i 2022, vil i 2023 få 9,5 pst. av utbetalte dagpenger i 2022. Regjeringen vil se nærmere på mulighetene for å innføre en ordning med ferietillegg til dagpenger fra 2024 som ligger nærmere ordningen med feriepenger for arbeidstakere.</w:t>
      </w:r>
    </w:p>
    <w:p w14:paraId="526DBC7A" w14:textId="77777777" w:rsidR="00972395" w:rsidRPr="00E73D4B" w:rsidRDefault="00F120C7" w:rsidP="00E73D4B">
      <w:pPr>
        <w:pStyle w:val="avsnitt-tittel"/>
      </w:pPr>
      <w:r w:rsidRPr="00E73D4B">
        <w:t xml:space="preserve">Utrede behovet for flere varig tilrettelagte arbeidsplasser (VTA)    </w:t>
      </w:r>
    </w:p>
    <w:p w14:paraId="56E467A4" w14:textId="77777777" w:rsidR="00972395" w:rsidRPr="00E73D4B" w:rsidRDefault="00F120C7" w:rsidP="00E73D4B">
      <w:pPr>
        <w:pStyle w:val="avsnitt-undertittel"/>
      </w:pPr>
      <w:r w:rsidRPr="00E73D4B">
        <w:t>Vedtak 406, 3. mars 2022</w:t>
      </w:r>
    </w:p>
    <w:p w14:paraId="1368D7D2" w14:textId="77777777" w:rsidR="00972395" w:rsidRPr="00E73D4B" w:rsidRDefault="00F120C7" w:rsidP="00E73D4B">
      <w:pPr>
        <w:pStyle w:val="blokksit"/>
        <w:rPr>
          <w:rStyle w:val="kursiv"/>
        </w:rPr>
      </w:pPr>
      <w:r w:rsidRPr="00E73D4B">
        <w:rPr>
          <w:rStyle w:val="kursiv"/>
        </w:rPr>
        <w:t>«Stortinget ber regjeringen utrede behovet for flere varig tilrettelagte arbeidsplasser (VTA) i skjermet og ordinær virksomhet, og komme tilbake til Stortinget på egnet måte.</w:t>
      </w:r>
    </w:p>
    <w:p w14:paraId="382C5394" w14:textId="77777777" w:rsidR="00972395" w:rsidRPr="00E73D4B" w:rsidRDefault="00F120C7" w:rsidP="00E73D4B">
      <w:r w:rsidRPr="00E73D4B">
        <w:t xml:space="preserve">Vedtaket ble truffet ved behandling av Dokument 8:45 S (2021–2022), </w:t>
      </w:r>
      <w:proofErr w:type="spellStart"/>
      <w:r w:rsidRPr="00E73D4B">
        <w:t>Innst</w:t>
      </w:r>
      <w:proofErr w:type="spellEnd"/>
      <w:r w:rsidRPr="00E73D4B">
        <w:t xml:space="preserve">. 160 S (2021–2022). </w:t>
      </w:r>
    </w:p>
    <w:p w14:paraId="178F28C3" w14:textId="77777777" w:rsidR="00972395" w:rsidRPr="00E73D4B" w:rsidRDefault="00F120C7" w:rsidP="00E73D4B">
      <w:r w:rsidRPr="00E73D4B">
        <w:t xml:space="preserve">Se oppfølging av vedtak 408, 3. mars 2022. </w:t>
      </w:r>
    </w:p>
    <w:p w14:paraId="6A1B8C11" w14:textId="77777777" w:rsidR="00972395" w:rsidRPr="00E73D4B" w:rsidRDefault="00F120C7" w:rsidP="00E73D4B">
      <w:pPr>
        <w:pStyle w:val="avsnitt-tittel"/>
      </w:pPr>
      <w:r w:rsidRPr="00E73D4B">
        <w:t xml:space="preserve">Utvikle modeller for tettere oppfølging i varig tilrettelagt arbeid i ordinær virksomhet (VTA-O)   </w:t>
      </w:r>
    </w:p>
    <w:p w14:paraId="3DD9501A" w14:textId="77777777" w:rsidR="00972395" w:rsidRPr="00E73D4B" w:rsidRDefault="00F120C7" w:rsidP="00E73D4B">
      <w:pPr>
        <w:pStyle w:val="avsnitt-undertittel"/>
      </w:pPr>
      <w:r w:rsidRPr="00E73D4B">
        <w:t>Vedtak 407, 3. mars 2022</w:t>
      </w:r>
    </w:p>
    <w:p w14:paraId="54E2CCD0" w14:textId="77777777" w:rsidR="00972395" w:rsidRPr="00E73D4B" w:rsidRDefault="00F120C7" w:rsidP="00E73D4B">
      <w:pPr>
        <w:pStyle w:val="blokksit"/>
        <w:rPr>
          <w:rStyle w:val="kursiv"/>
        </w:rPr>
      </w:pPr>
      <w:r w:rsidRPr="00E73D4B">
        <w:rPr>
          <w:rStyle w:val="kursiv"/>
        </w:rPr>
        <w:t>«Stortinget ber regjeringen sørge for at det utvikles bedre modeller for oppfølging i VTA-O, inspirert av eksempelvis HELT MED, og komme tilbake til Stortinget på egnet måte. Tilrettelagt oppfølging for personer med utviklingshemming i ordinært arbeidsliv må være av varig karakter.»</w:t>
      </w:r>
    </w:p>
    <w:p w14:paraId="1BD81976" w14:textId="77777777" w:rsidR="00972395" w:rsidRPr="00E73D4B" w:rsidRDefault="00F120C7" w:rsidP="00E73D4B">
      <w:r w:rsidRPr="00E73D4B">
        <w:t xml:space="preserve">Vedtaket ble truffet ved behandling av Dokument 8:45 S (2021–2022), </w:t>
      </w:r>
      <w:proofErr w:type="spellStart"/>
      <w:r w:rsidRPr="00E73D4B">
        <w:t>Innst</w:t>
      </w:r>
      <w:proofErr w:type="spellEnd"/>
      <w:r w:rsidRPr="00E73D4B">
        <w:t xml:space="preserve">. 160 S (2021–2022). </w:t>
      </w:r>
    </w:p>
    <w:p w14:paraId="4C558BCC" w14:textId="77777777" w:rsidR="00972395" w:rsidRPr="00E73D4B" w:rsidRDefault="00F120C7" w:rsidP="00E73D4B">
      <w:r w:rsidRPr="00E73D4B">
        <w:t xml:space="preserve">Se oppfølging av vedtak 409, 3. mars 2022. </w:t>
      </w:r>
    </w:p>
    <w:p w14:paraId="08E0F957" w14:textId="77777777" w:rsidR="00972395" w:rsidRPr="00E73D4B" w:rsidRDefault="00F120C7" w:rsidP="00E73D4B">
      <w:pPr>
        <w:pStyle w:val="avsnitt-tittel"/>
      </w:pPr>
      <w:r w:rsidRPr="00E73D4B">
        <w:t xml:space="preserve">Utrede behovet for flere varig tilrettelagte arbeidsplasser (VTA), innen statsbudsjettet for 2023   </w:t>
      </w:r>
    </w:p>
    <w:p w14:paraId="39CA251F" w14:textId="77777777" w:rsidR="00972395" w:rsidRPr="00E73D4B" w:rsidRDefault="00F120C7" w:rsidP="00E73D4B">
      <w:pPr>
        <w:pStyle w:val="avsnitt-undertittel"/>
      </w:pPr>
      <w:r w:rsidRPr="00E73D4B">
        <w:t>Vedtak 408, 3. mars 2022</w:t>
      </w:r>
    </w:p>
    <w:p w14:paraId="1AFED7AD" w14:textId="77777777" w:rsidR="00972395" w:rsidRPr="00E73D4B" w:rsidRDefault="00F120C7" w:rsidP="00E73D4B">
      <w:pPr>
        <w:pStyle w:val="blokksit"/>
        <w:rPr>
          <w:rStyle w:val="kursiv"/>
        </w:rPr>
      </w:pPr>
      <w:r w:rsidRPr="00E73D4B">
        <w:rPr>
          <w:rStyle w:val="kursiv"/>
        </w:rPr>
        <w:t>«Stortinget ber regjeringen utrede behovet for flere varig tilrettelagte arbeidsplasser (VTA) i skjermet og ordinær virksomhet, og komme tilbake til Stortinget på egnet måte, senest innen statsbudsjettet for 2023.»</w:t>
      </w:r>
    </w:p>
    <w:p w14:paraId="3DA4D147" w14:textId="77777777" w:rsidR="00972395" w:rsidRPr="00E73D4B" w:rsidRDefault="00F120C7" w:rsidP="00E73D4B">
      <w:r w:rsidRPr="00E73D4B">
        <w:t xml:space="preserve">Vedtaket ble truffet ved behandling av Dokument 8:45 S (2021–2022), </w:t>
      </w:r>
      <w:proofErr w:type="spellStart"/>
      <w:r w:rsidRPr="00E73D4B">
        <w:t>Innst</w:t>
      </w:r>
      <w:proofErr w:type="spellEnd"/>
      <w:r w:rsidRPr="00E73D4B">
        <w:t xml:space="preserve">. 160 S (2021–2022). </w:t>
      </w:r>
    </w:p>
    <w:p w14:paraId="76FD6AEE" w14:textId="77777777" w:rsidR="00972395" w:rsidRPr="00E73D4B" w:rsidRDefault="00F120C7" w:rsidP="00E73D4B">
      <w:r w:rsidRPr="00E73D4B">
        <w:t xml:space="preserve">Arbeids- og inkluderingsdepartementet har fulgt opp anmodningsvedtaket gjennom å be Arbeids- og velferdsdirektoratet anslå behovet for nye plasser i varig tilrettelagt arbeid (VTA) de tre nærmeste årene (2023–2025). </w:t>
      </w:r>
    </w:p>
    <w:p w14:paraId="72FC1A01" w14:textId="77777777" w:rsidR="00972395" w:rsidRPr="00E73D4B" w:rsidRDefault="00F120C7" w:rsidP="00E73D4B">
      <w:r w:rsidRPr="00E73D4B">
        <w:t>Arbeids- og velferdsdirektoratet har anslått målgruppen for VTA, dels ved hjelp av registerdata, dels gjennom å innhente tilbakemeldinger fra Arbeids- og velferdsetatens fylkesledd. Estimatet er gjort ved at man først har forsøkt å avgrense grovt hvor mange uføretrygdede som ligner på deltakerne i VTA ved hjelp av tilgjengelige registerdata om alder, utdanning, diagnose og uføregrad. Direktoratet kommer til at om lag 16 pst. av denne gruppen er i VTA i dag. Deretter har man framskrevet utviklingen og kommet fram til hvor mange nye plasser som skal til for å opprettholde samme forhold mellom denne gruppen og antall VTA-plasser i årene framover, gitt den nåværende innstrømmingen til uføretrygd. Ifølge direktoratets beregninger vil dette forutsette at det opprettes om lag 1 900 nye plasser årlig fram t.o.m. 2025.</w:t>
      </w:r>
      <w:r w:rsidRPr="00E73D4B">
        <w:rPr>
          <w:rStyle w:val="Fotnotereferanse"/>
        </w:rPr>
        <w:footnoteReference w:id="1"/>
      </w:r>
      <w:r w:rsidRPr="00E73D4B">
        <w:t xml:space="preserve"> Direktoratet understreker at det er svært vanskelig å anslå framtidig behov for VTA-plasser, og at det er stor usikkerhet knyttet til estimatet. Det skyldes både svakheter i datagrunnlaget, og at registerbaserte data har begrenset verdi når det gjelder å anslå brukernes funksjonsnivå og ikke fanger opp andre ikke-målbare forhold som er sentrale for en konkret vurdering av behov og om personen er aktuell for tiltaket. Informasjon fra Arbeids- og velferdsetatens fylkesledd gir lavere anslag enn den registerbaserte analysen. Også disse anslagene er svært usikre. De fleste fylkesleddene baserer anslagene på antall personer som er registrert med en status som indikerer at de venter på plass. En del av disse vil ikke være aktuelle for tiltaket, samtidig som det også kan være personer med behov for tiltaket som ikke er i kontakt med NAV-kontoret. Dersom alle i denne gruppen skulle få tilbud om VTA, vil det på usikkert grunnlag kreve om lag 900-1 000 nye plasser per år de neste tre årene, fordelt med om lag 500 plasser per år i VTA i skjermet virksomhet og om lag 400 plasser per år for VTA i ordinær virksomhet. </w:t>
      </w:r>
    </w:p>
    <w:p w14:paraId="4C7E87C8" w14:textId="77777777" w:rsidR="00972395" w:rsidRPr="00E73D4B" w:rsidRDefault="00F120C7" w:rsidP="00E73D4B">
      <w:r w:rsidRPr="00E73D4B">
        <w:t>Arbeids- og velferdsdirektoratet understreker at man ikke har erfaring med utbygging av et slikt antall plasser per år.</w:t>
      </w:r>
    </w:p>
    <w:p w14:paraId="2D2BE165" w14:textId="77777777" w:rsidR="00972395" w:rsidRPr="00E73D4B" w:rsidRDefault="00F120C7" w:rsidP="00E73D4B">
      <w:r w:rsidRPr="00E73D4B">
        <w:t>Med dette anses anmodningsvedtaket som fulgt opp.</w:t>
      </w:r>
    </w:p>
    <w:p w14:paraId="07729C16" w14:textId="77777777" w:rsidR="00972395" w:rsidRPr="00E73D4B" w:rsidRDefault="00F120C7" w:rsidP="00E73D4B">
      <w:pPr>
        <w:pStyle w:val="avsnitt-tittel"/>
      </w:pPr>
      <w:r w:rsidRPr="00E73D4B">
        <w:t xml:space="preserve">Utvikle modeller for tettere oppfølging i varig tilrettelagt arbeid i ordinær virksomhet (VTA-O) hvor også andre kan være ansvarlig for oppfølging   </w:t>
      </w:r>
    </w:p>
    <w:p w14:paraId="52DABAE7" w14:textId="77777777" w:rsidR="00972395" w:rsidRPr="00E73D4B" w:rsidRDefault="00F120C7" w:rsidP="00E73D4B">
      <w:pPr>
        <w:pStyle w:val="avsnitt-undertittel"/>
      </w:pPr>
      <w:r w:rsidRPr="00E73D4B">
        <w:t>Vedtak 409, 3. mars 2022</w:t>
      </w:r>
    </w:p>
    <w:p w14:paraId="2C4111A0" w14:textId="77777777" w:rsidR="00972395" w:rsidRPr="00E73D4B" w:rsidRDefault="00F120C7" w:rsidP="00E73D4B">
      <w:pPr>
        <w:pStyle w:val="blokksit"/>
        <w:rPr>
          <w:rStyle w:val="kursiv"/>
        </w:rPr>
      </w:pPr>
      <w:r w:rsidRPr="00E73D4B">
        <w:rPr>
          <w:rStyle w:val="kursiv"/>
        </w:rPr>
        <w:t>«Stortinget ber regjeringen sørge for at det utvikles bedre modeller for oppfølging i VTA-O, hvor også andre aktører enn Nav - eksempelvis HELT MED - kan være ansvarlig for oppfølging, og komme tilbake til Stortinget på egnet måte, senest innen statsbudsjettet for 2023. Tilrettelagt oppfølging for personer med utviklingshemming i ordinært arbeidsliv må være av varig karakter og ha et omfang tilsvarende det som praktiseres i HELT MED-modellen.»</w:t>
      </w:r>
    </w:p>
    <w:p w14:paraId="574DFB91" w14:textId="77777777" w:rsidR="00972395" w:rsidRPr="00E73D4B" w:rsidRDefault="00F120C7" w:rsidP="00E73D4B">
      <w:r w:rsidRPr="00E73D4B">
        <w:t xml:space="preserve">Vedtaket ble truffet ved behandling av Dokument 8:45 S (2021–2022), </w:t>
      </w:r>
      <w:proofErr w:type="spellStart"/>
      <w:r w:rsidRPr="00E73D4B">
        <w:t>Innst</w:t>
      </w:r>
      <w:proofErr w:type="spellEnd"/>
      <w:r w:rsidRPr="00E73D4B">
        <w:t xml:space="preserve">. 160 S (2021–2022). </w:t>
      </w:r>
    </w:p>
    <w:p w14:paraId="65B8DEB6" w14:textId="77777777" w:rsidR="00972395" w:rsidRPr="00E73D4B" w:rsidRDefault="00F120C7" w:rsidP="00E73D4B">
      <w:r w:rsidRPr="00E73D4B">
        <w:t xml:space="preserve">Det vil bli gjennomført forsøk i to til tre fylker med en varighet på tre til fire år. Arbeids- og velferdsetaten gir i dag tilskudd til arbeidsgivere som ansetter deltakere i varig tilrettelagt arbeid i ordinær virksomhet (p.t. 6 241 kroner i måneden). Forsøket tar bl.a. sikte på å prøve ut om oppfølging av deltakerne og veiledning for arbeidsgiverne kan erstatte tilskuddet. Sentrale elementer i forsøket vil være: </w:t>
      </w:r>
    </w:p>
    <w:p w14:paraId="0044E1AF" w14:textId="77777777" w:rsidR="00972395" w:rsidRPr="00E73D4B" w:rsidRDefault="00F120C7" w:rsidP="00E73D4B">
      <w:pPr>
        <w:pStyle w:val="Liste"/>
      </w:pPr>
      <w:r w:rsidRPr="00E73D4B">
        <w:t xml:space="preserve">Styrkede forberedelser og dialog med arbeidsgiverne i fasen før deltakere blir tilsatt. </w:t>
      </w:r>
    </w:p>
    <w:p w14:paraId="6D92A9D3" w14:textId="77777777" w:rsidR="00972395" w:rsidRPr="00E73D4B" w:rsidRDefault="00F120C7" w:rsidP="00E73D4B">
      <w:pPr>
        <w:pStyle w:val="Liste"/>
      </w:pPr>
      <w:r w:rsidRPr="00E73D4B">
        <w:t xml:space="preserve">Tett oppfølging av deltaker i en innledende periode, f.eks. det første året etter ansettelse. Det antas at behovet for tett oppfølging vil reduseres etter noe tid i virksomhet. Oppfølgingen vil da i hovedsak overlates til virksomheten selv. Det etableres imidlertid en beredskap av varig karakter, hvor virksomhetene og bruker skal kunne få støtte på kort varsel når det blir nødvendig. </w:t>
      </w:r>
    </w:p>
    <w:p w14:paraId="2E89E6C9" w14:textId="77777777" w:rsidR="00972395" w:rsidRPr="00E73D4B" w:rsidRDefault="00F120C7" w:rsidP="00E73D4B">
      <w:r w:rsidRPr="00E73D4B">
        <w:t>Arbeids- og inkluderingsdepartementet legger opp til en fleksibel modell der oppfølging dels være vil være basert på kjøp fra aktører med kompetanse på å levere denne type tjeneste, dels ved hjelp av Arbeids- og velferdsetatens egne ansatte når dette er mer hensiktsmessig. Begge modeller vil bli prøvd ut i forsøket. Bruk av etatens egne ansatte vil bl.a. være aktuelt på steder i landet hvor antall deltakere er for få til at det er interessant for andre aktører å etablere en slik tjeneste. Arbeids- og velferdsetaten har i senere år etablert kompetanse på oppfølgingstjenester i egen regi for andre grupper med svake forutsetninger i arbeidslivet, gjennom tiltakene utvidet oppfølging og individuell jobbstøtte (IPS).</w:t>
      </w:r>
    </w:p>
    <w:p w14:paraId="7B677ADE" w14:textId="77777777" w:rsidR="00972395" w:rsidRPr="00E73D4B" w:rsidRDefault="00F120C7" w:rsidP="00E73D4B">
      <w:r w:rsidRPr="00E73D4B">
        <w:t>Med dette anses anmodningsvedtaket som fulgt opp.</w:t>
      </w:r>
    </w:p>
    <w:p w14:paraId="4BE18C49" w14:textId="77777777" w:rsidR="00972395" w:rsidRPr="00E73D4B" w:rsidRDefault="00F120C7" w:rsidP="00E73D4B">
      <w:pPr>
        <w:pStyle w:val="avsnitt-tittel"/>
      </w:pPr>
      <w:r w:rsidRPr="00E73D4B">
        <w:t xml:space="preserve">Utrede om selvstendig næringsdrivende og frilansere skal opparbeide seg sterkere rettigheter til inntektssikring </w:t>
      </w:r>
    </w:p>
    <w:p w14:paraId="26CFAD41" w14:textId="77777777" w:rsidR="00972395" w:rsidRPr="00E73D4B" w:rsidRDefault="00F120C7" w:rsidP="00E73D4B">
      <w:pPr>
        <w:pStyle w:val="avsnitt-undertittel"/>
      </w:pPr>
      <w:r w:rsidRPr="00E73D4B">
        <w:t>Vedtak 456, 31. mars 2022</w:t>
      </w:r>
    </w:p>
    <w:p w14:paraId="08365D33" w14:textId="77777777" w:rsidR="00972395" w:rsidRPr="00E73D4B" w:rsidRDefault="00F120C7" w:rsidP="00E73D4B">
      <w:pPr>
        <w:pStyle w:val="blokksit"/>
        <w:rPr>
          <w:rStyle w:val="kursiv"/>
        </w:rPr>
      </w:pPr>
      <w:r w:rsidRPr="00E73D4B">
        <w:rPr>
          <w:rStyle w:val="kursiv"/>
        </w:rPr>
        <w:t>«Stortinget ber regjeringen utrede om selvstendig næringsdrivende og frilansere skal opparbeide seg sterkere rettigheter til inntektssikring, inkludert forbedring av sykelønnsordningen og sosiale ordninger for selvstendig næringsdrivende.»</w:t>
      </w:r>
    </w:p>
    <w:p w14:paraId="28A2250D" w14:textId="77777777" w:rsidR="00972395" w:rsidRPr="00E73D4B" w:rsidRDefault="00F120C7" w:rsidP="00E73D4B">
      <w:r w:rsidRPr="00E73D4B">
        <w:t xml:space="preserve">Vedtaket ble truffet ved behandling av Dokument 8:92 S (2021–2022), </w:t>
      </w:r>
      <w:proofErr w:type="spellStart"/>
      <w:r w:rsidRPr="00E73D4B">
        <w:t>Innst</w:t>
      </w:r>
      <w:proofErr w:type="spellEnd"/>
      <w:r w:rsidRPr="00E73D4B">
        <w:t xml:space="preserve">. 215 S (2021–2022). </w:t>
      </w:r>
    </w:p>
    <w:p w14:paraId="6F742E0D" w14:textId="77777777" w:rsidR="00972395" w:rsidRPr="00E73D4B" w:rsidRDefault="00F120C7" w:rsidP="00E73D4B">
      <w:r w:rsidRPr="00E73D4B">
        <w:t xml:space="preserve">Som et ledd i utredningsarbeidet har Arbeids- og inkluderingsdepartementet gitt Vista Analyse i oppdrag å evaluere de individuelle forsikringsordningene for tilleggssykepenger for selvstendig næringsdrivende og frilansere. Regjeringen vil komme tilbake til Stortinget på et senere tidspunkt om videre oppfølging av anmodningsvedtaket. </w:t>
      </w:r>
    </w:p>
    <w:p w14:paraId="571789C1" w14:textId="77777777" w:rsidR="00972395" w:rsidRPr="00E73D4B" w:rsidRDefault="00F120C7" w:rsidP="00E73D4B">
      <w:pPr>
        <w:pStyle w:val="avsnitt-tittel"/>
      </w:pPr>
      <w:r w:rsidRPr="00E73D4B">
        <w:t>Samarbeidsavtaler mellom kommunene og frivillige organisasjoner for å styrke det lokale integreringsarbeidet</w:t>
      </w:r>
    </w:p>
    <w:p w14:paraId="3D0C93A5" w14:textId="77777777" w:rsidR="00972395" w:rsidRPr="00E73D4B" w:rsidRDefault="00F120C7" w:rsidP="00E73D4B">
      <w:pPr>
        <w:pStyle w:val="avsnitt-undertittel"/>
      </w:pPr>
      <w:r w:rsidRPr="00E73D4B">
        <w:t>Vedtak 574, 24. mai 2022</w:t>
      </w:r>
    </w:p>
    <w:p w14:paraId="2688F550" w14:textId="77777777" w:rsidR="00972395" w:rsidRPr="00E73D4B" w:rsidRDefault="00F120C7" w:rsidP="00E73D4B">
      <w:pPr>
        <w:pStyle w:val="blokksit"/>
        <w:rPr>
          <w:rStyle w:val="kursiv"/>
        </w:rPr>
      </w:pPr>
      <w:r w:rsidRPr="00E73D4B">
        <w:rPr>
          <w:rStyle w:val="kursiv"/>
        </w:rPr>
        <w:t>«Stortinget ber regjeringen ta initiativ til at kommunene oppretter samarbeidsavtaler med frivillige organisasjoner for å styrke det lokale integreringsarbeidet»</w:t>
      </w:r>
    </w:p>
    <w:p w14:paraId="6F37C5C4" w14:textId="77777777" w:rsidR="00972395" w:rsidRPr="00E73D4B" w:rsidRDefault="00F120C7" w:rsidP="00E73D4B">
      <w:r w:rsidRPr="00E73D4B">
        <w:t xml:space="preserve">Vedtaket ble truffet ved behandling av Dokument 8:177 S (2021–2022), </w:t>
      </w:r>
      <w:proofErr w:type="spellStart"/>
      <w:r w:rsidRPr="00E73D4B">
        <w:t>Innst</w:t>
      </w:r>
      <w:proofErr w:type="spellEnd"/>
      <w:r w:rsidRPr="00E73D4B">
        <w:t xml:space="preserve">. 288 S (2021–2022). </w:t>
      </w:r>
    </w:p>
    <w:p w14:paraId="49AAE9E3" w14:textId="77777777" w:rsidR="00972395" w:rsidRPr="00E73D4B" w:rsidRDefault="00F120C7" w:rsidP="00E73D4B">
      <w:r w:rsidRPr="00E73D4B">
        <w:t xml:space="preserve">Tilskudd til frivillige organisasjoner ble styrket med 65 mill. kroner, jf. </w:t>
      </w:r>
      <w:proofErr w:type="spellStart"/>
      <w:r w:rsidRPr="00E73D4B">
        <w:t>Prop</w:t>
      </w:r>
      <w:proofErr w:type="spellEnd"/>
      <w:r w:rsidRPr="00E73D4B">
        <w:t xml:space="preserve">. 78 S (2021–2022), </w:t>
      </w:r>
      <w:proofErr w:type="spellStart"/>
      <w:r w:rsidRPr="00E73D4B">
        <w:t>Innst</w:t>
      </w:r>
      <w:proofErr w:type="spellEnd"/>
      <w:r w:rsidRPr="00E73D4B">
        <w:t xml:space="preserve">. 270 S (2021–2022). Gjennom deltakelse i en frivillig organisasjon kan nyankomne innvandrere i en kommune bli kjent med lokalsamfunnet og bl.a. få anledning til å praktisere norsk. Mange kommuner har allerede samarbeidsavtaler med frivillige organisasjoner. Integrerings- og </w:t>
      </w:r>
      <w:proofErr w:type="spellStart"/>
      <w:r w:rsidRPr="00E73D4B">
        <w:t>mangfoldsdirektoratet</w:t>
      </w:r>
      <w:proofErr w:type="spellEnd"/>
      <w:r w:rsidRPr="00E73D4B">
        <w:t xml:space="preserve"> veileder kommunene om hvordan kommuner og frivillige organisasjoner kan samarbeide for å øke innvandrernes deltakelse i lokalsamfunnet. </w:t>
      </w:r>
      <w:proofErr w:type="spellStart"/>
      <w:r w:rsidRPr="00E73D4B">
        <w:t>IMDi</w:t>
      </w:r>
      <w:proofErr w:type="spellEnd"/>
      <w:r w:rsidRPr="00E73D4B">
        <w:t xml:space="preserve"> og kommunene legger bl.a. vekt på om frivillige organisasjoner gir en beskrivelse av samarbeid med kommuner, fylkeskommuner og andre frivillige organisasjoner ved søknadsvurdering og tildeling av tilskuddsmidler, jf. rundskriv for tilskudd til integreringsarbeid i regi av frivillige organisasjoner. Med dette anses anmodningsvedtaket som fulgt opp.</w:t>
      </w:r>
    </w:p>
    <w:p w14:paraId="3CDB82B4" w14:textId="77777777" w:rsidR="00972395" w:rsidRPr="00E73D4B" w:rsidRDefault="00F120C7" w:rsidP="00E73D4B">
      <w:pPr>
        <w:pStyle w:val="avsnitt-tittel"/>
      </w:pPr>
      <w:r w:rsidRPr="00E73D4B">
        <w:t>Tilgjengelighet og kvalitet i økonomisk rådgivning og gjeldsrådgivning</w:t>
      </w:r>
    </w:p>
    <w:p w14:paraId="4C321A0B" w14:textId="77777777" w:rsidR="00972395" w:rsidRPr="00E73D4B" w:rsidRDefault="00F120C7" w:rsidP="00E73D4B">
      <w:pPr>
        <w:pStyle w:val="avsnitt-undertittel"/>
      </w:pPr>
      <w:r w:rsidRPr="00E73D4B">
        <w:t>Vedtak 794, 15. juni 2022</w:t>
      </w:r>
    </w:p>
    <w:p w14:paraId="391DEBFE" w14:textId="77777777" w:rsidR="00972395" w:rsidRPr="00E73D4B" w:rsidRDefault="00F120C7" w:rsidP="00E73D4B">
      <w:pPr>
        <w:pStyle w:val="blokksit"/>
      </w:pPr>
      <w:r w:rsidRPr="00E73D4B">
        <w:rPr>
          <w:rStyle w:val="kursiv"/>
        </w:rPr>
        <w:t>«Stortinget ber regjeringen komme tilbake til Stortinget på egnet måte med en rapport om dekningsgrad for gjeldsrådgivere, ventetiden for å få time hos en gjeldsrådgiver og hvilken kompetanse gjeldsrådgiverne har.»</w:t>
      </w:r>
    </w:p>
    <w:p w14:paraId="4BF33A80" w14:textId="77777777" w:rsidR="00972395" w:rsidRPr="00E73D4B" w:rsidRDefault="00F120C7" w:rsidP="00E73D4B">
      <w:r w:rsidRPr="00E73D4B">
        <w:t xml:space="preserve">Vedtaket ble truffet ved behandling av Dokument 8:200 S (2021-2022), </w:t>
      </w:r>
      <w:proofErr w:type="spellStart"/>
      <w:r w:rsidRPr="00E73D4B">
        <w:t>Innst</w:t>
      </w:r>
      <w:proofErr w:type="spellEnd"/>
      <w:r w:rsidRPr="00E73D4B">
        <w:t>. 373 S (2021- 2022).</w:t>
      </w:r>
    </w:p>
    <w:p w14:paraId="4D18286D" w14:textId="77777777" w:rsidR="00972395" w:rsidRPr="00E73D4B" w:rsidRDefault="00F120C7" w:rsidP="00E73D4B">
      <w:r w:rsidRPr="00E73D4B">
        <w:t>Anmodningsvedtaket er til behandling i departementet. Regjeringen vil komme tilbake til Stortinget på et senere tidspunkt.</w:t>
      </w:r>
    </w:p>
    <w:p w14:paraId="32D3B4F7" w14:textId="77777777" w:rsidR="00972395" w:rsidRPr="00E73D4B" w:rsidRDefault="00F120C7" w:rsidP="00E73D4B">
      <w:pPr>
        <w:pStyle w:val="avsnitt-tittel"/>
      </w:pPr>
      <w:r w:rsidRPr="00E73D4B">
        <w:t>Beregning av uføretrygd når inntektsevnen tidligere har vært nedsatt pga. delvis uførhet uten at inngangsvilkåret for uføreytelser i folketrygden har vært oppfylt</w:t>
      </w:r>
    </w:p>
    <w:p w14:paraId="7ED239A0" w14:textId="77777777" w:rsidR="00972395" w:rsidRPr="00E73D4B" w:rsidRDefault="00F120C7" w:rsidP="00E73D4B">
      <w:pPr>
        <w:pStyle w:val="avsnitt-undertittel"/>
      </w:pPr>
      <w:r w:rsidRPr="00E73D4B">
        <w:t>Vedtak 813, 16. juni 2022</w:t>
      </w:r>
    </w:p>
    <w:p w14:paraId="61F99D6B" w14:textId="77777777" w:rsidR="00972395" w:rsidRPr="00E73D4B" w:rsidRDefault="00F120C7" w:rsidP="00E73D4B">
      <w:pPr>
        <w:pStyle w:val="blokksit"/>
        <w:rPr>
          <w:rStyle w:val="kursiv"/>
        </w:rPr>
      </w:pPr>
      <w:r w:rsidRPr="00E73D4B">
        <w:rPr>
          <w:rStyle w:val="kursiv"/>
        </w:rPr>
        <w:t>«Stortinget ber regjeringen foreta en gjennomgang av problemstillingen om at arbeidsfolk som blir syke, men som ønsker å fortsette i inntektsbringende arbeid utover 50 pst., får lavere uføretrygd dersom de på et seinere tidspunkt må søke uføretrygd fordi arbeidskapasiteten blir ytterligere redusert, og komme tilbake på egnet måte til Stortinget.»</w:t>
      </w:r>
    </w:p>
    <w:p w14:paraId="4018FA19" w14:textId="77777777" w:rsidR="00972395" w:rsidRPr="00E73D4B" w:rsidRDefault="00F120C7" w:rsidP="00E73D4B">
      <w:r w:rsidRPr="00E73D4B">
        <w:t xml:space="preserve">Vedtaket ble truffet ved behandling av Dokument 8:189 S (2021–2022), </w:t>
      </w:r>
      <w:proofErr w:type="spellStart"/>
      <w:r w:rsidRPr="00E73D4B">
        <w:t>Innst</w:t>
      </w:r>
      <w:proofErr w:type="spellEnd"/>
      <w:r w:rsidRPr="00E73D4B">
        <w:t xml:space="preserve">. 424 S (2021–2022). </w:t>
      </w:r>
    </w:p>
    <w:p w14:paraId="193F5DF6" w14:textId="77777777" w:rsidR="00972395" w:rsidRPr="00E73D4B" w:rsidRDefault="00F120C7" w:rsidP="00E73D4B">
      <w:r w:rsidRPr="00E73D4B">
        <w:t xml:space="preserve">Anmodningsvedtaket er til behandling i departementet. Regjeringen vil komme tilbake til Stortinget på egnet måte. </w:t>
      </w:r>
    </w:p>
    <w:p w14:paraId="2F0467C8" w14:textId="77777777" w:rsidR="00972395" w:rsidRPr="00E73D4B" w:rsidRDefault="00F120C7" w:rsidP="00E73D4B">
      <w:pPr>
        <w:pStyle w:val="avsnitt-tittel"/>
      </w:pPr>
      <w:r w:rsidRPr="00E73D4B">
        <w:t>Lovendringer for å styrke ansattes vern mot natt- og alenearbeid</w:t>
      </w:r>
    </w:p>
    <w:p w14:paraId="570E2D16" w14:textId="77777777" w:rsidR="00972395" w:rsidRPr="00E73D4B" w:rsidRDefault="00F120C7" w:rsidP="00E73D4B">
      <w:pPr>
        <w:pStyle w:val="avsnitt-undertittel"/>
      </w:pPr>
      <w:r w:rsidRPr="00E73D4B">
        <w:t>Vedtak 814, 16. juni 2022</w:t>
      </w:r>
    </w:p>
    <w:p w14:paraId="55E47F21" w14:textId="77777777" w:rsidR="00972395" w:rsidRPr="00E73D4B" w:rsidRDefault="00F120C7" w:rsidP="00E73D4B">
      <w:pPr>
        <w:pStyle w:val="blokksit"/>
        <w:rPr>
          <w:rStyle w:val="kursiv"/>
        </w:rPr>
      </w:pPr>
      <w:r w:rsidRPr="00E73D4B">
        <w:rPr>
          <w:rStyle w:val="kursiv"/>
        </w:rPr>
        <w:t>«Stortinget ber regjeringen sette ned et utvalg som skal utrede og legge frem forslag til lovendringer for å styrke ansattes vern mot natt- og alenearbeid. Særlig må det sikres at ansatte i varehandelen er tilstrekkelig beskyttet av arbeidsmiljølovens bestemmelser om kvelds-, helge- og nattarbeid. Partene må være representert i utvalget.»</w:t>
      </w:r>
    </w:p>
    <w:p w14:paraId="39EE0289" w14:textId="77777777" w:rsidR="00972395" w:rsidRPr="00E73D4B" w:rsidRDefault="00F120C7" w:rsidP="00E73D4B">
      <w:r w:rsidRPr="00E73D4B">
        <w:t xml:space="preserve">Vedtaket ble truffet ved behandling av Dokument 8:208 S (2021–2022), </w:t>
      </w:r>
      <w:proofErr w:type="spellStart"/>
      <w:r w:rsidRPr="00E73D4B">
        <w:t>Innst</w:t>
      </w:r>
      <w:proofErr w:type="spellEnd"/>
      <w:r w:rsidRPr="00E73D4B">
        <w:t xml:space="preserve">. 362 S (2021–2022). </w:t>
      </w:r>
    </w:p>
    <w:p w14:paraId="7AE40AAC" w14:textId="77777777" w:rsidR="00972395" w:rsidRPr="00E73D4B" w:rsidRDefault="00F120C7" w:rsidP="00E73D4B">
      <w:r w:rsidRPr="00E73D4B">
        <w:t>Anmodningsvedtaket er til behandling i departementet. Regjeringen vil komme tilbake til Stortinget på et senere tidspunkt.</w:t>
      </w:r>
    </w:p>
    <w:p w14:paraId="197A5E93" w14:textId="77777777" w:rsidR="00972395" w:rsidRPr="00E73D4B" w:rsidRDefault="00F120C7" w:rsidP="00E73D4B">
      <w:pPr>
        <w:pStyle w:val="avsnitt-tittel"/>
      </w:pPr>
      <w:r w:rsidRPr="00E73D4B">
        <w:t xml:space="preserve">Prisjustere de veiledende satsene for økonomisk sosialhjelp  </w:t>
      </w:r>
    </w:p>
    <w:p w14:paraId="068AEB12" w14:textId="77777777" w:rsidR="00972395" w:rsidRPr="00E73D4B" w:rsidRDefault="00F120C7" w:rsidP="00E73D4B">
      <w:pPr>
        <w:pStyle w:val="avsnitt-undertittel"/>
      </w:pPr>
      <w:r w:rsidRPr="00E73D4B">
        <w:t>Vedtak 843, 17. juni 2022</w:t>
      </w:r>
    </w:p>
    <w:p w14:paraId="1A68D7D3" w14:textId="77777777" w:rsidR="00972395" w:rsidRPr="00E73D4B" w:rsidRDefault="00F120C7" w:rsidP="00E73D4B">
      <w:pPr>
        <w:pStyle w:val="blokksit"/>
        <w:rPr>
          <w:rStyle w:val="kursiv"/>
        </w:rPr>
      </w:pPr>
      <w:r w:rsidRPr="00E73D4B">
        <w:rPr>
          <w:rStyle w:val="kursiv"/>
        </w:rPr>
        <w:t>«Stortinget ber regjeringen prisjustere de veiledende satsene for økonomisk sosialhjelp med 2,1 prosent til 3,4 prosent fra 1. juli.»</w:t>
      </w:r>
    </w:p>
    <w:p w14:paraId="432C7BAA" w14:textId="77777777" w:rsidR="00972395" w:rsidRPr="00EA4147" w:rsidRDefault="00F120C7" w:rsidP="00E73D4B">
      <w:pPr>
        <w:rPr>
          <w:lang w:val="en-GB"/>
        </w:rPr>
      </w:pPr>
      <w:r w:rsidRPr="00E73D4B">
        <w:t xml:space="preserve">Vedtaket ble truffet ved behandling av Meld. </w:t>
      </w:r>
      <w:r w:rsidRPr="00EA4147">
        <w:rPr>
          <w:lang w:val="en-GB"/>
        </w:rPr>
        <w:t xml:space="preserve">St. 2 (2021–2022)/Prop. 115 S (2021–2022), </w:t>
      </w:r>
      <w:proofErr w:type="spellStart"/>
      <w:r w:rsidRPr="00EA4147">
        <w:rPr>
          <w:lang w:val="en-GB"/>
        </w:rPr>
        <w:t>Innst</w:t>
      </w:r>
      <w:proofErr w:type="spellEnd"/>
      <w:r w:rsidRPr="00EA4147">
        <w:rPr>
          <w:lang w:val="en-GB"/>
        </w:rPr>
        <w:t xml:space="preserve">. 450 S (2021–2022). </w:t>
      </w:r>
    </w:p>
    <w:p w14:paraId="1C910393" w14:textId="77777777" w:rsidR="00972395" w:rsidRPr="00E73D4B" w:rsidRDefault="00F120C7" w:rsidP="00E73D4B">
      <w:r w:rsidRPr="00E73D4B">
        <w:t xml:space="preserve">Arbeids- og inkluderingsdepartementet fastsatte i Rundskriv A-1/2022 om statlige veiledende retningslinjer for økonomisk stønad for 2022 veiledende satser fra 1. juli, i tråd med anslaget for vekst i konsumprisene i Meld. St. 2 (2021–2022) (3,4 pst.). Satsene er videreført i Rundskriv A-2/2022. Med dette anses anmodningsvedtaket som fulgt opp. </w:t>
      </w:r>
    </w:p>
    <w:p w14:paraId="0242D794" w14:textId="77777777" w:rsidR="00972395" w:rsidRPr="00E73D4B" w:rsidRDefault="00F120C7" w:rsidP="00E73D4B">
      <w:pPr>
        <w:pStyle w:val="Overskrift2"/>
      </w:pPr>
      <w:r w:rsidRPr="00E73D4B">
        <w:t>Stortingssesjon 2020–2021</w:t>
      </w:r>
    </w:p>
    <w:p w14:paraId="5954EC95" w14:textId="77777777" w:rsidR="00972395" w:rsidRPr="00E73D4B" w:rsidRDefault="00F120C7" w:rsidP="00E73D4B">
      <w:pPr>
        <w:pStyle w:val="avsnitt-tittel"/>
      </w:pPr>
      <w:r w:rsidRPr="00E73D4B">
        <w:t xml:space="preserve">Arbeidslivskompetansen ved NAV-kontorene i kommunene og bydelene, og </w:t>
      </w:r>
      <w:proofErr w:type="spellStart"/>
      <w:r w:rsidRPr="00E73D4B">
        <w:t>NAVs</w:t>
      </w:r>
      <w:proofErr w:type="spellEnd"/>
      <w:r w:rsidRPr="00E73D4B">
        <w:t xml:space="preserve"> rolle som arbeidsformidler   </w:t>
      </w:r>
    </w:p>
    <w:p w14:paraId="2A04E33A" w14:textId="77777777" w:rsidR="00972395" w:rsidRPr="00E73D4B" w:rsidRDefault="00F120C7" w:rsidP="00E73D4B">
      <w:pPr>
        <w:pStyle w:val="avsnitt-undertittel"/>
      </w:pPr>
      <w:r w:rsidRPr="00E73D4B">
        <w:t>Vedtak 223, 10. desember 2020</w:t>
      </w:r>
    </w:p>
    <w:p w14:paraId="188E0369" w14:textId="77777777" w:rsidR="00972395" w:rsidRPr="00E73D4B" w:rsidRDefault="00F120C7" w:rsidP="00E73D4B">
      <w:pPr>
        <w:pStyle w:val="blokksit"/>
        <w:rPr>
          <w:rStyle w:val="kursiv"/>
        </w:rPr>
      </w:pPr>
      <w:r w:rsidRPr="00E73D4B">
        <w:rPr>
          <w:rStyle w:val="kursiv"/>
        </w:rPr>
        <w:t>«Stortinget ber regjeringen styrke arbeidslivskompetansen ved Nav-kontorene i kommunene og bydelene, og Navs rolle som arbeidsformidler.»</w:t>
      </w:r>
    </w:p>
    <w:p w14:paraId="1B2596BC" w14:textId="77777777" w:rsidR="00972395" w:rsidRPr="00E73D4B" w:rsidRDefault="00F120C7" w:rsidP="00E73D4B">
      <w:r w:rsidRPr="00E73D4B">
        <w:t xml:space="preserve">Vedtaket ble truffet ved behandling av Dokument 8:21 LS (2020–2021), </w:t>
      </w:r>
      <w:proofErr w:type="spellStart"/>
      <w:r w:rsidRPr="00E73D4B">
        <w:t>Innst</w:t>
      </w:r>
      <w:proofErr w:type="spellEnd"/>
      <w:r w:rsidRPr="00E73D4B">
        <w:t xml:space="preserve">. 97 L (2020–2021). </w:t>
      </w:r>
    </w:p>
    <w:p w14:paraId="0C1457A2" w14:textId="77777777" w:rsidR="00972395" w:rsidRPr="00E73D4B" w:rsidRDefault="00F120C7" w:rsidP="00E73D4B">
      <w:r w:rsidRPr="00E73D4B">
        <w:t xml:space="preserve">Arbeids- og velferdsdirektoratet har utviklet et strategisk rammeverk for markedsarbeid som også vil bidra til å styrke arbeidslivskompetansen i etaten. Dette og samarbeidet med bransjeorganisasjonene, virksomheter og med utdanningssektoren om kompetanseheving er vesentlig for å kunne tilby gode rekrutterings- og formidlingstjenester. </w:t>
      </w:r>
    </w:p>
    <w:p w14:paraId="03729136" w14:textId="77777777" w:rsidR="00972395" w:rsidRPr="00E73D4B" w:rsidRDefault="00F120C7" w:rsidP="00E73D4B">
      <w:r w:rsidRPr="00E73D4B">
        <w:t xml:space="preserve">Arbeids- og velferdsdirektoratet er også i ferd med å gjennomgå etatens inkluderings-, rekrutterings- og formidlingstjenester. Målet er å utvikle mer effektive, helhetlige og brukerrettede tjenester som både skal bidra til å inkludere flere fra utsatte grupper i arbeid, og dekke den store etterspørselen etter arbeidskraft. Kvalifisering av NAV-brukere som har behov for det er et viktig element. Det legges vekt på å benytte arbeidsplassen som en trenings-, kvalifiserings- og oppfølgingsarena, dette også i samarbeid med ulike tiltaksleverandører. Etaten samarbeider også med private aktører som driver arbeidsformidling, særlig bemanningsbransjen. </w:t>
      </w:r>
    </w:p>
    <w:p w14:paraId="5D39704D" w14:textId="77777777" w:rsidR="00972395" w:rsidRPr="00E73D4B" w:rsidRDefault="00F120C7" w:rsidP="00E73D4B">
      <w:r w:rsidRPr="00E73D4B">
        <w:t xml:space="preserve">Det er et potensial i å utvikle mer effektive tjenester som kan brukes av arbeidssøkere som ikke, eller i liten grad, har behov for individualiserte oppfølgingstjenester fra etaten, og av arbeidsgivere med et rekrutteringsbehov. </w:t>
      </w:r>
    </w:p>
    <w:p w14:paraId="7F960FD6" w14:textId="77777777" w:rsidR="00972395" w:rsidRPr="00E73D4B" w:rsidRDefault="00F120C7" w:rsidP="00E73D4B">
      <w:r w:rsidRPr="00E73D4B">
        <w:t>Med dette anses anmodningsvedtaket som fulgt opp.</w:t>
      </w:r>
    </w:p>
    <w:p w14:paraId="3AEA8B17" w14:textId="77777777" w:rsidR="00972395" w:rsidRPr="00E73D4B" w:rsidRDefault="00F120C7" w:rsidP="00E73D4B">
      <w:pPr>
        <w:pStyle w:val="avsnitt-tittel"/>
      </w:pPr>
      <w:r w:rsidRPr="00E73D4B">
        <w:t>Lovendringer for å redusere kravet til innbetaling av premie fra det tidspunktet den enkelte har kompensert for levealdersjusteringen</w:t>
      </w:r>
    </w:p>
    <w:p w14:paraId="52E6BF0E" w14:textId="77777777" w:rsidR="00972395" w:rsidRPr="00E73D4B" w:rsidRDefault="00F120C7" w:rsidP="00E73D4B">
      <w:pPr>
        <w:pStyle w:val="avsnitt-undertittel"/>
      </w:pPr>
      <w:r w:rsidRPr="00E73D4B">
        <w:t>Vedtak 238, 11. desember 2020</w:t>
      </w:r>
    </w:p>
    <w:p w14:paraId="793C63C9" w14:textId="77777777" w:rsidR="00972395" w:rsidRPr="00E73D4B" w:rsidRDefault="00F120C7" w:rsidP="00E73D4B">
      <w:pPr>
        <w:pStyle w:val="blokksit"/>
        <w:rPr>
          <w:rStyle w:val="kursiv"/>
        </w:rPr>
      </w:pPr>
      <w:r w:rsidRPr="00E73D4B">
        <w:rPr>
          <w:rStyle w:val="kursiv"/>
        </w:rPr>
        <w:t>«Stortinget ber regjeringen utrede lovendringer for å redusere kravet til innbetaling av premie fra medlemmer i SPK, kommunale pensjonskasser og andre offentlige brutto tjenestepensjonsordninger fra det tidspunktet den enkelte har kompensert for levealdersjusteringen.»</w:t>
      </w:r>
    </w:p>
    <w:p w14:paraId="1CCCFED9" w14:textId="77777777" w:rsidR="00972395" w:rsidRPr="00E73D4B" w:rsidRDefault="00F120C7" w:rsidP="00E73D4B">
      <w:r w:rsidRPr="00E73D4B">
        <w:t xml:space="preserve">Vedtaket ble truffet ved behandling av Dokument 8:141 L (2019–2020), </w:t>
      </w:r>
      <w:proofErr w:type="spellStart"/>
      <w:r w:rsidRPr="00E73D4B">
        <w:t>Innst</w:t>
      </w:r>
      <w:proofErr w:type="spellEnd"/>
      <w:r w:rsidRPr="00E73D4B">
        <w:t xml:space="preserve">. 71 L (2020–2021). </w:t>
      </w:r>
    </w:p>
    <w:p w14:paraId="7F5982CD" w14:textId="77777777" w:rsidR="00972395" w:rsidRPr="00E73D4B" w:rsidRDefault="00F120C7" w:rsidP="00E73D4B">
      <w:r w:rsidRPr="00E73D4B">
        <w:t xml:space="preserve">Anmodningsvedtaket er til behandling i departementet. Regjeringen vil komme tilbake til Stortinget på et senere tidspunkt. </w:t>
      </w:r>
    </w:p>
    <w:p w14:paraId="27FBE69D" w14:textId="77777777" w:rsidR="00972395" w:rsidRPr="00E73D4B" w:rsidRDefault="00F120C7" w:rsidP="00E73D4B">
      <w:pPr>
        <w:pStyle w:val="avsnitt-tittel"/>
      </w:pPr>
      <w:r w:rsidRPr="00E73D4B">
        <w:t>Styrke arbeidslinjen for offentlig ansatte født i årene 1944–1962</w:t>
      </w:r>
    </w:p>
    <w:p w14:paraId="05CADD7F" w14:textId="77777777" w:rsidR="00972395" w:rsidRPr="00E73D4B" w:rsidRDefault="00F120C7" w:rsidP="00E73D4B">
      <w:pPr>
        <w:pStyle w:val="avsnitt-undertittel"/>
      </w:pPr>
      <w:r w:rsidRPr="00E73D4B">
        <w:t>Vedtak 239, 11. desember 2020</w:t>
      </w:r>
    </w:p>
    <w:p w14:paraId="529FF70D" w14:textId="77777777" w:rsidR="00972395" w:rsidRPr="00E73D4B" w:rsidRDefault="00F120C7" w:rsidP="00E73D4B">
      <w:pPr>
        <w:pStyle w:val="blokksit"/>
        <w:rPr>
          <w:rStyle w:val="kursiv"/>
        </w:rPr>
      </w:pPr>
      <w:r w:rsidRPr="00E73D4B">
        <w:rPr>
          <w:rStyle w:val="kursiv"/>
        </w:rPr>
        <w:t>«Stortinget ber regjeringen komme tilbake til Stortinget med vurderinger av hvordan en ytterligere kan styrke arbeidslinjen for offentlig ansatte født i årene 1944–1962.»</w:t>
      </w:r>
    </w:p>
    <w:p w14:paraId="5DD5841D" w14:textId="77777777" w:rsidR="00972395" w:rsidRPr="00E73D4B" w:rsidRDefault="00F120C7" w:rsidP="00E73D4B">
      <w:r w:rsidRPr="00E73D4B">
        <w:t xml:space="preserve">Vedtaket ble truffet ved behandling av Dokument 8:141 L (2019–2020), </w:t>
      </w:r>
      <w:proofErr w:type="spellStart"/>
      <w:r w:rsidRPr="00E73D4B">
        <w:t>Innst</w:t>
      </w:r>
      <w:proofErr w:type="spellEnd"/>
      <w:r w:rsidRPr="00E73D4B">
        <w:t xml:space="preserve">. 71 L (2020–2021). </w:t>
      </w:r>
    </w:p>
    <w:p w14:paraId="633A36EE" w14:textId="77777777" w:rsidR="00972395" w:rsidRPr="00E73D4B" w:rsidRDefault="00F120C7" w:rsidP="00E73D4B">
      <w:r w:rsidRPr="00E73D4B">
        <w:t>Anmodningsvedtaket er til behandling i departementet. Regjeringen vil komme tilbake til Stortinget på et senere tidspunkt.</w:t>
      </w:r>
    </w:p>
    <w:p w14:paraId="4B5A45F7" w14:textId="77777777" w:rsidR="00972395" w:rsidRPr="00E73D4B" w:rsidRDefault="00F120C7" w:rsidP="00E73D4B">
      <w:pPr>
        <w:pStyle w:val="avsnitt-tittel"/>
      </w:pPr>
      <w:r w:rsidRPr="00E73D4B">
        <w:t>Rapportering om barn etterlatt i utlandet</w:t>
      </w:r>
    </w:p>
    <w:p w14:paraId="613AF815" w14:textId="77777777" w:rsidR="00972395" w:rsidRPr="00E73D4B" w:rsidRDefault="00F120C7" w:rsidP="00E73D4B">
      <w:pPr>
        <w:pStyle w:val="avsnitt-undertittel"/>
      </w:pPr>
      <w:r w:rsidRPr="00E73D4B">
        <w:t>Vedtak 530, 18. januar 2021</w:t>
      </w:r>
    </w:p>
    <w:p w14:paraId="2E4C384A" w14:textId="77777777" w:rsidR="00972395" w:rsidRPr="00E73D4B" w:rsidRDefault="00F120C7" w:rsidP="00E73D4B">
      <w:pPr>
        <w:pStyle w:val="blokksit"/>
        <w:rPr>
          <w:rStyle w:val="kursiv"/>
        </w:rPr>
      </w:pPr>
      <w:r w:rsidRPr="00E73D4B">
        <w:rPr>
          <w:rStyle w:val="kursiv"/>
        </w:rPr>
        <w:t>«Stortinget ber regjeringen igangsette en utretning med mål om forsterket rapportering om hvor mange barn som er etterlatt i utlandet, og redegjøre for hvordan handlingsrommet for oppfølging kan forsterkes.»</w:t>
      </w:r>
    </w:p>
    <w:p w14:paraId="3D182F9F" w14:textId="77777777" w:rsidR="00972395" w:rsidRPr="00E73D4B" w:rsidRDefault="00F120C7" w:rsidP="00E73D4B">
      <w:r w:rsidRPr="00E73D4B">
        <w:t xml:space="preserve">Vedtaket ble truffet ved behandling av </w:t>
      </w:r>
      <w:proofErr w:type="spellStart"/>
      <w:r w:rsidRPr="00E73D4B">
        <w:t>Dok</w:t>
      </w:r>
      <w:proofErr w:type="spellEnd"/>
      <w:r w:rsidRPr="00E73D4B">
        <w:t xml:space="preserve">. 8:132 S (2020–2021), </w:t>
      </w:r>
      <w:proofErr w:type="spellStart"/>
      <w:r w:rsidRPr="00E73D4B">
        <w:t>Innst</w:t>
      </w:r>
      <w:proofErr w:type="spellEnd"/>
      <w:r w:rsidRPr="00E73D4B">
        <w:t xml:space="preserve">. 89 S (2020–2021). </w:t>
      </w:r>
    </w:p>
    <w:p w14:paraId="63E7BE33" w14:textId="77777777" w:rsidR="00972395" w:rsidRPr="00E73D4B" w:rsidRDefault="00F120C7" w:rsidP="00E73D4B">
      <w:r w:rsidRPr="00E73D4B">
        <w:t>Arbeids- og inkluderingsdepartementet vil sette i gang en utredning om hvordan oppfølgingen av utsatte for ufrivillige utenlandsopphold kan styrkes. Dette for å få mer kunnskap om omfanget, hvordan koordineringen og handlingsrommet for oppfølging kan styrkes, og hvordan sikre at utsatte personer blir ivaretatt ved retur. Det skal i tillegg foretas en vurdering av om ordningen med integreringsrådgivere skal styrkes eller justeres. Utredningen vil tidligst foreligge i 2023. Vedtaket blir fulgt opp gjennom tiltaket </w:t>
      </w:r>
      <w:r w:rsidRPr="00E73D4B">
        <w:rPr>
          <w:rStyle w:val="kursiv"/>
        </w:rPr>
        <w:t>Styrke oppfølgingen av utsatte for ufrivillige utenlandsopphold </w:t>
      </w:r>
      <w:r w:rsidRPr="00E73D4B">
        <w:t>i handlingsplanen </w:t>
      </w:r>
      <w:r w:rsidRPr="00E73D4B">
        <w:rPr>
          <w:rStyle w:val="kursiv"/>
        </w:rPr>
        <w:t xml:space="preserve">Frihet fra negativ sosial kontroll og </w:t>
      </w:r>
      <w:proofErr w:type="spellStart"/>
      <w:r w:rsidRPr="00E73D4B">
        <w:rPr>
          <w:rStyle w:val="kursiv"/>
        </w:rPr>
        <w:t>æresrelatert</w:t>
      </w:r>
      <w:proofErr w:type="spellEnd"/>
      <w:r w:rsidRPr="00E73D4B">
        <w:rPr>
          <w:rStyle w:val="kursiv"/>
        </w:rPr>
        <w:t xml:space="preserve"> vold (2021–2024). </w:t>
      </w:r>
    </w:p>
    <w:p w14:paraId="4C78A9C1" w14:textId="77777777" w:rsidR="00972395" w:rsidRPr="00E73D4B" w:rsidRDefault="00F120C7" w:rsidP="00E73D4B">
      <w:r w:rsidRPr="00E73D4B">
        <w:t>Regjeringen vil komme tilbake til Stortinget på egnet måte.</w:t>
      </w:r>
    </w:p>
    <w:p w14:paraId="4C153B49" w14:textId="77777777" w:rsidR="00972395" w:rsidRPr="00E73D4B" w:rsidRDefault="00F120C7" w:rsidP="00E73D4B">
      <w:pPr>
        <w:pStyle w:val="avsnitt-tittel"/>
      </w:pPr>
      <w:r w:rsidRPr="00E73D4B">
        <w:t xml:space="preserve">Pensjonsutvalgets vurderinger </w:t>
      </w:r>
    </w:p>
    <w:p w14:paraId="6590481E" w14:textId="77777777" w:rsidR="00972395" w:rsidRPr="00E73D4B" w:rsidRDefault="00F120C7" w:rsidP="00E73D4B">
      <w:pPr>
        <w:pStyle w:val="avsnitt-undertittel"/>
      </w:pPr>
      <w:r w:rsidRPr="00E73D4B">
        <w:t>Vedtak 615, 16. februar 2021</w:t>
      </w:r>
    </w:p>
    <w:p w14:paraId="6B2B969D" w14:textId="77777777" w:rsidR="00972395" w:rsidRPr="00E73D4B" w:rsidRDefault="00F120C7" w:rsidP="00E73D4B">
      <w:pPr>
        <w:pStyle w:val="blokksit"/>
        <w:rPr>
          <w:rStyle w:val="kursiv"/>
        </w:rPr>
      </w:pPr>
      <w:r w:rsidRPr="00E73D4B">
        <w:rPr>
          <w:rStyle w:val="kursiv"/>
        </w:rPr>
        <w:t>«Stortinget ber regjeringen om å orientere Stortinget på egnet måte om Pensjonsutvalgets vurderinger når det gjelder minstenivåer, samt hvordan Pensjonsutvalgets innstilling vil bli fulgt opp.»</w:t>
      </w:r>
    </w:p>
    <w:p w14:paraId="023DFE93" w14:textId="77777777" w:rsidR="00972395" w:rsidRPr="00E73D4B" w:rsidRDefault="00F120C7" w:rsidP="00E73D4B">
      <w:r w:rsidRPr="00E73D4B">
        <w:t xml:space="preserve">Vedtaket ble truffet ved behandling av Dokument 8:53 S (2020–2021), </w:t>
      </w:r>
      <w:proofErr w:type="spellStart"/>
      <w:r w:rsidRPr="00E73D4B">
        <w:t>Innst</w:t>
      </w:r>
      <w:proofErr w:type="spellEnd"/>
      <w:r w:rsidRPr="00E73D4B">
        <w:t>. 221 S (2020–2021).</w:t>
      </w:r>
    </w:p>
    <w:p w14:paraId="1F5BF27F" w14:textId="77777777" w:rsidR="00972395" w:rsidRPr="00E73D4B" w:rsidRDefault="00F120C7" w:rsidP="00E73D4B">
      <w:r w:rsidRPr="00E73D4B">
        <w:t xml:space="preserve">Pensjonsutvalget leverte sin innstilling NOU 2022: 7 </w:t>
      </w:r>
      <w:r w:rsidRPr="00E73D4B">
        <w:rPr>
          <w:rStyle w:val="kursiv"/>
        </w:rPr>
        <w:t>Et forbedret pensjonssystem</w:t>
      </w:r>
      <w:r w:rsidRPr="00E73D4B">
        <w:t xml:space="preserve"> 16. juni 2022. Arbeids- og inkluderingsdepartementet sendte 20. juni utredningen på høring med høringsfrist 21. oktober 2022. </w:t>
      </w:r>
    </w:p>
    <w:p w14:paraId="2572A23F" w14:textId="77777777" w:rsidR="00972395" w:rsidRPr="00E73D4B" w:rsidRDefault="00F120C7" w:rsidP="00E73D4B">
      <w:r w:rsidRPr="00E73D4B">
        <w:t xml:space="preserve">Regjeringen vil orientere Stortinget på egnet måte om Pensjonsutvalgets vurderinger når det gjelder minstenivåer, samt hvordan Pensjonsutvalgets innstilling vil bli fulgt opp. </w:t>
      </w:r>
    </w:p>
    <w:p w14:paraId="39C70688" w14:textId="77777777" w:rsidR="00972395" w:rsidRPr="00E73D4B" w:rsidRDefault="00F120C7" w:rsidP="00E73D4B">
      <w:pPr>
        <w:pStyle w:val="avsnitt-tittel"/>
      </w:pPr>
      <w:proofErr w:type="spellStart"/>
      <w:r w:rsidRPr="00E73D4B">
        <w:t>Regelfesting</w:t>
      </w:r>
      <w:proofErr w:type="spellEnd"/>
      <w:r w:rsidRPr="00E73D4B">
        <w:t xml:space="preserve"> i forbindelse med de årlige trygdeoppgjørene</w:t>
      </w:r>
    </w:p>
    <w:p w14:paraId="2352595D" w14:textId="77777777" w:rsidR="00972395" w:rsidRPr="00E73D4B" w:rsidRDefault="00F120C7" w:rsidP="00E73D4B">
      <w:pPr>
        <w:pStyle w:val="avsnitt-undertittel"/>
      </w:pPr>
      <w:r w:rsidRPr="00E73D4B">
        <w:t>Vedtak 618, 16. februar 2021</w:t>
      </w:r>
    </w:p>
    <w:p w14:paraId="293B02FA" w14:textId="77777777" w:rsidR="00972395" w:rsidRPr="00E73D4B" w:rsidRDefault="00F120C7" w:rsidP="00E73D4B">
      <w:pPr>
        <w:pStyle w:val="blokksit"/>
        <w:rPr>
          <w:rStyle w:val="kursiv"/>
        </w:rPr>
      </w:pPr>
      <w:r w:rsidRPr="00E73D4B">
        <w:rPr>
          <w:rStyle w:val="kursiv"/>
        </w:rPr>
        <w:t xml:space="preserve">«Stortinget ber regjeringen legge frem forslag til </w:t>
      </w:r>
      <w:proofErr w:type="spellStart"/>
      <w:r w:rsidRPr="00E73D4B">
        <w:rPr>
          <w:rStyle w:val="kursiv"/>
        </w:rPr>
        <w:t>regelfesting</w:t>
      </w:r>
      <w:proofErr w:type="spellEnd"/>
      <w:r w:rsidRPr="00E73D4B">
        <w:rPr>
          <w:rStyle w:val="kursiv"/>
        </w:rPr>
        <w:t xml:space="preserve"> om at organisasjonene i forbindelse med de årlige trygdeoppgjørene, kan forhandle om andre spørsmål med betydning for pensjonistene.»</w:t>
      </w:r>
    </w:p>
    <w:p w14:paraId="57EE0184" w14:textId="77777777" w:rsidR="00972395" w:rsidRPr="00E73D4B" w:rsidRDefault="00F120C7" w:rsidP="00E73D4B">
      <w:r w:rsidRPr="00E73D4B">
        <w:t xml:space="preserve">Vedtaket ble truffet ved behandling av Dokument 8:53 S (2020–2021), </w:t>
      </w:r>
      <w:proofErr w:type="spellStart"/>
      <w:r w:rsidRPr="00E73D4B">
        <w:t>Innst</w:t>
      </w:r>
      <w:proofErr w:type="spellEnd"/>
      <w:r w:rsidRPr="00E73D4B">
        <w:t>. 221 S (2020–2021).</w:t>
      </w:r>
    </w:p>
    <w:p w14:paraId="60BD16D8" w14:textId="77777777" w:rsidR="00972395" w:rsidRPr="00E73D4B" w:rsidRDefault="00F120C7" w:rsidP="00E73D4B">
      <w:r w:rsidRPr="00E73D4B">
        <w:t xml:space="preserve">Regjeringen fremmet 17. desember 2021 </w:t>
      </w:r>
      <w:proofErr w:type="spellStart"/>
      <w:r w:rsidRPr="00E73D4B">
        <w:t>Prop</w:t>
      </w:r>
      <w:proofErr w:type="spellEnd"/>
      <w:r w:rsidRPr="00E73D4B">
        <w:t xml:space="preserve">. 41 L (2021–2022), der det bl.a. ble vist til at detaljerte lovregler for regulering av grunnbeløpet, trygder, alderspensjon under opptjening og utbetaling, er vedtatt av Stortinget og at slik lovbestemt regulering er viktig for forutsigbarheten i pensjonssystemet. Det ble videre vist til at det følger av bestemmelser i forskrift, at tallgrunnlaget skal drøftes med pensjonistenes, de funksjonshemmedes og arbeidstakernes organisasjoner, at det er viktig at den årlige reguleringen gjennomføres på bakgrunn av et omforent tallgrunnlag og at det på den bakgrunn vil det være uheldig dersom møtene om trygdeoppgjøret i mindre grad enn i dag skal ha den årlige reguleringen som hovedsak. I proposisjonen ble det derfor vist til at disse møtene bør opprettholdes i sin nåværende form, og forbeholdes å drøfte tallgrunnlaget for trygdeoppgjøret med trygdeoppgjørets parter. Som følge av at alderspensjon under utbetaling fra 2022 blir regulert med et gjennomsnitt av lønns- og prisveksten, vil prisveksten inngå i tallgrunnlaget som skal drøftes og avtalen mellom regjeringen og organisasjonene er revidert for å ta hensyn til dette. I proposisjonen uttalte departementet at dette er en hensiktsmessig oppfølging av vedtak 618 og Stortinget sluttet seg til dette, jf. </w:t>
      </w:r>
      <w:proofErr w:type="spellStart"/>
      <w:r w:rsidRPr="00E73D4B">
        <w:t>Innst</w:t>
      </w:r>
      <w:proofErr w:type="spellEnd"/>
      <w:r w:rsidRPr="00E73D4B">
        <w:t>. 194 L (2021–2022). Anmodningsvedtaket anses som fulgt opp.</w:t>
      </w:r>
    </w:p>
    <w:p w14:paraId="512239E7" w14:textId="77777777" w:rsidR="00972395" w:rsidRPr="00E73D4B" w:rsidRDefault="00F120C7" w:rsidP="00E73D4B">
      <w:pPr>
        <w:pStyle w:val="avsnitt-tittel"/>
      </w:pPr>
      <w:r w:rsidRPr="00E73D4B">
        <w:t>Regulere løpende pensjoner</w:t>
      </w:r>
    </w:p>
    <w:p w14:paraId="2914402A" w14:textId="77777777" w:rsidR="00972395" w:rsidRPr="00E73D4B" w:rsidRDefault="00F120C7" w:rsidP="00E73D4B">
      <w:pPr>
        <w:pStyle w:val="avsnitt-undertittel"/>
      </w:pPr>
      <w:r w:rsidRPr="00E73D4B">
        <w:t>Vedtak 622, 16. februar 2021</w:t>
      </w:r>
    </w:p>
    <w:p w14:paraId="08EE5EA8" w14:textId="77777777" w:rsidR="00972395" w:rsidRPr="00E73D4B" w:rsidRDefault="00F120C7" w:rsidP="00E73D4B">
      <w:pPr>
        <w:pStyle w:val="blokksit"/>
        <w:rPr>
          <w:rStyle w:val="kursiv"/>
        </w:rPr>
      </w:pPr>
      <w:r w:rsidRPr="00E73D4B">
        <w:rPr>
          <w:rStyle w:val="kursiv"/>
        </w:rPr>
        <w:t>«Stortinget ber regjeringen om å legge frem et lovforslag for Stortinget om å regulere løpende pensjoner med gjennomsnittet av pris- og lønnsvekst, som får virkning fra 2022.»</w:t>
      </w:r>
    </w:p>
    <w:p w14:paraId="3BB20CE0" w14:textId="77777777" w:rsidR="00972395" w:rsidRPr="00E73D4B" w:rsidRDefault="00F120C7" w:rsidP="00E73D4B">
      <w:r w:rsidRPr="00E73D4B">
        <w:t xml:space="preserve">Vedtaket ble truffet ved behandling av Dokument 8:53 S (2020–2021), </w:t>
      </w:r>
      <w:proofErr w:type="spellStart"/>
      <w:r w:rsidRPr="00E73D4B">
        <w:t>Innst</w:t>
      </w:r>
      <w:proofErr w:type="spellEnd"/>
      <w:r w:rsidRPr="00E73D4B">
        <w:t>. 221 S (2020–2021).</w:t>
      </w:r>
    </w:p>
    <w:p w14:paraId="38A4CFE8" w14:textId="77777777" w:rsidR="00972395" w:rsidRPr="00E73D4B" w:rsidRDefault="00F120C7" w:rsidP="00E73D4B">
      <w:r w:rsidRPr="00E73D4B">
        <w:t xml:space="preserve">Departementet fremmet 17. desember 2021 </w:t>
      </w:r>
      <w:proofErr w:type="spellStart"/>
      <w:r w:rsidRPr="00E73D4B">
        <w:t>Prop</w:t>
      </w:r>
      <w:proofErr w:type="spellEnd"/>
      <w:r w:rsidRPr="00E73D4B">
        <w:t xml:space="preserve">. 41 L (2021–2022) </w:t>
      </w:r>
      <w:r w:rsidRPr="00E73D4B">
        <w:rPr>
          <w:rStyle w:val="kursiv"/>
        </w:rPr>
        <w:t>Endringer i folketrygdloven, lov om Statens pensjonskasse og enkelte andre lover (endret regulering av alderspensjon under utbetaling)</w:t>
      </w:r>
      <w:r w:rsidRPr="00E73D4B">
        <w:t xml:space="preserve"> med lovforslag om å regulere løpende pensjoner med gjennomsnittet av lønns- og prisvekst. Stortinget har vedtatt lovendringen, jf. </w:t>
      </w:r>
      <w:proofErr w:type="spellStart"/>
      <w:r w:rsidRPr="00E73D4B">
        <w:t>Innst</w:t>
      </w:r>
      <w:proofErr w:type="spellEnd"/>
      <w:r w:rsidRPr="00E73D4B">
        <w:t>. 194 L (2021–2022) og Lovvedtak 50 (2021–2022) og f.o.m. trygdeoppgjøret 2022 blir løpende pensjoner regulert med gjennomsnittet av lønns- og prisvekst. Anmodningsvedtaket anses som fulgt opp.</w:t>
      </w:r>
    </w:p>
    <w:p w14:paraId="25C8CBA7" w14:textId="77777777" w:rsidR="00972395" w:rsidRPr="00E73D4B" w:rsidRDefault="00F120C7" w:rsidP="00E73D4B">
      <w:pPr>
        <w:pStyle w:val="avsnitt-tittel"/>
      </w:pPr>
      <w:proofErr w:type="spellStart"/>
      <w:r w:rsidRPr="00E73D4B">
        <w:t>Kvartalsvise</w:t>
      </w:r>
      <w:proofErr w:type="spellEnd"/>
      <w:r w:rsidRPr="00E73D4B">
        <w:t xml:space="preserve"> møter mellom regjeringen og pensjonistorganisasjonene    </w:t>
      </w:r>
    </w:p>
    <w:p w14:paraId="23398D60" w14:textId="77777777" w:rsidR="00972395" w:rsidRPr="00E73D4B" w:rsidRDefault="00F120C7" w:rsidP="00E73D4B">
      <w:pPr>
        <w:pStyle w:val="avsnitt-undertittel"/>
      </w:pPr>
      <w:r w:rsidRPr="00E73D4B">
        <w:t>Vedtak 624, 16. februar 2021</w:t>
      </w:r>
    </w:p>
    <w:p w14:paraId="71F16F31" w14:textId="77777777" w:rsidR="00972395" w:rsidRPr="00E73D4B" w:rsidRDefault="00F120C7" w:rsidP="00E73D4B">
      <w:pPr>
        <w:pStyle w:val="blokksit"/>
        <w:rPr>
          <w:rStyle w:val="kursiv"/>
        </w:rPr>
      </w:pPr>
      <w:r w:rsidRPr="00E73D4B">
        <w:rPr>
          <w:rStyle w:val="kursiv"/>
        </w:rPr>
        <w:t xml:space="preserve">«Stortinget ber regjeringen gå i dialog med pensjonistenes organisasjoner med sikte på å etablere </w:t>
      </w:r>
      <w:proofErr w:type="spellStart"/>
      <w:r w:rsidRPr="00E73D4B">
        <w:rPr>
          <w:rStyle w:val="kursiv"/>
        </w:rPr>
        <w:t>kvartalsvise</w:t>
      </w:r>
      <w:proofErr w:type="spellEnd"/>
      <w:r w:rsidRPr="00E73D4B">
        <w:rPr>
          <w:rStyle w:val="kursiv"/>
        </w:rPr>
        <w:t xml:space="preserve"> møter mellom regjeringen og pensjonistorganisasjonene, der saker av betydning for pensjonister kan drøftes.»</w:t>
      </w:r>
    </w:p>
    <w:p w14:paraId="5643AA67" w14:textId="77777777" w:rsidR="00972395" w:rsidRPr="00E73D4B" w:rsidRDefault="00F120C7" w:rsidP="00E73D4B">
      <w:r w:rsidRPr="00E73D4B">
        <w:t xml:space="preserve">Vedtaket ble truffet ved behandling av Dokument 8:53 S (2020–2021), </w:t>
      </w:r>
      <w:proofErr w:type="spellStart"/>
      <w:r w:rsidRPr="00E73D4B">
        <w:t>Innst</w:t>
      </w:r>
      <w:proofErr w:type="spellEnd"/>
      <w:r w:rsidRPr="00E73D4B">
        <w:t>. 221 S (2020–2021).</w:t>
      </w:r>
    </w:p>
    <w:p w14:paraId="7CED1824" w14:textId="77777777" w:rsidR="00972395" w:rsidRPr="00E73D4B" w:rsidRDefault="00F120C7" w:rsidP="00E73D4B">
      <w:r w:rsidRPr="00E73D4B">
        <w:t xml:space="preserve">Regjeringen fremmet 17. desember 2021 </w:t>
      </w:r>
      <w:proofErr w:type="spellStart"/>
      <w:r w:rsidRPr="00E73D4B">
        <w:t>Prop</w:t>
      </w:r>
      <w:proofErr w:type="spellEnd"/>
      <w:r w:rsidRPr="00E73D4B">
        <w:t xml:space="preserve">. 41 L (2021–2022), der det bl.a. ble vist til at departementet mener at de årlige møtene om statsbudsjettene har et større potensial for å gi pensjonistenes organisasjoner mulighet til å drøfte viktige spørsmål i eldrepolitikken og at det derfor ble lagt opp til å videreutvikle disse møtene, slik at regjeringen i disse møtene i større grad enn i dag kan nyttiggjøre seg av organisasjonenes kompetanse og innsikt i et viktig politikkområde. Departementet mente på den bakgrunn at det vil være hensiktsmessig med flere faste årlige møter om statsbudsjettet, med et oppstartmøte på høsten, møter i desember og mars og et avsluttende møte i mai. Avtalen mellom regjeringen og pensjonistenes og arbeidstakernes organisasjoner er endret i tråd med dette. I proposisjonen uttalte departementet at dette er en hensiktsmessig oppfølging av vedtak 624 og Stortinget sluttet seg til dette, jf. </w:t>
      </w:r>
      <w:proofErr w:type="spellStart"/>
      <w:r w:rsidRPr="00E73D4B">
        <w:t>Innst</w:t>
      </w:r>
      <w:proofErr w:type="spellEnd"/>
      <w:r w:rsidRPr="00E73D4B">
        <w:t>. 194 L (2021–2022). Anmodningsvedtaket anses som fulgt opp.</w:t>
      </w:r>
    </w:p>
    <w:p w14:paraId="2EC41E68" w14:textId="77777777" w:rsidR="00972395" w:rsidRPr="00E73D4B" w:rsidRDefault="00F120C7" w:rsidP="00E73D4B">
      <w:pPr>
        <w:pStyle w:val="avsnitt-tittel"/>
      </w:pPr>
      <w:r w:rsidRPr="00E73D4B">
        <w:t xml:space="preserve">Studenter i utlandet kan ha deltidsjobb uten å miste medlemskap i folketrygden    </w:t>
      </w:r>
    </w:p>
    <w:p w14:paraId="34CF430A" w14:textId="77777777" w:rsidR="00972395" w:rsidRPr="00E73D4B" w:rsidRDefault="00F120C7" w:rsidP="00E73D4B">
      <w:pPr>
        <w:pStyle w:val="avsnitt-undertittel"/>
      </w:pPr>
      <w:r w:rsidRPr="00E73D4B">
        <w:t>Vedtak 686, 25. februar 2021</w:t>
      </w:r>
    </w:p>
    <w:p w14:paraId="0E4BA682" w14:textId="77777777" w:rsidR="00972395" w:rsidRPr="00E73D4B" w:rsidRDefault="00F120C7" w:rsidP="00E73D4B">
      <w:pPr>
        <w:pStyle w:val="blokksit"/>
        <w:rPr>
          <w:rStyle w:val="kursiv"/>
        </w:rPr>
      </w:pPr>
      <w:r w:rsidRPr="00E73D4B">
        <w:rPr>
          <w:rStyle w:val="kursiv"/>
        </w:rPr>
        <w:t>«Stortinget ber regjeringen utrede og komme tilbake til Stortinget med nødvendige forslag slik at norske studenter i utlandet kan ha deltidsjobb ved siden av studiene uten å miste sitt medlemskap i folketrygden.»</w:t>
      </w:r>
    </w:p>
    <w:p w14:paraId="073F94D5" w14:textId="77777777" w:rsidR="00972395" w:rsidRPr="00E73D4B" w:rsidRDefault="00F120C7" w:rsidP="00E73D4B">
      <w:r w:rsidRPr="00E73D4B">
        <w:t xml:space="preserve">Vedtaket ble truffet ved behandling av Meld. St. 7 (2020–2021), </w:t>
      </w:r>
      <w:proofErr w:type="spellStart"/>
      <w:r w:rsidRPr="00E73D4B">
        <w:t>Innst</w:t>
      </w:r>
      <w:proofErr w:type="spellEnd"/>
      <w:r w:rsidRPr="00E73D4B">
        <w:t>. 247 S (2020–2021).</w:t>
      </w:r>
    </w:p>
    <w:p w14:paraId="2D3D6D6C" w14:textId="77777777" w:rsidR="00972395" w:rsidRPr="00E73D4B" w:rsidRDefault="00F120C7" w:rsidP="00E73D4B">
      <w:r w:rsidRPr="00E73D4B">
        <w:t>Anmodningsvedtaket er til behandling i departementet. Regjeringen vil komme tilbake til Stortinget på et senere tidspunkt.</w:t>
      </w:r>
    </w:p>
    <w:p w14:paraId="289B8AFF" w14:textId="77777777" w:rsidR="00972395" w:rsidRPr="00E73D4B" w:rsidRDefault="00F120C7" w:rsidP="00E73D4B">
      <w:pPr>
        <w:pStyle w:val="avsnitt-tittel"/>
      </w:pPr>
      <w:r w:rsidRPr="00E73D4B">
        <w:t xml:space="preserve">Endringer i arbeidsmiljøloven for yrkesdykking og losing, bestemmelser og rettigheter om sykepenger    </w:t>
      </w:r>
    </w:p>
    <w:p w14:paraId="72302C67" w14:textId="77777777" w:rsidR="00972395" w:rsidRPr="00E73D4B" w:rsidRDefault="00F120C7" w:rsidP="00E73D4B">
      <w:pPr>
        <w:pStyle w:val="avsnitt-undertittel"/>
      </w:pPr>
      <w:r w:rsidRPr="00E73D4B">
        <w:t>Vedtak 770, 23. mars 2021</w:t>
      </w:r>
    </w:p>
    <w:p w14:paraId="3D246E78" w14:textId="77777777" w:rsidR="00972395" w:rsidRPr="00E73D4B" w:rsidRDefault="00F120C7" w:rsidP="00E73D4B">
      <w:pPr>
        <w:pStyle w:val="blokksit"/>
        <w:rPr>
          <w:rStyle w:val="kursiv"/>
        </w:rPr>
      </w:pPr>
      <w:r w:rsidRPr="00E73D4B">
        <w:rPr>
          <w:rStyle w:val="kursiv"/>
        </w:rPr>
        <w:t>«Stortinget ber regjeringen på egnet måte redegjøre for Arbeidstilsynets oppfølging av arbeidsmiljøloven § 1-2 andre ledd bokstav a samt vurdere om det kan være hensiktsmessig å gjøre bestemmelser og rettigheter, som sykepengeregler, som i dag følger av skipsarbeidsloven, gjeldende for de aktuelle arbeidstakerne.»</w:t>
      </w:r>
    </w:p>
    <w:p w14:paraId="39AEBF98"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68 L (2020–2021), </w:t>
      </w:r>
      <w:proofErr w:type="spellStart"/>
      <w:r w:rsidRPr="00E73D4B">
        <w:t>Innst</w:t>
      </w:r>
      <w:proofErr w:type="spellEnd"/>
      <w:r w:rsidRPr="00E73D4B">
        <w:t>. 282 L (2020–2021), Lovvedtak 83 (2020–2021).</w:t>
      </w:r>
    </w:p>
    <w:p w14:paraId="7FF9076D" w14:textId="77777777" w:rsidR="00972395" w:rsidRPr="00E73D4B" w:rsidRDefault="00F120C7" w:rsidP="00E73D4B">
      <w:r w:rsidRPr="00E73D4B">
        <w:t xml:space="preserve">Anmodningsvedtaket følges opp ved at departementet i juni 2022 sendte på høring et forslag til endringer i arbeidsmiljøloven § 1-2, som skal gi hjemmel for å gi forskrift om at yrkesdykkere som har vært omfattet av skipsarbeidsloven (påmønstret mannskap), ved overføring til arbeidsmiljøloven skal opprettholde visse rettigheter som følger av skipsarbeidsloven. Høringsfrist er 20. oktober 2022. Departementet vil deretter jobbe med oppfølgingen og regjeringen vil komme tilbake til Stortinget på egnet måte etter dette. </w:t>
      </w:r>
    </w:p>
    <w:p w14:paraId="0F9EDF4E" w14:textId="77777777" w:rsidR="00972395" w:rsidRPr="00E73D4B" w:rsidRDefault="00F120C7" w:rsidP="00E73D4B">
      <w:pPr>
        <w:pStyle w:val="avsnitt-tittel"/>
      </w:pPr>
      <w:r w:rsidRPr="00E73D4B">
        <w:t xml:space="preserve">Endringer i arbeidsmiljøloven for yrkesdykking og losing, kapteinens ansvarsforhold, bestemmelser om arbeids- og hviletid    </w:t>
      </w:r>
    </w:p>
    <w:p w14:paraId="5CE96CCE" w14:textId="77777777" w:rsidR="00972395" w:rsidRPr="00E73D4B" w:rsidRDefault="00F120C7" w:rsidP="00E73D4B">
      <w:pPr>
        <w:pStyle w:val="avsnitt-undertittel"/>
      </w:pPr>
      <w:r w:rsidRPr="00E73D4B">
        <w:t>Vedtak 771, 23. mars 2021</w:t>
      </w:r>
    </w:p>
    <w:p w14:paraId="020000E4" w14:textId="77777777" w:rsidR="00972395" w:rsidRPr="00E73D4B" w:rsidRDefault="00F120C7" w:rsidP="00E73D4B">
      <w:pPr>
        <w:pStyle w:val="blokksit"/>
        <w:rPr>
          <w:rStyle w:val="kursiv"/>
        </w:rPr>
      </w:pPr>
      <w:r w:rsidRPr="00E73D4B">
        <w:rPr>
          <w:rStyle w:val="kursiv"/>
        </w:rPr>
        <w:t>«Stortinget ber regjeringen ha tett dialog med partene i arbeidslivet for fortløpende å evaluere virkningene av arbeidsmiljøloven § 1-2 andre ledd bokstav a og eventuelt vurdere justeringer i regelverket, herunder sikre at kapteinens ansvarsforhold når dykking gjennomføres avklares, samt at bestemmelsene knyttet til arbeids- og hviletid i forbindelse med dykkeoperasjoner til sjøs klargjøres.»</w:t>
      </w:r>
    </w:p>
    <w:p w14:paraId="552EED70"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68 L (2020–2021), </w:t>
      </w:r>
      <w:proofErr w:type="spellStart"/>
      <w:r w:rsidRPr="00E73D4B">
        <w:t>Innst</w:t>
      </w:r>
      <w:proofErr w:type="spellEnd"/>
      <w:r w:rsidRPr="00E73D4B">
        <w:t>. 282 L (2020–2021), Lovvedtak 83 (2020–2021).</w:t>
      </w:r>
    </w:p>
    <w:p w14:paraId="0457CDE4" w14:textId="77777777" w:rsidR="00972395" w:rsidRPr="00E73D4B" w:rsidRDefault="00F120C7" w:rsidP="00E73D4B">
      <w:r w:rsidRPr="00E73D4B">
        <w:t xml:space="preserve">Anmodningsvedtaket følges opp ved at departementet i juni 2022 sendte på høring et forslag til endringer i arbeidsmiljøloven § 1-2, som skal gi hjemmel for å gi forskrift om at yrkesdykkere som har vært omfattet av skipsarbeidsloven (påmønstret mannskap), ved overføring til arbeidsmiljøloven skal opprettholde visse rettigheter som følger av skipsarbeidsloven. </w:t>
      </w:r>
      <w:proofErr w:type="gramStart"/>
      <w:r w:rsidRPr="00E73D4B">
        <w:t>Hva gjelder</w:t>
      </w:r>
      <w:proofErr w:type="gramEnd"/>
      <w:r w:rsidRPr="00E73D4B">
        <w:t xml:space="preserve"> kapteinens ansvarsforhold vurderer departementet at disse er ivaretatt under den generelle omsorgsplikten etter arbeidsavtalen, og at det dermed neppe er nødvendig å regelfeste dette i dag. </w:t>
      </w:r>
      <w:proofErr w:type="gramStart"/>
      <w:r w:rsidRPr="00E73D4B">
        <w:t>Hva gjelder</w:t>
      </w:r>
      <w:proofErr w:type="gramEnd"/>
      <w:r w:rsidRPr="00E73D4B">
        <w:t xml:space="preserve"> arbeids- og hviletidsbestemmelsene i forbindelse med dykkeoperasjoner legges klart til grunn at lovgiver har ment at arbeidsmiljølovens, og ikke skipssikkerhetslovens, arbeids- og hviletidsregler skal gjelde for de dykkerne som omfattes av arbeidsmiljøloven, jf. ny § 1-2 første ledd bokstav a. Høringsfrist er 20. oktober 2022. Departementet vil deretter jobbe med oppfølgingen og regjeringen vil komme tilbake til Stortinget på egnet måte etter dette. </w:t>
      </w:r>
    </w:p>
    <w:p w14:paraId="37825309" w14:textId="77777777" w:rsidR="00972395" w:rsidRPr="00E73D4B" w:rsidRDefault="00F120C7" w:rsidP="00E73D4B">
      <w:pPr>
        <w:pStyle w:val="avsnitt-tittel"/>
      </w:pPr>
      <w:r w:rsidRPr="00E73D4B">
        <w:t xml:space="preserve">Endringer i arbeidsmiljøloven for yrkesdykking og losing, krav til arbeids- og hviletid   </w:t>
      </w:r>
    </w:p>
    <w:p w14:paraId="1DB84462" w14:textId="77777777" w:rsidR="00972395" w:rsidRPr="00E73D4B" w:rsidRDefault="00F120C7" w:rsidP="00E73D4B">
      <w:pPr>
        <w:pStyle w:val="avsnitt-undertittel"/>
      </w:pPr>
      <w:r w:rsidRPr="00E73D4B">
        <w:t>Vedtak 772, 23. mars 2021</w:t>
      </w:r>
    </w:p>
    <w:p w14:paraId="41241B59" w14:textId="77777777" w:rsidR="00972395" w:rsidRPr="00E73D4B" w:rsidRDefault="00F120C7" w:rsidP="00E73D4B">
      <w:pPr>
        <w:pStyle w:val="blokksit"/>
        <w:rPr>
          <w:rStyle w:val="kursiv"/>
        </w:rPr>
      </w:pPr>
      <w:r w:rsidRPr="00E73D4B">
        <w:rPr>
          <w:rStyle w:val="kursiv"/>
        </w:rPr>
        <w:t>«Stortinget ber regjeringen vurdere innføring av en forskrift med krav til arbeids- og hviletid for selvstendig næringsdrivende og oppdragstakere som driver yrkesdykking fra skip i virksomhet. Forskriften skal gi samme vern for selvstendig næringsdrivende og oppdragstakere som for arbeidstakere etter arbeidsmiljøloven.»</w:t>
      </w:r>
    </w:p>
    <w:p w14:paraId="213A0491"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68 L (2020–2021), </w:t>
      </w:r>
      <w:proofErr w:type="spellStart"/>
      <w:r w:rsidRPr="00E73D4B">
        <w:t>Innst</w:t>
      </w:r>
      <w:proofErr w:type="spellEnd"/>
      <w:r w:rsidRPr="00E73D4B">
        <w:t>. 282 L (2020–2021), Lovvedtak 83 (2020–2021).</w:t>
      </w:r>
    </w:p>
    <w:p w14:paraId="49CE0358" w14:textId="77777777" w:rsidR="00972395" w:rsidRPr="00E73D4B" w:rsidRDefault="00F120C7" w:rsidP="00E73D4B">
      <w:r w:rsidRPr="00E73D4B">
        <w:t xml:space="preserve">Anmodningsvedtaket følges opp ved at departementet i juni 2022 sendte på høring et forslag til endringer i arbeidsmiljøloven § 1-2, som skal gi hjemmel for å gi forskrift om at yrkesdykkere som har vært omfattet av skipsarbeidsloven (påmønstret mannskap), ved overføring til arbeidsmiljøloven skal opprettholde visse rettigheter som følger av skipsarbeidsloven. På dette punktet vil departementet ikke foreslå noen forskriftsendringer nå. Høringsfrist er 20. oktober 2022. Departementet vil deretter jobbe med oppfølgingen, og regjeringen vil komme tilbake til Stortinget på egnet måte etter dette. </w:t>
      </w:r>
    </w:p>
    <w:p w14:paraId="7F632A8B" w14:textId="77777777" w:rsidR="00972395" w:rsidRPr="00E73D4B" w:rsidRDefault="00F120C7" w:rsidP="00E73D4B">
      <w:pPr>
        <w:pStyle w:val="avsnitt-tittel"/>
      </w:pPr>
      <w:r w:rsidRPr="00E73D4B">
        <w:t xml:space="preserve">Granskningsutvalgets rapport, håndtering av tidligere saker  </w:t>
      </w:r>
    </w:p>
    <w:p w14:paraId="1A642610" w14:textId="77777777" w:rsidR="00972395" w:rsidRPr="00E73D4B" w:rsidRDefault="00F120C7" w:rsidP="00E73D4B">
      <w:pPr>
        <w:pStyle w:val="avsnitt-undertittel"/>
      </w:pPr>
      <w:r w:rsidRPr="00E73D4B">
        <w:t>Vedtak 773, 23. mars 2021</w:t>
      </w:r>
    </w:p>
    <w:p w14:paraId="0F14E831" w14:textId="77777777" w:rsidR="00972395" w:rsidRPr="00E73D4B" w:rsidRDefault="00F120C7" w:rsidP="00E73D4B">
      <w:pPr>
        <w:pStyle w:val="blokksit"/>
        <w:rPr>
          <w:rStyle w:val="kursiv"/>
        </w:rPr>
      </w:pPr>
      <w:r w:rsidRPr="00E73D4B">
        <w:rPr>
          <w:rStyle w:val="kursiv"/>
        </w:rPr>
        <w:t>«Stortinget ber regjeringen komme tilbake med en endelig avklaring av forholdet mellom folketrygdlovens bestemmelser og trygdeforordning 883/2004 som vil ligge til grunn for håndteringen av tidligere saker, senest ved framleggelse av sine vurderinger av lovutvalget som skal gjennomgå trygdelovgivningen og forholdet til internasjonale avtaler.»</w:t>
      </w:r>
    </w:p>
    <w:p w14:paraId="301C5201" w14:textId="77777777" w:rsidR="00972395" w:rsidRPr="00E73D4B" w:rsidRDefault="00F120C7" w:rsidP="00E73D4B">
      <w:r w:rsidRPr="00E73D4B">
        <w:t xml:space="preserve">Vedtaket ble truffet ved behandling av redegjørelsen av arbeids- og sosialministeren om Granskningsutvalgets rapport om EØS-saken, NOU 2021: 9, jf. </w:t>
      </w:r>
      <w:proofErr w:type="spellStart"/>
      <w:r w:rsidRPr="00E73D4B">
        <w:t>Innst</w:t>
      </w:r>
      <w:proofErr w:type="spellEnd"/>
      <w:r w:rsidRPr="00E73D4B">
        <w:t>. 278 S (2020–2021).</w:t>
      </w:r>
    </w:p>
    <w:p w14:paraId="4982BEAA" w14:textId="77777777" w:rsidR="00972395" w:rsidRPr="00E73D4B" w:rsidRDefault="00F120C7" w:rsidP="00E73D4B">
      <w:r w:rsidRPr="00E73D4B">
        <w:t xml:space="preserve">Det vises til omtale av vedtaket i </w:t>
      </w:r>
      <w:proofErr w:type="spellStart"/>
      <w:r w:rsidRPr="00E73D4B">
        <w:t>Prop</w:t>
      </w:r>
      <w:proofErr w:type="spellEnd"/>
      <w:r w:rsidRPr="00E73D4B">
        <w:t xml:space="preserve">. 1 S (2021–2022) fra Arbeids- og sosialdepartementet. Flertallet i kontroll- og konstitusjonskomiteen uttalte i </w:t>
      </w:r>
      <w:proofErr w:type="spellStart"/>
      <w:r w:rsidRPr="00E73D4B">
        <w:t>Innst</w:t>
      </w:r>
      <w:proofErr w:type="spellEnd"/>
      <w:r w:rsidRPr="00E73D4B">
        <w:t xml:space="preserve">. 141 S (2021–2022) at de </w:t>
      </w:r>
      <w:proofErr w:type="gramStart"/>
      <w:r w:rsidRPr="00E73D4B">
        <w:t>imøteser</w:t>
      </w:r>
      <w:proofErr w:type="gramEnd"/>
      <w:r w:rsidRPr="00E73D4B">
        <w:t xml:space="preserve"> framleggelsen av den varslede proposisjonen som følger opp utvalgets anbefalinger om at det må foretas endringer i folketrygdlovens bestemmelser om </w:t>
      </w:r>
      <w:proofErr w:type="spellStart"/>
      <w:r w:rsidRPr="00E73D4B">
        <w:t>oppholdskrav</w:t>
      </w:r>
      <w:proofErr w:type="spellEnd"/>
      <w:r w:rsidRPr="00E73D4B">
        <w:t xml:space="preserve"> for sykepenger, pleiepenger og arbeidsavklaringspenger under opphold i andre EØS-stater, før oppfølging av vedtaket kan avsluttes.  </w:t>
      </w:r>
    </w:p>
    <w:p w14:paraId="37D9527B" w14:textId="77777777" w:rsidR="00972395" w:rsidRPr="00E73D4B" w:rsidRDefault="00F120C7" w:rsidP="00E73D4B">
      <w:r w:rsidRPr="00E73D4B">
        <w:t xml:space="preserve">Regjeringen la 1. april 2022 fram </w:t>
      </w:r>
      <w:proofErr w:type="spellStart"/>
      <w:r w:rsidRPr="00E73D4B">
        <w:t>Prop</w:t>
      </w:r>
      <w:proofErr w:type="spellEnd"/>
      <w:r w:rsidRPr="00E73D4B">
        <w:t xml:space="preserve">. 71 L (2021–2022). I proposisjonen foreslås det bl.a. oppfølging av Trygdekoordineringsutvalgets anbefaling om at det må foretas endringer i folketrygdlovens bestemmelser om </w:t>
      </w:r>
      <w:proofErr w:type="spellStart"/>
      <w:r w:rsidRPr="00E73D4B">
        <w:t>oppholdskrav</w:t>
      </w:r>
      <w:proofErr w:type="spellEnd"/>
      <w:r w:rsidRPr="00E73D4B">
        <w:t xml:space="preserve"> for sykepenger, pleiepenger og arbeidsavklaringspenger under opphold i andre EØS-stater.</w:t>
      </w:r>
    </w:p>
    <w:p w14:paraId="273E008B" w14:textId="77777777" w:rsidR="00972395" w:rsidRPr="00E73D4B" w:rsidRDefault="00F120C7" w:rsidP="00E73D4B">
      <w:r w:rsidRPr="00E73D4B">
        <w:t xml:space="preserve">Trygdekoordineringsutvalgets utredning, NOU 2021: 8 </w:t>
      </w:r>
      <w:r w:rsidRPr="00E73D4B">
        <w:rPr>
          <w:rStyle w:val="kursiv"/>
        </w:rPr>
        <w:t>Trygd over landegrensene – Gjennomføring og synliggjøring av Norges trygdekoordineringsforpliktelser</w:t>
      </w:r>
      <w:r w:rsidRPr="00E73D4B">
        <w:t xml:space="preserve"> følger som særskilt vedlegg til </w:t>
      </w:r>
      <w:proofErr w:type="spellStart"/>
      <w:r w:rsidRPr="00E73D4B">
        <w:t>Prop</w:t>
      </w:r>
      <w:proofErr w:type="spellEnd"/>
      <w:r w:rsidRPr="00E73D4B">
        <w:t>. 71 L (2021–2022). Anmodningsvedtaket anses som fulgt opp.</w:t>
      </w:r>
    </w:p>
    <w:p w14:paraId="10A78F65" w14:textId="77777777" w:rsidR="00972395" w:rsidRPr="00E73D4B" w:rsidRDefault="00F120C7" w:rsidP="00E73D4B">
      <w:pPr>
        <w:pStyle w:val="avsnitt-tittel"/>
      </w:pPr>
      <w:r w:rsidRPr="00E73D4B">
        <w:t xml:space="preserve">Flere med nedsatt arbeidsevne og tilretteleggingsbehov kan være i arbeid </w:t>
      </w:r>
    </w:p>
    <w:p w14:paraId="0734C054" w14:textId="77777777" w:rsidR="00972395" w:rsidRPr="00E73D4B" w:rsidRDefault="00F120C7" w:rsidP="00E73D4B">
      <w:pPr>
        <w:pStyle w:val="avsnitt-undertittel"/>
      </w:pPr>
      <w:r w:rsidRPr="00E73D4B">
        <w:t>Vedtak 816, 20. april 2021</w:t>
      </w:r>
    </w:p>
    <w:p w14:paraId="0DC3178F" w14:textId="77777777" w:rsidR="00972395" w:rsidRPr="00E73D4B" w:rsidRDefault="00F120C7" w:rsidP="00E73D4B">
      <w:pPr>
        <w:pStyle w:val="blokksit"/>
        <w:rPr>
          <w:rStyle w:val="kursiv"/>
        </w:rPr>
      </w:pPr>
      <w:r w:rsidRPr="00E73D4B">
        <w:rPr>
          <w:rStyle w:val="kursiv"/>
        </w:rPr>
        <w:t>«Stortinget ber regjeringen fremme forslag som kan bidra til at flere med nedsatt arbeidsevne og tilretteleggingsbehov kan være i arbeid, fremfor trygd og passivitet.»</w:t>
      </w:r>
    </w:p>
    <w:p w14:paraId="106B6F8A" w14:textId="77777777" w:rsidR="00972395" w:rsidRPr="00E73D4B" w:rsidRDefault="00F120C7" w:rsidP="00E73D4B">
      <w:r w:rsidRPr="00E73D4B">
        <w:t xml:space="preserve">Vedtaket ble truffet ved behandling av Dokument 8:95 S (2020–2021), </w:t>
      </w:r>
      <w:proofErr w:type="spellStart"/>
      <w:r w:rsidRPr="00E73D4B">
        <w:t>Innst</w:t>
      </w:r>
      <w:proofErr w:type="spellEnd"/>
      <w:r w:rsidRPr="00E73D4B">
        <w:t>. 314 S (2020–2021).</w:t>
      </w:r>
    </w:p>
    <w:p w14:paraId="04A2C984" w14:textId="77777777" w:rsidR="00972395" w:rsidRPr="00E73D4B" w:rsidRDefault="00F120C7" w:rsidP="00E73D4B">
      <w:r w:rsidRPr="00E73D4B">
        <w:t>For å bedre oppfølgingen av unge arbeidssøkere med bistandsbehov, vil regjeringen innføre en ny ungdomsgaranti som skal sikre tidlig innsats og tett, individuelt tilpasset oppfølging for at flere unge skal komme i arbeid. Oppfølgingen skal foregå gjennom hele brukerforløpet uavhengig av om den enkelte deltar i arbeidsmarkedstiltak eller andre aktiviteter, eller i perioder er under medisinsk behandling. Det er særlig lagt vekt på at brukere som er under medisinsk behandling samtidig skal kunne delta i arbeidsrettede aktiviteter.</w:t>
      </w:r>
    </w:p>
    <w:p w14:paraId="74199242" w14:textId="77777777" w:rsidR="00972395" w:rsidRPr="00E73D4B" w:rsidRDefault="00F120C7" w:rsidP="00E73D4B">
      <w:r w:rsidRPr="00E73D4B">
        <w:t xml:space="preserve">Regjeringen vil gjennomføre et forsøk med arbeidsorientert uføretrygd. Forsøket skal omfatte unge som gjennom perioden med arbeidsavklaringspenger har fått avklart at de ikke har realistisk mulighet til å få arbeid med ordinære lønnsbetingelser. Se nærmere omtale av forslaget under punkt 6.4 God inkludering av utsatte grupper i arbeidsmarkedet.  </w:t>
      </w:r>
    </w:p>
    <w:p w14:paraId="140CEEDB" w14:textId="77777777" w:rsidR="00972395" w:rsidRPr="00E73D4B" w:rsidRDefault="00F120C7" w:rsidP="00E73D4B">
      <w:r w:rsidRPr="00E73D4B">
        <w:t xml:space="preserve">Med dette anses anmodningsvedtaket som fulgt opp. </w:t>
      </w:r>
    </w:p>
    <w:p w14:paraId="4F340B38" w14:textId="77777777" w:rsidR="00972395" w:rsidRPr="00E73D4B" w:rsidRDefault="00F120C7" w:rsidP="00E73D4B">
      <w:pPr>
        <w:pStyle w:val="avsnitt-tittel"/>
      </w:pPr>
      <w:r w:rsidRPr="00E73D4B">
        <w:t xml:space="preserve">Forenklings- og moderniseringsutvalg som skal gjennomgå og fremme forslag til språklige endringer i arbeidervernlovgivningen    </w:t>
      </w:r>
    </w:p>
    <w:p w14:paraId="1A9F3E02" w14:textId="77777777" w:rsidR="00972395" w:rsidRPr="00E73D4B" w:rsidRDefault="00F120C7" w:rsidP="00E73D4B">
      <w:pPr>
        <w:pStyle w:val="avsnitt-undertittel"/>
      </w:pPr>
      <w:r w:rsidRPr="00E73D4B">
        <w:t>Vedtak 869, 4. mai 2021</w:t>
      </w:r>
    </w:p>
    <w:p w14:paraId="6A1AA452" w14:textId="77777777" w:rsidR="00972395" w:rsidRPr="00E73D4B" w:rsidRDefault="00F120C7" w:rsidP="00E73D4B">
      <w:pPr>
        <w:pStyle w:val="blokksit"/>
        <w:rPr>
          <w:rStyle w:val="kursiv"/>
        </w:rPr>
      </w:pPr>
      <w:r w:rsidRPr="00E73D4B">
        <w:rPr>
          <w:rStyle w:val="kursiv"/>
        </w:rPr>
        <w:t>«Stortinget ber regjeringen nedsette et forenklings- og moderniseringsutvalg der partene i arbeidslivet er med, som skal gjennomgå og fremme forslag til språklige endringer i arbeidervernlovgivningen. Målet med endringene er å gjøre lovverket mer brukervennlig for bedrifter, tillitsvalgte og ansatte.»</w:t>
      </w:r>
    </w:p>
    <w:p w14:paraId="1B1ED693" w14:textId="77777777" w:rsidR="00972395" w:rsidRPr="00E73D4B" w:rsidRDefault="00F120C7" w:rsidP="00E73D4B">
      <w:r w:rsidRPr="00E73D4B">
        <w:t xml:space="preserve">Vedtaket ble truffet ved behandling av Dokument 8:123 S (2020–2021), </w:t>
      </w:r>
      <w:proofErr w:type="spellStart"/>
      <w:r w:rsidRPr="00E73D4B">
        <w:t>Innst</w:t>
      </w:r>
      <w:proofErr w:type="spellEnd"/>
      <w:r w:rsidRPr="00E73D4B">
        <w:t>. 362 S (2020–2021).</w:t>
      </w:r>
    </w:p>
    <w:p w14:paraId="091A97C1" w14:textId="77777777" w:rsidR="00972395" w:rsidRPr="00E73D4B" w:rsidRDefault="00F120C7" w:rsidP="00E73D4B">
      <w:r w:rsidRPr="00E73D4B">
        <w:t>Regjeringen vil vise til at arbeidsmiljøloven er en viktig og sentral lov for det norske arbeidslivet, og at den er under stadig utvikling og at det jevnlig fremmes regelverksendringer i tråd med nye målsetninger og utviklinger i samfunnet. Dette innebærer samtidig også at det arbeides med en språklig utvikling og klargjøring av lovverket. Samtidig er loven utviklet over tid, og balanserer en rekke ulike hensyn som i noen grad kan stå i motsetning til hverandre. Regelverksendringer sendes på bred offentlig høring, bl.a. for å bidra til et velfungerende, brukervennlig og tilpasset regelverk for arbeidsgivere, tillitsvalgte og arbeidstakere. I tråd med denne utviklingen av regelverket over tid foreslås det derfor at det ikke nedsettes et utvalg, men at forenkling, modernisering og språklig tilpasning følges opp i den løpende regelverksforvaltningen. Regjeringen foreslår derfor at vedtak nr. 869 (2020–2021) oppheves. Det vises til forslagsdelen i denne proposisjonen.</w:t>
      </w:r>
    </w:p>
    <w:p w14:paraId="5C3C6C20" w14:textId="77777777" w:rsidR="00972395" w:rsidRPr="00E73D4B" w:rsidRDefault="00F120C7" w:rsidP="00E73D4B">
      <w:pPr>
        <w:pStyle w:val="avsnitt-tittel"/>
      </w:pPr>
      <w:r w:rsidRPr="00E73D4B">
        <w:t xml:space="preserve">NAV settes i stand til å drive effektiv arbeidsformidling i tett samarbeid med arbeidsgivere </w:t>
      </w:r>
    </w:p>
    <w:p w14:paraId="150CFD7D" w14:textId="77777777" w:rsidR="00972395" w:rsidRPr="00E73D4B" w:rsidRDefault="00F120C7" w:rsidP="00E73D4B">
      <w:pPr>
        <w:pStyle w:val="avsnitt-undertittel"/>
      </w:pPr>
      <w:r w:rsidRPr="00E73D4B">
        <w:t>Vedtak 906, 11. mai 2021</w:t>
      </w:r>
    </w:p>
    <w:p w14:paraId="2E657389" w14:textId="77777777" w:rsidR="00972395" w:rsidRPr="00E73D4B" w:rsidRDefault="00F120C7" w:rsidP="00E73D4B">
      <w:pPr>
        <w:pStyle w:val="blokksit"/>
        <w:rPr>
          <w:rStyle w:val="kursiv"/>
        </w:rPr>
      </w:pPr>
      <w:r w:rsidRPr="00E73D4B">
        <w:rPr>
          <w:rStyle w:val="kursiv"/>
        </w:rPr>
        <w:t>«Stortinget ber regjeringen sikre at Nav settes i stand til å drive effektiv arbeidsformidling i tett samarbeid med arbeidsgivere i privat og offentlig sektor.»</w:t>
      </w:r>
    </w:p>
    <w:p w14:paraId="050E216B" w14:textId="77777777" w:rsidR="00972395" w:rsidRPr="00E73D4B" w:rsidRDefault="00F120C7" w:rsidP="00E73D4B">
      <w:r w:rsidRPr="00E73D4B">
        <w:t xml:space="preserve">Vedtaket ble truffet ved behandling av Dokument 8:130 S (2020–2021), </w:t>
      </w:r>
      <w:proofErr w:type="spellStart"/>
      <w:r w:rsidRPr="00E73D4B">
        <w:t>Innst</w:t>
      </w:r>
      <w:proofErr w:type="spellEnd"/>
      <w:r w:rsidRPr="00E73D4B">
        <w:t>. 351 S (2020–2021).</w:t>
      </w:r>
    </w:p>
    <w:p w14:paraId="0A24C6C3" w14:textId="77777777" w:rsidR="00972395" w:rsidRPr="00E73D4B" w:rsidRDefault="00F120C7" w:rsidP="00E73D4B">
      <w:r w:rsidRPr="00E73D4B">
        <w:t xml:space="preserve">Det har vært tett dialog mellom Arbeids- og inkluderingsdepartementet og Arbeids- og velferdsdirektoratet om hvordan det skal kompenseres for funksjons- og verditapet som følge av at tjenestene på arbeidsplassen.no ble endret og redusert i 2021. </w:t>
      </w:r>
    </w:p>
    <w:p w14:paraId="3FE9E5DB" w14:textId="77777777" w:rsidR="00972395" w:rsidRPr="00E73D4B" w:rsidRDefault="00F120C7" w:rsidP="00E73D4B">
      <w:r w:rsidRPr="00E73D4B">
        <w:t>Etaten har god oversikt over ledige stillinger, og tilgangen på ledige stillinger er god. Etaten samarbeider med arbeidsgivere på ulike måter gjennom lokalt tilpassede modeller, også om å minske mismatch-problemer gjennom kompetanseheving. Det framgår av rapporteringen at formidlingen av personer med nedsatt arbeidsevne har økt.</w:t>
      </w:r>
    </w:p>
    <w:p w14:paraId="0B23D32F" w14:textId="77777777" w:rsidR="00972395" w:rsidRPr="00E73D4B" w:rsidRDefault="00F120C7" w:rsidP="00E73D4B">
      <w:r w:rsidRPr="00E73D4B">
        <w:t>Etaten jobber bredt med å videreutvikle og effektivisere sin formidlings- og rekrutteringsbistand, også med digitalisering av tjenestene. Bl.a. har etaten jobbet med å forbedre kvaliteten på planlagte møter og annet markedsarbeid. Framover vil direktoratet også utvikle nye kontaktpunkter mellom arbeidssøkere og arbeidsgivere. Anmodningsvedtaket anses som fulgt opp.</w:t>
      </w:r>
    </w:p>
    <w:p w14:paraId="786976A1" w14:textId="77777777" w:rsidR="00972395" w:rsidRPr="00E73D4B" w:rsidRDefault="00F120C7" w:rsidP="00E73D4B">
      <w:pPr>
        <w:pStyle w:val="avsnitt-tittel"/>
      </w:pPr>
      <w:r w:rsidRPr="00E73D4B">
        <w:t xml:space="preserve">Tilbud til dem som trenger varig tilrettelagt arbeid (VTA), opptrappingsplan for VTA-plasser   </w:t>
      </w:r>
    </w:p>
    <w:p w14:paraId="00F9066A" w14:textId="77777777" w:rsidR="00972395" w:rsidRPr="00E73D4B" w:rsidRDefault="00F120C7" w:rsidP="00E73D4B">
      <w:pPr>
        <w:pStyle w:val="avsnitt-undertittel"/>
      </w:pPr>
      <w:r w:rsidRPr="00E73D4B">
        <w:t>Vedtak 907, 11. mai 2021</w:t>
      </w:r>
    </w:p>
    <w:p w14:paraId="6C77B0CD" w14:textId="77777777" w:rsidR="00972395" w:rsidRPr="00E73D4B" w:rsidRDefault="00F120C7" w:rsidP="00E73D4B">
      <w:pPr>
        <w:pStyle w:val="blokksit"/>
        <w:rPr>
          <w:rStyle w:val="kursiv"/>
        </w:rPr>
      </w:pPr>
      <w:r w:rsidRPr="00E73D4B">
        <w:rPr>
          <w:rStyle w:val="kursiv"/>
        </w:rPr>
        <w:t>«Stortinget ber regjeringen sikre bedre tilbud til dem som trenger varig tilrettelagt arbeid (VTA), samt legge frem en opptrappingsplan for VTA-plasser.»</w:t>
      </w:r>
    </w:p>
    <w:p w14:paraId="46C68D54" w14:textId="77777777" w:rsidR="00972395" w:rsidRPr="00E73D4B" w:rsidRDefault="00F120C7" w:rsidP="00E73D4B">
      <w:r w:rsidRPr="00E73D4B">
        <w:t xml:space="preserve">Vedtaket ble truffet ved behandling av Dokument 8:130 S (2020–2021), </w:t>
      </w:r>
      <w:proofErr w:type="spellStart"/>
      <w:r w:rsidRPr="00E73D4B">
        <w:t>Innst</w:t>
      </w:r>
      <w:proofErr w:type="spellEnd"/>
      <w:r w:rsidRPr="00E73D4B">
        <w:t>. 351 S (2020–2021).</w:t>
      </w:r>
    </w:p>
    <w:p w14:paraId="4A28A143" w14:textId="77777777" w:rsidR="00972395" w:rsidRPr="00E73D4B" w:rsidRDefault="00F120C7" w:rsidP="00E73D4B">
      <w:r w:rsidRPr="00E73D4B">
        <w:t xml:space="preserve">Følges opp gjennom oppfølging av vedtak 408 og 409, 3. mars 2022. Vedtaket foreslås opphevet. Det vises til forslagsdelen i denne proposisjonen. </w:t>
      </w:r>
    </w:p>
    <w:p w14:paraId="13BF67B3" w14:textId="77777777" w:rsidR="00972395" w:rsidRPr="00E73D4B" w:rsidRDefault="00F120C7" w:rsidP="00E73D4B">
      <w:pPr>
        <w:pStyle w:val="avsnitt-tittel"/>
      </w:pPr>
      <w:r w:rsidRPr="00E73D4B">
        <w:t xml:space="preserve">Samordning av tjenestene i helsesektoren, NAV og utdanningssystemet </w:t>
      </w:r>
    </w:p>
    <w:p w14:paraId="30FA0822" w14:textId="77777777" w:rsidR="00972395" w:rsidRPr="00E73D4B" w:rsidRDefault="00F120C7" w:rsidP="00E73D4B">
      <w:pPr>
        <w:pStyle w:val="avsnitt-undertittel"/>
      </w:pPr>
      <w:r w:rsidRPr="00E73D4B">
        <w:t>Vedtak 908, 11. mai 2021</w:t>
      </w:r>
    </w:p>
    <w:p w14:paraId="0316CC7C" w14:textId="77777777" w:rsidR="00972395" w:rsidRPr="00E73D4B" w:rsidRDefault="00F120C7" w:rsidP="00E73D4B">
      <w:pPr>
        <w:pStyle w:val="blokksit"/>
        <w:rPr>
          <w:rStyle w:val="kursiv"/>
        </w:rPr>
      </w:pPr>
      <w:r w:rsidRPr="00E73D4B">
        <w:rPr>
          <w:rStyle w:val="kursiv"/>
        </w:rPr>
        <w:t xml:space="preserve">«Stortinget ber regjeringen sikre en bedre samordning av tjenestene i helsesektoren, Nav og utdanningssystemet, slik at unge gis en helhetlig oppfølging tilpasset den enkelte med </w:t>
      </w:r>
      <w:proofErr w:type="gramStart"/>
      <w:r w:rsidRPr="00E73D4B">
        <w:rPr>
          <w:rStyle w:val="kursiv"/>
        </w:rPr>
        <w:t>fokus</w:t>
      </w:r>
      <w:proofErr w:type="gramEnd"/>
      <w:r w:rsidRPr="00E73D4B">
        <w:rPr>
          <w:rStyle w:val="kursiv"/>
        </w:rPr>
        <w:t xml:space="preserve"> på aktivitet og mestring.»</w:t>
      </w:r>
    </w:p>
    <w:p w14:paraId="1CAF5324" w14:textId="77777777" w:rsidR="00972395" w:rsidRPr="00E73D4B" w:rsidRDefault="00F120C7" w:rsidP="00E73D4B">
      <w:r w:rsidRPr="00E73D4B">
        <w:t xml:space="preserve">Vedtaket ble truffet ved behandling av Dokument 8:130 S (2020–2021), </w:t>
      </w:r>
      <w:proofErr w:type="spellStart"/>
      <w:r w:rsidRPr="00E73D4B">
        <w:t>Innst</w:t>
      </w:r>
      <w:proofErr w:type="spellEnd"/>
      <w:r w:rsidRPr="00E73D4B">
        <w:t>. 351 S (2020–2021).</w:t>
      </w:r>
    </w:p>
    <w:p w14:paraId="0D15585C" w14:textId="77777777" w:rsidR="00972395" w:rsidRPr="00E73D4B" w:rsidRDefault="00F120C7" w:rsidP="00E73D4B">
      <w:r w:rsidRPr="00E73D4B">
        <w:t xml:space="preserve">Regjeringen vil motvirke at ungdom og unge voksne faller på utsiden av skole og arbeid ved å legge til rette for en bedre samordning av helsetjenester, arbeidsrettede tjenester og utdanningssystemet. Satsingen på individuell jobbstøtte (IPS) skal gi flere med moderate til alvorlige psykiske lidelser og rusproblemer innpass i arbeidslivet og et integrert og samtidig tilbud om helsemessig og arbeidsrettet oppfølging. En særlig innsats for unge under 30 år skjer gjennom forsøket IPS ung, hvor også oppfølging i utdanning vektlegges. Samarbeidet mellom Arbeids- og velferdsetaten og den fylkeskommunale oppfølgingstjenesten skal styrkes. Det vil bli iverksatt et forsøk med ny finansieringsordning som skal stimulere til tettere samarbeid mellom Arbeids- og velferdsetaten og fylkeskommunen om et tilpasset opplæringstilbud som skal gjøre det mulig for flere av Arbeids- og velferdsetatens brukere å gjennomføre fag- og yrkesopplæring. Videre har Arbeids- og velferdsdirektoratet og Helsedirektoratet fått i oppdrag å kartlegge barrierer, identifisere og foreslå tiltak samt identifisere og foreslå en systematisk utprøving av ulike modeller for tettere og mer systematisk tjenestesamhandling. </w:t>
      </w:r>
    </w:p>
    <w:p w14:paraId="06EB8875" w14:textId="77777777" w:rsidR="00972395" w:rsidRPr="00E73D4B" w:rsidRDefault="00F120C7" w:rsidP="00E73D4B">
      <w:r w:rsidRPr="00E73D4B">
        <w:t>Regjeringen vil også innføre en ny ungdomsgaranti som skal sikre tidlig innsats og tett, individuelt tilpasset oppfølging under hele arbeidssøkerperioden for at flere unge kan komme i arbeid. Garantien gjelder for personer under 30 år som er registrert hos Arbeids- og velferdsetaten med behov for arbeidsrettet bistand. Et viktig element i innsatsen er at den unge skal få nødvendig hjelp opp mot andre relevante instanser, bl.a. utdanningssektoren og helsetjenesten.</w:t>
      </w:r>
    </w:p>
    <w:p w14:paraId="14DEAB7A" w14:textId="77777777" w:rsidR="00972395" w:rsidRPr="00E73D4B" w:rsidRDefault="00F120C7" w:rsidP="00E73D4B">
      <w:r w:rsidRPr="00E73D4B">
        <w:t>Med dette anses anmodningsvedtaket som fulgt opp.</w:t>
      </w:r>
    </w:p>
    <w:p w14:paraId="3D6518EC" w14:textId="77777777" w:rsidR="00972395" w:rsidRPr="00E73D4B" w:rsidRDefault="00F120C7" w:rsidP="00E73D4B">
      <w:pPr>
        <w:pStyle w:val="avsnitt-tittel"/>
      </w:pPr>
      <w:r w:rsidRPr="00E73D4B">
        <w:t xml:space="preserve">Nasjonale retningslinjer som sørger for at de svakeste brukerne er sikret et tilgjengelig og åpent NAV    </w:t>
      </w:r>
    </w:p>
    <w:p w14:paraId="6A79F903" w14:textId="77777777" w:rsidR="00972395" w:rsidRPr="00E73D4B" w:rsidRDefault="00F120C7" w:rsidP="00E73D4B">
      <w:pPr>
        <w:pStyle w:val="avsnitt-undertittel"/>
      </w:pPr>
      <w:r w:rsidRPr="00E73D4B">
        <w:t>Vedtak 909, 11. mai 2021</w:t>
      </w:r>
    </w:p>
    <w:p w14:paraId="6452DBC7" w14:textId="77777777" w:rsidR="00972395" w:rsidRPr="00E73D4B" w:rsidRDefault="00F120C7" w:rsidP="00E73D4B">
      <w:pPr>
        <w:pStyle w:val="blokksit"/>
        <w:rPr>
          <w:rStyle w:val="kursiv"/>
        </w:rPr>
      </w:pPr>
      <w:r w:rsidRPr="00E73D4B">
        <w:rPr>
          <w:rStyle w:val="kursiv"/>
        </w:rPr>
        <w:t>«Stortinget ber regjeringen fremme forslag om nasjonale retningslinjer som sørger for at de svakeste brukerne er sikret et tilgjengelig og åpent Nav.»</w:t>
      </w:r>
    </w:p>
    <w:p w14:paraId="59C64C84" w14:textId="77777777" w:rsidR="00972395" w:rsidRPr="00E73D4B" w:rsidRDefault="00F120C7" w:rsidP="00E73D4B">
      <w:r w:rsidRPr="00E73D4B">
        <w:t xml:space="preserve">Vedtaket ble truffet ved behandling av Dokument 8:154 S (2020–2021), </w:t>
      </w:r>
      <w:proofErr w:type="spellStart"/>
      <w:r w:rsidRPr="00E73D4B">
        <w:t>Innst</w:t>
      </w:r>
      <w:proofErr w:type="spellEnd"/>
      <w:r w:rsidRPr="00E73D4B">
        <w:t xml:space="preserve">. 379 S (2020–2021). </w:t>
      </w:r>
    </w:p>
    <w:p w14:paraId="27723B06" w14:textId="77777777" w:rsidR="00972395" w:rsidRPr="00E73D4B" w:rsidRDefault="00F120C7" w:rsidP="00E73D4B">
      <w:r w:rsidRPr="00E73D4B">
        <w:t xml:space="preserve">Arbeids- og velferdsetaten og kommunene har felles NAV-kontor som dekker alle kommuner. Ettersom det er stor variasjon mellom kommuner, NAV-kontorenes størrelse og brukernes behov, er det den enkelte kommune i dialog med Arbeids- og velferdsetaten som avgjør hva som skal være åpningstider på det enkelte NAV-kontor ut </w:t>
      </w:r>
      <w:proofErr w:type="gramStart"/>
      <w:r w:rsidRPr="00E73D4B">
        <w:t>i fra</w:t>
      </w:r>
      <w:proofErr w:type="gramEnd"/>
      <w:r w:rsidRPr="00E73D4B">
        <w:t xml:space="preserve"> lokale forutsetninger og behov. I disse vurderingene blir det bl.a. lagt vekt på å sikre tilgjengelighet og sikkerhet for både bruker og ansatte. </w:t>
      </w:r>
    </w:p>
    <w:p w14:paraId="644F0B33" w14:textId="77777777" w:rsidR="00972395" w:rsidRPr="00E73D4B" w:rsidRDefault="00F120C7" w:rsidP="00E73D4B">
      <w:r w:rsidRPr="00E73D4B">
        <w:t xml:space="preserve">For råd og veiledning, for eksempel ved individuelle vurderinger om økonomisk sosialstønad, vil det som hovedregel være mest hensiktsmessig med en planlagt avtale slik at både bruker og veileder kan være forberedt og ha mulighet til å sette av tilstrekkelig tid. Stort sett er det enkelte NAV-kontor åpent i normal kontortid for avtalte møter mellom den enkelte bruker og veileder på NAV-kontoret. Når det gjelder åpningstider for </w:t>
      </w:r>
      <w:proofErr w:type="spellStart"/>
      <w:r w:rsidRPr="00E73D4B">
        <w:t>drop</w:t>
      </w:r>
      <w:proofErr w:type="spellEnd"/>
      <w:r w:rsidRPr="00E73D4B">
        <w:t>-in, varierer dette basert på vurderinger av lokale forhold og behov.</w:t>
      </w:r>
    </w:p>
    <w:p w14:paraId="476DA24E" w14:textId="77777777" w:rsidR="00972395" w:rsidRPr="00E73D4B" w:rsidRDefault="00F120C7" w:rsidP="00E73D4B">
      <w:r w:rsidRPr="00E73D4B">
        <w:t>NAV-kontoret skal likevel fortsatt være det siste sikkerhetsnettet for dem som trenger akutt sosialstøtte eller tak over hodet. Personer med slike behov skal kunne få hjelp uten avtale på forhånd. De som har behov for sosiale tjenester er ofte i en vanskelig livssituasjon, og for enkelte er behovet for hjelp akutt. Dette stiller krav til hvordan det enkelte NAV-kontor sikrer tilgjengeligheten til tjenestene.</w:t>
      </w:r>
    </w:p>
    <w:p w14:paraId="53F87110" w14:textId="77777777" w:rsidR="00972395" w:rsidRPr="00E73D4B" w:rsidRDefault="00F120C7" w:rsidP="00E73D4B">
      <w:r w:rsidRPr="00E73D4B">
        <w:t xml:space="preserve">Arbeids- og velferdsdirektoratet har lovtolkningsansvar for sosiale tjenester. Det følger av sosialtjenesteloven § 3 at kommunen er ansvarlig for å utføre oppgavene etter sosialtjenesteloven. Kommunene står med andre ord fritt til å organisere sin virksomhet innenfor rammene av NAV-loven § 13 og sosialtjenesteloven § 3. Videre følger det av sosialtjenesteloven § 4 at tjenester som ytes etter sosialtjenesteloven skal være forsvarlige. </w:t>
      </w:r>
    </w:p>
    <w:p w14:paraId="7D164DC6" w14:textId="77777777" w:rsidR="00972395" w:rsidRPr="00E73D4B" w:rsidRDefault="00F120C7" w:rsidP="00E73D4B">
      <w:r w:rsidRPr="00E73D4B">
        <w:t xml:space="preserve">Direktoratet har, ut fra sitt lovtolkningsansvar, lagt vekt på at vurderinger av begrensede åpningstider for </w:t>
      </w:r>
      <w:proofErr w:type="spellStart"/>
      <w:r w:rsidRPr="00E73D4B">
        <w:t>drop</w:t>
      </w:r>
      <w:proofErr w:type="spellEnd"/>
      <w:r w:rsidRPr="00E73D4B">
        <w:t>-in må vurderes og avtales lokalt i partnerskapet, men at vurderingene må være begrunnet og basert på kravene i sosialtjenesteloven. Dette ble bl.a. formidlet til statsforvalterne i brev av 2. juli 2021.</w:t>
      </w:r>
    </w:p>
    <w:p w14:paraId="5BB29266" w14:textId="77777777" w:rsidR="00972395" w:rsidRPr="00E73D4B" w:rsidRDefault="00F120C7" w:rsidP="00E73D4B">
      <w:r w:rsidRPr="00E73D4B">
        <w:t xml:space="preserve">Arbeids- og velferdsdirektoratet har også i sin dialog med fylkeskontorene understreket at åpningstider på NAV-kontorene må ivareta brukerne med behov for </w:t>
      </w:r>
      <w:proofErr w:type="spellStart"/>
      <w:r w:rsidRPr="00E73D4B">
        <w:t>drop</w:t>
      </w:r>
      <w:proofErr w:type="spellEnd"/>
      <w:r w:rsidRPr="00E73D4B">
        <w:t xml:space="preserve">-in og fysisk tilgjengelighet til tjenester i kontorene. Dette inkluderer bl.a. brukere som trenger tjenester etter lov om sosiale tjenester og brukere som ikke benytter digitale kanaler. </w:t>
      </w:r>
    </w:p>
    <w:p w14:paraId="6CA73B6D" w14:textId="77777777" w:rsidR="00972395" w:rsidRPr="00E73D4B" w:rsidRDefault="00F120C7" w:rsidP="00E73D4B">
      <w:r w:rsidRPr="00E73D4B">
        <w:t>Helsetilsynet og statsforvalterne har i perioden 2020–2021 gjennomført et landsomfattende tilsyn med tilgjengeligheten til de sosiale tjenestene i arbeids- og velferdsforvaltningen. Som en del av dette tilsynet har Helsetilsynet undersøkt tilbudet NAV Kontaktsenter gir på telefon for kommunen på sosialtjenesteområdet. Helsetilsynet peker her på at de mest utsatte brukerne ikke alltid får tilstrekkelig tilgjengelige tjenester og kontakt med NAV-kontoret når det er nødvendig, bl.a. fordi NAV-kontoret ikke alltid svarer på telefon som kommer fra bruker via NAV Kontaktsenter. Som en del av oppfølgingen etter gjennomgangen fra Helsetilsynet, har Arbeids- og velferdsdirektoratet i brev til alle landets kommuner bedt om at alle kommuner oppretter en vakttelefon som NAV Kontaktsenter kan nå.</w:t>
      </w:r>
    </w:p>
    <w:p w14:paraId="669FC5C6" w14:textId="77777777" w:rsidR="00972395" w:rsidRPr="00E73D4B" w:rsidRDefault="00F120C7" w:rsidP="00E73D4B">
      <w:r w:rsidRPr="00E73D4B">
        <w:t>Arbeids- og velferdsdirektoratet har også bedt alle fylkesdirektører om å ta opp spørsmål om åpningstider og vakttelefon med alle kommuner i partnerskapsmøtene fremover.</w:t>
      </w:r>
    </w:p>
    <w:p w14:paraId="1A731C77" w14:textId="77777777" w:rsidR="00972395" w:rsidRPr="00E73D4B" w:rsidRDefault="00F120C7" w:rsidP="00E73D4B">
      <w:r w:rsidRPr="00E73D4B">
        <w:t xml:space="preserve">Det er den enkelte kommune og det enkelte NAV-kontor som kan avgjøre detaljene i hvordan åpningstider og tilgjengelighet for alle brukere praktisk kan gjennomføres innenfor rammen av sosialtjenestelovens krav til forsvarlige tjenester. På bakgrunn av ovenstående vurderer regjeringen at det ikke er nødvendig med nasjonale retningslinjer for å sikre en tilgjengelig og åpen arbeids- og velferdsforvaltning. </w:t>
      </w:r>
    </w:p>
    <w:p w14:paraId="4D17CB69" w14:textId="77777777" w:rsidR="00972395" w:rsidRPr="00E73D4B" w:rsidRDefault="00F120C7" w:rsidP="00E73D4B">
      <w:r w:rsidRPr="00E73D4B">
        <w:t>Med dette anses anmodningsvedtaket som fulgt opp.</w:t>
      </w:r>
    </w:p>
    <w:p w14:paraId="24E34E3E" w14:textId="77777777" w:rsidR="00972395" w:rsidRPr="00E73D4B" w:rsidRDefault="00F120C7" w:rsidP="00E73D4B">
      <w:pPr>
        <w:pStyle w:val="avsnitt-tittel"/>
      </w:pPr>
      <w:r w:rsidRPr="00E73D4B">
        <w:t xml:space="preserve">Forenkling av yrkesskadereglene    </w:t>
      </w:r>
    </w:p>
    <w:p w14:paraId="3F3D64DC" w14:textId="77777777" w:rsidR="00972395" w:rsidRPr="00E73D4B" w:rsidRDefault="00F120C7" w:rsidP="00E73D4B">
      <w:pPr>
        <w:pStyle w:val="avsnitt-undertittel"/>
      </w:pPr>
      <w:r w:rsidRPr="00E73D4B">
        <w:t>Vedtak 911, 11. mai 2021</w:t>
      </w:r>
    </w:p>
    <w:p w14:paraId="31531893" w14:textId="77777777" w:rsidR="00972395" w:rsidRPr="00E73D4B" w:rsidRDefault="00F120C7" w:rsidP="00E73D4B">
      <w:pPr>
        <w:pStyle w:val="blokksit"/>
        <w:rPr>
          <w:rStyle w:val="kursiv"/>
        </w:rPr>
      </w:pPr>
      <w:r w:rsidRPr="00E73D4B">
        <w:rPr>
          <w:rStyle w:val="kursiv"/>
        </w:rPr>
        <w:t>«Stortinget ber regjeringen i samråd med partene i arbeidslivet legge frem et forslag til nødvendig forenkling av yrkesskadereglene som er i tråd med utviklingen i samfunnet og arbeidslivet, og som sikrer den enkelte arbeidstaker. Stortinget ber også regjeringen gjennomgå og om nødvendig oppdatere yrkessykdomslisten.»</w:t>
      </w:r>
    </w:p>
    <w:p w14:paraId="5BE29246" w14:textId="77777777" w:rsidR="00972395" w:rsidRPr="00E73D4B" w:rsidRDefault="00F120C7" w:rsidP="00E73D4B">
      <w:r w:rsidRPr="00E73D4B">
        <w:t xml:space="preserve">Vedtaket ble truffet ved behandling av Dokument 8:150 S (2020–2021), </w:t>
      </w:r>
      <w:proofErr w:type="spellStart"/>
      <w:r w:rsidRPr="00E73D4B">
        <w:t>Innst</w:t>
      </w:r>
      <w:proofErr w:type="spellEnd"/>
      <w:r w:rsidRPr="00E73D4B">
        <w:t xml:space="preserve">. 382 S (2020–2021). </w:t>
      </w:r>
    </w:p>
    <w:p w14:paraId="1E125D3A" w14:textId="77777777" w:rsidR="00972395" w:rsidRPr="00E73D4B" w:rsidRDefault="00F120C7" w:rsidP="00E73D4B">
      <w:r w:rsidRPr="00E73D4B">
        <w:t>Anmodningsvedtaket er til behandling i departementet. Regjeringen vil komme tilbake til Stortinget på et senere tidspunkt.</w:t>
      </w:r>
    </w:p>
    <w:p w14:paraId="418F2CB9" w14:textId="77777777" w:rsidR="00972395" w:rsidRPr="00E73D4B" w:rsidRDefault="00F120C7" w:rsidP="00E73D4B">
      <w:pPr>
        <w:pStyle w:val="avsnitt-tittel"/>
      </w:pPr>
      <w:r w:rsidRPr="00E73D4B">
        <w:t xml:space="preserve">NAV-ombud    </w:t>
      </w:r>
    </w:p>
    <w:p w14:paraId="2CB386F5" w14:textId="77777777" w:rsidR="00972395" w:rsidRPr="00E73D4B" w:rsidRDefault="00F120C7" w:rsidP="00E73D4B">
      <w:pPr>
        <w:pStyle w:val="avsnitt-undertittel"/>
      </w:pPr>
      <w:r w:rsidRPr="00E73D4B">
        <w:t>Vedtak 930, 18. mai 2021</w:t>
      </w:r>
    </w:p>
    <w:p w14:paraId="7E4D1EFF" w14:textId="77777777" w:rsidR="00972395" w:rsidRPr="00E73D4B" w:rsidRDefault="00F120C7" w:rsidP="00E73D4B">
      <w:pPr>
        <w:pStyle w:val="blokksit"/>
        <w:rPr>
          <w:rStyle w:val="kursiv"/>
        </w:rPr>
      </w:pPr>
      <w:r w:rsidRPr="00E73D4B">
        <w:rPr>
          <w:rStyle w:val="kursiv"/>
        </w:rPr>
        <w:t>«Stortinget ber regjeringen om snarest mulig å opprette et eget, selvstendig Nav-ombud og avklare en mulig samlokalisering med et av de andre ombudene for å dra nytte av felles faglige og administrative ressurser.»</w:t>
      </w:r>
    </w:p>
    <w:p w14:paraId="6FAB0D1A" w14:textId="77777777" w:rsidR="00972395" w:rsidRPr="00E73D4B" w:rsidRDefault="00F120C7" w:rsidP="00E73D4B">
      <w:r w:rsidRPr="00E73D4B">
        <w:t xml:space="preserve">Vedtaket ble truffet ved behandling av Dokument 21 (2020–2021), kapittel 8, </w:t>
      </w:r>
      <w:proofErr w:type="spellStart"/>
      <w:r w:rsidRPr="00E73D4B">
        <w:t>Innst</w:t>
      </w:r>
      <w:proofErr w:type="spellEnd"/>
      <w:r w:rsidRPr="00E73D4B">
        <w:t>. 408 S (2020–2021).</w:t>
      </w:r>
    </w:p>
    <w:p w14:paraId="10229104" w14:textId="77777777" w:rsidR="00972395" w:rsidRPr="00E73D4B" w:rsidRDefault="00F120C7" w:rsidP="00E73D4B">
      <w:r w:rsidRPr="00E73D4B">
        <w:t xml:space="preserve">Utvalget som skal foreta en helhetlig gjennomgang av klage- og </w:t>
      </w:r>
      <w:proofErr w:type="spellStart"/>
      <w:r w:rsidRPr="00E73D4B">
        <w:t>ankesystemet</w:t>
      </w:r>
      <w:proofErr w:type="spellEnd"/>
      <w:r w:rsidRPr="00E73D4B">
        <w:t xml:space="preserve"> i Arbeids- og velferdsetaten (NAV) og Trygderetten, skal etter planen levere sin utredning innen 31. mars 2023. Spørsmålet om innretning og organisering av et NAV-ombud vil naturlig måtte vurderes i sammenheng med oppfølgingen av dette utvalgets anbefalinger om hvordan brukernes rettssikkerhet mv. sikres på en best mulig måte. Regjeringen vil komme tilbake til Stortinget på et senere tidspunkt.</w:t>
      </w:r>
    </w:p>
    <w:p w14:paraId="1921EF97" w14:textId="77777777" w:rsidR="00972395" w:rsidRPr="00E73D4B" w:rsidRDefault="00F120C7" w:rsidP="00E73D4B">
      <w:pPr>
        <w:pStyle w:val="avsnitt-tittel"/>
      </w:pPr>
      <w:r w:rsidRPr="00E73D4B">
        <w:t xml:space="preserve">Endringer i arbeidsmiljøloven, tilfeldig uttrekk av meddommere fra hvert av de særskilt arbeidslivskyndige utvalgene    </w:t>
      </w:r>
    </w:p>
    <w:p w14:paraId="45F142FB" w14:textId="77777777" w:rsidR="00972395" w:rsidRPr="00E73D4B" w:rsidRDefault="00F120C7" w:rsidP="00E73D4B">
      <w:pPr>
        <w:pStyle w:val="avsnitt-undertittel"/>
      </w:pPr>
      <w:r w:rsidRPr="00E73D4B">
        <w:t>Vedtak 1149, 8. juni 2021</w:t>
      </w:r>
    </w:p>
    <w:p w14:paraId="53A369D4" w14:textId="77777777" w:rsidR="00972395" w:rsidRPr="00E73D4B" w:rsidRDefault="00F120C7" w:rsidP="00E73D4B">
      <w:pPr>
        <w:pStyle w:val="blokksit"/>
        <w:rPr>
          <w:rStyle w:val="kursiv"/>
        </w:rPr>
      </w:pPr>
      <w:r w:rsidRPr="00E73D4B">
        <w:rPr>
          <w:rStyle w:val="kursiv"/>
        </w:rPr>
        <w:t>«Stortinget ber regjeringen utrede mulige endringer i arbeidsmiljøloven der dagens ordning med utnevning av særskilt arbeidslivskyndige meddommere i den enkelte sak etter forslag fra partene, erstattes med et tilfeldig uttrekk av meddommere fra hvert av de særskilt arbeidslivskyndige utvalgene.»</w:t>
      </w:r>
    </w:p>
    <w:p w14:paraId="3F1FD144" w14:textId="77777777" w:rsidR="00972395" w:rsidRPr="00E73D4B" w:rsidRDefault="00F120C7" w:rsidP="00E73D4B">
      <w:r w:rsidRPr="00E73D4B">
        <w:t xml:space="preserve">Vedtaket ble truffet ved behandling av Dokument 8:228 L (2020–2021), </w:t>
      </w:r>
      <w:proofErr w:type="spellStart"/>
      <w:r w:rsidRPr="00E73D4B">
        <w:t>Innst</w:t>
      </w:r>
      <w:proofErr w:type="spellEnd"/>
      <w:r w:rsidRPr="00E73D4B">
        <w:t>. 586 L (2020–2021).</w:t>
      </w:r>
    </w:p>
    <w:p w14:paraId="42AC0315" w14:textId="77777777" w:rsidR="00972395" w:rsidRPr="00E73D4B" w:rsidRDefault="00F120C7" w:rsidP="00E73D4B">
      <w:r w:rsidRPr="00E73D4B">
        <w:t>Anmodningsvedtaket er til behandling i departementet. Regjeringen vil komme tilbake til Stortinget på et senere tidspunkt.</w:t>
      </w:r>
    </w:p>
    <w:p w14:paraId="5BFF0D40" w14:textId="77777777" w:rsidR="00972395" w:rsidRPr="00E73D4B" w:rsidRDefault="00F120C7" w:rsidP="00E73D4B">
      <w:pPr>
        <w:pStyle w:val="avsnitt-tittel"/>
      </w:pPr>
      <w:r w:rsidRPr="00E73D4B">
        <w:t>Uføre fosterforeldre</w:t>
      </w:r>
    </w:p>
    <w:p w14:paraId="62AC3B2C" w14:textId="77777777" w:rsidR="00972395" w:rsidRPr="00E73D4B" w:rsidRDefault="00F120C7" w:rsidP="00E73D4B">
      <w:pPr>
        <w:pStyle w:val="avsnitt-undertittel"/>
      </w:pPr>
      <w:r w:rsidRPr="00E73D4B">
        <w:t>Vedtak 1200, 10. juni 2021</w:t>
      </w:r>
    </w:p>
    <w:p w14:paraId="0466E88C" w14:textId="77777777" w:rsidR="00972395" w:rsidRPr="00E73D4B" w:rsidRDefault="00F120C7" w:rsidP="00E73D4B">
      <w:pPr>
        <w:pStyle w:val="blokksit"/>
        <w:rPr>
          <w:rStyle w:val="kursiv"/>
        </w:rPr>
      </w:pPr>
      <w:r w:rsidRPr="00E73D4B">
        <w:rPr>
          <w:rStyle w:val="kursiv"/>
        </w:rPr>
        <w:t>«Stortinget ber regjeringen snarest fremme forslag om at uføre fosterforeldre ikke får avkortning i sin uføretrygd som følge av fosterhjemsoppdraget.»</w:t>
      </w:r>
    </w:p>
    <w:p w14:paraId="7AF3E300"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133 L (2020–2021), </w:t>
      </w:r>
      <w:proofErr w:type="spellStart"/>
      <w:r w:rsidRPr="00E73D4B">
        <w:t>Innst</w:t>
      </w:r>
      <w:proofErr w:type="spellEnd"/>
      <w:r w:rsidRPr="00E73D4B">
        <w:t>. 625 L (2020–2021), Lovvedtak 173-174 (2020–2021).</w:t>
      </w:r>
    </w:p>
    <w:p w14:paraId="79587447" w14:textId="77777777" w:rsidR="00972395" w:rsidRPr="00E73D4B" w:rsidRDefault="00F120C7" w:rsidP="00E73D4B">
      <w:r w:rsidRPr="00E73D4B">
        <w:t xml:space="preserve">Fosterhjemsutvalgets innstilling (NOU 2018: 18) ble </w:t>
      </w:r>
      <w:proofErr w:type="gramStart"/>
      <w:r w:rsidRPr="00E73D4B">
        <w:t>avgitt</w:t>
      </w:r>
      <w:proofErr w:type="gramEnd"/>
      <w:r w:rsidRPr="00E73D4B">
        <w:t xml:space="preserve"> 18. desember 2018. Utvalget foreslo en omlegging av fosterhjemsgodtgjørelsen til en skattefri, ikke-pensjonsgivende ytelse. Det ble lagt til grunn at en slik løsning vil sørge for at arbeidsgodtgjøring verken gir </w:t>
      </w:r>
      <w:proofErr w:type="spellStart"/>
      <w:r w:rsidRPr="00E73D4B">
        <w:t>avkorting</w:t>
      </w:r>
      <w:proofErr w:type="spellEnd"/>
      <w:r w:rsidRPr="00E73D4B">
        <w:t xml:space="preserve"> i trygdeytelser eller fører til at fosterforeldre som får arbeidsevnen nedsatt med 50 pst. mister rett til ytelser. Barne- og familiedepartementet skal vurdere alternative ordninger for godtgjøring til fosterforeldre. Utvalgets forslag om å gjøre godtgjøringen om til en stønad vil inngå i denne vurderingen, se nærmere omtale i </w:t>
      </w:r>
      <w:proofErr w:type="spellStart"/>
      <w:r w:rsidRPr="00E73D4B">
        <w:t>Prop</w:t>
      </w:r>
      <w:proofErr w:type="spellEnd"/>
      <w:r w:rsidRPr="00E73D4B">
        <w:t>. 1 S (2022–2023) for Barne- og familiedepartementet. Regjeringen vil derfor komme tilbake til Stortinget etter å ha tatt stilling til hvordan godtgjøring til fosterforeldre bør utformes.</w:t>
      </w:r>
    </w:p>
    <w:p w14:paraId="5171BC9B" w14:textId="77777777" w:rsidR="00972395" w:rsidRPr="00E73D4B" w:rsidRDefault="00F120C7" w:rsidP="00E73D4B">
      <w:pPr>
        <w:pStyle w:val="avsnitt-tittel"/>
      </w:pPr>
      <w:r w:rsidRPr="00E73D4B">
        <w:t>Reduksjon av ytelser under opphold i institusjon, likebehandling av pasientgrupper</w:t>
      </w:r>
    </w:p>
    <w:p w14:paraId="135D670B" w14:textId="77777777" w:rsidR="00972395" w:rsidRPr="00E73D4B" w:rsidRDefault="00F120C7" w:rsidP="00E73D4B">
      <w:pPr>
        <w:pStyle w:val="avsnitt-undertittel"/>
      </w:pPr>
      <w:r w:rsidRPr="00E73D4B">
        <w:t>Vedtak 1219, 11. juni 2021</w:t>
      </w:r>
    </w:p>
    <w:p w14:paraId="0146D795" w14:textId="77777777" w:rsidR="00972395" w:rsidRPr="00E73D4B" w:rsidRDefault="00F120C7" w:rsidP="00E73D4B">
      <w:pPr>
        <w:pStyle w:val="blokksit"/>
        <w:rPr>
          <w:rStyle w:val="kursiv"/>
        </w:rPr>
      </w:pPr>
      <w:r w:rsidRPr="00E73D4B">
        <w:rPr>
          <w:rStyle w:val="kursiv"/>
        </w:rPr>
        <w:t>«Stortinget ber regjeringen utrede endringer i folketrygdlovens regler om reduksjon av ytelser under opphold i institusjon, herunder forskjellen mellom innlagte i somatiske og psykiatriske institusjoner, og komme tilbake til Stortinget med forslag til endringer som sikrer likebehandling av pasientgrupper.»</w:t>
      </w:r>
    </w:p>
    <w:p w14:paraId="15C926A7" w14:textId="77777777" w:rsidR="00972395" w:rsidRPr="00E73D4B" w:rsidRDefault="00F120C7" w:rsidP="00E73D4B">
      <w:r w:rsidRPr="00E73D4B">
        <w:t xml:space="preserve">Vedtaket ble truffet ved behandling av Dokument 8:274 S (2020–2021), </w:t>
      </w:r>
      <w:proofErr w:type="spellStart"/>
      <w:r w:rsidRPr="00E73D4B">
        <w:t>Innst</w:t>
      </w:r>
      <w:proofErr w:type="spellEnd"/>
      <w:r w:rsidRPr="00E73D4B">
        <w:t>. 528 S (2020–2021).</w:t>
      </w:r>
    </w:p>
    <w:p w14:paraId="60DC9EFF" w14:textId="77777777" w:rsidR="00972395" w:rsidRPr="00E73D4B" w:rsidRDefault="00F120C7" w:rsidP="00E73D4B">
      <w:r w:rsidRPr="00E73D4B">
        <w:t>Anmodningsvedtaket er til behandling i departementet. Regjeringen vil komme tilbake til Stortinget på et senere tidspunkt.</w:t>
      </w:r>
    </w:p>
    <w:p w14:paraId="0ACC892D" w14:textId="77777777" w:rsidR="00972395" w:rsidRPr="00E73D4B" w:rsidRDefault="00F120C7" w:rsidP="00E73D4B">
      <w:pPr>
        <w:pStyle w:val="avsnitt-tittel"/>
      </w:pPr>
      <w:r w:rsidRPr="00E73D4B">
        <w:t>Arbeidssøkere tilknyttet NAV og som gis arbeid i jordbruksbedrifter</w:t>
      </w:r>
    </w:p>
    <w:p w14:paraId="63B727C3" w14:textId="77777777" w:rsidR="00972395" w:rsidRPr="00E73D4B" w:rsidRDefault="00F120C7" w:rsidP="00E73D4B">
      <w:pPr>
        <w:pStyle w:val="avsnitt-undertittel"/>
      </w:pPr>
      <w:r w:rsidRPr="00E73D4B">
        <w:t>Vedtak 1221, 11. juni 2021</w:t>
      </w:r>
    </w:p>
    <w:p w14:paraId="047D4853" w14:textId="77777777" w:rsidR="00972395" w:rsidRPr="00E73D4B" w:rsidRDefault="00F120C7" w:rsidP="00E73D4B">
      <w:pPr>
        <w:pStyle w:val="blokksit"/>
        <w:rPr>
          <w:rStyle w:val="kursiv"/>
        </w:rPr>
      </w:pPr>
      <w:r w:rsidRPr="00E73D4B">
        <w:rPr>
          <w:rStyle w:val="kursiv"/>
        </w:rPr>
        <w:t>«Stortinget ber regjeringen påse at virksomheter som ansetter arbeidssøkere tilknyttet Nav og som gis arbeid i jordbruksbedrifter, sikres lik tilgang som andre virksomheter til å benytte seg av mentorordning, lønnstilskudd og andre tiltak som bidrar til å få folk raskt tilbake i arbeid.»</w:t>
      </w:r>
    </w:p>
    <w:p w14:paraId="554C3B84" w14:textId="77777777" w:rsidR="00972395" w:rsidRPr="00E73D4B" w:rsidRDefault="00F120C7" w:rsidP="00E73D4B">
      <w:r w:rsidRPr="00E73D4B">
        <w:t xml:space="preserve">Vedtaket ble truffet ved behandling av Dokument 8:291 S (2020–2021), </w:t>
      </w:r>
      <w:proofErr w:type="spellStart"/>
      <w:r w:rsidRPr="00E73D4B">
        <w:t>Innst</w:t>
      </w:r>
      <w:proofErr w:type="spellEnd"/>
      <w:r w:rsidRPr="00E73D4B">
        <w:t>. 562 S (2020–2021).</w:t>
      </w:r>
    </w:p>
    <w:p w14:paraId="68942CF7" w14:textId="77777777" w:rsidR="00972395" w:rsidRPr="00E73D4B" w:rsidRDefault="00F120C7" w:rsidP="00E73D4B">
      <w:r w:rsidRPr="00E73D4B">
        <w:t xml:space="preserve">Vedtaket er fulgt opp i dialog med Arbeids- og velferdsdirektoratet. Direktoratet har gitt en tilbakemelding om at det ikke er føringer i regelverket eller retningslinjer for mentorordningen, lønnstilskudd eller andre arbeidsmarkedstiltak som er til hinder for bruk i jordbruksbedrifter. Arbeidsmarkedstiltakene er individrettet, og det er den enkelte brukers behov for bistand for å styrke mulighetene til å </w:t>
      </w:r>
      <w:proofErr w:type="spellStart"/>
      <w:r w:rsidRPr="00E73D4B">
        <w:t>få</w:t>
      </w:r>
      <w:proofErr w:type="spellEnd"/>
      <w:r w:rsidRPr="00E73D4B">
        <w:t xml:space="preserve"> eller beholde arbeid som avgjør tildelingen av arbeidsmarkedstiltak. Jordbruksbedrifter kan benytte seg av arbeidsmarkedstiltak dersom Arbeids- og velferdsetaten vurderer at dette er tiltak som kan benyttes for at personen skal kunne stå i arbeid eller få arbeidserfaring, samt at virksomheten ellers fyller de krav og vilkår som stilles i tiltaksforskriften. Anmodningsvedtaket anses som fulgt opp.</w:t>
      </w:r>
    </w:p>
    <w:p w14:paraId="178DDCCB" w14:textId="77777777" w:rsidR="00972395" w:rsidRPr="00E73D4B" w:rsidRDefault="00F120C7" w:rsidP="00E73D4B">
      <w:pPr>
        <w:pStyle w:val="avsnitt-tittel"/>
      </w:pPr>
      <w:r w:rsidRPr="00E73D4B">
        <w:t xml:space="preserve">Regulering av pensjoner under utbetaling for 2021    </w:t>
      </w:r>
    </w:p>
    <w:p w14:paraId="385C2227" w14:textId="77777777" w:rsidR="00972395" w:rsidRPr="00E73D4B" w:rsidRDefault="00F120C7" w:rsidP="00E73D4B">
      <w:pPr>
        <w:pStyle w:val="avsnitt-undertittel"/>
      </w:pPr>
      <w:r w:rsidRPr="00E73D4B">
        <w:t>Vedtak 1279, 17. juni 2021</w:t>
      </w:r>
    </w:p>
    <w:p w14:paraId="4196F3CE" w14:textId="77777777" w:rsidR="00972395" w:rsidRPr="00E73D4B" w:rsidRDefault="00F120C7" w:rsidP="00E73D4B">
      <w:pPr>
        <w:pStyle w:val="blokksit"/>
        <w:rPr>
          <w:rStyle w:val="kursiv"/>
        </w:rPr>
      </w:pPr>
      <w:r w:rsidRPr="00E73D4B">
        <w:rPr>
          <w:rStyle w:val="kursiv"/>
        </w:rPr>
        <w:t>«Stortinget ber regjeringen endre reguleringen av pensjoner under utbetaling for 2021 i tråd med kravet fra LO, YS, FFO og Pensjonistforbundet. Dette innebærer at årsveksten i løpende alderspensjon i 2021 skal være 3,83 pst. heller enn 3,58 pst. slik regjeringen har lagt opp til.»</w:t>
      </w:r>
    </w:p>
    <w:p w14:paraId="5714042B" w14:textId="77777777" w:rsidR="00972395" w:rsidRPr="00E73D4B" w:rsidRDefault="00F120C7" w:rsidP="00E73D4B">
      <w:r w:rsidRPr="00E73D4B">
        <w:t xml:space="preserve">Vedtaket ble truffet ved behandling av Meld. St. 33 (2020–2021), </w:t>
      </w:r>
      <w:proofErr w:type="spellStart"/>
      <w:r w:rsidRPr="00E73D4B">
        <w:t>Innst</w:t>
      </w:r>
      <w:proofErr w:type="spellEnd"/>
      <w:r w:rsidRPr="00E73D4B">
        <w:t xml:space="preserve">. 665 S (2020–2021). </w:t>
      </w:r>
    </w:p>
    <w:p w14:paraId="35F0D9C3" w14:textId="77777777" w:rsidR="00972395" w:rsidRPr="00E73D4B" w:rsidRDefault="00F120C7" w:rsidP="00E73D4B">
      <w:r w:rsidRPr="00E73D4B">
        <w:t>Departementet sendte 16. september 2021 forslag til endringer i forskrift 6. mai 2011 nr. 465 og forskrift 21. mai 2021 nr. 1568 på alminnelig høring med høringsfrist 28. oktober 2021. Endringene ble fastsatt ved kongelig resolusjon 19. november 2021 med hjemmel i lov 28. februar 1997 nr. 19 om folketrygd § 19-14 åttende ledd og § 20-18 åttende ledd. Løpende alderspensjon, satsene for minste pensjonsnivå og satsene for garantipensjon har etter omgjøringen av trygdeoppgjøret fått en regulering på 5,36 prosent fra 1. mai 2021. Dette sikrer at årsveksten for løpende alderspensjon blir 3,83 prosent. Anmodningsvedtaket anses som fulgt opp.</w:t>
      </w:r>
    </w:p>
    <w:p w14:paraId="73DED625" w14:textId="77777777" w:rsidR="00972395" w:rsidRPr="00E73D4B" w:rsidRDefault="00F120C7" w:rsidP="00E73D4B">
      <w:pPr>
        <w:pStyle w:val="avsnitt-tittel"/>
      </w:pPr>
      <w:r w:rsidRPr="00E73D4B">
        <w:t>Evaluering av brillestøtteordningen</w:t>
      </w:r>
    </w:p>
    <w:p w14:paraId="46CA2E25" w14:textId="77777777" w:rsidR="00972395" w:rsidRPr="00E73D4B" w:rsidRDefault="00F120C7" w:rsidP="00E73D4B">
      <w:pPr>
        <w:pStyle w:val="avsnitt-undertittel"/>
      </w:pPr>
      <w:r w:rsidRPr="00E73D4B">
        <w:t>Vedtak 1342, 18. juni 2021</w:t>
      </w:r>
    </w:p>
    <w:p w14:paraId="55592013" w14:textId="77777777" w:rsidR="00972395" w:rsidRPr="00E73D4B" w:rsidRDefault="00F120C7" w:rsidP="00E73D4B">
      <w:pPr>
        <w:pStyle w:val="blokksit"/>
        <w:rPr>
          <w:rStyle w:val="kursiv"/>
        </w:rPr>
      </w:pPr>
      <w:r w:rsidRPr="00E73D4B">
        <w:rPr>
          <w:rStyle w:val="kursiv"/>
        </w:rPr>
        <w:t xml:space="preserve">«Stortinget ber regjeringen om å foreta </w:t>
      </w:r>
      <w:proofErr w:type="gramStart"/>
      <w:r w:rsidRPr="00E73D4B">
        <w:rPr>
          <w:rStyle w:val="kursiv"/>
        </w:rPr>
        <w:t>en evalueringen</w:t>
      </w:r>
      <w:proofErr w:type="gramEnd"/>
      <w:r w:rsidRPr="00E73D4B">
        <w:rPr>
          <w:rStyle w:val="kursiv"/>
        </w:rPr>
        <w:t xml:space="preserve"> av brillestøtteordningen for å se om endringene som ble foretatt, har hatt utilsiktede konsekvenser. Evalueringen skal også se på om de forskjellige støtteordningene er godt nok kjent for de som er i målgruppen. Evalueringen skal også se på om støtteordningene er riktig innrettet sånn at de som faktisk har behov, reelt sett får det.»</w:t>
      </w:r>
    </w:p>
    <w:p w14:paraId="5730628D" w14:textId="77777777" w:rsidR="00972395" w:rsidRPr="00E73D4B" w:rsidRDefault="00F120C7" w:rsidP="00E73D4B">
      <w:r w:rsidRPr="00E73D4B">
        <w:t xml:space="preserve">Vedtaket ble truffet ved behandling av Meld. St. 2 (2020–2021), </w:t>
      </w:r>
      <w:proofErr w:type="spellStart"/>
      <w:r w:rsidRPr="00E73D4B">
        <w:t>Innst</w:t>
      </w:r>
      <w:proofErr w:type="spellEnd"/>
      <w:r w:rsidRPr="00E73D4B">
        <w:t>. 600 S (2020–2021).</w:t>
      </w:r>
    </w:p>
    <w:p w14:paraId="76419968" w14:textId="77777777" w:rsidR="00972395" w:rsidRPr="00E73D4B" w:rsidRDefault="00F120C7" w:rsidP="00E73D4B">
      <w:r w:rsidRPr="00E73D4B">
        <w:t xml:space="preserve">Regjeringen har forbedret ordningen med brillestøtte for barn. Det er fra 1. august 2022 innført en ny brillestøtteordning til barn under 18 år, som kommer i tillegg til de to andre ordningene som dekker briller, jf. nærmere omtale under punkt 6.8 Inkludering i samfunnet og gode levekår for de vanskeligst stilte og kap. 2661 Grunn- og hjelpestønad, hjelpemidler </w:t>
      </w:r>
      <w:proofErr w:type="gramStart"/>
      <w:r w:rsidRPr="00E73D4B">
        <w:t>mv..</w:t>
      </w:r>
      <w:proofErr w:type="gramEnd"/>
      <w:r w:rsidRPr="00E73D4B">
        <w:t xml:space="preserve"> Det vil også komme forbedringer i amblyopiordningen, ved at adgangen til å søke om individuelt beløp blir utvidet, samt mulighet for direkteoppgjør ved søknad om satser. </w:t>
      </w:r>
    </w:p>
    <w:p w14:paraId="4DA710FC" w14:textId="77777777" w:rsidR="00972395" w:rsidRPr="00E73D4B" w:rsidRDefault="00F120C7" w:rsidP="00E73D4B">
      <w:r w:rsidRPr="00E73D4B">
        <w:t xml:space="preserve">Departementet varslet i </w:t>
      </w:r>
      <w:proofErr w:type="spellStart"/>
      <w:r w:rsidRPr="00E73D4B">
        <w:t>Prop</w:t>
      </w:r>
      <w:proofErr w:type="spellEnd"/>
      <w:r w:rsidRPr="00E73D4B">
        <w:t xml:space="preserve">. 1 S (2021–2022) at det ble tatt sikte på å lyse ut et evalueringsoppdrag høsten 2021. Dette arbeidet legges nå inn i en samlet evaluering av de tre støtteordningene som dekker briller til barn. Departementet vil komme tilbake til Stortinget med informasjon om funnene fra evalueringen på egnet måte.     </w:t>
      </w:r>
    </w:p>
    <w:p w14:paraId="1D436419" w14:textId="77777777" w:rsidR="00972395" w:rsidRPr="00E73D4B" w:rsidRDefault="00F120C7" w:rsidP="00E73D4B">
      <w:pPr>
        <w:pStyle w:val="Overskrift2"/>
      </w:pPr>
      <w:r w:rsidRPr="00E73D4B">
        <w:t>Stortingssesjon 2019–2020</w:t>
      </w:r>
    </w:p>
    <w:p w14:paraId="3D63D0AC" w14:textId="77777777" w:rsidR="00972395" w:rsidRPr="00E73D4B" w:rsidRDefault="00F120C7" w:rsidP="00E73D4B">
      <w:pPr>
        <w:pStyle w:val="avsnitt-tittel"/>
      </w:pPr>
      <w:r w:rsidRPr="00E73D4B">
        <w:t>Søksmålsfristen ved klage over Trygderettens kjennelser til Sivilombudsmannen</w:t>
      </w:r>
    </w:p>
    <w:p w14:paraId="39493C2A" w14:textId="77777777" w:rsidR="00972395" w:rsidRPr="00E73D4B" w:rsidRDefault="00F120C7" w:rsidP="00E73D4B">
      <w:pPr>
        <w:pStyle w:val="avsnitt-undertittel"/>
      </w:pPr>
      <w:r w:rsidRPr="00E73D4B">
        <w:t>Vedtak 571, 14. mai 2020</w:t>
      </w:r>
    </w:p>
    <w:p w14:paraId="4995DD64" w14:textId="77777777" w:rsidR="00972395" w:rsidRPr="00E73D4B" w:rsidRDefault="00F120C7" w:rsidP="00E73D4B">
      <w:pPr>
        <w:pStyle w:val="blokksit"/>
        <w:rPr>
          <w:rStyle w:val="kursiv"/>
        </w:rPr>
      </w:pPr>
      <w:r w:rsidRPr="00E73D4B">
        <w:rPr>
          <w:rStyle w:val="kursiv"/>
        </w:rPr>
        <w:t>«Stortinget ber regjeringen komme tilbake til Stortinget med forslag til endring i trygderettsloven som avbryter søksmålsfristen til lagmannsretten ved klage over Trygderettens kjennelser til Sivilombudsmannen.»</w:t>
      </w:r>
    </w:p>
    <w:p w14:paraId="155B1FC5" w14:textId="77777777" w:rsidR="00972395" w:rsidRPr="00E73D4B" w:rsidRDefault="00F120C7" w:rsidP="00E73D4B">
      <w:r w:rsidRPr="00E73D4B">
        <w:t xml:space="preserve">Vedtaket ble truffet ved behandling av Dokument 8:56 S (2019–2020), </w:t>
      </w:r>
      <w:proofErr w:type="spellStart"/>
      <w:r w:rsidRPr="00E73D4B">
        <w:t>Innst</w:t>
      </w:r>
      <w:proofErr w:type="spellEnd"/>
      <w:r w:rsidRPr="00E73D4B">
        <w:t>. 254 S (2019–2020).</w:t>
      </w:r>
    </w:p>
    <w:p w14:paraId="63DE8542" w14:textId="77777777" w:rsidR="00972395" w:rsidRPr="00E73D4B" w:rsidRDefault="00F120C7" w:rsidP="00E73D4B">
      <w:r w:rsidRPr="00E73D4B">
        <w:t xml:space="preserve">I ny </w:t>
      </w:r>
      <w:proofErr w:type="spellStart"/>
      <w:r w:rsidRPr="00E73D4B">
        <w:t>sivilombudslov</w:t>
      </w:r>
      <w:proofErr w:type="spellEnd"/>
      <w:r w:rsidRPr="00E73D4B">
        <w:t xml:space="preserve"> ble det tatt inn en ny bestemmelse i § 14. Lovbestemte frister for å anlegge søksmål mot forvaltningen avbrytes når saken klages inn for Sivilombudet, jf. § 14 første ledd. Anmodningsvedtaket anses med dette å være fulgt opp.</w:t>
      </w:r>
    </w:p>
    <w:p w14:paraId="6AAB13C2" w14:textId="77777777" w:rsidR="00972395" w:rsidRPr="00E73D4B" w:rsidRDefault="00F120C7" w:rsidP="00E73D4B">
      <w:pPr>
        <w:pStyle w:val="avsnitt-tittel"/>
      </w:pPr>
      <w:r w:rsidRPr="00E73D4B">
        <w:t>Juridisk og økonomisk medansvar for transportkjøpere/transportbestillere</w:t>
      </w:r>
    </w:p>
    <w:p w14:paraId="4021F110" w14:textId="77777777" w:rsidR="00972395" w:rsidRPr="00E73D4B" w:rsidRDefault="00F120C7" w:rsidP="00E73D4B">
      <w:pPr>
        <w:pStyle w:val="avsnitt-undertittel"/>
      </w:pPr>
      <w:r w:rsidRPr="00E73D4B">
        <w:t>Vedtak 626, 28. mai 2020</w:t>
      </w:r>
    </w:p>
    <w:p w14:paraId="7129C8C1" w14:textId="77777777" w:rsidR="00972395" w:rsidRPr="00E73D4B" w:rsidRDefault="00F120C7" w:rsidP="00E73D4B">
      <w:pPr>
        <w:pStyle w:val="blokksit"/>
        <w:rPr>
          <w:rStyle w:val="kursiv"/>
        </w:rPr>
      </w:pPr>
      <w:r w:rsidRPr="00E73D4B">
        <w:rPr>
          <w:rStyle w:val="kursiv"/>
        </w:rPr>
        <w:t xml:space="preserve">«Stortinget ber regjeringen utrede innføring av et objektivt juridisk og økonomisk medansvar for transportkjøpere/transportbestillere og komme tilbake til Stortinget på egnet måte. Det objektive ansvaret må inkludere medansvaret for at lønns- og arbeidsvilkårene i sektoren er oppfylt. Utredningen må videre inneholde en vurdering av behovet for et register med virksomheter som oppfyller kravene til å drive med transporttjenester etter modell av for eksempel </w:t>
      </w:r>
      <w:proofErr w:type="spellStart"/>
      <w:r w:rsidRPr="00E73D4B">
        <w:rPr>
          <w:rStyle w:val="kursiv"/>
        </w:rPr>
        <w:t>Renholdsregisteret</w:t>
      </w:r>
      <w:proofErr w:type="spellEnd"/>
      <w:r w:rsidRPr="00E73D4B">
        <w:rPr>
          <w:rStyle w:val="kursiv"/>
        </w:rPr>
        <w:t>. Utredningen må også vurdere en avgrensning av oppdragsgivere som skal omfattes av medansvaret.»</w:t>
      </w:r>
    </w:p>
    <w:p w14:paraId="6B077B10"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60 L (2019–2020), </w:t>
      </w:r>
      <w:proofErr w:type="spellStart"/>
      <w:r w:rsidRPr="00E73D4B">
        <w:t>Innst</w:t>
      </w:r>
      <w:proofErr w:type="spellEnd"/>
      <w:r w:rsidRPr="00E73D4B">
        <w:t>. 293 L (2019–2020), Lovvedtak 105 (2019–2020).</w:t>
      </w:r>
    </w:p>
    <w:p w14:paraId="190904D5" w14:textId="77777777" w:rsidR="00972395" w:rsidRPr="00E73D4B" w:rsidRDefault="00F120C7" w:rsidP="00E73D4B">
      <w:r w:rsidRPr="00E73D4B">
        <w:t>Anmodningsvedtaket er til utredning i Arbeids- og inkluderingsdepartementet og Samferdselsdepartementet. Regjeringen vil komme tilbake til Stortinget etter at utredningen er gjennomført.</w:t>
      </w:r>
    </w:p>
    <w:p w14:paraId="0A0B2823" w14:textId="77777777" w:rsidR="00972395" w:rsidRPr="00E73D4B" w:rsidRDefault="00F120C7" w:rsidP="00E73D4B">
      <w:pPr>
        <w:pStyle w:val="avsnitt-tittel"/>
      </w:pPr>
      <w:r w:rsidRPr="00E73D4B">
        <w:t>Håndhevingsrett til å stanse kjøretøyer</w:t>
      </w:r>
    </w:p>
    <w:p w14:paraId="690F8880" w14:textId="77777777" w:rsidR="00972395" w:rsidRPr="00E73D4B" w:rsidRDefault="00F120C7" w:rsidP="00E73D4B">
      <w:pPr>
        <w:pStyle w:val="avsnitt-undertittel"/>
      </w:pPr>
      <w:r w:rsidRPr="00E73D4B">
        <w:t>Vedtak 627, 28. mai 2020</w:t>
      </w:r>
    </w:p>
    <w:p w14:paraId="13F482C6" w14:textId="77777777" w:rsidR="00972395" w:rsidRPr="00E73D4B" w:rsidRDefault="00F120C7" w:rsidP="00E73D4B">
      <w:pPr>
        <w:pStyle w:val="blokksit"/>
        <w:rPr>
          <w:rStyle w:val="kursiv"/>
        </w:rPr>
      </w:pPr>
      <w:r w:rsidRPr="00E73D4B">
        <w:rPr>
          <w:rStyle w:val="kursiv"/>
        </w:rPr>
        <w:t>«Stortinget ber regjeringen utarbeide og legge frem for Stortinget forslag om at Statens Vegvesen skal gis håndhevingsrett til å stanse kjøretøyer etter vedtak fra Arbeidstilsynet.»</w:t>
      </w:r>
    </w:p>
    <w:p w14:paraId="2649AB77"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60 L (2019–2020), </w:t>
      </w:r>
      <w:proofErr w:type="spellStart"/>
      <w:r w:rsidRPr="00E73D4B">
        <w:t>Innst</w:t>
      </w:r>
      <w:proofErr w:type="spellEnd"/>
      <w:r w:rsidRPr="00E73D4B">
        <w:t>. 293 L (2019–2020), Lovvedtak 105 (2019–2020).</w:t>
      </w:r>
    </w:p>
    <w:p w14:paraId="7343BD48" w14:textId="77777777" w:rsidR="00972395" w:rsidRPr="00E73D4B" w:rsidRDefault="00F120C7" w:rsidP="00E73D4B">
      <w:r w:rsidRPr="00E73D4B">
        <w:t>Anmodningsvedtaket er til utredning i Arbeids- og inkluderingsdepartementet og Samferdselsdepartementet. Regjeringen vil komme tilbake til Stortinget etter at utredningen er gjennomført.</w:t>
      </w:r>
    </w:p>
    <w:p w14:paraId="08C1772F" w14:textId="77777777" w:rsidR="00972395" w:rsidRPr="00E73D4B" w:rsidRDefault="00F120C7" w:rsidP="00E73D4B">
      <w:pPr>
        <w:pStyle w:val="avsnitt-tittel"/>
      </w:pPr>
      <w:r w:rsidRPr="00E73D4B">
        <w:t>Straff for påvirkning til trygdemisbruk</w:t>
      </w:r>
    </w:p>
    <w:p w14:paraId="0105FBA7" w14:textId="77777777" w:rsidR="00972395" w:rsidRPr="00E73D4B" w:rsidRDefault="00F120C7" w:rsidP="00E73D4B">
      <w:pPr>
        <w:pStyle w:val="avsnitt-undertittel"/>
      </w:pPr>
      <w:r w:rsidRPr="00E73D4B">
        <w:t>Vedtak 656, 8. juni 2020</w:t>
      </w:r>
    </w:p>
    <w:p w14:paraId="5D93E446" w14:textId="77777777" w:rsidR="00972395" w:rsidRPr="00E73D4B" w:rsidRDefault="00F120C7" w:rsidP="00E73D4B">
      <w:pPr>
        <w:pStyle w:val="blokksit"/>
        <w:rPr>
          <w:rStyle w:val="kursiv"/>
        </w:rPr>
      </w:pPr>
      <w:r w:rsidRPr="00E73D4B">
        <w:rPr>
          <w:rStyle w:val="kursiv"/>
        </w:rPr>
        <w:t xml:space="preserve">«Stortinget ber regjeringen vurdere en plikt til å varsle Arbeidstilsynet når arbeidstakere søker om dagpenger og </w:t>
      </w:r>
      <w:proofErr w:type="gramStart"/>
      <w:r w:rsidRPr="00E73D4B">
        <w:rPr>
          <w:rStyle w:val="kursiv"/>
        </w:rPr>
        <w:t>påberoper seg</w:t>
      </w:r>
      <w:proofErr w:type="gramEnd"/>
      <w:r w:rsidRPr="00E73D4B">
        <w:rPr>
          <w:rStyle w:val="kursiv"/>
        </w:rPr>
        <w:t xml:space="preserve"> å være utsatt for menneskehandel eller arbeidslivskriminalitet.»</w:t>
      </w:r>
    </w:p>
    <w:p w14:paraId="0DA92A86" w14:textId="77777777" w:rsidR="00972395" w:rsidRPr="00E73D4B" w:rsidRDefault="00F120C7" w:rsidP="00E73D4B">
      <w:r w:rsidRPr="00E73D4B">
        <w:t xml:space="preserve">Vedtaket ble truffet ved behandling av Dokument 8:99 (2019–2020), </w:t>
      </w:r>
      <w:proofErr w:type="spellStart"/>
      <w:r w:rsidRPr="00E73D4B">
        <w:t>Innst</w:t>
      </w:r>
      <w:proofErr w:type="spellEnd"/>
      <w:r w:rsidRPr="00E73D4B">
        <w:t>. 348 S (2019–2020).</w:t>
      </w:r>
    </w:p>
    <w:p w14:paraId="2DD1147F" w14:textId="77777777" w:rsidR="00972395" w:rsidRPr="00E73D4B" w:rsidRDefault="00F120C7" w:rsidP="00E73D4B">
      <w:r w:rsidRPr="00E73D4B">
        <w:t>Arbeidstilsynet, Skatteetaten, Arbeids- og velferdsetaten og politiet har etablert et omfattende og systematisk samarbeid for å bekjempe arbeidslivskriminalitet, bl.a. gjennom samlokalisering på a-krimsentre. Gjennom arbeidet mot arbeidslivskriminalitet, men også ved utførelse av forvaltningsoppgaver, kan det oppstå mistanke om menneskehandel.</w:t>
      </w:r>
    </w:p>
    <w:p w14:paraId="490C205B" w14:textId="77777777" w:rsidR="00972395" w:rsidRPr="00E73D4B" w:rsidRDefault="00F120C7" w:rsidP="00E73D4B">
      <w:r w:rsidRPr="00E73D4B">
        <w:t>20. juni 2022 ble det vedtatt en egen forskrift som regulerer muligheten til å dele taushetsbelagte opplysninger i samarbeidet mot arbeidslivskriminalitet (a-kriminformasjonsforskriften). Etter §3 kan Arbeids- og velferdsetaten i utgangspunktet dele opplysninger uten hinder av taushetsplikten etter NAV-loven §7, så lenge delingen er nødvendig for å løse oppgaver som er lagt til mottaker- eller avsenderorganet og som gjelder å forebygge, avdekke, forhindre eller sanksjonere lovbrudd som kan gi dårligere arbeidsvilkår, krenke arbeidstakeres rettigheter, skade konkurransen i næringslivet eller medføre misbruk av skatte-, avgifts- eller velferdsordninger.</w:t>
      </w:r>
    </w:p>
    <w:p w14:paraId="71422330" w14:textId="77777777" w:rsidR="00972395" w:rsidRPr="00E73D4B" w:rsidRDefault="00F120C7" w:rsidP="00E73D4B">
      <w:r w:rsidRPr="00E73D4B">
        <w:t>Av forskriften § 2 følger det at informasjon «kan» deles. Det er derfor ingen plikt til å dele informasjon. Justis- og beredskapsdepartementet bemerker i forarbeidene til a-kriminformasjonsforskriften at forskriftshjemmelen i forvaltningsloven ikke åpner for å fastsette en opplysningsplikt. Videre er det etter Justis- og beredskapsdepartementets vurdering ikke tilstrekkelige grunner for å innføre en opplysningsplikt på nåværende tidspunkt. Det er særlig behovet for en hjemmel for deling av opplysninger som har vært påpekt av de samarbeidende etatene hittil, og ikke en plikt til å dele opplysninger.</w:t>
      </w:r>
    </w:p>
    <w:p w14:paraId="114CEA5E" w14:textId="77777777" w:rsidR="00972395" w:rsidRPr="00E73D4B" w:rsidRDefault="00F120C7" w:rsidP="00E73D4B">
      <w:r w:rsidRPr="00E73D4B">
        <w:t>Regjeringen vurderer derfor at det ikke er nødvendig å lovfeste en slik plikt, og vedtaket anses med dette å være fulgt opp.</w:t>
      </w:r>
    </w:p>
    <w:p w14:paraId="4EC7CA6D" w14:textId="77777777" w:rsidR="00972395" w:rsidRPr="00E73D4B" w:rsidRDefault="00F120C7" w:rsidP="00E73D4B">
      <w:pPr>
        <w:pStyle w:val="avsnitt-tittel"/>
      </w:pPr>
      <w:r w:rsidRPr="00E73D4B">
        <w:t xml:space="preserve">Omsorgspenger til foreldre som må være borte fra arbeidet deler av dagen  </w:t>
      </w:r>
    </w:p>
    <w:p w14:paraId="61AD8CDD" w14:textId="77777777" w:rsidR="00972395" w:rsidRPr="00E73D4B" w:rsidRDefault="00F120C7" w:rsidP="00E73D4B">
      <w:pPr>
        <w:pStyle w:val="avsnitt-undertittel"/>
      </w:pPr>
      <w:r w:rsidRPr="00E73D4B">
        <w:t>Vedtak 658, 8. juni 2020</w:t>
      </w:r>
    </w:p>
    <w:p w14:paraId="5A01EF3F" w14:textId="77777777" w:rsidR="00972395" w:rsidRPr="00E73D4B" w:rsidRDefault="00F120C7" w:rsidP="00E73D4B">
      <w:pPr>
        <w:pStyle w:val="blokksit"/>
        <w:rPr>
          <w:rStyle w:val="kursiv"/>
        </w:rPr>
      </w:pPr>
      <w:r w:rsidRPr="00E73D4B">
        <w:rPr>
          <w:rStyle w:val="kursiv"/>
        </w:rPr>
        <w:t>«Stortinget ber regjeringen vurdere å innføre omsorgspenger gradert ned mot 50 pst., for foreldre som må være borte fra arbeidet deler av dagen.»</w:t>
      </w:r>
    </w:p>
    <w:p w14:paraId="1744327C" w14:textId="77777777" w:rsidR="00972395" w:rsidRPr="00E73D4B" w:rsidRDefault="00F120C7" w:rsidP="00E73D4B">
      <w:r w:rsidRPr="00E73D4B">
        <w:t xml:space="preserve">Vedtaket ble truffet ved behandling av Dokument 8:100 (2019–2020), </w:t>
      </w:r>
      <w:proofErr w:type="spellStart"/>
      <w:r w:rsidRPr="00E73D4B">
        <w:t>Innst</w:t>
      </w:r>
      <w:proofErr w:type="spellEnd"/>
      <w:r w:rsidRPr="00E73D4B">
        <w:t>. 349 S (2019–2020).</w:t>
      </w:r>
    </w:p>
    <w:p w14:paraId="2E51766C" w14:textId="77777777" w:rsidR="00972395" w:rsidRPr="00E73D4B" w:rsidRDefault="00F120C7" w:rsidP="00E73D4B">
      <w:r w:rsidRPr="00E73D4B">
        <w:t xml:space="preserve">Arbeids- og inkluderingsdepartementet sendte 23. februar 2022 på høring et notat med forslag til flere endringer i folketrygdlovens kapittel 8 og 9. Et av forslagene var en bestemmelse om at arbeidsgiver skal ha plikt til å drøfte med de tillitsvalgte om det skal gis rett å ta ut omsorgspenger for kortere perioder enn hele arbeidsdager. Høringsfristen var 23. mai 2022. Departementet arbeider videre med forslagene og høringsinnspillene, og tar sikte på å legge fram en lovproposisjon for Stortinget høsten 2022. </w:t>
      </w:r>
    </w:p>
    <w:p w14:paraId="0638C9A1" w14:textId="77777777" w:rsidR="00972395" w:rsidRPr="00E73D4B" w:rsidRDefault="00F120C7" w:rsidP="00E73D4B">
      <w:pPr>
        <w:pStyle w:val="Overskrift2"/>
      </w:pPr>
      <w:r w:rsidRPr="00E73D4B">
        <w:t>Stortingssesjon 2017–2018</w:t>
      </w:r>
    </w:p>
    <w:p w14:paraId="4B9BE866" w14:textId="77777777" w:rsidR="00972395" w:rsidRPr="00E73D4B" w:rsidRDefault="00F120C7" w:rsidP="00E73D4B">
      <w:pPr>
        <w:pStyle w:val="avsnitt-tittel"/>
      </w:pPr>
      <w:r w:rsidRPr="00E73D4B">
        <w:t>Særaldersgrenser for ansatte i staten</w:t>
      </w:r>
    </w:p>
    <w:p w14:paraId="372F72C3" w14:textId="77777777" w:rsidR="00972395" w:rsidRPr="00E73D4B" w:rsidRDefault="00F120C7" w:rsidP="00E73D4B">
      <w:pPr>
        <w:pStyle w:val="avsnitt-undertittel"/>
      </w:pPr>
      <w:r w:rsidRPr="00E73D4B">
        <w:t>Vedtak nr. 42, 4. desember 2017</w:t>
      </w:r>
    </w:p>
    <w:p w14:paraId="32527749" w14:textId="77777777" w:rsidR="00972395" w:rsidRPr="00E73D4B" w:rsidRDefault="00F120C7" w:rsidP="00E73D4B">
      <w:pPr>
        <w:pStyle w:val="blokksit"/>
        <w:rPr>
          <w:rStyle w:val="kursiv"/>
        </w:rPr>
      </w:pPr>
      <w:r w:rsidRPr="00E73D4B">
        <w:rPr>
          <w:rStyle w:val="kursiv"/>
        </w:rPr>
        <w:t>«Stortinget ber regjeringen vurdere, i samråd med partene i arbeidslivet, om dagens system med særaldersgrenser for ansatte i staten og statlige virksomheter bør endres, i tråd med utviklingen i samfunns- og yrkesliv.»</w:t>
      </w:r>
    </w:p>
    <w:p w14:paraId="20B6FA32" w14:textId="77777777" w:rsidR="00972395" w:rsidRPr="00E73D4B" w:rsidRDefault="00F120C7" w:rsidP="00E73D4B">
      <w:r w:rsidRPr="00E73D4B">
        <w:t xml:space="preserve">Vedtaket ble truffet ved behandling av Meld. St. 1 (2017–2018), </w:t>
      </w:r>
      <w:proofErr w:type="spellStart"/>
      <w:r w:rsidRPr="00E73D4B">
        <w:t>Innst</w:t>
      </w:r>
      <w:proofErr w:type="spellEnd"/>
      <w:r w:rsidRPr="00E73D4B">
        <w:t>. 2 S (2017–2018).</w:t>
      </w:r>
    </w:p>
    <w:p w14:paraId="26A91F5D" w14:textId="77777777" w:rsidR="00972395" w:rsidRPr="00E73D4B" w:rsidRDefault="00F120C7" w:rsidP="00E73D4B">
      <w:r w:rsidRPr="00E73D4B">
        <w:t>Regjeringen inngikk 14. juni 2022 en prosessavtale med partene i offentlig sektor. Prosessavtalen skisserer en plan for det videre arbeidet med alderspensjon til personer med særaldersgrense og det videre arbeidet med særaldersgrenser.</w:t>
      </w:r>
    </w:p>
    <w:p w14:paraId="41250C66" w14:textId="77777777" w:rsidR="00972395" w:rsidRPr="00E73D4B" w:rsidRDefault="00F120C7" w:rsidP="00E73D4B">
      <w:r w:rsidRPr="00E73D4B">
        <w:t>I prosessavtalen går det fram at partene er enige om å gjennomføre en prosess med sikte på å komme fram til enighet om pensjonsreglene for personer med særaldersgrense som er født i 1963 eller senere. Partene skal både finne løsninger som kan virke på lang sikt for de som i framtiden skal ha særaldersgrenser, løsninger for de som ev. ikke skal ha en særaldersgrense i framtiden og løsninger til de eldste årskullene med særaldersgrenser, jf. avtalen av 3. mars 2018.</w:t>
      </w:r>
    </w:p>
    <w:p w14:paraId="4559882F" w14:textId="77777777" w:rsidR="00972395" w:rsidRPr="00E73D4B" w:rsidRDefault="00F120C7" w:rsidP="00E73D4B">
      <w:r w:rsidRPr="00E73D4B">
        <w:t>I prosessavtalen går det videre fram at partene er enige om å gjennomføre en prosess som skal resultere i et kunnskapsbasert grunnlag for hvilke stillinger, yrker eller oppgaver som skal ha særaldersgrenser i framtiden, og hva disse aldersgrensene skal være.</w:t>
      </w:r>
    </w:p>
    <w:p w14:paraId="16CA58D4" w14:textId="77777777" w:rsidR="00972395" w:rsidRPr="00E73D4B" w:rsidRDefault="00F120C7" w:rsidP="00E73D4B">
      <w:r w:rsidRPr="00E73D4B">
        <w:t>Regjeringen vil komme tilbake til Stortinget på egnet tidspunkt og på egnet måte når prosessene med partene er avsluttet.</w:t>
      </w:r>
    </w:p>
    <w:p w14:paraId="6BBE8A1D" w14:textId="77777777" w:rsidR="00972395" w:rsidRPr="00E73D4B" w:rsidRDefault="00F120C7" w:rsidP="00E73D4B">
      <w:pPr>
        <w:pStyle w:val="avsnitt-tittel"/>
      </w:pPr>
      <w:r w:rsidRPr="00E73D4B">
        <w:t>Overgangsordning for fosterforeldre</w:t>
      </w:r>
    </w:p>
    <w:p w14:paraId="07C57738" w14:textId="77777777" w:rsidR="00972395" w:rsidRPr="00E73D4B" w:rsidRDefault="00F120C7" w:rsidP="00E73D4B">
      <w:pPr>
        <w:pStyle w:val="avsnitt-undertittel"/>
      </w:pPr>
      <w:r w:rsidRPr="00E73D4B">
        <w:t>Vedtak nr. 321, 15. desember 2017</w:t>
      </w:r>
    </w:p>
    <w:p w14:paraId="3D7B5C69" w14:textId="77777777" w:rsidR="00972395" w:rsidRPr="00E73D4B" w:rsidRDefault="00F120C7" w:rsidP="00E73D4B">
      <w:pPr>
        <w:pStyle w:val="blokksit"/>
        <w:rPr>
          <w:rStyle w:val="kursiv"/>
        </w:rPr>
      </w:pPr>
      <w:r w:rsidRPr="00E73D4B">
        <w:rPr>
          <w:rStyle w:val="kursiv"/>
        </w:rP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14:paraId="40950368"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1 S (2017–2018), </w:t>
      </w:r>
      <w:proofErr w:type="spellStart"/>
      <w:r w:rsidRPr="00E73D4B">
        <w:t>Innst</w:t>
      </w:r>
      <w:proofErr w:type="spellEnd"/>
      <w:r w:rsidRPr="00E73D4B">
        <w:t>. 15 S (2017–2018).</w:t>
      </w:r>
    </w:p>
    <w:p w14:paraId="2FB08FC3" w14:textId="77777777" w:rsidR="00972395" w:rsidRPr="00E73D4B" w:rsidRDefault="00F120C7" w:rsidP="00E73D4B">
      <w:r w:rsidRPr="00E73D4B">
        <w:t xml:space="preserve">Regjeringen viser til at fra 1. januar 2018 skal arbeidsavklaringspenger og dagpenger ikke avkortes ved arbeid som fosterforeldre. Fosterhjemsutvalgets innstilling (NOU 2018: 18) ble </w:t>
      </w:r>
      <w:proofErr w:type="gramStart"/>
      <w:r w:rsidRPr="00E73D4B">
        <w:t>avgitt</w:t>
      </w:r>
      <w:proofErr w:type="gramEnd"/>
      <w:r w:rsidRPr="00E73D4B">
        <w:t xml:space="preserve"> 18. desember 2018. Utvalget foreslo en omlegging av fosterhjemsgodtgjørelsen til en skattefri, ikke-pensjonsgivende ytelse. Barne- og familiedepartementet skal vurdere alternative ordninger for godtgjøring til fosterforeldre. Det vises til omtale av vedtak 1200, 10. juni 2021. </w:t>
      </w:r>
    </w:p>
    <w:p w14:paraId="238803A8" w14:textId="77777777" w:rsidR="00972395" w:rsidRPr="00E73D4B" w:rsidRDefault="00F120C7" w:rsidP="00E73D4B">
      <w:pPr>
        <w:pStyle w:val="Overskrift2"/>
      </w:pPr>
      <w:r w:rsidRPr="00E73D4B">
        <w:t>Stortingssesjon 2016–2017</w:t>
      </w:r>
    </w:p>
    <w:p w14:paraId="34011960" w14:textId="77777777" w:rsidR="00972395" w:rsidRPr="00E73D4B" w:rsidRDefault="00F120C7" w:rsidP="00E73D4B">
      <w:pPr>
        <w:pStyle w:val="avsnitt-tittel"/>
      </w:pPr>
      <w:r w:rsidRPr="00E73D4B">
        <w:t>Utsendte arbeidstakere og varslingsreglene</w:t>
      </w:r>
    </w:p>
    <w:p w14:paraId="29374D72" w14:textId="77777777" w:rsidR="00972395" w:rsidRPr="00E73D4B" w:rsidRDefault="00F120C7" w:rsidP="00E73D4B">
      <w:pPr>
        <w:pStyle w:val="avsnitt-undertittel"/>
      </w:pPr>
      <w:r w:rsidRPr="00E73D4B">
        <w:t>Vedtak nr. 737, 1. juni 2017</w:t>
      </w:r>
    </w:p>
    <w:p w14:paraId="49A2D286" w14:textId="77777777" w:rsidR="00972395" w:rsidRPr="00E73D4B" w:rsidRDefault="00F120C7" w:rsidP="00E73D4B">
      <w:pPr>
        <w:pStyle w:val="blokksit"/>
        <w:rPr>
          <w:rStyle w:val="kursiv"/>
        </w:rPr>
      </w:pPr>
      <w:r w:rsidRPr="00E73D4B">
        <w:rPr>
          <w:rStyle w:val="kursiv"/>
        </w:rPr>
        <w:t xml:space="preserve">«Stortinget ber regjeringa </w:t>
      </w:r>
      <w:proofErr w:type="spellStart"/>
      <w:r w:rsidRPr="00E73D4B">
        <w:rPr>
          <w:rStyle w:val="kursiv"/>
        </w:rPr>
        <w:t>kome</w:t>
      </w:r>
      <w:proofErr w:type="spellEnd"/>
      <w:r w:rsidRPr="00E73D4B">
        <w:rPr>
          <w:rStyle w:val="kursiv"/>
        </w:rPr>
        <w:t xml:space="preserve"> tilbake til Stortinget med forslag som </w:t>
      </w:r>
      <w:proofErr w:type="spellStart"/>
      <w:r w:rsidRPr="00E73D4B">
        <w:rPr>
          <w:rStyle w:val="kursiv"/>
        </w:rPr>
        <w:t>sikrar</w:t>
      </w:r>
      <w:proofErr w:type="spellEnd"/>
      <w:r w:rsidRPr="00E73D4B">
        <w:rPr>
          <w:rStyle w:val="kursiv"/>
        </w:rPr>
        <w:t xml:space="preserve"> at utsendte </w:t>
      </w:r>
      <w:proofErr w:type="spellStart"/>
      <w:r w:rsidRPr="00E73D4B">
        <w:rPr>
          <w:rStyle w:val="kursiv"/>
        </w:rPr>
        <w:t>arbeidstakarar</w:t>
      </w:r>
      <w:proofErr w:type="spellEnd"/>
      <w:r w:rsidRPr="00E73D4B">
        <w:rPr>
          <w:rStyle w:val="kursiv"/>
        </w:rPr>
        <w:t xml:space="preserve"> blir omfatta av </w:t>
      </w:r>
      <w:proofErr w:type="spellStart"/>
      <w:r w:rsidRPr="00E73D4B">
        <w:rPr>
          <w:rStyle w:val="kursiv"/>
        </w:rPr>
        <w:t>varslingsreglane</w:t>
      </w:r>
      <w:proofErr w:type="spellEnd"/>
      <w:r w:rsidRPr="00E73D4B">
        <w:rPr>
          <w:rStyle w:val="kursiv"/>
        </w:rPr>
        <w:t xml:space="preserve"> i arbeidsmiljølova.»</w:t>
      </w:r>
    </w:p>
    <w:p w14:paraId="06733CCB"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72 L (2016–2017), </w:t>
      </w:r>
      <w:proofErr w:type="spellStart"/>
      <w:r w:rsidRPr="00E73D4B">
        <w:t>Innst</w:t>
      </w:r>
      <w:proofErr w:type="spellEnd"/>
      <w:r w:rsidRPr="00E73D4B">
        <w:t>. 303 L (2016–2017), Lovvedtak 93 (2016–2017).</w:t>
      </w:r>
    </w:p>
    <w:p w14:paraId="0DEFF09F" w14:textId="77777777" w:rsidR="00972395" w:rsidRPr="00E73D4B" w:rsidRDefault="00F120C7" w:rsidP="00E73D4B">
      <w:r w:rsidRPr="00E73D4B">
        <w:t>Arbeids- og inkluderingsdepartementet sendte juli 2020 på høring et forslag om at utsendte arbeidstakere som er på oppdrag i Norge lengre enn 12 måneder skal være omfattet av varslingsreglene i arbeidsmiljøloven. Høringsfristen var 1. november 2020. Høringen omhandlet også ulike andre sider av reglene for utsendte arbeidstakere. Departementet er i ferd med å fastsette forskrift om endringer i utsendingsforskriften som innebærer at utsendte arbeidstakere som er på oppdrag i Norge lengre enn 12 måneder skal være omfattet av varslingsreglene i arbeidsmiljøloven. Det tas sikte på ikrafttredelse 1. januar 2023. Med dette anses anmodningsvedtaket som fulgt opp.</w:t>
      </w:r>
    </w:p>
    <w:p w14:paraId="48EEB211" w14:textId="77777777" w:rsidR="00972395" w:rsidRPr="00E73D4B" w:rsidRDefault="00F120C7" w:rsidP="00E73D4B">
      <w:pPr>
        <w:pStyle w:val="Overskrift1"/>
      </w:pPr>
      <w:r w:rsidRPr="00E73D4B">
        <w:t>Barne- og familiedepartementet</w:t>
      </w:r>
    </w:p>
    <w:p w14:paraId="083219C2" w14:textId="77777777" w:rsidR="00972395" w:rsidRPr="00E73D4B" w:rsidRDefault="00F120C7" w:rsidP="00E73D4B">
      <w:proofErr w:type="spellStart"/>
      <w:r w:rsidRPr="00E73D4B">
        <w:t>Nedanfor</w:t>
      </w:r>
      <w:proofErr w:type="spellEnd"/>
      <w:r w:rsidRPr="00E73D4B">
        <w:t xml:space="preserve"> er </w:t>
      </w:r>
      <w:proofErr w:type="gramStart"/>
      <w:r w:rsidRPr="00E73D4B">
        <w:t>ei oversikt</w:t>
      </w:r>
      <w:proofErr w:type="gramEnd"/>
      <w:r w:rsidRPr="00E73D4B">
        <w:t xml:space="preserve"> over oppfølginga av oppmodingsvedtak under Barne- og familiedepartementet. </w:t>
      </w:r>
      <w:proofErr w:type="spellStart"/>
      <w:r w:rsidRPr="00E73D4B">
        <w:t>Oversikta</w:t>
      </w:r>
      <w:proofErr w:type="spellEnd"/>
      <w:r w:rsidRPr="00E73D4B">
        <w:t xml:space="preserve"> inkluderer alle vedtak </w:t>
      </w:r>
      <w:proofErr w:type="spellStart"/>
      <w:r w:rsidRPr="00E73D4B">
        <w:t>frå</w:t>
      </w:r>
      <w:proofErr w:type="spellEnd"/>
      <w:r w:rsidRPr="00E73D4B">
        <w:t xml:space="preserve"> stortingssesjonen (2021–2022) og alle oppmodings- og utgreiingsvedtak </w:t>
      </w:r>
      <w:proofErr w:type="spellStart"/>
      <w:r w:rsidRPr="00E73D4B">
        <w:t>frå</w:t>
      </w:r>
      <w:proofErr w:type="spellEnd"/>
      <w:r w:rsidRPr="00E73D4B">
        <w:t xml:space="preserve"> </w:t>
      </w:r>
      <w:proofErr w:type="spellStart"/>
      <w:r w:rsidRPr="00E73D4B">
        <w:t>tidlegare</w:t>
      </w:r>
      <w:proofErr w:type="spellEnd"/>
      <w:r w:rsidRPr="00E73D4B">
        <w:t xml:space="preserve"> </w:t>
      </w:r>
      <w:proofErr w:type="spellStart"/>
      <w:r w:rsidRPr="00E73D4B">
        <w:t>stortingssesjonar</w:t>
      </w:r>
      <w:proofErr w:type="spellEnd"/>
      <w:r w:rsidRPr="00E73D4B">
        <w:t xml:space="preserve"> som kontroll- og konstitusjonskomiteen ved handsaminga av Meld. St. 4 (2021–2022), jf. </w:t>
      </w:r>
      <w:proofErr w:type="spellStart"/>
      <w:r w:rsidRPr="00E73D4B">
        <w:t>Innst</w:t>
      </w:r>
      <w:proofErr w:type="spellEnd"/>
      <w:r w:rsidRPr="00E73D4B">
        <w:t xml:space="preserve">. 141 S (2021–2022), meinte at </w:t>
      </w:r>
      <w:proofErr w:type="spellStart"/>
      <w:r w:rsidRPr="00E73D4B">
        <w:t>ikkje</w:t>
      </w:r>
      <w:proofErr w:type="spellEnd"/>
      <w:r w:rsidRPr="00E73D4B">
        <w:t xml:space="preserve"> var </w:t>
      </w:r>
      <w:proofErr w:type="spellStart"/>
      <w:r w:rsidRPr="00E73D4B">
        <w:t>utkvitterte</w:t>
      </w:r>
      <w:proofErr w:type="spellEnd"/>
      <w:r w:rsidRPr="00E73D4B">
        <w:t>.</w:t>
      </w:r>
    </w:p>
    <w:p w14:paraId="0512EA51" w14:textId="103558F7" w:rsidR="00972395" w:rsidRDefault="00F120C7" w:rsidP="00E73D4B">
      <w:r w:rsidRPr="00E73D4B">
        <w:t xml:space="preserve">I tabellen </w:t>
      </w:r>
      <w:proofErr w:type="spellStart"/>
      <w:r w:rsidRPr="00E73D4B">
        <w:t>nedanfor</w:t>
      </w:r>
      <w:proofErr w:type="spellEnd"/>
      <w:r w:rsidRPr="00E73D4B">
        <w:t xml:space="preserve"> står det om departementet </w:t>
      </w:r>
      <w:proofErr w:type="spellStart"/>
      <w:r w:rsidRPr="00E73D4B">
        <w:t>reknar</w:t>
      </w:r>
      <w:proofErr w:type="spellEnd"/>
      <w:r w:rsidRPr="00E73D4B">
        <w:t xml:space="preserve"> med at rapporteringa om oppmodingsvedtaket er avslutta, eller om departementet òg vil rapportere konkret om vedtaket i budsjettforslaget neste år.</w:t>
      </w:r>
    </w:p>
    <w:p w14:paraId="69A2AFE1" w14:textId="214234C4" w:rsidR="00681E28" w:rsidRPr="00E73D4B" w:rsidRDefault="00681E28" w:rsidP="00681E28">
      <w:pPr>
        <w:pStyle w:val="tabell-tittel"/>
      </w:pPr>
      <w:r w:rsidRPr="00E73D4B">
        <w:t>Oversikt over oppmodingsvedtak, ordna etter sesjon og nummer</w:t>
      </w:r>
    </w:p>
    <w:p w14:paraId="41B3D9CD"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560"/>
        <w:gridCol w:w="1275"/>
        <w:gridCol w:w="4962"/>
        <w:gridCol w:w="1403"/>
      </w:tblGrid>
      <w:tr w:rsidR="00972395" w:rsidRPr="00E73D4B" w14:paraId="34DC5C6F" w14:textId="77777777" w:rsidTr="00681E28">
        <w:trPr>
          <w:trHeight w:val="600"/>
        </w:trPr>
        <w:tc>
          <w:tcPr>
            <w:tcW w:w="1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21DB28B" w14:textId="77777777" w:rsidR="00972395" w:rsidRPr="00E73D4B" w:rsidRDefault="00F120C7" w:rsidP="00681E28">
            <w:r w:rsidRPr="00E73D4B">
              <w:t>Sesjon</w:t>
            </w:r>
          </w:p>
        </w:tc>
        <w:tc>
          <w:tcPr>
            <w:tcW w:w="12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576CB8" w14:textId="77777777" w:rsidR="00972395" w:rsidRPr="00E73D4B" w:rsidRDefault="00F120C7" w:rsidP="00681E28">
            <w:pPr>
              <w:jc w:val="right"/>
            </w:pPr>
            <w:r w:rsidRPr="00E73D4B">
              <w:t>Vedtak nr.</w:t>
            </w:r>
          </w:p>
        </w:tc>
        <w:tc>
          <w:tcPr>
            <w:tcW w:w="496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F289BD" w14:textId="77777777" w:rsidR="00972395" w:rsidRPr="00E73D4B" w:rsidRDefault="00F120C7" w:rsidP="00681E28">
            <w:r w:rsidRPr="00E73D4B">
              <w:t>Stikkord</w:t>
            </w:r>
          </w:p>
        </w:tc>
        <w:tc>
          <w:tcPr>
            <w:tcW w:w="140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F9AE8A8" w14:textId="77777777" w:rsidR="00972395" w:rsidRPr="00E73D4B" w:rsidRDefault="00F120C7" w:rsidP="00681E28">
            <w:pPr>
              <w:jc w:val="right"/>
            </w:pPr>
            <w:r w:rsidRPr="00E73D4B">
              <w:t xml:space="preserve">Rapportering </w:t>
            </w:r>
            <w:r w:rsidRPr="00E73D4B">
              <w:br/>
              <w:t>avslutta (ja/nei)</w:t>
            </w:r>
          </w:p>
        </w:tc>
      </w:tr>
      <w:tr w:rsidR="00972395" w:rsidRPr="00E73D4B" w14:paraId="021C0B86" w14:textId="77777777" w:rsidTr="00681E28">
        <w:trPr>
          <w:trHeight w:val="640"/>
        </w:trPr>
        <w:tc>
          <w:tcPr>
            <w:tcW w:w="1560" w:type="dxa"/>
            <w:tcBorders>
              <w:top w:val="single" w:sz="4" w:space="0" w:color="000000"/>
              <w:left w:val="nil"/>
              <w:bottom w:val="nil"/>
              <w:right w:val="nil"/>
            </w:tcBorders>
            <w:tcMar>
              <w:top w:w="128" w:type="dxa"/>
              <w:left w:w="43" w:type="dxa"/>
              <w:bottom w:w="43" w:type="dxa"/>
              <w:right w:w="43" w:type="dxa"/>
            </w:tcMar>
          </w:tcPr>
          <w:p w14:paraId="04D2DB48" w14:textId="77777777" w:rsidR="00972395" w:rsidRPr="00E73D4B" w:rsidRDefault="00F120C7" w:rsidP="00681E28">
            <w:r w:rsidRPr="00E73D4B">
              <w:t>2021–2022</w:t>
            </w:r>
          </w:p>
        </w:tc>
        <w:tc>
          <w:tcPr>
            <w:tcW w:w="1275" w:type="dxa"/>
            <w:tcBorders>
              <w:top w:val="single" w:sz="4" w:space="0" w:color="000000"/>
              <w:left w:val="nil"/>
              <w:bottom w:val="nil"/>
              <w:right w:val="nil"/>
            </w:tcBorders>
            <w:tcMar>
              <w:top w:w="128" w:type="dxa"/>
              <w:left w:w="43" w:type="dxa"/>
              <w:bottom w:w="43" w:type="dxa"/>
              <w:right w:w="43" w:type="dxa"/>
            </w:tcMar>
          </w:tcPr>
          <w:p w14:paraId="2832FB2D" w14:textId="77777777" w:rsidR="00972395" w:rsidRPr="00E73D4B" w:rsidRDefault="00F120C7" w:rsidP="00681E28">
            <w:pPr>
              <w:jc w:val="right"/>
            </w:pPr>
            <w:r w:rsidRPr="00E73D4B">
              <w:t>244</w:t>
            </w:r>
          </w:p>
        </w:tc>
        <w:tc>
          <w:tcPr>
            <w:tcW w:w="4962" w:type="dxa"/>
            <w:tcBorders>
              <w:top w:val="single" w:sz="4" w:space="0" w:color="000000"/>
              <w:left w:val="nil"/>
              <w:bottom w:val="nil"/>
              <w:right w:val="nil"/>
            </w:tcBorders>
            <w:tcMar>
              <w:top w:w="128" w:type="dxa"/>
              <w:left w:w="43" w:type="dxa"/>
              <w:bottom w:w="43" w:type="dxa"/>
              <w:right w:w="43" w:type="dxa"/>
            </w:tcMar>
          </w:tcPr>
          <w:p w14:paraId="46DAB2A8" w14:textId="77777777" w:rsidR="00972395" w:rsidRPr="00E73D4B" w:rsidRDefault="00F120C7" w:rsidP="00681E28">
            <w:r w:rsidRPr="00E73D4B">
              <w:t xml:space="preserve">rapport om midlertidig lov om tilpasninger i regelverket for barnevernet og fylkesnemnda </w:t>
            </w:r>
          </w:p>
        </w:tc>
        <w:tc>
          <w:tcPr>
            <w:tcW w:w="1403" w:type="dxa"/>
            <w:tcBorders>
              <w:top w:val="single" w:sz="4" w:space="0" w:color="000000"/>
              <w:left w:val="nil"/>
              <w:bottom w:val="nil"/>
              <w:right w:val="nil"/>
            </w:tcBorders>
            <w:tcMar>
              <w:top w:w="128" w:type="dxa"/>
              <w:left w:w="43" w:type="dxa"/>
              <w:bottom w:w="43" w:type="dxa"/>
              <w:right w:w="43" w:type="dxa"/>
            </w:tcMar>
          </w:tcPr>
          <w:p w14:paraId="4F04B18B" w14:textId="77777777" w:rsidR="00972395" w:rsidRPr="00E73D4B" w:rsidRDefault="00F120C7" w:rsidP="00681E28">
            <w:pPr>
              <w:jc w:val="right"/>
            </w:pPr>
            <w:r w:rsidRPr="00E73D4B">
              <w:t xml:space="preserve">Ja </w:t>
            </w:r>
          </w:p>
        </w:tc>
      </w:tr>
      <w:tr w:rsidR="00972395" w:rsidRPr="00E73D4B" w14:paraId="4F3A5AA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8F2C7FC"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64EEB9C8" w14:textId="77777777" w:rsidR="00972395" w:rsidRPr="00E73D4B" w:rsidRDefault="00F120C7" w:rsidP="00681E28">
            <w:pPr>
              <w:jc w:val="right"/>
            </w:pPr>
            <w:r w:rsidRPr="00E73D4B">
              <w:t>404</w:t>
            </w:r>
          </w:p>
        </w:tc>
        <w:tc>
          <w:tcPr>
            <w:tcW w:w="4962" w:type="dxa"/>
            <w:tcBorders>
              <w:top w:val="nil"/>
              <w:left w:val="nil"/>
              <w:bottom w:val="nil"/>
              <w:right w:val="nil"/>
            </w:tcBorders>
            <w:tcMar>
              <w:top w:w="128" w:type="dxa"/>
              <w:left w:w="43" w:type="dxa"/>
              <w:bottom w:w="43" w:type="dxa"/>
              <w:right w:w="43" w:type="dxa"/>
            </w:tcMar>
          </w:tcPr>
          <w:p w14:paraId="355A1712" w14:textId="77777777" w:rsidR="00972395" w:rsidRPr="00E73D4B" w:rsidRDefault="00F120C7" w:rsidP="00681E28">
            <w:proofErr w:type="spellStart"/>
            <w:r w:rsidRPr="00E73D4B">
              <w:t>offentleg</w:t>
            </w:r>
            <w:proofErr w:type="spellEnd"/>
            <w:r w:rsidRPr="00E73D4B">
              <w:t xml:space="preserve"> plikt til å tilby </w:t>
            </w:r>
            <w:proofErr w:type="spellStart"/>
            <w:r w:rsidRPr="00E73D4B">
              <w:t>tverrfagleg</w:t>
            </w:r>
            <w:proofErr w:type="spellEnd"/>
            <w:r w:rsidRPr="00E73D4B">
              <w:t xml:space="preserve"> helsekartlegging </w:t>
            </w:r>
          </w:p>
        </w:tc>
        <w:tc>
          <w:tcPr>
            <w:tcW w:w="1403" w:type="dxa"/>
            <w:tcBorders>
              <w:top w:val="nil"/>
              <w:left w:val="nil"/>
              <w:bottom w:val="nil"/>
              <w:right w:val="nil"/>
            </w:tcBorders>
            <w:tcMar>
              <w:top w:w="128" w:type="dxa"/>
              <w:left w:w="43" w:type="dxa"/>
              <w:bottom w:w="43" w:type="dxa"/>
              <w:right w:w="43" w:type="dxa"/>
            </w:tcMar>
          </w:tcPr>
          <w:p w14:paraId="5C33EDE5" w14:textId="77777777" w:rsidR="00972395" w:rsidRPr="00E73D4B" w:rsidRDefault="00F120C7" w:rsidP="00681E28">
            <w:pPr>
              <w:jc w:val="right"/>
            </w:pPr>
            <w:r w:rsidRPr="00E73D4B">
              <w:t>Nei</w:t>
            </w:r>
          </w:p>
        </w:tc>
      </w:tr>
      <w:tr w:rsidR="00972395" w:rsidRPr="00E73D4B" w14:paraId="2E55BE2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CB4D186"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0FD6CA23" w14:textId="77777777" w:rsidR="00972395" w:rsidRPr="00E73D4B" w:rsidRDefault="00F120C7" w:rsidP="00681E28">
            <w:pPr>
              <w:jc w:val="right"/>
            </w:pPr>
            <w:r w:rsidRPr="00E73D4B">
              <w:t>592</w:t>
            </w:r>
          </w:p>
        </w:tc>
        <w:tc>
          <w:tcPr>
            <w:tcW w:w="4962" w:type="dxa"/>
            <w:tcBorders>
              <w:top w:val="nil"/>
              <w:left w:val="nil"/>
              <w:bottom w:val="nil"/>
              <w:right w:val="nil"/>
            </w:tcBorders>
            <w:tcMar>
              <w:top w:w="128" w:type="dxa"/>
              <w:left w:w="43" w:type="dxa"/>
              <w:bottom w:w="43" w:type="dxa"/>
              <w:right w:w="43" w:type="dxa"/>
            </w:tcMar>
          </w:tcPr>
          <w:p w14:paraId="3E156CFE" w14:textId="77777777" w:rsidR="00972395" w:rsidRPr="00E73D4B" w:rsidRDefault="00F120C7" w:rsidP="00681E28">
            <w:proofErr w:type="spellStart"/>
            <w:r w:rsidRPr="00E73D4B">
              <w:t>krisesentertilbod</w:t>
            </w:r>
            <w:proofErr w:type="spellEnd"/>
            <w:r w:rsidRPr="00E73D4B">
              <w:t xml:space="preserve"> til den samiske urbefolkninga</w:t>
            </w:r>
          </w:p>
        </w:tc>
        <w:tc>
          <w:tcPr>
            <w:tcW w:w="1403" w:type="dxa"/>
            <w:tcBorders>
              <w:top w:val="nil"/>
              <w:left w:val="nil"/>
              <w:bottom w:val="nil"/>
              <w:right w:val="nil"/>
            </w:tcBorders>
            <w:tcMar>
              <w:top w:w="128" w:type="dxa"/>
              <w:left w:w="43" w:type="dxa"/>
              <w:bottom w:w="43" w:type="dxa"/>
              <w:right w:w="43" w:type="dxa"/>
            </w:tcMar>
          </w:tcPr>
          <w:p w14:paraId="570322AA" w14:textId="77777777" w:rsidR="00972395" w:rsidRPr="00E73D4B" w:rsidRDefault="00F120C7" w:rsidP="00681E28">
            <w:pPr>
              <w:jc w:val="right"/>
            </w:pPr>
            <w:r w:rsidRPr="00E73D4B">
              <w:t>Nei</w:t>
            </w:r>
          </w:p>
        </w:tc>
      </w:tr>
      <w:tr w:rsidR="00972395" w:rsidRPr="00E73D4B" w14:paraId="056FC9FA"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A6CDBAD"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2D3438D7" w14:textId="77777777" w:rsidR="00972395" w:rsidRPr="00E73D4B" w:rsidRDefault="00F120C7" w:rsidP="00681E28">
            <w:pPr>
              <w:jc w:val="right"/>
            </w:pPr>
            <w:r w:rsidRPr="00E73D4B">
              <w:t>620</w:t>
            </w:r>
          </w:p>
        </w:tc>
        <w:tc>
          <w:tcPr>
            <w:tcW w:w="4962" w:type="dxa"/>
            <w:tcBorders>
              <w:top w:val="nil"/>
              <w:left w:val="nil"/>
              <w:bottom w:val="nil"/>
              <w:right w:val="nil"/>
            </w:tcBorders>
            <w:tcMar>
              <w:top w:w="128" w:type="dxa"/>
              <w:left w:w="43" w:type="dxa"/>
              <w:bottom w:w="43" w:type="dxa"/>
              <w:right w:w="43" w:type="dxa"/>
            </w:tcMar>
          </w:tcPr>
          <w:p w14:paraId="47756466" w14:textId="77777777" w:rsidR="00972395" w:rsidRPr="00E73D4B" w:rsidRDefault="00F120C7" w:rsidP="00681E28">
            <w:r w:rsidRPr="00E73D4B">
              <w:t>utvide ordninga for gjeldsinformasjon («gjeldsregister»)</w:t>
            </w:r>
          </w:p>
        </w:tc>
        <w:tc>
          <w:tcPr>
            <w:tcW w:w="1403" w:type="dxa"/>
            <w:tcBorders>
              <w:top w:val="nil"/>
              <w:left w:val="nil"/>
              <w:bottom w:val="nil"/>
              <w:right w:val="nil"/>
            </w:tcBorders>
            <w:tcMar>
              <w:top w:w="128" w:type="dxa"/>
              <w:left w:w="43" w:type="dxa"/>
              <w:bottom w:w="43" w:type="dxa"/>
              <w:right w:w="43" w:type="dxa"/>
            </w:tcMar>
          </w:tcPr>
          <w:p w14:paraId="7D998427" w14:textId="77777777" w:rsidR="00972395" w:rsidRPr="00E73D4B" w:rsidRDefault="00F120C7" w:rsidP="00681E28">
            <w:pPr>
              <w:jc w:val="right"/>
            </w:pPr>
            <w:r w:rsidRPr="00E73D4B">
              <w:t xml:space="preserve">Nei </w:t>
            </w:r>
          </w:p>
        </w:tc>
      </w:tr>
      <w:tr w:rsidR="00972395" w:rsidRPr="00E73D4B" w14:paraId="015C6752"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CA42E66"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3194C9D6" w14:textId="77777777" w:rsidR="00972395" w:rsidRPr="00E73D4B" w:rsidRDefault="00F120C7" w:rsidP="00681E28">
            <w:pPr>
              <w:jc w:val="right"/>
            </w:pPr>
            <w:r w:rsidRPr="00E73D4B">
              <w:t>48</w:t>
            </w:r>
          </w:p>
        </w:tc>
        <w:tc>
          <w:tcPr>
            <w:tcW w:w="4962" w:type="dxa"/>
            <w:tcBorders>
              <w:top w:val="nil"/>
              <w:left w:val="nil"/>
              <w:bottom w:val="nil"/>
              <w:right w:val="nil"/>
            </w:tcBorders>
            <w:tcMar>
              <w:top w:w="128" w:type="dxa"/>
              <w:left w:w="43" w:type="dxa"/>
              <w:bottom w:w="43" w:type="dxa"/>
              <w:right w:w="43" w:type="dxa"/>
            </w:tcMar>
          </w:tcPr>
          <w:p w14:paraId="340FD4DC" w14:textId="77777777" w:rsidR="00972395" w:rsidRPr="00E73D4B" w:rsidRDefault="00F120C7" w:rsidP="00681E28">
            <w:proofErr w:type="spellStart"/>
            <w:r w:rsidRPr="00E73D4B">
              <w:t>forbod</w:t>
            </w:r>
            <w:proofErr w:type="spellEnd"/>
            <w:r w:rsidRPr="00E73D4B">
              <w:t xml:space="preserve"> mot </w:t>
            </w:r>
            <w:proofErr w:type="spellStart"/>
            <w:r w:rsidRPr="00E73D4B">
              <w:t>søskenbarnekteskap</w:t>
            </w:r>
            <w:proofErr w:type="spellEnd"/>
          </w:p>
        </w:tc>
        <w:tc>
          <w:tcPr>
            <w:tcW w:w="1403" w:type="dxa"/>
            <w:tcBorders>
              <w:top w:val="nil"/>
              <w:left w:val="nil"/>
              <w:bottom w:val="nil"/>
              <w:right w:val="nil"/>
            </w:tcBorders>
            <w:tcMar>
              <w:top w:w="128" w:type="dxa"/>
              <w:left w:w="43" w:type="dxa"/>
              <w:bottom w:w="43" w:type="dxa"/>
              <w:right w:w="43" w:type="dxa"/>
            </w:tcMar>
          </w:tcPr>
          <w:p w14:paraId="5E65C5A6" w14:textId="77777777" w:rsidR="00972395" w:rsidRPr="00E73D4B" w:rsidRDefault="00F120C7" w:rsidP="00681E28">
            <w:pPr>
              <w:jc w:val="right"/>
            </w:pPr>
            <w:r w:rsidRPr="00E73D4B">
              <w:t>Nei</w:t>
            </w:r>
          </w:p>
        </w:tc>
      </w:tr>
      <w:tr w:rsidR="00972395" w:rsidRPr="00E73D4B" w14:paraId="1D6A405B"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0F46B7C"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BCC64D1" w14:textId="77777777" w:rsidR="00972395" w:rsidRPr="00E73D4B" w:rsidRDefault="00F120C7" w:rsidP="00681E28">
            <w:pPr>
              <w:jc w:val="right"/>
            </w:pPr>
            <w:r w:rsidRPr="00E73D4B">
              <w:t>396</w:t>
            </w:r>
          </w:p>
        </w:tc>
        <w:tc>
          <w:tcPr>
            <w:tcW w:w="4962" w:type="dxa"/>
            <w:tcBorders>
              <w:top w:val="nil"/>
              <w:left w:val="nil"/>
              <w:bottom w:val="nil"/>
              <w:right w:val="nil"/>
            </w:tcBorders>
            <w:tcMar>
              <w:top w:w="128" w:type="dxa"/>
              <w:left w:w="43" w:type="dxa"/>
              <w:bottom w:w="43" w:type="dxa"/>
              <w:right w:w="43" w:type="dxa"/>
            </w:tcMar>
          </w:tcPr>
          <w:p w14:paraId="7B447306" w14:textId="77777777" w:rsidR="00972395" w:rsidRPr="00E73D4B" w:rsidRDefault="00F120C7" w:rsidP="00681E28">
            <w:r w:rsidRPr="00E73D4B">
              <w:t xml:space="preserve">§ 6 andre ledd i </w:t>
            </w:r>
            <w:proofErr w:type="spellStart"/>
            <w:r w:rsidRPr="00E73D4B">
              <w:t>trussamfunnslova</w:t>
            </w:r>
            <w:proofErr w:type="spellEnd"/>
          </w:p>
        </w:tc>
        <w:tc>
          <w:tcPr>
            <w:tcW w:w="1403" w:type="dxa"/>
            <w:tcBorders>
              <w:top w:val="nil"/>
              <w:left w:val="nil"/>
              <w:bottom w:val="nil"/>
              <w:right w:val="nil"/>
            </w:tcBorders>
            <w:tcMar>
              <w:top w:w="128" w:type="dxa"/>
              <w:left w:w="43" w:type="dxa"/>
              <w:bottom w:w="43" w:type="dxa"/>
              <w:right w:w="43" w:type="dxa"/>
            </w:tcMar>
          </w:tcPr>
          <w:p w14:paraId="0BFDA9DD" w14:textId="77777777" w:rsidR="00972395" w:rsidRPr="00E73D4B" w:rsidRDefault="00F120C7" w:rsidP="00681E28">
            <w:pPr>
              <w:jc w:val="right"/>
            </w:pPr>
            <w:r w:rsidRPr="00E73D4B">
              <w:t>Ja</w:t>
            </w:r>
          </w:p>
        </w:tc>
      </w:tr>
      <w:tr w:rsidR="00972395" w:rsidRPr="00E73D4B" w14:paraId="07934F8F"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03397F6"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65974FC" w14:textId="77777777" w:rsidR="00972395" w:rsidRPr="00E73D4B" w:rsidRDefault="00F120C7" w:rsidP="00681E28">
            <w:pPr>
              <w:jc w:val="right"/>
            </w:pPr>
            <w:r w:rsidRPr="00E73D4B">
              <w:t>445</w:t>
            </w:r>
          </w:p>
        </w:tc>
        <w:tc>
          <w:tcPr>
            <w:tcW w:w="4962" w:type="dxa"/>
            <w:tcBorders>
              <w:top w:val="nil"/>
              <w:left w:val="nil"/>
              <w:bottom w:val="nil"/>
              <w:right w:val="nil"/>
            </w:tcBorders>
            <w:tcMar>
              <w:top w:w="128" w:type="dxa"/>
              <w:left w:w="43" w:type="dxa"/>
              <w:bottom w:w="43" w:type="dxa"/>
              <w:right w:w="43" w:type="dxa"/>
            </w:tcMar>
          </w:tcPr>
          <w:p w14:paraId="50E9BF5D" w14:textId="77777777" w:rsidR="00972395" w:rsidRPr="00E73D4B" w:rsidRDefault="00F120C7" w:rsidP="00681E28">
            <w:r w:rsidRPr="00E73D4B">
              <w:t xml:space="preserve">involvere foreldre når barn </w:t>
            </w:r>
            <w:proofErr w:type="spellStart"/>
            <w:r w:rsidRPr="00E73D4B">
              <w:t>gjer</w:t>
            </w:r>
            <w:proofErr w:type="spellEnd"/>
            <w:r w:rsidRPr="00E73D4B">
              <w:t xml:space="preserve"> </w:t>
            </w:r>
            <w:proofErr w:type="spellStart"/>
            <w:r w:rsidRPr="00E73D4B">
              <w:t>lovbrot</w:t>
            </w:r>
            <w:proofErr w:type="spellEnd"/>
          </w:p>
        </w:tc>
        <w:tc>
          <w:tcPr>
            <w:tcW w:w="1403" w:type="dxa"/>
            <w:tcBorders>
              <w:top w:val="nil"/>
              <w:left w:val="nil"/>
              <w:bottom w:val="nil"/>
              <w:right w:val="nil"/>
            </w:tcBorders>
            <w:tcMar>
              <w:top w:w="128" w:type="dxa"/>
              <w:left w:w="43" w:type="dxa"/>
              <w:bottom w:w="43" w:type="dxa"/>
              <w:right w:w="43" w:type="dxa"/>
            </w:tcMar>
          </w:tcPr>
          <w:p w14:paraId="325F2821" w14:textId="77777777" w:rsidR="00972395" w:rsidRPr="00E73D4B" w:rsidRDefault="00F120C7" w:rsidP="00681E28">
            <w:pPr>
              <w:jc w:val="right"/>
            </w:pPr>
            <w:r w:rsidRPr="00E73D4B">
              <w:t>Nei</w:t>
            </w:r>
          </w:p>
        </w:tc>
      </w:tr>
      <w:tr w:rsidR="00972395" w:rsidRPr="00E73D4B" w14:paraId="41A35A9A"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95FE50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EE34E8F" w14:textId="77777777" w:rsidR="00972395" w:rsidRPr="00E73D4B" w:rsidRDefault="00F120C7" w:rsidP="00681E28">
            <w:pPr>
              <w:jc w:val="right"/>
            </w:pPr>
            <w:r w:rsidRPr="00E73D4B">
              <w:t>714</w:t>
            </w:r>
          </w:p>
        </w:tc>
        <w:tc>
          <w:tcPr>
            <w:tcW w:w="4962" w:type="dxa"/>
            <w:tcBorders>
              <w:top w:val="nil"/>
              <w:left w:val="nil"/>
              <w:bottom w:val="nil"/>
              <w:right w:val="nil"/>
            </w:tcBorders>
            <w:tcMar>
              <w:top w:w="128" w:type="dxa"/>
              <w:left w:w="43" w:type="dxa"/>
              <w:bottom w:w="43" w:type="dxa"/>
              <w:right w:w="43" w:type="dxa"/>
            </w:tcMar>
          </w:tcPr>
          <w:p w14:paraId="6149A32E" w14:textId="77777777" w:rsidR="00972395" w:rsidRPr="00E73D4B" w:rsidRDefault="00F120C7" w:rsidP="00681E28">
            <w:proofErr w:type="spellStart"/>
            <w:r w:rsidRPr="00E73D4B">
              <w:t>strengare</w:t>
            </w:r>
            <w:proofErr w:type="spellEnd"/>
            <w:r w:rsidRPr="00E73D4B">
              <w:t xml:space="preserve"> </w:t>
            </w:r>
            <w:proofErr w:type="spellStart"/>
            <w:r w:rsidRPr="00E73D4B">
              <w:t>reaksjonar</w:t>
            </w:r>
            <w:proofErr w:type="spellEnd"/>
            <w:r w:rsidRPr="00E73D4B">
              <w:t xml:space="preserve"> mot samværshindring</w:t>
            </w:r>
          </w:p>
        </w:tc>
        <w:tc>
          <w:tcPr>
            <w:tcW w:w="1403" w:type="dxa"/>
            <w:tcBorders>
              <w:top w:val="nil"/>
              <w:left w:val="nil"/>
              <w:bottom w:val="nil"/>
              <w:right w:val="nil"/>
            </w:tcBorders>
            <w:tcMar>
              <w:top w:w="128" w:type="dxa"/>
              <w:left w:w="43" w:type="dxa"/>
              <w:bottom w:w="43" w:type="dxa"/>
              <w:right w:w="43" w:type="dxa"/>
            </w:tcMar>
          </w:tcPr>
          <w:p w14:paraId="610616BE" w14:textId="77777777" w:rsidR="00972395" w:rsidRPr="00E73D4B" w:rsidRDefault="00F120C7" w:rsidP="00681E28">
            <w:pPr>
              <w:jc w:val="right"/>
            </w:pPr>
            <w:r w:rsidRPr="00E73D4B">
              <w:t>Nei</w:t>
            </w:r>
          </w:p>
        </w:tc>
      </w:tr>
      <w:tr w:rsidR="00972395" w:rsidRPr="00E73D4B" w14:paraId="68141770"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32D7AF25"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766F92F" w14:textId="77777777" w:rsidR="00972395" w:rsidRPr="00E73D4B" w:rsidRDefault="00F120C7" w:rsidP="00681E28">
            <w:pPr>
              <w:jc w:val="right"/>
            </w:pPr>
            <w:r w:rsidRPr="00E73D4B">
              <w:t>715</w:t>
            </w:r>
          </w:p>
        </w:tc>
        <w:tc>
          <w:tcPr>
            <w:tcW w:w="4962" w:type="dxa"/>
            <w:tcBorders>
              <w:top w:val="nil"/>
              <w:left w:val="nil"/>
              <w:bottom w:val="nil"/>
              <w:right w:val="nil"/>
            </w:tcBorders>
            <w:tcMar>
              <w:top w:w="128" w:type="dxa"/>
              <w:left w:w="43" w:type="dxa"/>
              <w:bottom w:w="43" w:type="dxa"/>
              <w:right w:w="43" w:type="dxa"/>
            </w:tcMar>
          </w:tcPr>
          <w:p w14:paraId="64723246" w14:textId="77777777" w:rsidR="00972395" w:rsidRPr="00E73D4B" w:rsidRDefault="00F120C7" w:rsidP="00681E28">
            <w:r w:rsidRPr="00E73D4B">
              <w:t xml:space="preserve">justering av </w:t>
            </w:r>
            <w:proofErr w:type="spellStart"/>
            <w:r w:rsidRPr="00E73D4B">
              <w:t>barnebidragsreglane</w:t>
            </w:r>
            <w:proofErr w:type="spellEnd"/>
            <w:r w:rsidRPr="00E73D4B">
              <w:t xml:space="preserve"> for å hindre samværshindring</w:t>
            </w:r>
          </w:p>
        </w:tc>
        <w:tc>
          <w:tcPr>
            <w:tcW w:w="1403" w:type="dxa"/>
            <w:tcBorders>
              <w:top w:val="nil"/>
              <w:left w:val="nil"/>
              <w:bottom w:val="nil"/>
              <w:right w:val="nil"/>
            </w:tcBorders>
            <w:tcMar>
              <w:top w:w="128" w:type="dxa"/>
              <w:left w:w="43" w:type="dxa"/>
              <w:bottom w:w="43" w:type="dxa"/>
              <w:right w:w="43" w:type="dxa"/>
            </w:tcMar>
          </w:tcPr>
          <w:p w14:paraId="0BFF9C19" w14:textId="77777777" w:rsidR="00972395" w:rsidRPr="00E73D4B" w:rsidRDefault="00F120C7" w:rsidP="00681E28">
            <w:pPr>
              <w:jc w:val="right"/>
            </w:pPr>
            <w:r w:rsidRPr="00E73D4B">
              <w:t>Nei</w:t>
            </w:r>
          </w:p>
        </w:tc>
      </w:tr>
      <w:tr w:rsidR="00972395" w:rsidRPr="00E73D4B" w14:paraId="34AC6F4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5D411E8"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3BFD28B" w14:textId="77777777" w:rsidR="00972395" w:rsidRPr="00E73D4B" w:rsidRDefault="00F120C7" w:rsidP="00681E28">
            <w:pPr>
              <w:jc w:val="right"/>
            </w:pPr>
            <w:r w:rsidRPr="00E73D4B">
              <w:t>918</w:t>
            </w:r>
          </w:p>
        </w:tc>
        <w:tc>
          <w:tcPr>
            <w:tcW w:w="4962" w:type="dxa"/>
            <w:tcBorders>
              <w:top w:val="nil"/>
              <w:left w:val="nil"/>
              <w:bottom w:val="nil"/>
              <w:right w:val="nil"/>
            </w:tcBorders>
            <w:tcMar>
              <w:top w:w="128" w:type="dxa"/>
              <w:left w:w="43" w:type="dxa"/>
              <w:bottom w:w="43" w:type="dxa"/>
              <w:right w:w="43" w:type="dxa"/>
            </w:tcMar>
          </w:tcPr>
          <w:p w14:paraId="40FCC921" w14:textId="77777777" w:rsidR="00972395" w:rsidRPr="00E73D4B" w:rsidRDefault="00F120C7" w:rsidP="00681E28">
            <w:r w:rsidRPr="00E73D4B">
              <w:t xml:space="preserve">obligatorisk prisinformasjon på </w:t>
            </w:r>
            <w:proofErr w:type="spellStart"/>
            <w:r w:rsidRPr="00E73D4B">
              <w:t>straum</w:t>
            </w:r>
            <w:proofErr w:type="spellEnd"/>
          </w:p>
        </w:tc>
        <w:tc>
          <w:tcPr>
            <w:tcW w:w="1403" w:type="dxa"/>
            <w:tcBorders>
              <w:top w:val="nil"/>
              <w:left w:val="nil"/>
              <w:bottom w:val="nil"/>
              <w:right w:val="nil"/>
            </w:tcBorders>
            <w:tcMar>
              <w:top w:w="128" w:type="dxa"/>
              <w:left w:w="43" w:type="dxa"/>
              <w:bottom w:w="43" w:type="dxa"/>
              <w:right w:w="43" w:type="dxa"/>
            </w:tcMar>
          </w:tcPr>
          <w:p w14:paraId="3CBCDE64" w14:textId="77777777" w:rsidR="00972395" w:rsidRPr="00E73D4B" w:rsidRDefault="00F120C7" w:rsidP="00681E28">
            <w:pPr>
              <w:jc w:val="right"/>
            </w:pPr>
            <w:r w:rsidRPr="00E73D4B">
              <w:t>Nei</w:t>
            </w:r>
          </w:p>
        </w:tc>
      </w:tr>
      <w:tr w:rsidR="00972395" w:rsidRPr="00E73D4B" w14:paraId="77BF88E7"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635E589"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6CB3A470" w14:textId="77777777" w:rsidR="00972395" w:rsidRPr="00E73D4B" w:rsidRDefault="00F120C7" w:rsidP="00681E28">
            <w:pPr>
              <w:jc w:val="right"/>
            </w:pPr>
            <w:r w:rsidRPr="00E73D4B">
              <w:t>919</w:t>
            </w:r>
          </w:p>
        </w:tc>
        <w:tc>
          <w:tcPr>
            <w:tcW w:w="4962" w:type="dxa"/>
            <w:tcBorders>
              <w:top w:val="nil"/>
              <w:left w:val="nil"/>
              <w:bottom w:val="nil"/>
              <w:right w:val="nil"/>
            </w:tcBorders>
            <w:tcMar>
              <w:top w:w="128" w:type="dxa"/>
              <w:left w:w="43" w:type="dxa"/>
              <w:bottom w:w="43" w:type="dxa"/>
              <w:right w:w="43" w:type="dxa"/>
            </w:tcMar>
          </w:tcPr>
          <w:p w14:paraId="42B85D90" w14:textId="77777777" w:rsidR="00972395" w:rsidRPr="00E73D4B" w:rsidRDefault="00F120C7" w:rsidP="00681E28">
            <w:r w:rsidRPr="00E73D4B">
              <w:t>endring av straumavtale</w:t>
            </w:r>
          </w:p>
        </w:tc>
        <w:tc>
          <w:tcPr>
            <w:tcW w:w="1403" w:type="dxa"/>
            <w:tcBorders>
              <w:top w:val="nil"/>
              <w:left w:val="nil"/>
              <w:bottom w:val="nil"/>
              <w:right w:val="nil"/>
            </w:tcBorders>
            <w:tcMar>
              <w:top w:w="128" w:type="dxa"/>
              <w:left w:w="43" w:type="dxa"/>
              <w:bottom w:w="43" w:type="dxa"/>
              <w:right w:w="43" w:type="dxa"/>
            </w:tcMar>
          </w:tcPr>
          <w:p w14:paraId="35EA4756" w14:textId="77777777" w:rsidR="00972395" w:rsidRPr="00E73D4B" w:rsidRDefault="00F120C7" w:rsidP="00681E28">
            <w:pPr>
              <w:jc w:val="right"/>
            </w:pPr>
            <w:r w:rsidRPr="00E73D4B">
              <w:t>Ja</w:t>
            </w:r>
          </w:p>
        </w:tc>
      </w:tr>
      <w:tr w:rsidR="00972395" w:rsidRPr="00E73D4B" w14:paraId="54938C9E"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9F3FDE2"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705F733B" w14:textId="77777777" w:rsidR="00972395" w:rsidRPr="00E73D4B" w:rsidRDefault="00F120C7" w:rsidP="00681E28">
            <w:pPr>
              <w:jc w:val="right"/>
            </w:pPr>
            <w:r w:rsidRPr="00E73D4B">
              <w:t>920</w:t>
            </w:r>
          </w:p>
        </w:tc>
        <w:tc>
          <w:tcPr>
            <w:tcW w:w="4962" w:type="dxa"/>
            <w:tcBorders>
              <w:top w:val="nil"/>
              <w:left w:val="nil"/>
              <w:bottom w:val="nil"/>
              <w:right w:val="nil"/>
            </w:tcBorders>
            <w:tcMar>
              <w:top w:w="128" w:type="dxa"/>
              <w:left w:w="43" w:type="dxa"/>
              <w:bottom w:w="43" w:type="dxa"/>
              <w:right w:w="43" w:type="dxa"/>
            </w:tcMar>
          </w:tcPr>
          <w:p w14:paraId="18D49E1D" w14:textId="77777777" w:rsidR="00972395" w:rsidRPr="00E73D4B" w:rsidRDefault="00F120C7" w:rsidP="00681E28">
            <w:r w:rsidRPr="00E73D4B">
              <w:t>prisinformasjon om straumavtalen</w:t>
            </w:r>
          </w:p>
        </w:tc>
        <w:tc>
          <w:tcPr>
            <w:tcW w:w="1403" w:type="dxa"/>
            <w:tcBorders>
              <w:top w:val="nil"/>
              <w:left w:val="nil"/>
              <w:bottom w:val="nil"/>
              <w:right w:val="nil"/>
            </w:tcBorders>
            <w:tcMar>
              <w:top w:w="128" w:type="dxa"/>
              <w:left w:w="43" w:type="dxa"/>
              <w:bottom w:w="43" w:type="dxa"/>
              <w:right w:w="43" w:type="dxa"/>
            </w:tcMar>
          </w:tcPr>
          <w:p w14:paraId="2FC285CB" w14:textId="77777777" w:rsidR="00972395" w:rsidRPr="00E73D4B" w:rsidRDefault="00F120C7" w:rsidP="00681E28">
            <w:pPr>
              <w:jc w:val="right"/>
            </w:pPr>
            <w:r w:rsidRPr="00E73D4B">
              <w:t>Ja</w:t>
            </w:r>
          </w:p>
        </w:tc>
      </w:tr>
      <w:tr w:rsidR="00972395" w:rsidRPr="00E73D4B" w14:paraId="5F67C350"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3B867B5D"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31378331" w14:textId="77777777" w:rsidR="00972395" w:rsidRPr="00E73D4B" w:rsidRDefault="00F120C7" w:rsidP="00681E28">
            <w:pPr>
              <w:jc w:val="right"/>
            </w:pPr>
            <w:r w:rsidRPr="00E73D4B">
              <w:t>954</w:t>
            </w:r>
          </w:p>
        </w:tc>
        <w:tc>
          <w:tcPr>
            <w:tcW w:w="4962" w:type="dxa"/>
            <w:tcBorders>
              <w:top w:val="nil"/>
              <w:left w:val="nil"/>
              <w:bottom w:val="nil"/>
              <w:right w:val="nil"/>
            </w:tcBorders>
            <w:tcMar>
              <w:top w:w="128" w:type="dxa"/>
              <w:left w:w="43" w:type="dxa"/>
              <w:bottom w:w="43" w:type="dxa"/>
              <w:right w:w="43" w:type="dxa"/>
            </w:tcMar>
          </w:tcPr>
          <w:p w14:paraId="39B0B190" w14:textId="77777777" w:rsidR="00972395" w:rsidRPr="00E73D4B" w:rsidRDefault="00F120C7" w:rsidP="00681E28">
            <w:proofErr w:type="spellStart"/>
            <w:r w:rsidRPr="00E73D4B">
              <w:t>fritidsaktivitetar</w:t>
            </w:r>
            <w:proofErr w:type="spellEnd"/>
            <w:r w:rsidRPr="00E73D4B">
              <w:t xml:space="preserve"> for barn og unge som kan bidra til radikalisering</w:t>
            </w:r>
          </w:p>
        </w:tc>
        <w:tc>
          <w:tcPr>
            <w:tcW w:w="1403" w:type="dxa"/>
            <w:tcBorders>
              <w:top w:val="nil"/>
              <w:left w:val="nil"/>
              <w:bottom w:val="nil"/>
              <w:right w:val="nil"/>
            </w:tcBorders>
            <w:tcMar>
              <w:top w:w="128" w:type="dxa"/>
              <w:left w:w="43" w:type="dxa"/>
              <w:bottom w:w="43" w:type="dxa"/>
              <w:right w:w="43" w:type="dxa"/>
            </w:tcMar>
          </w:tcPr>
          <w:p w14:paraId="4A98B515" w14:textId="77777777" w:rsidR="00972395" w:rsidRPr="00E73D4B" w:rsidRDefault="00F120C7" w:rsidP="00681E28">
            <w:pPr>
              <w:jc w:val="right"/>
            </w:pPr>
            <w:r w:rsidRPr="00E73D4B">
              <w:t>Nei</w:t>
            </w:r>
          </w:p>
        </w:tc>
      </w:tr>
      <w:tr w:rsidR="00972395" w:rsidRPr="00E73D4B" w14:paraId="6A7F328B"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ABCC85A"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75EFAF1" w14:textId="77777777" w:rsidR="00972395" w:rsidRPr="00E73D4B" w:rsidRDefault="00F120C7" w:rsidP="00681E28">
            <w:pPr>
              <w:jc w:val="right"/>
            </w:pPr>
            <w:r w:rsidRPr="00E73D4B">
              <w:t>972</w:t>
            </w:r>
          </w:p>
        </w:tc>
        <w:tc>
          <w:tcPr>
            <w:tcW w:w="4962" w:type="dxa"/>
            <w:tcBorders>
              <w:top w:val="nil"/>
              <w:left w:val="nil"/>
              <w:bottom w:val="nil"/>
              <w:right w:val="nil"/>
            </w:tcBorders>
            <w:tcMar>
              <w:top w:w="128" w:type="dxa"/>
              <w:left w:w="43" w:type="dxa"/>
              <w:bottom w:w="43" w:type="dxa"/>
              <w:right w:w="43" w:type="dxa"/>
            </w:tcMar>
          </w:tcPr>
          <w:p w14:paraId="01CDA5A7" w14:textId="77777777" w:rsidR="00972395" w:rsidRPr="00E73D4B" w:rsidRDefault="00F120C7" w:rsidP="00681E28">
            <w:proofErr w:type="spellStart"/>
            <w:r w:rsidRPr="00E73D4B">
              <w:t>eigendel</w:t>
            </w:r>
            <w:proofErr w:type="spellEnd"/>
            <w:r w:rsidRPr="00E73D4B">
              <w:t xml:space="preserve"> for mat i </w:t>
            </w:r>
            <w:proofErr w:type="spellStart"/>
            <w:r w:rsidRPr="00E73D4B">
              <w:t>krisesentera</w:t>
            </w:r>
            <w:proofErr w:type="spellEnd"/>
          </w:p>
        </w:tc>
        <w:tc>
          <w:tcPr>
            <w:tcW w:w="1403" w:type="dxa"/>
            <w:tcBorders>
              <w:top w:val="nil"/>
              <w:left w:val="nil"/>
              <w:bottom w:val="nil"/>
              <w:right w:val="nil"/>
            </w:tcBorders>
            <w:tcMar>
              <w:top w:w="128" w:type="dxa"/>
              <w:left w:w="43" w:type="dxa"/>
              <w:bottom w:w="43" w:type="dxa"/>
              <w:right w:w="43" w:type="dxa"/>
            </w:tcMar>
          </w:tcPr>
          <w:p w14:paraId="4958B0B0" w14:textId="77777777" w:rsidR="00972395" w:rsidRPr="00E73D4B" w:rsidRDefault="00F120C7" w:rsidP="00681E28">
            <w:pPr>
              <w:jc w:val="right"/>
            </w:pPr>
            <w:r w:rsidRPr="00E73D4B">
              <w:t>Nei</w:t>
            </w:r>
          </w:p>
        </w:tc>
      </w:tr>
      <w:tr w:rsidR="00972395" w:rsidRPr="00E73D4B" w14:paraId="4DA4A092"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CC2F0D7"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D9E22A0" w14:textId="77777777" w:rsidR="00972395" w:rsidRPr="00E73D4B" w:rsidRDefault="00F120C7" w:rsidP="00681E28">
            <w:pPr>
              <w:jc w:val="right"/>
            </w:pPr>
            <w:r w:rsidRPr="00E73D4B">
              <w:t>1124</w:t>
            </w:r>
          </w:p>
        </w:tc>
        <w:tc>
          <w:tcPr>
            <w:tcW w:w="4962" w:type="dxa"/>
            <w:tcBorders>
              <w:top w:val="nil"/>
              <w:left w:val="nil"/>
              <w:bottom w:val="nil"/>
              <w:right w:val="nil"/>
            </w:tcBorders>
            <w:tcMar>
              <w:top w:w="128" w:type="dxa"/>
              <w:left w:w="43" w:type="dxa"/>
              <w:bottom w:w="43" w:type="dxa"/>
              <w:right w:w="43" w:type="dxa"/>
            </w:tcMar>
          </w:tcPr>
          <w:p w14:paraId="46A328A5" w14:textId="77777777" w:rsidR="00972395" w:rsidRPr="00E73D4B" w:rsidRDefault="00F120C7" w:rsidP="00681E28">
            <w:proofErr w:type="spellStart"/>
            <w:r w:rsidRPr="00E73D4B">
              <w:t>tverrfagleg</w:t>
            </w:r>
            <w:proofErr w:type="spellEnd"/>
            <w:r w:rsidRPr="00E73D4B">
              <w:t xml:space="preserve"> kompetanse på rus og vald i </w:t>
            </w:r>
            <w:proofErr w:type="spellStart"/>
            <w:r w:rsidRPr="00E73D4B">
              <w:t>krisesentera</w:t>
            </w:r>
            <w:proofErr w:type="spellEnd"/>
            <w:r w:rsidRPr="00E73D4B">
              <w:t xml:space="preserve"> </w:t>
            </w:r>
          </w:p>
        </w:tc>
        <w:tc>
          <w:tcPr>
            <w:tcW w:w="1403" w:type="dxa"/>
            <w:tcBorders>
              <w:top w:val="nil"/>
              <w:left w:val="nil"/>
              <w:bottom w:val="nil"/>
              <w:right w:val="nil"/>
            </w:tcBorders>
            <w:tcMar>
              <w:top w:w="128" w:type="dxa"/>
              <w:left w:w="43" w:type="dxa"/>
              <w:bottom w:w="43" w:type="dxa"/>
              <w:right w:w="43" w:type="dxa"/>
            </w:tcMar>
          </w:tcPr>
          <w:p w14:paraId="7C5B1795" w14:textId="77777777" w:rsidR="00972395" w:rsidRPr="00E73D4B" w:rsidRDefault="00F120C7" w:rsidP="00681E28">
            <w:pPr>
              <w:jc w:val="right"/>
            </w:pPr>
            <w:r w:rsidRPr="00E73D4B">
              <w:t>Nei</w:t>
            </w:r>
          </w:p>
        </w:tc>
      </w:tr>
      <w:tr w:rsidR="00972395" w:rsidRPr="00E73D4B" w14:paraId="46EDC4BC"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3FB0DB2E"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7ED53AE4" w14:textId="77777777" w:rsidR="00972395" w:rsidRPr="00E73D4B" w:rsidRDefault="00F120C7" w:rsidP="00681E28">
            <w:pPr>
              <w:jc w:val="right"/>
            </w:pPr>
            <w:r w:rsidRPr="00E73D4B">
              <w:t>1195</w:t>
            </w:r>
          </w:p>
        </w:tc>
        <w:tc>
          <w:tcPr>
            <w:tcW w:w="4962" w:type="dxa"/>
            <w:tcBorders>
              <w:top w:val="nil"/>
              <w:left w:val="nil"/>
              <w:bottom w:val="nil"/>
              <w:right w:val="nil"/>
            </w:tcBorders>
            <w:tcMar>
              <w:top w:w="128" w:type="dxa"/>
              <w:left w:w="43" w:type="dxa"/>
              <w:bottom w:w="43" w:type="dxa"/>
              <w:right w:w="43" w:type="dxa"/>
            </w:tcMar>
          </w:tcPr>
          <w:p w14:paraId="55412C18" w14:textId="77777777" w:rsidR="00972395" w:rsidRPr="00E73D4B" w:rsidRDefault="00F120C7" w:rsidP="00681E28">
            <w:r w:rsidRPr="00E73D4B">
              <w:t xml:space="preserve">krav om autorisasjon for </w:t>
            </w:r>
            <w:proofErr w:type="gramStart"/>
            <w:r w:rsidRPr="00E73D4B">
              <w:t>tilsette</w:t>
            </w:r>
            <w:proofErr w:type="gramEnd"/>
            <w:r w:rsidRPr="00E73D4B">
              <w:t xml:space="preserve"> som skal jobbe med </w:t>
            </w:r>
            <w:proofErr w:type="spellStart"/>
            <w:r w:rsidRPr="00E73D4B">
              <w:t>omsorgsovertakingar</w:t>
            </w:r>
            <w:proofErr w:type="spellEnd"/>
          </w:p>
        </w:tc>
        <w:tc>
          <w:tcPr>
            <w:tcW w:w="1403" w:type="dxa"/>
            <w:tcBorders>
              <w:top w:val="nil"/>
              <w:left w:val="nil"/>
              <w:bottom w:val="nil"/>
              <w:right w:val="nil"/>
            </w:tcBorders>
            <w:tcMar>
              <w:top w:w="128" w:type="dxa"/>
              <w:left w:w="43" w:type="dxa"/>
              <w:bottom w:w="43" w:type="dxa"/>
              <w:right w:w="43" w:type="dxa"/>
            </w:tcMar>
          </w:tcPr>
          <w:p w14:paraId="40458AE2" w14:textId="77777777" w:rsidR="00972395" w:rsidRPr="00E73D4B" w:rsidRDefault="00F120C7" w:rsidP="00681E28">
            <w:pPr>
              <w:jc w:val="right"/>
            </w:pPr>
            <w:r w:rsidRPr="00E73D4B">
              <w:t>Nei</w:t>
            </w:r>
          </w:p>
        </w:tc>
      </w:tr>
      <w:tr w:rsidR="00972395" w:rsidRPr="00E73D4B" w14:paraId="7D5DBE97"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AA148D3"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0873890B" w14:textId="77777777" w:rsidR="00972395" w:rsidRPr="00E73D4B" w:rsidRDefault="00F120C7" w:rsidP="00681E28">
            <w:pPr>
              <w:jc w:val="right"/>
            </w:pPr>
            <w:r w:rsidRPr="00E73D4B">
              <w:t>1197</w:t>
            </w:r>
          </w:p>
        </w:tc>
        <w:tc>
          <w:tcPr>
            <w:tcW w:w="4962" w:type="dxa"/>
            <w:tcBorders>
              <w:top w:val="nil"/>
              <w:left w:val="nil"/>
              <w:bottom w:val="nil"/>
              <w:right w:val="nil"/>
            </w:tcBorders>
            <w:tcMar>
              <w:top w:w="128" w:type="dxa"/>
              <w:left w:w="43" w:type="dxa"/>
              <w:bottom w:w="43" w:type="dxa"/>
              <w:right w:w="43" w:type="dxa"/>
            </w:tcMar>
          </w:tcPr>
          <w:p w14:paraId="535D1BEC" w14:textId="77777777" w:rsidR="00972395" w:rsidRPr="00E73D4B" w:rsidRDefault="00F120C7" w:rsidP="00681E28">
            <w:r w:rsidRPr="00E73D4B">
              <w:t>ordning med andrehandsvurdering av akuttvedtak</w:t>
            </w:r>
          </w:p>
        </w:tc>
        <w:tc>
          <w:tcPr>
            <w:tcW w:w="1403" w:type="dxa"/>
            <w:tcBorders>
              <w:top w:val="nil"/>
              <w:left w:val="nil"/>
              <w:bottom w:val="nil"/>
              <w:right w:val="nil"/>
            </w:tcBorders>
            <w:tcMar>
              <w:top w:w="128" w:type="dxa"/>
              <w:left w:w="43" w:type="dxa"/>
              <w:bottom w:w="43" w:type="dxa"/>
              <w:right w:w="43" w:type="dxa"/>
            </w:tcMar>
          </w:tcPr>
          <w:p w14:paraId="36051E07" w14:textId="77777777" w:rsidR="00972395" w:rsidRPr="00E73D4B" w:rsidRDefault="00F120C7" w:rsidP="00681E28">
            <w:pPr>
              <w:jc w:val="right"/>
            </w:pPr>
            <w:r w:rsidRPr="00E73D4B">
              <w:t>Nei</w:t>
            </w:r>
          </w:p>
        </w:tc>
      </w:tr>
      <w:tr w:rsidR="00972395" w:rsidRPr="00E73D4B" w14:paraId="18FEAD5B"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065B513"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8E04417" w14:textId="77777777" w:rsidR="00972395" w:rsidRPr="00E73D4B" w:rsidRDefault="00F120C7" w:rsidP="00681E28">
            <w:pPr>
              <w:jc w:val="right"/>
            </w:pPr>
            <w:r w:rsidRPr="00E73D4B">
              <w:t>1198</w:t>
            </w:r>
          </w:p>
        </w:tc>
        <w:tc>
          <w:tcPr>
            <w:tcW w:w="4962" w:type="dxa"/>
            <w:tcBorders>
              <w:top w:val="nil"/>
              <w:left w:val="nil"/>
              <w:bottom w:val="nil"/>
              <w:right w:val="nil"/>
            </w:tcBorders>
            <w:tcMar>
              <w:top w:w="128" w:type="dxa"/>
              <w:left w:w="43" w:type="dxa"/>
              <w:bottom w:w="43" w:type="dxa"/>
              <w:right w:w="43" w:type="dxa"/>
            </w:tcMar>
          </w:tcPr>
          <w:p w14:paraId="3EA0E3F2" w14:textId="77777777" w:rsidR="00972395" w:rsidRPr="00E73D4B" w:rsidRDefault="00F120C7" w:rsidP="00681E28">
            <w:r w:rsidRPr="00E73D4B">
              <w:t>alternativt omgrep til «</w:t>
            </w:r>
            <w:proofErr w:type="spellStart"/>
            <w:r w:rsidRPr="00E73D4B">
              <w:t>åtferd</w:t>
            </w:r>
            <w:proofErr w:type="spellEnd"/>
            <w:r w:rsidRPr="00E73D4B">
              <w:t>» i barnevernslova</w:t>
            </w:r>
          </w:p>
        </w:tc>
        <w:tc>
          <w:tcPr>
            <w:tcW w:w="1403" w:type="dxa"/>
            <w:tcBorders>
              <w:top w:val="nil"/>
              <w:left w:val="nil"/>
              <w:bottom w:val="nil"/>
              <w:right w:val="nil"/>
            </w:tcBorders>
            <w:tcMar>
              <w:top w:w="128" w:type="dxa"/>
              <w:left w:w="43" w:type="dxa"/>
              <w:bottom w:w="43" w:type="dxa"/>
              <w:right w:w="43" w:type="dxa"/>
            </w:tcMar>
          </w:tcPr>
          <w:p w14:paraId="3D55A098" w14:textId="77777777" w:rsidR="00972395" w:rsidRPr="00E73D4B" w:rsidRDefault="00F120C7" w:rsidP="00681E28">
            <w:pPr>
              <w:jc w:val="right"/>
            </w:pPr>
            <w:r w:rsidRPr="00E73D4B">
              <w:t>Nei</w:t>
            </w:r>
          </w:p>
        </w:tc>
      </w:tr>
      <w:tr w:rsidR="00972395" w:rsidRPr="00E73D4B" w14:paraId="19ABCB48"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7D4D3021"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53C6B69" w14:textId="77777777" w:rsidR="00972395" w:rsidRPr="00E73D4B" w:rsidRDefault="00F120C7" w:rsidP="00681E28">
            <w:pPr>
              <w:jc w:val="right"/>
            </w:pPr>
            <w:r w:rsidRPr="00E73D4B">
              <w:t>1201</w:t>
            </w:r>
          </w:p>
        </w:tc>
        <w:tc>
          <w:tcPr>
            <w:tcW w:w="4962" w:type="dxa"/>
            <w:tcBorders>
              <w:top w:val="nil"/>
              <w:left w:val="nil"/>
              <w:bottom w:val="nil"/>
              <w:right w:val="nil"/>
            </w:tcBorders>
            <w:tcMar>
              <w:top w:w="128" w:type="dxa"/>
              <w:left w:w="43" w:type="dxa"/>
              <w:bottom w:w="43" w:type="dxa"/>
              <w:right w:w="43" w:type="dxa"/>
            </w:tcMar>
          </w:tcPr>
          <w:p w14:paraId="49F153B7" w14:textId="77777777" w:rsidR="00972395" w:rsidRPr="00E73D4B" w:rsidRDefault="00F120C7" w:rsidP="00681E28">
            <w:r w:rsidRPr="00E73D4B">
              <w:t xml:space="preserve">oppfølging av </w:t>
            </w:r>
            <w:proofErr w:type="spellStart"/>
            <w:r w:rsidRPr="00E73D4B">
              <w:t>tilrådingane</w:t>
            </w:r>
            <w:proofErr w:type="spellEnd"/>
            <w:r w:rsidRPr="00E73D4B">
              <w:t xml:space="preserve"> </w:t>
            </w:r>
            <w:proofErr w:type="spellStart"/>
            <w:r w:rsidRPr="00E73D4B">
              <w:t>frå</w:t>
            </w:r>
            <w:proofErr w:type="spellEnd"/>
            <w:r w:rsidRPr="00E73D4B">
              <w:t xml:space="preserve"> </w:t>
            </w:r>
            <w:proofErr w:type="spellStart"/>
            <w:r w:rsidRPr="00E73D4B">
              <w:t>rettstryggleiksutvalet</w:t>
            </w:r>
            <w:proofErr w:type="spellEnd"/>
            <w:r w:rsidRPr="00E73D4B">
              <w:t xml:space="preserve"> på barnevernsområdet</w:t>
            </w:r>
          </w:p>
        </w:tc>
        <w:tc>
          <w:tcPr>
            <w:tcW w:w="1403" w:type="dxa"/>
            <w:tcBorders>
              <w:top w:val="nil"/>
              <w:left w:val="nil"/>
              <w:bottom w:val="nil"/>
              <w:right w:val="nil"/>
            </w:tcBorders>
            <w:tcMar>
              <w:top w:w="128" w:type="dxa"/>
              <w:left w:w="43" w:type="dxa"/>
              <w:bottom w:w="43" w:type="dxa"/>
              <w:right w:w="43" w:type="dxa"/>
            </w:tcMar>
          </w:tcPr>
          <w:p w14:paraId="4A2572A4" w14:textId="77777777" w:rsidR="00972395" w:rsidRPr="00E73D4B" w:rsidRDefault="00F120C7" w:rsidP="00681E28">
            <w:pPr>
              <w:jc w:val="right"/>
            </w:pPr>
            <w:r w:rsidRPr="00E73D4B">
              <w:t>Nei</w:t>
            </w:r>
          </w:p>
        </w:tc>
      </w:tr>
      <w:tr w:rsidR="00972395" w:rsidRPr="00E73D4B" w14:paraId="06EF0A1D"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EA24A7E" w14:textId="77777777" w:rsidR="00972395" w:rsidRPr="00E73D4B" w:rsidRDefault="00F120C7" w:rsidP="00681E28">
            <w:r w:rsidRPr="00E73D4B">
              <w:t>2019–2020</w:t>
            </w:r>
          </w:p>
        </w:tc>
        <w:tc>
          <w:tcPr>
            <w:tcW w:w="1275" w:type="dxa"/>
            <w:tcBorders>
              <w:top w:val="nil"/>
              <w:left w:val="nil"/>
              <w:bottom w:val="nil"/>
              <w:right w:val="nil"/>
            </w:tcBorders>
            <w:tcMar>
              <w:top w:w="128" w:type="dxa"/>
              <w:left w:w="43" w:type="dxa"/>
              <w:bottom w:w="43" w:type="dxa"/>
              <w:right w:w="43" w:type="dxa"/>
            </w:tcMar>
          </w:tcPr>
          <w:p w14:paraId="6310AC99" w14:textId="77777777" w:rsidR="00972395" w:rsidRPr="00E73D4B" w:rsidRDefault="00F120C7" w:rsidP="00681E28">
            <w:pPr>
              <w:jc w:val="right"/>
            </w:pPr>
            <w:r w:rsidRPr="00E73D4B">
              <w:t>498</w:t>
            </w:r>
          </w:p>
        </w:tc>
        <w:tc>
          <w:tcPr>
            <w:tcW w:w="4962" w:type="dxa"/>
            <w:tcBorders>
              <w:top w:val="nil"/>
              <w:left w:val="nil"/>
              <w:bottom w:val="nil"/>
              <w:right w:val="nil"/>
            </w:tcBorders>
            <w:tcMar>
              <w:top w:w="128" w:type="dxa"/>
              <w:left w:w="43" w:type="dxa"/>
              <w:bottom w:w="43" w:type="dxa"/>
              <w:right w:w="43" w:type="dxa"/>
            </w:tcMar>
          </w:tcPr>
          <w:p w14:paraId="11BA47EB" w14:textId="77777777" w:rsidR="00972395" w:rsidRPr="00E73D4B" w:rsidRDefault="00F120C7" w:rsidP="00681E28">
            <w:proofErr w:type="spellStart"/>
            <w:r w:rsidRPr="00E73D4B">
              <w:t>forbod</w:t>
            </w:r>
            <w:proofErr w:type="spellEnd"/>
            <w:r w:rsidRPr="00E73D4B">
              <w:t xml:space="preserve"> mot etter-skule-</w:t>
            </w:r>
            <w:proofErr w:type="spellStart"/>
            <w:r w:rsidRPr="00E73D4B">
              <w:t>tilbod</w:t>
            </w:r>
            <w:proofErr w:type="spellEnd"/>
            <w:r w:rsidRPr="00E73D4B">
              <w:t xml:space="preserve"> for barn med overnatting</w:t>
            </w:r>
          </w:p>
        </w:tc>
        <w:tc>
          <w:tcPr>
            <w:tcW w:w="1403" w:type="dxa"/>
            <w:tcBorders>
              <w:top w:val="nil"/>
              <w:left w:val="nil"/>
              <w:bottom w:val="nil"/>
              <w:right w:val="nil"/>
            </w:tcBorders>
            <w:tcMar>
              <w:top w:w="128" w:type="dxa"/>
              <w:left w:w="43" w:type="dxa"/>
              <w:bottom w:w="43" w:type="dxa"/>
              <w:right w:w="43" w:type="dxa"/>
            </w:tcMar>
          </w:tcPr>
          <w:p w14:paraId="3265D026" w14:textId="77777777" w:rsidR="00972395" w:rsidRPr="00E73D4B" w:rsidRDefault="00F120C7" w:rsidP="00681E28">
            <w:pPr>
              <w:jc w:val="right"/>
            </w:pPr>
            <w:r w:rsidRPr="00E73D4B">
              <w:t>Nei</w:t>
            </w:r>
          </w:p>
        </w:tc>
      </w:tr>
      <w:tr w:rsidR="00972395" w:rsidRPr="00E73D4B" w14:paraId="62B290A6"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B63B8E1" w14:textId="77777777" w:rsidR="00972395" w:rsidRPr="00E73D4B" w:rsidRDefault="00F120C7" w:rsidP="00681E28">
            <w:r w:rsidRPr="00E73D4B">
              <w:t>2019–2020</w:t>
            </w:r>
          </w:p>
        </w:tc>
        <w:tc>
          <w:tcPr>
            <w:tcW w:w="1275" w:type="dxa"/>
            <w:tcBorders>
              <w:top w:val="nil"/>
              <w:left w:val="nil"/>
              <w:bottom w:val="nil"/>
              <w:right w:val="nil"/>
            </w:tcBorders>
            <w:tcMar>
              <w:top w:w="128" w:type="dxa"/>
              <w:left w:w="43" w:type="dxa"/>
              <w:bottom w:w="43" w:type="dxa"/>
              <w:right w:w="43" w:type="dxa"/>
            </w:tcMar>
          </w:tcPr>
          <w:p w14:paraId="5BB84802" w14:textId="77777777" w:rsidR="00972395" w:rsidRPr="00E73D4B" w:rsidRDefault="00F120C7" w:rsidP="00681E28">
            <w:pPr>
              <w:jc w:val="right"/>
            </w:pPr>
            <w:r w:rsidRPr="00E73D4B">
              <w:t>500</w:t>
            </w:r>
          </w:p>
        </w:tc>
        <w:tc>
          <w:tcPr>
            <w:tcW w:w="4962" w:type="dxa"/>
            <w:tcBorders>
              <w:top w:val="nil"/>
              <w:left w:val="nil"/>
              <w:bottom w:val="nil"/>
              <w:right w:val="nil"/>
            </w:tcBorders>
            <w:tcMar>
              <w:top w:w="128" w:type="dxa"/>
              <w:left w:w="43" w:type="dxa"/>
              <w:bottom w:w="43" w:type="dxa"/>
              <w:right w:w="43" w:type="dxa"/>
            </w:tcMar>
          </w:tcPr>
          <w:p w14:paraId="47AF5E60" w14:textId="77777777" w:rsidR="00972395" w:rsidRPr="00E73D4B" w:rsidRDefault="00F120C7" w:rsidP="00681E28">
            <w:r w:rsidRPr="00E73D4B">
              <w:t xml:space="preserve">oppdeling av Opplysningsvesenets fond </w:t>
            </w:r>
          </w:p>
        </w:tc>
        <w:tc>
          <w:tcPr>
            <w:tcW w:w="1403" w:type="dxa"/>
            <w:tcBorders>
              <w:top w:val="nil"/>
              <w:left w:val="nil"/>
              <w:bottom w:val="nil"/>
              <w:right w:val="nil"/>
            </w:tcBorders>
            <w:tcMar>
              <w:top w:w="128" w:type="dxa"/>
              <w:left w:w="43" w:type="dxa"/>
              <w:bottom w:w="43" w:type="dxa"/>
              <w:right w:w="43" w:type="dxa"/>
            </w:tcMar>
          </w:tcPr>
          <w:p w14:paraId="2DC46710" w14:textId="77777777" w:rsidR="00972395" w:rsidRPr="00E73D4B" w:rsidRDefault="00F120C7" w:rsidP="00681E28">
            <w:pPr>
              <w:jc w:val="right"/>
            </w:pPr>
            <w:r w:rsidRPr="00E73D4B">
              <w:t>Nei</w:t>
            </w:r>
          </w:p>
        </w:tc>
      </w:tr>
      <w:tr w:rsidR="00972395" w:rsidRPr="00E73D4B" w14:paraId="1088B8DC"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77642736" w14:textId="77777777" w:rsidR="00972395" w:rsidRPr="00E73D4B" w:rsidRDefault="00F120C7" w:rsidP="00681E28">
            <w:r w:rsidRPr="00E73D4B">
              <w:t>2019–2020</w:t>
            </w:r>
          </w:p>
        </w:tc>
        <w:tc>
          <w:tcPr>
            <w:tcW w:w="1275" w:type="dxa"/>
            <w:tcBorders>
              <w:top w:val="nil"/>
              <w:left w:val="nil"/>
              <w:bottom w:val="nil"/>
              <w:right w:val="nil"/>
            </w:tcBorders>
            <w:tcMar>
              <w:top w:w="128" w:type="dxa"/>
              <w:left w:w="43" w:type="dxa"/>
              <w:bottom w:w="43" w:type="dxa"/>
              <w:right w:w="43" w:type="dxa"/>
            </w:tcMar>
          </w:tcPr>
          <w:p w14:paraId="58414CEF" w14:textId="77777777" w:rsidR="00972395" w:rsidRPr="00E73D4B" w:rsidRDefault="00F120C7" w:rsidP="00681E28">
            <w:pPr>
              <w:jc w:val="right"/>
            </w:pPr>
            <w:r w:rsidRPr="00E73D4B">
              <w:t>501</w:t>
            </w:r>
          </w:p>
        </w:tc>
        <w:tc>
          <w:tcPr>
            <w:tcW w:w="4962" w:type="dxa"/>
            <w:tcBorders>
              <w:top w:val="nil"/>
              <w:left w:val="nil"/>
              <w:bottom w:val="nil"/>
              <w:right w:val="nil"/>
            </w:tcBorders>
            <w:tcMar>
              <w:top w:w="128" w:type="dxa"/>
              <w:left w:w="43" w:type="dxa"/>
              <w:bottom w:w="43" w:type="dxa"/>
              <w:right w:w="43" w:type="dxa"/>
            </w:tcMar>
          </w:tcPr>
          <w:p w14:paraId="5C3152A6" w14:textId="77777777" w:rsidR="00972395" w:rsidRPr="00E73D4B" w:rsidRDefault="00F120C7" w:rsidP="00681E28">
            <w:r w:rsidRPr="00E73D4B">
              <w:t xml:space="preserve">Opplysningsvesenets fond – </w:t>
            </w:r>
            <w:proofErr w:type="spellStart"/>
            <w:r w:rsidRPr="00E73D4B">
              <w:t>fondseigedommane</w:t>
            </w:r>
            <w:proofErr w:type="spellEnd"/>
            <w:r w:rsidRPr="00E73D4B">
              <w:t xml:space="preserve"> staten </w:t>
            </w:r>
            <w:proofErr w:type="spellStart"/>
            <w:r w:rsidRPr="00E73D4B">
              <w:t>tek</w:t>
            </w:r>
            <w:proofErr w:type="spellEnd"/>
            <w:r w:rsidRPr="00E73D4B">
              <w:t xml:space="preserve"> over</w:t>
            </w:r>
          </w:p>
        </w:tc>
        <w:tc>
          <w:tcPr>
            <w:tcW w:w="1403" w:type="dxa"/>
            <w:tcBorders>
              <w:top w:val="nil"/>
              <w:left w:val="nil"/>
              <w:bottom w:val="nil"/>
              <w:right w:val="nil"/>
            </w:tcBorders>
            <w:tcMar>
              <w:top w:w="128" w:type="dxa"/>
              <w:left w:w="43" w:type="dxa"/>
              <w:bottom w:w="43" w:type="dxa"/>
              <w:right w:w="43" w:type="dxa"/>
            </w:tcMar>
          </w:tcPr>
          <w:p w14:paraId="6B3CA4BC" w14:textId="77777777" w:rsidR="00972395" w:rsidRPr="00E73D4B" w:rsidRDefault="00F120C7" w:rsidP="00681E28">
            <w:pPr>
              <w:jc w:val="right"/>
            </w:pPr>
            <w:r w:rsidRPr="00E73D4B">
              <w:t>Nei</w:t>
            </w:r>
          </w:p>
        </w:tc>
      </w:tr>
      <w:tr w:rsidR="00972395" w:rsidRPr="00E73D4B" w14:paraId="1E393A4A"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8288D70" w14:textId="77777777" w:rsidR="00972395" w:rsidRPr="00E73D4B" w:rsidRDefault="00F120C7" w:rsidP="00681E28">
            <w:r w:rsidRPr="00E73D4B">
              <w:t>2019–2020</w:t>
            </w:r>
          </w:p>
        </w:tc>
        <w:tc>
          <w:tcPr>
            <w:tcW w:w="1275" w:type="dxa"/>
            <w:tcBorders>
              <w:top w:val="nil"/>
              <w:left w:val="nil"/>
              <w:bottom w:val="nil"/>
              <w:right w:val="nil"/>
            </w:tcBorders>
            <w:tcMar>
              <w:top w:w="128" w:type="dxa"/>
              <w:left w:w="43" w:type="dxa"/>
              <w:bottom w:w="43" w:type="dxa"/>
              <w:right w:w="43" w:type="dxa"/>
            </w:tcMar>
          </w:tcPr>
          <w:p w14:paraId="76C6E065" w14:textId="77777777" w:rsidR="00972395" w:rsidRPr="00E73D4B" w:rsidRDefault="00F120C7" w:rsidP="00681E28">
            <w:pPr>
              <w:jc w:val="right"/>
            </w:pPr>
            <w:r w:rsidRPr="00E73D4B">
              <w:t>502</w:t>
            </w:r>
          </w:p>
        </w:tc>
        <w:tc>
          <w:tcPr>
            <w:tcW w:w="4962" w:type="dxa"/>
            <w:tcBorders>
              <w:top w:val="nil"/>
              <w:left w:val="nil"/>
              <w:bottom w:val="nil"/>
              <w:right w:val="nil"/>
            </w:tcBorders>
            <w:tcMar>
              <w:top w:w="128" w:type="dxa"/>
              <w:left w:w="43" w:type="dxa"/>
              <w:bottom w:w="43" w:type="dxa"/>
              <w:right w:w="43" w:type="dxa"/>
            </w:tcMar>
          </w:tcPr>
          <w:p w14:paraId="469B734F" w14:textId="77777777" w:rsidR="00972395" w:rsidRPr="00E73D4B" w:rsidRDefault="00F120C7" w:rsidP="00681E28">
            <w:proofErr w:type="spellStart"/>
            <w:r w:rsidRPr="00E73D4B">
              <w:t>utbetring</w:t>
            </w:r>
            <w:proofErr w:type="spellEnd"/>
            <w:r w:rsidRPr="00E73D4B">
              <w:t xml:space="preserve"> av verneverdige </w:t>
            </w:r>
            <w:proofErr w:type="spellStart"/>
            <w:r w:rsidRPr="00E73D4B">
              <w:t>kyrkjebygg</w:t>
            </w:r>
            <w:proofErr w:type="spellEnd"/>
          </w:p>
        </w:tc>
        <w:tc>
          <w:tcPr>
            <w:tcW w:w="1403" w:type="dxa"/>
            <w:tcBorders>
              <w:top w:val="nil"/>
              <w:left w:val="nil"/>
              <w:bottom w:val="nil"/>
              <w:right w:val="nil"/>
            </w:tcBorders>
            <w:tcMar>
              <w:top w:w="128" w:type="dxa"/>
              <w:left w:w="43" w:type="dxa"/>
              <w:bottom w:w="43" w:type="dxa"/>
              <w:right w:w="43" w:type="dxa"/>
            </w:tcMar>
          </w:tcPr>
          <w:p w14:paraId="54A377D6" w14:textId="77777777" w:rsidR="00972395" w:rsidRPr="00E73D4B" w:rsidRDefault="00F120C7" w:rsidP="00681E28">
            <w:pPr>
              <w:jc w:val="right"/>
            </w:pPr>
            <w:r w:rsidRPr="00E73D4B">
              <w:t>Nei</w:t>
            </w:r>
          </w:p>
        </w:tc>
      </w:tr>
      <w:tr w:rsidR="00972395" w:rsidRPr="00E73D4B" w14:paraId="3FEED557"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147DF1CB" w14:textId="77777777" w:rsidR="00972395" w:rsidRPr="00E73D4B" w:rsidRDefault="00F120C7" w:rsidP="00681E28">
            <w:r w:rsidRPr="00E73D4B">
              <w:t>2019–2020</w:t>
            </w:r>
          </w:p>
        </w:tc>
        <w:tc>
          <w:tcPr>
            <w:tcW w:w="1275" w:type="dxa"/>
            <w:tcBorders>
              <w:top w:val="nil"/>
              <w:left w:val="nil"/>
              <w:bottom w:val="nil"/>
              <w:right w:val="nil"/>
            </w:tcBorders>
            <w:tcMar>
              <w:top w:w="128" w:type="dxa"/>
              <w:left w:w="43" w:type="dxa"/>
              <w:bottom w:w="43" w:type="dxa"/>
              <w:right w:w="43" w:type="dxa"/>
            </w:tcMar>
          </w:tcPr>
          <w:p w14:paraId="3EB1A21B" w14:textId="77777777" w:rsidR="00972395" w:rsidRPr="00E73D4B" w:rsidRDefault="00F120C7" w:rsidP="00681E28">
            <w:pPr>
              <w:jc w:val="right"/>
            </w:pPr>
            <w:r w:rsidRPr="00E73D4B">
              <w:t>637</w:t>
            </w:r>
          </w:p>
        </w:tc>
        <w:tc>
          <w:tcPr>
            <w:tcW w:w="4962" w:type="dxa"/>
            <w:tcBorders>
              <w:top w:val="nil"/>
              <w:left w:val="nil"/>
              <w:bottom w:val="nil"/>
              <w:right w:val="nil"/>
            </w:tcBorders>
            <w:tcMar>
              <w:top w:w="128" w:type="dxa"/>
              <w:left w:w="43" w:type="dxa"/>
              <w:bottom w:w="43" w:type="dxa"/>
              <w:right w:w="43" w:type="dxa"/>
            </w:tcMar>
          </w:tcPr>
          <w:p w14:paraId="3FA4C9D7" w14:textId="77777777" w:rsidR="00972395" w:rsidRPr="00E73D4B" w:rsidRDefault="00F120C7" w:rsidP="00681E28">
            <w:r w:rsidRPr="00E73D4B">
              <w:t xml:space="preserve">FN-konvensjonen om </w:t>
            </w:r>
            <w:proofErr w:type="spellStart"/>
            <w:r w:rsidRPr="00E73D4B">
              <w:t>barnerettane</w:t>
            </w:r>
            <w:proofErr w:type="spellEnd"/>
            <w:r w:rsidRPr="00E73D4B">
              <w:t xml:space="preserve"> – ny barnevernslov og ny barnelov </w:t>
            </w:r>
          </w:p>
        </w:tc>
        <w:tc>
          <w:tcPr>
            <w:tcW w:w="1403" w:type="dxa"/>
            <w:tcBorders>
              <w:top w:val="nil"/>
              <w:left w:val="nil"/>
              <w:bottom w:val="nil"/>
              <w:right w:val="nil"/>
            </w:tcBorders>
            <w:tcMar>
              <w:top w:w="128" w:type="dxa"/>
              <w:left w:w="43" w:type="dxa"/>
              <w:bottom w:w="43" w:type="dxa"/>
              <w:right w:w="43" w:type="dxa"/>
            </w:tcMar>
          </w:tcPr>
          <w:p w14:paraId="2FE00364" w14:textId="77777777" w:rsidR="00972395" w:rsidRPr="00E73D4B" w:rsidRDefault="00F120C7" w:rsidP="00681E28">
            <w:pPr>
              <w:jc w:val="right"/>
            </w:pPr>
            <w:r w:rsidRPr="00E73D4B">
              <w:t>Nei</w:t>
            </w:r>
          </w:p>
        </w:tc>
      </w:tr>
      <w:tr w:rsidR="00972395" w:rsidRPr="00E73D4B" w14:paraId="32EBFD91"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487B456B" w14:textId="77777777" w:rsidR="00972395" w:rsidRPr="00E73D4B" w:rsidRDefault="00F120C7" w:rsidP="00681E28">
            <w:r w:rsidRPr="00E73D4B">
              <w:t>2016–2017</w:t>
            </w:r>
          </w:p>
        </w:tc>
        <w:tc>
          <w:tcPr>
            <w:tcW w:w="1275" w:type="dxa"/>
            <w:tcBorders>
              <w:top w:val="nil"/>
              <w:left w:val="nil"/>
              <w:bottom w:val="nil"/>
              <w:right w:val="nil"/>
            </w:tcBorders>
            <w:tcMar>
              <w:top w:w="128" w:type="dxa"/>
              <w:left w:w="43" w:type="dxa"/>
              <w:bottom w:w="43" w:type="dxa"/>
              <w:right w:w="43" w:type="dxa"/>
            </w:tcMar>
          </w:tcPr>
          <w:p w14:paraId="3C22F968" w14:textId="77777777" w:rsidR="00972395" w:rsidRPr="00E73D4B" w:rsidRDefault="00F120C7" w:rsidP="00681E28">
            <w:pPr>
              <w:jc w:val="right"/>
            </w:pPr>
            <w:r w:rsidRPr="00E73D4B">
              <w:t>491</w:t>
            </w:r>
          </w:p>
        </w:tc>
        <w:tc>
          <w:tcPr>
            <w:tcW w:w="4962" w:type="dxa"/>
            <w:tcBorders>
              <w:top w:val="nil"/>
              <w:left w:val="nil"/>
              <w:bottom w:val="nil"/>
              <w:right w:val="nil"/>
            </w:tcBorders>
            <w:tcMar>
              <w:top w:w="128" w:type="dxa"/>
              <w:left w:w="43" w:type="dxa"/>
              <w:bottom w:w="43" w:type="dxa"/>
              <w:right w:w="43" w:type="dxa"/>
            </w:tcMar>
          </w:tcPr>
          <w:p w14:paraId="24C6D4F6" w14:textId="77777777" w:rsidR="00972395" w:rsidRPr="00E73D4B" w:rsidRDefault="00F120C7" w:rsidP="00681E28">
            <w:r w:rsidRPr="00E73D4B">
              <w:t>evaluering av felles foreldreansvar</w:t>
            </w:r>
          </w:p>
        </w:tc>
        <w:tc>
          <w:tcPr>
            <w:tcW w:w="1403" w:type="dxa"/>
            <w:tcBorders>
              <w:top w:val="nil"/>
              <w:left w:val="nil"/>
              <w:bottom w:val="nil"/>
              <w:right w:val="nil"/>
            </w:tcBorders>
            <w:tcMar>
              <w:top w:w="128" w:type="dxa"/>
              <w:left w:w="43" w:type="dxa"/>
              <w:bottom w:w="43" w:type="dxa"/>
              <w:right w:w="43" w:type="dxa"/>
            </w:tcMar>
          </w:tcPr>
          <w:p w14:paraId="7AE4B476" w14:textId="77777777" w:rsidR="00972395" w:rsidRPr="00E73D4B" w:rsidRDefault="00F120C7" w:rsidP="00681E28">
            <w:pPr>
              <w:jc w:val="right"/>
            </w:pPr>
            <w:r w:rsidRPr="00E73D4B">
              <w:t>Nei</w:t>
            </w:r>
          </w:p>
        </w:tc>
      </w:tr>
      <w:tr w:rsidR="00972395" w:rsidRPr="00E73D4B" w14:paraId="3D81D285"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26B7054" w14:textId="77777777" w:rsidR="00972395" w:rsidRPr="00E73D4B" w:rsidRDefault="00F120C7" w:rsidP="00681E28">
            <w:r w:rsidRPr="00E73D4B">
              <w:t>2016–2017</w:t>
            </w:r>
          </w:p>
        </w:tc>
        <w:tc>
          <w:tcPr>
            <w:tcW w:w="1275" w:type="dxa"/>
            <w:tcBorders>
              <w:top w:val="nil"/>
              <w:left w:val="nil"/>
              <w:bottom w:val="nil"/>
              <w:right w:val="nil"/>
            </w:tcBorders>
            <w:tcMar>
              <w:top w:w="128" w:type="dxa"/>
              <w:left w:w="43" w:type="dxa"/>
              <w:bottom w:w="43" w:type="dxa"/>
              <w:right w:w="43" w:type="dxa"/>
            </w:tcMar>
          </w:tcPr>
          <w:p w14:paraId="0EC11964" w14:textId="77777777" w:rsidR="00972395" w:rsidRPr="00E73D4B" w:rsidRDefault="00F120C7" w:rsidP="00681E28">
            <w:pPr>
              <w:jc w:val="right"/>
            </w:pPr>
            <w:r w:rsidRPr="00E73D4B">
              <w:t>606</w:t>
            </w:r>
          </w:p>
        </w:tc>
        <w:tc>
          <w:tcPr>
            <w:tcW w:w="4962" w:type="dxa"/>
            <w:tcBorders>
              <w:top w:val="nil"/>
              <w:left w:val="nil"/>
              <w:bottom w:val="nil"/>
              <w:right w:val="nil"/>
            </w:tcBorders>
            <w:tcMar>
              <w:top w:w="128" w:type="dxa"/>
              <w:left w:w="43" w:type="dxa"/>
              <w:bottom w:w="43" w:type="dxa"/>
              <w:right w:w="43" w:type="dxa"/>
            </w:tcMar>
          </w:tcPr>
          <w:p w14:paraId="20F7C0C3" w14:textId="77777777" w:rsidR="00972395" w:rsidRPr="00E73D4B" w:rsidRDefault="00F120C7" w:rsidP="00681E28">
            <w:r w:rsidRPr="00E73D4B">
              <w:t>politiattest for yrkesgrupper som er i kontakt med barn</w:t>
            </w:r>
          </w:p>
        </w:tc>
        <w:tc>
          <w:tcPr>
            <w:tcW w:w="1403" w:type="dxa"/>
            <w:tcBorders>
              <w:top w:val="nil"/>
              <w:left w:val="nil"/>
              <w:bottom w:val="nil"/>
              <w:right w:val="nil"/>
            </w:tcBorders>
            <w:tcMar>
              <w:top w:w="128" w:type="dxa"/>
              <w:left w:w="43" w:type="dxa"/>
              <w:bottom w:w="43" w:type="dxa"/>
              <w:right w:w="43" w:type="dxa"/>
            </w:tcMar>
          </w:tcPr>
          <w:p w14:paraId="5BAAAB7D" w14:textId="77777777" w:rsidR="00972395" w:rsidRPr="00E73D4B" w:rsidRDefault="00F120C7" w:rsidP="00681E28">
            <w:pPr>
              <w:jc w:val="right"/>
            </w:pPr>
            <w:r w:rsidRPr="00E73D4B">
              <w:t>Nei</w:t>
            </w:r>
          </w:p>
        </w:tc>
      </w:tr>
      <w:tr w:rsidR="00972395" w:rsidRPr="00E73D4B" w14:paraId="13B06A76"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87618AD" w14:textId="77777777" w:rsidR="00972395" w:rsidRPr="00E73D4B" w:rsidRDefault="00F120C7" w:rsidP="00681E28">
            <w:r w:rsidRPr="00E73D4B">
              <w:t>2016–2017</w:t>
            </w:r>
          </w:p>
        </w:tc>
        <w:tc>
          <w:tcPr>
            <w:tcW w:w="1275" w:type="dxa"/>
            <w:tcBorders>
              <w:top w:val="nil"/>
              <w:left w:val="nil"/>
              <w:bottom w:val="nil"/>
              <w:right w:val="nil"/>
            </w:tcBorders>
            <w:tcMar>
              <w:top w:w="128" w:type="dxa"/>
              <w:left w:w="43" w:type="dxa"/>
              <w:bottom w:w="43" w:type="dxa"/>
              <w:right w:w="43" w:type="dxa"/>
            </w:tcMar>
          </w:tcPr>
          <w:p w14:paraId="259D6EF4" w14:textId="77777777" w:rsidR="00972395" w:rsidRPr="00E73D4B" w:rsidRDefault="00F120C7" w:rsidP="00681E28">
            <w:pPr>
              <w:jc w:val="right"/>
            </w:pPr>
            <w:r w:rsidRPr="00E73D4B">
              <w:t>790</w:t>
            </w:r>
          </w:p>
        </w:tc>
        <w:tc>
          <w:tcPr>
            <w:tcW w:w="4962" w:type="dxa"/>
            <w:tcBorders>
              <w:top w:val="nil"/>
              <w:left w:val="nil"/>
              <w:bottom w:val="nil"/>
              <w:right w:val="nil"/>
            </w:tcBorders>
            <w:tcMar>
              <w:top w:w="128" w:type="dxa"/>
              <w:left w:w="43" w:type="dxa"/>
              <w:bottom w:w="43" w:type="dxa"/>
              <w:right w:w="43" w:type="dxa"/>
            </w:tcMar>
          </w:tcPr>
          <w:p w14:paraId="23B652C5" w14:textId="77777777" w:rsidR="00972395" w:rsidRPr="00E73D4B" w:rsidRDefault="00F120C7" w:rsidP="00681E28">
            <w:r w:rsidRPr="00E73D4B">
              <w:t xml:space="preserve">oppfølging av adopterte og </w:t>
            </w:r>
            <w:proofErr w:type="spellStart"/>
            <w:r w:rsidRPr="00E73D4B">
              <w:t>familiane</w:t>
            </w:r>
            <w:proofErr w:type="spellEnd"/>
            <w:r w:rsidRPr="00E73D4B">
              <w:t xml:space="preserve"> </w:t>
            </w:r>
            <w:proofErr w:type="spellStart"/>
            <w:r w:rsidRPr="00E73D4B">
              <w:t>deira</w:t>
            </w:r>
            <w:proofErr w:type="spellEnd"/>
          </w:p>
        </w:tc>
        <w:tc>
          <w:tcPr>
            <w:tcW w:w="1403" w:type="dxa"/>
            <w:tcBorders>
              <w:top w:val="nil"/>
              <w:left w:val="nil"/>
              <w:bottom w:val="nil"/>
              <w:right w:val="nil"/>
            </w:tcBorders>
            <w:tcMar>
              <w:top w:w="128" w:type="dxa"/>
              <w:left w:w="43" w:type="dxa"/>
              <w:bottom w:w="43" w:type="dxa"/>
              <w:right w:w="43" w:type="dxa"/>
            </w:tcMar>
          </w:tcPr>
          <w:p w14:paraId="24921806" w14:textId="77777777" w:rsidR="00972395" w:rsidRPr="00E73D4B" w:rsidRDefault="00F120C7" w:rsidP="00681E28">
            <w:pPr>
              <w:jc w:val="right"/>
            </w:pPr>
            <w:r w:rsidRPr="00E73D4B">
              <w:t>Ja</w:t>
            </w:r>
          </w:p>
        </w:tc>
      </w:tr>
      <w:tr w:rsidR="00972395" w:rsidRPr="00E73D4B" w14:paraId="57F76F91" w14:textId="77777777" w:rsidTr="00681E28">
        <w:trPr>
          <w:trHeight w:val="640"/>
        </w:trPr>
        <w:tc>
          <w:tcPr>
            <w:tcW w:w="1560" w:type="dxa"/>
            <w:tcBorders>
              <w:top w:val="nil"/>
              <w:left w:val="nil"/>
              <w:right w:val="nil"/>
            </w:tcBorders>
            <w:tcMar>
              <w:top w:w="128" w:type="dxa"/>
              <w:left w:w="43" w:type="dxa"/>
              <w:bottom w:w="43" w:type="dxa"/>
              <w:right w:w="43" w:type="dxa"/>
            </w:tcMar>
          </w:tcPr>
          <w:p w14:paraId="71F0E0E5" w14:textId="77777777" w:rsidR="00972395" w:rsidRPr="00E73D4B" w:rsidRDefault="00F120C7" w:rsidP="00681E28">
            <w:r w:rsidRPr="00E73D4B">
              <w:t>2015–2016</w:t>
            </w:r>
          </w:p>
        </w:tc>
        <w:tc>
          <w:tcPr>
            <w:tcW w:w="1275" w:type="dxa"/>
            <w:tcBorders>
              <w:top w:val="nil"/>
              <w:left w:val="nil"/>
              <w:right w:val="nil"/>
            </w:tcBorders>
            <w:tcMar>
              <w:top w:w="128" w:type="dxa"/>
              <w:left w:w="43" w:type="dxa"/>
              <w:bottom w:w="43" w:type="dxa"/>
              <w:right w:w="43" w:type="dxa"/>
            </w:tcMar>
          </w:tcPr>
          <w:p w14:paraId="40F09B97" w14:textId="77777777" w:rsidR="00972395" w:rsidRPr="00E73D4B" w:rsidRDefault="00F120C7" w:rsidP="00681E28">
            <w:pPr>
              <w:jc w:val="right"/>
            </w:pPr>
            <w:r w:rsidRPr="00E73D4B">
              <w:t>744</w:t>
            </w:r>
          </w:p>
        </w:tc>
        <w:tc>
          <w:tcPr>
            <w:tcW w:w="4962" w:type="dxa"/>
            <w:tcBorders>
              <w:top w:val="nil"/>
              <w:left w:val="nil"/>
              <w:right w:val="nil"/>
            </w:tcBorders>
            <w:tcMar>
              <w:top w:w="128" w:type="dxa"/>
              <w:left w:w="43" w:type="dxa"/>
              <w:bottom w:w="43" w:type="dxa"/>
              <w:right w:w="43" w:type="dxa"/>
            </w:tcMar>
          </w:tcPr>
          <w:p w14:paraId="698DC6FF" w14:textId="77777777" w:rsidR="00972395" w:rsidRPr="00E73D4B" w:rsidRDefault="00F120C7" w:rsidP="00681E28">
            <w:r w:rsidRPr="00E73D4B">
              <w:t xml:space="preserve">best </w:t>
            </w:r>
            <w:proofErr w:type="spellStart"/>
            <w:r w:rsidRPr="00E73D4B">
              <w:t>mogleg</w:t>
            </w:r>
            <w:proofErr w:type="spellEnd"/>
            <w:r w:rsidRPr="00E73D4B">
              <w:t xml:space="preserve"> oppfølging for å sikre </w:t>
            </w:r>
            <w:proofErr w:type="spellStart"/>
            <w:r w:rsidRPr="00E73D4B">
              <w:t>ein</w:t>
            </w:r>
            <w:proofErr w:type="spellEnd"/>
            <w:r w:rsidRPr="00E73D4B">
              <w:t xml:space="preserve"> god oppvekst for adopterte barn</w:t>
            </w:r>
          </w:p>
        </w:tc>
        <w:tc>
          <w:tcPr>
            <w:tcW w:w="1403" w:type="dxa"/>
            <w:tcBorders>
              <w:top w:val="nil"/>
              <w:left w:val="nil"/>
              <w:right w:val="nil"/>
            </w:tcBorders>
            <w:tcMar>
              <w:top w:w="128" w:type="dxa"/>
              <w:left w:w="43" w:type="dxa"/>
              <w:bottom w:w="43" w:type="dxa"/>
              <w:right w:w="43" w:type="dxa"/>
            </w:tcMar>
          </w:tcPr>
          <w:p w14:paraId="7F1807FD" w14:textId="77777777" w:rsidR="00972395" w:rsidRPr="00E73D4B" w:rsidRDefault="00F120C7" w:rsidP="00681E28">
            <w:pPr>
              <w:jc w:val="right"/>
            </w:pPr>
            <w:r w:rsidRPr="00E73D4B">
              <w:t>Ja</w:t>
            </w:r>
          </w:p>
        </w:tc>
      </w:tr>
      <w:tr w:rsidR="00972395" w:rsidRPr="00E73D4B" w14:paraId="173C2D26" w14:textId="77777777" w:rsidTr="00681E28">
        <w:trPr>
          <w:trHeight w:val="380"/>
        </w:trPr>
        <w:tc>
          <w:tcPr>
            <w:tcW w:w="1560" w:type="dxa"/>
            <w:tcBorders>
              <w:top w:val="nil"/>
              <w:left w:val="nil"/>
              <w:bottom w:val="single" w:sz="4" w:space="0" w:color="000000"/>
              <w:right w:val="nil"/>
            </w:tcBorders>
            <w:shd w:val="clear" w:color="auto" w:fill="auto"/>
            <w:tcMar>
              <w:top w:w="128" w:type="dxa"/>
              <w:left w:w="43" w:type="dxa"/>
              <w:bottom w:w="43" w:type="dxa"/>
              <w:right w:w="43" w:type="dxa"/>
            </w:tcMar>
          </w:tcPr>
          <w:p w14:paraId="4A7FF4DA" w14:textId="77777777" w:rsidR="00972395" w:rsidRPr="00E73D4B" w:rsidRDefault="00F120C7" w:rsidP="00681E28">
            <w:r w:rsidRPr="00E73D4B">
              <w:t>2015–2016</w:t>
            </w:r>
          </w:p>
        </w:tc>
        <w:tc>
          <w:tcPr>
            <w:tcW w:w="1275" w:type="dxa"/>
            <w:tcBorders>
              <w:top w:val="nil"/>
              <w:left w:val="nil"/>
              <w:bottom w:val="single" w:sz="4" w:space="0" w:color="000000"/>
              <w:right w:val="nil"/>
            </w:tcBorders>
            <w:shd w:val="clear" w:color="auto" w:fill="auto"/>
            <w:tcMar>
              <w:top w:w="128" w:type="dxa"/>
              <w:left w:w="43" w:type="dxa"/>
              <w:bottom w:w="43" w:type="dxa"/>
              <w:right w:w="43" w:type="dxa"/>
            </w:tcMar>
          </w:tcPr>
          <w:p w14:paraId="29E12D9B" w14:textId="77777777" w:rsidR="00972395" w:rsidRPr="00E73D4B" w:rsidRDefault="00F120C7" w:rsidP="00681E28">
            <w:pPr>
              <w:jc w:val="right"/>
            </w:pPr>
            <w:r w:rsidRPr="00E73D4B">
              <w:t>745</w:t>
            </w:r>
          </w:p>
        </w:tc>
        <w:tc>
          <w:tcPr>
            <w:tcW w:w="4962" w:type="dxa"/>
            <w:tcBorders>
              <w:top w:val="nil"/>
              <w:left w:val="nil"/>
              <w:bottom w:val="single" w:sz="4" w:space="0" w:color="000000"/>
              <w:right w:val="nil"/>
            </w:tcBorders>
            <w:shd w:val="clear" w:color="auto" w:fill="auto"/>
            <w:tcMar>
              <w:top w:w="128" w:type="dxa"/>
              <w:left w:w="43" w:type="dxa"/>
              <w:bottom w:w="43" w:type="dxa"/>
              <w:right w:w="43" w:type="dxa"/>
            </w:tcMar>
          </w:tcPr>
          <w:p w14:paraId="3E9F680E" w14:textId="77777777" w:rsidR="00972395" w:rsidRPr="00E73D4B" w:rsidRDefault="00F120C7" w:rsidP="00681E28">
            <w:r w:rsidRPr="00E73D4B">
              <w:t>pålagde barnevernstiltak under svangerskap</w:t>
            </w:r>
          </w:p>
        </w:tc>
        <w:tc>
          <w:tcPr>
            <w:tcW w:w="1403" w:type="dxa"/>
            <w:tcBorders>
              <w:top w:val="nil"/>
              <w:left w:val="nil"/>
              <w:bottom w:val="single" w:sz="4" w:space="0" w:color="000000"/>
              <w:right w:val="nil"/>
            </w:tcBorders>
            <w:shd w:val="clear" w:color="auto" w:fill="auto"/>
            <w:tcMar>
              <w:top w:w="128" w:type="dxa"/>
              <w:left w:w="43" w:type="dxa"/>
              <w:bottom w:w="43" w:type="dxa"/>
              <w:right w:w="43" w:type="dxa"/>
            </w:tcMar>
          </w:tcPr>
          <w:p w14:paraId="0467A546" w14:textId="77777777" w:rsidR="00972395" w:rsidRPr="00E73D4B" w:rsidRDefault="00F120C7" w:rsidP="00681E28">
            <w:pPr>
              <w:jc w:val="right"/>
            </w:pPr>
            <w:r w:rsidRPr="00E73D4B">
              <w:t>Ja</w:t>
            </w:r>
          </w:p>
        </w:tc>
      </w:tr>
    </w:tbl>
    <w:p w14:paraId="6A6D7FA1" w14:textId="77777777" w:rsidR="00972395" w:rsidRPr="00E73D4B" w:rsidRDefault="00F120C7" w:rsidP="00681E28">
      <w:pPr>
        <w:pStyle w:val="Overskrift2"/>
        <w:numPr>
          <w:ilvl w:val="1"/>
          <w:numId w:val="29"/>
        </w:numPr>
      </w:pPr>
      <w:r w:rsidRPr="00E73D4B">
        <w:t>Stortingssesjon 2021–2022</w:t>
      </w:r>
    </w:p>
    <w:p w14:paraId="05C623A0" w14:textId="77777777" w:rsidR="00972395" w:rsidRPr="00E73D4B" w:rsidRDefault="00F120C7" w:rsidP="00E73D4B">
      <w:pPr>
        <w:pStyle w:val="avsnitt-tittel"/>
      </w:pPr>
      <w:r w:rsidRPr="00E73D4B">
        <w:t>Rapport om midlertidig lov om tilpasninger i regelverket for barnevernet og fylkesnemnda</w:t>
      </w:r>
    </w:p>
    <w:p w14:paraId="1D516654" w14:textId="77777777" w:rsidR="00972395" w:rsidRPr="00E73D4B" w:rsidRDefault="00F120C7" w:rsidP="00E73D4B">
      <w:pPr>
        <w:pStyle w:val="avsnitt-undertittel"/>
      </w:pPr>
      <w:r w:rsidRPr="00E73D4B">
        <w:t>Vedtak 244, 17. desember 2021</w:t>
      </w:r>
    </w:p>
    <w:p w14:paraId="56CF56A4" w14:textId="77777777" w:rsidR="00972395" w:rsidRPr="00E73D4B" w:rsidRDefault="00F120C7" w:rsidP="00E73D4B">
      <w:pPr>
        <w:pStyle w:val="blokksit"/>
      </w:pPr>
      <w:r w:rsidRPr="00E73D4B">
        <w:rPr>
          <w:rStyle w:val="kursiv"/>
        </w:rPr>
        <w:t xml:space="preserve">«Stortinget ber regjeringen om på egnet vis, innen utgangen av mai, rapportere til Stortinget om hvordan den midlertidige loven har blitt anvendt og hvilke erfaringer partene har med bruken av unntaksbestemmelsene, hvilke konsekvenser </w:t>
      </w:r>
      <w:proofErr w:type="gramStart"/>
      <w:r w:rsidRPr="00E73D4B">
        <w:rPr>
          <w:rStyle w:val="kursiv"/>
        </w:rPr>
        <w:t>anvendelsen</w:t>
      </w:r>
      <w:proofErr w:type="gramEnd"/>
      <w:r w:rsidRPr="00E73D4B">
        <w:rPr>
          <w:rStyle w:val="kursiv"/>
        </w:rPr>
        <w:t xml:space="preserve"> har hatt, herunder i hvilket omfang fylkesnemndene har anvendt unntaksbestemmelsene, og hvor mange barn som er flyttet til annen institusjon.»</w:t>
      </w:r>
    </w:p>
    <w:p w14:paraId="6B3BBF45"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40 L (2021–2022) </w:t>
      </w:r>
      <w:r w:rsidRPr="00E73D4B">
        <w:rPr>
          <w:rStyle w:val="kursiv"/>
        </w:rPr>
        <w:t xml:space="preserve">Midlertidig lov om </w:t>
      </w:r>
      <w:proofErr w:type="spellStart"/>
      <w:r w:rsidRPr="00E73D4B">
        <w:rPr>
          <w:rStyle w:val="kursiv"/>
        </w:rPr>
        <w:t>tilpassingar</w:t>
      </w:r>
      <w:proofErr w:type="spellEnd"/>
      <w:r w:rsidRPr="00E73D4B">
        <w:rPr>
          <w:rStyle w:val="kursiv"/>
        </w:rPr>
        <w:t xml:space="preserve"> i regelverket for barnevernet og fylkesnemnda for å avhjelpe </w:t>
      </w:r>
      <w:proofErr w:type="spellStart"/>
      <w:r w:rsidRPr="00E73D4B">
        <w:rPr>
          <w:rStyle w:val="kursiv"/>
        </w:rPr>
        <w:t>konsekvensar</w:t>
      </w:r>
      <w:proofErr w:type="spellEnd"/>
      <w:r w:rsidRPr="00E73D4B">
        <w:rPr>
          <w:rStyle w:val="kursiv"/>
        </w:rPr>
        <w:t xml:space="preserve"> av utbruddet av covid-19</w:t>
      </w:r>
      <w:r w:rsidRPr="00E73D4B">
        <w:t xml:space="preserve">, jf. </w:t>
      </w:r>
      <w:proofErr w:type="spellStart"/>
      <w:r w:rsidRPr="00E73D4B">
        <w:t>Innst</w:t>
      </w:r>
      <w:proofErr w:type="spellEnd"/>
      <w:r w:rsidRPr="00E73D4B">
        <w:t>. 84 L (2021–2022).</w:t>
      </w:r>
    </w:p>
    <w:p w14:paraId="6E25B745" w14:textId="77777777" w:rsidR="00972395" w:rsidRPr="00E73D4B" w:rsidRDefault="00F120C7" w:rsidP="00E73D4B">
      <w:r w:rsidRPr="00E73D4B">
        <w:t xml:space="preserve">Ei utgreiing til Stortinget om </w:t>
      </w:r>
      <w:proofErr w:type="spellStart"/>
      <w:r w:rsidRPr="00E73D4B">
        <w:t>erfaringar</w:t>
      </w:r>
      <w:proofErr w:type="spellEnd"/>
      <w:r w:rsidRPr="00E73D4B">
        <w:t xml:space="preserve"> med midlertidig lov om tilpasninger i regelverket for barnevernet og fylkesnemnda for å avhjelpe konsekvenser av utbruddet av covid-19 er teken inn i </w:t>
      </w:r>
      <w:proofErr w:type="spellStart"/>
      <w:r w:rsidRPr="00E73D4B">
        <w:t>Prop</w:t>
      </w:r>
      <w:proofErr w:type="spellEnd"/>
      <w:r w:rsidRPr="00E73D4B">
        <w:t xml:space="preserve">. 86 L (2021–2022) </w:t>
      </w:r>
      <w:r w:rsidRPr="00E73D4B">
        <w:rPr>
          <w:rStyle w:val="kursiv"/>
        </w:rPr>
        <w:t>Endringer i barnevernsloven mv. (krav om politiattest ved ansettelser i barne-, ungdoms- og familieetaten mv.)</w:t>
      </w:r>
      <w:r w:rsidRPr="00E73D4B">
        <w:t xml:space="preserve">. Proposisjonen er handsama av Stortinget, jf. </w:t>
      </w:r>
      <w:proofErr w:type="spellStart"/>
      <w:r w:rsidRPr="00E73D4B">
        <w:t>Innst</w:t>
      </w:r>
      <w:proofErr w:type="spellEnd"/>
      <w:r w:rsidRPr="00E73D4B">
        <w:t xml:space="preserve">. 391 L (2021–2022). Departementet </w:t>
      </w:r>
      <w:proofErr w:type="spellStart"/>
      <w:r w:rsidRPr="00E73D4B">
        <w:t>reknar</w:t>
      </w:r>
      <w:proofErr w:type="spellEnd"/>
      <w:r w:rsidRPr="00E73D4B">
        <w:t xml:space="preserve"> vedtaket som </w:t>
      </w:r>
      <w:proofErr w:type="spellStart"/>
      <w:r w:rsidRPr="00E73D4B">
        <w:t>følgt</w:t>
      </w:r>
      <w:proofErr w:type="spellEnd"/>
      <w:r w:rsidRPr="00E73D4B">
        <w:t xml:space="preserve"> opp.</w:t>
      </w:r>
    </w:p>
    <w:p w14:paraId="37F4BFFD" w14:textId="77777777" w:rsidR="00972395" w:rsidRPr="00E73D4B" w:rsidRDefault="00F120C7" w:rsidP="00E73D4B">
      <w:pPr>
        <w:pStyle w:val="avsnitt-tittel"/>
      </w:pPr>
      <w:proofErr w:type="spellStart"/>
      <w:r w:rsidRPr="00E73D4B">
        <w:t>Offentleg</w:t>
      </w:r>
      <w:proofErr w:type="spellEnd"/>
      <w:r w:rsidRPr="00E73D4B">
        <w:t xml:space="preserve"> plikt til å tilby </w:t>
      </w:r>
      <w:proofErr w:type="spellStart"/>
      <w:r w:rsidRPr="00E73D4B">
        <w:t>tverrfagleg</w:t>
      </w:r>
      <w:proofErr w:type="spellEnd"/>
      <w:r w:rsidRPr="00E73D4B">
        <w:t xml:space="preserve"> helsekartlegging</w:t>
      </w:r>
    </w:p>
    <w:p w14:paraId="4376125E" w14:textId="77777777" w:rsidR="00972395" w:rsidRPr="00E73D4B" w:rsidRDefault="00F120C7" w:rsidP="00E73D4B">
      <w:pPr>
        <w:pStyle w:val="avsnitt-undertittel"/>
      </w:pPr>
      <w:r w:rsidRPr="00E73D4B">
        <w:t>Vedtak 404, 3. mars 2022</w:t>
      </w:r>
    </w:p>
    <w:p w14:paraId="23AB889A" w14:textId="77777777" w:rsidR="00972395" w:rsidRPr="00E73D4B" w:rsidRDefault="00F120C7" w:rsidP="00E73D4B">
      <w:pPr>
        <w:pStyle w:val="blokksit"/>
      </w:pPr>
      <w:r w:rsidRPr="00E73D4B">
        <w:rPr>
          <w:rStyle w:val="kursiv"/>
        </w:rPr>
        <w:t>«Stortinget ber regjeringen utrede at det offentlige skal ha en plikt til å tilby tverrfaglig helsekartlegging når kommunen ber om dette, og raskt komme tilbake til Stortinget på egnet vis.»</w:t>
      </w:r>
    </w:p>
    <w:p w14:paraId="06A4375E"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222 L (2020–2021) </w:t>
      </w:r>
      <w:r w:rsidRPr="00E73D4B">
        <w:rPr>
          <w:rStyle w:val="kursiv"/>
        </w:rPr>
        <w:t>Endringer i barnevernloven mv. (tverrfaglig helsekartlegging)</w:t>
      </w:r>
      <w:r w:rsidRPr="00E73D4B">
        <w:t xml:space="preserve">, jf. </w:t>
      </w:r>
      <w:proofErr w:type="spellStart"/>
      <w:r w:rsidRPr="00E73D4B">
        <w:t>Innst</w:t>
      </w:r>
      <w:proofErr w:type="spellEnd"/>
      <w:r w:rsidRPr="00E73D4B">
        <w:t>. 166 L (2021–2022).</w:t>
      </w:r>
    </w:p>
    <w:p w14:paraId="64ECC632" w14:textId="77777777" w:rsidR="00972395" w:rsidRPr="00E73D4B" w:rsidRDefault="00F120C7" w:rsidP="00E73D4B">
      <w:proofErr w:type="spellStart"/>
      <w:r w:rsidRPr="00E73D4B">
        <w:t>Bufdir</w:t>
      </w:r>
      <w:proofErr w:type="spellEnd"/>
      <w:r w:rsidRPr="00E73D4B">
        <w:t xml:space="preserve"> og Helsedirektoratet har gjennomført </w:t>
      </w:r>
      <w:proofErr w:type="spellStart"/>
      <w:r w:rsidRPr="00E73D4B">
        <w:t>eit</w:t>
      </w:r>
      <w:proofErr w:type="spellEnd"/>
      <w:r w:rsidRPr="00E73D4B">
        <w:t xml:space="preserve"> prosjekt med utprøving av </w:t>
      </w:r>
      <w:proofErr w:type="spellStart"/>
      <w:r w:rsidRPr="00E73D4B">
        <w:t>tverrfagleg</w:t>
      </w:r>
      <w:proofErr w:type="spellEnd"/>
      <w:r w:rsidRPr="00E73D4B">
        <w:t xml:space="preserve"> helsekartlegging. Utprøvingsprosjektet blei ferdig i september 2022. Direktorata skal, basert på utprøvinga, levere utkast til nasjonale, </w:t>
      </w:r>
      <w:proofErr w:type="spellStart"/>
      <w:r w:rsidRPr="00E73D4B">
        <w:t>faglege</w:t>
      </w:r>
      <w:proofErr w:type="spellEnd"/>
      <w:r w:rsidRPr="00E73D4B">
        <w:t xml:space="preserve"> retningslinjer for </w:t>
      </w:r>
      <w:proofErr w:type="spellStart"/>
      <w:r w:rsidRPr="00E73D4B">
        <w:t>kartleggingane</w:t>
      </w:r>
      <w:proofErr w:type="spellEnd"/>
      <w:r w:rsidRPr="00E73D4B">
        <w:t xml:space="preserve">. Når </w:t>
      </w:r>
      <w:proofErr w:type="spellStart"/>
      <w:r w:rsidRPr="00E73D4B">
        <w:t>dei</w:t>
      </w:r>
      <w:proofErr w:type="spellEnd"/>
      <w:r w:rsidRPr="00E73D4B">
        <w:t xml:space="preserve"> </w:t>
      </w:r>
      <w:proofErr w:type="spellStart"/>
      <w:r w:rsidRPr="00E73D4B">
        <w:t>faglege</w:t>
      </w:r>
      <w:proofErr w:type="spellEnd"/>
      <w:r w:rsidRPr="00E73D4B">
        <w:t xml:space="preserve"> retningslinjene ligg føre </w:t>
      </w:r>
      <w:proofErr w:type="spellStart"/>
      <w:r w:rsidRPr="00E73D4B">
        <w:t>tidleg</w:t>
      </w:r>
      <w:proofErr w:type="spellEnd"/>
      <w:r w:rsidRPr="00E73D4B">
        <w:t xml:space="preserve"> i 2023, vil det </w:t>
      </w:r>
      <w:proofErr w:type="spellStart"/>
      <w:r w:rsidRPr="00E73D4B">
        <w:t>vere</w:t>
      </w:r>
      <w:proofErr w:type="spellEnd"/>
      <w:r w:rsidRPr="00E73D4B">
        <w:t xml:space="preserve"> </w:t>
      </w:r>
      <w:proofErr w:type="spellStart"/>
      <w:r w:rsidRPr="00E73D4B">
        <w:t>mogleg</w:t>
      </w:r>
      <w:proofErr w:type="spellEnd"/>
      <w:r w:rsidRPr="00E73D4B">
        <w:t xml:space="preserve"> å </w:t>
      </w:r>
      <w:proofErr w:type="spellStart"/>
      <w:r w:rsidRPr="00E73D4B">
        <w:t>setje</w:t>
      </w:r>
      <w:proofErr w:type="spellEnd"/>
      <w:r w:rsidRPr="00E73D4B">
        <w:t xml:space="preserve"> i gang ei utgreiing av ei </w:t>
      </w:r>
      <w:proofErr w:type="spellStart"/>
      <w:r w:rsidRPr="00E73D4B">
        <w:t>offentleg</w:t>
      </w:r>
      <w:proofErr w:type="spellEnd"/>
      <w:r w:rsidRPr="00E73D4B">
        <w:t xml:space="preserve"> plikt til å tilby </w:t>
      </w:r>
      <w:proofErr w:type="spellStart"/>
      <w:r w:rsidRPr="00E73D4B">
        <w:t>tverrfagleg</w:t>
      </w:r>
      <w:proofErr w:type="spellEnd"/>
      <w:r w:rsidRPr="00E73D4B">
        <w:t xml:space="preserve"> helsekartlegging. Departementet </w:t>
      </w:r>
      <w:proofErr w:type="spellStart"/>
      <w:r w:rsidRPr="00E73D4B">
        <w:t>understrekar</w:t>
      </w:r>
      <w:proofErr w:type="spellEnd"/>
      <w:r w:rsidRPr="00E73D4B">
        <w:t xml:space="preserve"> at ei </w:t>
      </w:r>
      <w:proofErr w:type="spellStart"/>
      <w:r w:rsidRPr="00E73D4B">
        <w:t>offentleg</w:t>
      </w:r>
      <w:proofErr w:type="spellEnd"/>
      <w:r w:rsidRPr="00E73D4B">
        <w:t xml:space="preserve"> plikt </w:t>
      </w:r>
      <w:proofErr w:type="spellStart"/>
      <w:r w:rsidRPr="00E73D4B">
        <w:t>føreset</w:t>
      </w:r>
      <w:proofErr w:type="spellEnd"/>
      <w:r w:rsidRPr="00E73D4B">
        <w:t xml:space="preserve"> at </w:t>
      </w:r>
      <w:proofErr w:type="spellStart"/>
      <w:r w:rsidRPr="00E73D4B">
        <w:t>tilbodet</w:t>
      </w:r>
      <w:proofErr w:type="spellEnd"/>
      <w:r w:rsidRPr="00E73D4B">
        <w:t xml:space="preserve"> om helsekartlegging er dimensjonert for målgruppa, som på årsbasis er på om lag 2 000 barn. </w:t>
      </w:r>
      <w:proofErr w:type="spellStart"/>
      <w:r w:rsidRPr="00E73D4B">
        <w:t>Ein</w:t>
      </w:r>
      <w:proofErr w:type="spellEnd"/>
      <w:r w:rsidRPr="00E73D4B">
        <w:t xml:space="preserve"> slik </w:t>
      </w:r>
      <w:proofErr w:type="spellStart"/>
      <w:r w:rsidRPr="00E73D4B">
        <w:t>auke</w:t>
      </w:r>
      <w:proofErr w:type="spellEnd"/>
      <w:r w:rsidRPr="00E73D4B">
        <w:t xml:space="preserve"> i kapasiteten vil ta tid å </w:t>
      </w:r>
      <w:proofErr w:type="spellStart"/>
      <w:r w:rsidRPr="00E73D4B">
        <w:t>byggje</w:t>
      </w:r>
      <w:proofErr w:type="spellEnd"/>
      <w:r w:rsidRPr="00E73D4B">
        <w:t xml:space="preserve"> opp og vil </w:t>
      </w:r>
      <w:proofErr w:type="spellStart"/>
      <w:r w:rsidRPr="00E73D4B">
        <w:t>vere</w:t>
      </w:r>
      <w:proofErr w:type="spellEnd"/>
      <w:r w:rsidRPr="00E73D4B">
        <w:t xml:space="preserve"> avhengig av både budsjetta i åra som kjem, og tilgangen på kvalifiserte fagfolk til teama. For 2023 </w:t>
      </w:r>
      <w:proofErr w:type="spellStart"/>
      <w:r w:rsidRPr="00E73D4B">
        <w:t>føreslår</w:t>
      </w:r>
      <w:proofErr w:type="spellEnd"/>
      <w:r w:rsidRPr="00E73D4B">
        <w:t xml:space="preserve"> regjeringa å løyve 21 mill. kroner til ei </w:t>
      </w:r>
      <w:proofErr w:type="spellStart"/>
      <w:r w:rsidRPr="00E73D4B">
        <w:t>ytterlegare</w:t>
      </w:r>
      <w:proofErr w:type="spellEnd"/>
      <w:r w:rsidRPr="00E73D4B">
        <w:t xml:space="preserve"> utviding av </w:t>
      </w:r>
      <w:proofErr w:type="spellStart"/>
      <w:r w:rsidRPr="00E73D4B">
        <w:t>tilbodet</w:t>
      </w:r>
      <w:proofErr w:type="spellEnd"/>
      <w:r w:rsidRPr="00E73D4B">
        <w:t xml:space="preserve">, sjå </w:t>
      </w:r>
      <w:proofErr w:type="spellStart"/>
      <w:r w:rsidRPr="00E73D4B">
        <w:t>nærare</w:t>
      </w:r>
      <w:proofErr w:type="spellEnd"/>
      <w:r w:rsidRPr="00E73D4B">
        <w:t xml:space="preserve"> omtale under programkategori 11.20. Departementet vil orientere Stortinget om den </w:t>
      </w:r>
      <w:proofErr w:type="spellStart"/>
      <w:r w:rsidRPr="00E73D4B">
        <w:t>vidare</w:t>
      </w:r>
      <w:proofErr w:type="spellEnd"/>
      <w:r w:rsidRPr="00E73D4B">
        <w:t xml:space="preserve"> oppfølginga av vedtaket på eigna vis.</w:t>
      </w:r>
    </w:p>
    <w:p w14:paraId="6A7C5D14" w14:textId="77777777" w:rsidR="00972395" w:rsidRPr="00E73D4B" w:rsidRDefault="00F120C7" w:rsidP="00E73D4B">
      <w:pPr>
        <w:pStyle w:val="avsnitt-tittel"/>
      </w:pPr>
      <w:proofErr w:type="spellStart"/>
      <w:r w:rsidRPr="00E73D4B">
        <w:t>Krisesentertilbod</w:t>
      </w:r>
      <w:proofErr w:type="spellEnd"/>
      <w:r w:rsidRPr="00E73D4B">
        <w:t xml:space="preserve"> til den samiske urbefolkninga</w:t>
      </w:r>
    </w:p>
    <w:p w14:paraId="400BBE34" w14:textId="77777777" w:rsidR="00972395" w:rsidRPr="00E73D4B" w:rsidRDefault="00F120C7" w:rsidP="00E73D4B">
      <w:pPr>
        <w:pStyle w:val="avsnitt-undertittel"/>
      </w:pPr>
      <w:r w:rsidRPr="00E73D4B">
        <w:t>Vedtak 592, 30. mai 2022</w:t>
      </w:r>
    </w:p>
    <w:p w14:paraId="1D8CA6FC" w14:textId="77777777" w:rsidR="00972395" w:rsidRPr="00E73D4B" w:rsidRDefault="00F120C7" w:rsidP="00E73D4B">
      <w:pPr>
        <w:pStyle w:val="blokksit"/>
        <w:rPr>
          <w:rStyle w:val="kursiv"/>
        </w:rPr>
      </w:pPr>
      <w:r w:rsidRPr="00E73D4B">
        <w:rPr>
          <w:rStyle w:val="kursiv"/>
        </w:rPr>
        <w:t>«Stortinget ber regjeringen se til at krisesentertilbudet til den samiske urbefolkningen bedres, og orientere Stortinget på egnet vis.»</w:t>
      </w:r>
    </w:p>
    <w:p w14:paraId="37EEE013" w14:textId="77777777" w:rsidR="00972395" w:rsidRPr="00E73D4B" w:rsidRDefault="00F120C7" w:rsidP="00E73D4B">
      <w:pPr>
        <w:pStyle w:val="blokksit"/>
      </w:pPr>
      <w:r w:rsidRPr="00E73D4B">
        <w:t xml:space="preserve">Vedtaket blei gjort i samband med handsaminga av </w:t>
      </w:r>
      <w:proofErr w:type="spellStart"/>
      <w:r w:rsidRPr="00E73D4B">
        <w:t>Dok</w:t>
      </w:r>
      <w:proofErr w:type="spellEnd"/>
      <w:r w:rsidRPr="00E73D4B">
        <w:t>. 8: 135 S (2021–2022</w:t>
      </w:r>
      <w:proofErr w:type="gramStart"/>
      <w:r w:rsidRPr="00E73D4B">
        <w:t>) ,</w:t>
      </w:r>
      <w:proofErr w:type="gramEnd"/>
      <w:r w:rsidRPr="00E73D4B">
        <w:t xml:space="preserve"> jf. </w:t>
      </w:r>
      <w:proofErr w:type="spellStart"/>
      <w:r w:rsidRPr="00E73D4B">
        <w:t>Innst</w:t>
      </w:r>
      <w:proofErr w:type="spellEnd"/>
      <w:r w:rsidRPr="00E73D4B">
        <w:t>. 339 S (2021–2022).</w:t>
      </w:r>
    </w:p>
    <w:p w14:paraId="6216FA2A" w14:textId="77777777" w:rsidR="00972395" w:rsidRPr="00E73D4B" w:rsidRDefault="00F120C7" w:rsidP="00E73D4B">
      <w:r w:rsidRPr="00E73D4B">
        <w:t xml:space="preserve">Barne-, ungdoms- og familiedirektoratet har </w:t>
      </w:r>
      <w:proofErr w:type="spellStart"/>
      <w:r w:rsidRPr="00E73D4B">
        <w:t>sidan</w:t>
      </w:r>
      <w:proofErr w:type="spellEnd"/>
      <w:r w:rsidRPr="00E73D4B">
        <w:t xml:space="preserve"> nedlegginga av </w:t>
      </w:r>
      <w:proofErr w:type="spellStart"/>
      <w:r w:rsidRPr="00E73D4B">
        <w:t>krisesentertilbodet</w:t>
      </w:r>
      <w:proofErr w:type="spellEnd"/>
      <w:r w:rsidRPr="00E73D4B">
        <w:t xml:space="preserve"> i Karasjok </w:t>
      </w:r>
      <w:proofErr w:type="spellStart"/>
      <w:r w:rsidRPr="00E73D4B">
        <w:t>vore</w:t>
      </w:r>
      <w:proofErr w:type="spellEnd"/>
      <w:r w:rsidRPr="00E73D4B">
        <w:t xml:space="preserve"> i tett dialog med Karasjok kommune for å få oppretta </w:t>
      </w:r>
      <w:proofErr w:type="spellStart"/>
      <w:r w:rsidRPr="00E73D4B">
        <w:t>tilbodet</w:t>
      </w:r>
      <w:proofErr w:type="spellEnd"/>
      <w:r w:rsidRPr="00E73D4B">
        <w:t xml:space="preserve"> på ny. Kommunen har fått </w:t>
      </w:r>
      <w:proofErr w:type="spellStart"/>
      <w:r w:rsidRPr="00E73D4B">
        <w:t>prosjektmidlar</w:t>
      </w:r>
      <w:proofErr w:type="spellEnd"/>
      <w:r w:rsidRPr="00E73D4B">
        <w:t xml:space="preserve"> </w:t>
      </w:r>
      <w:proofErr w:type="spellStart"/>
      <w:r w:rsidRPr="00E73D4B">
        <w:t>frå</w:t>
      </w:r>
      <w:proofErr w:type="spellEnd"/>
      <w:r w:rsidRPr="00E73D4B">
        <w:t xml:space="preserve"> direktoratet for å greie ut og etablere ei løysing for </w:t>
      </w:r>
      <w:proofErr w:type="spellStart"/>
      <w:r w:rsidRPr="00E73D4B">
        <w:t>eit</w:t>
      </w:r>
      <w:proofErr w:type="spellEnd"/>
      <w:r w:rsidRPr="00E73D4B">
        <w:t xml:space="preserve"> varig krise- og </w:t>
      </w:r>
      <w:proofErr w:type="spellStart"/>
      <w:r w:rsidRPr="00E73D4B">
        <w:t>incestsentertilbod</w:t>
      </w:r>
      <w:proofErr w:type="spellEnd"/>
      <w:r w:rsidRPr="00E73D4B">
        <w:t xml:space="preserve"> tilpassa den samiske befolkninga. Det har òg </w:t>
      </w:r>
      <w:proofErr w:type="spellStart"/>
      <w:r w:rsidRPr="00E73D4B">
        <w:t>vore</w:t>
      </w:r>
      <w:proofErr w:type="spellEnd"/>
      <w:r w:rsidRPr="00E73D4B">
        <w:t xml:space="preserve"> møte mellom Barne- og familiedepartementet og Kommunal- og </w:t>
      </w:r>
      <w:proofErr w:type="spellStart"/>
      <w:r w:rsidRPr="00E73D4B">
        <w:t>distriktsdepartementet</w:t>
      </w:r>
      <w:proofErr w:type="spellEnd"/>
      <w:r w:rsidRPr="00E73D4B">
        <w:t xml:space="preserve"> og </w:t>
      </w:r>
      <w:proofErr w:type="spellStart"/>
      <w:r w:rsidRPr="00E73D4B">
        <w:t>kommunane</w:t>
      </w:r>
      <w:proofErr w:type="spellEnd"/>
      <w:r w:rsidRPr="00E73D4B">
        <w:t xml:space="preserve"> i det samiske </w:t>
      </w:r>
      <w:proofErr w:type="spellStart"/>
      <w:r w:rsidRPr="00E73D4B">
        <w:t>forvaltingsområdet</w:t>
      </w:r>
      <w:proofErr w:type="spellEnd"/>
      <w:r w:rsidRPr="00E73D4B">
        <w:t xml:space="preserve">, </w:t>
      </w:r>
      <w:proofErr w:type="spellStart"/>
      <w:r w:rsidRPr="00E73D4B">
        <w:t>Statsforvaltaren</w:t>
      </w:r>
      <w:proofErr w:type="spellEnd"/>
      <w:r w:rsidRPr="00E73D4B">
        <w:t xml:space="preserve"> i Troms og Finnmark, Nasjonalt samisk kompetansesenter for kommunalt og </w:t>
      </w:r>
      <w:proofErr w:type="spellStart"/>
      <w:r w:rsidRPr="00E73D4B">
        <w:t>statleg</w:t>
      </w:r>
      <w:proofErr w:type="spellEnd"/>
      <w:r w:rsidRPr="00E73D4B">
        <w:t xml:space="preserve"> barnevern, familievern og </w:t>
      </w:r>
      <w:proofErr w:type="spellStart"/>
      <w:r w:rsidRPr="00E73D4B">
        <w:t>krisesentertilbod</w:t>
      </w:r>
      <w:proofErr w:type="spellEnd"/>
      <w:r w:rsidRPr="00E73D4B">
        <w:t xml:space="preserve"> og Sametinget i april i år for å </w:t>
      </w:r>
      <w:proofErr w:type="spellStart"/>
      <w:r w:rsidRPr="00E73D4B">
        <w:t>kartleggje</w:t>
      </w:r>
      <w:proofErr w:type="spellEnd"/>
      <w:r w:rsidRPr="00E73D4B">
        <w:t xml:space="preserve"> </w:t>
      </w:r>
      <w:proofErr w:type="spellStart"/>
      <w:r w:rsidRPr="00E73D4B">
        <w:t>utfordringar</w:t>
      </w:r>
      <w:proofErr w:type="spellEnd"/>
      <w:r w:rsidRPr="00E73D4B">
        <w:t xml:space="preserve"> og drøfte </w:t>
      </w:r>
      <w:proofErr w:type="spellStart"/>
      <w:r w:rsidRPr="00E73D4B">
        <w:t>løysingar</w:t>
      </w:r>
      <w:proofErr w:type="spellEnd"/>
      <w:r w:rsidRPr="00E73D4B">
        <w:t>.</w:t>
      </w:r>
    </w:p>
    <w:p w14:paraId="2687FF1E" w14:textId="77777777" w:rsidR="00972395" w:rsidRPr="00E73D4B" w:rsidRDefault="00F120C7" w:rsidP="00E73D4B">
      <w:r w:rsidRPr="00E73D4B">
        <w:t xml:space="preserve">Karasjok kommune har gitt KPMG i oppdrag å greie ut ei løysing. KPMG skal levere </w:t>
      </w:r>
      <w:proofErr w:type="spellStart"/>
      <w:r w:rsidRPr="00E73D4B">
        <w:t>ein</w:t>
      </w:r>
      <w:proofErr w:type="spellEnd"/>
      <w:r w:rsidRPr="00E73D4B">
        <w:t xml:space="preserve"> rapport med forslag til </w:t>
      </w:r>
      <w:proofErr w:type="spellStart"/>
      <w:r w:rsidRPr="00E73D4B">
        <w:t>løysingar</w:t>
      </w:r>
      <w:proofErr w:type="spellEnd"/>
      <w:r w:rsidRPr="00E73D4B">
        <w:t xml:space="preserve"> </w:t>
      </w:r>
      <w:proofErr w:type="spellStart"/>
      <w:r w:rsidRPr="00E73D4B">
        <w:t>hausten</w:t>
      </w:r>
      <w:proofErr w:type="spellEnd"/>
      <w:r w:rsidRPr="00E73D4B">
        <w:t xml:space="preserve"> 2022. Målet er å etablere </w:t>
      </w:r>
      <w:proofErr w:type="spellStart"/>
      <w:r w:rsidRPr="00E73D4B">
        <w:t>eit</w:t>
      </w:r>
      <w:proofErr w:type="spellEnd"/>
      <w:r w:rsidRPr="00E73D4B">
        <w:t xml:space="preserve"> </w:t>
      </w:r>
      <w:proofErr w:type="spellStart"/>
      <w:r w:rsidRPr="00E73D4B">
        <w:t>tilbod</w:t>
      </w:r>
      <w:proofErr w:type="spellEnd"/>
      <w:r w:rsidRPr="00E73D4B">
        <w:t xml:space="preserve"> fyrste halvåret 2023. Departementet vil orientere Stortinget om den </w:t>
      </w:r>
      <w:proofErr w:type="spellStart"/>
      <w:r w:rsidRPr="00E73D4B">
        <w:t>vidare</w:t>
      </w:r>
      <w:proofErr w:type="spellEnd"/>
      <w:r w:rsidRPr="00E73D4B">
        <w:t xml:space="preserve"> oppfølginga av vedtaket på eigna vis.</w:t>
      </w:r>
    </w:p>
    <w:p w14:paraId="4A52DDEA" w14:textId="77777777" w:rsidR="00972395" w:rsidRPr="00E73D4B" w:rsidRDefault="00F120C7" w:rsidP="00E73D4B">
      <w:pPr>
        <w:pStyle w:val="avsnitt-tittel"/>
      </w:pPr>
      <w:r w:rsidRPr="00E73D4B">
        <w:t>Utvide ordninga for gjeldsinformasjon («gjeldsregister»)</w:t>
      </w:r>
    </w:p>
    <w:p w14:paraId="681846CD" w14:textId="77777777" w:rsidR="00972395" w:rsidRPr="00E73D4B" w:rsidRDefault="00F120C7" w:rsidP="00E73D4B">
      <w:pPr>
        <w:pStyle w:val="avsnitt-undertittel"/>
      </w:pPr>
      <w:r w:rsidRPr="00E73D4B">
        <w:t>Vedtak 620, 31. mai 2022</w:t>
      </w:r>
    </w:p>
    <w:p w14:paraId="06611CCA" w14:textId="77777777" w:rsidR="00972395" w:rsidRPr="00E73D4B" w:rsidRDefault="00F120C7" w:rsidP="00E73D4B">
      <w:pPr>
        <w:pStyle w:val="blokksit"/>
        <w:rPr>
          <w:rStyle w:val="kursiv"/>
        </w:rPr>
      </w:pPr>
      <w:r w:rsidRPr="00E73D4B">
        <w:rPr>
          <w:rStyle w:val="kursiv"/>
        </w:rPr>
        <w:t>«Stortinget ber regjeringen utvide Gjeldsregisteret slik at det inneholder alle typer gjeld, både med og uten sikkerhet. Regjeringen må samtidig gjøre grundige utredninger som sikrer personvernet, og vurdere om enkelte typer gjeld av den grunn ikke skal innlemmes.»</w:t>
      </w:r>
    </w:p>
    <w:p w14:paraId="569A1D97"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å ta sosialt ansvar og hjelpe folk med gjeldsproblem gjennom ei styrking og utviding av gjeldsregisteret, jf. </w:t>
      </w:r>
      <w:proofErr w:type="spellStart"/>
      <w:r w:rsidRPr="00E73D4B">
        <w:t>Dok</w:t>
      </w:r>
      <w:proofErr w:type="spellEnd"/>
      <w:r w:rsidRPr="00E73D4B">
        <w:t xml:space="preserve">. 8:203 S (2021–2022), jf. </w:t>
      </w:r>
      <w:proofErr w:type="spellStart"/>
      <w:r w:rsidRPr="00E73D4B">
        <w:t>Innst</w:t>
      </w:r>
      <w:proofErr w:type="spellEnd"/>
      <w:r w:rsidRPr="00E73D4B">
        <w:t>. 361 S (2021–2022).</w:t>
      </w:r>
    </w:p>
    <w:p w14:paraId="716E0A23" w14:textId="77777777" w:rsidR="00972395" w:rsidRPr="00E73D4B" w:rsidRDefault="00F120C7" w:rsidP="00E73D4B">
      <w:r w:rsidRPr="00E73D4B">
        <w:t xml:space="preserve">Departementet sende ei sak om å utvide ordninga for gjeldsinformasjon med ulike former for pantesikra gjeld (mellom anna bustad- og bilgjeld) på </w:t>
      </w:r>
      <w:proofErr w:type="spellStart"/>
      <w:r w:rsidRPr="00E73D4B">
        <w:t>høyring</w:t>
      </w:r>
      <w:proofErr w:type="spellEnd"/>
      <w:r w:rsidRPr="00E73D4B">
        <w:t xml:space="preserve"> </w:t>
      </w:r>
      <w:proofErr w:type="spellStart"/>
      <w:r w:rsidRPr="00E73D4B">
        <w:t>sommaren</w:t>
      </w:r>
      <w:proofErr w:type="spellEnd"/>
      <w:r w:rsidRPr="00E73D4B">
        <w:t xml:space="preserve"> 2022. Ei slik endring kan </w:t>
      </w:r>
      <w:proofErr w:type="spellStart"/>
      <w:r w:rsidRPr="00E73D4B">
        <w:t>gjerast</w:t>
      </w:r>
      <w:proofErr w:type="spellEnd"/>
      <w:r w:rsidRPr="00E73D4B">
        <w:t xml:space="preserve"> i forskrift. Ei forskriftsendring kan </w:t>
      </w:r>
      <w:proofErr w:type="spellStart"/>
      <w:r w:rsidRPr="00E73D4B">
        <w:t>tidlegast</w:t>
      </w:r>
      <w:proofErr w:type="spellEnd"/>
      <w:r w:rsidRPr="00E73D4B">
        <w:t xml:space="preserve"> ta til å gjelde i 2023. Departementet vil </w:t>
      </w:r>
      <w:proofErr w:type="spellStart"/>
      <w:r w:rsidRPr="00E73D4B">
        <w:t>seinare</w:t>
      </w:r>
      <w:proofErr w:type="spellEnd"/>
      <w:r w:rsidRPr="00E73D4B">
        <w:t xml:space="preserve"> komme tilbake med ei ny sak om </w:t>
      </w:r>
      <w:proofErr w:type="spellStart"/>
      <w:r w:rsidRPr="00E73D4B">
        <w:t>ytterlegare</w:t>
      </w:r>
      <w:proofErr w:type="spellEnd"/>
      <w:r w:rsidRPr="00E73D4B">
        <w:t xml:space="preserve"> utviding av gjeldsinformasjonsordninga med anna gjeld. Dette krev ei lovendring og vil på </w:t>
      </w:r>
      <w:proofErr w:type="spellStart"/>
      <w:r w:rsidRPr="00E73D4B">
        <w:t>vanleg</w:t>
      </w:r>
      <w:proofErr w:type="spellEnd"/>
      <w:r w:rsidRPr="00E73D4B">
        <w:t xml:space="preserve"> måte bli lagd fram for Stortinget i form av </w:t>
      </w:r>
      <w:proofErr w:type="spellStart"/>
      <w:r w:rsidRPr="00E73D4B">
        <w:t>ein</w:t>
      </w:r>
      <w:proofErr w:type="spellEnd"/>
      <w:r w:rsidRPr="00E73D4B">
        <w:t xml:space="preserve"> lovproposisjon.</w:t>
      </w:r>
    </w:p>
    <w:p w14:paraId="2587CA37" w14:textId="77777777" w:rsidR="00972395" w:rsidRPr="00E73D4B" w:rsidRDefault="00F120C7" w:rsidP="00E73D4B">
      <w:pPr>
        <w:pStyle w:val="Overskrift2"/>
      </w:pPr>
      <w:r w:rsidRPr="00E73D4B">
        <w:t>Stortingssesjon 2020–2021</w:t>
      </w:r>
    </w:p>
    <w:p w14:paraId="6565703A" w14:textId="77777777" w:rsidR="00972395" w:rsidRPr="00E73D4B" w:rsidRDefault="00F120C7" w:rsidP="00E73D4B">
      <w:pPr>
        <w:pStyle w:val="avsnitt-tittel"/>
      </w:pPr>
      <w:proofErr w:type="spellStart"/>
      <w:r w:rsidRPr="00E73D4B">
        <w:t>Forbod</w:t>
      </w:r>
      <w:proofErr w:type="spellEnd"/>
      <w:r w:rsidRPr="00E73D4B">
        <w:t xml:space="preserve"> mot </w:t>
      </w:r>
      <w:proofErr w:type="spellStart"/>
      <w:r w:rsidRPr="00E73D4B">
        <w:t>søskenbarnekteskap</w:t>
      </w:r>
      <w:proofErr w:type="spellEnd"/>
    </w:p>
    <w:p w14:paraId="7F8F4F83" w14:textId="77777777" w:rsidR="00972395" w:rsidRPr="00E73D4B" w:rsidRDefault="00F120C7" w:rsidP="00E73D4B">
      <w:pPr>
        <w:pStyle w:val="avsnitt-undertittel"/>
      </w:pPr>
      <w:r w:rsidRPr="00E73D4B">
        <w:t>Vedtak 48, 3. november 2020</w:t>
      </w:r>
    </w:p>
    <w:p w14:paraId="37EA4AC1" w14:textId="77777777" w:rsidR="00972395" w:rsidRPr="00E73D4B" w:rsidRDefault="00F120C7" w:rsidP="00E73D4B">
      <w:pPr>
        <w:pStyle w:val="blokksit"/>
        <w:rPr>
          <w:rStyle w:val="kursiv"/>
        </w:rPr>
      </w:pPr>
      <w:r w:rsidRPr="00E73D4B">
        <w:rPr>
          <w:rStyle w:val="kursiv"/>
        </w:rPr>
        <w:t xml:space="preserve">«Stortinget ber regjeringen legge frem et lovforslag om å forby </w:t>
      </w:r>
      <w:proofErr w:type="spellStart"/>
      <w:r w:rsidRPr="00E73D4B">
        <w:rPr>
          <w:rStyle w:val="kursiv"/>
        </w:rPr>
        <w:t>søskenbarnekteskap</w:t>
      </w:r>
      <w:proofErr w:type="spellEnd"/>
      <w:r w:rsidRPr="00E73D4B">
        <w:rPr>
          <w:rStyle w:val="kursiv"/>
        </w:rPr>
        <w:t>.»</w:t>
      </w:r>
    </w:p>
    <w:p w14:paraId="324292D3"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66 L (2019–2020) </w:t>
      </w:r>
      <w:r w:rsidRPr="00E73D4B">
        <w:rPr>
          <w:rStyle w:val="kursiv"/>
        </w:rPr>
        <w:t>Endringer i straffeloven mv. (avvergingsplikt, utenomrettslig tvangsekteskap, diskrimineringsvern, skyting mot politiet mv.)</w:t>
      </w:r>
      <w:r w:rsidRPr="00E73D4B">
        <w:t xml:space="preserve">, jf. </w:t>
      </w:r>
      <w:proofErr w:type="spellStart"/>
      <w:r w:rsidRPr="00E73D4B">
        <w:t>Innst</w:t>
      </w:r>
      <w:proofErr w:type="spellEnd"/>
      <w:r w:rsidRPr="00E73D4B">
        <w:t>. 41 L (2020–2021) og Lovvedtak 13 (2020–2021).</w:t>
      </w:r>
    </w:p>
    <w:p w14:paraId="3F0771C8" w14:textId="77777777" w:rsidR="00972395" w:rsidRPr="00E73D4B" w:rsidRDefault="00F120C7" w:rsidP="00E73D4B">
      <w:r w:rsidRPr="00E73D4B">
        <w:t xml:space="preserve">Barne- og familiedepartementet vurderte at det i samband med oppfølginga av oppmodingsvedtaket er </w:t>
      </w:r>
      <w:proofErr w:type="spellStart"/>
      <w:r w:rsidRPr="00E73D4B">
        <w:t>naudsynt</w:t>
      </w:r>
      <w:proofErr w:type="spellEnd"/>
      <w:r w:rsidRPr="00E73D4B">
        <w:t xml:space="preserve"> å vurdere </w:t>
      </w:r>
      <w:proofErr w:type="spellStart"/>
      <w:r w:rsidRPr="00E73D4B">
        <w:t>dei</w:t>
      </w:r>
      <w:proofErr w:type="spellEnd"/>
      <w:r w:rsidRPr="00E73D4B">
        <w:t xml:space="preserve"> menneskerettslege </w:t>
      </w:r>
      <w:proofErr w:type="spellStart"/>
      <w:r w:rsidRPr="00E73D4B">
        <w:t>implikasjonane</w:t>
      </w:r>
      <w:proofErr w:type="spellEnd"/>
      <w:r w:rsidRPr="00E73D4B">
        <w:t xml:space="preserve"> av </w:t>
      </w:r>
      <w:proofErr w:type="spellStart"/>
      <w:r w:rsidRPr="00E73D4B">
        <w:t>eit</w:t>
      </w:r>
      <w:proofErr w:type="spellEnd"/>
      <w:r w:rsidRPr="00E73D4B">
        <w:t xml:space="preserve"> </w:t>
      </w:r>
      <w:proofErr w:type="spellStart"/>
      <w:r w:rsidRPr="00E73D4B">
        <w:t>forbod</w:t>
      </w:r>
      <w:proofErr w:type="spellEnd"/>
      <w:r w:rsidRPr="00E73D4B">
        <w:t xml:space="preserve"> før det blir gjort </w:t>
      </w:r>
      <w:proofErr w:type="spellStart"/>
      <w:r w:rsidRPr="00E73D4B">
        <w:t>vidare</w:t>
      </w:r>
      <w:proofErr w:type="spellEnd"/>
      <w:r w:rsidRPr="00E73D4B">
        <w:t xml:space="preserve"> </w:t>
      </w:r>
      <w:proofErr w:type="spellStart"/>
      <w:r w:rsidRPr="00E73D4B">
        <w:t>utgreiingar</w:t>
      </w:r>
      <w:proofErr w:type="spellEnd"/>
      <w:r w:rsidRPr="00E73D4B">
        <w:t xml:space="preserve">. Barne- og familiedepartementet bad derfor Norges institusjon for menneskerettigheter (NIM) om å greie ut det menneskerettslege handlingsrommet som </w:t>
      </w:r>
      <w:proofErr w:type="spellStart"/>
      <w:r w:rsidRPr="00E73D4B">
        <w:t>gjeld</w:t>
      </w:r>
      <w:proofErr w:type="spellEnd"/>
      <w:r w:rsidRPr="00E73D4B">
        <w:t xml:space="preserve"> for det </w:t>
      </w:r>
      <w:proofErr w:type="spellStart"/>
      <w:r w:rsidRPr="00E73D4B">
        <w:t>vidare</w:t>
      </w:r>
      <w:proofErr w:type="spellEnd"/>
      <w:r w:rsidRPr="00E73D4B">
        <w:t xml:space="preserve"> arbeidet med oppfølginga av vedtaket. NIM leverte ei utgreiing 8. april 2022, som departementet vil </w:t>
      </w:r>
      <w:proofErr w:type="spellStart"/>
      <w:r w:rsidRPr="00E73D4B">
        <w:t>leggje</w:t>
      </w:r>
      <w:proofErr w:type="spellEnd"/>
      <w:r w:rsidRPr="00E73D4B">
        <w:t xml:space="preserve"> til grunn i det </w:t>
      </w:r>
      <w:proofErr w:type="spellStart"/>
      <w:r w:rsidRPr="00E73D4B">
        <w:t>vidare</w:t>
      </w:r>
      <w:proofErr w:type="spellEnd"/>
      <w:r w:rsidRPr="00E73D4B">
        <w:t xml:space="preserve"> arbeidet. Departementet vil orientere Stortinget om den </w:t>
      </w:r>
      <w:proofErr w:type="spellStart"/>
      <w:r w:rsidRPr="00E73D4B">
        <w:t>vidare</w:t>
      </w:r>
      <w:proofErr w:type="spellEnd"/>
      <w:r w:rsidRPr="00E73D4B">
        <w:t xml:space="preserve"> oppfølginga av vedtaket på eigna vis.</w:t>
      </w:r>
    </w:p>
    <w:p w14:paraId="1BA4EA4A" w14:textId="77777777" w:rsidR="00972395" w:rsidRPr="00E73D4B" w:rsidRDefault="00F120C7" w:rsidP="00E73D4B">
      <w:pPr>
        <w:pStyle w:val="avsnitt-tittel"/>
      </w:pPr>
      <w:r w:rsidRPr="00E73D4B">
        <w:t xml:space="preserve">§ 6 andre ledd i </w:t>
      </w:r>
      <w:proofErr w:type="spellStart"/>
      <w:r w:rsidRPr="00E73D4B">
        <w:t>trussamfunnslova</w:t>
      </w:r>
      <w:proofErr w:type="spellEnd"/>
    </w:p>
    <w:p w14:paraId="20BCCA30" w14:textId="77777777" w:rsidR="00972395" w:rsidRPr="00E73D4B" w:rsidRDefault="00F120C7" w:rsidP="00E73D4B">
      <w:pPr>
        <w:pStyle w:val="avsnitt-undertittel"/>
      </w:pPr>
      <w:r w:rsidRPr="00E73D4B">
        <w:t>Vedtak 396, 17. desember 2020</w:t>
      </w:r>
    </w:p>
    <w:p w14:paraId="05A55AD9" w14:textId="77777777" w:rsidR="00972395" w:rsidRPr="00E73D4B" w:rsidRDefault="00F120C7" w:rsidP="00E73D4B">
      <w:pPr>
        <w:pStyle w:val="blokksit"/>
        <w:rPr>
          <w:rStyle w:val="kursiv"/>
        </w:rPr>
      </w:pPr>
      <w:r w:rsidRPr="00E73D4B">
        <w:rPr>
          <w:rStyle w:val="kursiv"/>
        </w:rPr>
        <w:t>«Stortinget ber regjeringen sørge for at trossamfunnsloven § 6 andre ledd trer i kraft snarest og senest 1. april 2021.»</w:t>
      </w:r>
    </w:p>
    <w:p w14:paraId="339AEE48"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1 S (2020–2021) for Barne- og familiedepartementet, jf. </w:t>
      </w:r>
      <w:proofErr w:type="spellStart"/>
      <w:r w:rsidRPr="00E73D4B">
        <w:t>Innst</w:t>
      </w:r>
      <w:proofErr w:type="spellEnd"/>
      <w:r w:rsidRPr="00E73D4B">
        <w:t>. 14 S (2020–2021).</w:t>
      </w:r>
    </w:p>
    <w:p w14:paraId="59B40384" w14:textId="77777777" w:rsidR="00972395" w:rsidRPr="00E73D4B" w:rsidRDefault="00F120C7" w:rsidP="00E73D4B">
      <w:r w:rsidRPr="00E73D4B">
        <w:t xml:space="preserve">Det har </w:t>
      </w:r>
      <w:proofErr w:type="spellStart"/>
      <w:r w:rsidRPr="00E73D4B">
        <w:t>vore</w:t>
      </w:r>
      <w:proofErr w:type="spellEnd"/>
      <w:r w:rsidRPr="00E73D4B">
        <w:t xml:space="preserve"> </w:t>
      </w:r>
      <w:proofErr w:type="spellStart"/>
      <w:r w:rsidRPr="00E73D4B">
        <w:t>naudsynt</w:t>
      </w:r>
      <w:proofErr w:type="spellEnd"/>
      <w:r w:rsidRPr="00E73D4B">
        <w:t xml:space="preserve"> med ei større utgreiing og </w:t>
      </w:r>
      <w:proofErr w:type="spellStart"/>
      <w:r w:rsidRPr="00E73D4B">
        <w:t>høyring</w:t>
      </w:r>
      <w:proofErr w:type="spellEnd"/>
      <w:r w:rsidRPr="00E73D4B">
        <w:t xml:space="preserve">, </w:t>
      </w:r>
      <w:proofErr w:type="spellStart"/>
      <w:r w:rsidRPr="00E73D4B">
        <w:t>noko</w:t>
      </w:r>
      <w:proofErr w:type="spellEnd"/>
      <w:r w:rsidRPr="00E73D4B">
        <w:t xml:space="preserve"> som gjorde at det </w:t>
      </w:r>
      <w:proofErr w:type="spellStart"/>
      <w:r w:rsidRPr="00E73D4B">
        <w:t>ikkje</w:t>
      </w:r>
      <w:proofErr w:type="spellEnd"/>
      <w:r w:rsidRPr="00E73D4B">
        <w:t xml:space="preserve"> var </w:t>
      </w:r>
      <w:proofErr w:type="spellStart"/>
      <w:r w:rsidRPr="00E73D4B">
        <w:t>mogleg</w:t>
      </w:r>
      <w:proofErr w:type="spellEnd"/>
      <w:r w:rsidRPr="00E73D4B">
        <w:t xml:space="preserve"> å </w:t>
      </w:r>
      <w:proofErr w:type="spellStart"/>
      <w:r w:rsidRPr="00E73D4B">
        <w:t>setje</w:t>
      </w:r>
      <w:proofErr w:type="spellEnd"/>
      <w:r w:rsidRPr="00E73D4B">
        <w:t xml:space="preserve"> </w:t>
      </w:r>
      <w:proofErr w:type="spellStart"/>
      <w:r w:rsidRPr="00E73D4B">
        <w:t>trussamfunnslova</w:t>
      </w:r>
      <w:proofErr w:type="spellEnd"/>
      <w:r w:rsidRPr="00E73D4B">
        <w:t xml:space="preserve"> § 6 andre ledd i kraft </w:t>
      </w:r>
      <w:proofErr w:type="spellStart"/>
      <w:r w:rsidRPr="00E73D4B">
        <w:t>innan</w:t>
      </w:r>
      <w:proofErr w:type="spellEnd"/>
      <w:r w:rsidRPr="00E73D4B">
        <w:t xml:space="preserve"> 1. april 2021. </w:t>
      </w:r>
      <w:proofErr w:type="spellStart"/>
      <w:r w:rsidRPr="00E73D4B">
        <w:t>Trussamfunnslova</w:t>
      </w:r>
      <w:proofErr w:type="spellEnd"/>
      <w:r w:rsidRPr="00E73D4B">
        <w:t xml:space="preserve"> § 6 andre ledd tok til å gjelde 1. januar 2022. Departementet </w:t>
      </w:r>
      <w:proofErr w:type="spellStart"/>
      <w:r w:rsidRPr="00E73D4B">
        <w:t>reknar</w:t>
      </w:r>
      <w:proofErr w:type="spellEnd"/>
      <w:r w:rsidRPr="00E73D4B">
        <w:t xml:space="preserve"> vedtaket som </w:t>
      </w:r>
      <w:proofErr w:type="spellStart"/>
      <w:r w:rsidRPr="00E73D4B">
        <w:t>følgt</w:t>
      </w:r>
      <w:proofErr w:type="spellEnd"/>
      <w:r w:rsidRPr="00E73D4B">
        <w:t xml:space="preserve"> opp.</w:t>
      </w:r>
    </w:p>
    <w:p w14:paraId="69F7C41B" w14:textId="77777777" w:rsidR="00972395" w:rsidRPr="00E73D4B" w:rsidRDefault="00F120C7" w:rsidP="00E73D4B">
      <w:pPr>
        <w:pStyle w:val="avsnitt-tittel"/>
      </w:pPr>
      <w:r w:rsidRPr="00E73D4B">
        <w:t xml:space="preserve">Involvere foreldre når barn </w:t>
      </w:r>
      <w:proofErr w:type="spellStart"/>
      <w:r w:rsidRPr="00E73D4B">
        <w:t>gjer</w:t>
      </w:r>
      <w:proofErr w:type="spellEnd"/>
      <w:r w:rsidRPr="00E73D4B">
        <w:t xml:space="preserve"> </w:t>
      </w:r>
      <w:proofErr w:type="spellStart"/>
      <w:r w:rsidRPr="00E73D4B">
        <w:t>lovbrot</w:t>
      </w:r>
      <w:proofErr w:type="spellEnd"/>
    </w:p>
    <w:p w14:paraId="612B21E3" w14:textId="77777777" w:rsidR="00972395" w:rsidRPr="00E73D4B" w:rsidRDefault="00F120C7" w:rsidP="00E73D4B">
      <w:pPr>
        <w:pStyle w:val="avsnitt-undertittel"/>
      </w:pPr>
      <w:r w:rsidRPr="00E73D4B">
        <w:t>Vedtak 445, 18. desember 2020</w:t>
      </w:r>
    </w:p>
    <w:p w14:paraId="4EBFF8C0" w14:textId="77777777" w:rsidR="00972395" w:rsidRPr="00E73D4B" w:rsidRDefault="00F120C7" w:rsidP="00E73D4B">
      <w:pPr>
        <w:pStyle w:val="blokksit"/>
        <w:rPr>
          <w:rStyle w:val="kursiv"/>
        </w:rPr>
      </w:pPr>
      <w:r w:rsidRPr="00E73D4B">
        <w:rPr>
          <w:rStyle w:val="kursiv"/>
        </w:rPr>
        <w:t xml:space="preserve">«Stortinget ber regjeringen vurdere hvordan foreldre i større grad kan involveres og </w:t>
      </w:r>
      <w:proofErr w:type="spellStart"/>
      <w:r w:rsidRPr="00E73D4B">
        <w:rPr>
          <w:rStyle w:val="kursiv"/>
        </w:rPr>
        <w:t>ansvarliggjøres</w:t>
      </w:r>
      <w:proofErr w:type="spellEnd"/>
      <w:r w:rsidRPr="00E73D4B">
        <w:rPr>
          <w:rStyle w:val="kursiv"/>
        </w:rPr>
        <w:t xml:space="preserve"> for gjentatte lovbrudd som er begått av deres barn som er under den kriminelle lavalder, og fremme forslag om dette.»</w:t>
      </w:r>
    </w:p>
    <w:p w14:paraId="35B6BE2F"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tiltak mot ungdoms- og gjengkriminalitet, jf. </w:t>
      </w:r>
      <w:proofErr w:type="spellStart"/>
      <w:r w:rsidRPr="00E73D4B">
        <w:t>Dok</w:t>
      </w:r>
      <w:proofErr w:type="spellEnd"/>
      <w:r w:rsidRPr="00E73D4B">
        <w:t xml:space="preserve">. 8:115 S (2019–2020) og </w:t>
      </w:r>
      <w:proofErr w:type="spellStart"/>
      <w:r w:rsidRPr="00E73D4B">
        <w:t>Innst</w:t>
      </w:r>
      <w:proofErr w:type="spellEnd"/>
      <w:r w:rsidRPr="00E73D4B">
        <w:t>. 147 S (2020–2021).</w:t>
      </w:r>
    </w:p>
    <w:p w14:paraId="3EAAE226" w14:textId="77777777" w:rsidR="00972395" w:rsidRPr="00E73D4B" w:rsidRDefault="00F120C7" w:rsidP="00E73D4B">
      <w:r w:rsidRPr="00E73D4B">
        <w:t xml:space="preserve">Barnevernet kan </w:t>
      </w:r>
      <w:proofErr w:type="spellStart"/>
      <w:r w:rsidRPr="00E73D4B">
        <w:t>vere</w:t>
      </w:r>
      <w:proofErr w:type="spellEnd"/>
      <w:r w:rsidRPr="00E73D4B">
        <w:t xml:space="preserve"> </w:t>
      </w:r>
      <w:proofErr w:type="spellStart"/>
      <w:r w:rsidRPr="00E73D4B">
        <w:t>ein</w:t>
      </w:r>
      <w:proofErr w:type="spellEnd"/>
      <w:r w:rsidRPr="00E73D4B">
        <w:t xml:space="preserve"> viktig </w:t>
      </w:r>
      <w:proofErr w:type="spellStart"/>
      <w:r w:rsidRPr="00E73D4B">
        <w:t>bidragsytar</w:t>
      </w:r>
      <w:proofErr w:type="spellEnd"/>
      <w:r w:rsidRPr="00E73D4B">
        <w:t xml:space="preserve"> for å involvere og hjelpe foreldre til barn som </w:t>
      </w:r>
      <w:proofErr w:type="spellStart"/>
      <w:r w:rsidRPr="00E73D4B">
        <w:t>gjentekne</w:t>
      </w:r>
      <w:proofErr w:type="spellEnd"/>
      <w:r w:rsidRPr="00E73D4B">
        <w:t xml:space="preserve"> gonger bryt lova. Oppfølging av vedtaket fordrar </w:t>
      </w:r>
      <w:proofErr w:type="spellStart"/>
      <w:r w:rsidRPr="00E73D4B">
        <w:t>vurderingar</w:t>
      </w:r>
      <w:proofErr w:type="spellEnd"/>
      <w:r w:rsidRPr="00E73D4B">
        <w:t xml:space="preserve"> med utgangspunkt i både justissektoren og barnevernet. Departementet har gitt </w:t>
      </w:r>
      <w:proofErr w:type="spellStart"/>
      <w:r w:rsidRPr="00E73D4B">
        <w:t>Bufdir</w:t>
      </w:r>
      <w:proofErr w:type="spellEnd"/>
      <w:r w:rsidRPr="00E73D4B">
        <w:t xml:space="preserve"> i oppdrag å greie ut korleis vedtaket kan bli </w:t>
      </w:r>
      <w:proofErr w:type="spellStart"/>
      <w:r w:rsidRPr="00E73D4B">
        <w:t>følgt</w:t>
      </w:r>
      <w:proofErr w:type="spellEnd"/>
      <w:r w:rsidRPr="00E73D4B">
        <w:t xml:space="preserve"> opp best </w:t>
      </w:r>
      <w:proofErr w:type="spellStart"/>
      <w:r w:rsidRPr="00E73D4B">
        <w:t>mogleg</w:t>
      </w:r>
      <w:proofErr w:type="spellEnd"/>
      <w:r w:rsidRPr="00E73D4B">
        <w:t xml:space="preserve">. Utgreiinga skal skje i dialog med Politidirektoratet. Fristen for oppdraget er ved utgangen av 2022. Departementet vil med utgangspunkt i utgreiinga til </w:t>
      </w:r>
      <w:proofErr w:type="spellStart"/>
      <w:r w:rsidRPr="00E73D4B">
        <w:t>Bufdir</w:t>
      </w:r>
      <w:proofErr w:type="spellEnd"/>
      <w:r w:rsidRPr="00E73D4B">
        <w:t xml:space="preserve"> på eigna vis komme tilbake til Stortinget om oppfølginga av vedtaket.</w:t>
      </w:r>
    </w:p>
    <w:p w14:paraId="3CB293D0" w14:textId="77777777" w:rsidR="00972395" w:rsidRPr="00E73D4B" w:rsidRDefault="00F120C7" w:rsidP="00E73D4B">
      <w:pPr>
        <w:pStyle w:val="avsnitt-tittel"/>
      </w:pPr>
      <w:proofErr w:type="spellStart"/>
      <w:r w:rsidRPr="00E73D4B">
        <w:t>Strengare</w:t>
      </w:r>
      <w:proofErr w:type="spellEnd"/>
      <w:r w:rsidRPr="00E73D4B">
        <w:t xml:space="preserve"> </w:t>
      </w:r>
      <w:proofErr w:type="spellStart"/>
      <w:r w:rsidRPr="00E73D4B">
        <w:t>reaksjonar</w:t>
      </w:r>
      <w:proofErr w:type="spellEnd"/>
      <w:r w:rsidRPr="00E73D4B">
        <w:t xml:space="preserve"> mot samværshindring</w:t>
      </w:r>
    </w:p>
    <w:p w14:paraId="29DD5B65" w14:textId="77777777" w:rsidR="00972395" w:rsidRPr="00E73D4B" w:rsidRDefault="00F120C7" w:rsidP="00E73D4B">
      <w:pPr>
        <w:pStyle w:val="avsnitt-undertittel"/>
      </w:pPr>
      <w:r w:rsidRPr="00E73D4B">
        <w:t>Vedtak 714, 9. mars 2021</w:t>
      </w:r>
    </w:p>
    <w:p w14:paraId="2C07FA73" w14:textId="77777777" w:rsidR="00972395" w:rsidRPr="00E73D4B" w:rsidRDefault="00F120C7" w:rsidP="00E73D4B">
      <w:pPr>
        <w:pStyle w:val="blokksit"/>
        <w:rPr>
          <w:rStyle w:val="kursiv"/>
        </w:rPr>
      </w:pPr>
      <w:r w:rsidRPr="00E73D4B">
        <w:rPr>
          <w:rStyle w:val="kursiv"/>
        </w:rPr>
        <w:t>«Stortinget ber regjeringen ved oppfølgingen av NOU 2020: 14 Ny barnelov – Til barnets beste, utrede strengere reaksjoner som kan motvirke samværshindring.»</w:t>
      </w:r>
    </w:p>
    <w:p w14:paraId="491FCF90"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samværshindring, jf. </w:t>
      </w:r>
      <w:proofErr w:type="spellStart"/>
      <w:r w:rsidRPr="00E73D4B">
        <w:t>Dok</w:t>
      </w:r>
      <w:proofErr w:type="spellEnd"/>
      <w:r w:rsidRPr="00E73D4B">
        <w:t xml:space="preserve">. 8:40 S (2020–2021) og </w:t>
      </w:r>
      <w:proofErr w:type="spellStart"/>
      <w:r w:rsidRPr="00E73D4B">
        <w:t>Innst</w:t>
      </w:r>
      <w:proofErr w:type="spellEnd"/>
      <w:r w:rsidRPr="00E73D4B">
        <w:t>. 264 S (2020–2021).</w:t>
      </w:r>
    </w:p>
    <w:p w14:paraId="646AB395" w14:textId="77777777" w:rsidR="00972395" w:rsidRPr="00E73D4B" w:rsidRDefault="00F120C7" w:rsidP="00E73D4B">
      <w:r w:rsidRPr="00E73D4B">
        <w:t xml:space="preserve">Departementet arbeider med å </w:t>
      </w:r>
      <w:proofErr w:type="spellStart"/>
      <w:r w:rsidRPr="00E73D4B">
        <w:t>følgje</w:t>
      </w:r>
      <w:proofErr w:type="spellEnd"/>
      <w:r w:rsidRPr="00E73D4B">
        <w:t xml:space="preserve"> opp NOU 2020: 14 </w:t>
      </w:r>
      <w:r w:rsidRPr="00E73D4B">
        <w:rPr>
          <w:rStyle w:val="kursiv"/>
        </w:rPr>
        <w:t>Ny barnelov</w:t>
      </w:r>
      <w:r w:rsidRPr="00E73D4B">
        <w:t xml:space="preserve">, med sikte på å </w:t>
      </w:r>
      <w:proofErr w:type="spellStart"/>
      <w:r w:rsidRPr="00E73D4B">
        <w:t>leggje</w:t>
      </w:r>
      <w:proofErr w:type="spellEnd"/>
      <w:r w:rsidRPr="00E73D4B">
        <w:t xml:space="preserve"> fram </w:t>
      </w:r>
      <w:proofErr w:type="spellStart"/>
      <w:r w:rsidRPr="00E73D4B">
        <w:t>ein</w:t>
      </w:r>
      <w:proofErr w:type="spellEnd"/>
      <w:r w:rsidRPr="00E73D4B">
        <w:t xml:space="preserve"> lovproposisjon i 2024. Departementet har gitt </w:t>
      </w:r>
      <w:proofErr w:type="spellStart"/>
      <w:r w:rsidRPr="00E73D4B">
        <w:t>Bufdir</w:t>
      </w:r>
      <w:proofErr w:type="spellEnd"/>
      <w:r w:rsidRPr="00E73D4B">
        <w:t xml:space="preserve"> i oppdrag </w:t>
      </w:r>
      <w:proofErr w:type="gramStart"/>
      <w:r w:rsidRPr="00E73D4B">
        <w:t>å sjå</w:t>
      </w:r>
      <w:proofErr w:type="gramEnd"/>
      <w:r w:rsidRPr="00E73D4B">
        <w:t xml:space="preserve"> </w:t>
      </w:r>
      <w:proofErr w:type="spellStart"/>
      <w:r w:rsidRPr="00E73D4B">
        <w:t>nærare</w:t>
      </w:r>
      <w:proofErr w:type="spellEnd"/>
      <w:r w:rsidRPr="00E73D4B">
        <w:t xml:space="preserve"> på </w:t>
      </w:r>
      <w:proofErr w:type="spellStart"/>
      <w:r w:rsidRPr="00E73D4B">
        <w:t>fleire</w:t>
      </w:r>
      <w:proofErr w:type="spellEnd"/>
      <w:r w:rsidRPr="00E73D4B">
        <w:t xml:space="preserve"> spørsmål på dette området, også korleis økonomi speler inn i saker om samvær og samværshindring. </w:t>
      </w:r>
      <w:proofErr w:type="spellStart"/>
      <w:r w:rsidRPr="00E73D4B">
        <w:t>Bufdir</w:t>
      </w:r>
      <w:proofErr w:type="spellEnd"/>
      <w:r w:rsidRPr="00E73D4B">
        <w:t xml:space="preserve"> har i september 2022 sendt over </w:t>
      </w:r>
      <w:proofErr w:type="spellStart"/>
      <w:r w:rsidRPr="00E73D4B">
        <w:t>ein</w:t>
      </w:r>
      <w:proofErr w:type="spellEnd"/>
      <w:r w:rsidRPr="00E73D4B">
        <w:t xml:space="preserve"> rapport som omtaler kompleksiteten på feltet, </w:t>
      </w:r>
      <w:proofErr w:type="spellStart"/>
      <w:r w:rsidRPr="00E73D4B">
        <w:t>utfordringar</w:t>
      </w:r>
      <w:proofErr w:type="spellEnd"/>
      <w:r w:rsidRPr="00E73D4B">
        <w:t xml:space="preserve"> og forslag til tiltak. </w:t>
      </w:r>
      <w:proofErr w:type="spellStart"/>
      <w:r w:rsidRPr="00E73D4B">
        <w:t>Bufdir</w:t>
      </w:r>
      <w:proofErr w:type="spellEnd"/>
      <w:r w:rsidRPr="00E73D4B">
        <w:t xml:space="preserve"> </w:t>
      </w:r>
      <w:proofErr w:type="spellStart"/>
      <w:r w:rsidRPr="00E73D4B">
        <w:t>føreslår</w:t>
      </w:r>
      <w:proofErr w:type="spellEnd"/>
      <w:r w:rsidRPr="00E73D4B">
        <w:t xml:space="preserve"> mellom anna samarbeidstiltak, som å utarbeide felles rettleiing for samarbeid i familievern, barnevern og domstol. </w:t>
      </w:r>
      <w:proofErr w:type="spellStart"/>
      <w:r w:rsidRPr="00E73D4B">
        <w:t>Bufdir</w:t>
      </w:r>
      <w:proofErr w:type="spellEnd"/>
      <w:r w:rsidRPr="00E73D4B">
        <w:t xml:space="preserve"> </w:t>
      </w:r>
      <w:proofErr w:type="spellStart"/>
      <w:r w:rsidRPr="00E73D4B">
        <w:t>føreslår</w:t>
      </w:r>
      <w:proofErr w:type="spellEnd"/>
      <w:r w:rsidRPr="00E73D4B">
        <w:t xml:space="preserve"> òg felles kompetansetiltak hos familievernet, barnevernet og domstol. I tillegg er det forslag om å utarbeide </w:t>
      </w:r>
      <w:proofErr w:type="spellStart"/>
      <w:r w:rsidRPr="00E73D4B">
        <w:t>eit</w:t>
      </w:r>
      <w:proofErr w:type="spellEnd"/>
      <w:r w:rsidRPr="00E73D4B">
        <w:t xml:space="preserve"> løp for saker der det er stans i samvær for </w:t>
      </w:r>
      <w:proofErr w:type="spellStart"/>
      <w:r w:rsidRPr="00E73D4B">
        <w:t>dei</w:t>
      </w:r>
      <w:proofErr w:type="spellEnd"/>
      <w:r w:rsidRPr="00E73D4B">
        <w:t xml:space="preserve"> som er i kontakt med familievernet. </w:t>
      </w:r>
      <w:proofErr w:type="spellStart"/>
      <w:r w:rsidRPr="00E73D4B">
        <w:t>Bufdir</w:t>
      </w:r>
      <w:proofErr w:type="spellEnd"/>
      <w:r w:rsidRPr="00E73D4B">
        <w:t xml:space="preserve"> har òg sett på </w:t>
      </w:r>
      <w:proofErr w:type="spellStart"/>
      <w:r w:rsidRPr="00E73D4B">
        <w:t>moglege</w:t>
      </w:r>
      <w:proofErr w:type="spellEnd"/>
      <w:r w:rsidRPr="00E73D4B">
        <w:t xml:space="preserve"> tiltak for å redusere økonomi som </w:t>
      </w:r>
      <w:proofErr w:type="spellStart"/>
      <w:r w:rsidRPr="00E73D4B">
        <w:t>ein</w:t>
      </w:r>
      <w:proofErr w:type="spellEnd"/>
      <w:r w:rsidRPr="00E73D4B">
        <w:t xml:space="preserve"> </w:t>
      </w:r>
      <w:proofErr w:type="spellStart"/>
      <w:r w:rsidRPr="00E73D4B">
        <w:t>konfliktdrivar</w:t>
      </w:r>
      <w:proofErr w:type="spellEnd"/>
      <w:r w:rsidRPr="00E73D4B">
        <w:t xml:space="preserve"> mellom </w:t>
      </w:r>
      <w:proofErr w:type="spellStart"/>
      <w:r w:rsidRPr="00E73D4B">
        <w:t>foreldra</w:t>
      </w:r>
      <w:proofErr w:type="spellEnd"/>
      <w:r w:rsidRPr="00E73D4B">
        <w:t xml:space="preserve"> og på </w:t>
      </w:r>
      <w:proofErr w:type="spellStart"/>
      <w:r w:rsidRPr="00E73D4B">
        <w:t>endringar</w:t>
      </w:r>
      <w:proofErr w:type="spellEnd"/>
      <w:r w:rsidRPr="00E73D4B">
        <w:t xml:space="preserve"> i måten NAV handterer sakene. Departementet vil vurdere </w:t>
      </w:r>
      <w:proofErr w:type="spellStart"/>
      <w:r w:rsidRPr="00E73D4B">
        <w:t>tilrådingane</w:t>
      </w:r>
      <w:proofErr w:type="spellEnd"/>
      <w:r w:rsidRPr="00E73D4B">
        <w:t xml:space="preserve"> </w:t>
      </w:r>
      <w:proofErr w:type="spellStart"/>
      <w:r w:rsidRPr="00E73D4B">
        <w:t>frå</w:t>
      </w:r>
      <w:proofErr w:type="spellEnd"/>
      <w:r w:rsidRPr="00E73D4B">
        <w:t xml:space="preserve"> </w:t>
      </w:r>
      <w:proofErr w:type="spellStart"/>
      <w:r w:rsidRPr="00E73D4B">
        <w:t>Bufdir</w:t>
      </w:r>
      <w:proofErr w:type="spellEnd"/>
      <w:r w:rsidRPr="00E73D4B">
        <w:t xml:space="preserve"> i det </w:t>
      </w:r>
      <w:proofErr w:type="spellStart"/>
      <w:r w:rsidRPr="00E73D4B">
        <w:t>vidare</w:t>
      </w:r>
      <w:proofErr w:type="spellEnd"/>
      <w:r w:rsidRPr="00E73D4B">
        <w:t xml:space="preserve"> arbeidet i samband med mellom anna oppfølginga av NOU 2020:14.</w:t>
      </w:r>
    </w:p>
    <w:p w14:paraId="6C784706" w14:textId="77777777" w:rsidR="00972395" w:rsidRPr="00E73D4B" w:rsidRDefault="00F120C7" w:rsidP="00E73D4B">
      <w:r w:rsidRPr="00E73D4B">
        <w:t xml:space="preserve">Departementet vil orientere Stortinget om den </w:t>
      </w:r>
      <w:proofErr w:type="spellStart"/>
      <w:r w:rsidRPr="00E73D4B">
        <w:t>vidare</w:t>
      </w:r>
      <w:proofErr w:type="spellEnd"/>
      <w:r w:rsidRPr="00E73D4B">
        <w:t xml:space="preserve"> oppfølginga av vedtaket på eigna vis.</w:t>
      </w:r>
    </w:p>
    <w:p w14:paraId="5D49A099" w14:textId="77777777" w:rsidR="00972395" w:rsidRPr="00E73D4B" w:rsidRDefault="00F120C7" w:rsidP="00E73D4B">
      <w:pPr>
        <w:pStyle w:val="avsnitt-tittel"/>
      </w:pPr>
      <w:r w:rsidRPr="00E73D4B">
        <w:t xml:space="preserve">Justering av </w:t>
      </w:r>
      <w:proofErr w:type="spellStart"/>
      <w:r w:rsidRPr="00E73D4B">
        <w:t>barnebidragsreglane</w:t>
      </w:r>
      <w:proofErr w:type="spellEnd"/>
      <w:r w:rsidRPr="00E73D4B">
        <w:t xml:space="preserve"> for å hindre samværshindring</w:t>
      </w:r>
    </w:p>
    <w:p w14:paraId="6CA2EB51" w14:textId="77777777" w:rsidR="00972395" w:rsidRPr="00E73D4B" w:rsidRDefault="00F120C7" w:rsidP="00E73D4B">
      <w:pPr>
        <w:pStyle w:val="avsnitt-undertittel"/>
      </w:pPr>
      <w:r w:rsidRPr="00E73D4B">
        <w:t>Vedtak 715, 9. mars 2021</w:t>
      </w:r>
    </w:p>
    <w:p w14:paraId="412A652E" w14:textId="77777777" w:rsidR="00972395" w:rsidRPr="00E73D4B" w:rsidRDefault="00F120C7" w:rsidP="00E73D4B">
      <w:pPr>
        <w:pStyle w:val="blokksit"/>
        <w:rPr>
          <w:rStyle w:val="kursiv"/>
        </w:rPr>
      </w:pPr>
      <w:r w:rsidRPr="00E73D4B">
        <w:rPr>
          <w:rStyle w:val="kursiv"/>
        </w:rPr>
        <w:t>«Stortinget ber regjeringen ved oppfølgingen av NOU 2020: 14 Ny barnelov – Til barnets beste, utrede om det er behov for å gjøre justeringer i barnebidragsreglene for å sikre at økonomi ikke blir en drivende faktor for samværshindring.»</w:t>
      </w:r>
    </w:p>
    <w:p w14:paraId="12787F23"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samværshindring, jf. </w:t>
      </w:r>
      <w:proofErr w:type="spellStart"/>
      <w:r w:rsidRPr="00E73D4B">
        <w:t>Dok</w:t>
      </w:r>
      <w:proofErr w:type="spellEnd"/>
      <w:r w:rsidRPr="00E73D4B">
        <w:t xml:space="preserve">. 8:40 S (2020–2021) og </w:t>
      </w:r>
      <w:proofErr w:type="spellStart"/>
      <w:r w:rsidRPr="00E73D4B">
        <w:t>Innst</w:t>
      </w:r>
      <w:proofErr w:type="spellEnd"/>
      <w:r w:rsidRPr="00E73D4B">
        <w:t>. 264 S (2020–2021).</w:t>
      </w:r>
    </w:p>
    <w:p w14:paraId="33B22AFF" w14:textId="77777777" w:rsidR="00972395" w:rsidRPr="00E73D4B" w:rsidRDefault="00F120C7" w:rsidP="00E73D4B">
      <w:r w:rsidRPr="00E73D4B">
        <w:t xml:space="preserve">Departementet arbeider med å </w:t>
      </w:r>
      <w:proofErr w:type="spellStart"/>
      <w:r w:rsidRPr="00E73D4B">
        <w:t>følgje</w:t>
      </w:r>
      <w:proofErr w:type="spellEnd"/>
      <w:r w:rsidRPr="00E73D4B">
        <w:t xml:space="preserve"> opp NOU 2020: 14 </w:t>
      </w:r>
      <w:r w:rsidRPr="00E73D4B">
        <w:rPr>
          <w:rStyle w:val="kursiv"/>
        </w:rPr>
        <w:t>Ny barnelov</w:t>
      </w:r>
      <w:r w:rsidRPr="00E73D4B">
        <w:t xml:space="preserve"> med sikte på å </w:t>
      </w:r>
      <w:proofErr w:type="spellStart"/>
      <w:r w:rsidRPr="00E73D4B">
        <w:t>leggje</w:t>
      </w:r>
      <w:proofErr w:type="spellEnd"/>
      <w:r w:rsidRPr="00E73D4B">
        <w:t xml:space="preserve"> fram </w:t>
      </w:r>
      <w:proofErr w:type="spellStart"/>
      <w:r w:rsidRPr="00E73D4B">
        <w:t>ein</w:t>
      </w:r>
      <w:proofErr w:type="spellEnd"/>
      <w:r w:rsidRPr="00E73D4B">
        <w:t xml:space="preserve"> lovproposisjon i 2024. Departementet ser oppfølginga av dette vedtaket i </w:t>
      </w:r>
      <w:proofErr w:type="spellStart"/>
      <w:r w:rsidRPr="00E73D4B">
        <w:t>samanheng</w:t>
      </w:r>
      <w:proofErr w:type="spellEnd"/>
      <w:r w:rsidRPr="00E73D4B">
        <w:t xml:space="preserve"> med oppfølginga av vedtak nr. 714 av 9. mars 2021, sjå omtale under dette vedtaket.</w:t>
      </w:r>
    </w:p>
    <w:p w14:paraId="552844D6" w14:textId="77777777" w:rsidR="00972395" w:rsidRPr="00E73D4B" w:rsidRDefault="00F120C7" w:rsidP="00E73D4B">
      <w:r w:rsidRPr="00E73D4B">
        <w:t xml:space="preserve">Under debatten i Stortinget ved handsaminga av representantforslaget blei det sagt at departementet ville sjå på kva som kan </w:t>
      </w:r>
      <w:proofErr w:type="spellStart"/>
      <w:r w:rsidRPr="00E73D4B">
        <w:t>gjerast</w:t>
      </w:r>
      <w:proofErr w:type="spellEnd"/>
      <w:r w:rsidRPr="00E73D4B">
        <w:t xml:space="preserve"> </w:t>
      </w:r>
      <w:proofErr w:type="spellStart"/>
      <w:r w:rsidRPr="00E73D4B">
        <w:t>innanfor</w:t>
      </w:r>
      <w:proofErr w:type="spellEnd"/>
      <w:r w:rsidRPr="00E73D4B">
        <w:t xml:space="preserve"> bidragsregelverket vi har i dag, for å </w:t>
      </w:r>
      <w:proofErr w:type="spellStart"/>
      <w:r w:rsidRPr="00E73D4B">
        <w:t>førebyggje</w:t>
      </w:r>
      <w:proofErr w:type="spellEnd"/>
      <w:r w:rsidRPr="00E73D4B">
        <w:t xml:space="preserve"> at økonomi blir </w:t>
      </w:r>
      <w:proofErr w:type="spellStart"/>
      <w:r w:rsidRPr="00E73D4B">
        <w:t>ein</w:t>
      </w:r>
      <w:proofErr w:type="spellEnd"/>
      <w:r w:rsidRPr="00E73D4B">
        <w:t xml:space="preserve"> </w:t>
      </w:r>
      <w:proofErr w:type="spellStart"/>
      <w:r w:rsidRPr="00E73D4B">
        <w:t>drivande</w:t>
      </w:r>
      <w:proofErr w:type="spellEnd"/>
      <w:r w:rsidRPr="00E73D4B">
        <w:t xml:space="preserve"> faktor for samværshindring. Dette arbeidet er avslutta. NAV vil framover i større grad enn i dag vise saker til </w:t>
      </w:r>
      <w:proofErr w:type="spellStart"/>
      <w:r w:rsidRPr="00E73D4B">
        <w:t>domstolane</w:t>
      </w:r>
      <w:proofErr w:type="spellEnd"/>
      <w:r w:rsidRPr="00E73D4B">
        <w:t xml:space="preserve"> for </w:t>
      </w:r>
      <w:proofErr w:type="spellStart"/>
      <w:r w:rsidRPr="00E73D4B">
        <w:t>rettsleg</w:t>
      </w:r>
      <w:proofErr w:type="spellEnd"/>
      <w:r w:rsidRPr="00E73D4B">
        <w:t xml:space="preserve"> avklaring der foreldrekonflikten er </w:t>
      </w:r>
      <w:proofErr w:type="spellStart"/>
      <w:r w:rsidRPr="00E73D4B">
        <w:t>særleg</w:t>
      </w:r>
      <w:proofErr w:type="spellEnd"/>
      <w:r w:rsidRPr="00E73D4B">
        <w:t xml:space="preserve"> fastlåst. Samstundes kan det </w:t>
      </w:r>
      <w:proofErr w:type="spellStart"/>
      <w:r w:rsidRPr="00E73D4B">
        <w:t>fastsetjast</w:t>
      </w:r>
      <w:proofErr w:type="spellEnd"/>
      <w:r w:rsidRPr="00E73D4B">
        <w:t xml:space="preserve"> </w:t>
      </w:r>
      <w:proofErr w:type="spellStart"/>
      <w:r w:rsidRPr="00E73D4B">
        <w:t>eit</w:t>
      </w:r>
      <w:proofErr w:type="spellEnd"/>
      <w:r w:rsidRPr="00E73D4B">
        <w:t xml:space="preserve"> mellombels bidragsvedtak som </w:t>
      </w:r>
      <w:proofErr w:type="spellStart"/>
      <w:r w:rsidRPr="00E73D4B">
        <w:t>sikrar</w:t>
      </w:r>
      <w:proofErr w:type="spellEnd"/>
      <w:r w:rsidRPr="00E73D4B">
        <w:t xml:space="preserve"> at barnet blir </w:t>
      </w:r>
      <w:proofErr w:type="spellStart"/>
      <w:r w:rsidRPr="00E73D4B">
        <w:t>forsørgt</w:t>
      </w:r>
      <w:proofErr w:type="spellEnd"/>
      <w:r w:rsidRPr="00E73D4B">
        <w:t xml:space="preserve">. NAV skal òg føre </w:t>
      </w:r>
      <w:proofErr w:type="spellStart"/>
      <w:r w:rsidRPr="00E73D4B">
        <w:t>vidare</w:t>
      </w:r>
      <w:proofErr w:type="spellEnd"/>
      <w:r w:rsidRPr="00E73D4B">
        <w:t xml:space="preserve"> praksisen med å vente med å </w:t>
      </w:r>
      <w:proofErr w:type="spellStart"/>
      <w:r w:rsidRPr="00E73D4B">
        <w:t>gjere</w:t>
      </w:r>
      <w:proofErr w:type="spellEnd"/>
      <w:r w:rsidRPr="00E73D4B">
        <w:t xml:space="preserve"> vedtak om barnebidrag når det er </w:t>
      </w:r>
      <w:proofErr w:type="spellStart"/>
      <w:r w:rsidRPr="00E73D4B">
        <w:t>usemje</w:t>
      </w:r>
      <w:proofErr w:type="spellEnd"/>
      <w:r w:rsidRPr="00E73D4B">
        <w:t xml:space="preserve"> om samværet og ei </w:t>
      </w:r>
      <w:proofErr w:type="spellStart"/>
      <w:r w:rsidRPr="00E73D4B">
        <w:t>rettsleg</w:t>
      </w:r>
      <w:proofErr w:type="spellEnd"/>
      <w:r w:rsidRPr="00E73D4B">
        <w:t xml:space="preserve"> avgjerd om samvær </w:t>
      </w:r>
      <w:proofErr w:type="spellStart"/>
      <w:r w:rsidRPr="00E73D4B">
        <w:t>ikkje</w:t>
      </w:r>
      <w:proofErr w:type="spellEnd"/>
      <w:r w:rsidRPr="00E73D4B">
        <w:t xml:space="preserve"> er langt unna. Sjå òg omtale under programkategori 11.10.</w:t>
      </w:r>
    </w:p>
    <w:p w14:paraId="04E5BB89" w14:textId="77777777" w:rsidR="00972395" w:rsidRPr="00E73D4B" w:rsidRDefault="00F120C7" w:rsidP="00E73D4B">
      <w:r w:rsidRPr="00E73D4B">
        <w:t xml:space="preserve">Departementet vil orientere Stortinget om den </w:t>
      </w:r>
      <w:proofErr w:type="spellStart"/>
      <w:r w:rsidRPr="00E73D4B">
        <w:t>vidare</w:t>
      </w:r>
      <w:proofErr w:type="spellEnd"/>
      <w:r w:rsidRPr="00E73D4B">
        <w:t xml:space="preserve"> oppfølginga av vedtaket på eigna vis.</w:t>
      </w:r>
    </w:p>
    <w:p w14:paraId="7C58188F" w14:textId="77777777" w:rsidR="00972395" w:rsidRPr="00E73D4B" w:rsidRDefault="00F120C7" w:rsidP="00E73D4B">
      <w:pPr>
        <w:pStyle w:val="avsnitt-tittel"/>
      </w:pPr>
      <w:r w:rsidRPr="00E73D4B">
        <w:t xml:space="preserve">Obligatorisk prisinformasjon på </w:t>
      </w:r>
      <w:proofErr w:type="spellStart"/>
      <w:r w:rsidRPr="00E73D4B">
        <w:t>straum</w:t>
      </w:r>
      <w:proofErr w:type="spellEnd"/>
    </w:p>
    <w:p w14:paraId="5AB32314" w14:textId="77777777" w:rsidR="00972395" w:rsidRPr="00E73D4B" w:rsidRDefault="00F120C7" w:rsidP="00E73D4B">
      <w:pPr>
        <w:pStyle w:val="avsnitt-undertittel"/>
      </w:pPr>
      <w:r w:rsidRPr="00E73D4B">
        <w:t>Vedtak nr. 918, 11. mai 2021</w:t>
      </w:r>
    </w:p>
    <w:p w14:paraId="25559D4B" w14:textId="77777777" w:rsidR="00972395" w:rsidRPr="00E73D4B" w:rsidRDefault="00F120C7" w:rsidP="00E73D4B">
      <w:pPr>
        <w:pStyle w:val="blokksit"/>
        <w:rPr>
          <w:rStyle w:val="kursiv"/>
        </w:rPr>
      </w:pPr>
      <w:r w:rsidRPr="00E73D4B">
        <w:rPr>
          <w:rStyle w:val="kursiv"/>
        </w:rPr>
        <w:t>«Stortinget ber regjeringen innføre en ny obligatorisk prisinformasjon/enhetspris på strøm, slik at forbruker enkelt kan sammenligne priser på tvers av alle avtaletyper, og dermed sikre at forbrukerne kan ta informerte valg.»</w:t>
      </w:r>
    </w:p>
    <w:p w14:paraId="608016B8"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forenkling av </w:t>
      </w:r>
      <w:proofErr w:type="spellStart"/>
      <w:r w:rsidRPr="00E73D4B">
        <w:t>straummarknaden</w:t>
      </w:r>
      <w:proofErr w:type="spellEnd"/>
      <w:r w:rsidRPr="00E73D4B">
        <w:t xml:space="preserve">, jf. </w:t>
      </w:r>
      <w:proofErr w:type="spellStart"/>
      <w:r w:rsidRPr="00E73D4B">
        <w:t>Dok</w:t>
      </w:r>
      <w:proofErr w:type="spellEnd"/>
      <w:r w:rsidRPr="00E73D4B">
        <w:t xml:space="preserve">. 8:126 S (2020–2021) og </w:t>
      </w:r>
      <w:proofErr w:type="spellStart"/>
      <w:r w:rsidRPr="00E73D4B">
        <w:t>Innst</w:t>
      </w:r>
      <w:proofErr w:type="spellEnd"/>
      <w:r w:rsidRPr="00E73D4B">
        <w:t>. 394 S (2020–2021).</w:t>
      </w:r>
    </w:p>
    <w:p w14:paraId="2CF46DD5" w14:textId="77777777" w:rsidR="00972395" w:rsidRPr="00E73D4B" w:rsidRDefault="00F120C7" w:rsidP="00E73D4B">
      <w:r w:rsidRPr="00E73D4B">
        <w:t xml:space="preserve">Departementet hadde våren 2022 ei </w:t>
      </w:r>
      <w:proofErr w:type="spellStart"/>
      <w:r w:rsidRPr="00E73D4B">
        <w:t>høyring</w:t>
      </w:r>
      <w:proofErr w:type="spellEnd"/>
      <w:r w:rsidRPr="00E73D4B">
        <w:t xml:space="preserve"> av </w:t>
      </w:r>
      <w:proofErr w:type="spellStart"/>
      <w:r w:rsidRPr="00E73D4B">
        <w:t>endringar</w:t>
      </w:r>
      <w:proofErr w:type="spellEnd"/>
      <w:r w:rsidRPr="00E73D4B">
        <w:t xml:space="preserve"> i </w:t>
      </w:r>
      <w:proofErr w:type="spellStart"/>
      <w:r w:rsidRPr="00E73D4B">
        <w:t>prisopplysingsforskrifta</w:t>
      </w:r>
      <w:proofErr w:type="spellEnd"/>
      <w:r w:rsidRPr="00E73D4B">
        <w:t xml:space="preserve"> der obligatorisk prisinformasjon var </w:t>
      </w:r>
      <w:proofErr w:type="spellStart"/>
      <w:r w:rsidRPr="00E73D4B">
        <w:t>eit</w:t>
      </w:r>
      <w:proofErr w:type="spellEnd"/>
      <w:r w:rsidRPr="00E73D4B">
        <w:t xml:space="preserve"> tema. Departementet arbeider </w:t>
      </w:r>
      <w:proofErr w:type="spellStart"/>
      <w:r w:rsidRPr="00E73D4B">
        <w:t>vidare</w:t>
      </w:r>
      <w:proofErr w:type="spellEnd"/>
      <w:r w:rsidRPr="00E73D4B">
        <w:t xml:space="preserve"> med å vurdere korleis obligatorisk prisinformasjon kan bli utforma i samråd med Olje- og energidepartementet og </w:t>
      </w:r>
      <w:proofErr w:type="spellStart"/>
      <w:r w:rsidRPr="00E73D4B">
        <w:t>Reguleringsmyndigheita</w:t>
      </w:r>
      <w:proofErr w:type="spellEnd"/>
      <w:r w:rsidRPr="00E73D4B">
        <w:t xml:space="preserve"> for energi (RME). Departementet vil komme tilbake til Stortinget på eigna vis om oppfølging av vedtaket.</w:t>
      </w:r>
    </w:p>
    <w:p w14:paraId="382647D1" w14:textId="77777777" w:rsidR="00972395" w:rsidRPr="00E73D4B" w:rsidRDefault="00F120C7" w:rsidP="00E73D4B">
      <w:pPr>
        <w:pStyle w:val="avsnitt-tittel"/>
      </w:pPr>
      <w:r w:rsidRPr="00E73D4B">
        <w:t>Endring av straumavtale</w:t>
      </w:r>
    </w:p>
    <w:p w14:paraId="2F9DE2AF" w14:textId="77777777" w:rsidR="00972395" w:rsidRPr="00E73D4B" w:rsidRDefault="00F120C7" w:rsidP="00E73D4B">
      <w:pPr>
        <w:pStyle w:val="avsnitt-undertittel"/>
      </w:pPr>
      <w:r w:rsidRPr="00E73D4B">
        <w:t>Vedtak nr. 919, 11. mai 2021</w:t>
      </w:r>
    </w:p>
    <w:p w14:paraId="570E3189" w14:textId="77777777" w:rsidR="00972395" w:rsidRPr="00E73D4B" w:rsidRDefault="00F120C7" w:rsidP="00E73D4B">
      <w:pPr>
        <w:pStyle w:val="blokksit"/>
        <w:rPr>
          <w:rStyle w:val="kursiv"/>
        </w:rPr>
      </w:pPr>
      <w:r w:rsidRPr="00E73D4B">
        <w:rPr>
          <w:rStyle w:val="kursiv"/>
        </w:rPr>
        <w:t>«Stortinget ber regjeringen innføre krav om at strømselskapene ved endring av avtale skal opplyse strømkundene i god tid og gjennom tydelig merket informasjon.»</w:t>
      </w:r>
    </w:p>
    <w:p w14:paraId="568F2611"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forenkling av </w:t>
      </w:r>
      <w:proofErr w:type="spellStart"/>
      <w:r w:rsidRPr="00E73D4B">
        <w:t>straummarknaden</w:t>
      </w:r>
      <w:proofErr w:type="spellEnd"/>
      <w:r w:rsidRPr="00E73D4B">
        <w:t xml:space="preserve">, jf. </w:t>
      </w:r>
      <w:proofErr w:type="spellStart"/>
      <w:r w:rsidRPr="00E73D4B">
        <w:t>Dok</w:t>
      </w:r>
      <w:proofErr w:type="spellEnd"/>
      <w:r w:rsidRPr="00E73D4B">
        <w:t xml:space="preserve">. 8:126 S (2020–2021) og </w:t>
      </w:r>
      <w:proofErr w:type="spellStart"/>
      <w:r w:rsidRPr="00E73D4B">
        <w:t>Innst</w:t>
      </w:r>
      <w:proofErr w:type="spellEnd"/>
      <w:r w:rsidRPr="00E73D4B">
        <w:t>. 394 S (2020–2021).</w:t>
      </w:r>
    </w:p>
    <w:p w14:paraId="4CB43716" w14:textId="77777777" w:rsidR="00972395" w:rsidRPr="00E73D4B" w:rsidRDefault="00F120C7" w:rsidP="00E73D4B">
      <w:r w:rsidRPr="00E73D4B">
        <w:t xml:space="preserve">Departementet hadde våren 2022 ei </w:t>
      </w:r>
      <w:proofErr w:type="spellStart"/>
      <w:r w:rsidRPr="00E73D4B">
        <w:t>høyring</w:t>
      </w:r>
      <w:proofErr w:type="spellEnd"/>
      <w:r w:rsidRPr="00E73D4B">
        <w:t xml:space="preserve"> av </w:t>
      </w:r>
      <w:proofErr w:type="spellStart"/>
      <w:r w:rsidRPr="00E73D4B">
        <w:t>endringar</w:t>
      </w:r>
      <w:proofErr w:type="spellEnd"/>
      <w:r w:rsidRPr="00E73D4B">
        <w:t xml:space="preserve"> i </w:t>
      </w:r>
      <w:proofErr w:type="spellStart"/>
      <w:r w:rsidRPr="00E73D4B">
        <w:t>prisopplysingsforskrifta</w:t>
      </w:r>
      <w:proofErr w:type="spellEnd"/>
      <w:r w:rsidRPr="00E73D4B">
        <w:t xml:space="preserve"> der </w:t>
      </w:r>
      <w:proofErr w:type="spellStart"/>
      <w:r w:rsidRPr="00E73D4B">
        <w:t>endringar</w:t>
      </w:r>
      <w:proofErr w:type="spellEnd"/>
      <w:r w:rsidRPr="00E73D4B">
        <w:t xml:space="preserve"> i </w:t>
      </w:r>
      <w:proofErr w:type="spellStart"/>
      <w:r w:rsidRPr="00E73D4B">
        <w:t>straumavtalar</w:t>
      </w:r>
      <w:proofErr w:type="spellEnd"/>
      <w:r w:rsidRPr="00E73D4B">
        <w:t xml:space="preserve"> var </w:t>
      </w:r>
      <w:proofErr w:type="spellStart"/>
      <w:r w:rsidRPr="00E73D4B">
        <w:t>eit</w:t>
      </w:r>
      <w:proofErr w:type="spellEnd"/>
      <w:r w:rsidRPr="00E73D4B">
        <w:t xml:space="preserve"> tema. </w:t>
      </w:r>
      <w:proofErr w:type="spellStart"/>
      <w:r w:rsidRPr="00E73D4B">
        <w:t>Endringar</w:t>
      </w:r>
      <w:proofErr w:type="spellEnd"/>
      <w:r w:rsidRPr="00E73D4B">
        <w:t xml:space="preserve"> i </w:t>
      </w:r>
      <w:proofErr w:type="spellStart"/>
      <w:r w:rsidRPr="00E73D4B">
        <w:t>prisopplysingsforskrifta</w:t>
      </w:r>
      <w:proofErr w:type="spellEnd"/>
      <w:r w:rsidRPr="00E73D4B">
        <w:t xml:space="preserve"> som skjerper krava til å opplyse om </w:t>
      </w:r>
      <w:proofErr w:type="spellStart"/>
      <w:r w:rsidRPr="00E73D4B">
        <w:t>endringar</w:t>
      </w:r>
      <w:proofErr w:type="spellEnd"/>
      <w:r w:rsidRPr="00E73D4B">
        <w:t xml:space="preserve"> i </w:t>
      </w:r>
      <w:proofErr w:type="spellStart"/>
      <w:r w:rsidRPr="00E73D4B">
        <w:t>straumavtalane</w:t>
      </w:r>
      <w:proofErr w:type="spellEnd"/>
      <w:r w:rsidRPr="00E73D4B">
        <w:t xml:space="preserve"> til </w:t>
      </w:r>
      <w:proofErr w:type="spellStart"/>
      <w:r w:rsidRPr="00E73D4B">
        <w:t>forbrukarane</w:t>
      </w:r>
      <w:proofErr w:type="spellEnd"/>
      <w:r w:rsidRPr="00E73D4B">
        <w:t xml:space="preserve">, vil gjelde </w:t>
      </w:r>
      <w:proofErr w:type="spellStart"/>
      <w:r w:rsidRPr="00E73D4B">
        <w:t>frå</w:t>
      </w:r>
      <w:proofErr w:type="spellEnd"/>
      <w:r w:rsidRPr="00E73D4B">
        <w:t xml:space="preserve"> </w:t>
      </w:r>
      <w:proofErr w:type="spellStart"/>
      <w:r w:rsidRPr="00E73D4B">
        <w:t>hausten</w:t>
      </w:r>
      <w:proofErr w:type="spellEnd"/>
      <w:r w:rsidRPr="00E73D4B">
        <w:t xml:space="preserve"> 2022.</w:t>
      </w:r>
    </w:p>
    <w:p w14:paraId="38B229D3" w14:textId="77777777" w:rsidR="00972395" w:rsidRPr="00E73D4B" w:rsidRDefault="00F120C7" w:rsidP="00E73D4B">
      <w:r w:rsidRPr="00E73D4B">
        <w:t xml:space="preserve">Departementet </w:t>
      </w:r>
      <w:proofErr w:type="spellStart"/>
      <w:r w:rsidRPr="00E73D4B">
        <w:t>reknar</w:t>
      </w:r>
      <w:proofErr w:type="spellEnd"/>
      <w:r w:rsidRPr="00E73D4B">
        <w:t xml:space="preserve"> vedtaket som </w:t>
      </w:r>
      <w:proofErr w:type="spellStart"/>
      <w:r w:rsidRPr="00E73D4B">
        <w:t>følgt</w:t>
      </w:r>
      <w:proofErr w:type="spellEnd"/>
      <w:r w:rsidRPr="00E73D4B">
        <w:t xml:space="preserve"> opp.</w:t>
      </w:r>
    </w:p>
    <w:p w14:paraId="25FB4D89" w14:textId="77777777" w:rsidR="00972395" w:rsidRPr="00E73D4B" w:rsidRDefault="00F120C7" w:rsidP="00E73D4B">
      <w:pPr>
        <w:pStyle w:val="avsnitt-tittel"/>
      </w:pPr>
      <w:r w:rsidRPr="00E73D4B">
        <w:t>Prisinformasjon om straumavtalen</w:t>
      </w:r>
    </w:p>
    <w:p w14:paraId="34DA37FE" w14:textId="77777777" w:rsidR="00972395" w:rsidRPr="00E73D4B" w:rsidRDefault="00F120C7" w:rsidP="00E73D4B">
      <w:pPr>
        <w:pStyle w:val="avsnitt-undertittel"/>
      </w:pPr>
      <w:r w:rsidRPr="00E73D4B">
        <w:t>Vedtak nr. 920, 11. mai 2021</w:t>
      </w:r>
    </w:p>
    <w:p w14:paraId="32A2E018" w14:textId="77777777" w:rsidR="00972395" w:rsidRPr="00E73D4B" w:rsidRDefault="00F120C7" w:rsidP="00E73D4B">
      <w:pPr>
        <w:pStyle w:val="blokksit"/>
        <w:rPr>
          <w:rStyle w:val="kursiv"/>
        </w:rPr>
      </w:pPr>
      <w:r w:rsidRPr="00E73D4B">
        <w:rPr>
          <w:rStyle w:val="kursiv"/>
        </w:rPr>
        <w:t>«Stortinget ber regjeringen innføre obligatorisk informasjon om hvor lenge prisen på en strømavtale minimum varer. Denne prisinformasjonen skal opplyses om på strømregningen og ved alt salg og all markedsføring av strøm.»</w:t>
      </w:r>
    </w:p>
    <w:p w14:paraId="2D7BC3E0"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forenkling av </w:t>
      </w:r>
      <w:proofErr w:type="spellStart"/>
      <w:r w:rsidRPr="00E73D4B">
        <w:t>straummarknaden</w:t>
      </w:r>
      <w:proofErr w:type="spellEnd"/>
      <w:r w:rsidRPr="00E73D4B">
        <w:t xml:space="preserve">, jf. </w:t>
      </w:r>
      <w:proofErr w:type="spellStart"/>
      <w:r w:rsidRPr="00E73D4B">
        <w:t>Dok</w:t>
      </w:r>
      <w:proofErr w:type="spellEnd"/>
      <w:r w:rsidRPr="00E73D4B">
        <w:t xml:space="preserve">. 8:126 S (2020–2021) og </w:t>
      </w:r>
      <w:proofErr w:type="spellStart"/>
      <w:r w:rsidRPr="00E73D4B">
        <w:t>Innst</w:t>
      </w:r>
      <w:proofErr w:type="spellEnd"/>
      <w:r w:rsidRPr="00E73D4B">
        <w:t>. 394 S (2020–2021).</w:t>
      </w:r>
    </w:p>
    <w:p w14:paraId="001622F9" w14:textId="77777777" w:rsidR="00972395" w:rsidRPr="00E73D4B" w:rsidRDefault="00F120C7" w:rsidP="00E73D4B">
      <w:r w:rsidRPr="00E73D4B">
        <w:t xml:space="preserve">Departementet hadde våren 2022 ei </w:t>
      </w:r>
      <w:proofErr w:type="spellStart"/>
      <w:r w:rsidRPr="00E73D4B">
        <w:t>høyring</w:t>
      </w:r>
      <w:proofErr w:type="spellEnd"/>
      <w:r w:rsidRPr="00E73D4B">
        <w:t xml:space="preserve"> av </w:t>
      </w:r>
      <w:proofErr w:type="spellStart"/>
      <w:r w:rsidRPr="00E73D4B">
        <w:t>endringar</w:t>
      </w:r>
      <w:proofErr w:type="spellEnd"/>
      <w:r w:rsidRPr="00E73D4B">
        <w:t xml:space="preserve"> i </w:t>
      </w:r>
      <w:proofErr w:type="spellStart"/>
      <w:r w:rsidRPr="00E73D4B">
        <w:t>prisopplysingsforskrifta</w:t>
      </w:r>
      <w:proofErr w:type="spellEnd"/>
      <w:r w:rsidRPr="00E73D4B">
        <w:t xml:space="preserve"> der </w:t>
      </w:r>
      <w:proofErr w:type="spellStart"/>
      <w:r w:rsidRPr="00E73D4B">
        <w:t>endringar</w:t>
      </w:r>
      <w:proofErr w:type="spellEnd"/>
      <w:r w:rsidRPr="00E73D4B">
        <w:t xml:space="preserve"> i </w:t>
      </w:r>
      <w:proofErr w:type="spellStart"/>
      <w:r w:rsidRPr="00E73D4B">
        <w:t>straumavtalar</w:t>
      </w:r>
      <w:proofErr w:type="spellEnd"/>
      <w:r w:rsidRPr="00E73D4B">
        <w:t xml:space="preserve"> var </w:t>
      </w:r>
      <w:proofErr w:type="spellStart"/>
      <w:r w:rsidRPr="00E73D4B">
        <w:t>eit</w:t>
      </w:r>
      <w:proofErr w:type="spellEnd"/>
      <w:r w:rsidRPr="00E73D4B">
        <w:t xml:space="preserve"> tema. </w:t>
      </w:r>
      <w:proofErr w:type="spellStart"/>
      <w:r w:rsidRPr="00E73D4B">
        <w:t>Endringar</w:t>
      </w:r>
      <w:proofErr w:type="spellEnd"/>
      <w:r w:rsidRPr="00E73D4B">
        <w:t xml:space="preserve"> i </w:t>
      </w:r>
      <w:proofErr w:type="spellStart"/>
      <w:r w:rsidRPr="00E73D4B">
        <w:t>prisopplysingsforskrifta</w:t>
      </w:r>
      <w:proofErr w:type="spellEnd"/>
      <w:r w:rsidRPr="00E73D4B">
        <w:t xml:space="preserve"> som skjerper krava til prisinformasjon, vil gjelde </w:t>
      </w:r>
      <w:proofErr w:type="spellStart"/>
      <w:r w:rsidRPr="00E73D4B">
        <w:t>frå</w:t>
      </w:r>
      <w:proofErr w:type="spellEnd"/>
      <w:r w:rsidRPr="00E73D4B">
        <w:t xml:space="preserve"> </w:t>
      </w:r>
      <w:proofErr w:type="spellStart"/>
      <w:r w:rsidRPr="00E73D4B">
        <w:t>hausten</w:t>
      </w:r>
      <w:proofErr w:type="spellEnd"/>
      <w:r w:rsidRPr="00E73D4B">
        <w:t xml:space="preserve"> 2022.</w:t>
      </w:r>
    </w:p>
    <w:p w14:paraId="6C485F94" w14:textId="77777777" w:rsidR="00972395" w:rsidRPr="00E73D4B" w:rsidRDefault="00F120C7" w:rsidP="00E73D4B">
      <w:r w:rsidRPr="00E73D4B">
        <w:t xml:space="preserve">Departementet </w:t>
      </w:r>
      <w:proofErr w:type="spellStart"/>
      <w:r w:rsidRPr="00E73D4B">
        <w:t>reknar</w:t>
      </w:r>
      <w:proofErr w:type="spellEnd"/>
      <w:r w:rsidRPr="00E73D4B">
        <w:t xml:space="preserve"> vedtaket som </w:t>
      </w:r>
      <w:proofErr w:type="spellStart"/>
      <w:r w:rsidRPr="00E73D4B">
        <w:t>følgt</w:t>
      </w:r>
      <w:proofErr w:type="spellEnd"/>
      <w:r w:rsidRPr="00E73D4B">
        <w:t xml:space="preserve"> opp.</w:t>
      </w:r>
    </w:p>
    <w:p w14:paraId="2F87A8A7" w14:textId="77777777" w:rsidR="00972395" w:rsidRPr="00E73D4B" w:rsidRDefault="00F120C7" w:rsidP="00E73D4B">
      <w:pPr>
        <w:pStyle w:val="avsnitt-tittel"/>
      </w:pPr>
      <w:proofErr w:type="spellStart"/>
      <w:r w:rsidRPr="00E73D4B">
        <w:t>Fritidsaktivitetar</w:t>
      </w:r>
      <w:proofErr w:type="spellEnd"/>
      <w:r w:rsidRPr="00E73D4B">
        <w:t xml:space="preserve"> for barn og unge som kan bidra til radikalisering</w:t>
      </w:r>
    </w:p>
    <w:p w14:paraId="025DE7E9" w14:textId="77777777" w:rsidR="00972395" w:rsidRPr="00E73D4B" w:rsidRDefault="00F120C7" w:rsidP="00E73D4B">
      <w:pPr>
        <w:pStyle w:val="avsnitt-undertittel"/>
      </w:pPr>
      <w:r w:rsidRPr="00E73D4B">
        <w:t>Vedtak nr. 954, 20. mai 2021</w:t>
      </w:r>
    </w:p>
    <w:p w14:paraId="679695EE" w14:textId="77777777" w:rsidR="00972395" w:rsidRPr="00E73D4B" w:rsidRDefault="00F120C7" w:rsidP="00E73D4B">
      <w:pPr>
        <w:pStyle w:val="blokksit"/>
        <w:rPr>
          <w:rStyle w:val="kursiv"/>
        </w:rPr>
      </w:pPr>
      <w:r w:rsidRPr="00E73D4B">
        <w:rPr>
          <w:rStyle w:val="kursiv"/>
        </w:rPr>
        <w:t>«Stortinget ber regjeringen komme tilbake med forslag som gir kommunene bedre virkemidler til å hindre fritidsaktiviteter for barn og unge som kan bidra til radikalisering eller være i strid med barns rettigheter eller likestillings- og diskrimineringsloven, herunder:</w:t>
      </w:r>
    </w:p>
    <w:p w14:paraId="1702C5D3" w14:textId="77777777" w:rsidR="00972395" w:rsidRPr="00E73D4B" w:rsidRDefault="00F120C7" w:rsidP="00E73D4B">
      <w:pPr>
        <w:pStyle w:val="Liste2"/>
        <w:rPr>
          <w:rStyle w:val="kursiv"/>
        </w:rPr>
      </w:pPr>
      <w:r w:rsidRPr="00E73D4B">
        <w:rPr>
          <w:rStyle w:val="kursiv"/>
        </w:rPr>
        <w:t>en forpliktende samfunnskontrakt for integrering i samarbeid med tros- og livssynssamfunnenes organisasjoner</w:t>
      </w:r>
    </w:p>
    <w:p w14:paraId="606BEB85" w14:textId="77777777" w:rsidR="00972395" w:rsidRPr="00E73D4B" w:rsidRDefault="00F120C7" w:rsidP="00E73D4B">
      <w:pPr>
        <w:pStyle w:val="Liste2"/>
        <w:rPr>
          <w:rStyle w:val="kursiv"/>
        </w:rPr>
      </w:pPr>
      <w:r w:rsidRPr="00E73D4B">
        <w:rPr>
          <w:rStyle w:val="kursiv"/>
        </w:rPr>
        <w:t>mulighet til å kartlegge og føre tilsyn med fritidsaktiviteter for barn og unge som omfatter religiøs undervisning.»</w:t>
      </w:r>
    </w:p>
    <w:p w14:paraId="27372C2D"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å </w:t>
      </w:r>
      <w:proofErr w:type="spellStart"/>
      <w:r w:rsidRPr="00E73D4B">
        <w:t>gje</w:t>
      </w:r>
      <w:proofErr w:type="spellEnd"/>
      <w:r w:rsidRPr="00E73D4B">
        <w:t xml:space="preserve"> kommunen </w:t>
      </w:r>
      <w:proofErr w:type="spellStart"/>
      <w:r w:rsidRPr="00E73D4B">
        <w:t>ein</w:t>
      </w:r>
      <w:proofErr w:type="spellEnd"/>
      <w:r w:rsidRPr="00E73D4B">
        <w:t xml:space="preserve"> klar lovheimel til å hindre </w:t>
      </w:r>
      <w:proofErr w:type="spellStart"/>
      <w:r w:rsidRPr="00E73D4B">
        <w:t>organisasjonar</w:t>
      </w:r>
      <w:proofErr w:type="spellEnd"/>
      <w:r w:rsidRPr="00E73D4B">
        <w:t xml:space="preserve"> og trussamfunn i å drive klart </w:t>
      </w:r>
      <w:proofErr w:type="spellStart"/>
      <w:r w:rsidRPr="00E73D4B">
        <w:t>integreringshemjande</w:t>
      </w:r>
      <w:proofErr w:type="spellEnd"/>
      <w:r w:rsidRPr="00E73D4B">
        <w:t xml:space="preserve"> aktivitet, jf. </w:t>
      </w:r>
      <w:proofErr w:type="spellStart"/>
      <w:r w:rsidRPr="00E73D4B">
        <w:t>Dok</w:t>
      </w:r>
      <w:proofErr w:type="spellEnd"/>
      <w:r w:rsidRPr="00E73D4B">
        <w:t xml:space="preserve">. 8:135 S (2020–2021) og </w:t>
      </w:r>
      <w:proofErr w:type="spellStart"/>
      <w:r w:rsidRPr="00E73D4B">
        <w:t>Innst</w:t>
      </w:r>
      <w:proofErr w:type="spellEnd"/>
      <w:r w:rsidRPr="00E73D4B">
        <w:t>. 406 S (2020–2021).</w:t>
      </w:r>
    </w:p>
    <w:p w14:paraId="0AA6928B" w14:textId="77777777" w:rsidR="00972395" w:rsidRPr="00E73D4B" w:rsidRDefault="00F120C7" w:rsidP="00E73D4B">
      <w:r w:rsidRPr="00E73D4B">
        <w:t xml:space="preserve">Departementet ser oppfølginga av dette vedtaket i </w:t>
      </w:r>
      <w:proofErr w:type="spellStart"/>
      <w:r w:rsidRPr="00E73D4B">
        <w:t>samanheng</w:t>
      </w:r>
      <w:proofErr w:type="spellEnd"/>
      <w:r w:rsidRPr="00E73D4B">
        <w:t xml:space="preserve"> med oppfølginga av vedtak 498 av 14. april 2020, om </w:t>
      </w:r>
      <w:proofErr w:type="spellStart"/>
      <w:r w:rsidRPr="00E73D4B">
        <w:t>eit</w:t>
      </w:r>
      <w:proofErr w:type="spellEnd"/>
      <w:r w:rsidRPr="00E73D4B">
        <w:t xml:space="preserve"> </w:t>
      </w:r>
      <w:proofErr w:type="spellStart"/>
      <w:r w:rsidRPr="00E73D4B">
        <w:t>forbod</w:t>
      </w:r>
      <w:proofErr w:type="spellEnd"/>
      <w:r w:rsidRPr="00E73D4B">
        <w:t xml:space="preserve"> mot faste etter-skule-</w:t>
      </w:r>
      <w:proofErr w:type="spellStart"/>
      <w:r w:rsidRPr="00E73D4B">
        <w:t>tilbod</w:t>
      </w:r>
      <w:proofErr w:type="spellEnd"/>
      <w:r w:rsidRPr="00E73D4B">
        <w:t xml:space="preserve"> for barn med overnatting. Det er </w:t>
      </w:r>
      <w:proofErr w:type="spellStart"/>
      <w:r w:rsidRPr="00E73D4B">
        <w:t>påbyrja</w:t>
      </w:r>
      <w:proofErr w:type="spellEnd"/>
      <w:r w:rsidRPr="00E73D4B">
        <w:t xml:space="preserve"> </w:t>
      </w:r>
      <w:proofErr w:type="spellStart"/>
      <w:r w:rsidRPr="00E73D4B">
        <w:t>eit</w:t>
      </w:r>
      <w:proofErr w:type="spellEnd"/>
      <w:r w:rsidRPr="00E73D4B">
        <w:t xml:space="preserve"> samarbeid med </w:t>
      </w:r>
      <w:proofErr w:type="spellStart"/>
      <w:r w:rsidRPr="00E73D4B">
        <w:t>fleire</w:t>
      </w:r>
      <w:proofErr w:type="spellEnd"/>
      <w:r w:rsidRPr="00E73D4B">
        <w:t xml:space="preserve"> departement for å greie ut </w:t>
      </w:r>
      <w:proofErr w:type="spellStart"/>
      <w:r w:rsidRPr="00E73D4B">
        <w:t>moglege</w:t>
      </w:r>
      <w:proofErr w:type="spellEnd"/>
      <w:r w:rsidRPr="00E73D4B">
        <w:t xml:space="preserve"> </w:t>
      </w:r>
      <w:proofErr w:type="spellStart"/>
      <w:r w:rsidRPr="00E73D4B">
        <w:t>verkemiddel</w:t>
      </w:r>
      <w:proofErr w:type="spellEnd"/>
      <w:r w:rsidRPr="00E73D4B">
        <w:t xml:space="preserve"> og tiltak. Departementet vil komme tilbake til Stortinget om oppfølginga av vedtaka på eigna vis.</w:t>
      </w:r>
    </w:p>
    <w:p w14:paraId="335089F5" w14:textId="77777777" w:rsidR="00972395" w:rsidRPr="00E73D4B" w:rsidRDefault="00F120C7" w:rsidP="00E73D4B">
      <w:pPr>
        <w:pStyle w:val="avsnitt-tittel"/>
      </w:pPr>
      <w:proofErr w:type="spellStart"/>
      <w:r w:rsidRPr="00E73D4B">
        <w:t>Eigendel</w:t>
      </w:r>
      <w:proofErr w:type="spellEnd"/>
      <w:r w:rsidRPr="00E73D4B">
        <w:t xml:space="preserve"> for mat i </w:t>
      </w:r>
      <w:proofErr w:type="spellStart"/>
      <w:r w:rsidRPr="00E73D4B">
        <w:t>krisesentera</w:t>
      </w:r>
      <w:proofErr w:type="spellEnd"/>
    </w:p>
    <w:p w14:paraId="33C93CF8" w14:textId="77777777" w:rsidR="00972395" w:rsidRPr="00E73D4B" w:rsidRDefault="00F120C7" w:rsidP="00E73D4B">
      <w:pPr>
        <w:pStyle w:val="avsnitt-undertittel"/>
      </w:pPr>
      <w:r w:rsidRPr="00E73D4B">
        <w:t>Vedtak nr. 972, 25. mai 2021</w:t>
      </w:r>
    </w:p>
    <w:p w14:paraId="4A34BC14" w14:textId="77777777" w:rsidR="00972395" w:rsidRPr="00E73D4B" w:rsidRDefault="00F120C7" w:rsidP="00E73D4B">
      <w:pPr>
        <w:pStyle w:val="blokksit"/>
        <w:rPr>
          <w:rStyle w:val="kursiv"/>
        </w:rPr>
      </w:pPr>
      <w:r w:rsidRPr="00E73D4B">
        <w:rPr>
          <w:rStyle w:val="kursiv"/>
        </w:rPr>
        <w:t>«Stortinget ber regjeringen gå gjennom lov om kommunale krisesentertilbud og legge opp til at det ikke tas egenandel for mat fra den enkelte.»</w:t>
      </w:r>
    </w:p>
    <w:p w14:paraId="642017C4"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w:t>
      </w:r>
      <w:proofErr w:type="spellStart"/>
      <w:r w:rsidRPr="00E73D4B">
        <w:t>eit</w:t>
      </w:r>
      <w:proofErr w:type="spellEnd"/>
      <w:r w:rsidRPr="00E73D4B">
        <w:t xml:space="preserve"> styrkt og gratis </w:t>
      </w:r>
      <w:proofErr w:type="spellStart"/>
      <w:r w:rsidRPr="00E73D4B">
        <w:t>krisesentertilbod</w:t>
      </w:r>
      <w:proofErr w:type="spellEnd"/>
      <w:r w:rsidRPr="00E73D4B">
        <w:t xml:space="preserve"> for </w:t>
      </w:r>
      <w:proofErr w:type="spellStart"/>
      <w:r w:rsidRPr="00E73D4B">
        <w:t>valdsutsette</w:t>
      </w:r>
      <w:proofErr w:type="spellEnd"/>
      <w:r w:rsidRPr="00E73D4B">
        <w:t xml:space="preserve">, jf. </w:t>
      </w:r>
      <w:proofErr w:type="spellStart"/>
      <w:r w:rsidRPr="00E73D4B">
        <w:t>Dok</w:t>
      </w:r>
      <w:proofErr w:type="spellEnd"/>
      <w:r w:rsidRPr="00E73D4B">
        <w:t xml:space="preserve">. 8:134 S (2020–2021) og </w:t>
      </w:r>
      <w:proofErr w:type="spellStart"/>
      <w:r w:rsidRPr="00E73D4B">
        <w:t>Innst</w:t>
      </w:r>
      <w:proofErr w:type="spellEnd"/>
      <w:r w:rsidRPr="00E73D4B">
        <w:t>. 427 S (2020–2021).</w:t>
      </w:r>
    </w:p>
    <w:p w14:paraId="3E3CA580" w14:textId="77777777" w:rsidR="00972395" w:rsidRPr="00E73D4B" w:rsidRDefault="00F120C7" w:rsidP="00E73D4B">
      <w:r w:rsidRPr="00E73D4B">
        <w:t xml:space="preserve">Krisesenterlova </w:t>
      </w:r>
      <w:proofErr w:type="spellStart"/>
      <w:r w:rsidRPr="00E73D4B">
        <w:t>fastset</w:t>
      </w:r>
      <w:proofErr w:type="spellEnd"/>
      <w:r w:rsidRPr="00E73D4B">
        <w:t xml:space="preserve"> at </w:t>
      </w:r>
      <w:proofErr w:type="spellStart"/>
      <w:r w:rsidRPr="00E73D4B">
        <w:t>krisesentertilbodet</w:t>
      </w:r>
      <w:proofErr w:type="spellEnd"/>
      <w:r w:rsidRPr="00E73D4B">
        <w:t xml:space="preserve"> skal </w:t>
      </w:r>
      <w:proofErr w:type="spellStart"/>
      <w:r w:rsidRPr="00E73D4B">
        <w:t>vere</w:t>
      </w:r>
      <w:proofErr w:type="spellEnd"/>
      <w:r w:rsidRPr="00E73D4B">
        <w:t xml:space="preserve"> gratis. I </w:t>
      </w:r>
      <w:proofErr w:type="spellStart"/>
      <w:r w:rsidRPr="00E73D4B">
        <w:t>førearbeida</w:t>
      </w:r>
      <w:proofErr w:type="spellEnd"/>
      <w:r w:rsidRPr="00E73D4B">
        <w:t xml:space="preserve"> til lova går det fram at det </w:t>
      </w:r>
      <w:proofErr w:type="spellStart"/>
      <w:r w:rsidRPr="00E73D4B">
        <w:t>ikkje</w:t>
      </w:r>
      <w:proofErr w:type="spellEnd"/>
      <w:r w:rsidRPr="00E73D4B">
        <w:t xml:space="preserve"> skal </w:t>
      </w:r>
      <w:proofErr w:type="spellStart"/>
      <w:r w:rsidRPr="00E73D4B">
        <w:t>krevjast</w:t>
      </w:r>
      <w:proofErr w:type="spellEnd"/>
      <w:r w:rsidRPr="00E73D4B">
        <w:t xml:space="preserve"> betaling for </w:t>
      </w:r>
      <w:proofErr w:type="spellStart"/>
      <w:r w:rsidRPr="00E73D4B">
        <w:t>opphaldet</w:t>
      </w:r>
      <w:proofErr w:type="spellEnd"/>
      <w:r w:rsidRPr="00E73D4B">
        <w:t xml:space="preserve">, med unntak av eventuelle utgifter til mat til kostpris. Det er ulik praksis for korleis </w:t>
      </w:r>
      <w:proofErr w:type="spellStart"/>
      <w:r w:rsidRPr="00E73D4B">
        <w:t>krisesentera</w:t>
      </w:r>
      <w:proofErr w:type="spellEnd"/>
      <w:r w:rsidRPr="00E73D4B">
        <w:t xml:space="preserve"> organiserer mat og måltid. Dei fleste </w:t>
      </w:r>
      <w:proofErr w:type="spellStart"/>
      <w:r w:rsidRPr="00E73D4B">
        <w:t>sentera</w:t>
      </w:r>
      <w:proofErr w:type="spellEnd"/>
      <w:r w:rsidRPr="00E73D4B">
        <w:t xml:space="preserve"> </w:t>
      </w:r>
      <w:proofErr w:type="spellStart"/>
      <w:r w:rsidRPr="00E73D4B">
        <w:t>legg</w:t>
      </w:r>
      <w:proofErr w:type="spellEnd"/>
      <w:r w:rsidRPr="00E73D4B">
        <w:t xml:space="preserve"> opp til at </w:t>
      </w:r>
      <w:proofErr w:type="spellStart"/>
      <w:r w:rsidRPr="00E73D4B">
        <w:t>bebuarane</w:t>
      </w:r>
      <w:proofErr w:type="spellEnd"/>
      <w:r w:rsidRPr="00E73D4B">
        <w:t xml:space="preserve"> kjøper og </w:t>
      </w:r>
      <w:proofErr w:type="spellStart"/>
      <w:r w:rsidRPr="00E73D4B">
        <w:t>lagar</w:t>
      </w:r>
      <w:proofErr w:type="spellEnd"/>
      <w:r w:rsidRPr="00E73D4B">
        <w:t xml:space="preserve"> mat sjølve. </w:t>
      </w:r>
      <w:proofErr w:type="spellStart"/>
      <w:r w:rsidRPr="00E73D4B">
        <w:t>Nokre</w:t>
      </w:r>
      <w:proofErr w:type="spellEnd"/>
      <w:r w:rsidRPr="00E73D4B">
        <w:t xml:space="preserve"> få krisesenter </w:t>
      </w:r>
      <w:proofErr w:type="spellStart"/>
      <w:r w:rsidRPr="00E73D4B">
        <w:t>dekkjer</w:t>
      </w:r>
      <w:proofErr w:type="spellEnd"/>
      <w:r w:rsidRPr="00E73D4B">
        <w:t xml:space="preserve"> maten, slik at </w:t>
      </w:r>
      <w:proofErr w:type="spellStart"/>
      <w:r w:rsidRPr="00E73D4B">
        <w:t>bebuarane</w:t>
      </w:r>
      <w:proofErr w:type="spellEnd"/>
      <w:r w:rsidRPr="00E73D4B">
        <w:t xml:space="preserve"> </w:t>
      </w:r>
      <w:proofErr w:type="spellStart"/>
      <w:r w:rsidRPr="00E73D4B">
        <w:t>ikkje</w:t>
      </w:r>
      <w:proofErr w:type="spellEnd"/>
      <w:r w:rsidRPr="00E73D4B">
        <w:t xml:space="preserve"> har </w:t>
      </w:r>
      <w:proofErr w:type="spellStart"/>
      <w:r w:rsidRPr="00E73D4B">
        <w:t>nokon</w:t>
      </w:r>
      <w:proofErr w:type="spellEnd"/>
      <w:r w:rsidRPr="00E73D4B">
        <w:t xml:space="preserve"> matutgifter under </w:t>
      </w:r>
      <w:proofErr w:type="spellStart"/>
      <w:r w:rsidRPr="00E73D4B">
        <w:t>opphaldet</w:t>
      </w:r>
      <w:proofErr w:type="spellEnd"/>
      <w:r w:rsidRPr="00E73D4B">
        <w:t xml:space="preserve">, eller </w:t>
      </w:r>
      <w:proofErr w:type="spellStart"/>
      <w:r w:rsidRPr="00E73D4B">
        <w:t>dei</w:t>
      </w:r>
      <w:proofErr w:type="spellEnd"/>
      <w:r w:rsidRPr="00E73D4B">
        <w:t xml:space="preserve"> opererer med </w:t>
      </w:r>
      <w:proofErr w:type="spellStart"/>
      <w:r w:rsidRPr="00E73D4B">
        <w:t>ein</w:t>
      </w:r>
      <w:proofErr w:type="spellEnd"/>
      <w:r w:rsidRPr="00E73D4B">
        <w:t xml:space="preserve"> </w:t>
      </w:r>
      <w:proofErr w:type="spellStart"/>
      <w:r w:rsidRPr="00E73D4B">
        <w:t>eigendel</w:t>
      </w:r>
      <w:proofErr w:type="spellEnd"/>
      <w:r w:rsidRPr="00E73D4B">
        <w:t xml:space="preserve"> for matutgifter. Departementet </w:t>
      </w:r>
      <w:proofErr w:type="spellStart"/>
      <w:r w:rsidRPr="00E73D4B">
        <w:t>tek</w:t>
      </w:r>
      <w:proofErr w:type="spellEnd"/>
      <w:r w:rsidRPr="00E73D4B">
        <w:t xml:space="preserve"> sikte på å </w:t>
      </w:r>
      <w:proofErr w:type="spellStart"/>
      <w:r w:rsidRPr="00E73D4B">
        <w:t>leggje</w:t>
      </w:r>
      <w:proofErr w:type="spellEnd"/>
      <w:r w:rsidRPr="00E73D4B">
        <w:t xml:space="preserve"> fram </w:t>
      </w:r>
      <w:proofErr w:type="spellStart"/>
      <w:r w:rsidRPr="00E73D4B">
        <w:t>eit</w:t>
      </w:r>
      <w:proofErr w:type="spellEnd"/>
      <w:r w:rsidRPr="00E73D4B">
        <w:t xml:space="preserve"> </w:t>
      </w:r>
      <w:proofErr w:type="spellStart"/>
      <w:r w:rsidRPr="00E73D4B">
        <w:t>høyringsnotat</w:t>
      </w:r>
      <w:proofErr w:type="spellEnd"/>
      <w:r w:rsidRPr="00E73D4B">
        <w:t xml:space="preserve"> med forslag til </w:t>
      </w:r>
      <w:proofErr w:type="spellStart"/>
      <w:r w:rsidRPr="00E73D4B">
        <w:t>endringar</w:t>
      </w:r>
      <w:proofErr w:type="spellEnd"/>
      <w:r w:rsidRPr="00E73D4B">
        <w:t xml:space="preserve"> i krisesenterlova. I dette arbeidet skal bruken av </w:t>
      </w:r>
      <w:proofErr w:type="spellStart"/>
      <w:r w:rsidRPr="00E73D4B">
        <w:t>eigendelar</w:t>
      </w:r>
      <w:proofErr w:type="spellEnd"/>
      <w:r w:rsidRPr="00E73D4B">
        <w:t xml:space="preserve"> bli greidd ut. Departementet vil komme tilbake til Stortinget om oppfølginga av vedtaket på eigna vis.</w:t>
      </w:r>
    </w:p>
    <w:p w14:paraId="37A5FD89" w14:textId="77777777" w:rsidR="00972395" w:rsidRPr="00E73D4B" w:rsidRDefault="00F120C7" w:rsidP="00E73D4B">
      <w:pPr>
        <w:pStyle w:val="avsnitt-tittel"/>
      </w:pPr>
      <w:proofErr w:type="spellStart"/>
      <w:r w:rsidRPr="00E73D4B">
        <w:t>Tverrfagleg</w:t>
      </w:r>
      <w:proofErr w:type="spellEnd"/>
      <w:r w:rsidRPr="00E73D4B">
        <w:t xml:space="preserve"> kompetanse på rus og vald i </w:t>
      </w:r>
      <w:proofErr w:type="spellStart"/>
      <w:r w:rsidRPr="00E73D4B">
        <w:t>krisesentera</w:t>
      </w:r>
      <w:proofErr w:type="spellEnd"/>
    </w:p>
    <w:p w14:paraId="75FC4908" w14:textId="77777777" w:rsidR="00972395" w:rsidRPr="00E73D4B" w:rsidRDefault="00F120C7" w:rsidP="00E73D4B">
      <w:pPr>
        <w:pStyle w:val="avsnitt-undertittel"/>
      </w:pPr>
      <w:r w:rsidRPr="00E73D4B">
        <w:t>Vedtak nr. 1124, 3. juni 2021</w:t>
      </w:r>
    </w:p>
    <w:p w14:paraId="6A8AB70F" w14:textId="77777777" w:rsidR="00972395" w:rsidRPr="00E73D4B" w:rsidRDefault="00F120C7" w:rsidP="00E73D4B">
      <w:pPr>
        <w:pStyle w:val="blokksit"/>
        <w:rPr>
          <w:rStyle w:val="kursiv"/>
        </w:rPr>
      </w:pPr>
      <w:r w:rsidRPr="00E73D4B">
        <w:rPr>
          <w:rStyle w:val="kursiv"/>
        </w:rPr>
        <w:t>«Stortinget ber regjeringen sikre at òg personer i aktiv rus har tilgang til et krisesentertilbud med ansatte som har tverrfaglig kompetanse på rus og vold, enten i tilknytning til eksisterende krisesentre eller som selvstendig tilbud.»</w:t>
      </w:r>
    </w:p>
    <w:p w14:paraId="669D9DBA" w14:textId="77777777" w:rsidR="00972395" w:rsidRPr="00E73D4B" w:rsidRDefault="00F120C7" w:rsidP="00E73D4B">
      <w:r w:rsidRPr="00E73D4B">
        <w:t xml:space="preserve">Vedtaket blei gjort i samband med handsaminga av </w:t>
      </w:r>
      <w:proofErr w:type="spellStart"/>
      <w:r w:rsidRPr="00E73D4B">
        <w:t>eit</w:t>
      </w:r>
      <w:proofErr w:type="spellEnd"/>
      <w:r w:rsidRPr="00E73D4B">
        <w:t xml:space="preserve"> representantforslag om </w:t>
      </w:r>
      <w:proofErr w:type="gramStart"/>
      <w:r w:rsidRPr="00E73D4B">
        <w:t xml:space="preserve">ei </w:t>
      </w:r>
      <w:proofErr w:type="spellStart"/>
      <w:r w:rsidRPr="00E73D4B">
        <w:t>førebyggings</w:t>
      </w:r>
      <w:proofErr w:type="spellEnd"/>
      <w:r w:rsidRPr="00E73D4B">
        <w:t>- og behandlingsreform</w:t>
      </w:r>
      <w:proofErr w:type="gramEnd"/>
      <w:r w:rsidRPr="00E73D4B">
        <w:t xml:space="preserve"> på rusfeltet, jf. </w:t>
      </w:r>
      <w:proofErr w:type="spellStart"/>
      <w:r w:rsidRPr="00E73D4B">
        <w:t>Dok</w:t>
      </w:r>
      <w:proofErr w:type="spellEnd"/>
      <w:r w:rsidRPr="00E73D4B">
        <w:t xml:space="preserve">. 8:119 S (2020–2021) og </w:t>
      </w:r>
      <w:proofErr w:type="spellStart"/>
      <w:r w:rsidRPr="00E73D4B">
        <w:t>Innst</w:t>
      </w:r>
      <w:proofErr w:type="spellEnd"/>
      <w:r w:rsidRPr="00E73D4B">
        <w:t>. 578 S (2020–2021).</w:t>
      </w:r>
    </w:p>
    <w:p w14:paraId="47B8DC42" w14:textId="77777777" w:rsidR="00972395" w:rsidRPr="00E73D4B" w:rsidRDefault="00F120C7" w:rsidP="00E73D4B">
      <w:r w:rsidRPr="00E73D4B">
        <w:t xml:space="preserve">Krisesenterstatistikken til </w:t>
      </w:r>
      <w:proofErr w:type="spellStart"/>
      <w:r w:rsidRPr="00E73D4B">
        <w:t>Bufdir</w:t>
      </w:r>
      <w:proofErr w:type="spellEnd"/>
      <w:r w:rsidRPr="00E73D4B">
        <w:t xml:space="preserve"> viser at sju krisesenter for kvinner og åtte senter for menn </w:t>
      </w:r>
      <w:proofErr w:type="spellStart"/>
      <w:r w:rsidRPr="00E73D4B">
        <w:t>ikkje</w:t>
      </w:r>
      <w:proofErr w:type="spellEnd"/>
      <w:r w:rsidRPr="00E73D4B">
        <w:t xml:space="preserve"> gir </w:t>
      </w:r>
      <w:proofErr w:type="spellStart"/>
      <w:r w:rsidRPr="00E73D4B">
        <w:t>tilbod</w:t>
      </w:r>
      <w:proofErr w:type="spellEnd"/>
      <w:r w:rsidRPr="00E73D4B">
        <w:t xml:space="preserve"> om </w:t>
      </w:r>
      <w:proofErr w:type="spellStart"/>
      <w:r w:rsidRPr="00E73D4B">
        <w:t>opphald</w:t>
      </w:r>
      <w:proofErr w:type="spellEnd"/>
      <w:r w:rsidRPr="00E73D4B">
        <w:t xml:space="preserve"> til </w:t>
      </w:r>
      <w:proofErr w:type="gramStart"/>
      <w:r w:rsidRPr="00E73D4B">
        <w:t>utsette</w:t>
      </w:r>
      <w:proofErr w:type="gramEnd"/>
      <w:r w:rsidRPr="00E73D4B">
        <w:t xml:space="preserve"> med </w:t>
      </w:r>
      <w:proofErr w:type="spellStart"/>
      <w:r w:rsidRPr="00E73D4B">
        <w:t>ein</w:t>
      </w:r>
      <w:proofErr w:type="spellEnd"/>
      <w:r w:rsidRPr="00E73D4B">
        <w:t xml:space="preserve"> </w:t>
      </w:r>
      <w:proofErr w:type="spellStart"/>
      <w:r w:rsidRPr="00E73D4B">
        <w:t>kjend</w:t>
      </w:r>
      <w:proofErr w:type="spellEnd"/>
      <w:r w:rsidRPr="00E73D4B">
        <w:t xml:space="preserve"> rusproblematikk. I tillegg er det </w:t>
      </w:r>
      <w:proofErr w:type="spellStart"/>
      <w:r w:rsidRPr="00E73D4B">
        <w:t>personar</w:t>
      </w:r>
      <w:proofErr w:type="spellEnd"/>
      <w:r w:rsidRPr="00E73D4B">
        <w:t xml:space="preserve"> i aktiv rus som </w:t>
      </w:r>
      <w:proofErr w:type="spellStart"/>
      <w:r w:rsidRPr="00E73D4B">
        <w:t>ikkje</w:t>
      </w:r>
      <w:proofErr w:type="spellEnd"/>
      <w:r w:rsidRPr="00E73D4B">
        <w:t xml:space="preserve"> </w:t>
      </w:r>
      <w:proofErr w:type="spellStart"/>
      <w:r w:rsidRPr="00E73D4B">
        <w:t>oppsøkjer</w:t>
      </w:r>
      <w:proofErr w:type="spellEnd"/>
      <w:r w:rsidRPr="00E73D4B">
        <w:t xml:space="preserve"> </w:t>
      </w:r>
      <w:proofErr w:type="spellStart"/>
      <w:r w:rsidRPr="00E73D4B">
        <w:t>krisesentera</w:t>
      </w:r>
      <w:proofErr w:type="spellEnd"/>
      <w:r w:rsidRPr="00E73D4B">
        <w:t xml:space="preserve">. Departementet er i gang med </w:t>
      </w:r>
      <w:proofErr w:type="spellStart"/>
      <w:r w:rsidRPr="00E73D4B">
        <w:t>eit</w:t>
      </w:r>
      <w:proofErr w:type="spellEnd"/>
      <w:r w:rsidRPr="00E73D4B">
        <w:t xml:space="preserve"> utviklingsarbeid om </w:t>
      </w:r>
      <w:proofErr w:type="spellStart"/>
      <w:r w:rsidRPr="00E73D4B">
        <w:t>krisesentertilbodet</w:t>
      </w:r>
      <w:proofErr w:type="spellEnd"/>
      <w:r w:rsidRPr="00E73D4B">
        <w:t xml:space="preserve"> der </w:t>
      </w:r>
      <w:proofErr w:type="spellStart"/>
      <w:r w:rsidRPr="00E73D4B">
        <w:t>kvalitetsutfordringar</w:t>
      </w:r>
      <w:proofErr w:type="spellEnd"/>
      <w:r w:rsidRPr="00E73D4B">
        <w:t xml:space="preserve"> i </w:t>
      </w:r>
      <w:proofErr w:type="spellStart"/>
      <w:r w:rsidRPr="00E73D4B">
        <w:t>tilbodet</w:t>
      </w:r>
      <w:proofErr w:type="spellEnd"/>
      <w:r w:rsidRPr="00E73D4B">
        <w:t xml:space="preserve"> bli drøfta, mellom anna </w:t>
      </w:r>
      <w:proofErr w:type="spellStart"/>
      <w:r w:rsidRPr="00E73D4B">
        <w:t>tilbodet</w:t>
      </w:r>
      <w:proofErr w:type="spellEnd"/>
      <w:r w:rsidRPr="00E73D4B">
        <w:t xml:space="preserve"> til </w:t>
      </w:r>
      <w:proofErr w:type="spellStart"/>
      <w:r w:rsidRPr="00E73D4B">
        <w:t>personar</w:t>
      </w:r>
      <w:proofErr w:type="spellEnd"/>
      <w:r w:rsidRPr="00E73D4B">
        <w:t xml:space="preserve"> i aktiv rus. Sjå omtale under Programkategori 11.10 </w:t>
      </w:r>
      <w:r w:rsidRPr="00E73D4B">
        <w:rPr>
          <w:rStyle w:val="kursiv"/>
        </w:rPr>
        <w:t>Familie og oppvekst</w:t>
      </w:r>
      <w:r w:rsidRPr="00E73D4B">
        <w:t xml:space="preserve">. Dette arbeidet skal </w:t>
      </w:r>
      <w:proofErr w:type="spellStart"/>
      <w:r w:rsidRPr="00E73D4B">
        <w:t>sjåast</w:t>
      </w:r>
      <w:proofErr w:type="spellEnd"/>
      <w:r w:rsidRPr="00E73D4B">
        <w:t xml:space="preserve"> i </w:t>
      </w:r>
      <w:proofErr w:type="spellStart"/>
      <w:r w:rsidRPr="00E73D4B">
        <w:t>samanheng</w:t>
      </w:r>
      <w:proofErr w:type="spellEnd"/>
      <w:r w:rsidRPr="00E73D4B">
        <w:t xml:space="preserve"> med stortingsmeldinga om </w:t>
      </w:r>
      <w:proofErr w:type="spellStart"/>
      <w:r w:rsidRPr="00E73D4B">
        <w:t>førebyggings</w:t>
      </w:r>
      <w:proofErr w:type="spellEnd"/>
      <w:r w:rsidRPr="00E73D4B">
        <w:t xml:space="preserve">- og </w:t>
      </w:r>
      <w:proofErr w:type="spellStart"/>
      <w:r w:rsidRPr="00E73D4B">
        <w:t>behandlingsreforma</w:t>
      </w:r>
      <w:proofErr w:type="spellEnd"/>
      <w:r w:rsidRPr="00E73D4B">
        <w:t xml:space="preserve"> på rusfeltet. Sjå </w:t>
      </w:r>
      <w:proofErr w:type="spellStart"/>
      <w:r w:rsidRPr="00E73D4B">
        <w:t>nærare</w:t>
      </w:r>
      <w:proofErr w:type="spellEnd"/>
      <w:r w:rsidRPr="00E73D4B">
        <w:t xml:space="preserve"> omtale i </w:t>
      </w:r>
      <w:proofErr w:type="spellStart"/>
      <w:r w:rsidRPr="00E73D4B">
        <w:t>Prop</w:t>
      </w:r>
      <w:proofErr w:type="spellEnd"/>
      <w:r w:rsidRPr="00E73D4B">
        <w:t>. 1 S for Helse- og omsorgsdepartementet. Departementet vil komme tilbake til Stortinget om oppfølginga av vedtaket på eigna vis.</w:t>
      </w:r>
    </w:p>
    <w:p w14:paraId="19E6BB34" w14:textId="77777777" w:rsidR="00972395" w:rsidRPr="00E73D4B" w:rsidRDefault="00F120C7" w:rsidP="00E73D4B">
      <w:pPr>
        <w:pStyle w:val="avsnitt-tittel"/>
      </w:pPr>
      <w:r w:rsidRPr="00E73D4B">
        <w:t xml:space="preserve">Krav om autorisasjon for </w:t>
      </w:r>
      <w:proofErr w:type="gramStart"/>
      <w:r w:rsidRPr="00E73D4B">
        <w:t>tilsette</w:t>
      </w:r>
      <w:proofErr w:type="gramEnd"/>
      <w:r w:rsidRPr="00E73D4B">
        <w:t xml:space="preserve"> som skal jobbe med </w:t>
      </w:r>
      <w:proofErr w:type="spellStart"/>
      <w:r w:rsidRPr="00E73D4B">
        <w:t>omsorgsovertakingar</w:t>
      </w:r>
      <w:proofErr w:type="spellEnd"/>
    </w:p>
    <w:p w14:paraId="43A86A98" w14:textId="77777777" w:rsidR="00972395" w:rsidRPr="00E73D4B" w:rsidRDefault="00F120C7" w:rsidP="00E73D4B">
      <w:pPr>
        <w:pStyle w:val="avsnitt-undertittel"/>
      </w:pPr>
      <w:r w:rsidRPr="00E73D4B">
        <w:t>Vedtak nr. 1195, 10. juni 2021</w:t>
      </w:r>
    </w:p>
    <w:p w14:paraId="2F0E259B" w14:textId="77777777" w:rsidR="00972395" w:rsidRPr="00E73D4B" w:rsidRDefault="00F120C7" w:rsidP="00E73D4B">
      <w:pPr>
        <w:pStyle w:val="blokksit"/>
        <w:rPr>
          <w:rStyle w:val="kursiv"/>
        </w:rPr>
      </w:pPr>
      <w:r w:rsidRPr="00E73D4B">
        <w:rPr>
          <w:rStyle w:val="kursiv"/>
        </w:rPr>
        <w:t>«Stortinget ber regjeringen utrede krav om autorisasjon for de som skal jobbe med omsorgsovertakelser.»</w:t>
      </w:r>
    </w:p>
    <w:p w14:paraId="4CC583B9"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133 L (2020–2021) </w:t>
      </w:r>
      <w:r w:rsidRPr="00E73D4B">
        <w:rPr>
          <w:rStyle w:val="kursiv"/>
        </w:rPr>
        <w:t>Lov om barnevern (barnevernsloven) og lov om endringer i barnevernloven</w:t>
      </w:r>
      <w:r w:rsidRPr="00E73D4B">
        <w:t xml:space="preserve">, jf. </w:t>
      </w:r>
      <w:proofErr w:type="spellStart"/>
      <w:r w:rsidRPr="00E73D4B">
        <w:t>Innst</w:t>
      </w:r>
      <w:proofErr w:type="spellEnd"/>
      <w:r w:rsidRPr="00E73D4B">
        <w:t>. 625 L (2020–2021).</w:t>
      </w:r>
    </w:p>
    <w:p w14:paraId="505B36EF" w14:textId="77777777" w:rsidR="00972395" w:rsidRPr="00E73D4B" w:rsidRDefault="00F120C7" w:rsidP="00E73D4B">
      <w:r w:rsidRPr="00E73D4B">
        <w:t xml:space="preserve">I arbeidet med </w:t>
      </w:r>
      <w:proofErr w:type="spellStart"/>
      <w:r w:rsidRPr="00E73D4B">
        <w:t>Prop</w:t>
      </w:r>
      <w:proofErr w:type="spellEnd"/>
      <w:r w:rsidRPr="00E73D4B">
        <w:t xml:space="preserve">. 133 L (2020–2021) om ny barnevernslov vurderte departementet innføring av ei autorisasjonsordning i barnevernet. Med bakgrunn i ei utgreiing </w:t>
      </w:r>
      <w:proofErr w:type="spellStart"/>
      <w:r w:rsidRPr="00E73D4B">
        <w:t>frå</w:t>
      </w:r>
      <w:proofErr w:type="spellEnd"/>
      <w:r w:rsidRPr="00E73D4B">
        <w:t xml:space="preserve"> </w:t>
      </w:r>
      <w:proofErr w:type="spellStart"/>
      <w:r w:rsidRPr="00E73D4B">
        <w:t>Bufdir</w:t>
      </w:r>
      <w:proofErr w:type="spellEnd"/>
      <w:r w:rsidRPr="00E73D4B">
        <w:t xml:space="preserve"> </w:t>
      </w:r>
      <w:proofErr w:type="spellStart"/>
      <w:r w:rsidRPr="00E73D4B">
        <w:t>fann</w:t>
      </w:r>
      <w:proofErr w:type="spellEnd"/>
      <w:r w:rsidRPr="00E73D4B">
        <w:t xml:space="preserve"> departementet at innføring av kompetansekrav og </w:t>
      </w:r>
      <w:proofErr w:type="spellStart"/>
      <w:r w:rsidRPr="00E73D4B">
        <w:t>endringar</w:t>
      </w:r>
      <w:proofErr w:type="spellEnd"/>
      <w:r w:rsidRPr="00E73D4B">
        <w:t xml:space="preserve"> i </w:t>
      </w:r>
      <w:proofErr w:type="spellStart"/>
      <w:r w:rsidRPr="00E73D4B">
        <w:t>masterutdanningane</w:t>
      </w:r>
      <w:proofErr w:type="spellEnd"/>
      <w:r w:rsidRPr="00E73D4B">
        <w:t xml:space="preserve">, med </w:t>
      </w:r>
      <w:proofErr w:type="spellStart"/>
      <w:r w:rsidRPr="00E73D4B">
        <w:t>auka</w:t>
      </w:r>
      <w:proofErr w:type="spellEnd"/>
      <w:r w:rsidRPr="00E73D4B">
        <w:t xml:space="preserve"> vekt på praksisnærleik og relevans og betre tilgang til rettleidd praksis under studia, vil </w:t>
      </w:r>
      <w:proofErr w:type="spellStart"/>
      <w:r w:rsidRPr="00E73D4B">
        <w:t>vere</w:t>
      </w:r>
      <w:proofErr w:type="spellEnd"/>
      <w:r w:rsidRPr="00E73D4B">
        <w:t xml:space="preserve"> </w:t>
      </w:r>
      <w:proofErr w:type="spellStart"/>
      <w:r w:rsidRPr="00E73D4B">
        <w:t>meir</w:t>
      </w:r>
      <w:proofErr w:type="spellEnd"/>
      <w:r w:rsidRPr="00E73D4B">
        <w:t xml:space="preserve"> treffsikre og eigna tiltak for å </w:t>
      </w:r>
      <w:proofErr w:type="spellStart"/>
      <w:r w:rsidRPr="00E73D4B">
        <w:t>auke</w:t>
      </w:r>
      <w:proofErr w:type="spellEnd"/>
      <w:r w:rsidRPr="00E73D4B">
        <w:t xml:space="preserve"> tilliten til barnevernet og </w:t>
      </w:r>
      <w:proofErr w:type="spellStart"/>
      <w:r w:rsidRPr="00E73D4B">
        <w:t>sørgje</w:t>
      </w:r>
      <w:proofErr w:type="spellEnd"/>
      <w:r w:rsidRPr="00E73D4B">
        <w:t xml:space="preserve"> for at </w:t>
      </w:r>
      <w:proofErr w:type="spellStart"/>
      <w:r w:rsidRPr="00E73D4B">
        <w:t>dei</w:t>
      </w:r>
      <w:proofErr w:type="spellEnd"/>
      <w:r w:rsidRPr="00E73D4B">
        <w:t xml:space="preserve"> tilsette har </w:t>
      </w:r>
      <w:proofErr w:type="spellStart"/>
      <w:r w:rsidRPr="00E73D4B">
        <w:t>tilstrekkeleg</w:t>
      </w:r>
      <w:proofErr w:type="spellEnd"/>
      <w:r w:rsidRPr="00E73D4B">
        <w:t xml:space="preserve"> og </w:t>
      </w:r>
      <w:proofErr w:type="spellStart"/>
      <w:r w:rsidRPr="00E73D4B">
        <w:t>naudsynt</w:t>
      </w:r>
      <w:proofErr w:type="spellEnd"/>
      <w:r w:rsidRPr="00E73D4B">
        <w:t xml:space="preserve"> kompetanse.</w:t>
      </w:r>
    </w:p>
    <w:p w14:paraId="565749C9" w14:textId="77777777" w:rsidR="00972395" w:rsidRPr="00E73D4B" w:rsidRDefault="00F120C7" w:rsidP="00E73D4B">
      <w:r w:rsidRPr="00E73D4B">
        <w:t xml:space="preserve">Vedtaket </w:t>
      </w:r>
      <w:proofErr w:type="spellStart"/>
      <w:r w:rsidRPr="00E73D4B">
        <w:t>frå</w:t>
      </w:r>
      <w:proofErr w:type="spellEnd"/>
      <w:r w:rsidRPr="00E73D4B">
        <w:t xml:space="preserve"> Stortinget </w:t>
      </w:r>
      <w:proofErr w:type="spellStart"/>
      <w:r w:rsidRPr="00E73D4B">
        <w:t>peiker</w:t>
      </w:r>
      <w:proofErr w:type="spellEnd"/>
      <w:r w:rsidRPr="00E73D4B">
        <w:t xml:space="preserve"> på ei autorisasjonsordning for </w:t>
      </w:r>
      <w:proofErr w:type="spellStart"/>
      <w:r w:rsidRPr="00E73D4B">
        <w:t>dei</w:t>
      </w:r>
      <w:proofErr w:type="spellEnd"/>
      <w:r w:rsidRPr="00E73D4B">
        <w:t xml:space="preserve"> som arbeider med </w:t>
      </w:r>
      <w:proofErr w:type="spellStart"/>
      <w:r w:rsidRPr="00E73D4B">
        <w:t>omsorgsovertakingar</w:t>
      </w:r>
      <w:proofErr w:type="spellEnd"/>
      <w:r w:rsidRPr="00E73D4B">
        <w:t xml:space="preserve">, og er </w:t>
      </w:r>
      <w:proofErr w:type="spellStart"/>
      <w:r w:rsidRPr="00E73D4B">
        <w:t>eit</w:t>
      </w:r>
      <w:proofErr w:type="spellEnd"/>
      <w:r w:rsidRPr="00E73D4B">
        <w:t xml:space="preserve"> </w:t>
      </w:r>
      <w:proofErr w:type="spellStart"/>
      <w:r w:rsidRPr="00E73D4B">
        <w:t>meir</w:t>
      </w:r>
      <w:proofErr w:type="spellEnd"/>
      <w:r w:rsidRPr="00E73D4B">
        <w:t xml:space="preserve"> avgrensa forslag enn det som </w:t>
      </w:r>
      <w:proofErr w:type="spellStart"/>
      <w:r w:rsidRPr="00E73D4B">
        <w:t>tidlegare</w:t>
      </w:r>
      <w:proofErr w:type="spellEnd"/>
      <w:r w:rsidRPr="00E73D4B">
        <w:t xml:space="preserve"> er greidd ut. Departementet endra i desember 2021 mandatet til </w:t>
      </w:r>
      <w:proofErr w:type="spellStart"/>
      <w:r w:rsidRPr="00E73D4B">
        <w:t>Barnevernsutvalet</w:t>
      </w:r>
      <w:proofErr w:type="spellEnd"/>
      <w:r w:rsidRPr="00E73D4B">
        <w:t xml:space="preserve"> som skal vurdere tiltak for å </w:t>
      </w:r>
      <w:proofErr w:type="spellStart"/>
      <w:r w:rsidRPr="00E73D4B">
        <w:t>styrkje</w:t>
      </w:r>
      <w:proofErr w:type="spellEnd"/>
      <w:r w:rsidRPr="00E73D4B">
        <w:t xml:space="preserve"> rettstryggleiken i barnevernet, med </w:t>
      </w:r>
      <w:proofErr w:type="spellStart"/>
      <w:r w:rsidRPr="00E73D4B">
        <w:t>eit</w:t>
      </w:r>
      <w:proofErr w:type="spellEnd"/>
      <w:r w:rsidRPr="00E73D4B">
        <w:t xml:space="preserve"> punkt om at </w:t>
      </w:r>
      <w:proofErr w:type="spellStart"/>
      <w:r w:rsidRPr="00E73D4B">
        <w:t>utvalet</w:t>
      </w:r>
      <w:proofErr w:type="spellEnd"/>
      <w:r w:rsidRPr="00E73D4B">
        <w:t xml:space="preserve"> skal greie ut «ordninger for offentlig godkjenning av personell, herunder […] autorisasjon for de i barnevernet som skal jobbe med omsorgsovertakelse […]». </w:t>
      </w:r>
      <w:proofErr w:type="spellStart"/>
      <w:r w:rsidRPr="00E73D4B">
        <w:t>Utvalet</w:t>
      </w:r>
      <w:proofErr w:type="spellEnd"/>
      <w:r w:rsidRPr="00E73D4B">
        <w:t xml:space="preserve"> skal levere utgreiinga si </w:t>
      </w:r>
      <w:proofErr w:type="spellStart"/>
      <w:r w:rsidRPr="00E73D4B">
        <w:t>innan</w:t>
      </w:r>
      <w:proofErr w:type="spellEnd"/>
      <w:r w:rsidRPr="00E73D4B">
        <w:t xml:space="preserve"> 1. mars 2023. Departementet vil etter dette vurdere forslaga </w:t>
      </w:r>
      <w:proofErr w:type="spellStart"/>
      <w:r w:rsidRPr="00E73D4B">
        <w:t>frå</w:t>
      </w:r>
      <w:proofErr w:type="spellEnd"/>
      <w:r w:rsidRPr="00E73D4B">
        <w:t xml:space="preserve"> </w:t>
      </w:r>
      <w:proofErr w:type="spellStart"/>
      <w:r w:rsidRPr="00E73D4B">
        <w:t>utvalet</w:t>
      </w:r>
      <w:proofErr w:type="spellEnd"/>
      <w:r w:rsidRPr="00E73D4B">
        <w:t xml:space="preserve"> og vil på eigna vis komme tilbake til Stortinget om oppfølginga av vedtaket.</w:t>
      </w:r>
    </w:p>
    <w:p w14:paraId="6DB6917D" w14:textId="77777777" w:rsidR="00972395" w:rsidRPr="00E73D4B" w:rsidRDefault="00F120C7" w:rsidP="00E73D4B">
      <w:pPr>
        <w:pStyle w:val="avsnitt-tittel"/>
      </w:pPr>
      <w:r w:rsidRPr="00E73D4B">
        <w:t>Ordning med andrehandsvurdering av akuttvedtak</w:t>
      </w:r>
    </w:p>
    <w:p w14:paraId="0FF850B7" w14:textId="77777777" w:rsidR="00972395" w:rsidRPr="00E73D4B" w:rsidRDefault="00F120C7" w:rsidP="00E73D4B">
      <w:pPr>
        <w:pStyle w:val="avsnitt-undertittel"/>
      </w:pPr>
      <w:r w:rsidRPr="00E73D4B">
        <w:t>Vedtak nr. 1197, 10. juni 2021</w:t>
      </w:r>
    </w:p>
    <w:p w14:paraId="443D29F6" w14:textId="77777777" w:rsidR="00972395" w:rsidRPr="00E73D4B" w:rsidRDefault="00F120C7" w:rsidP="00E73D4B">
      <w:pPr>
        <w:pStyle w:val="blokksit"/>
        <w:rPr>
          <w:rStyle w:val="kursiv"/>
        </w:rPr>
      </w:pPr>
      <w:r w:rsidRPr="00E73D4B">
        <w:rPr>
          <w:rStyle w:val="kursiv"/>
        </w:rPr>
        <w:t>«Stortinget ber regjeringen utrede og fremme forslag om å innføre en ordning med annenhåndsvurdering av akutt-/hastevedtak.»</w:t>
      </w:r>
    </w:p>
    <w:p w14:paraId="797FA605"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133 L (2020–2021) </w:t>
      </w:r>
      <w:r w:rsidRPr="00E73D4B">
        <w:rPr>
          <w:rStyle w:val="kursiv"/>
        </w:rPr>
        <w:t>Lov om barnevern (barnevernsloven) og lov om endringer i barnevernloven</w:t>
      </w:r>
      <w:r w:rsidRPr="00E73D4B">
        <w:t xml:space="preserve">, jf. </w:t>
      </w:r>
      <w:proofErr w:type="spellStart"/>
      <w:r w:rsidRPr="00E73D4B">
        <w:t>Innst</w:t>
      </w:r>
      <w:proofErr w:type="spellEnd"/>
      <w:r w:rsidRPr="00E73D4B">
        <w:t>. 625 L (2020–2021).</w:t>
      </w:r>
    </w:p>
    <w:p w14:paraId="3110FDFC" w14:textId="77777777" w:rsidR="00972395" w:rsidRPr="00E73D4B" w:rsidRDefault="00F120C7" w:rsidP="00E73D4B">
      <w:r w:rsidRPr="00E73D4B">
        <w:t xml:space="preserve">Departementet viser til at </w:t>
      </w:r>
      <w:proofErr w:type="spellStart"/>
      <w:r w:rsidRPr="00E73D4B">
        <w:t>Barnevernsutvalet</w:t>
      </w:r>
      <w:proofErr w:type="spellEnd"/>
      <w:r w:rsidRPr="00E73D4B">
        <w:t xml:space="preserve"> skal vurdere tiltak for å </w:t>
      </w:r>
      <w:proofErr w:type="spellStart"/>
      <w:r w:rsidRPr="00E73D4B">
        <w:t>styrkje</w:t>
      </w:r>
      <w:proofErr w:type="spellEnd"/>
      <w:r w:rsidRPr="00E73D4B">
        <w:t xml:space="preserve"> rettstryggleiken i barnevernet. </w:t>
      </w:r>
      <w:proofErr w:type="spellStart"/>
      <w:r w:rsidRPr="00E73D4B">
        <w:t>Utvalet</w:t>
      </w:r>
      <w:proofErr w:type="spellEnd"/>
      <w:r w:rsidRPr="00E73D4B">
        <w:t xml:space="preserve"> skal mellom anna vurdere behovet for, og eventuelt </w:t>
      </w:r>
      <w:proofErr w:type="spellStart"/>
      <w:r w:rsidRPr="00E73D4B">
        <w:t>føreslå</w:t>
      </w:r>
      <w:proofErr w:type="spellEnd"/>
      <w:r w:rsidRPr="00E73D4B">
        <w:t xml:space="preserve"> </w:t>
      </w:r>
      <w:proofErr w:type="spellStart"/>
      <w:r w:rsidRPr="00E73D4B">
        <w:t>endringar</w:t>
      </w:r>
      <w:proofErr w:type="spellEnd"/>
      <w:r w:rsidRPr="00E73D4B">
        <w:t xml:space="preserve"> av, system og organisatoriske </w:t>
      </w:r>
      <w:proofErr w:type="spellStart"/>
      <w:r w:rsidRPr="00E73D4B">
        <w:t>løysingar</w:t>
      </w:r>
      <w:proofErr w:type="spellEnd"/>
      <w:r w:rsidRPr="00E73D4B">
        <w:t xml:space="preserve"> for kvalitetssikring av avgjerdsgrunnlaget til barnevernstenesta, </w:t>
      </w:r>
      <w:proofErr w:type="spellStart"/>
      <w:r w:rsidRPr="00E73D4B">
        <w:t>vurderingar</w:t>
      </w:r>
      <w:proofErr w:type="spellEnd"/>
      <w:r w:rsidRPr="00E73D4B">
        <w:t xml:space="preserve"> og avgjerder i alle </w:t>
      </w:r>
      <w:proofErr w:type="spellStart"/>
      <w:r w:rsidRPr="00E73D4B">
        <w:t>typar</w:t>
      </w:r>
      <w:proofErr w:type="spellEnd"/>
      <w:r w:rsidRPr="00E73D4B">
        <w:t xml:space="preserve"> tvangssaker. Dette </w:t>
      </w:r>
      <w:proofErr w:type="spellStart"/>
      <w:r w:rsidRPr="00E73D4B">
        <w:t>omfattar</w:t>
      </w:r>
      <w:proofErr w:type="spellEnd"/>
      <w:r w:rsidRPr="00E73D4B">
        <w:t xml:space="preserve"> òg akuttsaker. </w:t>
      </w:r>
      <w:proofErr w:type="spellStart"/>
      <w:r w:rsidRPr="00E73D4B">
        <w:t>Utvalet</w:t>
      </w:r>
      <w:proofErr w:type="spellEnd"/>
      <w:r w:rsidRPr="00E73D4B">
        <w:t xml:space="preserve"> skal levere utgreiinga si våren 2023. Departementet vil komme tilbake til Stortinget om oppfølginga av vedtaket på eigna vis etter at </w:t>
      </w:r>
      <w:proofErr w:type="spellStart"/>
      <w:r w:rsidRPr="00E73D4B">
        <w:t>utvalet</w:t>
      </w:r>
      <w:proofErr w:type="spellEnd"/>
      <w:r w:rsidRPr="00E73D4B">
        <w:t xml:space="preserve"> har lagt fram innstillinga si.</w:t>
      </w:r>
    </w:p>
    <w:p w14:paraId="73EC833C" w14:textId="77777777" w:rsidR="00972395" w:rsidRPr="00E73D4B" w:rsidRDefault="00F120C7" w:rsidP="00E73D4B">
      <w:pPr>
        <w:pStyle w:val="avsnitt-tittel"/>
      </w:pPr>
      <w:r w:rsidRPr="00E73D4B">
        <w:t>Alternativt omgrep til «</w:t>
      </w:r>
      <w:proofErr w:type="spellStart"/>
      <w:r w:rsidRPr="00E73D4B">
        <w:t>åtferd</w:t>
      </w:r>
      <w:proofErr w:type="spellEnd"/>
      <w:r w:rsidRPr="00E73D4B">
        <w:t>» i barnevernslova</w:t>
      </w:r>
    </w:p>
    <w:p w14:paraId="53739B11" w14:textId="77777777" w:rsidR="00972395" w:rsidRPr="00E73D4B" w:rsidRDefault="00F120C7" w:rsidP="00E73D4B">
      <w:pPr>
        <w:pStyle w:val="avsnitt-undertittel"/>
      </w:pPr>
      <w:r w:rsidRPr="00E73D4B">
        <w:t>Vedtak nr. 1198, 10. juni 2021</w:t>
      </w:r>
    </w:p>
    <w:p w14:paraId="1510C833" w14:textId="77777777" w:rsidR="00972395" w:rsidRPr="00E73D4B" w:rsidRDefault="00F120C7" w:rsidP="00E73D4B">
      <w:pPr>
        <w:pStyle w:val="blokksit"/>
        <w:rPr>
          <w:rStyle w:val="kursiv"/>
        </w:rPr>
      </w:pPr>
      <w:r w:rsidRPr="00E73D4B">
        <w:rPr>
          <w:rStyle w:val="kursiv"/>
        </w:rPr>
        <w:t xml:space="preserve">«Stortinget ber regjeringen arbeide videre med å finne et alternativt begrep til </w:t>
      </w:r>
      <w:proofErr w:type="spellStart"/>
      <w:r w:rsidRPr="00E73D4B">
        <w:rPr>
          <w:rStyle w:val="kursiv"/>
        </w:rPr>
        <w:t>atferdsbegrepet</w:t>
      </w:r>
      <w:proofErr w:type="spellEnd"/>
      <w:r w:rsidRPr="00E73D4B">
        <w:rPr>
          <w:rStyle w:val="kursiv"/>
        </w:rPr>
        <w:t xml:space="preserve"> i barnevernsloven.»</w:t>
      </w:r>
    </w:p>
    <w:p w14:paraId="3FDD0B05"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133 L (2020–2021) </w:t>
      </w:r>
      <w:r w:rsidRPr="00E73D4B">
        <w:rPr>
          <w:rStyle w:val="kursiv"/>
        </w:rPr>
        <w:t>Lov om barnevern (barnevernsloven) og lov om endringer i barnevernloven</w:t>
      </w:r>
      <w:r w:rsidRPr="00E73D4B">
        <w:t xml:space="preserve">, jf. </w:t>
      </w:r>
      <w:proofErr w:type="spellStart"/>
      <w:r w:rsidRPr="00E73D4B">
        <w:t>Innst</w:t>
      </w:r>
      <w:proofErr w:type="spellEnd"/>
      <w:r w:rsidRPr="00E73D4B">
        <w:t>. 625 L (2020–2021).</w:t>
      </w:r>
    </w:p>
    <w:p w14:paraId="1DFC8507" w14:textId="77777777" w:rsidR="00972395" w:rsidRPr="00E73D4B" w:rsidRDefault="00F120C7" w:rsidP="00E73D4B">
      <w:r w:rsidRPr="00E73D4B">
        <w:t xml:space="preserve">I arbeidet med </w:t>
      </w:r>
      <w:proofErr w:type="spellStart"/>
      <w:r w:rsidRPr="00E73D4B">
        <w:t>Prop</w:t>
      </w:r>
      <w:proofErr w:type="spellEnd"/>
      <w:r w:rsidRPr="00E73D4B">
        <w:t xml:space="preserve">. 133 L (2020–2021) om ny barnevernslov vurderte departementet omgrepet </w:t>
      </w:r>
      <w:proofErr w:type="spellStart"/>
      <w:r w:rsidRPr="00E73D4B">
        <w:rPr>
          <w:rStyle w:val="kursiv"/>
        </w:rPr>
        <w:t>åtferd</w:t>
      </w:r>
      <w:proofErr w:type="spellEnd"/>
      <w:r w:rsidRPr="00E73D4B">
        <w:t xml:space="preserve"> og alternativ til det. Departementet </w:t>
      </w:r>
      <w:proofErr w:type="spellStart"/>
      <w:r w:rsidRPr="00E73D4B">
        <w:t>føreslo</w:t>
      </w:r>
      <w:proofErr w:type="spellEnd"/>
      <w:r w:rsidRPr="00E73D4B">
        <w:t xml:space="preserve"> ingen </w:t>
      </w:r>
      <w:proofErr w:type="spellStart"/>
      <w:r w:rsidRPr="00E73D4B">
        <w:t>endringar</w:t>
      </w:r>
      <w:proofErr w:type="spellEnd"/>
      <w:r w:rsidRPr="00E73D4B">
        <w:t xml:space="preserve"> fordi det var </w:t>
      </w:r>
      <w:proofErr w:type="spellStart"/>
      <w:r w:rsidRPr="00E73D4B">
        <w:t>vanskeleg</w:t>
      </w:r>
      <w:proofErr w:type="spellEnd"/>
      <w:r w:rsidRPr="00E73D4B">
        <w:t xml:space="preserve"> å finne </w:t>
      </w:r>
      <w:proofErr w:type="spellStart"/>
      <w:r w:rsidRPr="00E73D4B">
        <w:t>eit</w:t>
      </w:r>
      <w:proofErr w:type="spellEnd"/>
      <w:r w:rsidRPr="00E73D4B">
        <w:t xml:space="preserve"> nytt omgrep som er </w:t>
      </w:r>
      <w:proofErr w:type="spellStart"/>
      <w:r w:rsidRPr="00E73D4B">
        <w:t>tilstrekkeleg</w:t>
      </w:r>
      <w:proofErr w:type="spellEnd"/>
      <w:r w:rsidRPr="00E73D4B">
        <w:t xml:space="preserve"> presist til å heimle </w:t>
      </w:r>
      <w:proofErr w:type="spellStart"/>
      <w:r w:rsidRPr="00E73D4B">
        <w:t>inngripande</w:t>
      </w:r>
      <w:proofErr w:type="spellEnd"/>
      <w:r w:rsidRPr="00E73D4B">
        <w:t xml:space="preserve"> tiltak om tvang. Departementet har gitt </w:t>
      </w:r>
      <w:proofErr w:type="spellStart"/>
      <w:r w:rsidRPr="00E73D4B">
        <w:t>Bufdir</w:t>
      </w:r>
      <w:proofErr w:type="spellEnd"/>
      <w:r w:rsidRPr="00E73D4B">
        <w:t xml:space="preserve"> i oppdrag å arbeide </w:t>
      </w:r>
      <w:proofErr w:type="spellStart"/>
      <w:r w:rsidRPr="00E73D4B">
        <w:t>vidare</w:t>
      </w:r>
      <w:proofErr w:type="spellEnd"/>
      <w:r w:rsidRPr="00E73D4B">
        <w:t xml:space="preserve"> med dette spørsmålet. Som fyrste del av oppfølginga av vedtaket er omgrepet «</w:t>
      </w:r>
      <w:proofErr w:type="spellStart"/>
      <w:r w:rsidRPr="00E73D4B">
        <w:t>atferdsinstitusjon</w:t>
      </w:r>
      <w:proofErr w:type="spellEnd"/>
      <w:r w:rsidRPr="00E73D4B">
        <w:t xml:space="preserve">» erstatta med omgrepa «barnevernsinstitusjon» eller «institusjon» i ny barnevernslov, jf. </w:t>
      </w:r>
      <w:proofErr w:type="spellStart"/>
      <w:r w:rsidRPr="00E73D4B">
        <w:t>Prop</w:t>
      </w:r>
      <w:proofErr w:type="spellEnd"/>
      <w:r w:rsidRPr="00E73D4B">
        <w:t xml:space="preserve">. 86 L (2021–2022) og </w:t>
      </w:r>
      <w:proofErr w:type="spellStart"/>
      <w:r w:rsidRPr="00E73D4B">
        <w:t>Innst</w:t>
      </w:r>
      <w:proofErr w:type="spellEnd"/>
      <w:r w:rsidRPr="00E73D4B">
        <w:t xml:space="preserve">. 391 L (2021–2022). Departementet vil komme tilbake til Stortinget om den </w:t>
      </w:r>
      <w:proofErr w:type="spellStart"/>
      <w:r w:rsidRPr="00E73D4B">
        <w:t>vidare</w:t>
      </w:r>
      <w:proofErr w:type="spellEnd"/>
      <w:r w:rsidRPr="00E73D4B">
        <w:t xml:space="preserve"> oppfølginga av vedtaket på eigna vis.</w:t>
      </w:r>
    </w:p>
    <w:p w14:paraId="7B881895" w14:textId="77777777" w:rsidR="00972395" w:rsidRPr="00E73D4B" w:rsidRDefault="00F120C7" w:rsidP="00E73D4B">
      <w:pPr>
        <w:pStyle w:val="avsnitt-tittel"/>
      </w:pPr>
      <w:r w:rsidRPr="00E73D4B">
        <w:t xml:space="preserve">Oppfølging av </w:t>
      </w:r>
      <w:proofErr w:type="spellStart"/>
      <w:r w:rsidRPr="00E73D4B">
        <w:t>tilrådingar</w:t>
      </w:r>
      <w:proofErr w:type="spellEnd"/>
      <w:r w:rsidRPr="00E73D4B">
        <w:t xml:space="preserve"> </w:t>
      </w:r>
      <w:proofErr w:type="spellStart"/>
      <w:r w:rsidRPr="00E73D4B">
        <w:t>frå</w:t>
      </w:r>
      <w:proofErr w:type="spellEnd"/>
      <w:r w:rsidRPr="00E73D4B">
        <w:t xml:space="preserve"> </w:t>
      </w:r>
      <w:proofErr w:type="spellStart"/>
      <w:r w:rsidRPr="00E73D4B">
        <w:t>rettstryggleiksutvalet</w:t>
      </w:r>
      <w:proofErr w:type="spellEnd"/>
      <w:r w:rsidRPr="00E73D4B">
        <w:t xml:space="preserve"> på barnevernsområdet</w:t>
      </w:r>
    </w:p>
    <w:p w14:paraId="2F24116D" w14:textId="77777777" w:rsidR="00972395" w:rsidRPr="00E73D4B" w:rsidRDefault="00F120C7" w:rsidP="00E73D4B">
      <w:pPr>
        <w:pStyle w:val="avsnitt-undertittel"/>
      </w:pPr>
      <w:r w:rsidRPr="00E73D4B">
        <w:t>Vedtak nr. 1201, 10. juni 2021</w:t>
      </w:r>
    </w:p>
    <w:p w14:paraId="15BD61D6" w14:textId="77777777" w:rsidR="00972395" w:rsidRPr="00E73D4B" w:rsidRDefault="00F120C7" w:rsidP="00E73D4B">
      <w:pPr>
        <w:pStyle w:val="blokksit"/>
        <w:rPr>
          <w:rStyle w:val="kursiv"/>
        </w:rPr>
      </w:pPr>
      <w:r w:rsidRPr="00E73D4B">
        <w:rPr>
          <w:rStyle w:val="kursiv"/>
        </w:rPr>
        <w:t>«Stortinget ber regjeringen følge opp rettsikkerhetsutvalgets anbefalinger på barnevernsområdet uten ubegrunnet opphold.»</w:t>
      </w:r>
    </w:p>
    <w:p w14:paraId="1D5EFD0D"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133 L (2020–2021) </w:t>
      </w:r>
      <w:r w:rsidRPr="00E73D4B">
        <w:rPr>
          <w:rStyle w:val="kursiv"/>
        </w:rPr>
        <w:t>Lov om barnevern (barnevernsloven) og lov om endringer i barnevernloven</w:t>
      </w:r>
      <w:r w:rsidRPr="00E73D4B">
        <w:t xml:space="preserve">, jf. </w:t>
      </w:r>
      <w:proofErr w:type="spellStart"/>
      <w:r w:rsidRPr="00E73D4B">
        <w:t>Innst</w:t>
      </w:r>
      <w:proofErr w:type="spellEnd"/>
      <w:r w:rsidRPr="00E73D4B">
        <w:t>. 625 L (2020–2021).</w:t>
      </w:r>
    </w:p>
    <w:p w14:paraId="601E98F0" w14:textId="77777777" w:rsidR="00972395" w:rsidRPr="00E73D4B" w:rsidRDefault="00F120C7" w:rsidP="00E73D4B">
      <w:r w:rsidRPr="00E73D4B">
        <w:t xml:space="preserve">Regjeringa har sett ned </w:t>
      </w:r>
      <w:proofErr w:type="spellStart"/>
      <w:r w:rsidRPr="00E73D4B">
        <w:t>eit</w:t>
      </w:r>
      <w:proofErr w:type="spellEnd"/>
      <w:r w:rsidRPr="00E73D4B">
        <w:t xml:space="preserve"> </w:t>
      </w:r>
      <w:proofErr w:type="spellStart"/>
      <w:r w:rsidRPr="00E73D4B">
        <w:t>offentleg</w:t>
      </w:r>
      <w:proofErr w:type="spellEnd"/>
      <w:r w:rsidRPr="00E73D4B">
        <w:t xml:space="preserve"> </w:t>
      </w:r>
      <w:proofErr w:type="spellStart"/>
      <w:r w:rsidRPr="00E73D4B">
        <w:t>utval</w:t>
      </w:r>
      <w:proofErr w:type="spellEnd"/>
      <w:r w:rsidRPr="00E73D4B">
        <w:t xml:space="preserve">, </w:t>
      </w:r>
      <w:proofErr w:type="spellStart"/>
      <w:r w:rsidRPr="00E73D4B">
        <w:t>Barnevernsutvalet</w:t>
      </w:r>
      <w:proofErr w:type="spellEnd"/>
      <w:r w:rsidRPr="00E73D4B">
        <w:t xml:space="preserve">, som skal vurdere tiltak for å </w:t>
      </w:r>
      <w:proofErr w:type="spellStart"/>
      <w:r w:rsidRPr="00E73D4B">
        <w:t>styrkje</w:t>
      </w:r>
      <w:proofErr w:type="spellEnd"/>
      <w:r w:rsidRPr="00E73D4B">
        <w:t xml:space="preserve"> kvaliteten og rettstryggleiken i barnevernet. </w:t>
      </w:r>
      <w:proofErr w:type="spellStart"/>
      <w:r w:rsidRPr="00E73D4B">
        <w:t>Utvalet</w:t>
      </w:r>
      <w:proofErr w:type="spellEnd"/>
      <w:r w:rsidRPr="00E73D4B">
        <w:t xml:space="preserve"> skal levere </w:t>
      </w:r>
      <w:proofErr w:type="spellStart"/>
      <w:r w:rsidRPr="00E73D4B">
        <w:t>tilrådingane</w:t>
      </w:r>
      <w:proofErr w:type="spellEnd"/>
      <w:r w:rsidRPr="00E73D4B">
        <w:t xml:space="preserve"> sine våren 2023. Etter at </w:t>
      </w:r>
      <w:proofErr w:type="spellStart"/>
      <w:r w:rsidRPr="00E73D4B">
        <w:t>utvalet</w:t>
      </w:r>
      <w:proofErr w:type="spellEnd"/>
      <w:r w:rsidRPr="00E73D4B">
        <w:t xml:space="preserve"> har levert rapporten sin, vil departementet </w:t>
      </w:r>
      <w:proofErr w:type="spellStart"/>
      <w:r w:rsidRPr="00E73D4B">
        <w:t>utan</w:t>
      </w:r>
      <w:proofErr w:type="spellEnd"/>
      <w:r w:rsidRPr="00E73D4B">
        <w:t xml:space="preserve"> ugrunna </w:t>
      </w:r>
      <w:proofErr w:type="spellStart"/>
      <w:r w:rsidRPr="00E73D4B">
        <w:t>opphald</w:t>
      </w:r>
      <w:proofErr w:type="spellEnd"/>
      <w:r w:rsidRPr="00E73D4B">
        <w:t xml:space="preserve"> komme tilbake til Stortinget om oppfølginga av </w:t>
      </w:r>
      <w:proofErr w:type="spellStart"/>
      <w:r w:rsidRPr="00E73D4B">
        <w:t>tilrådingane</w:t>
      </w:r>
      <w:proofErr w:type="spellEnd"/>
      <w:r w:rsidRPr="00E73D4B">
        <w:t xml:space="preserve"> </w:t>
      </w:r>
      <w:proofErr w:type="spellStart"/>
      <w:r w:rsidRPr="00E73D4B">
        <w:t>frå</w:t>
      </w:r>
      <w:proofErr w:type="spellEnd"/>
      <w:r w:rsidRPr="00E73D4B">
        <w:t xml:space="preserve"> </w:t>
      </w:r>
      <w:proofErr w:type="spellStart"/>
      <w:r w:rsidRPr="00E73D4B">
        <w:t>utvalet</w:t>
      </w:r>
      <w:proofErr w:type="spellEnd"/>
      <w:r w:rsidRPr="00E73D4B">
        <w:t>.</w:t>
      </w:r>
    </w:p>
    <w:p w14:paraId="10DE1864" w14:textId="77777777" w:rsidR="00972395" w:rsidRPr="00E73D4B" w:rsidRDefault="00F120C7" w:rsidP="00E73D4B">
      <w:pPr>
        <w:pStyle w:val="Overskrift2"/>
      </w:pPr>
      <w:r w:rsidRPr="00E73D4B">
        <w:t>Stortingssesjon 2019–2020</w:t>
      </w:r>
    </w:p>
    <w:p w14:paraId="335A68B4" w14:textId="77777777" w:rsidR="00972395" w:rsidRPr="00E73D4B" w:rsidRDefault="00F120C7" w:rsidP="00E73D4B">
      <w:pPr>
        <w:pStyle w:val="avsnitt-tittel"/>
      </w:pPr>
      <w:proofErr w:type="spellStart"/>
      <w:r w:rsidRPr="00E73D4B">
        <w:t>Forbod</w:t>
      </w:r>
      <w:proofErr w:type="spellEnd"/>
      <w:r w:rsidRPr="00E73D4B">
        <w:t xml:space="preserve"> mot faste etter-skule-</w:t>
      </w:r>
      <w:proofErr w:type="spellStart"/>
      <w:r w:rsidRPr="00E73D4B">
        <w:t>tilbod</w:t>
      </w:r>
      <w:proofErr w:type="spellEnd"/>
      <w:r w:rsidRPr="00E73D4B">
        <w:t xml:space="preserve"> for barn med overnatting</w:t>
      </w:r>
    </w:p>
    <w:p w14:paraId="2E6F99F5" w14:textId="77777777" w:rsidR="00972395" w:rsidRPr="00E73D4B" w:rsidRDefault="00F120C7" w:rsidP="00E73D4B">
      <w:pPr>
        <w:pStyle w:val="avsnitt-undertittel"/>
      </w:pPr>
      <w:r w:rsidRPr="00E73D4B">
        <w:t>Vedtak 498, 14. april 2020</w:t>
      </w:r>
    </w:p>
    <w:p w14:paraId="0A721A4F" w14:textId="77777777" w:rsidR="00972395" w:rsidRPr="00E73D4B" w:rsidRDefault="00F120C7" w:rsidP="00E73D4B">
      <w:pPr>
        <w:pStyle w:val="blokksit"/>
        <w:rPr>
          <w:rStyle w:val="kursiv"/>
        </w:rPr>
      </w:pPr>
      <w:r w:rsidRPr="00E73D4B">
        <w:rPr>
          <w:rStyle w:val="kursiv"/>
        </w:rPr>
        <w:t>«Stortinget ber regjeringen komme tilbake til Stortinget med forslag til nødvendige lovendringer med sikte på å forby faste etter-skole-tilbud med overnatting over lengre tid for å forhindre segregering, parallellsamfunn, negativ sosial kontroll eller radikalisering.»</w:t>
      </w:r>
    </w:p>
    <w:p w14:paraId="5667F50E"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130 L (2019–2020) </w:t>
      </w:r>
      <w:r w:rsidRPr="00E73D4B">
        <w:rPr>
          <w:rStyle w:val="kursiv"/>
        </w:rPr>
        <w:t>Lov om tros- og livssynssamfunn</w:t>
      </w:r>
      <w:r w:rsidRPr="00E73D4B">
        <w:t xml:space="preserve">, jf. </w:t>
      </w:r>
      <w:proofErr w:type="spellStart"/>
      <w:r w:rsidRPr="00E73D4B">
        <w:t>Innst</w:t>
      </w:r>
      <w:proofErr w:type="spellEnd"/>
      <w:r w:rsidRPr="00E73D4B">
        <w:t>. 208 S (2019–2020).</w:t>
      </w:r>
    </w:p>
    <w:p w14:paraId="6D31084E" w14:textId="77777777" w:rsidR="00972395" w:rsidRPr="00E73D4B" w:rsidRDefault="00F120C7" w:rsidP="00E73D4B">
      <w:r w:rsidRPr="00E73D4B">
        <w:t xml:space="preserve">Departementet har med bistand </w:t>
      </w:r>
      <w:proofErr w:type="spellStart"/>
      <w:r w:rsidRPr="00E73D4B">
        <w:t>frå</w:t>
      </w:r>
      <w:proofErr w:type="spellEnd"/>
      <w:r w:rsidRPr="00E73D4B">
        <w:t xml:space="preserve"> </w:t>
      </w:r>
      <w:proofErr w:type="spellStart"/>
      <w:r w:rsidRPr="00E73D4B">
        <w:t>fleire</w:t>
      </w:r>
      <w:proofErr w:type="spellEnd"/>
      <w:r w:rsidRPr="00E73D4B">
        <w:t xml:space="preserve"> departement gjort ei førebels utgreiing om </w:t>
      </w:r>
      <w:proofErr w:type="spellStart"/>
      <w:r w:rsidRPr="00E73D4B">
        <w:t>dei</w:t>
      </w:r>
      <w:proofErr w:type="spellEnd"/>
      <w:r w:rsidRPr="00E73D4B">
        <w:t xml:space="preserve"> menneskerettslege spørsmåla, mellom anna om retten til privatliv, retten til å skipe </w:t>
      </w:r>
      <w:proofErr w:type="spellStart"/>
      <w:r w:rsidRPr="00E73D4B">
        <w:t>foreiningar</w:t>
      </w:r>
      <w:proofErr w:type="spellEnd"/>
      <w:r w:rsidRPr="00E73D4B">
        <w:t xml:space="preserve"> og retten til trus- og livssynsfridom. Departementet vil i det </w:t>
      </w:r>
      <w:proofErr w:type="spellStart"/>
      <w:r w:rsidRPr="00E73D4B">
        <w:t>vidare</w:t>
      </w:r>
      <w:proofErr w:type="spellEnd"/>
      <w:r w:rsidRPr="00E73D4B">
        <w:t xml:space="preserve"> arbeidet greie ut </w:t>
      </w:r>
      <w:proofErr w:type="spellStart"/>
      <w:r w:rsidRPr="00E73D4B">
        <w:t>moglege</w:t>
      </w:r>
      <w:proofErr w:type="spellEnd"/>
      <w:r w:rsidRPr="00E73D4B">
        <w:t xml:space="preserve"> </w:t>
      </w:r>
      <w:proofErr w:type="spellStart"/>
      <w:r w:rsidRPr="00E73D4B">
        <w:t>verkemiddel</w:t>
      </w:r>
      <w:proofErr w:type="spellEnd"/>
      <w:r w:rsidRPr="00E73D4B">
        <w:t xml:space="preserve"> for å hindre </w:t>
      </w:r>
      <w:proofErr w:type="spellStart"/>
      <w:r w:rsidRPr="00E73D4B">
        <w:t>fritidsaktivitetar</w:t>
      </w:r>
      <w:proofErr w:type="spellEnd"/>
      <w:r w:rsidRPr="00E73D4B">
        <w:t xml:space="preserve"> for barn og unge som kan bidra til radikalisering eller </w:t>
      </w:r>
      <w:proofErr w:type="spellStart"/>
      <w:r w:rsidRPr="00E73D4B">
        <w:t>vere</w:t>
      </w:r>
      <w:proofErr w:type="spellEnd"/>
      <w:r w:rsidRPr="00E73D4B">
        <w:t xml:space="preserve"> i strid med </w:t>
      </w:r>
      <w:proofErr w:type="spellStart"/>
      <w:r w:rsidRPr="00E73D4B">
        <w:t>rettane</w:t>
      </w:r>
      <w:proofErr w:type="spellEnd"/>
      <w:r w:rsidRPr="00E73D4B">
        <w:t xml:space="preserve"> til barn eller likestillings- og diskrimineringslova, jf. oppfølginga av vedtak 954 av 20. mai 2021 om </w:t>
      </w:r>
      <w:proofErr w:type="spellStart"/>
      <w:r w:rsidRPr="00E73D4B">
        <w:t>fritidsaktivitetar</w:t>
      </w:r>
      <w:proofErr w:type="spellEnd"/>
      <w:r w:rsidRPr="00E73D4B">
        <w:t xml:space="preserve"> for barn og unge som kan bidra til radikalisering. Departementet vil orientere Stortinget om den </w:t>
      </w:r>
      <w:proofErr w:type="spellStart"/>
      <w:r w:rsidRPr="00E73D4B">
        <w:t>vidare</w:t>
      </w:r>
      <w:proofErr w:type="spellEnd"/>
      <w:r w:rsidRPr="00E73D4B">
        <w:t xml:space="preserve"> oppfølginga av vedtaket på eigna vis.</w:t>
      </w:r>
    </w:p>
    <w:p w14:paraId="0D187999" w14:textId="77777777" w:rsidR="00972395" w:rsidRPr="00E73D4B" w:rsidRDefault="00F120C7" w:rsidP="00E73D4B">
      <w:pPr>
        <w:pStyle w:val="avsnitt-tittel"/>
      </w:pPr>
      <w:r w:rsidRPr="00E73D4B">
        <w:t>Oppdeling av Opplysningsvesenets fond</w:t>
      </w:r>
    </w:p>
    <w:p w14:paraId="7EFD8D5D" w14:textId="77777777" w:rsidR="00972395" w:rsidRPr="00E73D4B" w:rsidRDefault="00F120C7" w:rsidP="00E73D4B">
      <w:pPr>
        <w:pStyle w:val="avsnitt-undertittel"/>
      </w:pPr>
      <w:r w:rsidRPr="00E73D4B">
        <w:t>Vedtak nr. 500, 14. april 2020</w:t>
      </w:r>
    </w:p>
    <w:p w14:paraId="60251E1F" w14:textId="77777777" w:rsidR="00972395" w:rsidRPr="00E73D4B" w:rsidRDefault="00F120C7" w:rsidP="00E73D4B">
      <w:pPr>
        <w:pStyle w:val="blokksit"/>
        <w:rPr>
          <w:rStyle w:val="kursiv"/>
        </w:rPr>
      </w:pPr>
      <w:r w:rsidRPr="00E73D4B">
        <w:rPr>
          <w:rStyle w:val="kursiv"/>
        </w:rPr>
        <w:t>«Stortinget ber regjeringen i arbeidet med oppdelingen av Opplysningsvesenets fond ivareta følgende:</w:t>
      </w:r>
    </w:p>
    <w:p w14:paraId="0B01767D" w14:textId="77777777" w:rsidR="00972395" w:rsidRPr="00E73D4B" w:rsidRDefault="00F120C7" w:rsidP="00E73D4B">
      <w:pPr>
        <w:pStyle w:val="friliste"/>
        <w:rPr>
          <w:rStyle w:val="kursiv"/>
        </w:rPr>
      </w:pPr>
      <w:r w:rsidRPr="00E73D4B">
        <w:rPr>
          <w:rStyle w:val="kursiv"/>
        </w:rPr>
        <w:t>1.</w:t>
      </w:r>
      <w:r w:rsidRPr="00E73D4B">
        <w:rPr>
          <w:rStyle w:val="kursiv"/>
        </w:rPr>
        <w:tab/>
        <w:t>Staten og kirken skal være likeverdige parter i prosessen som skal avklare hvilke bygninger kirken skal overta, og det legges til grunn at staten kommer til enighet med Den norske kirke om dette.</w:t>
      </w:r>
    </w:p>
    <w:p w14:paraId="522B4A1D" w14:textId="77777777" w:rsidR="00972395" w:rsidRPr="00E73D4B" w:rsidRDefault="00F120C7" w:rsidP="00E73D4B">
      <w:pPr>
        <w:pStyle w:val="friliste"/>
        <w:rPr>
          <w:rStyle w:val="kursiv"/>
        </w:rPr>
      </w:pPr>
      <w:r w:rsidRPr="00E73D4B">
        <w:rPr>
          <w:rStyle w:val="kursiv"/>
        </w:rPr>
        <w:t>2.</w:t>
      </w:r>
      <w:r w:rsidRPr="00E73D4B">
        <w:rPr>
          <w:rStyle w:val="kursiv"/>
        </w:rPr>
        <w:tab/>
        <w:t>Kirkens verdier skilles ut først, deretter bør staten gjøre egne vurderinger av forvaltning av de verdier som ligger igjen i fondet.</w:t>
      </w:r>
    </w:p>
    <w:p w14:paraId="61C716EC" w14:textId="77777777" w:rsidR="00972395" w:rsidRPr="00E73D4B" w:rsidRDefault="00F120C7" w:rsidP="00E73D4B">
      <w:pPr>
        <w:pStyle w:val="friliste"/>
        <w:rPr>
          <w:rStyle w:val="kursiv"/>
        </w:rPr>
      </w:pPr>
      <w:r w:rsidRPr="00E73D4B">
        <w:rPr>
          <w:rStyle w:val="kursiv"/>
        </w:rPr>
        <w:t>3.</w:t>
      </w:r>
      <w:r w:rsidRPr="00E73D4B">
        <w:rPr>
          <w:rStyle w:val="kursiv"/>
        </w:rPr>
        <w:tab/>
        <w:t>Betingelsen for delingen av fondet er at staten øker sin innsats for bevaring av de kulturhistorisk viktige kirkebyggene i et omfang som svarer til de verdiene som staten blir eier av på et bestemt tidspunkt. Når eiendelene i Opplysningsvesenets fond er endelig fordelt mellom staten og kirken, må det gjøres beregning av den reelle verdien. Den reelle verdien skal komme de kulturhistorisk viktige kirkebyggene til gode ved istandsetting og sikring av kirkene. Statens økte innsats for bevaring av kirkene må over tid minst svare til denne verdien (inflasjonsjustert).</w:t>
      </w:r>
    </w:p>
    <w:p w14:paraId="2DC73427" w14:textId="77777777" w:rsidR="00972395" w:rsidRPr="00E73D4B" w:rsidRDefault="00F120C7" w:rsidP="00E73D4B">
      <w:pPr>
        <w:pStyle w:val="friliste"/>
        <w:rPr>
          <w:rStyle w:val="kursiv"/>
        </w:rPr>
      </w:pPr>
      <w:r w:rsidRPr="00E73D4B">
        <w:rPr>
          <w:rStyle w:val="kursiv"/>
        </w:rPr>
        <w:t>4.</w:t>
      </w:r>
      <w:r w:rsidRPr="00E73D4B">
        <w:rPr>
          <w:rStyle w:val="kursiv"/>
        </w:rPr>
        <w:tab/>
        <w:t>Statens økte innsats overfor kirkebyggene skal ikke avløse kommunenes økonomiske ansvar for kirkebyggene eller komme til erstatning for andre tiltak eller ordninger som finnes på området.</w:t>
      </w:r>
    </w:p>
    <w:p w14:paraId="4E287C88" w14:textId="77777777" w:rsidR="00972395" w:rsidRPr="00E73D4B" w:rsidRDefault="00F120C7" w:rsidP="00E73D4B">
      <w:pPr>
        <w:pStyle w:val="friliste"/>
        <w:rPr>
          <w:rStyle w:val="kursiv"/>
        </w:rPr>
      </w:pPr>
      <w:r w:rsidRPr="00E73D4B">
        <w:rPr>
          <w:rStyle w:val="kursiv"/>
        </w:rPr>
        <w:t>5.</w:t>
      </w:r>
      <w:r w:rsidRPr="00E73D4B">
        <w:rPr>
          <w:rStyle w:val="kursiv"/>
        </w:rPr>
        <w:tab/>
        <w:t xml:space="preserve">I samråd med kirkelige instanser, antikvariske myndigheter mfl. igangsettes arbeidet med bevaringsprogrammer for ulike kategorier av kulturhistorisk viktige kirkebygg, for eksempel ved å kategorisere kirkebyggene etter alder, verneverdi eller </w:t>
      </w:r>
      <w:proofErr w:type="spellStart"/>
      <w:r w:rsidRPr="00E73D4B">
        <w:rPr>
          <w:rStyle w:val="kursiv"/>
        </w:rPr>
        <w:t>vedlikeholdstilstand</w:t>
      </w:r>
      <w:proofErr w:type="spellEnd"/>
      <w:r w:rsidRPr="00E73D4B">
        <w:rPr>
          <w:rStyle w:val="kursiv"/>
        </w:rPr>
        <w:t>.»</w:t>
      </w:r>
    </w:p>
    <w:p w14:paraId="023E4860" w14:textId="77777777" w:rsidR="00972395" w:rsidRPr="00E73D4B" w:rsidRDefault="00F120C7" w:rsidP="00E73D4B">
      <w:r w:rsidRPr="00E73D4B">
        <w:t xml:space="preserve">Vedtaket blei gjort i samband med handsaminga av Meld. St. 29 (2018–2019) </w:t>
      </w:r>
      <w:r w:rsidRPr="00E73D4B">
        <w:rPr>
          <w:rStyle w:val="kursiv"/>
        </w:rPr>
        <w:t>Opplysningsvesenets fond</w:t>
      </w:r>
      <w:r w:rsidRPr="00E73D4B">
        <w:t xml:space="preserve">, jf. </w:t>
      </w:r>
      <w:proofErr w:type="spellStart"/>
      <w:r w:rsidRPr="00E73D4B">
        <w:t>Innst</w:t>
      </w:r>
      <w:proofErr w:type="spellEnd"/>
      <w:r w:rsidRPr="00E73D4B">
        <w:t>. 209 S (2019–2020).</w:t>
      </w:r>
    </w:p>
    <w:p w14:paraId="2A6B2B9F" w14:textId="77777777" w:rsidR="00972395" w:rsidRPr="00E73D4B" w:rsidRDefault="00F120C7" w:rsidP="00E73D4B">
      <w:r w:rsidRPr="00E73D4B">
        <w:t xml:space="preserve">Den 14. juni 2021 vedtok Stortinget ny lov om Opplysningsvesenets fond, jf. </w:t>
      </w:r>
      <w:proofErr w:type="spellStart"/>
      <w:r w:rsidRPr="00E73D4B">
        <w:t>Prop</w:t>
      </w:r>
      <w:proofErr w:type="spellEnd"/>
      <w:r w:rsidRPr="00E73D4B">
        <w:t xml:space="preserve">. 144 L (2020–2021) </w:t>
      </w:r>
      <w:r w:rsidRPr="00E73D4B">
        <w:rPr>
          <w:rStyle w:val="kursiv"/>
        </w:rPr>
        <w:t>Lov om Opplysningsvesenets fond</w:t>
      </w:r>
      <w:r w:rsidRPr="00E73D4B">
        <w:t xml:space="preserve"> og </w:t>
      </w:r>
      <w:proofErr w:type="spellStart"/>
      <w:r w:rsidRPr="00E73D4B">
        <w:t>Innst</w:t>
      </w:r>
      <w:proofErr w:type="spellEnd"/>
      <w:r w:rsidRPr="00E73D4B">
        <w:t xml:space="preserve">. 623 L (2020–2021). Lova følgjer opp </w:t>
      </w:r>
      <w:proofErr w:type="spellStart"/>
      <w:r w:rsidRPr="00E73D4B">
        <w:t>Innst</w:t>
      </w:r>
      <w:proofErr w:type="spellEnd"/>
      <w:r w:rsidRPr="00E73D4B">
        <w:t xml:space="preserve">. 209 S (2019–2020) og skal </w:t>
      </w:r>
      <w:proofErr w:type="spellStart"/>
      <w:r w:rsidRPr="00E73D4B">
        <w:t>leggje</w:t>
      </w:r>
      <w:proofErr w:type="spellEnd"/>
      <w:r w:rsidRPr="00E73D4B">
        <w:t xml:space="preserve"> det </w:t>
      </w:r>
      <w:proofErr w:type="spellStart"/>
      <w:r w:rsidRPr="00E73D4B">
        <w:t>rettslege</w:t>
      </w:r>
      <w:proofErr w:type="spellEnd"/>
      <w:r w:rsidRPr="00E73D4B">
        <w:t xml:space="preserve"> grunnlaget for deling av Opplysningsvesenets fond mellom Den norske </w:t>
      </w:r>
      <w:proofErr w:type="spellStart"/>
      <w:r w:rsidRPr="00E73D4B">
        <w:t>kyrkja</w:t>
      </w:r>
      <w:proofErr w:type="spellEnd"/>
      <w:r w:rsidRPr="00E73D4B">
        <w:t xml:space="preserve"> og staten, i samsvar med stortingsvedtaka. I proposisjonen blir det lagt til grunn at Den norske </w:t>
      </w:r>
      <w:proofErr w:type="spellStart"/>
      <w:r w:rsidRPr="00E73D4B">
        <w:t>kyrkja</w:t>
      </w:r>
      <w:proofErr w:type="spellEnd"/>
      <w:r w:rsidRPr="00E73D4B">
        <w:t xml:space="preserve"> og staten er likeverdige </w:t>
      </w:r>
      <w:proofErr w:type="spellStart"/>
      <w:r w:rsidRPr="00E73D4B">
        <w:t>partar</w:t>
      </w:r>
      <w:proofErr w:type="spellEnd"/>
      <w:r w:rsidRPr="00E73D4B">
        <w:t xml:space="preserve"> i delingsarbeidet. For punkt 1 er det etablert </w:t>
      </w:r>
      <w:proofErr w:type="spellStart"/>
      <w:r w:rsidRPr="00E73D4B">
        <w:t>eit</w:t>
      </w:r>
      <w:proofErr w:type="spellEnd"/>
      <w:r w:rsidRPr="00E73D4B">
        <w:t xml:space="preserve"> eige prosjekt for arbeidet som </w:t>
      </w:r>
      <w:proofErr w:type="spellStart"/>
      <w:r w:rsidRPr="00E73D4B">
        <w:t>følgje</w:t>
      </w:r>
      <w:proofErr w:type="spellEnd"/>
      <w:r w:rsidRPr="00E73D4B">
        <w:t xml:space="preserve"> av </w:t>
      </w:r>
      <w:proofErr w:type="spellStart"/>
      <w:r w:rsidRPr="00E73D4B">
        <w:t>dei</w:t>
      </w:r>
      <w:proofErr w:type="spellEnd"/>
      <w:r w:rsidRPr="00E73D4B">
        <w:t xml:space="preserve"> kriteria for deling som blei lagde til grunn i Meld. St. 29 (2018–2019), og som </w:t>
      </w:r>
      <w:proofErr w:type="spellStart"/>
      <w:r w:rsidRPr="00E73D4B">
        <w:t>seinare</w:t>
      </w:r>
      <w:proofErr w:type="spellEnd"/>
      <w:r w:rsidRPr="00E73D4B">
        <w:t xml:space="preserve"> er </w:t>
      </w:r>
      <w:proofErr w:type="spellStart"/>
      <w:r w:rsidRPr="00E73D4B">
        <w:t>følgde</w:t>
      </w:r>
      <w:proofErr w:type="spellEnd"/>
      <w:r w:rsidRPr="00E73D4B">
        <w:t xml:space="preserve"> opp i </w:t>
      </w:r>
      <w:proofErr w:type="spellStart"/>
      <w:r w:rsidRPr="00E73D4B">
        <w:t>Prop</w:t>
      </w:r>
      <w:proofErr w:type="spellEnd"/>
      <w:r w:rsidRPr="00E73D4B">
        <w:t xml:space="preserve">. 144 L (2020–2021). </w:t>
      </w:r>
      <w:proofErr w:type="spellStart"/>
      <w:r w:rsidRPr="00E73D4B">
        <w:t>Partane</w:t>
      </w:r>
      <w:proofErr w:type="spellEnd"/>
      <w:r w:rsidRPr="00E73D4B">
        <w:t xml:space="preserve"> har overlevert </w:t>
      </w:r>
      <w:proofErr w:type="spellStart"/>
      <w:r w:rsidRPr="00E73D4B">
        <w:t>ein</w:t>
      </w:r>
      <w:proofErr w:type="spellEnd"/>
      <w:r w:rsidRPr="00E73D4B">
        <w:t xml:space="preserve"> samla rapport med </w:t>
      </w:r>
      <w:proofErr w:type="spellStart"/>
      <w:r w:rsidRPr="00E73D4B">
        <w:t>tilrådingane</w:t>
      </w:r>
      <w:proofErr w:type="spellEnd"/>
      <w:r w:rsidRPr="00E73D4B">
        <w:t xml:space="preserve"> sine til departementet, og det er </w:t>
      </w:r>
      <w:proofErr w:type="spellStart"/>
      <w:r w:rsidRPr="00E73D4B">
        <w:t>no</w:t>
      </w:r>
      <w:proofErr w:type="spellEnd"/>
      <w:r w:rsidRPr="00E73D4B">
        <w:t xml:space="preserve"> bestemt at i underkant av 170 </w:t>
      </w:r>
      <w:proofErr w:type="spellStart"/>
      <w:r w:rsidRPr="00E73D4B">
        <w:t>eigedommar</w:t>
      </w:r>
      <w:proofErr w:type="spellEnd"/>
      <w:r w:rsidRPr="00E73D4B">
        <w:t xml:space="preserve"> skal </w:t>
      </w:r>
      <w:proofErr w:type="spellStart"/>
      <w:r w:rsidRPr="00E73D4B">
        <w:t>overførast</w:t>
      </w:r>
      <w:proofErr w:type="spellEnd"/>
      <w:r w:rsidRPr="00E73D4B">
        <w:t xml:space="preserve">, i all </w:t>
      </w:r>
      <w:proofErr w:type="spellStart"/>
      <w:r w:rsidRPr="00E73D4B">
        <w:t>hovudsak</w:t>
      </w:r>
      <w:proofErr w:type="spellEnd"/>
      <w:r w:rsidRPr="00E73D4B">
        <w:t xml:space="preserve"> </w:t>
      </w:r>
      <w:proofErr w:type="spellStart"/>
      <w:r w:rsidRPr="00E73D4B">
        <w:t>prestebustader</w:t>
      </w:r>
      <w:proofErr w:type="spellEnd"/>
      <w:r w:rsidRPr="00E73D4B">
        <w:t xml:space="preserve">. For </w:t>
      </w:r>
      <w:proofErr w:type="spellStart"/>
      <w:r w:rsidRPr="00E73D4B">
        <w:t>nokre</w:t>
      </w:r>
      <w:proofErr w:type="spellEnd"/>
      <w:r w:rsidRPr="00E73D4B">
        <w:t xml:space="preserve"> av </w:t>
      </w:r>
      <w:proofErr w:type="spellStart"/>
      <w:r w:rsidRPr="00E73D4B">
        <w:t>eigedommane</w:t>
      </w:r>
      <w:proofErr w:type="spellEnd"/>
      <w:r w:rsidRPr="00E73D4B">
        <w:t xml:space="preserve"> er der tilknytte </w:t>
      </w:r>
      <w:proofErr w:type="spellStart"/>
      <w:r w:rsidRPr="00E73D4B">
        <w:t>føresetnader</w:t>
      </w:r>
      <w:proofErr w:type="spellEnd"/>
      <w:r w:rsidRPr="00E73D4B">
        <w:t xml:space="preserve"> for overføringa, jf. Meld. St. 29 (2018–2019). I tillegg skal det </w:t>
      </w:r>
      <w:proofErr w:type="spellStart"/>
      <w:r w:rsidRPr="00E73D4B">
        <w:t>overførast</w:t>
      </w:r>
      <w:proofErr w:type="spellEnd"/>
      <w:r w:rsidRPr="00E73D4B">
        <w:t xml:space="preserve"> i overkant av 190 tomter som er </w:t>
      </w:r>
      <w:proofErr w:type="spellStart"/>
      <w:r w:rsidRPr="00E73D4B">
        <w:t>kyrkjegrunn</w:t>
      </w:r>
      <w:proofErr w:type="spellEnd"/>
      <w:r w:rsidRPr="00E73D4B">
        <w:t xml:space="preserve">, gravplassareal og parkeringsareal. </w:t>
      </w:r>
      <w:proofErr w:type="spellStart"/>
      <w:r w:rsidRPr="00E73D4B">
        <w:t>Desse</w:t>
      </w:r>
      <w:proofErr w:type="spellEnd"/>
      <w:r w:rsidRPr="00E73D4B">
        <w:t xml:space="preserve"> </w:t>
      </w:r>
      <w:proofErr w:type="spellStart"/>
      <w:r w:rsidRPr="00E73D4B">
        <w:t>eigedommane</w:t>
      </w:r>
      <w:proofErr w:type="spellEnd"/>
      <w:r w:rsidRPr="00E73D4B">
        <w:t xml:space="preserve"> blir overførte til </w:t>
      </w:r>
      <w:proofErr w:type="spellStart"/>
      <w:r w:rsidRPr="00E73D4B">
        <w:t>dei</w:t>
      </w:r>
      <w:proofErr w:type="spellEnd"/>
      <w:r w:rsidRPr="00E73D4B">
        <w:t xml:space="preserve"> </w:t>
      </w:r>
      <w:proofErr w:type="spellStart"/>
      <w:r w:rsidRPr="00E73D4B">
        <w:t>einskilde</w:t>
      </w:r>
      <w:proofErr w:type="spellEnd"/>
      <w:r w:rsidRPr="00E73D4B">
        <w:t xml:space="preserve"> sokna som </w:t>
      </w:r>
      <w:proofErr w:type="spellStart"/>
      <w:r w:rsidRPr="00E73D4B">
        <w:t>kyrkjeeigar</w:t>
      </w:r>
      <w:proofErr w:type="spellEnd"/>
      <w:r w:rsidRPr="00E73D4B">
        <w:t xml:space="preserve">. Sjå omtale under vedtak nr. 501 under for oppfølging av punkt 2. Punkt 3 om </w:t>
      </w:r>
      <w:proofErr w:type="spellStart"/>
      <w:r w:rsidRPr="00E73D4B">
        <w:t>berekning</w:t>
      </w:r>
      <w:proofErr w:type="spellEnd"/>
      <w:r w:rsidRPr="00E73D4B">
        <w:t xml:space="preserve"> av </w:t>
      </w:r>
      <w:proofErr w:type="spellStart"/>
      <w:r w:rsidRPr="00E73D4B">
        <w:t>verdiar</w:t>
      </w:r>
      <w:proofErr w:type="spellEnd"/>
      <w:r w:rsidRPr="00E73D4B">
        <w:t xml:space="preserve"> staten blir </w:t>
      </w:r>
      <w:proofErr w:type="spellStart"/>
      <w:r w:rsidRPr="00E73D4B">
        <w:t>eigar</w:t>
      </w:r>
      <w:proofErr w:type="spellEnd"/>
      <w:r w:rsidRPr="00E73D4B">
        <w:t xml:space="preserve"> av, vil bli gjort med bakgrunn i tal for </w:t>
      </w:r>
      <w:proofErr w:type="spellStart"/>
      <w:r w:rsidRPr="00E73D4B">
        <w:t>rekneskapen</w:t>
      </w:r>
      <w:proofErr w:type="spellEnd"/>
      <w:r w:rsidRPr="00E73D4B">
        <w:t xml:space="preserve"> for 2022 og vil </w:t>
      </w:r>
      <w:proofErr w:type="spellStart"/>
      <w:r w:rsidRPr="00E73D4B">
        <w:t>liggje</w:t>
      </w:r>
      <w:proofErr w:type="spellEnd"/>
      <w:r w:rsidRPr="00E73D4B">
        <w:t xml:space="preserve"> føre våren 2023. Punkt 4 og 5 blir dekte av omtalen av vedtak 502 under. Status for arbeidet med deling av Opplysningsvesenets fond er </w:t>
      </w:r>
      <w:proofErr w:type="spellStart"/>
      <w:r w:rsidRPr="00E73D4B">
        <w:t>nærare</w:t>
      </w:r>
      <w:proofErr w:type="spellEnd"/>
      <w:r w:rsidRPr="00E73D4B">
        <w:t xml:space="preserve"> omtalt under programkategori 11.50.</w:t>
      </w:r>
    </w:p>
    <w:p w14:paraId="6C7534B3" w14:textId="77777777" w:rsidR="00972395" w:rsidRPr="00E73D4B" w:rsidRDefault="00F120C7" w:rsidP="00E73D4B">
      <w:pPr>
        <w:pStyle w:val="avsnitt-tittel"/>
      </w:pPr>
      <w:r w:rsidRPr="00E73D4B">
        <w:t xml:space="preserve">Opplysningsvesenets fond – </w:t>
      </w:r>
      <w:proofErr w:type="spellStart"/>
      <w:r w:rsidRPr="00E73D4B">
        <w:t>fondseigedommane</w:t>
      </w:r>
      <w:proofErr w:type="spellEnd"/>
      <w:r w:rsidRPr="00E73D4B">
        <w:t xml:space="preserve"> staten </w:t>
      </w:r>
      <w:proofErr w:type="spellStart"/>
      <w:r w:rsidRPr="00E73D4B">
        <w:t>tek</w:t>
      </w:r>
      <w:proofErr w:type="spellEnd"/>
      <w:r w:rsidRPr="00E73D4B">
        <w:t xml:space="preserve"> over</w:t>
      </w:r>
    </w:p>
    <w:p w14:paraId="6773A1DF" w14:textId="77777777" w:rsidR="00972395" w:rsidRPr="00E73D4B" w:rsidRDefault="00F120C7" w:rsidP="00E73D4B">
      <w:pPr>
        <w:pStyle w:val="avsnitt-undertittel"/>
      </w:pPr>
      <w:r w:rsidRPr="00E73D4B">
        <w:t>Vedtak nr. 501, 14. april 2020</w:t>
      </w:r>
    </w:p>
    <w:p w14:paraId="5A15E91D" w14:textId="77777777" w:rsidR="00972395" w:rsidRPr="00E73D4B" w:rsidRDefault="00F120C7" w:rsidP="00E73D4B">
      <w:pPr>
        <w:pStyle w:val="blokksit"/>
        <w:rPr>
          <w:rStyle w:val="kursiv"/>
        </w:rPr>
      </w:pPr>
      <w:r w:rsidRPr="00E73D4B">
        <w:rPr>
          <w:rStyle w:val="kursiv"/>
        </w:rPr>
        <w:t>«Stortinget ber regjeringen komme tilbake til Stortinget med sak om fondseiendommene staten overtar etter at Opplysningsvesenets fond er oppdelt. Det bes om at regjeringen belyser spørsmål som angår det statlige fondets formål, dets samfunnsansvar, organisering, vilkår for salg av eiendommer, sikkerhetsspørsmål ved eventuelle salg til utenlandske aktører samt andre forhold som er av betydning for forvaltningen av det gjenværende fondet staten overtar.»</w:t>
      </w:r>
    </w:p>
    <w:p w14:paraId="159CD61A" w14:textId="77777777" w:rsidR="00972395" w:rsidRPr="00E73D4B" w:rsidRDefault="00F120C7" w:rsidP="00E73D4B">
      <w:r w:rsidRPr="00E73D4B">
        <w:t xml:space="preserve">Vedtaket blei gjort i samband med handsaminga av Meld. St. 29 (2018–2019) </w:t>
      </w:r>
      <w:r w:rsidRPr="00E73D4B">
        <w:rPr>
          <w:rStyle w:val="kursiv"/>
        </w:rPr>
        <w:t>Opplysningsvesenets fond</w:t>
      </w:r>
      <w:r w:rsidRPr="00E73D4B">
        <w:t xml:space="preserve">, jf. </w:t>
      </w:r>
      <w:proofErr w:type="spellStart"/>
      <w:r w:rsidRPr="00E73D4B">
        <w:t>Innst</w:t>
      </w:r>
      <w:proofErr w:type="spellEnd"/>
      <w:r w:rsidRPr="00E73D4B">
        <w:t>. 209 S (2019–2020).</w:t>
      </w:r>
    </w:p>
    <w:p w14:paraId="3CCE71BF" w14:textId="77777777" w:rsidR="00972395" w:rsidRPr="00E73D4B" w:rsidRDefault="00F120C7" w:rsidP="00E73D4B">
      <w:r w:rsidRPr="00E73D4B">
        <w:t xml:space="preserve">Den 14. juni 2021 vedtok Stortinget ny lov om Opplysningsvesenets fond, jf. </w:t>
      </w:r>
      <w:proofErr w:type="spellStart"/>
      <w:r w:rsidRPr="00E73D4B">
        <w:t>Prop</w:t>
      </w:r>
      <w:proofErr w:type="spellEnd"/>
      <w:r w:rsidRPr="00E73D4B">
        <w:t xml:space="preserve">. 144 L (2020–2021) </w:t>
      </w:r>
      <w:r w:rsidRPr="00E73D4B">
        <w:rPr>
          <w:rStyle w:val="kursiv"/>
        </w:rPr>
        <w:t>Lov om Opplysningsvesenets fond</w:t>
      </w:r>
      <w:r w:rsidRPr="00E73D4B">
        <w:t xml:space="preserve"> og </w:t>
      </w:r>
      <w:proofErr w:type="spellStart"/>
      <w:r w:rsidRPr="00E73D4B">
        <w:t>Innst</w:t>
      </w:r>
      <w:proofErr w:type="spellEnd"/>
      <w:r w:rsidRPr="00E73D4B">
        <w:t xml:space="preserve">. 623 L (2020–2021). Lova legg det </w:t>
      </w:r>
      <w:proofErr w:type="spellStart"/>
      <w:r w:rsidRPr="00E73D4B">
        <w:t>rettslege</w:t>
      </w:r>
      <w:proofErr w:type="spellEnd"/>
      <w:r w:rsidRPr="00E73D4B">
        <w:t xml:space="preserve"> grunnlaget for å dele Opplysningsvesenets fond mellom Den norske </w:t>
      </w:r>
      <w:proofErr w:type="spellStart"/>
      <w:r w:rsidRPr="00E73D4B">
        <w:t>kyrkja</w:t>
      </w:r>
      <w:proofErr w:type="spellEnd"/>
      <w:r w:rsidRPr="00E73D4B">
        <w:t xml:space="preserve"> og staten. </w:t>
      </w:r>
      <w:proofErr w:type="spellStart"/>
      <w:r w:rsidRPr="00E73D4B">
        <w:t>Frå</w:t>
      </w:r>
      <w:proofErr w:type="spellEnd"/>
      <w:r w:rsidRPr="00E73D4B">
        <w:t xml:space="preserve"> 1. januar 2023 blir staten </w:t>
      </w:r>
      <w:proofErr w:type="spellStart"/>
      <w:r w:rsidRPr="00E73D4B">
        <w:t>eigar</w:t>
      </w:r>
      <w:proofErr w:type="spellEnd"/>
      <w:r w:rsidRPr="00E73D4B">
        <w:t xml:space="preserve"> av </w:t>
      </w:r>
      <w:proofErr w:type="spellStart"/>
      <w:r w:rsidRPr="00E73D4B">
        <w:t>dei</w:t>
      </w:r>
      <w:proofErr w:type="spellEnd"/>
      <w:r w:rsidRPr="00E73D4B">
        <w:t xml:space="preserve"> </w:t>
      </w:r>
      <w:proofErr w:type="spellStart"/>
      <w:r w:rsidRPr="00E73D4B">
        <w:t>delane</w:t>
      </w:r>
      <w:proofErr w:type="spellEnd"/>
      <w:r w:rsidRPr="00E73D4B">
        <w:t xml:space="preserve"> av fondet som </w:t>
      </w:r>
      <w:proofErr w:type="spellStart"/>
      <w:r w:rsidRPr="00E73D4B">
        <w:t>ikkje</w:t>
      </w:r>
      <w:proofErr w:type="spellEnd"/>
      <w:r w:rsidRPr="00E73D4B">
        <w:t xml:space="preserve"> blir overførte til </w:t>
      </w:r>
      <w:proofErr w:type="spellStart"/>
      <w:r w:rsidRPr="00E73D4B">
        <w:t>kyrkja</w:t>
      </w:r>
      <w:proofErr w:type="spellEnd"/>
      <w:r w:rsidRPr="00E73D4B">
        <w:t xml:space="preserve">. Sjå omtale under vedtak nr. 500 av 14. april 2020 om status for delinga av </w:t>
      </w:r>
      <w:proofErr w:type="spellStart"/>
      <w:r w:rsidRPr="00E73D4B">
        <w:t>verdiane</w:t>
      </w:r>
      <w:proofErr w:type="spellEnd"/>
      <w:r w:rsidRPr="00E73D4B">
        <w:t xml:space="preserve">. Departementet vil på eigna måte komme tilbake til Stortinget om </w:t>
      </w:r>
      <w:proofErr w:type="spellStart"/>
      <w:r w:rsidRPr="00E73D4B">
        <w:t>dei</w:t>
      </w:r>
      <w:proofErr w:type="spellEnd"/>
      <w:r w:rsidRPr="00E73D4B">
        <w:t xml:space="preserve"> spørsmåla som vedtak nr. 501 </w:t>
      </w:r>
      <w:proofErr w:type="spellStart"/>
      <w:r w:rsidRPr="00E73D4B">
        <w:t>omhandlar</w:t>
      </w:r>
      <w:proofErr w:type="spellEnd"/>
      <w:r w:rsidRPr="00E73D4B">
        <w:t>, etter at fondet er delt.</w:t>
      </w:r>
    </w:p>
    <w:p w14:paraId="56EE7F1B" w14:textId="77777777" w:rsidR="00972395" w:rsidRPr="00E73D4B" w:rsidRDefault="00F120C7" w:rsidP="00E73D4B">
      <w:pPr>
        <w:pStyle w:val="avsnitt-tittel"/>
      </w:pPr>
      <w:proofErr w:type="spellStart"/>
      <w:r w:rsidRPr="00E73D4B">
        <w:t>Utbetring</w:t>
      </w:r>
      <w:proofErr w:type="spellEnd"/>
      <w:r w:rsidRPr="00E73D4B">
        <w:t xml:space="preserve"> av verneverdige </w:t>
      </w:r>
      <w:proofErr w:type="spellStart"/>
      <w:r w:rsidRPr="00E73D4B">
        <w:t>kyrkjebygg</w:t>
      </w:r>
      <w:proofErr w:type="spellEnd"/>
    </w:p>
    <w:p w14:paraId="168F1D08" w14:textId="77777777" w:rsidR="00972395" w:rsidRPr="00E73D4B" w:rsidRDefault="00F120C7" w:rsidP="00E73D4B">
      <w:pPr>
        <w:pStyle w:val="avsnitt-undertittel"/>
      </w:pPr>
      <w:r w:rsidRPr="00E73D4B">
        <w:t>Vedtak nr. 502, 14. april 2020</w:t>
      </w:r>
    </w:p>
    <w:p w14:paraId="0B5976CE" w14:textId="77777777" w:rsidR="00972395" w:rsidRPr="00E73D4B" w:rsidRDefault="00F120C7" w:rsidP="00E73D4B">
      <w:pPr>
        <w:pStyle w:val="blokksit"/>
        <w:rPr>
          <w:rStyle w:val="kursiv"/>
        </w:rPr>
      </w:pPr>
      <w:r w:rsidRPr="00E73D4B">
        <w:rPr>
          <w:rStyle w:val="kursiv"/>
        </w:rPr>
        <w:t>«Stortinget ber regjeringen utarbeide en plan for utbedring av verneverdige kirkebygg.»</w:t>
      </w:r>
    </w:p>
    <w:p w14:paraId="022F6779" w14:textId="77777777" w:rsidR="00972395" w:rsidRPr="00E73D4B" w:rsidRDefault="00F120C7" w:rsidP="00E73D4B">
      <w:r w:rsidRPr="00E73D4B">
        <w:t xml:space="preserve">Vedtaket blei gjort i samband med handsaminga av Meld. St. 29 (2018–2019) </w:t>
      </w:r>
      <w:r w:rsidRPr="00E73D4B">
        <w:rPr>
          <w:rStyle w:val="kursiv"/>
        </w:rPr>
        <w:t>Opplysningsvesenets fond</w:t>
      </w:r>
      <w:r w:rsidRPr="00E73D4B">
        <w:t xml:space="preserve">, jf. </w:t>
      </w:r>
      <w:proofErr w:type="spellStart"/>
      <w:r w:rsidRPr="00E73D4B">
        <w:t>Innst</w:t>
      </w:r>
      <w:proofErr w:type="spellEnd"/>
      <w:r w:rsidRPr="00E73D4B">
        <w:t>. 209 S (2019–2020).</w:t>
      </w:r>
    </w:p>
    <w:p w14:paraId="6FA14DFE" w14:textId="77777777" w:rsidR="00972395" w:rsidRPr="00E73D4B" w:rsidRDefault="00F120C7" w:rsidP="00E73D4B">
      <w:r w:rsidRPr="00E73D4B">
        <w:t xml:space="preserve">Barne- og familiedepartementet har </w:t>
      </w:r>
      <w:proofErr w:type="spellStart"/>
      <w:r w:rsidRPr="00E73D4B">
        <w:t>saman</w:t>
      </w:r>
      <w:proofErr w:type="spellEnd"/>
      <w:r w:rsidRPr="00E73D4B">
        <w:t xml:space="preserve"> med Klima- og miljødepartementet gitt Riksantikvaren i samarbeid med Den norske </w:t>
      </w:r>
      <w:proofErr w:type="spellStart"/>
      <w:r w:rsidRPr="00E73D4B">
        <w:t>kyrkja</w:t>
      </w:r>
      <w:proofErr w:type="spellEnd"/>
      <w:r w:rsidRPr="00E73D4B">
        <w:t xml:space="preserve"> i oppdrag å utarbeide utkast til framtidige verneprogram og -</w:t>
      </w:r>
      <w:proofErr w:type="spellStart"/>
      <w:r w:rsidRPr="00E73D4B">
        <w:t>strategiar</w:t>
      </w:r>
      <w:proofErr w:type="spellEnd"/>
      <w:r w:rsidRPr="00E73D4B">
        <w:t xml:space="preserve"> for </w:t>
      </w:r>
      <w:proofErr w:type="spellStart"/>
      <w:r w:rsidRPr="00E73D4B">
        <w:t>istandsetjing</w:t>
      </w:r>
      <w:proofErr w:type="spellEnd"/>
      <w:r w:rsidRPr="00E73D4B">
        <w:t xml:space="preserve"> av verneverdige </w:t>
      </w:r>
      <w:proofErr w:type="spellStart"/>
      <w:r w:rsidRPr="00E73D4B">
        <w:t>kyrkjebygg</w:t>
      </w:r>
      <w:proofErr w:type="spellEnd"/>
      <w:r w:rsidRPr="00E73D4B">
        <w:t xml:space="preserve">. Fyrste delrapport blei levert departementa 15. juni 2022. Riksantikvaren tilrår </w:t>
      </w:r>
      <w:proofErr w:type="spellStart"/>
      <w:r w:rsidRPr="00E73D4B">
        <w:t>ein</w:t>
      </w:r>
      <w:proofErr w:type="spellEnd"/>
      <w:r w:rsidRPr="00E73D4B">
        <w:t xml:space="preserve"> modell med </w:t>
      </w:r>
      <w:proofErr w:type="spellStart"/>
      <w:r w:rsidRPr="00E73D4B">
        <w:t>ein</w:t>
      </w:r>
      <w:proofErr w:type="spellEnd"/>
      <w:r w:rsidRPr="00E73D4B">
        <w:t xml:space="preserve"> overordna strategi med tre </w:t>
      </w:r>
      <w:proofErr w:type="spellStart"/>
      <w:r w:rsidRPr="00E73D4B">
        <w:t>underliggjande</w:t>
      </w:r>
      <w:proofErr w:type="spellEnd"/>
      <w:r w:rsidRPr="00E73D4B">
        <w:t xml:space="preserve"> verneprogram for ulike </w:t>
      </w:r>
      <w:proofErr w:type="spellStart"/>
      <w:r w:rsidRPr="00E73D4B">
        <w:t>typar</w:t>
      </w:r>
      <w:proofErr w:type="spellEnd"/>
      <w:r w:rsidRPr="00E73D4B">
        <w:t xml:space="preserve"> </w:t>
      </w:r>
      <w:proofErr w:type="spellStart"/>
      <w:r w:rsidRPr="00E73D4B">
        <w:t>kyrkjer</w:t>
      </w:r>
      <w:proofErr w:type="spellEnd"/>
      <w:r w:rsidRPr="00E73D4B">
        <w:t xml:space="preserve">. </w:t>
      </w:r>
      <w:proofErr w:type="spellStart"/>
      <w:r w:rsidRPr="00E73D4B">
        <w:t>Desse</w:t>
      </w:r>
      <w:proofErr w:type="spellEnd"/>
      <w:r w:rsidRPr="00E73D4B">
        <w:t xml:space="preserve"> programma vil få fire felles </w:t>
      </w:r>
      <w:proofErr w:type="spellStart"/>
      <w:r w:rsidRPr="00E73D4B">
        <w:t>tverrgåande</w:t>
      </w:r>
      <w:proofErr w:type="spellEnd"/>
      <w:r w:rsidRPr="00E73D4B">
        <w:t xml:space="preserve"> innsatsområde med mål om vern, kunnskaps- og kompetansebygging, formidling og engasjement. Ei samla tilråding vil bli oversend departementa 1. desember 2022. Tilrådinga må </w:t>
      </w:r>
      <w:proofErr w:type="spellStart"/>
      <w:r w:rsidRPr="00E73D4B">
        <w:t>sjåast</w:t>
      </w:r>
      <w:proofErr w:type="spellEnd"/>
      <w:r w:rsidRPr="00E73D4B">
        <w:t xml:space="preserve"> i </w:t>
      </w:r>
      <w:proofErr w:type="spellStart"/>
      <w:r w:rsidRPr="00E73D4B">
        <w:t>samanheng</w:t>
      </w:r>
      <w:proofErr w:type="spellEnd"/>
      <w:r w:rsidRPr="00E73D4B">
        <w:t xml:space="preserve"> med anna arbeid i samband med delinga av Opplysningsvesenets fond, jf. </w:t>
      </w:r>
      <w:proofErr w:type="spellStart"/>
      <w:r w:rsidRPr="00E73D4B">
        <w:t>nærare</w:t>
      </w:r>
      <w:proofErr w:type="spellEnd"/>
      <w:r w:rsidRPr="00E73D4B">
        <w:t xml:space="preserve"> omtale under oppmodingsvedtak nr. 500 og 501 av 14. april 2020. Departementet vil orientere Stortinget om den </w:t>
      </w:r>
      <w:proofErr w:type="spellStart"/>
      <w:r w:rsidRPr="00E73D4B">
        <w:t>endelege</w:t>
      </w:r>
      <w:proofErr w:type="spellEnd"/>
      <w:r w:rsidRPr="00E73D4B">
        <w:t xml:space="preserve"> utforminga av verneprogram og -</w:t>
      </w:r>
      <w:proofErr w:type="spellStart"/>
      <w:r w:rsidRPr="00E73D4B">
        <w:t>strategiar</w:t>
      </w:r>
      <w:proofErr w:type="spellEnd"/>
      <w:r w:rsidRPr="00E73D4B">
        <w:t xml:space="preserve"> på eigna måte </w:t>
      </w:r>
      <w:proofErr w:type="spellStart"/>
      <w:r w:rsidRPr="00E73D4B">
        <w:t>seinare</w:t>
      </w:r>
      <w:proofErr w:type="spellEnd"/>
      <w:r w:rsidRPr="00E73D4B">
        <w:t>.</w:t>
      </w:r>
    </w:p>
    <w:p w14:paraId="1A39FC98" w14:textId="77777777" w:rsidR="00972395" w:rsidRPr="00E73D4B" w:rsidRDefault="00F120C7" w:rsidP="00E73D4B">
      <w:pPr>
        <w:pStyle w:val="avsnitt-tittel"/>
      </w:pPr>
      <w:r w:rsidRPr="00E73D4B">
        <w:t xml:space="preserve">FN-konvensjonen om </w:t>
      </w:r>
      <w:proofErr w:type="spellStart"/>
      <w:r w:rsidRPr="00E73D4B">
        <w:t>barnerettane</w:t>
      </w:r>
      <w:proofErr w:type="spellEnd"/>
      <w:r w:rsidRPr="00E73D4B">
        <w:t xml:space="preserve"> – ny barnevernslov og ny barnelov</w:t>
      </w:r>
    </w:p>
    <w:p w14:paraId="3D9C0C3D" w14:textId="77777777" w:rsidR="00972395" w:rsidRPr="00E73D4B" w:rsidRDefault="00F120C7" w:rsidP="00E73D4B">
      <w:pPr>
        <w:pStyle w:val="avsnitt-undertittel"/>
      </w:pPr>
      <w:r w:rsidRPr="00E73D4B">
        <w:t>Vedtak 637, 28. mai 2020</w:t>
      </w:r>
    </w:p>
    <w:p w14:paraId="268E62C5" w14:textId="77777777" w:rsidR="00972395" w:rsidRPr="00E73D4B" w:rsidRDefault="00F120C7" w:rsidP="00E73D4B">
      <w:pPr>
        <w:pStyle w:val="blokksit"/>
        <w:rPr>
          <w:rStyle w:val="kursiv"/>
        </w:rPr>
      </w:pPr>
      <w:r w:rsidRPr="00E73D4B">
        <w:rPr>
          <w:rStyle w:val="kursiv"/>
        </w:rPr>
        <w:t>«Stortinget ber regjeringen sikre at forslagene til ny barnevernlov og ny barnelov er i tråd med FNs barnekonvensjons prinsipper om barns rett til informasjon, til å bli hørt, beslutninger til barnets beste og barns rett til privatliv.»</w:t>
      </w:r>
    </w:p>
    <w:p w14:paraId="3F6FD48B" w14:textId="77777777" w:rsidR="00972395" w:rsidRPr="00E73D4B" w:rsidRDefault="00F120C7" w:rsidP="00E73D4B">
      <w:r w:rsidRPr="00E73D4B">
        <w:t>Vedtaket blei gjort i samband med orienteringa om situasjonen i barnevernet som barne- og familieministeren la fram for Stortinget 26. mai 2020.</w:t>
      </w:r>
    </w:p>
    <w:p w14:paraId="40399C15" w14:textId="77777777" w:rsidR="00972395" w:rsidRPr="00E73D4B" w:rsidRDefault="00F120C7" w:rsidP="00E73D4B">
      <w:proofErr w:type="spellStart"/>
      <w:r w:rsidRPr="00E73D4B">
        <w:t>Barnelovutvalet</w:t>
      </w:r>
      <w:proofErr w:type="spellEnd"/>
      <w:r w:rsidRPr="00E73D4B">
        <w:t xml:space="preserve"> leverte utgreiinga NOU 2020: 14 </w:t>
      </w:r>
      <w:r w:rsidRPr="00E73D4B">
        <w:rPr>
          <w:rStyle w:val="kursiv"/>
        </w:rPr>
        <w:t>Ny barnelov</w:t>
      </w:r>
      <w:r w:rsidRPr="00E73D4B">
        <w:t xml:space="preserve"> 4. desember 2020. Utgreiinga blei send på </w:t>
      </w:r>
      <w:proofErr w:type="spellStart"/>
      <w:r w:rsidRPr="00E73D4B">
        <w:t>høyring</w:t>
      </w:r>
      <w:proofErr w:type="spellEnd"/>
      <w:r w:rsidRPr="00E73D4B">
        <w:t xml:space="preserve"> med </w:t>
      </w:r>
      <w:proofErr w:type="spellStart"/>
      <w:r w:rsidRPr="00E73D4B">
        <w:t>høyringsfrist</w:t>
      </w:r>
      <w:proofErr w:type="spellEnd"/>
      <w:r w:rsidRPr="00E73D4B">
        <w:t xml:space="preserve"> 1. mai 2021. Departementet arbeider </w:t>
      </w:r>
      <w:proofErr w:type="spellStart"/>
      <w:r w:rsidRPr="00E73D4B">
        <w:t>no</w:t>
      </w:r>
      <w:proofErr w:type="spellEnd"/>
      <w:r w:rsidRPr="00E73D4B">
        <w:t xml:space="preserve"> med å </w:t>
      </w:r>
      <w:proofErr w:type="spellStart"/>
      <w:r w:rsidRPr="00E73D4B">
        <w:t>følgje</w:t>
      </w:r>
      <w:proofErr w:type="spellEnd"/>
      <w:r w:rsidRPr="00E73D4B">
        <w:t xml:space="preserve"> opp </w:t>
      </w:r>
      <w:proofErr w:type="spellStart"/>
      <w:r w:rsidRPr="00E73D4B">
        <w:t>høyringa</w:t>
      </w:r>
      <w:proofErr w:type="spellEnd"/>
      <w:r w:rsidRPr="00E73D4B">
        <w:t xml:space="preserve"> med sikte på å </w:t>
      </w:r>
      <w:proofErr w:type="spellStart"/>
      <w:r w:rsidRPr="00E73D4B">
        <w:t>leggje</w:t>
      </w:r>
      <w:proofErr w:type="spellEnd"/>
      <w:r w:rsidRPr="00E73D4B">
        <w:t xml:space="preserve"> fram </w:t>
      </w:r>
      <w:proofErr w:type="spellStart"/>
      <w:r w:rsidRPr="00E73D4B">
        <w:t>ein</w:t>
      </w:r>
      <w:proofErr w:type="spellEnd"/>
      <w:r w:rsidRPr="00E73D4B">
        <w:t xml:space="preserve"> lovproposisjon i 2024 og vil i dette arbeidet på </w:t>
      </w:r>
      <w:proofErr w:type="spellStart"/>
      <w:r w:rsidRPr="00E73D4B">
        <w:t>vanleg</w:t>
      </w:r>
      <w:proofErr w:type="spellEnd"/>
      <w:r w:rsidRPr="00E73D4B">
        <w:t xml:space="preserve"> måte ta omsyn til </w:t>
      </w:r>
      <w:proofErr w:type="spellStart"/>
      <w:r w:rsidRPr="00E73D4B">
        <w:t>menneskerettane</w:t>
      </w:r>
      <w:proofErr w:type="spellEnd"/>
      <w:r w:rsidRPr="00E73D4B">
        <w:t xml:space="preserve">, </w:t>
      </w:r>
      <w:proofErr w:type="spellStart"/>
      <w:r w:rsidRPr="00E73D4B">
        <w:t>irekna</w:t>
      </w:r>
      <w:proofErr w:type="spellEnd"/>
      <w:r w:rsidRPr="00E73D4B">
        <w:t xml:space="preserve"> barnekonvensjonen.</w:t>
      </w:r>
    </w:p>
    <w:p w14:paraId="7D25A552" w14:textId="77777777" w:rsidR="00972395" w:rsidRPr="00E73D4B" w:rsidRDefault="00F120C7" w:rsidP="00E73D4B">
      <w:r w:rsidRPr="00E73D4B">
        <w:t xml:space="preserve">Departementet har lagt fram forslag til ny barnevernslov i </w:t>
      </w:r>
      <w:proofErr w:type="spellStart"/>
      <w:r w:rsidRPr="00E73D4B">
        <w:t>Prop</w:t>
      </w:r>
      <w:proofErr w:type="spellEnd"/>
      <w:r w:rsidRPr="00E73D4B">
        <w:t xml:space="preserve">. 133 L (2020–2021). Lova blei </w:t>
      </w:r>
      <w:proofErr w:type="spellStart"/>
      <w:r w:rsidRPr="00E73D4B">
        <w:t>vedteken</w:t>
      </w:r>
      <w:proofErr w:type="spellEnd"/>
      <w:r w:rsidRPr="00E73D4B">
        <w:t xml:space="preserve"> av Stortinget 9. juni 2021. Ny barnevernslov </w:t>
      </w:r>
      <w:proofErr w:type="spellStart"/>
      <w:r w:rsidRPr="00E73D4B">
        <w:t>inneheld</w:t>
      </w:r>
      <w:proofErr w:type="spellEnd"/>
      <w:r w:rsidRPr="00E73D4B">
        <w:t xml:space="preserve"> </w:t>
      </w:r>
      <w:proofErr w:type="spellStart"/>
      <w:r w:rsidRPr="00E73D4B">
        <w:t>fleire</w:t>
      </w:r>
      <w:proofErr w:type="spellEnd"/>
      <w:r w:rsidRPr="00E73D4B">
        <w:t xml:space="preserve"> </w:t>
      </w:r>
      <w:proofErr w:type="spellStart"/>
      <w:r w:rsidRPr="00E73D4B">
        <w:t>endringar</w:t>
      </w:r>
      <w:proofErr w:type="spellEnd"/>
      <w:r w:rsidRPr="00E73D4B">
        <w:t xml:space="preserve"> som </w:t>
      </w:r>
      <w:proofErr w:type="spellStart"/>
      <w:r w:rsidRPr="00E73D4B">
        <w:t>styrkjer</w:t>
      </w:r>
      <w:proofErr w:type="spellEnd"/>
      <w:r w:rsidRPr="00E73D4B">
        <w:t xml:space="preserve"> barn sine </w:t>
      </w:r>
      <w:proofErr w:type="spellStart"/>
      <w:r w:rsidRPr="00E73D4B">
        <w:t>rettar</w:t>
      </w:r>
      <w:proofErr w:type="spellEnd"/>
      <w:r w:rsidRPr="00E73D4B">
        <w:t xml:space="preserve">, og lova er i tråd med FN-konvensjonen om </w:t>
      </w:r>
      <w:proofErr w:type="spellStart"/>
      <w:r w:rsidRPr="00E73D4B">
        <w:t>barnerettane</w:t>
      </w:r>
      <w:proofErr w:type="spellEnd"/>
      <w:r w:rsidRPr="00E73D4B">
        <w:t xml:space="preserve">. Det </w:t>
      </w:r>
      <w:proofErr w:type="spellStart"/>
      <w:r w:rsidRPr="00E73D4B">
        <w:t>grunnleggjande</w:t>
      </w:r>
      <w:proofErr w:type="spellEnd"/>
      <w:r w:rsidRPr="00E73D4B">
        <w:t xml:space="preserve"> omsynet for barnevernet skal </w:t>
      </w:r>
      <w:proofErr w:type="spellStart"/>
      <w:r w:rsidRPr="00E73D4B">
        <w:t>vere</w:t>
      </w:r>
      <w:proofErr w:type="spellEnd"/>
      <w:r w:rsidRPr="00E73D4B">
        <w:t xml:space="preserve"> det beste for barnet, og dette er framheva i ei ny overordna føresegn i barnevernslova. Andre </w:t>
      </w:r>
      <w:proofErr w:type="spellStart"/>
      <w:r w:rsidRPr="00E73D4B">
        <w:t>grunnleggjande</w:t>
      </w:r>
      <w:proofErr w:type="spellEnd"/>
      <w:r w:rsidRPr="00E73D4B">
        <w:t xml:space="preserve"> </w:t>
      </w:r>
      <w:proofErr w:type="spellStart"/>
      <w:r w:rsidRPr="00E73D4B">
        <w:t>rettar</w:t>
      </w:r>
      <w:proofErr w:type="spellEnd"/>
      <w:r w:rsidRPr="00E73D4B">
        <w:t xml:space="preserve"> og prinsipp er òg </w:t>
      </w:r>
      <w:proofErr w:type="spellStart"/>
      <w:r w:rsidRPr="00E73D4B">
        <w:t>tekne</w:t>
      </w:r>
      <w:proofErr w:type="spellEnd"/>
      <w:r w:rsidRPr="00E73D4B">
        <w:t xml:space="preserve"> inn i lova, slik som retten barn har til omsorg og vern, og retten til familieliv. Departementet </w:t>
      </w:r>
      <w:proofErr w:type="spellStart"/>
      <w:r w:rsidRPr="00E73D4B">
        <w:t>reknar</w:t>
      </w:r>
      <w:proofErr w:type="spellEnd"/>
      <w:r w:rsidRPr="00E73D4B">
        <w:t xml:space="preserve"> den delen av vedtaket som gjeld ny barnevernslov, som </w:t>
      </w:r>
      <w:proofErr w:type="spellStart"/>
      <w:r w:rsidRPr="00E73D4B">
        <w:t>følgd</w:t>
      </w:r>
      <w:proofErr w:type="spellEnd"/>
      <w:r w:rsidRPr="00E73D4B">
        <w:t xml:space="preserve"> opp.</w:t>
      </w:r>
    </w:p>
    <w:p w14:paraId="284436DF" w14:textId="77777777" w:rsidR="00972395" w:rsidRPr="00E73D4B" w:rsidRDefault="00F120C7" w:rsidP="00E73D4B">
      <w:pPr>
        <w:pStyle w:val="Overskrift2"/>
      </w:pPr>
      <w:r w:rsidRPr="00E73D4B">
        <w:t>Stortingssesjon 2016–2017</w:t>
      </w:r>
    </w:p>
    <w:p w14:paraId="5BF9DB0F" w14:textId="77777777" w:rsidR="00972395" w:rsidRPr="00E73D4B" w:rsidRDefault="00F120C7" w:rsidP="00E73D4B">
      <w:pPr>
        <w:pStyle w:val="avsnitt-tittel"/>
      </w:pPr>
      <w:r w:rsidRPr="00E73D4B">
        <w:t>Evaluering av felles foreldreansvar</w:t>
      </w:r>
    </w:p>
    <w:p w14:paraId="1B55A452" w14:textId="77777777" w:rsidR="00972395" w:rsidRPr="00E73D4B" w:rsidRDefault="00F120C7" w:rsidP="00E73D4B">
      <w:pPr>
        <w:pStyle w:val="avsnitt-undertittel"/>
      </w:pPr>
      <w:r w:rsidRPr="00E73D4B">
        <w:t>Vedtak nr. 491, 7. mars 2017</w:t>
      </w:r>
    </w:p>
    <w:p w14:paraId="3F8D9769" w14:textId="77777777" w:rsidR="00972395" w:rsidRPr="00E73D4B" w:rsidRDefault="00F120C7" w:rsidP="00E73D4B">
      <w:pPr>
        <w:pStyle w:val="blokksit"/>
        <w:rPr>
          <w:rStyle w:val="kursiv"/>
        </w:rPr>
      </w:pPr>
      <w:r w:rsidRPr="00E73D4B">
        <w:rPr>
          <w:rStyle w:val="kursiv"/>
        </w:rPr>
        <w:t>«Stortinget ber regjeringen evaluere felles foreldreansvar fra fødsel, etter at loven har virket tre år.»</w:t>
      </w:r>
    </w:p>
    <w:p w14:paraId="35F664C5"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161 L (2015–2016) </w:t>
      </w:r>
      <w:r w:rsidRPr="00E73D4B">
        <w:rPr>
          <w:rStyle w:val="kursiv"/>
        </w:rPr>
        <w:t>Endringer i barnelova mv. (likestilt foreldreskap)</w:t>
      </w:r>
      <w:r w:rsidRPr="00E73D4B">
        <w:t xml:space="preserve">, jf. </w:t>
      </w:r>
      <w:proofErr w:type="spellStart"/>
      <w:r w:rsidRPr="00E73D4B">
        <w:t>Innst</w:t>
      </w:r>
      <w:proofErr w:type="spellEnd"/>
      <w:r w:rsidRPr="00E73D4B">
        <w:t>. 195 L (2016–2017).</w:t>
      </w:r>
    </w:p>
    <w:p w14:paraId="4884BA4C" w14:textId="77777777" w:rsidR="00972395" w:rsidRPr="00E73D4B" w:rsidRDefault="00F120C7" w:rsidP="00E73D4B">
      <w:r w:rsidRPr="00E73D4B">
        <w:t xml:space="preserve">Lovendringa om felles foreldreansvar tok til å gjelde 1. januar 2020. Evalueringa skal skje etter at lovendringa har verka i tre år, og departementet vurderer </w:t>
      </w:r>
      <w:proofErr w:type="spellStart"/>
      <w:r w:rsidRPr="00E73D4B">
        <w:t>no</w:t>
      </w:r>
      <w:proofErr w:type="spellEnd"/>
      <w:r w:rsidRPr="00E73D4B">
        <w:t xml:space="preserve"> korleis evalueringa kan </w:t>
      </w:r>
      <w:proofErr w:type="spellStart"/>
      <w:r w:rsidRPr="00E73D4B">
        <w:t>gjennomførast</w:t>
      </w:r>
      <w:proofErr w:type="spellEnd"/>
      <w:r w:rsidRPr="00E73D4B">
        <w:t xml:space="preserve"> </w:t>
      </w:r>
      <w:proofErr w:type="spellStart"/>
      <w:r w:rsidRPr="00E73D4B">
        <w:t>frå</w:t>
      </w:r>
      <w:proofErr w:type="spellEnd"/>
      <w:r w:rsidRPr="00E73D4B">
        <w:t xml:space="preserve"> 2023. Departementet vil komme tilbake til Stortinget om oppfølginga av vedtaket.</w:t>
      </w:r>
    </w:p>
    <w:p w14:paraId="26EBE28F" w14:textId="77777777" w:rsidR="00972395" w:rsidRPr="00E73D4B" w:rsidRDefault="00F120C7" w:rsidP="00E73D4B">
      <w:pPr>
        <w:pStyle w:val="avsnitt-tittel"/>
      </w:pPr>
      <w:r w:rsidRPr="00E73D4B">
        <w:t>Politiattest for yrkesgrupper som er i kontakt med barn</w:t>
      </w:r>
    </w:p>
    <w:p w14:paraId="425F3F79" w14:textId="77777777" w:rsidR="00972395" w:rsidRPr="00E73D4B" w:rsidRDefault="00F120C7" w:rsidP="00E73D4B">
      <w:pPr>
        <w:pStyle w:val="avsnitt-undertittel"/>
      </w:pPr>
      <w:r w:rsidRPr="00E73D4B">
        <w:t>Vedtak nr. 606, 25. april 2017</w:t>
      </w:r>
    </w:p>
    <w:p w14:paraId="5B12CF49" w14:textId="77777777" w:rsidR="00972395" w:rsidRPr="00E73D4B" w:rsidRDefault="00F120C7" w:rsidP="00E73D4B">
      <w:pPr>
        <w:pStyle w:val="blokksit"/>
        <w:rPr>
          <w:rStyle w:val="kursiv"/>
        </w:rPr>
      </w:pPr>
      <w:r w:rsidRPr="00E73D4B">
        <w:rPr>
          <w:rStyle w:val="kursiv"/>
        </w:rPr>
        <w:t>«Stortinget ber regjeringen vurdere behovet for å kreve politiattest for yrkesgrupper som er i kontakt med barn, men som ikke faller inn under særlovgivningen.»</w:t>
      </w:r>
    </w:p>
    <w:p w14:paraId="7BA7048C"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12 S (2016–2017) </w:t>
      </w:r>
      <w:r w:rsidRPr="00E73D4B">
        <w:rPr>
          <w:rStyle w:val="kursiv"/>
        </w:rPr>
        <w:t>Opptrappingsplan mot vold og overgrep (2017–2021)</w:t>
      </w:r>
      <w:r w:rsidRPr="00E73D4B">
        <w:t xml:space="preserve"> og </w:t>
      </w:r>
      <w:proofErr w:type="spellStart"/>
      <w:r w:rsidRPr="00E73D4B">
        <w:t>Innst</w:t>
      </w:r>
      <w:proofErr w:type="spellEnd"/>
      <w:r w:rsidRPr="00E73D4B">
        <w:t>. 247 S (2016–2017).</w:t>
      </w:r>
    </w:p>
    <w:p w14:paraId="516677AD" w14:textId="77777777" w:rsidR="00972395" w:rsidRPr="00E73D4B" w:rsidRDefault="00F120C7" w:rsidP="00E73D4B">
      <w:r w:rsidRPr="00E73D4B">
        <w:t xml:space="preserve">Departementet gav </w:t>
      </w:r>
      <w:proofErr w:type="spellStart"/>
      <w:r w:rsidRPr="00E73D4B">
        <w:t>Bufdir</w:t>
      </w:r>
      <w:proofErr w:type="spellEnd"/>
      <w:r w:rsidRPr="00E73D4B">
        <w:t xml:space="preserve"> i oppdrag å vurdere behovet for å </w:t>
      </w:r>
      <w:proofErr w:type="spellStart"/>
      <w:r w:rsidRPr="00E73D4B">
        <w:t>krevje</w:t>
      </w:r>
      <w:proofErr w:type="spellEnd"/>
      <w:r w:rsidRPr="00E73D4B">
        <w:t xml:space="preserve"> politiattest for yrkesgrupper som er i kontakt med barn, og som det i dag </w:t>
      </w:r>
      <w:proofErr w:type="spellStart"/>
      <w:r w:rsidRPr="00E73D4B">
        <w:t>ikkje</w:t>
      </w:r>
      <w:proofErr w:type="spellEnd"/>
      <w:r w:rsidRPr="00E73D4B">
        <w:t xml:space="preserve"> </w:t>
      </w:r>
      <w:proofErr w:type="spellStart"/>
      <w:r w:rsidRPr="00E73D4B">
        <w:t>finst</w:t>
      </w:r>
      <w:proofErr w:type="spellEnd"/>
      <w:r w:rsidRPr="00E73D4B">
        <w:t xml:space="preserve"> heimel til å </w:t>
      </w:r>
      <w:proofErr w:type="spellStart"/>
      <w:r w:rsidRPr="00E73D4B">
        <w:t>krevje</w:t>
      </w:r>
      <w:proofErr w:type="spellEnd"/>
      <w:r w:rsidRPr="00E73D4B">
        <w:t xml:space="preserve"> politiattest for i spesiallovgivinga eller politiregisterforskrifta. Etter at departementet hadde fått utgreiinga </w:t>
      </w:r>
      <w:proofErr w:type="spellStart"/>
      <w:r w:rsidRPr="00E73D4B">
        <w:t>frå</w:t>
      </w:r>
      <w:proofErr w:type="spellEnd"/>
      <w:r w:rsidRPr="00E73D4B">
        <w:t xml:space="preserve"> direktoratet, blei det sett ned ei interdepartemental arbeidsgruppe som skulle vurdere behovet for å </w:t>
      </w:r>
      <w:proofErr w:type="spellStart"/>
      <w:r w:rsidRPr="00E73D4B">
        <w:t>krevje</w:t>
      </w:r>
      <w:proofErr w:type="spellEnd"/>
      <w:r w:rsidRPr="00E73D4B">
        <w:t xml:space="preserve"> politiattest for nye grupper på tvers av </w:t>
      </w:r>
      <w:proofErr w:type="spellStart"/>
      <w:r w:rsidRPr="00E73D4B">
        <w:t>sektorar</w:t>
      </w:r>
      <w:proofErr w:type="spellEnd"/>
      <w:r w:rsidRPr="00E73D4B">
        <w:t xml:space="preserve">. Arbeidsgruppa leverte rapporten sin i januar 2019, og rapporten blei send på </w:t>
      </w:r>
      <w:proofErr w:type="spellStart"/>
      <w:r w:rsidRPr="00E73D4B">
        <w:t>høyring</w:t>
      </w:r>
      <w:proofErr w:type="spellEnd"/>
      <w:r w:rsidRPr="00E73D4B">
        <w:t xml:space="preserve">. </w:t>
      </w:r>
      <w:proofErr w:type="spellStart"/>
      <w:r w:rsidRPr="00E73D4B">
        <w:t>Høyringsfristen</w:t>
      </w:r>
      <w:proofErr w:type="spellEnd"/>
      <w:r w:rsidRPr="00E73D4B">
        <w:t xml:space="preserve"> var 31. oktober 2019. Departementet vil komme tilbake til Stortinget om oppfølginga av vedtaket.</w:t>
      </w:r>
    </w:p>
    <w:p w14:paraId="630A1BC3" w14:textId="77777777" w:rsidR="00972395" w:rsidRPr="00E73D4B" w:rsidRDefault="00F120C7" w:rsidP="00E73D4B">
      <w:pPr>
        <w:pStyle w:val="avsnitt-tittel"/>
      </w:pPr>
      <w:r w:rsidRPr="00E73D4B">
        <w:t xml:space="preserve">Oppfølging av adopterte og </w:t>
      </w:r>
      <w:proofErr w:type="spellStart"/>
      <w:r w:rsidRPr="00E73D4B">
        <w:t>familiane</w:t>
      </w:r>
      <w:proofErr w:type="spellEnd"/>
      <w:r w:rsidRPr="00E73D4B">
        <w:t xml:space="preserve"> </w:t>
      </w:r>
      <w:proofErr w:type="spellStart"/>
      <w:r w:rsidRPr="00E73D4B">
        <w:t>deira</w:t>
      </w:r>
      <w:proofErr w:type="spellEnd"/>
    </w:p>
    <w:p w14:paraId="15D7E19B" w14:textId="77777777" w:rsidR="00972395" w:rsidRPr="00E73D4B" w:rsidRDefault="00F120C7" w:rsidP="00E73D4B">
      <w:pPr>
        <w:pStyle w:val="avsnitt-undertittel"/>
      </w:pPr>
      <w:r w:rsidRPr="00E73D4B">
        <w:t>Vedtak nr. 790, 7. juni 2017</w:t>
      </w:r>
    </w:p>
    <w:p w14:paraId="15F6C204" w14:textId="77777777" w:rsidR="00972395" w:rsidRPr="00E73D4B" w:rsidRDefault="00F120C7" w:rsidP="00E73D4B">
      <w:pPr>
        <w:pStyle w:val="blokksit"/>
        <w:rPr>
          <w:rStyle w:val="kursiv"/>
        </w:rPr>
      </w:pPr>
      <w:r w:rsidRPr="00E73D4B">
        <w:rPr>
          <w:rStyle w:val="kursiv"/>
        </w:rPr>
        <w:t>«Stortinget ber regjeringen vurdere behovet for oppfølging av adopterte og familiene i tråd med Haagkonvensjonen artikkel 9, der en modell som den danske kan vurderes som ett alternativ, og komme tilbake til Stortinget på egnet måte.»</w:t>
      </w:r>
    </w:p>
    <w:p w14:paraId="367DCA9A" w14:textId="77777777" w:rsidR="00972395" w:rsidRPr="00E73D4B" w:rsidRDefault="00F120C7" w:rsidP="00E73D4B">
      <w:r w:rsidRPr="00E73D4B">
        <w:t xml:space="preserve">Vedtaket blei gjort i samband med handsaminga av </w:t>
      </w:r>
      <w:proofErr w:type="spellStart"/>
      <w:r w:rsidRPr="00E73D4B">
        <w:t>Prop</w:t>
      </w:r>
      <w:proofErr w:type="spellEnd"/>
      <w:r w:rsidRPr="00E73D4B">
        <w:t xml:space="preserve">. 88 L (2016–2017) </w:t>
      </w:r>
      <w:r w:rsidRPr="00E73D4B">
        <w:rPr>
          <w:rStyle w:val="kursiv"/>
        </w:rPr>
        <w:t>Lov om adopsjon</w:t>
      </w:r>
      <w:r w:rsidRPr="00E73D4B">
        <w:t xml:space="preserve">, jf. </w:t>
      </w:r>
      <w:proofErr w:type="spellStart"/>
      <w:r w:rsidRPr="00E73D4B">
        <w:t>Innst</w:t>
      </w:r>
      <w:proofErr w:type="spellEnd"/>
      <w:r w:rsidRPr="00E73D4B">
        <w:t>. 359 L (2016–2017).</w:t>
      </w:r>
    </w:p>
    <w:p w14:paraId="12D243CD" w14:textId="77777777" w:rsidR="00972395" w:rsidRPr="00E73D4B" w:rsidRDefault="00F120C7" w:rsidP="00E73D4B">
      <w:r w:rsidRPr="00E73D4B">
        <w:t xml:space="preserve">Departementet vil sjå oppmodingsvedtaket i </w:t>
      </w:r>
      <w:proofErr w:type="spellStart"/>
      <w:r w:rsidRPr="00E73D4B">
        <w:t>samanheng</w:t>
      </w:r>
      <w:proofErr w:type="spellEnd"/>
      <w:r w:rsidRPr="00E73D4B">
        <w:t xml:space="preserve"> med vedtak nr. 744 av 31. mai 2016.</w:t>
      </w:r>
    </w:p>
    <w:p w14:paraId="277FB863" w14:textId="77777777" w:rsidR="00972395" w:rsidRPr="00E73D4B" w:rsidRDefault="00F120C7" w:rsidP="00E73D4B">
      <w:r w:rsidRPr="00E73D4B">
        <w:t xml:space="preserve">Folkehelseinstituttet har kartlagt behovet for mellom anna oppfølging av adopterte og </w:t>
      </w:r>
      <w:proofErr w:type="spellStart"/>
      <w:r w:rsidRPr="00E73D4B">
        <w:t>adoptivfamiliar</w:t>
      </w:r>
      <w:proofErr w:type="spellEnd"/>
      <w:r w:rsidRPr="00E73D4B">
        <w:t xml:space="preserve">. Undersøkinga Folkehelseinstituttet har gjort, syner at mange adopterte og </w:t>
      </w:r>
      <w:proofErr w:type="spellStart"/>
      <w:r w:rsidRPr="00E73D4B">
        <w:t>familiane</w:t>
      </w:r>
      <w:proofErr w:type="spellEnd"/>
      <w:r w:rsidRPr="00E73D4B">
        <w:t xml:space="preserve"> </w:t>
      </w:r>
      <w:proofErr w:type="spellStart"/>
      <w:r w:rsidRPr="00E73D4B">
        <w:t>deira</w:t>
      </w:r>
      <w:proofErr w:type="spellEnd"/>
      <w:r w:rsidRPr="00E73D4B">
        <w:t xml:space="preserve"> har behov for oppfølging etter adopsjon. Departementet har gjennomført </w:t>
      </w:r>
      <w:proofErr w:type="spellStart"/>
      <w:r w:rsidRPr="00E73D4B">
        <w:t>eit</w:t>
      </w:r>
      <w:proofErr w:type="spellEnd"/>
      <w:r w:rsidRPr="00E73D4B">
        <w:t xml:space="preserve"> </w:t>
      </w:r>
      <w:proofErr w:type="spellStart"/>
      <w:r w:rsidRPr="00E73D4B">
        <w:t>innspelsmøte</w:t>
      </w:r>
      <w:proofErr w:type="spellEnd"/>
      <w:r w:rsidRPr="00E73D4B">
        <w:t xml:space="preserve"> med </w:t>
      </w:r>
      <w:proofErr w:type="spellStart"/>
      <w:r w:rsidRPr="00E73D4B">
        <w:t>adopsjonsorganisasjonane</w:t>
      </w:r>
      <w:proofErr w:type="spellEnd"/>
      <w:r w:rsidRPr="00E73D4B">
        <w:t xml:space="preserve"> og -miljøa. Med bakgrunn i dette har departementet vurdert tiltak for å </w:t>
      </w:r>
      <w:proofErr w:type="spellStart"/>
      <w:r w:rsidRPr="00E73D4B">
        <w:t>følgje</w:t>
      </w:r>
      <w:proofErr w:type="spellEnd"/>
      <w:r w:rsidRPr="00E73D4B">
        <w:t xml:space="preserve"> opp vedtaket. Dette </w:t>
      </w:r>
      <w:proofErr w:type="spellStart"/>
      <w:r w:rsidRPr="00E73D4B">
        <w:t>gjeld</w:t>
      </w:r>
      <w:proofErr w:type="spellEnd"/>
      <w:r w:rsidRPr="00E73D4B">
        <w:t xml:space="preserve"> </w:t>
      </w:r>
      <w:proofErr w:type="spellStart"/>
      <w:r w:rsidRPr="00E73D4B">
        <w:t>frå</w:t>
      </w:r>
      <w:proofErr w:type="spellEnd"/>
      <w:r w:rsidRPr="00E73D4B">
        <w:t xml:space="preserve"> 2023 kurs for adoptivforeldre og hjelp til adopterte ved søk etter biologiske foreldre.</w:t>
      </w:r>
    </w:p>
    <w:p w14:paraId="69D1682F" w14:textId="77777777" w:rsidR="00972395" w:rsidRPr="00E73D4B" w:rsidRDefault="00F120C7" w:rsidP="00E73D4B">
      <w:r w:rsidRPr="00E73D4B">
        <w:t xml:space="preserve">Departementet </w:t>
      </w:r>
      <w:proofErr w:type="spellStart"/>
      <w:r w:rsidRPr="00E73D4B">
        <w:t>reknar</w:t>
      </w:r>
      <w:proofErr w:type="spellEnd"/>
      <w:r w:rsidRPr="00E73D4B">
        <w:t xml:space="preserve"> oppmodingsvedtaket som </w:t>
      </w:r>
      <w:proofErr w:type="spellStart"/>
      <w:r w:rsidRPr="00E73D4B">
        <w:t>følgt</w:t>
      </w:r>
      <w:proofErr w:type="spellEnd"/>
      <w:r w:rsidRPr="00E73D4B">
        <w:t xml:space="preserve"> opp.</w:t>
      </w:r>
    </w:p>
    <w:p w14:paraId="2196B216" w14:textId="77777777" w:rsidR="00972395" w:rsidRPr="00E73D4B" w:rsidRDefault="00F120C7" w:rsidP="00E73D4B">
      <w:pPr>
        <w:pStyle w:val="Overskrift2"/>
      </w:pPr>
      <w:r w:rsidRPr="00E73D4B">
        <w:t>Stortingssesjon 2015–2016</w:t>
      </w:r>
    </w:p>
    <w:p w14:paraId="2D3AB5C2" w14:textId="77777777" w:rsidR="00972395" w:rsidRPr="00E73D4B" w:rsidRDefault="00F120C7" w:rsidP="00E73D4B">
      <w:pPr>
        <w:pStyle w:val="avsnitt-tittel"/>
      </w:pPr>
      <w:r w:rsidRPr="00E73D4B">
        <w:t xml:space="preserve">Best </w:t>
      </w:r>
      <w:proofErr w:type="spellStart"/>
      <w:r w:rsidRPr="00E73D4B">
        <w:t>mogleg</w:t>
      </w:r>
      <w:proofErr w:type="spellEnd"/>
      <w:r w:rsidRPr="00E73D4B">
        <w:t xml:space="preserve"> oppfølging for å sikre </w:t>
      </w:r>
      <w:proofErr w:type="spellStart"/>
      <w:r w:rsidRPr="00E73D4B">
        <w:t>ein</w:t>
      </w:r>
      <w:proofErr w:type="spellEnd"/>
      <w:r w:rsidRPr="00E73D4B">
        <w:t xml:space="preserve"> god oppvekst for adopterte barn</w:t>
      </w:r>
    </w:p>
    <w:p w14:paraId="405B9D0E" w14:textId="77777777" w:rsidR="00972395" w:rsidRPr="00E73D4B" w:rsidRDefault="00F120C7" w:rsidP="00E73D4B">
      <w:pPr>
        <w:pStyle w:val="avsnitt-undertittel"/>
      </w:pPr>
      <w:r w:rsidRPr="00E73D4B">
        <w:t>Vedtak nr. 744, 31. mai 2016</w:t>
      </w:r>
    </w:p>
    <w:p w14:paraId="15A50A2A" w14:textId="77777777" w:rsidR="00972395" w:rsidRPr="00E73D4B" w:rsidRDefault="00F120C7" w:rsidP="00E73D4B">
      <w:pPr>
        <w:pStyle w:val="blokksit"/>
        <w:rPr>
          <w:rStyle w:val="kursiv"/>
        </w:rPr>
      </w:pPr>
      <w:r w:rsidRPr="00E73D4B">
        <w:rPr>
          <w:rStyle w:val="kursiv"/>
        </w:rPr>
        <w:t>«Stortinget ber regjeringen se på tiltak som kan gjøres for hvordan adopterte barn kan få best mulig oppfølging for å sikre en god oppvekst.»</w:t>
      </w:r>
    </w:p>
    <w:p w14:paraId="7783AC32" w14:textId="77777777" w:rsidR="00972395" w:rsidRPr="00E73D4B" w:rsidRDefault="00F120C7" w:rsidP="00E73D4B">
      <w:r w:rsidRPr="00E73D4B">
        <w:t xml:space="preserve">Vedtaket blei gjort i samband med handsaminga av Meld. St. 17 (2015–2016) </w:t>
      </w:r>
      <w:r w:rsidRPr="00E73D4B">
        <w:rPr>
          <w:rStyle w:val="kursiv"/>
        </w:rPr>
        <w:t>Trygghet og omsorg – fosterhjem til barns beste,</w:t>
      </w:r>
      <w:r w:rsidRPr="00E73D4B">
        <w:t xml:space="preserve"> jf. </w:t>
      </w:r>
      <w:proofErr w:type="spellStart"/>
      <w:r w:rsidRPr="00E73D4B">
        <w:t>Innst</w:t>
      </w:r>
      <w:proofErr w:type="spellEnd"/>
      <w:r w:rsidRPr="00E73D4B">
        <w:t>. 318 (2015–2016).</w:t>
      </w:r>
    </w:p>
    <w:p w14:paraId="1171EA2F" w14:textId="77777777" w:rsidR="00972395" w:rsidRPr="00E73D4B" w:rsidRDefault="00F120C7" w:rsidP="00E73D4B">
      <w:r w:rsidRPr="00E73D4B">
        <w:t xml:space="preserve">Departementet har sett vedtaket i </w:t>
      </w:r>
      <w:proofErr w:type="spellStart"/>
      <w:r w:rsidRPr="00E73D4B">
        <w:t>samanheng</w:t>
      </w:r>
      <w:proofErr w:type="spellEnd"/>
      <w:r w:rsidRPr="00E73D4B">
        <w:t xml:space="preserve"> med oppmodingsvedtak nr. 790 av 7. juni 2017. Sjå omtale av oppfølging under det vedtaket.</w:t>
      </w:r>
    </w:p>
    <w:p w14:paraId="5A31D5D4" w14:textId="77777777" w:rsidR="00972395" w:rsidRPr="00E73D4B" w:rsidRDefault="00F120C7" w:rsidP="00E73D4B">
      <w:r w:rsidRPr="00E73D4B">
        <w:t xml:space="preserve">Departementet </w:t>
      </w:r>
      <w:proofErr w:type="spellStart"/>
      <w:r w:rsidRPr="00E73D4B">
        <w:t>reknar</w:t>
      </w:r>
      <w:proofErr w:type="spellEnd"/>
      <w:r w:rsidRPr="00E73D4B">
        <w:t xml:space="preserve"> oppmodingsvedtaket som </w:t>
      </w:r>
      <w:proofErr w:type="spellStart"/>
      <w:r w:rsidRPr="00E73D4B">
        <w:t>følgt</w:t>
      </w:r>
      <w:proofErr w:type="spellEnd"/>
      <w:r w:rsidRPr="00E73D4B">
        <w:t xml:space="preserve"> opp.</w:t>
      </w:r>
    </w:p>
    <w:p w14:paraId="44E50E2A" w14:textId="77777777" w:rsidR="00972395" w:rsidRPr="00E73D4B" w:rsidRDefault="00F120C7" w:rsidP="00E73D4B">
      <w:pPr>
        <w:pStyle w:val="avsnitt-tittel"/>
      </w:pPr>
      <w:r w:rsidRPr="00E73D4B">
        <w:t>Pålagde barnevernstiltak under svangerskap</w:t>
      </w:r>
    </w:p>
    <w:p w14:paraId="225D4D88" w14:textId="77777777" w:rsidR="00972395" w:rsidRPr="00E73D4B" w:rsidRDefault="00F120C7" w:rsidP="00E73D4B">
      <w:pPr>
        <w:pStyle w:val="avsnitt-undertittel"/>
      </w:pPr>
      <w:r w:rsidRPr="00E73D4B">
        <w:t>Vedtak nr. 745, 31. mai 2016</w:t>
      </w:r>
    </w:p>
    <w:p w14:paraId="70741FF0" w14:textId="77777777" w:rsidR="00972395" w:rsidRPr="00E73D4B" w:rsidRDefault="00F120C7" w:rsidP="00E73D4B">
      <w:pPr>
        <w:pStyle w:val="blokksit"/>
        <w:rPr>
          <w:rStyle w:val="kursiv"/>
        </w:rPr>
      </w:pPr>
      <w:r w:rsidRPr="00E73D4B">
        <w:rPr>
          <w:rStyle w:val="kursiv"/>
        </w:rPr>
        <w:t>«Stortinget ber regjeringen vurdere om òg pålagte tiltak kan settes inn uten samtykke under svangerskap for å sørge for tidlig hjelp og forebygge omsorgssvikt for nyfødte.»</w:t>
      </w:r>
    </w:p>
    <w:p w14:paraId="31FA299B" w14:textId="77777777" w:rsidR="00972395" w:rsidRPr="00E73D4B" w:rsidRDefault="00F120C7" w:rsidP="00E73D4B">
      <w:r w:rsidRPr="00E73D4B">
        <w:t xml:space="preserve">Vedtaket blei gjort i samband med handsaminga av Meld. St. 17 (2015–2016) </w:t>
      </w:r>
      <w:r w:rsidRPr="00E73D4B">
        <w:rPr>
          <w:rStyle w:val="kursiv"/>
        </w:rPr>
        <w:t>Trygghet og omsorg – fosterhjem til barns beste</w:t>
      </w:r>
      <w:r w:rsidRPr="00E73D4B">
        <w:t xml:space="preserve">, jf. </w:t>
      </w:r>
      <w:proofErr w:type="spellStart"/>
      <w:r w:rsidRPr="00E73D4B">
        <w:t>Innst</w:t>
      </w:r>
      <w:proofErr w:type="spellEnd"/>
      <w:r w:rsidRPr="00E73D4B">
        <w:t>. 318 S (2015–2016).</w:t>
      </w:r>
    </w:p>
    <w:p w14:paraId="651AFD0B" w14:textId="77777777" w:rsidR="00972395" w:rsidRPr="00E73D4B" w:rsidRDefault="00F120C7" w:rsidP="00E73D4B">
      <w:proofErr w:type="spellStart"/>
      <w:r w:rsidRPr="00E73D4B">
        <w:t>Bufdir</w:t>
      </w:r>
      <w:proofErr w:type="spellEnd"/>
      <w:r w:rsidRPr="00E73D4B">
        <w:t xml:space="preserve"> har </w:t>
      </w:r>
      <w:proofErr w:type="spellStart"/>
      <w:r w:rsidRPr="00E73D4B">
        <w:t>tidlegare</w:t>
      </w:r>
      <w:proofErr w:type="spellEnd"/>
      <w:r w:rsidRPr="00E73D4B">
        <w:t xml:space="preserve"> gitt </w:t>
      </w:r>
      <w:proofErr w:type="spellStart"/>
      <w:r w:rsidRPr="00E73D4B">
        <w:t>Høgskulen</w:t>
      </w:r>
      <w:proofErr w:type="spellEnd"/>
      <w:r w:rsidRPr="00E73D4B">
        <w:t xml:space="preserve"> i Innlandet i oppdrag å greie ut om ansvaret og </w:t>
      </w:r>
      <w:proofErr w:type="spellStart"/>
      <w:r w:rsidRPr="00E73D4B">
        <w:t>oppgåver</w:t>
      </w:r>
      <w:proofErr w:type="spellEnd"/>
      <w:r w:rsidRPr="00E73D4B">
        <w:t xml:space="preserve"> barnevernet har når det gjeld det ufødde livet. Utgreiinga blei levert i mars 2021, og </w:t>
      </w:r>
      <w:proofErr w:type="spellStart"/>
      <w:r w:rsidRPr="00E73D4B">
        <w:t>Bufdir</w:t>
      </w:r>
      <w:proofErr w:type="spellEnd"/>
      <w:r w:rsidRPr="00E73D4B">
        <w:t xml:space="preserve"> har </w:t>
      </w:r>
      <w:proofErr w:type="spellStart"/>
      <w:r w:rsidRPr="00E73D4B">
        <w:t>arbeidd</w:t>
      </w:r>
      <w:proofErr w:type="spellEnd"/>
      <w:r w:rsidRPr="00E73D4B">
        <w:t xml:space="preserve"> med saka etter det. </w:t>
      </w:r>
      <w:proofErr w:type="spellStart"/>
      <w:r w:rsidRPr="00E73D4B">
        <w:t>Høgskulen</w:t>
      </w:r>
      <w:proofErr w:type="spellEnd"/>
      <w:r w:rsidRPr="00E73D4B">
        <w:t xml:space="preserve"> tilrår at barnevernstiltak til gravide framleis bør </w:t>
      </w:r>
      <w:proofErr w:type="spellStart"/>
      <w:r w:rsidRPr="00E73D4B">
        <w:t>vere</w:t>
      </w:r>
      <w:proofErr w:type="spellEnd"/>
      <w:r w:rsidRPr="00E73D4B">
        <w:t xml:space="preserve"> frivillige, og at eventuelle tiltak ved bruk av tvang og makt bør varetakast av andre </w:t>
      </w:r>
      <w:proofErr w:type="spellStart"/>
      <w:r w:rsidRPr="00E73D4B">
        <w:t>sektorar</w:t>
      </w:r>
      <w:proofErr w:type="spellEnd"/>
      <w:r w:rsidRPr="00E73D4B">
        <w:t xml:space="preserve"> og etter anna lovverk. Departementet er samd i at barnevernstiltak til gravide framleis bør </w:t>
      </w:r>
      <w:proofErr w:type="spellStart"/>
      <w:r w:rsidRPr="00E73D4B">
        <w:t>vere</w:t>
      </w:r>
      <w:proofErr w:type="spellEnd"/>
      <w:r w:rsidRPr="00E73D4B">
        <w:t xml:space="preserve"> frivillige. Tvang </w:t>
      </w:r>
      <w:proofErr w:type="spellStart"/>
      <w:r w:rsidRPr="00E73D4B">
        <w:t>frå</w:t>
      </w:r>
      <w:proofErr w:type="spellEnd"/>
      <w:r w:rsidRPr="00E73D4B">
        <w:t xml:space="preserve"> barnevernet er </w:t>
      </w:r>
      <w:proofErr w:type="spellStart"/>
      <w:r w:rsidRPr="00E73D4B">
        <w:t>eit</w:t>
      </w:r>
      <w:proofErr w:type="spellEnd"/>
      <w:r w:rsidRPr="00E73D4B">
        <w:t xml:space="preserve"> </w:t>
      </w:r>
      <w:proofErr w:type="spellStart"/>
      <w:r w:rsidRPr="00E73D4B">
        <w:t>dårleg</w:t>
      </w:r>
      <w:proofErr w:type="spellEnd"/>
      <w:r w:rsidRPr="00E73D4B">
        <w:t xml:space="preserve"> utgangspunkt for å hjelpe gravide og sikre barna gode framtidige omsorgsvilkår. Etter vurderinga til departementet bør det derfor </w:t>
      </w:r>
      <w:proofErr w:type="spellStart"/>
      <w:r w:rsidRPr="00E73D4B">
        <w:t>ikkje</w:t>
      </w:r>
      <w:proofErr w:type="spellEnd"/>
      <w:r w:rsidRPr="00E73D4B">
        <w:t xml:space="preserve"> bli </w:t>
      </w:r>
      <w:proofErr w:type="spellStart"/>
      <w:r w:rsidRPr="00E73D4B">
        <w:t>opna</w:t>
      </w:r>
      <w:proofErr w:type="spellEnd"/>
      <w:r w:rsidRPr="00E73D4B">
        <w:t xml:space="preserve"> for at barnevernet skal kunne </w:t>
      </w:r>
      <w:proofErr w:type="spellStart"/>
      <w:r w:rsidRPr="00E73D4B">
        <w:t>påleggje</w:t>
      </w:r>
      <w:proofErr w:type="spellEnd"/>
      <w:r w:rsidRPr="00E73D4B">
        <w:t xml:space="preserve"> hjelpetiltak overfor gravide. Ansvaret det </w:t>
      </w:r>
      <w:proofErr w:type="spellStart"/>
      <w:r w:rsidRPr="00E73D4B">
        <w:t>offentlege</w:t>
      </w:r>
      <w:proofErr w:type="spellEnd"/>
      <w:r w:rsidRPr="00E73D4B">
        <w:t xml:space="preserve"> har for det ufødde liv, bør i </w:t>
      </w:r>
      <w:proofErr w:type="spellStart"/>
      <w:r w:rsidRPr="00E73D4B">
        <w:t>hovudsak</w:t>
      </w:r>
      <w:proofErr w:type="spellEnd"/>
      <w:r w:rsidRPr="00E73D4B">
        <w:t xml:space="preserve"> framleis </w:t>
      </w:r>
      <w:proofErr w:type="spellStart"/>
      <w:r w:rsidRPr="00E73D4B">
        <w:t>liggje</w:t>
      </w:r>
      <w:proofErr w:type="spellEnd"/>
      <w:r w:rsidRPr="00E73D4B">
        <w:t xml:space="preserve"> til helse- og omsorgssektoren.</w:t>
      </w:r>
    </w:p>
    <w:p w14:paraId="576A71C0" w14:textId="77777777" w:rsidR="00972395" w:rsidRPr="00E73D4B" w:rsidRDefault="00F120C7" w:rsidP="00E73D4B">
      <w:r w:rsidRPr="00E73D4B">
        <w:t xml:space="preserve">Departementet </w:t>
      </w:r>
      <w:proofErr w:type="spellStart"/>
      <w:r w:rsidRPr="00E73D4B">
        <w:t>reknar</w:t>
      </w:r>
      <w:proofErr w:type="spellEnd"/>
      <w:r w:rsidRPr="00E73D4B">
        <w:t xml:space="preserve"> vedtaket som </w:t>
      </w:r>
      <w:proofErr w:type="spellStart"/>
      <w:r w:rsidRPr="00E73D4B">
        <w:t>følgt</w:t>
      </w:r>
      <w:proofErr w:type="spellEnd"/>
      <w:r w:rsidRPr="00E73D4B">
        <w:t xml:space="preserve"> opp.</w:t>
      </w:r>
    </w:p>
    <w:p w14:paraId="299ABC07" w14:textId="77777777" w:rsidR="00972395" w:rsidRPr="00E73D4B" w:rsidRDefault="00F120C7" w:rsidP="00E73D4B">
      <w:pPr>
        <w:pStyle w:val="Overskrift1"/>
      </w:pPr>
      <w:proofErr w:type="spellStart"/>
      <w:r w:rsidRPr="00E73D4B">
        <w:t>Finansdepartmentet</w:t>
      </w:r>
      <w:proofErr w:type="spellEnd"/>
    </w:p>
    <w:p w14:paraId="302C13E3" w14:textId="77777777" w:rsidR="00972395" w:rsidRPr="00E73D4B" w:rsidRDefault="00F120C7" w:rsidP="00E73D4B">
      <w:proofErr w:type="spellStart"/>
      <w:r w:rsidRPr="00E73D4B">
        <w:t>Nedanfor</w:t>
      </w:r>
      <w:proofErr w:type="spellEnd"/>
      <w:r w:rsidRPr="00E73D4B">
        <w:t xml:space="preserve"> er det gjeve </w:t>
      </w:r>
      <w:proofErr w:type="gramStart"/>
      <w:r w:rsidRPr="00E73D4B">
        <w:t>ei oversikt</w:t>
      </w:r>
      <w:proofErr w:type="gramEnd"/>
      <w:r w:rsidRPr="00E73D4B">
        <w:t xml:space="preserve"> over oppfølging av oppmodingsvedtak under Finansdepartementet. </w:t>
      </w:r>
      <w:proofErr w:type="spellStart"/>
      <w:r w:rsidRPr="00E73D4B">
        <w:t>Oversikta</w:t>
      </w:r>
      <w:proofErr w:type="spellEnd"/>
      <w:r w:rsidRPr="00E73D4B">
        <w:t xml:space="preserve"> </w:t>
      </w:r>
      <w:proofErr w:type="spellStart"/>
      <w:r w:rsidRPr="00E73D4B">
        <w:t>omfattar</w:t>
      </w:r>
      <w:proofErr w:type="spellEnd"/>
      <w:r w:rsidRPr="00E73D4B">
        <w:t xml:space="preserve"> alle vedtak </w:t>
      </w:r>
      <w:proofErr w:type="spellStart"/>
      <w:r w:rsidRPr="00E73D4B">
        <w:t>frå</w:t>
      </w:r>
      <w:proofErr w:type="spellEnd"/>
      <w:r w:rsidRPr="00E73D4B">
        <w:t xml:space="preserve"> stortingssesjonen 2021–2022 og alle vedtak </w:t>
      </w:r>
      <w:proofErr w:type="spellStart"/>
      <w:r w:rsidRPr="00E73D4B">
        <w:t>frå</w:t>
      </w:r>
      <w:proofErr w:type="spellEnd"/>
      <w:r w:rsidRPr="00E73D4B">
        <w:t xml:space="preserve"> </w:t>
      </w:r>
      <w:proofErr w:type="spellStart"/>
      <w:r w:rsidRPr="00E73D4B">
        <w:t>tidlegare</w:t>
      </w:r>
      <w:proofErr w:type="spellEnd"/>
      <w:r w:rsidRPr="00E73D4B">
        <w:t xml:space="preserve"> </w:t>
      </w:r>
      <w:proofErr w:type="spellStart"/>
      <w:r w:rsidRPr="00E73D4B">
        <w:t>sesjonar</w:t>
      </w:r>
      <w:proofErr w:type="spellEnd"/>
      <w:r w:rsidRPr="00E73D4B">
        <w:t xml:space="preserve"> der rapporteringa </w:t>
      </w:r>
      <w:proofErr w:type="spellStart"/>
      <w:r w:rsidRPr="00E73D4B">
        <w:t>ikkje</w:t>
      </w:r>
      <w:proofErr w:type="spellEnd"/>
      <w:r w:rsidRPr="00E73D4B">
        <w:t xml:space="preserve"> vart varsla avslutta i </w:t>
      </w:r>
      <w:proofErr w:type="spellStart"/>
      <w:r w:rsidRPr="00E73D4B">
        <w:t>Prop</w:t>
      </w:r>
      <w:proofErr w:type="spellEnd"/>
      <w:r w:rsidRPr="00E73D4B">
        <w:t xml:space="preserve">. 1 S (2021–2022) eller som kontroll- og konstitusjonskomiteen i </w:t>
      </w:r>
      <w:proofErr w:type="spellStart"/>
      <w:r w:rsidRPr="00E73D4B">
        <w:t>Innst</w:t>
      </w:r>
      <w:proofErr w:type="spellEnd"/>
      <w:r w:rsidRPr="00E73D4B">
        <w:t xml:space="preserve">. 144 S om </w:t>
      </w:r>
      <w:r w:rsidRPr="00E73D4B">
        <w:rPr>
          <w:rStyle w:val="kursiv"/>
        </w:rPr>
        <w:t>Anmodnings- og utredningsvedtak i stortingssesjonen 2020–2021</w:t>
      </w:r>
      <w:r w:rsidRPr="00E73D4B">
        <w:t xml:space="preserve"> meinte at </w:t>
      </w:r>
      <w:proofErr w:type="spellStart"/>
      <w:r w:rsidRPr="00E73D4B">
        <w:t>ikkje</w:t>
      </w:r>
      <w:proofErr w:type="spellEnd"/>
      <w:r w:rsidRPr="00E73D4B">
        <w:t xml:space="preserve"> var </w:t>
      </w:r>
      <w:proofErr w:type="spellStart"/>
      <w:r w:rsidRPr="00E73D4B">
        <w:t>utkvitterte</w:t>
      </w:r>
      <w:proofErr w:type="spellEnd"/>
      <w:r w:rsidRPr="00E73D4B">
        <w:t xml:space="preserve">. I </w:t>
      </w:r>
      <w:proofErr w:type="spellStart"/>
      <w:r w:rsidRPr="00E73D4B">
        <w:t>nokre</w:t>
      </w:r>
      <w:proofErr w:type="spellEnd"/>
      <w:r w:rsidRPr="00E73D4B">
        <w:t xml:space="preserve"> tilfelle er det samstundes med rapporteringa her gjeve ei </w:t>
      </w:r>
      <w:proofErr w:type="spellStart"/>
      <w:r w:rsidRPr="00E73D4B">
        <w:t>meir</w:t>
      </w:r>
      <w:proofErr w:type="spellEnd"/>
      <w:r w:rsidRPr="00E73D4B">
        <w:t xml:space="preserve"> </w:t>
      </w:r>
      <w:proofErr w:type="spellStart"/>
      <w:r w:rsidRPr="00E73D4B">
        <w:t>omfattande</w:t>
      </w:r>
      <w:proofErr w:type="spellEnd"/>
      <w:r w:rsidRPr="00E73D4B">
        <w:t xml:space="preserve"> framstilling av oppfølginga i </w:t>
      </w:r>
      <w:proofErr w:type="spellStart"/>
      <w:r w:rsidRPr="00E73D4B">
        <w:t>Prop</w:t>
      </w:r>
      <w:proofErr w:type="spellEnd"/>
      <w:r w:rsidRPr="00E73D4B">
        <w:t xml:space="preserve">. 1 LS (2022–2023) Skatter, avgifter og toll 2023 eller i Meld. St. 1 (2022–2023) Nasjonalbudsjettet 2023. I slike </w:t>
      </w:r>
      <w:proofErr w:type="spellStart"/>
      <w:r w:rsidRPr="00E73D4B">
        <w:t>tilfelle</w:t>
      </w:r>
      <w:proofErr w:type="spellEnd"/>
      <w:r w:rsidRPr="00E73D4B">
        <w:t xml:space="preserve"> er det vist til kor denne framstillinga </w:t>
      </w:r>
      <w:proofErr w:type="spellStart"/>
      <w:r w:rsidRPr="00E73D4B">
        <w:t>finst</w:t>
      </w:r>
      <w:proofErr w:type="spellEnd"/>
      <w:r w:rsidRPr="00E73D4B">
        <w:t xml:space="preserve"> i </w:t>
      </w:r>
      <w:proofErr w:type="spellStart"/>
      <w:r w:rsidRPr="00E73D4B">
        <w:t>desse</w:t>
      </w:r>
      <w:proofErr w:type="spellEnd"/>
      <w:r w:rsidRPr="00E73D4B">
        <w:t xml:space="preserve"> dokumenta.</w:t>
      </w:r>
    </w:p>
    <w:p w14:paraId="2603BFE9" w14:textId="778F7E3C" w:rsidR="00972395" w:rsidRDefault="00F120C7" w:rsidP="00E73D4B">
      <w:proofErr w:type="spellStart"/>
      <w:r w:rsidRPr="00E73D4B">
        <w:t>Sjølv</w:t>
      </w:r>
      <w:proofErr w:type="spellEnd"/>
      <w:r w:rsidRPr="00E73D4B">
        <w:t xml:space="preserve"> om det i tabellen </w:t>
      </w:r>
      <w:proofErr w:type="spellStart"/>
      <w:r w:rsidRPr="00E73D4B">
        <w:t>nedanfor</w:t>
      </w:r>
      <w:proofErr w:type="spellEnd"/>
      <w:r w:rsidRPr="00E73D4B">
        <w:t xml:space="preserve"> er oppgitt at rapporteringa vert avslutta, vil det stundom </w:t>
      </w:r>
      <w:proofErr w:type="spellStart"/>
      <w:r w:rsidRPr="00E73D4B">
        <w:t>vere</w:t>
      </w:r>
      <w:proofErr w:type="spellEnd"/>
      <w:r w:rsidRPr="00E73D4B">
        <w:t xml:space="preserve"> slik at oppfølging av alle sider av vedtaket </w:t>
      </w:r>
      <w:proofErr w:type="spellStart"/>
      <w:r w:rsidRPr="00E73D4B">
        <w:t>ikkje</w:t>
      </w:r>
      <w:proofErr w:type="spellEnd"/>
      <w:r w:rsidRPr="00E73D4B">
        <w:t xml:space="preserve"> er sluttført. Dette kan t.d. gjelde oppmoding om å vareta </w:t>
      </w:r>
      <w:proofErr w:type="spellStart"/>
      <w:r w:rsidRPr="00E73D4B">
        <w:t>særlege</w:t>
      </w:r>
      <w:proofErr w:type="spellEnd"/>
      <w:r w:rsidRPr="00E73D4B">
        <w:t xml:space="preserve"> omsyn i politikkutforminga på </w:t>
      </w:r>
      <w:proofErr w:type="spellStart"/>
      <w:r w:rsidRPr="00E73D4B">
        <w:t>eit</w:t>
      </w:r>
      <w:proofErr w:type="spellEnd"/>
      <w:r w:rsidRPr="00E73D4B">
        <w:t xml:space="preserve"> område, og der oppfølginga vil kunne gå over </w:t>
      </w:r>
      <w:proofErr w:type="spellStart"/>
      <w:r w:rsidRPr="00E73D4B">
        <w:t>fleire</w:t>
      </w:r>
      <w:proofErr w:type="spellEnd"/>
      <w:r w:rsidRPr="00E73D4B">
        <w:t xml:space="preserve"> år. I slike </w:t>
      </w:r>
      <w:proofErr w:type="spellStart"/>
      <w:r w:rsidRPr="00E73D4B">
        <w:t>tilfelle</w:t>
      </w:r>
      <w:proofErr w:type="spellEnd"/>
      <w:r w:rsidRPr="00E73D4B">
        <w:t xml:space="preserve"> vert Stortinget orientert om oppfølginga slik som </w:t>
      </w:r>
      <w:proofErr w:type="spellStart"/>
      <w:r w:rsidRPr="00E73D4B">
        <w:t>elles</w:t>
      </w:r>
      <w:proofErr w:type="spellEnd"/>
      <w:r w:rsidRPr="00E73D4B">
        <w:t xml:space="preserve"> gjennom omtale av det relevante politikkområdet i andre dokument til Stortinget.</w:t>
      </w:r>
    </w:p>
    <w:p w14:paraId="56EAC8A5" w14:textId="08203DBB" w:rsidR="00681E28" w:rsidRPr="00E73D4B" w:rsidRDefault="00681E28" w:rsidP="00681E28">
      <w:pPr>
        <w:pStyle w:val="tabell-tittel"/>
      </w:pPr>
      <w:r w:rsidRPr="00E73D4B">
        <w:t>Oversikt over oppmodingsvedtak</w:t>
      </w:r>
    </w:p>
    <w:p w14:paraId="78E61C51"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332"/>
        <w:gridCol w:w="1362"/>
        <w:gridCol w:w="4961"/>
        <w:gridCol w:w="1545"/>
      </w:tblGrid>
      <w:tr w:rsidR="00972395" w:rsidRPr="00E73D4B" w14:paraId="6B8DB5D5" w14:textId="77777777" w:rsidTr="00681E28">
        <w:trPr>
          <w:trHeight w:val="600"/>
        </w:trPr>
        <w:tc>
          <w:tcPr>
            <w:tcW w:w="133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5112AE" w14:textId="77777777" w:rsidR="00972395" w:rsidRPr="00E73D4B" w:rsidRDefault="00F120C7" w:rsidP="00681E28">
            <w:r w:rsidRPr="00E73D4B">
              <w:t>Sesjon</w:t>
            </w:r>
          </w:p>
        </w:tc>
        <w:tc>
          <w:tcPr>
            <w:tcW w:w="136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467ED8" w14:textId="77777777" w:rsidR="00972395" w:rsidRPr="00E73D4B" w:rsidRDefault="00F120C7" w:rsidP="00681E28">
            <w:pPr>
              <w:jc w:val="right"/>
            </w:pPr>
            <w:r w:rsidRPr="00E73D4B">
              <w:t>Vedtak nr.</w:t>
            </w:r>
          </w:p>
        </w:tc>
        <w:tc>
          <w:tcPr>
            <w:tcW w:w="496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7CF206" w14:textId="77777777" w:rsidR="00972395" w:rsidRPr="00E73D4B" w:rsidRDefault="00F120C7" w:rsidP="00681E28">
            <w:r w:rsidRPr="00E73D4B">
              <w:t>Stikkord</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5D8395" w14:textId="77777777" w:rsidR="00972395" w:rsidRPr="00E73D4B" w:rsidRDefault="00F120C7" w:rsidP="00681E28">
            <w:pPr>
              <w:jc w:val="right"/>
            </w:pPr>
            <w:r w:rsidRPr="00E73D4B">
              <w:t>Rapportering vert avslutta (Ja/Nei)</w:t>
            </w:r>
          </w:p>
        </w:tc>
      </w:tr>
      <w:tr w:rsidR="00972395" w:rsidRPr="00E73D4B" w14:paraId="7F37EEBC" w14:textId="77777777" w:rsidTr="00681E28">
        <w:trPr>
          <w:trHeight w:val="380"/>
        </w:trPr>
        <w:tc>
          <w:tcPr>
            <w:tcW w:w="1332" w:type="dxa"/>
            <w:tcBorders>
              <w:top w:val="single" w:sz="4" w:space="0" w:color="000000"/>
              <w:left w:val="nil"/>
              <w:bottom w:val="nil"/>
              <w:right w:val="nil"/>
            </w:tcBorders>
            <w:tcMar>
              <w:top w:w="128" w:type="dxa"/>
              <w:left w:w="43" w:type="dxa"/>
              <w:bottom w:w="43" w:type="dxa"/>
              <w:right w:w="43" w:type="dxa"/>
            </w:tcMar>
          </w:tcPr>
          <w:p w14:paraId="36859564" w14:textId="77777777" w:rsidR="00972395" w:rsidRPr="00E73D4B" w:rsidRDefault="00F120C7" w:rsidP="00681E28">
            <w:r w:rsidRPr="00E73D4B">
              <w:t>2021–2022</w:t>
            </w:r>
          </w:p>
        </w:tc>
        <w:tc>
          <w:tcPr>
            <w:tcW w:w="1362" w:type="dxa"/>
            <w:tcBorders>
              <w:top w:val="single" w:sz="4" w:space="0" w:color="000000"/>
              <w:left w:val="nil"/>
              <w:bottom w:val="nil"/>
              <w:right w:val="nil"/>
            </w:tcBorders>
            <w:tcMar>
              <w:top w:w="128" w:type="dxa"/>
              <w:left w:w="43" w:type="dxa"/>
              <w:bottom w:w="43" w:type="dxa"/>
              <w:right w:w="43" w:type="dxa"/>
            </w:tcMar>
          </w:tcPr>
          <w:p w14:paraId="3DC0F9DD" w14:textId="77777777" w:rsidR="00972395" w:rsidRPr="00E73D4B" w:rsidRDefault="00F120C7" w:rsidP="00681E28">
            <w:pPr>
              <w:jc w:val="right"/>
            </w:pPr>
            <w:r w:rsidRPr="00E73D4B">
              <w:t>35-9</w:t>
            </w:r>
          </w:p>
        </w:tc>
        <w:tc>
          <w:tcPr>
            <w:tcW w:w="4961" w:type="dxa"/>
            <w:tcBorders>
              <w:top w:val="single" w:sz="4" w:space="0" w:color="000000"/>
              <w:left w:val="nil"/>
              <w:bottom w:val="nil"/>
              <w:right w:val="nil"/>
            </w:tcBorders>
            <w:tcMar>
              <w:top w:w="128" w:type="dxa"/>
              <w:left w:w="43" w:type="dxa"/>
              <w:bottom w:w="43" w:type="dxa"/>
              <w:right w:w="43" w:type="dxa"/>
            </w:tcMar>
          </w:tcPr>
          <w:p w14:paraId="2F3E79A3" w14:textId="77777777" w:rsidR="00972395" w:rsidRPr="00E73D4B" w:rsidRDefault="00F120C7" w:rsidP="00681E28">
            <w:r w:rsidRPr="00E73D4B">
              <w:t xml:space="preserve">Fritak for </w:t>
            </w:r>
            <w:proofErr w:type="spellStart"/>
            <w:r w:rsidRPr="00E73D4B">
              <w:t>vegbruksavgift</w:t>
            </w:r>
            <w:proofErr w:type="spellEnd"/>
            <w:r w:rsidRPr="00E73D4B">
              <w:t xml:space="preserve"> for avansert biodrivstoff</w:t>
            </w:r>
          </w:p>
        </w:tc>
        <w:tc>
          <w:tcPr>
            <w:tcW w:w="1545" w:type="dxa"/>
            <w:tcBorders>
              <w:top w:val="single" w:sz="4" w:space="0" w:color="000000"/>
              <w:left w:val="nil"/>
              <w:bottom w:val="nil"/>
              <w:right w:val="nil"/>
            </w:tcBorders>
            <w:tcMar>
              <w:top w:w="128" w:type="dxa"/>
              <w:left w:w="43" w:type="dxa"/>
              <w:bottom w:w="43" w:type="dxa"/>
              <w:right w:w="43" w:type="dxa"/>
            </w:tcMar>
            <w:vAlign w:val="bottom"/>
          </w:tcPr>
          <w:p w14:paraId="0ACD40B4" w14:textId="77777777" w:rsidR="00972395" w:rsidRPr="00E73D4B" w:rsidRDefault="00F120C7" w:rsidP="00681E28">
            <w:pPr>
              <w:jc w:val="right"/>
            </w:pPr>
            <w:r w:rsidRPr="00E73D4B">
              <w:t>Ja</w:t>
            </w:r>
          </w:p>
        </w:tc>
      </w:tr>
      <w:tr w:rsidR="00972395" w:rsidRPr="00E73D4B" w14:paraId="28421F78"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1FCEAF17"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571FC485" w14:textId="77777777" w:rsidR="00972395" w:rsidRPr="00E73D4B" w:rsidRDefault="00F120C7" w:rsidP="00681E28">
            <w:pPr>
              <w:jc w:val="right"/>
            </w:pPr>
            <w:r w:rsidRPr="00E73D4B">
              <w:t>35-13</w:t>
            </w:r>
          </w:p>
        </w:tc>
        <w:tc>
          <w:tcPr>
            <w:tcW w:w="4961" w:type="dxa"/>
            <w:tcBorders>
              <w:top w:val="nil"/>
              <w:left w:val="nil"/>
              <w:bottom w:val="nil"/>
              <w:right w:val="nil"/>
            </w:tcBorders>
            <w:tcMar>
              <w:top w:w="128" w:type="dxa"/>
              <w:left w:w="43" w:type="dxa"/>
              <w:bottom w:w="43" w:type="dxa"/>
              <w:right w:w="43" w:type="dxa"/>
            </w:tcMar>
          </w:tcPr>
          <w:p w14:paraId="78C300DF" w14:textId="77777777" w:rsidR="00972395" w:rsidRPr="00E73D4B" w:rsidRDefault="00F120C7" w:rsidP="00681E28">
            <w:r w:rsidRPr="00E73D4B">
              <w:t xml:space="preserve">Tiltak for </w:t>
            </w:r>
            <w:proofErr w:type="spellStart"/>
            <w:r w:rsidRPr="00E73D4B">
              <w:t>auka</w:t>
            </w:r>
            <w:proofErr w:type="spellEnd"/>
            <w:r w:rsidRPr="00E73D4B">
              <w:t xml:space="preserve"> elbildel i leasing- og </w:t>
            </w:r>
            <w:proofErr w:type="spellStart"/>
            <w:r w:rsidRPr="00E73D4B">
              <w:t>varebilmarknaden</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6C05740E" w14:textId="77777777" w:rsidR="00972395" w:rsidRPr="00E73D4B" w:rsidRDefault="00F120C7" w:rsidP="00681E28">
            <w:pPr>
              <w:jc w:val="right"/>
            </w:pPr>
            <w:r w:rsidRPr="00E73D4B">
              <w:t>Ja</w:t>
            </w:r>
          </w:p>
        </w:tc>
      </w:tr>
      <w:tr w:rsidR="00972395" w:rsidRPr="00E73D4B" w14:paraId="31A1DD1F"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0BBE051B"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13D68D5D" w14:textId="77777777" w:rsidR="00972395" w:rsidRPr="00E73D4B" w:rsidRDefault="00F120C7" w:rsidP="00681E28">
            <w:pPr>
              <w:jc w:val="right"/>
            </w:pPr>
            <w:r w:rsidRPr="00E73D4B">
              <w:t>35-17</w:t>
            </w:r>
          </w:p>
        </w:tc>
        <w:tc>
          <w:tcPr>
            <w:tcW w:w="4961" w:type="dxa"/>
            <w:tcBorders>
              <w:top w:val="nil"/>
              <w:left w:val="nil"/>
              <w:bottom w:val="nil"/>
              <w:right w:val="nil"/>
            </w:tcBorders>
            <w:tcMar>
              <w:top w:w="128" w:type="dxa"/>
              <w:left w:w="43" w:type="dxa"/>
              <w:bottom w:w="43" w:type="dxa"/>
              <w:right w:w="43" w:type="dxa"/>
            </w:tcMar>
          </w:tcPr>
          <w:p w14:paraId="28F9F73D" w14:textId="77777777" w:rsidR="00972395" w:rsidRPr="00E73D4B" w:rsidRDefault="00F120C7" w:rsidP="00681E28">
            <w:r w:rsidRPr="00E73D4B">
              <w:t xml:space="preserve">Utgreiing av </w:t>
            </w:r>
            <w:proofErr w:type="spellStart"/>
            <w:r w:rsidRPr="00E73D4B">
              <w:t>ein</w:t>
            </w:r>
            <w:proofErr w:type="spellEnd"/>
            <w:r w:rsidRPr="00E73D4B">
              <w:t xml:space="preserve"> klimaavtale med petroleumsbransjen</w:t>
            </w:r>
          </w:p>
        </w:tc>
        <w:tc>
          <w:tcPr>
            <w:tcW w:w="1545" w:type="dxa"/>
            <w:tcBorders>
              <w:top w:val="nil"/>
              <w:left w:val="nil"/>
              <w:bottom w:val="nil"/>
              <w:right w:val="nil"/>
            </w:tcBorders>
            <w:tcMar>
              <w:top w:w="128" w:type="dxa"/>
              <w:left w:w="43" w:type="dxa"/>
              <w:bottom w:w="43" w:type="dxa"/>
              <w:right w:w="43" w:type="dxa"/>
            </w:tcMar>
            <w:vAlign w:val="bottom"/>
          </w:tcPr>
          <w:p w14:paraId="188E9975" w14:textId="77777777" w:rsidR="00972395" w:rsidRPr="00E73D4B" w:rsidRDefault="00F120C7" w:rsidP="00681E28">
            <w:pPr>
              <w:jc w:val="right"/>
            </w:pPr>
            <w:r w:rsidRPr="00E73D4B">
              <w:t>Ja</w:t>
            </w:r>
          </w:p>
        </w:tc>
      </w:tr>
      <w:tr w:rsidR="00972395" w:rsidRPr="00E73D4B" w14:paraId="3BF31838"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29ACA9E8"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5FFEF33C" w14:textId="77777777" w:rsidR="00972395" w:rsidRPr="00E73D4B" w:rsidRDefault="00F120C7" w:rsidP="00681E28">
            <w:pPr>
              <w:jc w:val="right"/>
            </w:pPr>
            <w:r w:rsidRPr="00E73D4B">
              <w:t>35-30</w:t>
            </w:r>
          </w:p>
        </w:tc>
        <w:tc>
          <w:tcPr>
            <w:tcW w:w="4961" w:type="dxa"/>
            <w:tcBorders>
              <w:top w:val="nil"/>
              <w:left w:val="nil"/>
              <w:bottom w:val="nil"/>
              <w:right w:val="nil"/>
            </w:tcBorders>
            <w:tcMar>
              <w:top w:w="128" w:type="dxa"/>
              <w:left w:w="43" w:type="dxa"/>
              <w:bottom w:w="43" w:type="dxa"/>
              <w:right w:w="43" w:type="dxa"/>
            </w:tcMar>
          </w:tcPr>
          <w:p w14:paraId="52C6295A" w14:textId="77777777" w:rsidR="00972395" w:rsidRPr="00E73D4B" w:rsidRDefault="00F120C7" w:rsidP="00681E28">
            <w:r w:rsidRPr="00E73D4B">
              <w:t>Differensiert elavgift</w:t>
            </w:r>
          </w:p>
        </w:tc>
        <w:tc>
          <w:tcPr>
            <w:tcW w:w="1545" w:type="dxa"/>
            <w:tcBorders>
              <w:top w:val="nil"/>
              <w:left w:val="nil"/>
              <w:bottom w:val="nil"/>
              <w:right w:val="nil"/>
            </w:tcBorders>
            <w:tcMar>
              <w:top w:w="128" w:type="dxa"/>
              <w:left w:w="43" w:type="dxa"/>
              <w:bottom w:w="43" w:type="dxa"/>
              <w:right w:w="43" w:type="dxa"/>
            </w:tcMar>
            <w:vAlign w:val="bottom"/>
          </w:tcPr>
          <w:p w14:paraId="172D3265" w14:textId="77777777" w:rsidR="00972395" w:rsidRPr="00E73D4B" w:rsidRDefault="00F120C7" w:rsidP="00681E28">
            <w:pPr>
              <w:jc w:val="right"/>
            </w:pPr>
            <w:r w:rsidRPr="00E73D4B">
              <w:t>Ja</w:t>
            </w:r>
          </w:p>
        </w:tc>
      </w:tr>
      <w:tr w:rsidR="00972395" w:rsidRPr="00E73D4B" w14:paraId="7E73698F"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77F4F9C7"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0C1F348B" w14:textId="77777777" w:rsidR="00972395" w:rsidRPr="00E73D4B" w:rsidRDefault="00F120C7" w:rsidP="00681E28">
            <w:pPr>
              <w:jc w:val="right"/>
            </w:pPr>
            <w:r w:rsidRPr="00E73D4B">
              <w:t>35-31</w:t>
            </w:r>
          </w:p>
        </w:tc>
        <w:tc>
          <w:tcPr>
            <w:tcW w:w="4961" w:type="dxa"/>
            <w:tcBorders>
              <w:top w:val="nil"/>
              <w:left w:val="nil"/>
              <w:bottom w:val="nil"/>
              <w:right w:val="nil"/>
            </w:tcBorders>
            <w:tcMar>
              <w:top w:w="128" w:type="dxa"/>
              <w:left w:w="43" w:type="dxa"/>
              <w:bottom w:w="43" w:type="dxa"/>
              <w:right w:w="43" w:type="dxa"/>
            </w:tcMar>
          </w:tcPr>
          <w:p w14:paraId="242F65AE" w14:textId="77777777" w:rsidR="00972395" w:rsidRPr="00E73D4B" w:rsidRDefault="00F120C7" w:rsidP="00681E28">
            <w:r w:rsidRPr="00E73D4B">
              <w:t>Evaluering av NOKUS-</w:t>
            </w:r>
            <w:proofErr w:type="spellStart"/>
            <w:r w:rsidRPr="00E73D4B">
              <w:t>reglane</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495C8BFE" w14:textId="77777777" w:rsidR="00972395" w:rsidRPr="00E73D4B" w:rsidRDefault="00F120C7" w:rsidP="00681E28">
            <w:pPr>
              <w:jc w:val="right"/>
            </w:pPr>
            <w:r w:rsidRPr="00E73D4B">
              <w:t>Nei</w:t>
            </w:r>
          </w:p>
        </w:tc>
      </w:tr>
      <w:tr w:rsidR="00972395" w:rsidRPr="00E73D4B" w14:paraId="3081224B"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2CA58E6F"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6655F8FC" w14:textId="77777777" w:rsidR="00972395" w:rsidRPr="00E73D4B" w:rsidRDefault="00F120C7" w:rsidP="00681E28">
            <w:pPr>
              <w:jc w:val="right"/>
            </w:pPr>
            <w:r w:rsidRPr="00E73D4B">
              <w:t>35-32</w:t>
            </w:r>
          </w:p>
        </w:tc>
        <w:tc>
          <w:tcPr>
            <w:tcW w:w="4961" w:type="dxa"/>
            <w:tcBorders>
              <w:top w:val="nil"/>
              <w:left w:val="nil"/>
              <w:bottom w:val="nil"/>
              <w:right w:val="nil"/>
            </w:tcBorders>
            <w:tcMar>
              <w:top w:w="128" w:type="dxa"/>
              <w:left w:w="43" w:type="dxa"/>
              <w:bottom w:w="43" w:type="dxa"/>
              <w:right w:w="43" w:type="dxa"/>
            </w:tcMar>
          </w:tcPr>
          <w:p w14:paraId="0B3DD263" w14:textId="77777777" w:rsidR="00972395" w:rsidRPr="00E73D4B" w:rsidRDefault="00F120C7" w:rsidP="00681E28">
            <w:r w:rsidRPr="00E73D4B">
              <w:t>Rapportering på ulikskap</w:t>
            </w:r>
          </w:p>
        </w:tc>
        <w:tc>
          <w:tcPr>
            <w:tcW w:w="1545" w:type="dxa"/>
            <w:tcBorders>
              <w:top w:val="nil"/>
              <w:left w:val="nil"/>
              <w:bottom w:val="nil"/>
              <w:right w:val="nil"/>
            </w:tcBorders>
            <w:tcMar>
              <w:top w:w="128" w:type="dxa"/>
              <w:left w:w="43" w:type="dxa"/>
              <w:bottom w:w="43" w:type="dxa"/>
              <w:right w:w="43" w:type="dxa"/>
            </w:tcMar>
            <w:vAlign w:val="bottom"/>
          </w:tcPr>
          <w:p w14:paraId="5DBCD696" w14:textId="77777777" w:rsidR="00972395" w:rsidRPr="00E73D4B" w:rsidRDefault="00F120C7" w:rsidP="00681E28">
            <w:pPr>
              <w:jc w:val="right"/>
            </w:pPr>
            <w:r w:rsidRPr="00E73D4B">
              <w:t>Ja</w:t>
            </w:r>
          </w:p>
        </w:tc>
      </w:tr>
      <w:tr w:rsidR="00972395" w:rsidRPr="00E73D4B" w14:paraId="562C04C4"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650D5D01"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4CB5CD53" w14:textId="77777777" w:rsidR="00972395" w:rsidRPr="00E73D4B" w:rsidRDefault="00F120C7" w:rsidP="00681E28">
            <w:pPr>
              <w:jc w:val="right"/>
            </w:pPr>
            <w:r w:rsidRPr="00E73D4B">
              <w:t>35-33</w:t>
            </w:r>
          </w:p>
        </w:tc>
        <w:tc>
          <w:tcPr>
            <w:tcW w:w="4961" w:type="dxa"/>
            <w:tcBorders>
              <w:top w:val="nil"/>
              <w:left w:val="nil"/>
              <w:bottom w:val="nil"/>
              <w:right w:val="nil"/>
            </w:tcBorders>
            <w:tcMar>
              <w:top w:w="128" w:type="dxa"/>
              <w:left w:w="43" w:type="dxa"/>
              <w:bottom w:w="43" w:type="dxa"/>
              <w:right w:w="43" w:type="dxa"/>
            </w:tcMar>
          </w:tcPr>
          <w:p w14:paraId="7592BA72" w14:textId="77777777" w:rsidR="00972395" w:rsidRPr="00E73D4B" w:rsidRDefault="00F120C7" w:rsidP="00681E28">
            <w:r w:rsidRPr="00E73D4B">
              <w:t xml:space="preserve">Rapportering på ulikskap i </w:t>
            </w:r>
            <w:proofErr w:type="spellStart"/>
            <w:r w:rsidRPr="00E73D4B">
              <w:t>formuar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1907AAB1" w14:textId="77777777" w:rsidR="00972395" w:rsidRPr="00E73D4B" w:rsidRDefault="00F120C7" w:rsidP="00681E28">
            <w:pPr>
              <w:jc w:val="right"/>
            </w:pPr>
            <w:r w:rsidRPr="00E73D4B">
              <w:t>Ja</w:t>
            </w:r>
          </w:p>
        </w:tc>
      </w:tr>
      <w:tr w:rsidR="00972395" w:rsidRPr="00E73D4B" w14:paraId="7771F6E5"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71BFC371"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64B9C9FF" w14:textId="77777777" w:rsidR="00972395" w:rsidRPr="00E73D4B" w:rsidRDefault="00F120C7" w:rsidP="00681E28">
            <w:pPr>
              <w:jc w:val="right"/>
            </w:pPr>
            <w:r w:rsidRPr="00E73D4B">
              <w:t>35-34</w:t>
            </w:r>
          </w:p>
        </w:tc>
        <w:tc>
          <w:tcPr>
            <w:tcW w:w="4961" w:type="dxa"/>
            <w:tcBorders>
              <w:top w:val="nil"/>
              <w:left w:val="nil"/>
              <w:bottom w:val="nil"/>
              <w:right w:val="nil"/>
            </w:tcBorders>
            <w:tcMar>
              <w:top w:w="128" w:type="dxa"/>
              <w:left w:w="43" w:type="dxa"/>
              <w:bottom w:w="43" w:type="dxa"/>
              <w:right w:w="43" w:type="dxa"/>
            </w:tcMar>
          </w:tcPr>
          <w:p w14:paraId="468736E5" w14:textId="77777777" w:rsidR="00972395" w:rsidRPr="00E73D4B" w:rsidRDefault="00F120C7" w:rsidP="00681E28">
            <w:proofErr w:type="spellStart"/>
            <w:r w:rsidRPr="00E73D4B">
              <w:t>Verdsetjingsmetode</w:t>
            </w:r>
            <w:proofErr w:type="spellEnd"/>
            <w:r w:rsidRPr="00E73D4B">
              <w:t xml:space="preserve"> for </w:t>
            </w:r>
            <w:proofErr w:type="spellStart"/>
            <w:r w:rsidRPr="00E73D4B">
              <w:t>bustader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4C51C150" w14:textId="77777777" w:rsidR="00972395" w:rsidRPr="00E73D4B" w:rsidRDefault="00F120C7" w:rsidP="00681E28">
            <w:pPr>
              <w:jc w:val="right"/>
            </w:pPr>
            <w:r w:rsidRPr="00E73D4B">
              <w:t>Nei</w:t>
            </w:r>
          </w:p>
        </w:tc>
      </w:tr>
      <w:tr w:rsidR="00972395" w:rsidRPr="00E73D4B" w14:paraId="65933A43" w14:textId="77777777" w:rsidTr="00681E28">
        <w:trPr>
          <w:trHeight w:val="640"/>
        </w:trPr>
        <w:tc>
          <w:tcPr>
            <w:tcW w:w="1332" w:type="dxa"/>
            <w:tcBorders>
              <w:top w:val="nil"/>
              <w:left w:val="nil"/>
              <w:bottom w:val="nil"/>
              <w:right w:val="nil"/>
            </w:tcBorders>
            <w:tcMar>
              <w:top w:w="128" w:type="dxa"/>
              <w:left w:w="43" w:type="dxa"/>
              <w:bottom w:w="43" w:type="dxa"/>
              <w:right w:w="43" w:type="dxa"/>
            </w:tcMar>
          </w:tcPr>
          <w:p w14:paraId="6A19B16A"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76B82405" w14:textId="77777777" w:rsidR="00972395" w:rsidRPr="00E73D4B" w:rsidRDefault="00F120C7" w:rsidP="00681E28">
            <w:pPr>
              <w:jc w:val="right"/>
            </w:pPr>
            <w:r w:rsidRPr="00E73D4B">
              <w:t>35-36</w:t>
            </w:r>
          </w:p>
        </w:tc>
        <w:tc>
          <w:tcPr>
            <w:tcW w:w="4961" w:type="dxa"/>
            <w:tcBorders>
              <w:top w:val="nil"/>
              <w:left w:val="nil"/>
              <w:bottom w:val="nil"/>
              <w:right w:val="nil"/>
            </w:tcBorders>
            <w:tcMar>
              <w:top w:w="128" w:type="dxa"/>
              <w:left w:w="43" w:type="dxa"/>
              <w:bottom w:w="43" w:type="dxa"/>
              <w:right w:w="43" w:type="dxa"/>
            </w:tcMar>
          </w:tcPr>
          <w:p w14:paraId="114ABEF8" w14:textId="77777777" w:rsidR="00972395" w:rsidRPr="00E73D4B" w:rsidRDefault="00F120C7" w:rsidP="00681E28">
            <w:r w:rsidRPr="00E73D4B">
              <w:t xml:space="preserve">Utvida land-for-land-rapportering (LLR) etter </w:t>
            </w:r>
            <w:proofErr w:type="spellStart"/>
            <w:r w:rsidRPr="00E73D4B">
              <w:t>rekneskapslova</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7B8CD9FA" w14:textId="77777777" w:rsidR="00972395" w:rsidRPr="00E73D4B" w:rsidRDefault="00F120C7" w:rsidP="00681E28">
            <w:pPr>
              <w:jc w:val="right"/>
            </w:pPr>
            <w:r w:rsidRPr="00E73D4B">
              <w:t>Nei</w:t>
            </w:r>
          </w:p>
        </w:tc>
      </w:tr>
      <w:tr w:rsidR="00972395" w:rsidRPr="00E73D4B" w14:paraId="4B377C78"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5C2F12A6"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14EB633E" w14:textId="77777777" w:rsidR="00972395" w:rsidRPr="00E73D4B" w:rsidRDefault="00F120C7" w:rsidP="00681E28">
            <w:pPr>
              <w:jc w:val="right"/>
            </w:pPr>
            <w:r w:rsidRPr="00E73D4B">
              <w:t>35-37</w:t>
            </w:r>
          </w:p>
        </w:tc>
        <w:tc>
          <w:tcPr>
            <w:tcW w:w="4961" w:type="dxa"/>
            <w:tcBorders>
              <w:top w:val="nil"/>
              <w:left w:val="nil"/>
              <w:bottom w:val="nil"/>
              <w:right w:val="nil"/>
            </w:tcBorders>
            <w:tcMar>
              <w:top w:w="128" w:type="dxa"/>
              <w:left w:w="43" w:type="dxa"/>
              <w:bottom w:w="43" w:type="dxa"/>
              <w:right w:w="43" w:type="dxa"/>
            </w:tcMar>
          </w:tcPr>
          <w:p w14:paraId="254AFB72" w14:textId="77777777" w:rsidR="00972395" w:rsidRPr="00E73D4B" w:rsidRDefault="00F120C7" w:rsidP="00681E28">
            <w:r w:rsidRPr="00E73D4B">
              <w:t xml:space="preserve">Intensivere internasjonalt arbeid mot </w:t>
            </w:r>
            <w:proofErr w:type="spellStart"/>
            <w:r w:rsidRPr="00E73D4B">
              <w:t>skattetilpassingar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489D078D" w14:textId="77777777" w:rsidR="00972395" w:rsidRPr="00E73D4B" w:rsidRDefault="00F120C7" w:rsidP="00681E28">
            <w:pPr>
              <w:jc w:val="right"/>
            </w:pPr>
            <w:r w:rsidRPr="00E73D4B">
              <w:t>Ja</w:t>
            </w:r>
          </w:p>
        </w:tc>
      </w:tr>
      <w:tr w:rsidR="00972395" w:rsidRPr="00E73D4B" w14:paraId="41F55DCB"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2AAEF60A"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1521AD6F" w14:textId="77777777" w:rsidR="00972395" w:rsidRPr="00E73D4B" w:rsidRDefault="00F120C7" w:rsidP="00681E28">
            <w:pPr>
              <w:jc w:val="right"/>
            </w:pPr>
            <w:r w:rsidRPr="00E73D4B">
              <w:t>35-38</w:t>
            </w:r>
          </w:p>
        </w:tc>
        <w:tc>
          <w:tcPr>
            <w:tcW w:w="4961" w:type="dxa"/>
            <w:tcBorders>
              <w:top w:val="nil"/>
              <w:left w:val="nil"/>
              <w:bottom w:val="nil"/>
              <w:right w:val="nil"/>
            </w:tcBorders>
            <w:tcMar>
              <w:top w:w="128" w:type="dxa"/>
              <w:left w:w="43" w:type="dxa"/>
              <w:bottom w:w="43" w:type="dxa"/>
              <w:right w:w="43" w:type="dxa"/>
            </w:tcMar>
          </w:tcPr>
          <w:p w14:paraId="48073FF5" w14:textId="77777777" w:rsidR="00972395" w:rsidRPr="00E73D4B" w:rsidRDefault="00F120C7" w:rsidP="00681E28">
            <w:r w:rsidRPr="00E73D4B">
              <w:t xml:space="preserve">Tiltak mot </w:t>
            </w:r>
            <w:proofErr w:type="spellStart"/>
            <w:r w:rsidRPr="00E73D4B">
              <w:t>skattetilpassingar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592D8287" w14:textId="77777777" w:rsidR="00972395" w:rsidRPr="00E73D4B" w:rsidRDefault="00F120C7" w:rsidP="00681E28">
            <w:pPr>
              <w:jc w:val="right"/>
            </w:pPr>
            <w:r w:rsidRPr="00E73D4B">
              <w:t>Ja</w:t>
            </w:r>
          </w:p>
        </w:tc>
      </w:tr>
      <w:tr w:rsidR="00972395" w:rsidRPr="00E73D4B" w14:paraId="5A7DF6C3"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7D1C0C09"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3806A690" w14:textId="77777777" w:rsidR="00972395" w:rsidRPr="00E73D4B" w:rsidRDefault="00F120C7" w:rsidP="00681E28">
            <w:pPr>
              <w:jc w:val="right"/>
            </w:pPr>
            <w:r w:rsidRPr="00E73D4B">
              <w:t>35-39</w:t>
            </w:r>
          </w:p>
        </w:tc>
        <w:tc>
          <w:tcPr>
            <w:tcW w:w="4961" w:type="dxa"/>
            <w:tcBorders>
              <w:top w:val="nil"/>
              <w:left w:val="nil"/>
              <w:bottom w:val="nil"/>
              <w:right w:val="nil"/>
            </w:tcBorders>
            <w:tcMar>
              <w:top w:w="128" w:type="dxa"/>
              <w:left w:w="43" w:type="dxa"/>
              <w:bottom w:w="43" w:type="dxa"/>
              <w:right w:w="43" w:type="dxa"/>
            </w:tcMar>
          </w:tcPr>
          <w:p w14:paraId="7230AE5D" w14:textId="77777777" w:rsidR="00972395" w:rsidRPr="00E73D4B" w:rsidRDefault="00F120C7" w:rsidP="00681E28">
            <w:proofErr w:type="spellStart"/>
            <w:r w:rsidRPr="00E73D4B">
              <w:t>Eigedomsskatt</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509E0DA3" w14:textId="77777777" w:rsidR="00972395" w:rsidRPr="00E73D4B" w:rsidRDefault="00F120C7" w:rsidP="00681E28">
            <w:pPr>
              <w:jc w:val="right"/>
            </w:pPr>
            <w:r w:rsidRPr="00E73D4B">
              <w:t>Ja</w:t>
            </w:r>
          </w:p>
        </w:tc>
      </w:tr>
      <w:tr w:rsidR="00972395" w:rsidRPr="00E73D4B" w14:paraId="3207E191"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2D707ACC"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4F23A36C" w14:textId="77777777" w:rsidR="00972395" w:rsidRPr="00E73D4B" w:rsidRDefault="00F120C7" w:rsidP="00681E28">
            <w:pPr>
              <w:jc w:val="right"/>
            </w:pPr>
            <w:r w:rsidRPr="00E73D4B">
              <w:t>35-40</w:t>
            </w:r>
          </w:p>
        </w:tc>
        <w:tc>
          <w:tcPr>
            <w:tcW w:w="4961" w:type="dxa"/>
            <w:tcBorders>
              <w:top w:val="nil"/>
              <w:left w:val="nil"/>
              <w:bottom w:val="nil"/>
              <w:right w:val="nil"/>
            </w:tcBorders>
            <w:tcMar>
              <w:top w:w="128" w:type="dxa"/>
              <w:left w:w="43" w:type="dxa"/>
              <w:bottom w:w="43" w:type="dxa"/>
              <w:right w:w="43" w:type="dxa"/>
            </w:tcMar>
          </w:tcPr>
          <w:p w14:paraId="254152BC" w14:textId="77777777" w:rsidR="00972395" w:rsidRPr="00E73D4B" w:rsidRDefault="00F120C7" w:rsidP="00681E28">
            <w:r w:rsidRPr="00E73D4B">
              <w:t xml:space="preserve">Kompensasjonsordning for </w:t>
            </w:r>
            <w:proofErr w:type="spellStart"/>
            <w:r w:rsidRPr="00E73D4B">
              <w:t>auka</w:t>
            </w:r>
            <w:proofErr w:type="spellEnd"/>
            <w:r w:rsidRPr="00E73D4B">
              <w:t xml:space="preserve"> miljøavgifter</w:t>
            </w:r>
          </w:p>
        </w:tc>
        <w:tc>
          <w:tcPr>
            <w:tcW w:w="1545" w:type="dxa"/>
            <w:tcBorders>
              <w:top w:val="nil"/>
              <w:left w:val="nil"/>
              <w:bottom w:val="nil"/>
              <w:right w:val="nil"/>
            </w:tcBorders>
            <w:tcMar>
              <w:top w:w="128" w:type="dxa"/>
              <w:left w:w="43" w:type="dxa"/>
              <w:bottom w:w="43" w:type="dxa"/>
              <w:right w:w="43" w:type="dxa"/>
            </w:tcMar>
            <w:vAlign w:val="bottom"/>
          </w:tcPr>
          <w:p w14:paraId="560FAA5F" w14:textId="77777777" w:rsidR="00972395" w:rsidRPr="00E73D4B" w:rsidRDefault="00F120C7" w:rsidP="00681E28">
            <w:pPr>
              <w:jc w:val="right"/>
            </w:pPr>
            <w:r w:rsidRPr="00E73D4B">
              <w:t>Ja</w:t>
            </w:r>
          </w:p>
        </w:tc>
      </w:tr>
      <w:tr w:rsidR="00972395" w:rsidRPr="00E73D4B" w14:paraId="21CF7DD2"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73655675"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11B2BE18" w14:textId="77777777" w:rsidR="00972395" w:rsidRPr="00E73D4B" w:rsidRDefault="00F120C7" w:rsidP="00681E28">
            <w:pPr>
              <w:jc w:val="right"/>
            </w:pPr>
            <w:r w:rsidRPr="00E73D4B">
              <w:t>36</w:t>
            </w:r>
          </w:p>
        </w:tc>
        <w:tc>
          <w:tcPr>
            <w:tcW w:w="4961" w:type="dxa"/>
            <w:tcBorders>
              <w:top w:val="nil"/>
              <w:left w:val="nil"/>
              <w:bottom w:val="nil"/>
              <w:right w:val="nil"/>
            </w:tcBorders>
            <w:tcMar>
              <w:top w:w="128" w:type="dxa"/>
              <w:left w:w="43" w:type="dxa"/>
              <w:bottom w:w="43" w:type="dxa"/>
              <w:right w:w="43" w:type="dxa"/>
            </w:tcMar>
          </w:tcPr>
          <w:p w14:paraId="11334E4D" w14:textId="77777777" w:rsidR="00972395" w:rsidRPr="00E73D4B" w:rsidRDefault="00F120C7" w:rsidP="00681E28">
            <w:proofErr w:type="spellStart"/>
            <w:r w:rsidRPr="00E73D4B">
              <w:t>Straumprisar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784FA08F" w14:textId="77777777" w:rsidR="00972395" w:rsidRPr="00E73D4B" w:rsidRDefault="00F120C7" w:rsidP="00681E28">
            <w:pPr>
              <w:jc w:val="right"/>
            </w:pPr>
            <w:r w:rsidRPr="00E73D4B">
              <w:t>Ja</w:t>
            </w:r>
          </w:p>
        </w:tc>
      </w:tr>
      <w:tr w:rsidR="00972395" w:rsidRPr="00E73D4B" w14:paraId="7BF510DF" w14:textId="77777777" w:rsidTr="00681E28">
        <w:trPr>
          <w:trHeight w:val="640"/>
        </w:trPr>
        <w:tc>
          <w:tcPr>
            <w:tcW w:w="1332" w:type="dxa"/>
            <w:tcBorders>
              <w:top w:val="nil"/>
              <w:left w:val="nil"/>
              <w:bottom w:val="nil"/>
              <w:right w:val="nil"/>
            </w:tcBorders>
            <w:tcMar>
              <w:top w:w="128" w:type="dxa"/>
              <w:left w:w="43" w:type="dxa"/>
              <w:bottom w:w="43" w:type="dxa"/>
              <w:right w:w="43" w:type="dxa"/>
            </w:tcMar>
          </w:tcPr>
          <w:p w14:paraId="301A9C1C"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07E3A834" w14:textId="77777777" w:rsidR="00972395" w:rsidRPr="00E73D4B" w:rsidRDefault="00F120C7" w:rsidP="00681E28">
            <w:pPr>
              <w:jc w:val="right"/>
            </w:pPr>
            <w:r w:rsidRPr="00E73D4B">
              <w:t>411</w:t>
            </w:r>
          </w:p>
        </w:tc>
        <w:tc>
          <w:tcPr>
            <w:tcW w:w="4961" w:type="dxa"/>
            <w:tcBorders>
              <w:top w:val="nil"/>
              <w:left w:val="nil"/>
              <w:bottom w:val="nil"/>
              <w:right w:val="nil"/>
            </w:tcBorders>
            <w:tcMar>
              <w:top w:w="128" w:type="dxa"/>
              <w:left w:w="43" w:type="dxa"/>
              <w:bottom w:w="43" w:type="dxa"/>
              <w:right w:w="43" w:type="dxa"/>
            </w:tcMar>
          </w:tcPr>
          <w:p w14:paraId="43B8980D" w14:textId="77777777" w:rsidR="00972395" w:rsidRPr="00E73D4B" w:rsidRDefault="00F120C7" w:rsidP="00681E28">
            <w:r w:rsidRPr="00E73D4B">
              <w:t xml:space="preserve">Fritak for </w:t>
            </w:r>
            <w:proofErr w:type="spellStart"/>
            <w:r w:rsidRPr="00E73D4B">
              <w:t>uttaksmeirverdiavgift</w:t>
            </w:r>
            <w:proofErr w:type="spellEnd"/>
            <w:r w:rsidRPr="00E73D4B">
              <w:t xml:space="preserve"> ved utdeling til veldedig formål</w:t>
            </w:r>
          </w:p>
        </w:tc>
        <w:tc>
          <w:tcPr>
            <w:tcW w:w="1545" w:type="dxa"/>
            <w:tcBorders>
              <w:top w:val="nil"/>
              <w:left w:val="nil"/>
              <w:bottom w:val="nil"/>
              <w:right w:val="nil"/>
            </w:tcBorders>
            <w:tcMar>
              <w:top w:w="128" w:type="dxa"/>
              <w:left w:w="43" w:type="dxa"/>
              <w:bottom w:w="43" w:type="dxa"/>
              <w:right w:w="43" w:type="dxa"/>
            </w:tcMar>
            <w:vAlign w:val="bottom"/>
          </w:tcPr>
          <w:p w14:paraId="1BADF74D" w14:textId="77777777" w:rsidR="00972395" w:rsidRPr="00E73D4B" w:rsidRDefault="00F120C7" w:rsidP="00681E28">
            <w:pPr>
              <w:jc w:val="right"/>
            </w:pPr>
            <w:r w:rsidRPr="00E73D4B">
              <w:t>Ja</w:t>
            </w:r>
          </w:p>
        </w:tc>
      </w:tr>
      <w:tr w:rsidR="00972395" w:rsidRPr="00E73D4B" w14:paraId="48FD9EF9" w14:textId="77777777" w:rsidTr="00681E28">
        <w:trPr>
          <w:trHeight w:val="640"/>
        </w:trPr>
        <w:tc>
          <w:tcPr>
            <w:tcW w:w="1332" w:type="dxa"/>
            <w:tcBorders>
              <w:top w:val="nil"/>
              <w:left w:val="nil"/>
              <w:bottom w:val="nil"/>
              <w:right w:val="nil"/>
            </w:tcBorders>
            <w:tcMar>
              <w:top w:w="128" w:type="dxa"/>
              <w:left w:w="43" w:type="dxa"/>
              <w:bottom w:w="43" w:type="dxa"/>
              <w:right w:w="43" w:type="dxa"/>
            </w:tcMar>
          </w:tcPr>
          <w:p w14:paraId="03953B4B"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0F105E87" w14:textId="77777777" w:rsidR="00972395" w:rsidRPr="00E73D4B" w:rsidRDefault="00F120C7" w:rsidP="00681E28">
            <w:pPr>
              <w:jc w:val="right"/>
            </w:pPr>
            <w:r w:rsidRPr="00E73D4B">
              <w:t>782</w:t>
            </w:r>
          </w:p>
        </w:tc>
        <w:tc>
          <w:tcPr>
            <w:tcW w:w="4961" w:type="dxa"/>
            <w:tcBorders>
              <w:top w:val="nil"/>
              <w:left w:val="nil"/>
              <w:bottom w:val="nil"/>
              <w:right w:val="nil"/>
            </w:tcBorders>
            <w:tcMar>
              <w:top w:w="128" w:type="dxa"/>
              <w:left w:w="43" w:type="dxa"/>
              <w:bottom w:w="43" w:type="dxa"/>
              <w:right w:w="43" w:type="dxa"/>
            </w:tcMar>
          </w:tcPr>
          <w:p w14:paraId="02070FF4" w14:textId="77777777" w:rsidR="00972395" w:rsidRPr="00E73D4B" w:rsidRDefault="00F120C7" w:rsidP="00681E28">
            <w:r w:rsidRPr="00E73D4B">
              <w:t xml:space="preserve">Vurdere kven som bør </w:t>
            </w:r>
            <w:proofErr w:type="spellStart"/>
            <w:r w:rsidRPr="00E73D4B">
              <w:t>vere</w:t>
            </w:r>
            <w:proofErr w:type="spellEnd"/>
            <w:r w:rsidRPr="00E73D4B">
              <w:t xml:space="preserve"> ekskludert </w:t>
            </w:r>
            <w:proofErr w:type="spellStart"/>
            <w:r w:rsidRPr="00E73D4B">
              <w:t>frå</w:t>
            </w:r>
            <w:proofErr w:type="spellEnd"/>
            <w:r w:rsidRPr="00E73D4B">
              <w:t xml:space="preserve"> å </w:t>
            </w:r>
            <w:proofErr w:type="spellStart"/>
            <w:r w:rsidRPr="00E73D4B">
              <w:t>sitje</w:t>
            </w:r>
            <w:proofErr w:type="spellEnd"/>
            <w:r w:rsidRPr="00E73D4B">
              <w:t xml:space="preserve"> i </w:t>
            </w:r>
            <w:proofErr w:type="spellStart"/>
            <w:r w:rsidRPr="00E73D4B">
              <w:t>Noregs</w:t>
            </w:r>
            <w:proofErr w:type="spellEnd"/>
            <w:r w:rsidRPr="00E73D4B">
              <w:t xml:space="preserve"> Banks </w:t>
            </w:r>
            <w:proofErr w:type="spellStart"/>
            <w:r w:rsidRPr="00E73D4B">
              <w:t>styrande</w:t>
            </w:r>
            <w:proofErr w:type="spellEnd"/>
            <w:r w:rsidRPr="00E73D4B">
              <w:t xml:space="preserve"> organ</w:t>
            </w:r>
          </w:p>
        </w:tc>
        <w:tc>
          <w:tcPr>
            <w:tcW w:w="1545" w:type="dxa"/>
            <w:tcBorders>
              <w:top w:val="nil"/>
              <w:left w:val="nil"/>
              <w:bottom w:val="nil"/>
              <w:right w:val="nil"/>
            </w:tcBorders>
            <w:tcMar>
              <w:top w:w="128" w:type="dxa"/>
              <w:left w:w="43" w:type="dxa"/>
              <w:bottom w:w="43" w:type="dxa"/>
              <w:right w:w="43" w:type="dxa"/>
            </w:tcMar>
            <w:vAlign w:val="bottom"/>
          </w:tcPr>
          <w:p w14:paraId="63FBABE0" w14:textId="77777777" w:rsidR="00972395" w:rsidRPr="00E73D4B" w:rsidRDefault="00F120C7" w:rsidP="00681E28">
            <w:pPr>
              <w:jc w:val="right"/>
            </w:pPr>
            <w:r w:rsidRPr="00E73D4B">
              <w:t>Nei</w:t>
            </w:r>
          </w:p>
        </w:tc>
      </w:tr>
      <w:tr w:rsidR="00972395" w:rsidRPr="00E73D4B" w14:paraId="537FF94A"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44C884D5" w14:textId="77777777" w:rsidR="00972395" w:rsidRPr="00E73D4B" w:rsidRDefault="00F120C7" w:rsidP="00681E28">
            <w:r w:rsidRPr="00E73D4B">
              <w:t>2021–2022</w:t>
            </w:r>
          </w:p>
        </w:tc>
        <w:tc>
          <w:tcPr>
            <w:tcW w:w="1362" w:type="dxa"/>
            <w:tcBorders>
              <w:top w:val="nil"/>
              <w:left w:val="nil"/>
              <w:bottom w:val="nil"/>
              <w:right w:val="nil"/>
            </w:tcBorders>
            <w:tcMar>
              <w:top w:w="128" w:type="dxa"/>
              <w:left w:w="43" w:type="dxa"/>
              <w:bottom w:w="43" w:type="dxa"/>
              <w:right w:w="43" w:type="dxa"/>
            </w:tcMar>
          </w:tcPr>
          <w:p w14:paraId="5B9CB911" w14:textId="77777777" w:rsidR="00972395" w:rsidRPr="00E73D4B" w:rsidRDefault="00F120C7" w:rsidP="00681E28">
            <w:pPr>
              <w:jc w:val="right"/>
            </w:pPr>
            <w:r w:rsidRPr="00E73D4B">
              <w:t>829</w:t>
            </w:r>
          </w:p>
        </w:tc>
        <w:tc>
          <w:tcPr>
            <w:tcW w:w="4961" w:type="dxa"/>
            <w:tcBorders>
              <w:top w:val="nil"/>
              <w:left w:val="nil"/>
              <w:bottom w:val="nil"/>
              <w:right w:val="nil"/>
            </w:tcBorders>
            <w:tcMar>
              <w:top w:w="128" w:type="dxa"/>
              <w:left w:w="43" w:type="dxa"/>
              <w:bottom w:w="43" w:type="dxa"/>
              <w:right w:w="43" w:type="dxa"/>
            </w:tcMar>
          </w:tcPr>
          <w:p w14:paraId="2674AB47" w14:textId="77777777" w:rsidR="00972395" w:rsidRPr="00E73D4B" w:rsidRDefault="00F120C7" w:rsidP="00681E28">
            <w:r w:rsidRPr="00E73D4B">
              <w:t xml:space="preserve">Innføre </w:t>
            </w:r>
            <w:proofErr w:type="spellStart"/>
            <w:r w:rsidRPr="00E73D4B">
              <w:t>mva</w:t>
            </w:r>
            <w:proofErr w:type="spellEnd"/>
            <w:r w:rsidRPr="00E73D4B">
              <w:t xml:space="preserve"> på </w:t>
            </w:r>
            <w:proofErr w:type="spellStart"/>
            <w:r w:rsidRPr="00E73D4B">
              <w:t>prisar</w:t>
            </w:r>
            <w:proofErr w:type="spellEnd"/>
            <w:r w:rsidRPr="00E73D4B">
              <w:t xml:space="preserve"> over 500 000 kroner for </w:t>
            </w:r>
            <w:proofErr w:type="spellStart"/>
            <w:r w:rsidRPr="00E73D4B">
              <w:t>elbilar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64DB7E0F" w14:textId="77777777" w:rsidR="00972395" w:rsidRPr="00E73D4B" w:rsidRDefault="00F120C7" w:rsidP="00681E28">
            <w:pPr>
              <w:jc w:val="right"/>
            </w:pPr>
            <w:r w:rsidRPr="00E73D4B">
              <w:t>Ja</w:t>
            </w:r>
          </w:p>
        </w:tc>
      </w:tr>
      <w:tr w:rsidR="00972395" w:rsidRPr="00E73D4B" w14:paraId="43A0B50C"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6F8B5EAD" w14:textId="77777777" w:rsidR="00972395" w:rsidRPr="00E73D4B" w:rsidRDefault="00F120C7" w:rsidP="00681E28">
            <w:r w:rsidRPr="00E73D4B">
              <w:t>2020–2021</w:t>
            </w:r>
          </w:p>
        </w:tc>
        <w:tc>
          <w:tcPr>
            <w:tcW w:w="1362" w:type="dxa"/>
            <w:tcBorders>
              <w:top w:val="nil"/>
              <w:left w:val="nil"/>
              <w:bottom w:val="nil"/>
              <w:right w:val="nil"/>
            </w:tcBorders>
            <w:tcMar>
              <w:top w:w="128" w:type="dxa"/>
              <w:left w:w="43" w:type="dxa"/>
              <w:bottom w:w="43" w:type="dxa"/>
              <w:right w:w="43" w:type="dxa"/>
            </w:tcMar>
          </w:tcPr>
          <w:p w14:paraId="50BC0809" w14:textId="77777777" w:rsidR="00972395" w:rsidRPr="00E73D4B" w:rsidRDefault="00F120C7" w:rsidP="00681E28">
            <w:pPr>
              <w:jc w:val="right"/>
            </w:pPr>
            <w:r w:rsidRPr="00E73D4B">
              <w:t>104</w:t>
            </w:r>
          </w:p>
        </w:tc>
        <w:tc>
          <w:tcPr>
            <w:tcW w:w="4961" w:type="dxa"/>
            <w:tcBorders>
              <w:top w:val="nil"/>
              <w:left w:val="nil"/>
              <w:bottom w:val="nil"/>
              <w:right w:val="nil"/>
            </w:tcBorders>
            <w:tcMar>
              <w:top w:w="128" w:type="dxa"/>
              <w:left w:w="43" w:type="dxa"/>
              <w:bottom w:w="43" w:type="dxa"/>
              <w:right w:w="43" w:type="dxa"/>
            </w:tcMar>
          </w:tcPr>
          <w:p w14:paraId="588D1E67" w14:textId="77777777" w:rsidR="00972395" w:rsidRPr="00E73D4B" w:rsidRDefault="00F120C7" w:rsidP="00681E28">
            <w:r w:rsidRPr="00E73D4B">
              <w:t xml:space="preserve">Vurdere den kommunale </w:t>
            </w:r>
            <w:proofErr w:type="spellStart"/>
            <w:r w:rsidRPr="00E73D4B">
              <w:t>handlefridomen</w:t>
            </w:r>
            <w:proofErr w:type="spellEnd"/>
            <w:r w:rsidRPr="00E73D4B">
              <w:t xml:space="preserve"> i formuesskatten</w:t>
            </w:r>
          </w:p>
        </w:tc>
        <w:tc>
          <w:tcPr>
            <w:tcW w:w="1545" w:type="dxa"/>
            <w:tcBorders>
              <w:top w:val="nil"/>
              <w:left w:val="nil"/>
              <w:bottom w:val="nil"/>
              <w:right w:val="nil"/>
            </w:tcBorders>
            <w:tcMar>
              <w:top w:w="128" w:type="dxa"/>
              <w:left w:w="43" w:type="dxa"/>
              <w:bottom w:w="43" w:type="dxa"/>
              <w:right w:w="43" w:type="dxa"/>
            </w:tcMar>
            <w:vAlign w:val="bottom"/>
          </w:tcPr>
          <w:p w14:paraId="38D44D27" w14:textId="77777777" w:rsidR="00972395" w:rsidRPr="00E73D4B" w:rsidRDefault="00F120C7" w:rsidP="00681E28">
            <w:pPr>
              <w:jc w:val="right"/>
            </w:pPr>
            <w:r w:rsidRPr="00E73D4B">
              <w:t>Nei</w:t>
            </w:r>
          </w:p>
        </w:tc>
      </w:tr>
      <w:tr w:rsidR="00972395" w:rsidRPr="00E73D4B" w14:paraId="1992C366"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074E6C13" w14:textId="77777777" w:rsidR="00972395" w:rsidRPr="00E73D4B" w:rsidRDefault="00F120C7" w:rsidP="00681E28">
            <w:r w:rsidRPr="00E73D4B">
              <w:t>2020–2021</w:t>
            </w:r>
          </w:p>
        </w:tc>
        <w:tc>
          <w:tcPr>
            <w:tcW w:w="1362" w:type="dxa"/>
            <w:tcBorders>
              <w:top w:val="nil"/>
              <w:left w:val="nil"/>
              <w:bottom w:val="nil"/>
              <w:right w:val="nil"/>
            </w:tcBorders>
            <w:tcMar>
              <w:top w:w="128" w:type="dxa"/>
              <w:left w:w="43" w:type="dxa"/>
              <w:bottom w:w="43" w:type="dxa"/>
              <w:right w:w="43" w:type="dxa"/>
            </w:tcMar>
          </w:tcPr>
          <w:p w14:paraId="6694B8CA" w14:textId="77777777" w:rsidR="00972395" w:rsidRPr="00E73D4B" w:rsidRDefault="00F120C7" w:rsidP="00681E28">
            <w:pPr>
              <w:jc w:val="right"/>
            </w:pPr>
            <w:r w:rsidRPr="00E73D4B">
              <w:t>176</w:t>
            </w:r>
          </w:p>
        </w:tc>
        <w:tc>
          <w:tcPr>
            <w:tcW w:w="4961" w:type="dxa"/>
            <w:tcBorders>
              <w:top w:val="nil"/>
              <w:left w:val="nil"/>
              <w:bottom w:val="nil"/>
              <w:right w:val="nil"/>
            </w:tcBorders>
            <w:tcMar>
              <w:top w:w="128" w:type="dxa"/>
              <w:left w:w="43" w:type="dxa"/>
              <w:bottom w:w="43" w:type="dxa"/>
              <w:right w:w="43" w:type="dxa"/>
            </w:tcMar>
          </w:tcPr>
          <w:p w14:paraId="72821DCF" w14:textId="77777777" w:rsidR="00972395" w:rsidRPr="00E73D4B" w:rsidRDefault="00F120C7" w:rsidP="00681E28">
            <w:r w:rsidRPr="00E73D4B">
              <w:t>Forslag til ei ordning med differensiert tvangsmulkt</w:t>
            </w:r>
          </w:p>
        </w:tc>
        <w:tc>
          <w:tcPr>
            <w:tcW w:w="1545" w:type="dxa"/>
            <w:tcBorders>
              <w:top w:val="nil"/>
              <w:left w:val="nil"/>
              <w:bottom w:val="nil"/>
              <w:right w:val="nil"/>
            </w:tcBorders>
            <w:tcMar>
              <w:top w:w="128" w:type="dxa"/>
              <w:left w:w="43" w:type="dxa"/>
              <w:bottom w:w="43" w:type="dxa"/>
              <w:right w:w="43" w:type="dxa"/>
            </w:tcMar>
            <w:vAlign w:val="bottom"/>
          </w:tcPr>
          <w:p w14:paraId="04BE74C8" w14:textId="77777777" w:rsidR="00972395" w:rsidRPr="00E73D4B" w:rsidRDefault="00F120C7" w:rsidP="00681E28">
            <w:pPr>
              <w:jc w:val="right"/>
            </w:pPr>
            <w:r w:rsidRPr="00E73D4B">
              <w:t>Ja</w:t>
            </w:r>
          </w:p>
        </w:tc>
      </w:tr>
      <w:tr w:rsidR="00972395" w:rsidRPr="00E73D4B" w14:paraId="60532E76" w14:textId="77777777" w:rsidTr="00681E28">
        <w:trPr>
          <w:trHeight w:val="640"/>
        </w:trPr>
        <w:tc>
          <w:tcPr>
            <w:tcW w:w="1332" w:type="dxa"/>
            <w:tcBorders>
              <w:top w:val="nil"/>
              <w:left w:val="nil"/>
              <w:bottom w:val="nil"/>
              <w:right w:val="nil"/>
            </w:tcBorders>
            <w:tcMar>
              <w:top w:w="128" w:type="dxa"/>
              <w:left w:w="43" w:type="dxa"/>
              <w:bottom w:w="43" w:type="dxa"/>
              <w:right w:w="43" w:type="dxa"/>
            </w:tcMar>
          </w:tcPr>
          <w:p w14:paraId="2E5ED003" w14:textId="77777777" w:rsidR="00972395" w:rsidRPr="00E73D4B" w:rsidRDefault="00F120C7" w:rsidP="00681E28">
            <w:r w:rsidRPr="00E73D4B">
              <w:t>2020–2021</w:t>
            </w:r>
          </w:p>
        </w:tc>
        <w:tc>
          <w:tcPr>
            <w:tcW w:w="1362" w:type="dxa"/>
            <w:tcBorders>
              <w:top w:val="nil"/>
              <w:left w:val="nil"/>
              <w:bottom w:val="nil"/>
              <w:right w:val="nil"/>
            </w:tcBorders>
            <w:tcMar>
              <w:top w:w="128" w:type="dxa"/>
              <w:left w:w="43" w:type="dxa"/>
              <w:bottom w:w="43" w:type="dxa"/>
              <w:right w:w="43" w:type="dxa"/>
            </w:tcMar>
          </w:tcPr>
          <w:p w14:paraId="065EC029" w14:textId="77777777" w:rsidR="00972395" w:rsidRPr="00E73D4B" w:rsidRDefault="00F120C7" w:rsidP="00681E28">
            <w:pPr>
              <w:jc w:val="right"/>
            </w:pPr>
            <w:r w:rsidRPr="00E73D4B">
              <w:t xml:space="preserve">849 </w:t>
            </w:r>
          </w:p>
        </w:tc>
        <w:tc>
          <w:tcPr>
            <w:tcW w:w="4961" w:type="dxa"/>
            <w:tcBorders>
              <w:top w:val="nil"/>
              <w:left w:val="nil"/>
              <w:bottom w:val="nil"/>
              <w:right w:val="nil"/>
            </w:tcBorders>
            <w:tcMar>
              <w:top w:w="128" w:type="dxa"/>
              <w:left w:w="43" w:type="dxa"/>
              <w:bottom w:w="43" w:type="dxa"/>
              <w:right w:w="43" w:type="dxa"/>
            </w:tcMar>
          </w:tcPr>
          <w:p w14:paraId="7BFE99CA" w14:textId="77777777" w:rsidR="00972395" w:rsidRPr="00E73D4B" w:rsidRDefault="00F120C7" w:rsidP="00681E28">
            <w:r w:rsidRPr="00E73D4B">
              <w:t xml:space="preserve">Endring av </w:t>
            </w:r>
            <w:proofErr w:type="spellStart"/>
            <w:r w:rsidRPr="00E73D4B">
              <w:t>meirverdiavgiftsreglane</w:t>
            </w:r>
            <w:proofErr w:type="spellEnd"/>
            <w:r w:rsidRPr="00E73D4B">
              <w:t xml:space="preserve"> ved omtvista krav i </w:t>
            </w:r>
            <w:proofErr w:type="spellStart"/>
            <w:r w:rsidRPr="00E73D4B">
              <w:t>entreprisar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715EE3B9" w14:textId="77777777" w:rsidR="00972395" w:rsidRPr="00E73D4B" w:rsidRDefault="00F120C7" w:rsidP="00681E28">
            <w:pPr>
              <w:jc w:val="right"/>
            </w:pPr>
            <w:r w:rsidRPr="00E73D4B">
              <w:t>Ja</w:t>
            </w:r>
          </w:p>
        </w:tc>
      </w:tr>
      <w:tr w:rsidR="00972395" w:rsidRPr="00E73D4B" w14:paraId="5E88EE03"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722A4140" w14:textId="77777777" w:rsidR="00972395" w:rsidRPr="00E73D4B" w:rsidRDefault="00F120C7" w:rsidP="00681E28">
            <w:r w:rsidRPr="00E73D4B">
              <w:t>2020–2021</w:t>
            </w:r>
          </w:p>
        </w:tc>
        <w:tc>
          <w:tcPr>
            <w:tcW w:w="1362" w:type="dxa"/>
            <w:tcBorders>
              <w:top w:val="nil"/>
              <w:left w:val="nil"/>
              <w:bottom w:val="nil"/>
              <w:right w:val="nil"/>
            </w:tcBorders>
            <w:tcMar>
              <w:top w:w="128" w:type="dxa"/>
              <w:left w:w="43" w:type="dxa"/>
              <w:bottom w:w="43" w:type="dxa"/>
              <w:right w:w="43" w:type="dxa"/>
            </w:tcMar>
          </w:tcPr>
          <w:p w14:paraId="5A163307" w14:textId="77777777" w:rsidR="00972395" w:rsidRPr="00E73D4B" w:rsidRDefault="00F120C7" w:rsidP="00681E28">
            <w:pPr>
              <w:jc w:val="right"/>
            </w:pPr>
            <w:r w:rsidRPr="00E73D4B">
              <w:t>1174</w:t>
            </w:r>
          </w:p>
        </w:tc>
        <w:tc>
          <w:tcPr>
            <w:tcW w:w="4961" w:type="dxa"/>
            <w:tcBorders>
              <w:top w:val="nil"/>
              <w:left w:val="nil"/>
              <w:bottom w:val="nil"/>
              <w:right w:val="nil"/>
            </w:tcBorders>
            <w:tcMar>
              <w:top w:w="128" w:type="dxa"/>
              <w:left w:w="43" w:type="dxa"/>
              <w:bottom w:w="43" w:type="dxa"/>
              <w:right w:w="43" w:type="dxa"/>
            </w:tcMar>
          </w:tcPr>
          <w:p w14:paraId="20B07A46" w14:textId="77777777" w:rsidR="00972395" w:rsidRPr="00E73D4B" w:rsidRDefault="00F120C7" w:rsidP="00681E28">
            <w:proofErr w:type="spellStart"/>
            <w:r w:rsidRPr="00E73D4B">
              <w:t>Utval</w:t>
            </w:r>
            <w:proofErr w:type="spellEnd"/>
            <w:r w:rsidRPr="00E73D4B">
              <w:t xml:space="preserve"> om </w:t>
            </w:r>
            <w:proofErr w:type="spellStart"/>
            <w:r w:rsidRPr="00E73D4B">
              <w:t>kontantane</w:t>
            </w:r>
            <w:proofErr w:type="spellEnd"/>
            <w:r w:rsidRPr="00E73D4B">
              <w:t xml:space="preserve"> </w:t>
            </w:r>
            <w:proofErr w:type="spellStart"/>
            <w:r w:rsidRPr="00E73D4B">
              <w:t>si</w:t>
            </w:r>
            <w:proofErr w:type="spellEnd"/>
            <w:r w:rsidRPr="00E73D4B">
              <w:t xml:space="preserve"> rolle i samfunnet</w:t>
            </w:r>
          </w:p>
        </w:tc>
        <w:tc>
          <w:tcPr>
            <w:tcW w:w="1545" w:type="dxa"/>
            <w:tcBorders>
              <w:top w:val="nil"/>
              <w:left w:val="nil"/>
              <w:bottom w:val="nil"/>
              <w:right w:val="nil"/>
            </w:tcBorders>
            <w:tcMar>
              <w:top w:w="128" w:type="dxa"/>
              <w:left w:w="43" w:type="dxa"/>
              <w:bottom w:w="43" w:type="dxa"/>
              <w:right w:w="43" w:type="dxa"/>
            </w:tcMar>
            <w:vAlign w:val="bottom"/>
          </w:tcPr>
          <w:p w14:paraId="2D4F8408" w14:textId="77777777" w:rsidR="00972395" w:rsidRPr="00E73D4B" w:rsidRDefault="00F120C7" w:rsidP="00681E28">
            <w:pPr>
              <w:jc w:val="right"/>
            </w:pPr>
            <w:r w:rsidRPr="00E73D4B">
              <w:t>Nei</w:t>
            </w:r>
          </w:p>
        </w:tc>
      </w:tr>
      <w:tr w:rsidR="00972395" w:rsidRPr="00E73D4B" w14:paraId="4BB29338"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461FD164" w14:textId="77777777" w:rsidR="00972395" w:rsidRPr="00E73D4B" w:rsidRDefault="00F120C7" w:rsidP="00681E28">
            <w:r w:rsidRPr="00E73D4B">
              <w:t>2020–2021</w:t>
            </w:r>
          </w:p>
        </w:tc>
        <w:tc>
          <w:tcPr>
            <w:tcW w:w="1362" w:type="dxa"/>
            <w:tcBorders>
              <w:top w:val="nil"/>
              <w:left w:val="nil"/>
              <w:bottom w:val="nil"/>
              <w:right w:val="nil"/>
            </w:tcBorders>
            <w:tcMar>
              <w:top w:w="128" w:type="dxa"/>
              <w:left w:w="43" w:type="dxa"/>
              <w:bottom w:w="43" w:type="dxa"/>
              <w:right w:w="43" w:type="dxa"/>
            </w:tcMar>
          </w:tcPr>
          <w:p w14:paraId="4DB0BD2C" w14:textId="77777777" w:rsidR="00972395" w:rsidRPr="00E73D4B" w:rsidRDefault="00F120C7" w:rsidP="00681E28">
            <w:pPr>
              <w:jc w:val="right"/>
            </w:pPr>
            <w:r w:rsidRPr="00E73D4B">
              <w:t>1176</w:t>
            </w:r>
          </w:p>
        </w:tc>
        <w:tc>
          <w:tcPr>
            <w:tcW w:w="4961" w:type="dxa"/>
            <w:tcBorders>
              <w:top w:val="nil"/>
              <w:left w:val="nil"/>
              <w:bottom w:val="nil"/>
              <w:right w:val="nil"/>
            </w:tcBorders>
            <w:tcMar>
              <w:top w:w="128" w:type="dxa"/>
              <w:left w:w="43" w:type="dxa"/>
              <w:bottom w:w="43" w:type="dxa"/>
              <w:right w:w="43" w:type="dxa"/>
            </w:tcMar>
          </w:tcPr>
          <w:p w14:paraId="105624A4" w14:textId="77777777" w:rsidR="00972395" w:rsidRPr="00E73D4B" w:rsidRDefault="00F120C7" w:rsidP="00681E28">
            <w:proofErr w:type="spellStart"/>
            <w:r w:rsidRPr="00E73D4B">
              <w:t>Samarbeidsløysingar</w:t>
            </w:r>
            <w:proofErr w:type="spellEnd"/>
            <w:r w:rsidRPr="00E73D4B">
              <w:t xml:space="preserve"> for </w:t>
            </w:r>
            <w:proofErr w:type="spellStart"/>
            <w:r w:rsidRPr="00E73D4B">
              <w:t>sparebankar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53C87162" w14:textId="77777777" w:rsidR="00972395" w:rsidRPr="00E73D4B" w:rsidRDefault="00F120C7" w:rsidP="00681E28">
            <w:pPr>
              <w:jc w:val="right"/>
            </w:pPr>
            <w:r w:rsidRPr="00E73D4B">
              <w:t>Ja</w:t>
            </w:r>
          </w:p>
        </w:tc>
      </w:tr>
      <w:tr w:rsidR="00972395" w:rsidRPr="00E73D4B" w14:paraId="60CCFAA4"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1CC6A449" w14:textId="77777777" w:rsidR="00972395" w:rsidRPr="00E73D4B" w:rsidRDefault="00F120C7" w:rsidP="00681E28">
            <w:r w:rsidRPr="00E73D4B">
              <w:t>2020–2021</w:t>
            </w:r>
          </w:p>
        </w:tc>
        <w:tc>
          <w:tcPr>
            <w:tcW w:w="1362" w:type="dxa"/>
            <w:tcBorders>
              <w:top w:val="nil"/>
              <w:left w:val="nil"/>
              <w:bottom w:val="nil"/>
              <w:right w:val="nil"/>
            </w:tcBorders>
            <w:tcMar>
              <w:top w:w="128" w:type="dxa"/>
              <w:left w:w="43" w:type="dxa"/>
              <w:bottom w:w="43" w:type="dxa"/>
              <w:right w:w="43" w:type="dxa"/>
            </w:tcMar>
          </w:tcPr>
          <w:p w14:paraId="0B994F4D" w14:textId="77777777" w:rsidR="00972395" w:rsidRPr="00E73D4B" w:rsidRDefault="00F120C7" w:rsidP="00681E28">
            <w:pPr>
              <w:jc w:val="right"/>
            </w:pPr>
            <w:r w:rsidRPr="00E73D4B">
              <w:t>1177</w:t>
            </w:r>
          </w:p>
        </w:tc>
        <w:tc>
          <w:tcPr>
            <w:tcW w:w="4961" w:type="dxa"/>
            <w:tcBorders>
              <w:top w:val="nil"/>
              <w:left w:val="nil"/>
              <w:bottom w:val="nil"/>
              <w:right w:val="nil"/>
            </w:tcBorders>
            <w:tcMar>
              <w:top w:w="128" w:type="dxa"/>
              <w:left w:w="43" w:type="dxa"/>
              <w:bottom w:w="43" w:type="dxa"/>
              <w:right w:w="43" w:type="dxa"/>
            </w:tcMar>
          </w:tcPr>
          <w:p w14:paraId="1383FB17" w14:textId="77777777" w:rsidR="00972395" w:rsidRPr="00E73D4B" w:rsidRDefault="00F120C7" w:rsidP="00681E28">
            <w:r w:rsidRPr="00E73D4B">
              <w:t xml:space="preserve">Kapitalkrav for norske </w:t>
            </w:r>
            <w:proofErr w:type="spellStart"/>
            <w:r w:rsidRPr="00E73D4B">
              <w:t>sparebankar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49446B16" w14:textId="77777777" w:rsidR="00972395" w:rsidRPr="00E73D4B" w:rsidRDefault="00F120C7" w:rsidP="00681E28">
            <w:pPr>
              <w:jc w:val="right"/>
            </w:pPr>
            <w:r w:rsidRPr="00E73D4B">
              <w:t>Ja</w:t>
            </w:r>
          </w:p>
        </w:tc>
      </w:tr>
      <w:tr w:rsidR="00972395" w:rsidRPr="00E73D4B" w14:paraId="72284EEB" w14:textId="77777777" w:rsidTr="00681E28">
        <w:trPr>
          <w:trHeight w:val="640"/>
        </w:trPr>
        <w:tc>
          <w:tcPr>
            <w:tcW w:w="1332" w:type="dxa"/>
            <w:tcBorders>
              <w:top w:val="nil"/>
              <w:left w:val="nil"/>
              <w:bottom w:val="nil"/>
              <w:right w:val="nil"/>
            </w:tcBorders>
            <w:tcMar>
              <w:top w:w="128" w:type="dxa"/>
              <w:left w:w="43" w:type="dxa"/>
              <w:bottom w:w="43" w:type="dxa"/>
              <w:right w:w="43" w:type="dxa"/>
            </w:tcMar>
          </w:tcPr>
          <w:p w14:paraId="32B842A4" w14:textId="77777777" w:rsidR="00972395" w:rsidRPr="00E73D4B" w:rsidRDefault="00F120C7" w:rsidP="00681E28">
            <w:r w:rsidRPr="00E73D4B">
              <w:t>2020–2021</w:t>
            </w:r>
          </w:p>
        </w:tc>
        <w:tc>
          <w:tcPr>
            <w:tcW w:w="1362" w:type="dxa"/>
            <w:tcBorders>
              <w:top w:val="nil"/>
              <w:left w:val="nil"/>
              <w:bottom w:val="nil"/>
              <w:right w:val="nil"/>
            </w:tcBorders>
            <w:tcMar>
              <w:top w:w="128" w:type="dxa"/>
              <w:left w:w="43" w:type="dxa"/>
              <w:bottom w:w="43" w:type="dxa"/>
              <w:right w:w="43" w:type="dxa"/>
            </w:tcMar>
          </w:tcPr>
          <w:p w14:paraId="61E157FB" w14:textId="77777777" w:rsidR="00972395" w:rsidRPr="00E73D4B" w:rsidRDefault="00F120C7" w:rsidP="00681E28">
            <w:pPr>
              <w:jc w:val="right"/>
            </w:pPr>
            <w:r w:rsidRPr="00E73D4B">
              <w:t>1250</w:t>
            </w:r>
          </w:p>
        </w:tc>
        <w:tc>
          <w:tcPr>
            <w:tcW w:w="4961" w:type="dxa"/>
            <w:tcBorders>
              <w:top w:val="nil"/>
              <w:left w:val="nil"/>
              <w:bottom w:val="nil"/>
              <w:right w:val="nil"/>
            </w:tcBorders>
            <w:tcMar>
              <w:top w:w="128" w:type="dxa"/>
              <w:left w:w="43" w:type="dxa"/>
              <w:bottom w:w="43" w:type="dxa"/>
              <w:right w:w="43" w:type="dxa"/>
            </w:tcMar>
          </w:tcPr>
          <w:p w14:paraId="1CF92030" w14:textId="77777777" w:rsidR="00972395" w:rsidRPr="00E73D4B" w:rsidRDefault="00F120C7" w:rsidP="00681E28">
            <w:proofErr w:type="spellStart"/>
            <w:r w:rsidRPr="00E73D4B">
              <w:t>Eigedomsskatt</w:t>
            </w:r>
            <w:proofErr w:type="spellEnd"/>
            <w:r w:rsidRPr="00E73D4B">
              <w:t xml:space="preserve"> – utgreiing og vurdering av </w:t>
            </w:r>
            <w:proofErr w:type="spellStart"/>
            <w:r w:rsidRPr="00E73D4B">
              <w:t>eit</w:t>
            </w:r>
            <w:proofErr w:type="spellEnd"/>
            <w:r w:rsidRPr="00E73D4B">
              <w:t xml:space="preserve"> tak for </w:t>
            </w:r>
            <w:proofErr w:type="spellStart"/>
            <w:r w:rsidRPr="00E73D4B">
              <w:t>bustader</w:t>
            </w:r>
            <w:proofErr w:type="spellEnd"/>
            <w:r w:rsidRPr="00E73D4B">
              <w:t xml:space="preserve"> og </w:t>
            </w:r>
            <w:proofErr w:type="spellStart"/>
            <w:r w:rsidRPr="00E73D4B">
              <w:t>fritidsbustader</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1C548969" w14:textId="77777777" w:rsidR="00972395" w:rsidRPr="00E73D4B" w:rsidRDefault="00F120C7" w:rsidP="00681E28">
            <w:pPr>
              <w:jc w:val="right"/>
            </w:pPr>
            <w:r w:rsidRPr="00E73D4B">
              <w:t>Nei</w:t>
            </w:r>
          </w:p>
        </w:tc>
      </w:tr>
      <w:tr w:rsidR="00972395" w:rsidRPr="00E73D4B" w14:paraId="7DCD7C90" w14:textId="77777777" w:rsidTr="00681E28">
        <w:trPr>
          <w:trHeight w:val="640"/>
        </w:trPr>
        <w:tc>
          <w:tcPr>
            <w:tcW w:w="1332" w:type="dxa"/>
            <w:tcBorders>
              <w:top w:val="nil"/>
              <w:left w:val="nil"/>
              <w:bottom w:val="nil"/>
              <w:right w:val="nil"/>
            </w:tcBorders>
            <w:tcMar>
              <w:top w:w="128" w:type="dxa"/>
              <w:left w:w="43" w:type="dxa"/>
              <w:bottom w:w="43" w:type="dxa"/>
              <w:right w:w="43" w:type="dxa"/>
            </w:tcMar>
          </w:tcPr>
          <w:p w14:paraId="0F687C0B" w14:textId="77777777" w:rsidR="00972395" w:rsidRPr="00E73D4B" w:rsidRDefault="00F120C7" w:rsidP="00681E28">
            <w:r w:rsidRPr="00E73D4B">
              <w:t>2019–2020</w:t>
            </w:r>
          </w:p>
        </w:tc>
        <w:tc>
          <w:tcPr>
            <w:tcW w:w="1362" w:type="dxa"/>
            <w:tcBorders>
              <w:top w:val="nil"/>
              <w:left w:val="nil"/>
              <w:bottom w:val="nil"/>
              <w:right w:val="nil"/>
            </w:tcBorders>
            <w:tcMar>
              <w:top w:w="128" w:type="dxa"/>
              <w:left w:w="43" w:type="dxa"/>
              <w:bottom w:w="43" w:type="dxa"/>
              <w:right w:w="43" w:type="dxa"/>
            </w:tcMar>
          </w:tcPr>
          <w:p w14:paraId="366B706A" w14:textId="77777777" w:rsidR="00972395" w:rsidRPr="00E73D4B" w:rsidRDefault="00F120C7" w:rsidP="00681E28">
            <w:pPr>
              <w:jc w:val="right"/>
            </w:pPr>
            <w:r w:rsidRPr="00E73D4B">
              <w:t>707</w:t>
            </w:r>
          </w:p>
        </w:tc>
        <w:tc>
          <w:tcPr>
            <w:tcW w:w="4961" w:type="dxa"/>
            <w:tcBorders>
              <w:top w:val="nil"/>
              <w:left w:val="nil"/>
              <w:bottom w:val="nil"/>
              <w:right w:val="nil"/>
            </w:tcBorders>
            <w:tcMar>
              <w:top w:w="128" w:type="dxa"/>
              <w:left w:w="43" w:type="dxa"/>
              <w:bottom w:w="43" w:type="dxa"/>
              <w:right w:w="43" w:type="dxa"/>
            </w:tcMar>
          </w:tcPr>
          <w:p w14:paraId="52C451BF" w14:textId="77777777" w:rsidR="00972395" w:rsidRPr="00E73D4B" w:rsidRDefault="00F120C7" w:rsidP="00681E28">
            <w:r w:rsidRPr="00E73D4B">
              <w:t xml:space="preserve">Kulturmiljømeldinga – </w:t>
            </w:r>
            <w:proofErr w:type="spellStart"/>
            <w:r w:rsidRPr="00E73D4B">
              <w:t>vedlikehald</w:t>
            </w:r>
            <w:proofErr w:type="spellEnd"/>
            <w:r w:rsidRPr="00E73D4B">
              <w:t xml:space="preserve"> av privateide kulturminne og kulturmiljø</w:t>
            </w:r>
          </w:p>
        </w:tc>
        <w:tc>
          <w:tcPr>
            <w:tcW w:w="1545" w:type="dxa"/>
            <w:tcBorders>
              <w:top w:val="nil"/>
              <w:left w:val="nil"/>
              <w:bottom w:val="nil"/>
              <w:right w:val="nil"/>
            </w:tcBorders>
            <w:tcMar>
              <w:top w:w="128" w:type="dxa"/>
              <w:left w:w="43" w:type="dxa"/>
              <w:bottom w:w="43" w:type="dxa"/>
              <w:right w:w="43" w:type="dxa"/>
            </w:tcMar>
            <w:vAlign w:val="bottom"/>
          </w:tcPr>
          <w:p w14:paraId="5080F1EA" w14:textId="77777777" w:rsidR="00972395" w:rsidRPr="00E73D4B" w:rsidRDefault="00F120C7" w:rsidP="00681E28">
            <w:pPr>
              <w:jc w:val="right"/>
            </w:pPr>
            <w:r w:rsidRPr="00E73D4B">
              <w:t>Nei</w:t>
            </w:r>
          </w:p>
        </w:tc>
      </w:tr>
      <w:tr w:rsidR="00972395" w:rsidRPr="00E73D4B" w14:paraId="1B8C0C36"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4F30A95B" w14:textId="77777777" w:rsidR="00972395" w:rsidRPr="00E73D4B" w:rsidRDefault="00F120C7" w:rsidP="00681E28">
            <w:r w:rsidRPr="00E73D4B">
              <w:t>2019–2020</w:t>
            </w:r>
          </w:p>
        </w:tc>
        <w:tc>
          <w:tcPr>
            <w:tcW w:w="1362" w:type="dxa"/>
            <w:tcBorders>
              <w:top w:val="nil"/>
              <w:left w:val="nil"/>
              <w:bottom w:val="nil"/>
              <w:right w:val="nil"/>
            </w:tcBorders>
            <w:tcMar>
              <w:top w:w="128" w:type="dxa"/>
              <w:left w:w="43" w:type="dxa"/>
              <w:bottom w:w="43" w:type="dxa"/>
              <w:right w:w="43" w:type="dxa"/>
            </w:tcMar>
          </w:tcPr>
          <w:p w14:paraId="18DDEA71" w14:textId="77777777" w:rsidR="00972395" w:rsidRPr="00E73D4B" w:rsidRDefault="00F120C7" w:rsidP="00681E28">
            <w:pPr>
              <w:jc w:val="right"/>
            </w:pPr>
            <w:r w:rsidRPr="00E73D4B">
              <w:t>784</w:t>
            </w:r>
          </w:p>
        </w:tc>
        <w:tc>
          <w:tcPr>
            <w:tcW w:w="4961" w:type="dxa"/>
            <w:tcBorders>
              <w:top w:val="nil"/>
              <w:left w:val="nil"/>
              <w:bottom w:val="nil"/>
              <w:right w:val="nil"/>
            </w:tcBorders>
            <w:tcMar>
              <w:top w:w="128" w:type="dxa"/>
              <w:left w:w="43" w:type="dxa"/>
              <w:bottom w:w="43" w:type="dxa"/>
              <w:right w:w="43" w:type="dxa"/>
            </w:tcMar>
          </w:tcPr>
          <w:p w14:paraId="1477B77D" w14:textId="77777777" w:rsidR="00972395" w:rsidRPr="00E73D4B" w:rsidRDefault="00F120C7" w:rsidP="00681E28">
            <w:proofErr w:type="spellStart"/>
            <w:r w:rsidRPr="00E73D4B">
              <w:t>Reiarlagskatteordninga</w:t>
            </w:r>
            <w:proofErr w:type="spellEnd"/>
          </w:p>
        </w:tc>
        <w:tc>
          <w:tcPr>
            <w:tcW w:w="1545" w:type="dxa"/>
            <w:tcBorders>
              <w:top w:val="nil"/>
              <w:left w:val="nil"/>
              <w:bottom w:val="nil"/>
              <w:right w:val="nil"/>
            </w:tcBorders>
            <w:tcMar>
              <w:top w:w="128" w:type="dxa"/>
              <w:left w:w="43" w:type="dxa"/>
              <w:bottom w:w="43" w:type="dxa"/>
              <w:right w:w="43" w:type="dxa"/>
            </w:tcMar>
            <w:vAlign w:val="bottom"/>
          </w:tcPr>
          <w:p w14:paraId="4FC6DFFF" w14:textId="77777777" w:rsidR="00972395" w:rsidRPr="00E73D4B" w:rsidRDefault="00F120C7" w:rsidP="00681E28">
            <w:pPr>
              <w:jc w:val="right"/>
            </w:pPr>
            <w:r w:rsidRPr="00E73D4B">
              <w:t>Nei</w:t>
            </w:r>
          </w:p>
        </w:tc>
      </w:tr>
      <w:tr w:rsidR="00972395" w:rsidRPr="00E73D4B" w14:paraId="04845208" w14:textId="77777777" w:rsidTr="00681E28">
        <w:trPr>
          <w:trHeight w:val="380"/>
        </w:trPr>
        <w:tc>
          <w:tcPr>
            <w:tcW w:w="1332" w:type="dxa"/>
            <w:tcBorders>
              <w:top w:val="nil"/>
              <w:left w:val="nil"/>
              <w:bottom w:val="nil"/>
              <w:right w:val="nil"/>
            </w:tcBorders>
            <w:tcMar>
              <w:top w:w="128" w:type="dxa"/>
              <w:left w:w="43" w:type="dxa"/>
              <w:bottom w:w="43" w:type="dxa"/>
              <w:right w:w="43" w:type="dxa"/>
            </w:tcMar>
          </w:tcPr>
          <w:p w14:paraId="66BD2D89" w14:textId="77777777" w:rsidR="00972395" w:rsidRPr="00E73D4B" w:rsidRDefault="00F120C7" w:rsidP="00681E28">
            <w:r w:rsidRPr="00E73D4B">
              <w:t>2018–2019</w:t>
            </w:r>
          </w:p>
        </w:tc>
        <w:tc>
          <w:tcPr>
            <w:tcW w:w="1362" w:type="dxa"/>
            <w:tcBorders>
              <w:top w:val="nil"/>
              <w:left w:val="nil"/>
              <w:bottom w:val="nil"/>
              <w:right w:val="nil"/>
            </w:tcBorders>
            <w:tcMar>
              <w:top w:w="128" w:type="dxa"/>
              <w:left w:w="43" w:type="dxa"/>
              <w:bottom w:w="43" w:type="dxa"/>
              <w:right w:w="43" w:type="dxa"/>
            </w:tcMar>
          </w:tcPr>
          <w:p w14:paraId="0288CA46" w14:textId="77777777" w:rsidR="00972395" w:rsidRPr="00E73D4B" w:rsidRDefault="00F120C7" w:rsidP="00681E28">
            <w:pPr>
              <w:jc w:val="right"/>
            </w:pPr>
            <w:r w:rsidRPr="00E73D4B">
              <w:t>188</w:t>
            </w:r>
          </w:p>
        </w:tc>
        <w:tc>
          <w:tcPr>
            <w:tcW w:w="4961" w:type="dxa"/>
            <w:tcBorders>
              <w:top w:val="nil"/>
              <w:left w:val="nil"/>
              <w:bottom w:val="nil"/>
              <w:right w:val="nil"/>
            </w:tcBorders>
            <w:tcMar>
              <w:top w:w="128" w:type="dxa"/>
              <w:left w:w="43" w:type="dxa"/>
              <w:bottom w:w="43" w:type="dxa"/>
              <w:right w:w="43" w:type="dxa"/>
            </w:tcMar>
          </w:tcPr>
          <w:p w14:paraId="54C48950" w14:textId="77777777" w:rsidR="00972395" w:rsidRPr="00E73D4B" w:rsidRDefault="00F120C7" w:rsidP="00681E28">
            <w:r w:rsidRPr="00E73D4B">
              <w:t xml:space="preserve">Skattefrie </w:t>
            </w:r>
            <w:proofErr w:type="spellStart"/>
            <w:r w:rsidRPr="00E73D4B">
              <w:t>satsar</w:t>
            </w:r>
            <w:proofErr w:type="spellEnd"/>
            <w:r w:rsidRPr="00E73D4B">
              <w:t xml:space="preserve"> ved </w:t>
            </w:r>
            <w:proofErr w:type="spellStart"/>
            <w:r w:rsidRPr="00E73D4B">
              <w:t>kostgodtgjering</w:t>
            </w:r>
            <w:proofErr w:type="spellEnd"/>
            <w:r w:rsidRPr="00E73D4B">
              <w:t xml:space="preserve"> på reiser</w:t>
            </w:r>
          </w:p>
        </w:tc>
        <w:tc>
          <w:tcPr>
            <w:tcW w:w="1545" w:type="dxa"/>
            <w:tcBorders>
              <w:top w:val="nil"/>
              <w:left w:val="nil"/>
              <w:bottom w:val="nil"/>
              <w:right w:val="nil"/>
            </w:tcBorders>
            <w:tcMar>
              <w:top w:w="128" w:type="dxa"/>
              <w:left w:w="43" w:type="dxa"/>
              <w:bottom w:w="43" w:type="dxa"/>
              <w:right w:w="43" w:type="dxa"/>
            </w:tcMar>
            <w:vAlign w:val="bottom"/>
          </w:tcPr>
          <w:p w14:paraId="12D4B083" w14:textId="77777777" w:rsidR="00972395" w:rsidRPr="00E73D4B" w:rsidRDefault="00F120C7" w:rsidP="00681E28">
            <w:pPr>
              <w:jc w:val="right"/>
            </w:pPr>
            <w:r w:rsidRPr="00E73D4B">
              <w:t>Ja</w:t>
            </w:r>
          </w:p>
        </w:tc>
      </w:tr>
      <w:tr w:rsidR="00972395" w:rsidRPr="00E73D4B" w14:paraId="5E34786D" w14:textId="77777777" w:rsidTr="00681E28">
        <w:trPr>
          <w:trHeight w:val="380"/>
        </w:trPr>
        <w:tc>
          <w:tcPr>
            <w:tcW w:w="1332" w:type="dxa"/>
            <w:tcBorders>
              <w:top w:val="nil"/>
              <w:left w:val="nil"/>
              <w:right w:val="nil"/>
            </w:tcBorders>
            <w:tcMar>
              <w:top w:w="128" w:type="dxa"/>
              <w:left w:w="43" w:type="dxa"/>
              <w:bottom w:w="43" w:type="dxa"/>
              <w:right w:w="43" w:type="dxa"/>
            </w:tcMar>
          </w:tcPr>
          <w:p w14:paraId="634BB879" w14:textId="77777777" w:rsidR="00972395" w:rsidRPr="00E73D4B" w:rsidRDefault="00F120C7" w:rsidP="00681E28">
            <w:r w:rsidRPr="00E73D4B">
              <w:t>2016–2017</w:t>
            </w:r>
          </w:p>
        </w:tc>
        <w:tc>
          <w:tcPr>
            <w:tcW w:w="1362" w:type="dxa"/>
            <w:tcBorders>
              <w:top w:val="nil"/>
              <w:left w:val="nil"/>
              <w:right w:val="nil"/>
            </w:tcBorders>
            <w:tcMar>
              <w:top w:w="128" w:type="dxa"/>
              <w:left w:w="43" w:type="dxa"/>
              <w:bottom w:w="43" w:type="dxa"/>
              <w:right w:w="43" w:type="dxa"/>
            </w:tcMar>
          </w:tcPr>
          <w:p w14:paraId="6AF0E34E" w14:textId="77777777" w:rsidR="00972395" w:rsidRPr="00E73D4B" w:rsidRDefault="00F120C7" w:rsidP="00681E28">
            <w:pPr>
              <w:jc w:val="right"/>
            </w:pPr>
            <w:r w:rsidRPr="00E73D4B">
              <w:t>48</w:t>
            </w:r>
          </w:p>
        </w:tc>
        <w:tc>
          <w:tcPr>
            <w:tcW w:w="4961" w:type="dxa"/>
            <w:tcBorders>
              <w:top w:val="nil"/>
              <w:left w:val="nil"/>
              <w:right w:val="nil"/>
            </w:tcBorders>
            <w:tcMar>
              <w:top w:w="128" w:type="dxa"/>
              <w:left w:w="43" w:type="dxa"/>
              <w:bottom w:w="43" w:type="dxa"/>
              <w:right w:w="43" w:type="dxa"/>
            </w:tcMar>
          </w:tcPr>
          <w:p w14:paraId="364D1003" w14:textId="77777777" w:rsidR="00972395" w:rsidRPr="00E73D4B" w:rsidRDefault="00F120C7" w:rsidP="00681E28">
            <w:r w:rsidRPr="00E73D4B">
              <w:t>Land-for-land rapportering</w:t>
            </w:r>
          </w:p>
        </w:tc>
        <w:tc>
          <w:tcPr>
            <w:tcW w:w="1545" w:type="dxa"/>
            <w:tcBorders>
              <w:top w:val="nil"/>
              <w:left w:val="nil"/>
              <w:right w:val="nil"/>
            </w:tcBorders>
            <w:tcMar>
              <w:top w:w="128" w:type="dxa"/>
              <w:left w:w="43" w:type="dxa"/>
              <w:bottom w:w="43" w:type="dxa"/>
              <w:right w:w="43" w:type="dxa"/>
            </w:tcMar>
            <w:vAlign w:val="bottom"/>
          </w:tcPr>
          <w:p w14:paraId="456C137D" w14:textId="77777777" w:rsidR="00972395" w:rsidRPr="00E73D4B" w:rsidRDefault="00F120C7" w:rsidP="00681E28">
            <w:pPr>
              <w:jc w:val="right"/>
            </w:pPr>
            <w:r w:rsidRPr="00E73D4B">
              <w:t>Nei</w:t>
            </w:r>
          </w:p>
        </w:tc>
      </w:tr>
      <w:tr w:rsidR="00972395" w:rsidRPr="00E73D4B" w14:paraId="6652A806" w14:textId="77777777" w:rsidTr="00681E28">
        <w:trPr>
          <w:trHeight w:val="640"/>
        </w:trPr>
        <w:tc>
          <w:tcPr>
            <w:tcW w:w="1332" w:type="dxa"/>
            <w:tcBorders>
              <w:top w:val="nil"/>
              <w:left w:val="nil"/>
              <w:bottom w:val="single" w:sz="4" w:space="0" w:color="000000"/>
              <w:right w:val="nil"/>
            </w:tcBorders>
            <w:shd w:val="clear" w:color="auto" w:fill="auto"/>
            <w:tcMar>
              <w:top w:w="128" w:type="dxa"/>
              <w:left w:w="43" w:type="dxa"/>
              <w:bottom w:w="43" w:type="dxa"/>
              <w:right w:w="43" w:type="dxa"/>
            </w:tcMar>
          </w:tcPr>
          <w:p w14:paraId="1DFCDB85" w14:textId="77777777" w:rsidR="00972395" w:rsidRPr="00E73D4B" w:rsidRDefault="00F120C7" w:rsidP="00681E28">
            <w:r w:rsidRPr="00E73D4B">
              <w:t>2016–2017</w:t>
            </w:r>
          </w:p>
        </w:tc>
        <w:tc>
          <w:tcPr>
            <w:tcW w:w="1362" w:type="dxa"/>
            <w:tcBorders>
              <w:top w:val="nil"/>
              <w:left w:val="nil"/>
              <w:bottom w:val="single" w:sz="4" w:space="0" w:color="000000"/>
              <w:right w:val="nil"/>
            </w:tcBorders>
            <w:shd w:val="clear" w:color="auto" w:fill="auto"/>
            <w:tcMar>
              <w:top w:w="128" w:type="dxa"/>
              <w:left w:w="43" w:type="dxa"/>
              <w:bottom w:w="43" w:type="dxa"/>
              <w:right w:w="43" w:type="dxa"/>
            </w:tcMar>
          </w:tcPr>
          <w:p w14:paraId="087E42B4" w14:textId="77777777" w:rsidR="00972395" w:rsidRPr="00E73D4B" w:rsidRDefault="00F120C7" w:rsidP="00681E28">
            <w:pPr>
              <w:jc w:val="right"/>
            </w:pPr>
            <w:r w:rsidRPr="00E73D4B">
              <w:t>1040</w:t>
            </w:r>
          </w:p>
        </w:tc>
        <w:tc>
          <w:tcPr>
            <w:tcW w:w="4961" w:type="dxa"/>
            <w:tcBorders>
              <w:top w:val="nil"/>
              <w:left w:val="nil"/>
              <w:bottom w:val="single" w:sz="4" w:space="0" w:color="000000"/>
              <w:right w:val="nil"/>
            </w:tcBorders>
            <w:shd w:val="clear" w:color="auto" w:fill="auto"/>
            <w:tcMar>
              <w:top w:w="128" w:type="dxa"/>
              <w:left w:w="43" w:type="dxa"/>
              <w:bottom w:w="43" w:type="dxa"/>
              <w:right w:w="43" w:type="dxa"/>
            </w:tcMar>
          </w:tcPr>
          <w:p w14:paraId="6ED1AE82" w14:textId="77777777" w:rsidR="00972395" w:rsidRPr="00E73D4B" w:rsidRDefault="00F120C7" w:rsidP="00681E28">
            <w:r w:rsidRPr="00E73D4B">
              <w:t xml:space="preserve">Sikre behovet hos </w:t>
            </w:r>
            <w:proofErr w:type="spellStart"/>
            <w:r w:rsidRPr="00E73D4B">
              <w:t>bustadkjøparar</w:t>
            </w:r>
            <w:proofErr w:type="spellEnd"/>
            <w:r w:rsidRPr="00E73D4B">
              <w:t xml:space="preserve"> for </w:t>
            </w:r>
            <w:proofErr w:type="spellStart"/>
            <w:r w:rsidRPr="00E73D4B">
              <w:t>meir</w:t>
            </w:r>
            <w:proofErr w:type="spellEnd"/>
            <w:r w:rsidRPr="00E73D4B">
              <w:t xml:space="preserve"> tid i bustadhandelen</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D209720" w14:textId="77777777" w:rsidR="00972395" w:rsidRPr="00E73D4B" w:rsidRDefault="00F120C7" w:rsidP="00681E28">
            <w:pPr>
              <w:jc w:val="right"/>
            </w:pPr>
            <w:r w:rsidRPr="00E73D4B">
              <w:t>Nei</w:t>
            </w:r>
          </w:p>
        </w:tc>
      </w:tr>
    </w:tbl>
    <w:p w14:paraId="32798B73" w14:textId="77777777" w:rsidR="00972395" w:rsidRPr="00E73D4B" w:rsidRDefault="00F120C7" w:rsidP="00681E28">
      <w:pPr>
        <w:pStyle w:val="Overskrift2"/>
        <w:numPr>
          <w:ilvl w:val="1"/>
          <w:numId w:val="30"/>
        </w:numPr>
      </w:pPr>
      <w:r w:rsidRPr="00E73D4B">
        <w:t>Stortingssesjon 2021–2022</w:t>
      </w:r>
    </w:p>
    <w:p w14:paraId="7BE78ADF" w14:textId="77777777" w:rsidR="00972395" w:rsidRPr="00E73D4B" w:rsidRDefault="00F120C7" w:rsidP="00E73D4B">
      <w:pPr>
        <w:pStyle w:val="avsnitt-tittel"/>
      </w:pPr>
      <w:r w:rsidRPr="00E73D4B">
        <w:t xml:space="preserve">Fritak for </w:t>
      </w:r>
      <w:proofErr w:type="spellStart"/>
      <w:r w:rsidRPr="00E73D4B">
        <w:t>vegbruksavgift</w:t>
      </w:r>
      <w:proofErr w:type="spellEnd"/>
      <w:r w:rsidRPr="00E73D4B">
        <w:t xml:space="preserve"> for avansert biodrivstoff</w:t>
      </w:r>
    </w:p>
    <w:p w14:paraId="7CC793E1" w14:textId="77777777" w:rsidR="00972395" w:rsidRPr="00E73D4B" w:rsidRDefault="00F120C7" w:rsidP="00E73D4B">
      <w:pPr>
        <w:pStyle w:val="avsnitt-undertittel"/>
      </w:pPr>
      <w:r w:rsidRPr="00E73D4B">
        <w:t>Vedtak nr. 35-9, 2. desember 2021</w:t>
      </w:r>
    </w:p>
    <w:p w14:paraId="0F811D25" w14:textId="77777777" w:rsidR="00972395" w:rsidRPr="00E73D4B" w:rsidRDefault="00F120C7" w:rsidP="00E73D4B">
      <w:pPr>
        <w:pStyle w:val="blokksit"/>
        <w:rPr>
          <w:rStyle w:val="kursiv"/>
        </w:rPr>
      </w:pPr>
      <w:r w:rsidRPr="00E73D4B">
        <w:rPr>
          <w:rStyle w:val="kursiv"/>
        </w:rPr>
        <w:t>«Stortinget ber regjeringen utarbeide forslag om fritak for veibruksavgift for drivstoffblandinger med 100 prosent avansert biodrivstoff og melde tilbake til Stortinget i forbindelse med revidert nasjonalbudsjett 2022.»</w:t>
      </w:r>
    </w:p>
    <w:p w14:paraId="6747D866"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nasjonalbudsjettet for 2022 og framlegg til statsbudsjett for 2022, jf. </w:t>
      </w:r>
      <w:proofErr w:type="spellStart"/>
      <w:r w:rsidRPr="00E73D4B">
        <w:t>Innst</w:t>
      </w:r>
      <w:proofErr w:type="spellEnd"/>
      <w:r w:rsidRPr="00E73D4B">
        <w:t xml:space="preserve">. 2 S (2021–2022). Saka </w:t>
      </w:r>
      <w:proofErr w:type="spellStart"/>
      <w:r w:rsidRPr="00E73D4B">
        <w:t>vart</w:t>
      </w:r>
      <w:proofErr w:type="spellEnd"/>
      <w:r w:rsidRPr="00E73D4B">
        <w:t xml:space="preserve"> omtalt i Meld. St. 2 (2021–2022) Revidert nasjonalbudsjett 2022. Der viste regjeringa til at det verken vil </w:t>
      </w:r>
      <w:proofErr w:type="spellStart"/>
      <w:r w:rsidRPr="00E73D4B">
        <w:t>vere</w:t>
      </w:r>
      <w:proofErr w:type="spellEnd"/>
      <w:r w:rsidRPr="00E73D4B">
        <w:t xml:space="preserve"> </w:t>
      </w:r>
      <w:proofErr w:type="spellStart"/>
      <w:r w:rsidRPr="00E73D4B">
        <w:t>formålstenleg</w:t>
      </w:r>
      <w:proofErr w:type="spellEnd"/>
      <w:r w:rsidRPr="00E73D4B">
        <w:t xml:space="preserve"> eller praktisk </w:t>
      </w:r>
      <w:proofErr w:type="spellStart"/>
      <w:r w:rsidRPr="00E73D4B">
        <w:t>mogleg</w:t>
      </w:r>
      <w:proofErr w:type="spellEnd"/>
      <w:r w:rsidRPr="00E73D4B">
        <w:t xml:space="preserve"> å frita reint, avansert biodrivstoff dersom dagens omsetningskrav til biodrivstoff skal </w:t>
      </w:r>
      <w:proofErr w:type="spellStart"/>
      <w:r w:rsidRPr="00E73D4B">
        <w:t>vidareførast</w:t>
      </w:r>
      <w:proofErr w:type="spellEnd"/>
      <w:r w:rsidRPr="00E73D4B">
        <w:t xml:space="preserve">. Det vart òg </w:t>
      </w:r>
      <w:proofErr w:type="spellStart"/>
      <w:r w:rsidRPr="00E73D4B">
        <w:t>peikt</w:t>
      </w:r>
      <w:proofErr w:type="spellEnd"/>
      <w:r w:rsidRPr="00E73D4B">
        <w:t xml:space="preserve"> på at </w:t>
      </w:r>
      <w:proofErr w:type="spellStart"/>
      <w:r w:rsidRPr="00E73D4B">
        <w:t>eit</w:t>
      </w:r>
      <w:proofErr w:type="spellEnd"/>
      <w:r w:rsidRPr="00E73D4B">
        <w:t xml:space="preserve"> slikt tiltak </w:t>
      </w:r>
      <w:proofErr w:type="spellStart"/>
      <w:r w:rsidRPr="00E73D4B">
        <w:t>truleg</w:t>
      </w:r>
      <w:proofErr w:type="spellEnd"/>
      <w:r w:rsidRPr="00E73D4B">
        <w:t xml:space="preserve"> er i strid med EØS-</w:t>
      </w:r>
      <w:proofErr w:type="spellStart"/>
      <w:r w:rsidRPr="00E73D4B">
        <w:t>avtala</w:t>
      </w:r>
      <w:proofErr w:type="spellEnd"/>
      <w:r w:rsidRPr="00E73D4B">
        <w:t xml:space="preserve">. På denne bakgrunn meinte regjeringa at det </w:t>
      </w:r>
      <w:proofErr w:type="spellStart"/>
      <w:r w:rsidRPr="00E73D4B">
        <w:t>ikkje</w:t>
      </w:r>
      <w:proofErr w:type="spellEnd"/>
      <w:r w:rsidRPr="00E73D4B">
        <w:t xml:space="preserve"> bør </w:t>
      </w:r>
      <w:proofErr w:type="spellStart"/>
      <w:r w:rsidRPr="00E73D4B">
        <w:t>fremjast</w:t>
      </w:r>
      <w:proofErr w:type="spellEnd"/>
      <w:r w:rsidRPr="00E73D4B">
        <w:t xml:space="preserve"> framlegg om fritak for </w:t>
      </w:r>
      <w:proofErr w:type="spellStart"/>
      <w:r w:rsidRPr="00E73D4B">
        <w:t>vegbruksavgift</w:t>
      </w:r>
      <w:proofErr w:type="spellEnd"/>
      <w:r w:rsidRPr="00E73D4B">
        <w:t xml:space="preserve"> for reint, avansert biodrivstoff. Regjeringa skriv i omtalen at </w:t>
      </w:r>
      <w:r w:rsidRPr="00E73D4B">
        <w:rPr>
          <w:rStyle w:val="kursiv"/>
        </w:rPr>
        <w:t>«Anmodningsvedtak nr. 35 punkt 9 (2021–2022) anses med dette som fulgt opp».</w:t>
      </w:r>
      <w:r w:rsidRPr="00E73D4B">
        <w:t xml:space="preserve"> I </w:t>
      </w:r>
      <w:proofErr w:type="spellStart"/>
      <w:r w:rsidRPr="00E73D4B">
        <w:t>Innst</w:t>
      </w:r>
      <w:proofErr w:type="spellEnd"/>
      <w:r w:rsidRPr="00E73D4B">
        <w:t>. 450 S (2021–2022) tok finanskomiteen omtalen til orientering.</w:t>
      </w:r>
    </w:p>
    <w:p w14:paraId="4A45B797" w14:textId="77777777" w:rsidR="00972395" w:rsidRPr="00E73D4B" w:rsidRDefault="00F120C7" w:rsidP="00E73D4B">
      <w:pPr>
        <w:pStyle w:val="avsnitt-tittel"/>
      </w:pPr>
      <w:r w:rsidRPr="00E73D4B">
        <w:t xml:space="preserve">Tiltak for </w:t>
      </w:r>
      <w:proofErr w:type="spellStart"/>
      <w:r w:rsidRPr="00E73D4B">
        <w:t>auka</w:t>
      </w:r>
      <w:proofErr w:type="spellEnd"/>
      <w:r w:rsidRPr="00E73D4B">
        <w:t xml:space="preserve"> elbildel i leasing- og </w:t>
      </w:r>
      <w:proofErr w:type="spellStart"/>
      <w:r w:rsidRPr="00E73D4B">
        <w:t>varebilmarknaden</w:t>
      </w:r>
      <w:proofErr w:type="spellEnd"/>
    </w:p>
    <w:p w14:paraId="6FA10354" w14:textId="77777777" w:rsidR="00972395" w:rsidRPr="00E73D4B" w:rsidRDefault="00F120C7" w:rsidP="00E73D4B">
      <w:pPr>
        <w:pStyle w:val="avsnitt-undertittel"/>
      </w:pPr>
      <w:r w:rsidRPr="00E73D4B">
        <w:t>Vedtak nr. 35-13, 2. desember 2021</w:t>
      </w:r>
    </w:p>
    <w:p w14:paraId="0F09A7CD" w14:textId="77777777" w:rsidR="00972395" w:rsidRPr="00E73D4B" w:rsidRDefault="00F120C7" w:rsidP="00E73D4B">
      <w:pPr>
        <w:pStyle w:val="blokksit"/>
        <w:rPr>
          <w:rStyle w:val="kursiv"/>
        </w:rPr>
      </w:pPr>
      <w:r w:rsidRPr="00E73D4B">
        <w:rPr>
          <w:rStyle w:val="kursiv"/>
        </w:rPr>
        <w:t xml:space="preserve">«Stortinget ber regjeringen, i revidert nasjonalbudsjett 2022, foreslå tiltak for å øke elbilandelen i </w:t>
      </w:r>
      <w:proofErr w:type="spellStart"/>
      <w:r w:rsidRPr="00E73D4B">
        <w:rPr>
          <w:rStyle w:val="kursiv"/>
        </w:rPr>
        <w:t>leasingmarkedet</w:t>
      </w:r>
      <w:proofErr w:type="spellEnd"/>
      <w:r w:rsidRPr="00E73D4B">
        <w:rPr>
          <w:rStyle w:val="kursiv"/>
        </w:rPr>
        <w:t xml:space="preserve"> og innenfor varebilmarkedet, herunder konkrete forslag som vil ha umiddelbar effekt i 2022, for å hindre at disse markedene blir en barriere for å nå målet om at alle nye personbiler og lette varebiler i 2025 skal være nullutslippsbiler. Utredningen skal se på fjerning av skattefordeler til biler med utslipp i </w:t>
      </w:r>
      <w:proofErr w:type="spellStart"/>
      <w:r w:rsidRPr="00E73D4B">
        <w:rPr>
          <w:rStyle w:val="kursiv"/>
        </w:rPr>
        <w:t>leasingmarkedet</w:t>
      </w:r>
      <w:proofErr w:type="spellEnd"/>
      <w:r w:rsidRPr="00E73D4B">
        <w:rPr>
          <w:rStyle w:val="kursiv"/>
        </w:rPr>
        <w:t xml:space="preserve">, støtteordninger til </w:t>
      </w:r>
      <w:proofErr w:type="spellStart"/>
      <w:r w:rsidRPr="00E73D4B">
        <w:rPr>
          <w:rStyle w:val="kursiv"/>
        </w:rPr>
        <w:t>elvarebiler</w:t>
      </w:r>
      <w:proofErr w:type="spellEnd"/>
      <w:r w:rsidRPr="00E73D4B">
        <w:rPr>
          <w:rStyle w:val="kursiv"/>
        </w:rPr>
        <w:t>, og CO</w:t>
      </w:r>
      <w:r w:rsidRPr="00E73D4B">
        <w:rPr>
          <w:rStyle w:val="skrift-senket"/>
        </w:rPr>
        <w:t>2</w:t>
      </w:r>
      <w:r w:rsidRPr="00E73D4B">
        <w:rPr>
          <w:rStyle w:val="kursiv"/>
        </w:rPr>
        <w:t>-komponenten i engangsavgiften for nyttekjøretøyer med forbrenningsmotor, den skal videre se på om det kan gjøres grep i støtteordningene til elbil som kan gi næringsdrivende styrkede og mer like fordeler som privatpersoner.»</w:t>
      </w:r>
    </w:p>
    <w:p w14:paraId="007727BD"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nasjonalbudsjettet for 2022 og framlegg til statsbudsjett for 2022, jf. </w:t>
      </w:r>
      <w:proofErr w:type="spellStart"/>
      <w:r w:rsidRPr="00E73D4B">
        <w:t>Innst</w:t>
      </w:r>
      <w:proofErr w:type="spellEnd"/>
      <w:r w:rsidRPr="00E73D4B">
        <w:t xml:space="preserve">. 2 S (2021–2022). I Meld. St. 2 (2021–2022) </w:t>
      </w:r>
      <w:r w:rsidRPr="00E73D4B">
        <w:rPr>
          <w:rStyle w:val="kursiv"/>
        </w:rPr>
        <w:t>Revidert nasjonalbudsjett 2022</w:t>
      </w:r>
      <w:r w:rsidRPr="00E73D4B">
        <w:t xml:space="preserve"> varsla regjeringa at den vil «utrede nøytral merverdiavgift for leasing mv., og et forslag til regelendringer vil bli sendt på høring. Siktemålet er å fjerne skattefordelen som det er vist til i anmodningsvedtaket.» </w:t>
      </w:r>
      <w:proofErr w:type="spellStart"/>
      <w:r w:rsidRPr="00E73D4B">
        <w:t>Vidare</w:t>
      </w:r>
      <w:proofErr w:type="spellEnd"/>
      <w:r w:rsidRPr="00E73D4B">
        <w:t xml:space="preserve"> viste regjeringa til at </w:t>
      </w:r>
      <w:proofErr w:type="spellStart"/>
      <w:r w:rsidRPr="00E73D4B">
        <w:t>eingongsavgifta</w:t>
      </w:r>
      <w:proofErr w:type="spellEnd"/>
      <w:r w:rsidRPr="00E73D4B">
        <w:t xml:space="preserve"> vart </w:t>
      </w:r>
      <w:proofErr w:type="spellStart"/>
      <w:r w:rsidRPr="00E73D4B">
        <w:t>auka</w:t>
      </w:r>
      <w:proofErr w:type="spellEnd"/>
      <w:r w:rsidRPr="00E73D4B">
        <w:t xml:space="preserve"> i statsbudsjettet og at </w:t>
      </w:r>
      <w:proofErr w:type="spellStart"/>
      <w:r w:rsidRPr="00E73D4B">
        <w:t>ytterlegare</w:t>
      </w:r>
      <w:proofErr w:type="spellEnd"/>
      <w:r w:rsidRPr="00E73D4B">
        <w:t xml:space="preserve"> </w:t>
      </w:r>
      <w:proofErr w:type="spellStart"/>
      <w:r w:rsidRPr="00E73D4B">
        <w:t>innstrammingar</w:t>
      </w:r>
      <w:proofErr w:type="spellEnd"/>
      <w:r w:rsidRPr="00E73D4B">
        <w:t xml:space="preserve"> i </w:t>
      </w:r>
      <w:proofErr w:type="spellStart"/>
      <w:r w:rsidRPr="00E73D4B">
        <w:t>eingongsavgifta</w:t>
      </w:r>
      <w:proofErr w:type="spellEnd"/>
      <w:r w:rsidRPr="00E73D4B">
        <w:t xml:space="preserve"> for </w:t>
      </w:r>
      <w:proofErr w:type="spellStart"/>
      <w:r w:rsidRPr="00E73D4B">
        <w:t>varebilar</w:t>
      </w:r>
      <w:proofErr w:type="spellEnd"/>
      <w:r w:rsidRPr="00E73D4B">
        <w:t xml:space="preserve"> kunne ha uheldige </w:t>
      </w:r>
      <w:proofErr w:type="spellStart"/>
      <w:r w:rsidRPr="00E73D4B">
        <w:t>konsekvensar</w:t>
      </w:r>
      <w:proofErr w:type="spellEnd"/>
      <w:r w:rsidRPr="00E73D4B">
        <w:t xml:space="preserve"> for transportnæringa. Regjeringa vurderte òg </w:t>
      </w:r>
      <w:proofErr w:type="spellStart"/>
      <w:r w:rsidRPr="00E73D4B">
        <w:t>auka</w:t>
      </w:r>
      <w:proofErr w:type="spellEnd"/>
      <w:r w:rsidRPr="00E73D4B">
        <w:t xml:space="preserve"> </w:t>
      </w:r>
      <w:proofErr w:type="spellStart"/>
      <w:r w:rsidRPr="00E73D4B">
        <w:t>Enova</w:t>
      </w:r>
      <w:proofErr w:type="spellEnd"/>
      <w:r w:rsidRPr="00E73D4B">
        <w:t xml:space="preserve">-stønad til </w:t>
      </w:r>
      <w:proofErr w:type="spellStart"/>
      <w:r w:rsidRPr="00E73D4B">
        <w:t>varebilane</w:t>
      </w:r>
      <w:proofErr w:type="spellEnd"/>
      <w:r w:rsidRPr="00E73D4B">
        <w:t xml:space="preserve"> som lite aktuelt. Regjeringa skriv i omtalen i revidert nasjonalbudsjett at «Anmodningsvedtak nr. 35-13 (2021–2022) anses med dette som fulgt opp.» I </w:t>
      </w:r>
      <w:proofErr w:type="spellStart"/>
      <w:r w:rsidRPr="00E73D4B">
        <w:t>Innst</w:t>
      </w:r>
      <w:proofErr w:type="spellEnd"/>
      <w:r w:rsidRPr="00E73D4B">
        <w:t xml:space="preserve">. 450 S (2021–2022) tok finanskomitéen omtalen til orientering. Saka er òg omtalt i </w:t>
      </w:r>
      <w:proofErr w:type="spellStart"/>
      <w:r w:rsidRPr="00E73D4B">
        <w:t>Prop</w:t>
      </w:r>
      <w:proofErr w:type="spellEnd"/>
      <w:r w:rsidRPr="00E73D4B">
        <w:t>. 1 LS (2022–2023), kapittel 16.</w:t>
      </w:r>
    </w:p>
    <w:p w14:paraId="763C1CFA" w14:textId="77777777" w:rsidR="00972395" w:rsidRPr="00E73D4B" w:rsidRDefault="00F120C7" w:rsidP="00E73D4B">
      <w:pPr>
        <w:pStyle w:val="avsnitt-tittel"/>
      </w:pPr>
      <w:r w:rsidRPr="00E73D4B">
        <w:t xml:space="preserve">Utgreiing av </w:t>
      </w:r>
      <w:proofErr w:type="spellStart"/>
      <w:r w:rsidRPr="00E73D4B">
        <w:t>ein</w:t>
      </w:r>
      <w:proofErr w:type="spellEnd"/>
      <w:r w:rsidRPr="00E73D4B">
        <w:t xml:space="preserve"> klimaavtale med petroleumsbransjen</w:t>
      </w:r>
    </w:p>
    <w:p w14:paraId="7B30A02C" w14:textId="77777777" w:rsidR="00972395" w:rsidRPr="00E73D4B" w:rsidRDefault="00F120C7" w:rsidP="00E73D4B">
      <w:pPr>
        <w:pStyle w:val="avsnitt-undertittel"/>
      </w:pPr>
      <w:r w:rsidRPr="00E73D4B">
        <w:t>Vedtak nr. 35-17, 2. desember 2021</w:t>
      </w:r>
    </w:p>
    <w:p w14:paraId="137DBF62" w14:textId="77777777" w:rsidR="00972395" w:rsidRPr="00E73D4B" w:rsidRDefault="00F120C7" w:rsidP="00E73D4B">
      <w:pPr>
        <w:pStyle w:val="blokksit"/>
        <w:rPr>
          <w:rStyle w:val="kursiv"/>
        </w:rPr>
      </w:pPr>
      <w:r w:rsidRPr="00E73D4B">
        <w:rPr>
          <w:rStyle w:val="kursiv"/>
        </w:rPr>
        <w:t>«Stortinget ber regjeringen utrede en klimaavtale med petroleumsbransjen for å redusere klimagassutslippene fra norsk olje- og gassproduksjon, herunder egnede virkemidler for å framskynde omstillingen på norsk sokkel. Denne avtalen skal sørge for at CO</w:t>
      </w:r>
      <w:r w:rsidRPr="00E73D4B">
        <w:rPr>
          <w:rStyle w:val="skrift-senket"/>
        </w:rPr>
        <w:t>2</w:t>
      </w:r>
      <w:r w:rsidRPr="00E73D4B">
        <w:rPr>
          <w:rStyle w:val="kursiv"/>
        </w:rPr>
        <w:t>-utslippene fra oljeproduksjonen på sokkelen ikke skal overskride et fastsatt utslippstak.»</w:t>
      </w:r>
    </w:p>
    <w:p w14:paraId="5A23CEC5"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1 (2021–2022) Nasjonalbudsjettet 2022, jf. </w:t>
      </w:r>
      <w:proofErr w:type="spellStart"/>
      <w:r w:rsidRPr="00E73D4B">
        <w:t>Innst</w:t>
      </w:r>
      <w:proofErr w:type="spellEnd"/>
      <w:r w:rsidRPr="00E73D4B">
        <w:t xml:space="preserve">. 2 S (2021–2022). Departementet </w:t>
      </w:r>
      <w:proofErr w:type="spellStart"/>
      <w:r w:rsidRPr="00E73D4B">
        <w:t>legg</w:t>
      </w:r>
      <w:proofErr w:type="spellEnd"/>
      <w:r w:rsidRPr="00E73D4B">
        <w:t xml:space="preserve"> til grunn at oppmodingsvedtaket er </w:t>
      </w:r>
      <w:proofErr w:type="spellStart"/>
      <w:r w:rsidRPr="00E73D4B">
        <w:t>følgt</w:t>
      </w:r>
      <w:proofErr w:type="spellEnd"/>
      <w:r w:rsidRPr="00E73D4B">
        <w:t xml:space="preserve"> opp gjennom vurderinga i </w:t>
      </w:r>
      <w:proofErr w:type="spellStart"/>
      <w:r w:rsidRPr="00E73D4B">
        <w:t>Prop</w:t>
      </w:r>
      <w:proofErr w:type="spellEnd"/>
      <w:r w:rsidRPr="00E73D4B">
        <w:t>. 1 LS (2022–2023), kapittel 17.</w:t>
      </w:r>
    </w:p>
    <w:p w14:paraId="2AC02FF0" w14:textId="77777777" w:rsidR="00972395" w:rsidRPr="00E73D4B" w:rsidRDefault="00F120C7" w:rsidP="00E73D4B">
      <w:pPr>
        <w:pStyle w:val="avsnitt-tittel"/>
      </w:pPr>
      <w:r w:rsidRPr="00E73D4B">
        <w:t>Differensiert elavgift</w:t>
      </w:r>
    </w:p>
    <w:p w14:paraId="29FBD1E5" w14:textId="77777777" w:rsidR="00972395" w:rsidRPr="00E73D4B" w:rsidRDefault="00F120C7" w:rsidP="00E73D4B">
      <w:pPr>
        <w:pStyle w:val="avsnitt-undertittel"/>
      </w:pPr>
      <w:r w:rsidRPr="00E73D4B">
        <w:t>Vedtak nr. 35-30, 2. desember 2021</w:t>
      </w:r>
    </w:p>
    <w:p w14:paraId="3CB01183" w14:textId="77777777" w:rsidR="00972395" w:rsidRPr="00E73D4B" w:rsidRDefault="00F120C7" w:rsidP="00E73D4B">
      <w:pPr>
        <w:pStyle w:val="blokksit"/>
        <w:rPr>
          <w:rStyle w:val="kursiv"/>
        </w:rPr>
      </w:pPr>
      <w:r w:rsidRPr="00E73D4B">
        <w:rPr>
          <w:rStyle w:val="kursiv"/>
        </w:rPr>
        <w:t>«Stortinget ber regjeringen utrede et bunnfradrag i elavgiften slik at det er mulig å skjerme de som har et lavt forbruk fra høye strømpriser.»</w:t>
      </w:r>
    </w:p>
    <w:p w14:paraId="499CA7D4"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Prop</w:t>
      </w:r>
      <w:proofErr w:type="spellEnd"/>
      <w:r w:rsidRPr="00E73D4B">
        <w:t xml:space="preserve">. 1 LS (2021–2022), jf. </w:t>
      </w:r>
      <w:proofErr w:type="spellStart"/>
      <w:r w:rsidRPr="00E73D4B">
        <w:t>Innst</w:t>
      </w:r>
      <w:proofErr w:type="spellEnd"/>
      <w:r w:rsidRPr="00E73D4B">
        <w:t xml:space="preserve">. 2 S (2021–2022). I </w:t>
      </w:r>
      <w:proofErr w:type="spellStart"/>
      <w:r w:rsidRPr="00E73D4B">
        <w:t>Prop</w:t>
      </w:r>
      <w:proofErr w:type="spellEnd"/>
      <w:r w:rsidRPr="00E73D4B">
        <w:t xml:space="preserve">. 1 LS (2022–2023), kapittel 8, har regjeringa greidd ut </w:t>
      </w:r>
      <w:proofErr w:type="spellStart"/>
      <w:r w:rsidRPr="00E73D4B">
        <w:t>eit</w:t>
      </w:r>
      <w:proofErr w:type="spellEnd"/>
      <w:r w:rsidRPr="00E73D4B">
        <w:t xml:space="preserve"> </w:t>
      </w:r>
      <w:proofErr w:type="spellStart"/>
      <w:r w:rsidRPr="00E73D4B">
        <w:t>botnfrådrag</w:t>
      </w:r>
      <w:proofErr w:type="spellEnd"/>
      <w:r w:rsidRPr="00E73D4B">
        <w:t xml:space="preserve"> i elavgifta. </w:t>
      </w:r>
      <w:proofErr w:type="spellStart"/>
      <w:r w:rsidRPr="00E73D4B">
        <w:t>Eit</w:t>
      </w:r>
      <w:proofErr w:type="spellEnd"/>
      <w:r w:rsidRPr="00E73D4B">
        <w:t xml:space="preserve"> </w:t>
      </w:r>
      <w:proofErr w:type="spellStart"/>
      <w:r w:rsidRPr="00E73D4B">
        <w:t>botnfrådrag</w:t>
      </w:r>
      <w:proofErr w:type="spellEnd"/>
      <w:r w:rsidRPr="00E73D4B">
        <w:t xml:space="preserve"> er </w:t>
      </w:r>
      <w:proofErr w:type="spellStart"/>
      <w:r w:rsidRPr="00E73D4B">
        <w:t>ikkje</w:t>
      </w:r>
      <w:proofErr w:type="spellEnd"/>
      <w:r w:rsidRPr="00E73D4B">
        <w:t xml:space="preserve"> eigna til å skjerme </w:t>
      </w:r>
      <w:proofErr w:type="spellStart"/>
      <w:r w:rsidRPr="00E73D4B">
        <w:t>dei</w:t>
      </w:r>
      <w:proofErr w:type="spellEnd"/>
      <w:r w:rsidRPr="00E73D4B">
        <w:t xml:space="preserve"> som har </w:t>
      </w:r>
      <w:proofErr w:type="spellStart"/>
      <w:r w:rsidRPr="00E73D4B">
        <w:t>eit</w:t>
      </w:r>
      <w:proofErr w:type="spellEnd"/>
      <w:r w:rsidRPr="00E73D4B">
        <w:t xml:space="preserve"> lågt elektrisitetsforbruk </w:t>
      </w:r>
      <w:proofErr w:type="spellStart"/>
      <w:r w:rsidRPr="00E73D4B">
        <w:t>frå</w:t>
      </w:r>
      <w:proofErr w:type="spellEnd"/>
      <w:r w:rsidRPr="00E73D4B">
        <w:t xml:space="preserve"> høge </w:t>
      </w:r>
      <w:proofErr w:type="spellStart"/>
      <w:r w:rsidRPr="00E73D4B">
        <w:t>straumprisar</w:t>
      </w:r>
      <w:proofErr w:type="spellEnd"/>
      <w:r w:rsidRPr="00E73D4B">
        <w:t xml:space="preserve">. Regjeringa vil </w:t>
      </w:r>
      <w:proofErr w:type="spellStart"/>
      <w:r w:rsidRPr="00E73D4B">
        <w:t>difor</w:t>
      </w:r>
      <w:proofErr w:type="spellEnd"/>
      <w:r w:rsidRPr="00E73D4B">
        <w:t xml:space="preserve"> </w:t>
      </w:r>
      <w:proofErr w:type="spellStart"/>
      <w:r w:rsidRPr="00E73D4B">
        <w:t>ikkje</w:t>
      </w:r>
      <w:proofErr w:type="spellEnd"/>
      <w:r w:rsidRPr="00E73D4B">
        <w:t xml:space="preserve"> arbeide </w:t>
      </w:r>
      <w:proofErr w:type="spellStart"/>
      <w:r w:rsidRPr="00E73D4B">
        <w:t>vidare</w:t>
      </w:r>
      <w:proofErr w:type="spellEnd"/>
      <w:r w:rsidRPr="00E73D4B">
        <w:t xml:space="preserve"> med ei differensiert elavgift. Departementet ser det slik at oppmodingsvedtaket er </w:t>
      </w:r>
      <w:proofErr w:type="spellStart"/>
      <w:r w:rsidRPr="00E73D4B">
        <w:t>følgt</w:t>
      </w:r>
      <w:proofErr w:type="spellEnd"/>
      <w:r w:rsidRPr="00E73D4B">
        <w:t xml:space="preserve"> opp gjennom dette.</w:t>
      </w:r>
    </w:p>
    <w:p w14:paraId="19DF56AC" w14:textId="77777777" w:rsidR="00972395" w:rsidRPr="00E73D4B" w:rsidRDefault="00F120C7" w:rsidP="00E73D4B">
      <w:pPr>
        <w:pStyle w:val="avsnitt-tittel"/>
      </w:pPr>
      <w:r w:rsidRPr="00E73D4B">
        <w:t>Evaluering av NOKUS-</w:t>
      </w:r>
      <w:proofErr w:type="spellStart"/>
      <w:r w:rsidRPr="00E73D4B">
        <w:t>reglane</w:t>
      </w:r>
      <w:proofErr w:type="spellEnd"/>
    </w:p>
    <w:p w14:paraId="280CB21E" w14:textId="77777777" w:rsidR="00972395" w:rsidRPr="00E73D4B" w:rsidRDefault="00F120C7" w:rsidP="00E73D4B">
      <w:pPr>
        <w:pStyle w:val="avsnitt-undertittel"/>
      </w:pPr>
      <w:r w:rsidRPr="00E73D4B">
        <w:t>Vedtak nr. 35-31, 2. desember 2021</w:t>
      </w:r>
    </w:p>
    <w:p w14:paraId="0A19F421" w14:textId="77777777" w:rsidR="00972395" w:rsidRPr="00E73D4B" w:rsidRDefault="00F120C7" w:rsidP="00E73D4B">
      <w:pPr>
        <w:pStyle w:val="blokksit"/>
        <w:rPr>
          <w:rStyle w:val="kursiv"/>
        </w:rPr>
      </w:pPr>
      <w:r w:rsidRPr="00E73D4B">
        <w:rPr>
          <w:rStyle w:val="kursiv"/>
        </w:rPr>
        <w:t>«Stortinget ber regjeringen om i løpet av 2022 å gjennomføre en grundig evaluering av dagens skatteordning for NOKUS-selskap, herunder også vurdere hvordan denne ordningen samvirker med kildeskatt.»</w:t>
      </w:r>
    </w:p>
    <w:p w14:paraId="20B7578E"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Prop</w:t>
      </w:r>
      <w:proofErr w:type="spellEnd"/>
      <w:r w:rsidRPr="00E73D4B">
        <w:t xml:space="preserve">. 1 LS (2021–2022), jf. </w:t>
      </w:r>
      <w:proofErr w:type="spellStart"/>
      <w:r w:rsidRPr="00E73D4B">
        <w:t>Innst</w:t>
      </w:r>
      <w:proofErr w:type="spellEnd"/>
      <w:r w:rsidRPr="00E73D4B">
        <w:t xml:space="preserve">. 2 S (2021–2022). Det vil </w:t>
      </w:r>
      <w:proofErr w:type="spellStart"/>
      <w:r w:rsidRPr="00E73D4B">
        <w:t>ikkje</w:t>
      </w:r>
      <w:proofErr w:type="spellEnd"/>
      <w:r w:rsidRPr="00E73D4B">
        <w:t xml:space="preserve"> </w:t>
      </w:r>
      <w:proofErr w:type="spellStart"/>
      <w:r w:rsidRPr="00E73D4B">
        <w:t>vere</w:t>
      </w:r>
      <w:proofErr w:type="spellEnd"/>
      <w:r w:rsidRPr="00E73D4B">
        <w:t xml:space="preserve"> hensiktsmessig å gjennomføre ei grundig evaluering av NOKUS-</w:t>
      </w:r>
      <w:proofErr w:type="spellStart"/>
      <w:r w:rsidRPr="00E73D4B">
        <w:t>reglane</w:t>
      </w:r>
      <w:proofErr w:type="spellEnd"/>
      <w:r w:rsidRPr="00E73D4B">
        <w:t xml:space="preserve"> i 2022. Årsaka til det er at </w:t>
      </w:r>
      <w:proofErr w:type="spellStart"/>
      <w:r w:rsidRPr="00E73D4B">
        <w:t>ein</w:t>
      </w:r>
      <w:proofErr w:type="spellEnd"/>
      <w:r w:rsidRPr="00E73D4B">
        <w:t xml:space="preserve"> bør avvente den internasjonale utviklinga på området og </w:t>
      </w:r>
      <w:proofErr w:type="spellStart"/>
      <w:r w:rsidRPr="00E73D4B">
        <w:t>særleg</w:t>
      </w:r>
      <w:proofErr w:type="spellEnd"/>
      <w:r w:rsidRPr="00E73D4B">
        <w:t xml:space="preserve"> innføringa av ei to-pilarløysing for </w:t>
      </w:r>
      <w:proofErr w:type="spellStart"/>
      <w:r w:rsidRPr="00E73D4B">
        <w:t>skattleggjing</w:t>
      </w:r>
      <w:proofErr w:type="spellEnd"/>
      <w:r w:rsidRPr="00E73D4B">
        <w:t xml:space="preserve"> av store multinasjonale konsern i </w:t>
      </w:r>
      <w:proofErr w:type="spellStart"/>
      <w:r w:rsidRPr="00E73D4B">
        <w:t>Noreg</w:t>
      </w:r>
      <w:proofErr w:type="spellEnd"/>
      <w:r w:rsidRPr="00E73D4B">
        <w:t xml:space="preserve">. Regjeringa følgjer </w:t>
      </w:r>
      <w:proofErr w:type="spellStart"/>
      <w:r w:rsidRPr="00E73D4B">
        <w:t>difor</w:t>
      </w:r>
      <w:proofErr w:type="spellEnd"/>
      <w:r w:rsidRPr="00E73D4B">
        <w:t xml:space="preserve"> i fyrste omgang opp oppmodingsvedtaket ved i </w:t>
      </w:r>
      <w:proofErr w:type="spellStart"/>
      <w:r w:rsidRPr="00E73D4B">
        <w:t>Prop</w:t>
      </w:r>
      <w:proofErr w:type="spellEnd"/>
      <w:r w:rsidRPr="00E73D4B">
        <w:t xml:space="preserve">. 1 LS (2022–2023), kapittel 18, å </w:t>
      </w:r>
      <w:proofErr w:type="spellStart"/>
      <w:r w:rsidRPr="00E73D4B">
        <w:t>gje</w:t>
      </w:r>
      <w:proofErr w:type="spellEnd"/>
      <w:r w:rsidRPr="00E73D4B">
        <w:t xml:space="preserve"> </w:t>
      </w:r>
      <w:proofErr w:type="spellStart"/>
      <w:r w:rsidRPr="00E73D4B">
        <w:t>ein</w:t>
      </w:r>
      <w:proofErr w:type="spellEnd"/>
      <w:r w:rsidRPr="00E73D4B">
        <w:t xml:space="preserve"> kort omtale av forholdet mellom NOKUS-</w:t>
      </w:r>
      <w:proofErr w:type="spellStart"/>
      <w:r w:rsidRPr="00E73D4B">
        <w:t>reglane</w:t>
      </w:r>
      <w:proofErr w:type="spellEnd"/>
      <w:r w:rsidRPr="00E73D4B">
        <w:t xml:space="preserve"> og </w:t>
      </w:r>
      <w:proofErr w:type="spellStart"/>
      <w:r w:rsidRPr="00E73D4B">
        <w:t>reglane</w:t>
      </w:r>
      <w:proofErr w:type="spellEnd"/>
      <w:r w:rsidRPr="00E73D4B">
        <w:t xml:space="preserve"> om kjeldeskatt på renter og royalty, og </w:t>
      </w:r>
      <w:proofErr w:type="spellStart"/>
      <w:r w:rsidRPr="00E73D4B">
        <w:t>vidare</w:t>
      </w:r>
      <w:proofErr w:type="spellEnd"/>
      <w:r w:rsidRPr="00E73D4B">
        <w:t xml:space="preserve"> varsle at Finansdepartementet vil </w:t>
      </w:r>
      <w:proofErr w:type="spellStart"/>
      <w:r w:rsidRPr="00E73D4B">
        <w:t>kome</w:t>
      </w:r>
      <w:proofErr w:type="spellEnd"/>
      <w:r w:rsidRPr="00E73D4B">
        <w:t xml:space="preserve"> </w:t>
      </w:r>
      <w:proofErr w:type="spellStart"/>
      <w:r w:rsidRPr="00E73D4B">
        <w:t>nærare</w:t>
      </w:r>
      <w:proofErr w:type="spellEnd"/>
      <w:r w:rsidRPr="00E73D4B">
        <w:t xml:space="preserve"> tilbake til ei vurdering av NOKUS-</w:t>
      </w:r>
      <w:proofErr w:type="spellStart"/>
      <w:r w:rsidRPr="00E73D4B">
        <w:t>reglane</w:t>
      </w:r>
      <w:proofErr w:type="spellEnd"/>
      <w:r w:rsidRPr="00E73D4B">
        <w:t xml:space="preserve"> når to-pilarløysinga for </w:t>
      </w:r>
      <w:proofErr w:type="spellStart"/>
      <w:r w:rsidRPr="00E73D4B">
        <w:t>skattleggjing</w:t>
      </w:r>
      <w:proofErr w:type="spellEnd"/>
      <w:r w:rsidRPr="00E73D4B">
        <w:t xml:space="preserve"> av store multinasjonale konsern er innført i norsk rett.</w:t>
      </w:r>
    </w:p>
    <w:p w14:paraId="34A69397" w14:textId="77777777" w:rsidR="00972395" w:rsidRPr="00E73D4B" w:rsidRDefault="00F120C7" w:rsidP="00E73D4B">
      <w:pPr>
        <w:pStyle w:val="avsnitt-tittel"/>
      </w:pPr>
      <w:r w:rsidRPr="00E73D4B">
        <w:t>Rapportering på ulikskap</w:t>
      </w:r>
    </w:p>
    <w:p w14:paraId="7578D9C0" w14:textId="77777777" w:rsidR="00972395" w:rsidRPr="00E73D4B" w:rsidRDefault="00F120C7" w:rsidP="00E73D4B">
      <w:pPr>
        <w:pStyle w:val="avsnitt-undertittel"/>
      </w:pPr>
      <w:r w:rsidRPr="00E73D4B">
        <w:t>Vedtak nr. 35-32, 2. desember 2021</w:t>
      </w:r>
    </w:p>
    <w:p w14:paraId="3846890C" w14:textId="77777777" w:rsidR="00972395" w:rsidRPr="00E73D4B" w:rsidRDefault="00F120C7" w:rsidP="00E73D4B">
      <w:pPr>
        <w:pStyle w:val="blokksit"/>
        <w:rPr>
          <w:rStyle w:val="kursiv"/>
        </w:rPr>
      </w:pPr>
      <w:r w:rsidRPr="00E73D4B">
        <w:rPr>
          <w:rStyle w:val="kursiv"/>
        </w:rPr>
        <w:t>«Stortinget ber regjeringen fra og med statsbudsjettet 2023 rapportere om fordeling og ulikhet på grunnlag av flere parametere enn i dag. Eierinntekter skal inngå i rapporteringen så snart det er praktisk mulig. Rapporteringen skal bidra til å nå målet om å redusere økonomisk ulikhet.»</w:t>
      </w:r>
    </w:p>
    <w:p w14:paraId="0504533A"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nasjonalbudsjettet for 2022 og framlegg til statsbudsjett for 2022, jf. </w:t>
      </w:r>
      <w:proofErr w:type="spellStart"/>
      <w:r w:rsidRPr="00E73D4B">
        <w:t>Innst</w:t>
      </w:r>
      <w:proofErr w:type="spellEnd"/>
      <w:r w:rsidRPr="00E73D4B">
        <w:t>. 2 S (2021–2022).</w:t>
      </w:r>
    </w:p>
    <w:p w14:paraId="11F97E96" w14:textId="77777777" w:rsidR="00972395" w:rsidRPr="00E73D4B" w:rsidRDefault="00F120C7" w:rsidP="00E73D4B">
      <w:r w:rsidRPr="00E73D4B">
        <w:t xml:space="preserve">Vedtaket er </w:t>
      </w:r>
      <w:proofErr w:type="spellStart"/>
      <w:r w:rsidRPr="00E73D4B">
        <w:t>følgt</w:t>
      </w:r>
      <w:proofErr w:type="spellEnd"/>
      <w:r w:rsidRPr="00E73D4B">
        <w:t xml:space="preserve"> opp i Meld. St. 1 (2022–2023) Nasjonalbudsjettet 2023, kapittel 6.</w:t>
      </w:r>
    </w:p>
    <w:p w14:paraId="2B7A01E8" w14:textId="77777777" w:rsidR="00972395" w:rsidRPr="00E73D4B" w:rsidRDefault="00F120C7" w:rsidP="00E73D4B">
      <w:pPr>
        <w:pStyle w:val="avsnitt-tittel"/>
      </w:pPr>
      <w:r w:rsidRPr="00E73D4B">
        <w:t xml:space="preserve">Rapportering på ulikskap i </w:t>
      </w:r>
      <w:proofErr w:type="spellStart"/>
      <w:r w:rsidRPr="00E73D4B">
        <w:t>formuar</w:t>
      </w:r>
      <w:proofErr w:type="spellEnd"/>
    </w:p>
    <w:p w14:paraId="02A7EAB7" w14:textId="77777777" w:rsidR="00972395" w:rsidRPr="00E73D4B" w:rsidRDefault="00F120C7" w:rsidP="00E73D4B">
      <w:pPr>
        <w:pStyle w:val="avsnitt-undertittel"/>
      </w:pPr>
      <w:r w:rsidRPr="00E73D4B">
        <w:t>Vedtak nr. 35-33, 2. desember 2021</w:t>
      </w:r>
    </w:p>
    <w:p w14:paraId="7EE42241" w14:textId="77777777" w:rsidR="00972395" w:rsidRPr="00E73D4B" w:rsidRDefault="00F120C7" w:rsidP="00E73D4B">
      <w:pPr>
        <w:pStyle w:val="blokksit"/>
        <w:rPr>
          <w:rStyle w:val="kursiv"/>
        </w:rPr>
      </w:pPr>
      <w:r w:rsidRPr="00E73D4B">
        <w:rPr>
          <w:rStyle w:val="kursiv"/>
        </w:rPr>
        <w:t xml:space="preserve">«Stortinget ber regjeringen fra og med statsbudsjettet 2023 legge fram beregninger for </w:t>
      </w:r>
      <w:proofErr w:type="spellStart"/>
      <w:r w:rsidRPr="00E73D4B">
        <w:rPr>
          <w:rStyle w:val="kursiv"/>
        </w:rPr>
        <w:t>formuesulikheten</w:t>
      </w:r>
      <w:proofErr w:type="spellEnd"/>
      <w:r w:rsidRPr="00E73D4B">
        <w:rPr>
          <w:rStyle w:val="kursiv"/>
        </w:rPr>
        <w:t xml:space="preserve"> i Norge, hvor det også tilstrebes at formuesobjekter som i dag undervurderes i formuesstatistikken inngår med sin reelle markedsverdi.»</w:t>
      </w:r>
    </w:p>
    <w:p w14:paraId="1103052A"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nasjonalbudsjettet for 2022 og framlegg til statsbudsjett for 2022, jf. </w:t>
      </w:r>
      <w:proofErr w:type="spellStart"/>
      <w:r w:rsidRPr="00E73D4B">
        <w:t>Innst</w:t>
      </w:r>
      <w:proofErr w:type="spellEnd"/>
      <w:r w:rsidRPr="00E73D4B">
        <w:t xml:space="preserve">. 2 S (2021–2022). Vedtaket er </w:t>
      </w:r>
      <w:proofErr w:type="spellStart"/>
      <w:r w:rsidRPr="00E73D4B">
        <w:t>følgt</w:t>
      </w:r>
      <w:proofErr w:type="spellEnd"/>
      <w:r w:rsidRPr="00E73D4B">
        <w:t xml:space="preserve"> opp i Meld. St. 1 (2022–2023) </w:t>
      </w:r>
      <w:r w:rsidRPr="00E73D4B">
        <w:rPr>
          <w:rStyle w:val="kursiv"/>
        </w:rPr>
        <w:t>Nasjonalbudsjettet 2023,</w:t>
      </w:r>
      <w:r w:rsidRPr="00E73D4B">
        <w:t xml:space="preserve"> kapittel 6.</w:t>
      </w:r>
    </w:p>
    <w:p w14:paraId="3BE9D5E1" w14:textId="77777777" w:rsidR="00972395" w:rsidRPr="00E73D4B" w:rsidRDefault="00F120C7" w:rsidP="00E73D4B">
      <w:pPr>
        <w:pStyle w:val="avsnitt-tittel"/>
      </w:pPr>
      <w:proofErr w:type="spellStart"/>
      <w:r w:rsidRPr="00E73D4B">
        <w:t>Verdsetjingsmetode</w:t>
      </w:r>
      <w:proofErr w:type="spellEnd"/>
      <w:r w:rsidRPr="00E73D4B">
        <w:t xml:space="preserve"> for </w:t>
      </w:r>
      <w:proofErr w:type="spellStart"/>
      <w:r w:rsidRPr="00E73D4B">
        <w:t>bustader</w:t>
      </w:r>
      <w:proofErr w:type="spellEnd"/>
    </w:p>
    <w:p w14:paraId="14BEE65E" w14:textId="77777777" w:rsidR="00972395" w:rsidRPr="00E73D4B" w:rsidRDefault="00F120C7" w:rsidP="00E73D4B">
      <w:pPr>
        <w:pStyle w:val="avsnitt-undertittel"/>
      </w:pPr>
      <w:r w:rsidRPr="00E73D4B">
        <w:t>Vedtak nr. 35-34, 2. desember 2021</w:t>
      </w:r>
    </w:p>
    <w:p w14:paraId="7A985E84" w14:textId="77777777" w:rsidR="00972395" w:rsidRPr="00E73D4B" w:rsidRDefault="00F120C7" w:rsidP="00E73D4B">
      <w:pPr>
        <w:pStyle w:val="blokksit"/>
        <w:rPr>
          <w:rStyle w:val="kursiv"/>
        </w:rPr>
      </w:pPr>
      <w:r w:rsidRPr="00E73D4B">
        <w:rPr>
          <w:rStyle w:val="kursiv"/>
        </w:rPr>
        <w:t>«Stortinget ber regjeringen endre metoden for verdsetting av dyre boliger slik at verdsettingen bedre samsvarer med eiendommenes reelle markedsverdi.»</w:t>
      </w:r>
    </w:p>
    <w:p w14:paraId="426EDAE6"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nasjonalbudsjettet for 2022 og framlegg til statsbudsjett for 2022, jf. </w:t>
      </w:r>
      <w:proofErr w:type="spellStart"/>
      <w:r w:rsidRPr="00E73D4B">
        <w:t>Innst</w:t>
      </w:r>
      <w:proofErr w:type="spellEnd"/>
      <w:r w:rsidRPr="00E73D4B">
        <w:t xml:space="preserve">. 2 S (2021–2022). Departementet vil </w:t>
      </w:r>
      <w:proofErr w:type="spellStart"/>
      <w:r w:rsidRPr="00E73D4B">
        <w:t>kome</w:t>
      </w:r>
      <w:proofErr w:type="spellEnd"/>
      <w:r w:rsidRPr="00E73D4B">
        <w:t xml:space="preserve"> tilbake til Stortinget ved </w:t>
      </w:r>
      <w:proofErr w:type="spellStart"/>
      <w:r w:rsidRPr="00E73D4B">
        <w:t>eit</w:t>
      </w:r>
      <w:proofErr w:type="spellEnd"/>
      <w:r w:rsidRPr="00E73D4B">
        <w:t xml:space="preserve"> </w:t>
      </w:r>
      <w:proofErr w:type="spellStart"/>
      <w:r w:rsidRPr="00E73D4B">
        <w:t>passande</w:t>
      </w:r>
      <w:proofErr w:type="spellEnd"/>
      <w:r w:rsidRPr="00E73D4B">
        <w:t xml:space="preserve"> høve.</w:t>
      </w:r>
    </w:p>
    <w:p w14:paraId="31D08797" w14:textId="77777777" w:rsidR="00972395" w:rsidRPr="00E73D4B" w:rsidRDefault="00F120C7" w:rsidP="00E73D4B">
      <w:pPr>
        <w:pStyle w:val="avsnitt-tittel"/>
      </w:pPr>
      <w:r w:rsidRPr="00E73D4B">
        <w:t xml:space="preserve">Utvida land-for-land-rapportering (LLR) etter </w:t>
      </w:r>
      <w:proofErr w:type="spellStart"/>
      <w:r w:rsidRPr="00E73D4B">
        <w:t>rekneskapslova</w:t>
      </w:r>
      <w:proofErr w:type="spellEnd"/>
    </w:p>
    <w:p w14:paraId="27EE841F" w14:textId="77777777" w:rsidR="00972395" w:rsidRPr="00E73D4B" w:rsidRDefault="00F120C7" w:rsidP="00E73D4B">
      <w:pPr>
        <w:pStyle w:val="avsnitt-undertittel"/>
      </w:pPr>
      <w:r w:rsidRPr="00E73D4B">
        <w:t>Vedtak nr. 35-36, 2. desember 2021</w:t>
      </w:r>
    </w:p>
    <w:p w14:paraId="044F720E" w14:textId="77777777" w:rsidR="00972395" w:rsidRPr="00E73D4B" w:rsidRDefault="00F120C7" w:rsidP="00E73D4B">
      <w:pPr>
        <w:pStyle w:val="blokksit"/>
        <w:rPr>
          <w:rStyle w:val="kursiv"/>
        </w:rPr>
      </w:pPr>
      <w:r w:rsidRPr="00E73D4B">
        <w:rPr>
          <w:rStyle w:val="kursiv"/>
        </w:rPr>
        <w:t xml:space="preserve">«Stortinget ber regjeringen om at en forskrift om utvidet land-for-land-rapportering blir utformet slik at selskaper blir pliktige til å opplyse om regnskapsstørrelser for alle land, inkludert </w:t>
      </w:r>
      <w:proofErr w:type="spellStart"/>
      <w:r w:rsidRPr="00E73D4B">
        <w:rPr>
          <w:rStyle w:val="kursiv"/>
        </w:rPr>
        <w:t>støtteland</w:t>
      </w:r>
      <w:proofErr w:type="spellEnd"/>
      <w:r w:rsidRPr="00E73D4B">
        <w:rPr>
          <w:rStyle w:val="kursiv"/>
        </w:rPr>
        <w:t xml:space="preserve"> hvor skatt ikke betales.»</w:t>
      </w:r>
    </w:p>
    <w:p w14:paraId="76D73FED"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nasjonalbudsjettet for 2022 og framlegg til statsbudsjett for 2022, jf. </w:t>
      </w:r>
      <w:proofErr w:type="spellStart"/>
      <w:r w:rsidRPr="00E73D4B">
        <w:t>Innst</w:t>
      </w:r>
      <w:proofErr w:type="spellEnd"/>
      <w:r w:rsidRPr="00E73D4B">
        <w:t xml:space="preserve">. 2 S (2021–2022). I </w:t>
      </w:r>
      <w:proofErr w:type="spellStart"/>
      <w:r w:rsidRPr="00E73D4B">
        <w:t>Prop</w:t>
      </w:r>
      <w:proofErr w:type="spellEnd"/>
      <w:r w:rsidRPr="00E73D4B">
        <w:t xml:space="preserve">. 1 S (2021–2022) opplyste Finansdepartementet, i samband med oppmodingsvedtak nr. 48 av 15. november 2016, at det på EU-nivå </w:t>
      </w:r>
      <w:proofErr w:type="spellStart"/>
      <w:r w:rsidRPr="00E73D4B">
        <w:t>vart</w:t>
      </w:r>
      <w:proofErr w:type="spellEnd"/>
      <w:r w:rsidRPr="00E73D4B">
        <w:t xml:space="preserve"> oppnådd semje om nye </w:t>
      </w:r>
      <w:proofErr w:type="spellStart"/>
      <w:r w:rsidRPr="00E73D4B">
        <w:t>reglar</w:t>
      </w:r>
      <w:proofErr w:type="spellEnd"/>
      <w:r w:rsidRPr="00E73D4B">
        <w:t xml:space="preserve"> på området som oppmodingsvedtaket gjeld, og at det tok sikte på å utarbeide og høyre framlegg til </w:t>
      </w:r>
      <w:proofErr w:type="spellStart"/>
      <w:r w:rsidRPr="00E73D4B">
        <w:t>lovendringar</w:t>
      </w:r>
      <w:proofErr w:type="spellEnd"/>
      <w:r w:rsidRPr="00E73D4B">
        <w:t>, basert på forventa EØS-</w:t>
      </w:r>
      <w:proofErr w:type="spellStart"/>
      <w:r w:rsidRPr="00E73D4B">
        <w:t>rettslege</w:t>
      </w:r>
      <w:proofErr w:type="spellEnd"/>
      <w:r w:rsidRPr="00E73D4B">
        <w:t xml:space="preserve"> skyldnader, der òg oppmodingsvedtaket vil </w:t>
      </w:r>
      <w:proofErr w:type="spellStart"/>
      <w:r w:rsidRPr="00E73D4B">
        <w:t>verte</w:t>
      </w:r>
      <w:proofErr w:type="spellEnd"/>
      <w:r w:rsidRPr="00E73D4B">
        <w:t xml:space="preserve"> </w:t>
      </w:r>
      <w:proofErr w:type="spellStart"/>
      <w:r w:rsidRPr="00E73D4B">
        <w:t>følgt</w:t>
      </w:r>
      <w:proofErr w:type="spellEnd"/>
      <w:r w:rsidRPr="00E73D4B">
        <w:t xml:space="preserve"> opp. EU-</w:t>
      </w:r>
      <w:proofErr w:type="spellStart"/>
      <w:r w:rsidRPr="00E73D4B">
        <w:t>reglane</w:t>
      </w:r>
      <w:proofErr w:type="spellEnd"/>
      <w:r w:rsidRPr="00E73D4B">
        <w:t xml:space="preserve"> vart </w:t>
      </w:r>
      <w:proofErr w:type="spellStart"/>
      <w:r w:rsidRPr="00E73D4B">
        <w:t>offentleggjorde</w:t>
      </w:r>
      <w:proofErr w:type="spellEnd"/>
      <w:r w:rsidRPr="00E73D4B">
        <w:t xml:space="preserve"> i november 2021. Direktivet er per </w:t>
      </w:r>
      <w:proofErr w:type="spellStart"/>
      <w:r w:rsidRPr="00E73D4B">
        <w:t>no</w:t>
      </w:r>
      <w:proofErr w:type="spellEnd"/>
      <w:r w:rsidRPr="00E73D4B">
        <w:t xml:space="preserve"> </w:t>
      </w:r>
      <w:proofErr w:type="spellStart"/>
      <w:r w:rsidRPr="00E73D4B">
        <w:t>ikkje</w:t>
      </w:r>
      <w:proofErr w:type="spellEnd"/>
      <w:r w:rsidRPr="00E73D4B">
        <w:t xml:space="preserve"> innlemma i EØS-avtalen. Finansdepartementet </w:t>
      </w:r>
      <w:proofErr w:type="spellStart"/>
      <w:r w:rsidRPr="00E73D4B">
        <w:t>tek</w:t>
      </w:r>
      <w:proofErr w:type="spellEnd"/>
      <w:r w:rsidRPr="00E73D4B">
        <w:t xml:space="preserve"> sikte på å utarbeide og høyre framlegg til </w:t>
      </w:r>
      <w:proofErr w:type="spellStart"/>
      <w:r w:rsidRPr="00E73D4B">
        <w:t>lovendringar</w:t>
      </w:r>
      <w:proofErr w:type="spellEnd"/>
      <w:r w:rsidRPr="00E73D4B">
        <w:t>, baserte på nye EU-</w:t>
      </w:r>
      <w:proofErr w:type="spellStart"/>
      <w:r w:rsidRPr="00E73D4B">
        <w:t>reglar</w:t>
      </w:r>
      <w:proofErr w:type="spellEnd"/>
      <w:r w:rsidRPr="00E73D4B">
        <w:t>.</w:t>
      </w:r>
    </w:p>
    <w:p w14:paraId="3ABC53D2" w14:textId="77777777" w:rsidR="00972395" w:rsidRPr="00E73D4B" w:rsidRDefault="00F120C7" w:rsidP="00E73D4B">
      <w:pPr>
        <w:pStyle w:val="avsnitt-tittel"/>
      </w:pPr>
      <w:r w:rsidRPr="00E73D4B">
        <w:t xml:space="preserve">Intensivere internasjonalt arbeid mot </w:t>
      </w:r>
      <w:proofErr w:type="spellStart"/>
      <w:r w:rsidRPr="00E73D4B">
        <w:t>skattetilpassingar</w:t>
      </w:r>
      <w:proofErr w:type="spellEnd"/>
    </w:p>
    <w:p w14:paraId="65E86858" w14:textId="77777777" w:rsidR="00972395" w:rsidRPr="00E73D4B" w:rsidRDefault="00F120C7" w:rsidP="00E73D4B">
      <w:pPr>
        <w:pStyle w:val="avsnitt-undertittel"/>
      </w:pPr>
      <w:r w:rsidRPr="00E73D4B">
        <w:t>Vedtak nr. 35-37, 2. desember 2021</w:t>
      </w:r>
    </w:p>
    <w:p w14:paraId="1FF7D5A2" w14:textId="77777777" w:rsidR="00972395" w:rsidRPr="00E73D4B" w:rsidRDefault="00F120C7" w:rsidP="00E73D4B">
      <w:pPr>
        <w:pStyle w:val="blokksit"/>
        <w:rPr>
          <w:rStyle w:val="kursiv"/>
        </w:rPr>
      </w:pPr>
      <w:r w:rsidRPr="00E73D4B">
        <w:rPr>
          <w:rStyle w:val="kursiv"/>
        </w:rPr>
        <w:t xml:space="preserve">«Stortinget ber regjeringen intensivere arbeidet mot internasjonale skattetilpasninger og skatteflukt gjennom å aktivt arbeide for effektive multilaterale løsninger i internasjonale fora, og </w:t>
      </w:r>
      <w:proofErr w:type="gramStart"/>
      <w:r w:rsidRPr="00E73D4B">
        <w:rPr>
          <w:rStyle w:val="kursiv"/>
        </w:rPr>
        <w:t>implementere</w:t>
      </w:r>
      <w:proofErr w:type="gramEnd"/>
      <w:r w:rsidRPr="00E73D4B">
        <w:rPr>
          <w:rStyle w:val="kursiv"/>
        </w:rPr>
        <w:t xml:space="preserve"> nødvendige løsninger og tiltak i det norske skattesystemet.»</w:t>
      </w:r>
    </w:p>
    <w:p w14:paraId="01CB5D48"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Prop</w:t>
      </w:r>
      <w:proofErr w:type="spellEnd"/>
      <w:r w:rsidRPr="00E73D4B">
        <w:t xml:space="preserve">. 1 LS (2021–2022), jf. </w:t>
      </w:r>
      <w:proofErr w:type="spellStart"/>
      <w:r w:rsidRPr="00E73D4B">
        <w:t>Innst</w:t>
      </w:r>
      <w:proofErr w:type="spellEnd"/>
      <w:r w:rsidRPr="00E73D4B">
        <w:t xml:space="preserve">. 2 S (2021–2022). Departementet </w:t>
      </w:r>
      <w:proofErr w:type="spellStart"/>
      <w:r w:rsidRPr="00E73D4B">
        <w:t>legg</w:t>
      </w:r>
      <w:proofErr w:type="spellEnd"/>
      <w:r w:rsidRPr="00E73D4B">
        <w:t xml:space="preserve"> til grunn at oppmodingsvedtaket er </w:t>
      </w:r>
      <w:proofErr w:type="spellStart"/>
      <w:r w:rsidRPr="00E73D4B">
        <w:t>følgt</w:t>
      </w:r>
      <w:proofErr w:type="spellEnd"/>
      <w:r w:rsidRPr="00E73D4B">
        <w:t xml:space="preserve"> opp gjennom </w:t>
      </w:r>
      <w:proofErr w:type="spellStart"/>
      <w:r w:rsidRPr="00E73D4B">
        <w:t>omtala</w:t>
      </w:r>
      <w:proofErr w:type="spellEnd"/>
      <w:r w:rsidRPr="00E73D4B">
        <w:t xml:space="preserve"> i </w:t>
      </w:r>
      <w:proofErr w:type="spellStart"/>
      <w:r w:rsidRPr="00E73D4B">
        <w:t>Prop</w:t>
      </w:r>
      <w:proofErr w:type="spellEnd"/>
      <w:r w:rsidRPr="00E73D4B">
        <w:t>. 1 LS (2022–2023), kapittel 19.</w:t>
      </w:r>
    </w:p>
    <w:p w14:paraId="71C633D3" w14:textId="77777777" w:rsidR="00972395" w:rsidRPr="00E73D4B" w:rsidRDefault="00F120C7" w:rsidP="00E73D4B">
      <w:pPr>
        <w:pStyle w:val="avsnitt-tittel"/>
      </w:pPr>
      <w:r w:rsidRPr="00E73D4B">
        <w:t xml:space="preserve">Tiltak mot </w:t>
      </w:r>
      <w:proofErr w:type="spellStart"/>
      <w:r w:rsidRPr="00E73D4B">
        <w:t>skattetilpassingar</w:t>
      </w:r>
      <w:proofErr w:type="spellEnd"/>
    </w:p>
    <w:p w14:paraId="5BBF06FC" w14:textId="77777777" w:rsidR="00972395" w:rsidRPr="00E73D4B" w:rsidRDefault="00F120C7" w:rsidP="00E73D4B">
      <w:pPr>
        <w:pStyle w:val="avsnitt-undertittel"/>
      </w:pPr>
      <w:r w:rsidRPr="00E73D4B">
        <w:t>Vedtak nr. 35-38, 2. desember 2021</w:t>
      </w:r>
    </w:p>
    <w:p w14:paraId="4A7BE084" w14:textId="77777777" w:rsidR="00972395" w:rsidRPr="00E73D4B" w:rsidRDefault="00F120C7" w:rsidP="00E73D4B">
      <w:pPr>
        <w:pStyle w:val="blokksit"/>
        <w:rPr>
          <w:rStyle w:val="kursiv"/>
        </w:rPr>
      </w:pPr>
      <w:r w:rsidRPr="00E73D4B">
        <w:rPr>
          <w:rStyle w:val="kursiv"/>
        </w:rPr>
        <w:t>«Stortinget ber regjeringen utrede muligheter for ytterligere tiltak mot skattetilpasning, utover OECDs/</w:t>
      </w:r>
      <w:proofErr w:type="spellStart"/>
      <w:r w:rsidRPr="00E73D4B">
        <w:rPr>
          <w:rStyle w:val="kursiv"/>
        </w:rPr>
        <w:t>Inclusive</w:t>
      </w:r>
      <w:proofErr w:type="spellEnd"/>
      <w:r w:rsidRPr="00E73D4B">
        <w:rPr>
          <w:rStyle w:val="kursiv"/>
        </w:rPr>
        <w:t xml:space="preserve"> Frameworks konsensusløsning om endringer i fordeling av beskatningsrett og minimumsskatt (to-pilarløsningen).»</w:t>
      </w:r>
    </w:p>
    <w:p w14:paraId="0D61022C"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Prop</w:t>
      </w:r>
      <w:proofErr w:type="spellEnd"/>
      <w:r w:rsidRPr="00E73D4B">
        <w:t xml:space="preserve">. 1 LS (2021–2022), jf. </w:t>
      </w:r>
      <w:proofErr w:type="spellStart"/>
      <w:r w:rsidRPr="00E73D4B">
        <w:t>Innst</w:t>
      </w:r>
      <w:proofErr w:type="spellEnd"/>
      <w:r w:rsidRPr="00E73D4B">
        <w:t xml:space="preserve">. 2 S (2021–2022). Departementet </w:t>
      </w:r>
      <w:proofErr w:type="spellStart"/>
      <w:r w:rsidRPr="00E73D4B">
        <w:t>legg</w:t>
      </w:r>
      <w:proofErr w:type="spellEnd"/>
      <w:r w:rsidRPr="00E73D4B">
        <w:t xml:space="preserve"> til grunn at oppmodingsvedtaket er </w:t>
      </w:r>
      <w:proofErr w:type="spellStart"/>
      <w:r w:rsidRPr="00E73D4B">
        <w:t>følgt</w:t>
      </w:r>
      <w:proofErr w:type="spellEnd"/>
      <w:r w:rsidRPr="00E73D4B">
        <w:t xml:space="preserve"> opp gjennom </w:t>
      </w:r>
      <w:proofErr w:type="spellStart"/>
      <w:r w:rsidRPr="00E73D4B">
        <w:t>omtala</w:t>
      </w:r>
      <w:proofErr w:type="spellEnd"/>
      <w:r w:rsidRPr="00E73D4B">
        <w:t xml:space="preserve"> i </w:t>
      </w:r>
      <w:proofErr w:type="spellStart"/>
      <w:r w:rsidRPr="00E73D4B">
        <w:t>Prop</w:t>
      </w:r>
      <w:proofErr w:type="spellEnd"/>
      <w:r w:rsidRPr="00E73D4B">
        <w:t>. 1 LS (2022–2023), kapittel 19.</w:t>
      </w:r>
    </w:p>
    <w:p w14:paraId="5D9CF9C5" w14:textId="77777777" w:rsidR="00972395" w:rsidRPr="00E73D4B" w:rsidRDefault="00F120C7" w:rsidP="00E73D4B">
      <w:pPr>
        <w:pStyle w:val="avsnitt-tittel"/>
      </w:pPr>
      <w:proofErr w:type="spellStart"/>
      <w:r w:rsidRPr="00E73D4B">
        <w:t>Eigedomsskatt</w:t>
      </w:r>
      <w:proofErr w:type="spellEnd"/>
    </w:p>
    <w:p w14:paraId="6A26E5B6" w14:textId="77777777" w:rsidR="00972395" w:rsidRPr="00E73D4B" w:rsidRDefault="00F120C7" w:rsidP="00E73D4B">
      <w:pPr>
        <w:pStyle w:val="avsnitt-undertittel"/>
      </w:pPr>
      <w:r w:rsidRPr="00E73D4B">
        <w:t>Vedtak nr. 35-39, 2. desember 2021</w:t>
      </w:r>
    </w:p>
    <w:p w14:paraId="71476D93" w14:textId="77777777" w:rsidR="00972395" w:rsidRPr="00E73D4B" w:rsidRDefault="00F120C7" w:rsidP="00E73D4B">
      <w:pPr>
        <w:pStyle w:val="blokksit"/>
        <w:rPr>
          <w:rStyle w:val="kursiv"/>
        </w:rPr>
      </w:pPr>
      <w:r w:rsidRPr="00E73D4B">
        <w:rPr>
          <w:rStyle w:val="kursiv"/>
        </w:rPr>
        <w:t>«Stortinget ber regjeringen, i samarbeid med kommunesektoren, utrede endringer i regelverket for eiendomsskatt slik at aktører med stor eiendomsmasse ikke kommer uforholdsmessig gunstig ut sammenlignet med vanlige boligeiere.»</w:t>
      </w:r>
    </w:p>
    <w:p w14:paraId="5C43A746"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nasjonalbudsjettet for 2022 og framlegg til statsbudsjett for 2022, jf. </w:t>
      </w:r>
      <w:proofErr w:type="spellStart"/>
      <w:r w:rsidRPr="00E73D4B">
        <w:t>Innst</w:t>
      </w:r>
      <w:proofErr w:type="spellEnd"/>
      <w:r w:rsidRPr="00E73D4B">
        <w:t xml:space="preserve">. 2 S (2021–2022). Departementet </w:t>
      </w:r>
      <w:proofErr w:type="spellStart"/>
      <w:r w:rsidRPr="00E73D4B">
        <w:t>legg</w:t>
      </w:r>
      <w:proofErr w:type="spellEnd"/>
      <w:r w:rsidRPr="00E73D4B">
        <w:t xml:space="preserve"> til grunn at oppmodingsvedtaket er </w:t>
      </w:r>
      <w:proofErr w:type="spellStart"/>
      <w:r w:rsidRPr="00E73D4B">
        <w:t>følgt</w:t>
      </w:r>
      <w:proofErr w:type="spellEnd"/>
      <w:r w:rsidRPr="00E73D4B">
        <w:t xml:space="preserve"> opp gjennom vurderinga i </w:t>
      </w:r>
      <w:proofErr w:type="spellStart"/>
      <w:r w:rsidRPr="00E73D4B">
        <w:t>Prop</w:t>
      </w:r>
      <w:proofErr w:type="spellEnd"/>
      <w:r w:rsidRPr="00E73D4B">
        <w:t>. 1 LS (2022–2023), kapittel 20.</w:t>
      </w:r>
    </w:p>
    <w:p w14:paraId="2A750079" w14:textId="77777777" w:rsidR="00972395" w:rsidRPr="00E73D4B" w:rsidRDefault="00F120C7" w:rsidP="00E73D4B">
      <w:pPr>
        <w:pStyle w:val="avsnitt-tittel"/>
      </w:pPr>
      <w:r w:rsidRPr="00E73D4B">
        <w:t xml:space="preserve">Kompensasjonsordning for </w:t>
      </w:r>
      <w:proofErr w:type="spellStart"/>
      <w:r w:rsidRPr="00E73D4B">
        <w:t>auka</w:t>
      </w:r>
      <w:proofErr w:type="spellEnd"/>
      <w:r w:rsidRPr="00E73D4B">
        <w:t xml:space="preserve"> miljøavgifter</w:t>
      </w:r>
    </w:p>
    <w:p w14:paraId="659FE5D7" w14:textId="77777777" w:rsidR="00972395" w:rsidRPr="00E73D4B" w:rsidRDefault="00F120C7" w:rsidP="00E73D4B">
      <w:pPr>
        <w:pStyle w:val="avsnitt-undertittel"/>
      </w:pPr>
      <w:r w:rsidRPr="00E73D4B">
        <w:t>Vedtak nr. 35-40, 2. desember 2021</w:t>
      </w:r>
    </w:p>
    <w:p w14:paraId="424158AD" w14:textId="77777777" w:rsidR="00972395" w:rsidRPr="00E73D4B" w:rsidRDefault="00F120C7" w:rsidP="00E73D4B">
      <w:pPr>
        <w:pStyle w:val="blokksit"/>
        <w:rPr>
          <w:rStyle w:val="kursiv"/>
        </w:rPr>
      </w:pPr>
      <w:r w:rsidRPr="00E73D4B">
        <w:rPr>
          <w:rStyle w:val="kursiv"/>
        </w:rPr>
        <w:t>«Stortinget ber regjeringen utrede en modell for omfordelende kompensasjon for økte miljøavgifter innen statsbudsjettet for 2023.»</w:t>
      </w:r>
    </w:p>
    <w:p w14:paraId="5FF3AA14"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Prop</w:t>
      </w:r>
      <w:proofErr w:type="spellEnd"/>
      <w:r w:rsidRPr="00E73D4B">
        <w:t xml:space="preserve">. 1 LS Tillegg 1 (2021–2022) </w:t>
      </w:r>
      <w:r w:rsidRPr="00E73D4B">
        <w:rPr>
          <w:rStyle w:val="kursiv"/>
        </w:rPr>
        <w:t xml:space="preserve">Endring av </w:t>
      </w:r>
      <w:proofErr w:type="spellStart"/>
      <w:r w:rsidRPr="00E73D4B">
        <w:rPr>
          <w:rStyle w:val="kursiv"/>
        </w:rPr>
        <w:t>Prop</w:t>
      </w:r>
      <w:proofErr w:type="spellEnd"/>
      <w:r w:rsidRPr="00E73D4B">
        <w:rPr>
          <w:rStyle w:val="kursiv"/>
        </w:rPr>
        <w:t>. 1 LS (2021–2022) Skatter, avgifter og toll 2022</w:t>
      </w:r>
      <w:r w:rsidRPr="00E73D4B">
        <w:t xml:space="preserve">. Departementet </w:t>
      </w:r>
      <w:proofErr w:type="spellStart"/>
      <w:r w:rsidRPr="00E73D4B">
        <w:t>legg</w:t>
      </w:r>
      <w:proofErr w:type="spellEnd"/>
      <w:r w:rsidRPr="00E73D4B">
        <w:t xml:space="preserve"> til grunn at oppmodingsvedtaket er </w:t>
      </w:r>
      <w:proofErr w:type="spellStart"/>
      <w:r w:rsidRPr="00E73D4B">
        <w:t>følgt</w:t>
      </w:r>
      <w:proofErr w:type="spellEnd"/>
      <w:r w:rsidRPr="00E73D4B">
        <w:t xml:space="preserve"> opp gjennom vurderinga i </w:t>
      </w:r>
      <w:proofErr w:type="spellStart"/>
      <w:r w:rsidRPr="00E73D4B">
        <w:t>Prop</w:t>
      </w:r>
      <w:proofErr w:type="spellEnd"/>
      <w:r w:rsidRPr="00E73D4B">
        <w:t>. 1 LS (2022–2023), kapittel 21.</w:t>
      </w:r>
    </w:p>
    <w:p w14:paraId="21D0BB2D" w14:textId="77777777" w:rsidR="00972395" w:rsidRPr="00E73D4B" w:rsidRDefault="00F120C7" w:rsidP="00E73D4B">
      <w:pPr>
        <w:pStyle w:val="avsnitt-tittel"/>
      </w:pPr>
      <w:proofErr w:type="spellStart"/>
      <w:r w:rsidRPr="00E73D4B">
        <w:t>Straumprisar</w:t>
      </w:r>
      <w:proofErr w:type="spellEnd"/>
    </w:p>
    <w:p w14:paraId="5FA97521" w14:textId="77777777" w:rsidR="00972395" w:rsidRPr="00E73D4B" w:rsidRDefault="00F120C7" w:rsidP="00E73D4B">
      <w:pPr>
        <w:pStyle w:val="avsnitt-undertittel"/>
      </w:pPr>
      <w:r w:rsidRPr="00E73D4B">
        <w:t>Vedtak nr. 36, 2. desember 2022</w:t>
      </w:r>
    </w:p>
    <w:p w14:paraId="02FF4D48" w14:textId="77777777" w:rsidR="00972395" w:rsidRPr="00E73D4B" w:rsidRDefault="00F120C7" w:rsidP="00E73D4B">
      <w:pPr>
        <w:pStyle w:val="blokksit"/>
        <w:rPr>
          <w:rStyle w:val="kursiv"/>
        </w:rPr>
      </w:pPr>
      <w:r w:rsidRPr="00E73D4B">
        <w:rPr>
          <w:rStyle w:val="kursiv"/>
        </w:rPr>
        <w:t>«Stortinget ber regjeringen raskt komme tilbake til Stortinget med mulige tiltak som kan redusere den økonomiske belastningen for husholdningene på kort sikt og spesielt se på tiltak som kan avhjelpe grupper som rammes spesielt hardt av ekstraordinære høye strømpriser.»</w:t>
      </w:r>
    </w:p>
    <w:p w14:paraId="174471EA"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1 (2021–2022) Nasjonalbudsjettet 2022, jf. </w:t>
      </w:r>
      <w:proofErr w:type="spellStart"/>
      <w:r w:rsidRPr="00E73D4B">
        <w:t>Innst</w:t>
      </w:r>
      <w:proofErr w:type="spellEnd"/>
      <w:r w:rsidRPr="00E73D4B">
        <w:t>. 2 S (2021–2022).</w:t>
      </w:r>
    </w:p>
    <w:p w14:paraId="37D2DEAD" w14:textId="77777777" w:rsidR="00972395" w:rsidRPr="00E73D4B" w:rsidRDefault="00F120C7" w:rsidP="00E73D4B">
      <w:r w:rsidRPr="00E73D4B">
        <w:t xml:space="preserve">Regjeringa har foreslått og Stortinget har </w:t>
      </w:r>
      <w:proofErr w:type="spellStart"/>
      <w:r w:rsidRPr="00E73D4B">
        <w:t>vedteke</w:t>
      </w:r>
      <w:proofErr w:type="spellEnd"/>
      <w:r w:rsidRPr="00E73D4B">
        <w:t xml:space="preserve"> ei </w:t>
      </w:r>
      <w:proofErr w:type="spellStart"/>
      <w:r w:rsidRPr="00E73D4B">
        <w:t>rekkje</w:t>
      </w:r>
      <w:proofErr w:type="spellEnd"/>
      <w:r w:rsidRPr="00E73D4B">
        <w:t xml:space="preserve"> </w:t>
      </w:r>
      <w:proofErr w:type="spellStart"/>
      <w:r w:rsidRPr="00E73D4B">
        <w:t>mellombelse</w:t>
      </w:r>
      <w:proofErr w:type="spellEnd"/>
      <w:r w:rsidRPr="00E73D4B">
        <w:t xml:space="preserve"> tiltak for å handtere </w:t>
      </w:r>
      <w:proofErr w:type="spellStart"/>
      <w:r w:rsidRPr="00E73D4B">
        <w:t>dei</w:t>
      </w:r>
      <w:proofErr w:type="spellEnd"/>
      <w:r w:rsidRPr="00E73D4B">
        <w:t xml:space="preserve"> høge </w:t>
      </w:r>
      <w:proofErr w:type="spellStart"/>
      <w:r w:rsidRPr="00E73D4B">
        <w:t>straumprisane</w:t>
      </w:r>
      <w:proofErr w:type="spellEnd"/>
      <w:r w:rsidRPr="00E73D4B">
        <w:t xml:space="preserve">, jf. </w:t>
      </w:r>
      <w:proofErr w:type="spellStart"/>
      <w:r w:rsidRPr="00E73D4B">
        <w:t>Prop</w:t>
      </w:r>
      <w:proofErr w:type="spellEnd"/>
      <w:r w:rsidRPr="00E73D4B">
        <w:t xml:space="preserve">. 77 S (2021–2022) og </w:t>
      </w:r>
      <w:proofErr w:type="spellStart"/>
      <w:r w:rsidRPr="00E73D4B">
        <w:t>Innst</w:t>
      </w:r>
      <w:proofErr w:type="spellEnd"/>
      <w:r w:rsidRPr="00E73D4B">
        <w:t xml:space="preserve">. 251 S (2021–2022), </w:t>
      </w:r>
      <w:proofErr w:type="spellStart"/>
      <w:r w:rsidRPr="00E73D4B">
        <w:t>Prop</w:t>
      </w:r>
      <w:proofErr w:type="spellEnd"/>
      <w:r w:rsidRPr="00E73D4B">
        <w:t xml:space="preserve">. 58 S (2021–2022) og </w:t>
      </w:r>
      <w:proofErr w:type="spellStart"/>
      <w:r w:rsidRPr="00E73D4B">
        <w:t>Innst</w:t>
      </w:r>
      <w:proofErr w:type="spellEnd"/>
      <w:r w:rsidRPr="00E73D4B">
        <w:t xml:space="preserve">. 151 S (2021–2022), </w:t>
      </w:r>
      <w:proofErr w:type="spellStart"/>
      <w:r w:rsidRPr="00E73D4B">
        <w:t>Prop</w:t>
      </w:r>
      <w:proofErr w:type="spellEnd"/>
      <w:r w:rsidRPr="00E73D4B">
        <w:t xml:space="preserve">. 51 S (2021–2022) og </w:t>
      </w:r>
      <w:proofErr w:type="spellStart"/>
      <w:r w:rsidRPr="00E73D4B">
        <w:t>Innst</w:t>
      </w:r>
      <w:proofErr w:type="spellEnd"/>
      <w:r w:rsidRPr="00E73D4B">
        <w:t xml:space="preserve">. 119 S (2021–2022) og </w:t>
      </w:r>
      <w:proofErr w:type="spellStart"/>
      <w:r w:rsidRPr="00E73D4B">
        <w:t>Prop</w:t>
      </w:r>
      <w:proofErr w:type="spellEnd"/>
      <w:r w:rsidRPr="00E73D4B">
        <w:t xml:space="preserve">. 115 S (2021–2022) og </w:t>
      </w:r>
      <w:proofErr w:type="spellStart"/>
      <w:r w:rsidRPr="00E73D4B">
        <w:t>Innst</w:t>
      </w:r>
      <w:proofErr w:type="spellEnd"/>
      <w:r w:rsidRPr="00E73D4B">
        <w:t>. 450 S (2021–2022). Stortinget har fatta vedtak om:</w:t>
      </w:r>
    </w:p>
    <w:p w14:paraId="2FB553F6" w14:textId="77777777" w:rsidR="00972395" w:rsidRPr="00E73D4B" w:rsidRDefault="00F120C7" w:rsidP="00E73D4B">
      <w:pPr>
        <w:pStyle w:val="Liste"/>
      </w:pPr>
      <w:r w:rsidRPr="00E73D4B">
        <w:t xml:space="preserve">Straumstønadsordning for </w:t>
      </w:r>
      <w:proofErr w:type="spellStart"/>
      <w:r w:rsidRPr="00E73D4B">
        <w:t>hushaldningar</w:t>
      </w:r>
      <w:proofErr w:type="spellEnd"/>
      <w:r w:rsidRPr="00E73D4B">
        <w:t xml:space="preserve"> og burettslag</w:t>
      </w:r>
    </w:p>
    <w:p w14:paraId="5A62D849" w14:textId="77777777" w:rsidR="00972395" w:rsidRPr="00E73D4B" w:rsidRDefault="00F120C7" w:rsidP="00E73D4B">
      <w:pPr>
        <w:pStyle w:val="Liste"/>
      </w:pPr>
      <w:r w:rsidRPr="00E73D4B">
        <w:t>Stønad til energieffektivisering</w:t>
      </w:r>
    </w:p>
    <w:p w14:paraId="1D105325" w14:textId="77777777" w:rsidR="00972395" w:rsidRPr="00E73D4B" w:rsidRDefault="00F120C7" w:rsidP="00E73D4B">
      <w:pPr>
        <w:pStyle w:val="Liste"/>
      </w:pPr>
      <w:proofErr w:type="spellStart"/>
      <w:r w:rsidRPr="00E73D4B">
        <w:t>Auka</w:t>
      </w:r>
      <w:proofErr w:type="spellEnd"/>
      <w:r w:rsidRPr="00E73D4B">
        <w:t xml:space="preserve"> bustønad</w:t>
      </w:r>
    </w:p>
    <w:p w14:paraId="16527821" w14:textId="77777777" w:rsidR="00972395" w:rsidRPr="00E73D4B" w:rsidRDefault="00F120C7" w:rsidP="00E73D4B">
      <w:pPr>
        <w:pStyle w:val="Liste"/>
      </w:pPr>
      <w:proofErr w:type="spellStart"/>
      <w:r w:rsidRPr="00E73D4B">
        <w:t>Auka</w:t>
      </w:r>
      <w:proofErr w:type="spellEnd"/>
      <w:r w:rsidRPr="00E73D4B">
        <w:t xml:space="preserve"> </w:t>
      </w:r>
      <w:proofErr w:type="spellStart"/>
      <w:r w:rsidRPr="00E73D4B">
        <w:t>rammetilskot</w:t>
      </w:r>
      <w:proofErr w:type="spellEnd"/>
      <w:r w:rsidRPr="00E73D4B">
        <w:t xml:space="preserve"> til </w:t>
      </w:r>
      <w:proofErr w:type="spellStart"/>
      <w:r w:rsidRPr="00E73D4B">
        <w:t>kommunane</w:t>
      </w:r>
      <w:proofErr w:type="spellEnd"/>
    </w:p>
    <w:p w14:paraId="74D73A9D" w14:textId="77777777" w:rsidR="00972395" w:rsidRPr="00E73D4B" w:rsidRDefault="00F120C7" w:rsidP="00E73D4B">
      <w:pPr>
        <w:pStyle w:val="Liste"/>
      </w:pPr>
      <w:r w:rsidRPr="00E73D4B">
        <w:t xml:space="preserve">Straumstipend til </w:t>
      </w:r>
      <w:proofErr w:type="spellStart"/>
      <w:r w:rsidRPr="00E73D4B">
        <w:t>studentar</w:t>
      </w:r>
      <w:proofErr w:type="spellEnd"/>
    </w:p>
    <w:p w14:paraId="7FF094D0" w14:textId="77777777" w:rsidR="00972395" w:rsidRPr="00E73D4B" w:rsidRDefault="00F120C7" w:rsidP="00E73D4B">
      <w:pPr>
        <w:pStyle w:val="Liste"/>
      </w:pPr>
      <w:proofErr w:type="spellStart"/>
      <w:r w:rsidRPr="00E73D4B">
        <w:t>Tilskot</w:t>
      </w:r>
      <w:proofErr w:type="spellEnd"/>
      <w:r w:rsidRPr="00E73D4B">
        <w:t xml:space="preserve"> til idrettslag og frivillige </w:t>
      </w:r>
      <w:proofErr w:type="spellStart"/>
      <w:r w:rsidRPr="00E73D4B">
        <w:t>organisasjonar</w:t>
      </w:r>
      <w:proofErr w:type="spellEnd"/>
    </w:p>
    <w:p w14:paraId="4B89F276" w14:textId="77777777" w:rsidR="00972395" w:rsidRPr="00E73D4B" w:rsidRDefault="00F120C7" w:rsidP="00E73D4B">
      <w:pPr>
        <w:pStyle w:val="Liste"/>
      </w:pPr>
      <w:proofErr w:type="spellStart"/>
      <w:r w:rsidRPr="00E73D4B">
        <w:t>Tilskot</w:t>
      </w:r>
      <w:proofErr w:type="spellEnd"/>
      <w:r w:rsidRPr="00E73D4B">
        <w:t xml:space="preserve"> til jordbruks- og veksthusnæringa.</w:t>
      </w:r>
    </w:p>
    <w:p w14:paraId="06277F4C" w14:textId="77777777" w:rsidR="00972395" w:rsidRPr="00E73D4B" w:rsidRDefault="00F120C7" w:rsidP="00E73D4B">
      <w:r w:rsidRPr="00E73D4B">
        <w:t xml:space="preserve">I tillegg er elavgifta redusert, jf. </w:t>
      </w:r>
      <w:proofErr w:type="spellStart"/>
      <w:r w:rsidRPr="00E73D4B">
        <w:t>Prop</w:t>
      </w:r>
      <w:proofErr w:type="spellEnd"/>
      <w:r w:rsidRPr="00E73D4B">
        <w:t xml:space="preserve">. 1 S Tillegg 1 (2021–2022) og </w:t>
      </w:r>
      <w:proofErr w:type="spellStart"/>
      <w:r w:rsidRPr="00E73D4B">
        <w:t>Innst</w:t>
      </w:r>
      <w:proofErr w:type="spellEnd"/>
      <w:r w:rsidRPr="00E73D4B">
        <w:t>. 2 S (2021–2022).</w:t>
      </w:r>
    </w:p>
    <w:p w14:paraId="344B45B3"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oppmodingsvedtaket er </w:t>
      </w:r>
      <w:proofErr w:type="spellStart"/>
      <w:r w:rsidRPr="00E73D4B">
        <w:t>følgt</w:t>
      </w:r>
      <w:proofErr w:type="spellEnd"/>
      <w:r w:rsidRPr="00E73D4B">
        <w:t xml:space="preserve"> opp gjennom dette.</w:t>
      </w:r>
    </w:p>
    <w:p w14:paraId="46BDBB9E" w14:textId="77777777" w:rsidR="00972395" w:rsidRPr="00E73D4B" w:rsidRDefault="00F120C7" w:rsidP="00E73D4B">
      <w:pPr>
        <w:pStyle w:val="avsnitt-tittel"/>
      </w:pPr>
      <w:r w:rsidRPr="00E73D4B">
        <w:t xml:space="preserve">Fritak for </w:t>
      </w:r>
      <w:proofErr w:type="spellStart"/>
      <w:r w:rsidRPr="00E73D4B">
        <w:t>uttaksmeirverdiavgift</w:t>
      </w:r>
      <w:proofErr w:type="spellEnd"/>
      <w:r w:rsidRPr="00E73D4B">
        <w:t xml:space="preserve"> ved utdeling til veldedig formål</w:t>
      </w:r>
    </w:p>
    <w:p w14:paraId="77D38332" w14:textId="77777777" w:rsidR="00972395" w:rsidRPr="00E73D4B" w:rsidRDefault="00F120C7" w:rsidP="00E73D4B">
      <w:pPr>
        <w:pStyle w:val="avsnitt-undertittel"/>
      </w:pPr>
      <w:r w:rsidRPr="00E73D4B">
        <w:t>Vedtak nr. 411, 3. mars 2022</w:t>
      </w:r>
    </w:p>
    <w:p w14:paraId="085D1D76" w14:textId="77777777" w:rsidR="00972395" w:rsidRPr="00E73D4B" w:rsidRDefault="00F120C7" w:rsidP="00E73D4B">
      <w:pPr>
        <w:pStyle w:val="blokksit"/>
        <w:rPr>
          <w:rStyle w:val="kursiv"/>
        </w:rPr>
      </w:pPr>
      <w:r w:rsidRPr="00E73D4B">
        <w:rPr>
          <w:rStyle w:val="kursiv"/>
        </w:rPr>
        <w:t>«Stortinget ber regjeringen vurdere om dagens merverdiavgiftsregler for varer til frivillig sektor er for rigide eller skaper barrierer mot sirkulære verdikjeder, og komme tilbake til Stortinget på egnet måte.»</w:t>
      </w:r>
    </w:p>
    <w:p w14:paraId="773FFAED"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8:41 S (2021–2022)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w:t>
      </w:r>
      <w:proofErr w:type="spellStart"/>
      <w:r w:rsidRPr="00E73D4B">
        <w:rPr>
          <w:rStyle w:val="kursiv"/>
        </w:rPr>
        <w:t>stortingsrepresentantane</w:t>
      </w:r>
      <w:proofErr w:type="spellEnd"/>
      <w:r w:rsidRPr="00E73D4B">
        <w:rPr>
          <w:rStyle w:val="kursiv"/>
        </w:rPr>
        <w:t xml:space="preserve"> Olaug </w:t>
      </w:r>
      <w:proofErr w:type="spellStart"/>
      <w:r w:rsidRPr="00E73D4B">
        <w:rPr>
          <w:rStyle w:val="kursiv"/>
        </w:rPr>
        <w:t>Vervik</w:t>
      </w:r>
      <w:proofErr w:type="spellEnd"/>
      <w:r w:rsidRPr="00E73D4B">
        <w:rPr>
          <w:rStyle w:val="kursiv"/>
        </w:rPr>
        <w:t xml:space="preserve"> Bollestad, Dag-Inge Ulstein og Kjell Ingolf Robstad om å innføre fritak for merverdiavgift for varer som gis til veldedige formål, for å redusere kasting og destruering av brukbare varer, jf. </w:t>
      </w:r>
      <w:proofErr w:type="spellStart"/>
      <w:r w:rsidRPr="00E73D4B">
        <w:rPr>
          <w:rStyle w:val="kursiv"/>
        </w:rPr>
        <w:t>Innst</w:t>
      </w:r>
      <w:proofErr w:type="spellEnd"/>
      <w:r w:rsidRPr="00E73D4B">
        <w:rPr>
          <w:rStyle w:val="kursiv"/>
        </w:rPr>
        <w:t xml:space="preserve"> 172 S.</w:t>
      </w:r>
    </w:p>
    <w:p w14:paraId="6C8A45BD" w14:textId="77777777" w:rsidR="00972395" w:rsidRPr="00E73D4B" w:rsidRDefault="00F120C7" w:rsidP="00E73D4B">
      <w:r w:rsidRPr="00E73D4B">
        <w:t xml:space="preserve">I </w:t>
      </w:r>
      <w:proofErr w:type="spellStart"/>
      <w:r w:rsidRPr="00E73D4B">
        <w:t>Prop</w:t>
      </w:r>
      <w:proofErr w:type="spellEnd"/>
      <w:r w:rsidRPr="00E73D4B">
        <w:t xml:space="preserve">. 1 LS (2022–2023), kapittel 22, er det mellom anna omtalt at Skattedirektoratet er gjeve i oppdrag å </w:t>
      </w:r>
      <w:proofErr w:type="spellStart"/>
      <w:r w:rsidRPr="00E73D4B">
        <w:t>gjere</w:t>
      </w:r>
      <w:proofErr w:type="spellEnd"/>
      <w:r w:rsidRPr="00E73D4B">
        <w:t xml:space="preserve"> greie for </w:t>
      </w:r>
      <w:proofErr w:type="spellStart"/>
      <w:r w:rsidRPr="00E73D4B">
        <w:t>meirverdiavgift</w:t>
      </w:r>
      <w:proofErr w:type="spellEnd"/>
      <w:r w:rsidRPr="00E73D4B">
        <w:t xml:space="preserve"> for varer som vert </w:t>
      </w:r>
      <w:proofErr w:type="spellStart"/>
      <w:r w:rsidRPr="00E73D4B">
        <w:t>gjevne</w:t>
      </w:r>
      <w:proofErr w:type="spellEnd"/>
      <w:r w:rsidRPr="00E73D4B">
        <w:t xml:space="preserve"> bort, i staden for å bli kasta. Oppdraget </w:t>
      </w:r>
      <w:proofErr w:type="spellStart"/>
      <w:r w:rsidRPr="00E73D4B">
        <w:t>omfattar</w:t>
      </w:r>
      <w:proofErr w:type="spellEnd"/>
      <w:r w:rsidRPr="00E73D4B">
        <w:t xml:space="preserve"> òg å vurdere endring av føresegna, for at slike varer skal kunne </w:t>
      </w:r>
      <w:proofErr w:type="spellStart"/>
      <w:r w:rsidRPr="00E73D4B">
        <w:t>verte</w:t>
      </w:r>
      <w:proofErr w:type="spellEnd"/>
      <w:r w:rsidRPr="00E73D4B">
        <w:t xml:space="preserve"> </w:t>
      </w:r>
      <w:proofErr w:type="spellStart"/>
      <w:r w:rsidRPr="00E73D4B">
        <w:t>gjevne</w:t>
      </w:r>
      <w:proofErr w:type="spellEnd"/>
      <w:r w:rsidRPr="00E73D4B">
        <w:t xml:space="preserve"> til </w:t>
      </w:r>
      <w:proofErr w:type="spellStart"/>
      <w:r w:rsidRPr="00E73D4B">
        <w:t>velgjerande</w:t>
      </w:r>
      <w:proofErr w:type="spellEnd"/>
      <w:r w:rsidRPr="00E73D4B">
        <w:t xml:space="preserve"> </w:t>
      </w:r>
      <w:proofErr w:type="spellStart"/>
      <w:r w:rsidRPr="00E73D4B">
        <w:t>føremål</w:t>
      </w:r>
      <w:proofErr w:type="spellEnd"/>
      <w:r w:rsidRPr="00E73D4B">
        <w:t xml:space="preserve"> </w:t>
      </w:r>
      <w:proofErr w:type="spellStart"/>
      <w:r w:rsidRPr="00E73D4B">
        <w:t>utan</w:t>
      </w:r>
      <w:proofErr w:type="spellEnd"/>
      <w:r w:rsidRPr="00E73D4B">
        <w:t xml:space="preserve"> </w:t>
      </w:r>
      <w:proofErr w:type="spellStart"/>
      <w:r w:rsidRPr="00E73D4B">
        <w:t>meirverdiavgiftskostnader</w:t>
      </w:r>
      <w:proofErr w:type="spellEnd"/>
      <w:r w:rsidRPr="00E73D4B">
        <w:t xml:space="preserve"> for </w:t>
      </w:r>
      <w:proofErr w:type="spellStart"/>
      <w:r w:rsidRPr="00E73D4B">
        <w:t>gjevaren</w:t>
      </w:r>
      <w:proofErr w:type="spellEnd"/>
      <w:r w:rsidRPr="00E73D4B">
        <w:t xml:space="preserve">. Regjeringa har </w:t>
      </w:r>
      <w:proofErr w:type="spellStart"/>
      <w:r w:rsidRPr="00E73D4B">
        <w:t>vidare</w:t>
      </w:r>
      <w:proofErr w:type="spellEnd"/>
      <w:r w:rsidRPr="00E73D4B">
        <w:t xml:space="preserve"> omtalt at det i fyrste </w:t>
      </w:r>
      <w:proofErr w:type="spellStart"/>
      <w:r w:rsidRPr="00E73D4B">
        <w:t>rekkje</w:t>
      </w:r>
      <w:proofErr w:type="spellEnd"/>
      <w:r w:rsidRPr="00E73D4B">
        <w:t xml:space="preserve"> er unntak </w:t>
      </w:r>
      <w:proofErr w:type="spellStart"/>
      <w:r w:rsidRPr="00E73D4B">
        <w:t>frå</w:t>
      </w:r>
      <w:proofErr w:type="spellEnd"/>
      <w:r w:rsidRPr="00E73D4B">
        <w:t xml:space="preserve"> avgiftsplikt med ordinær sats som </w:t>
      </w:r>
      <w:proofErr w:type="spellStart"/>
      <w:r w:rsidRPr="00E73D4B">
        <w:t>skapar</w:t>
      </w:r>
      <w:proofErr w:type="spellEnd"/>
      <w:r w:rsidRPr="00E73D4B">
        <w:t xml:space="preserve"> </w:t>
      </w:r>
      <w:proofErr w:type="spellStart"/>
      <w:r w:rsidRPr="00E73D4B">
        <w:t>moglege</w:t>
      </w:r>
      <w:proofErr w:type="spellEnd"/>
      <w:r w:rsidRPr="00E73D4B">
        <w:t xml:space="preserve"> </w:t>
      </w:r>
      <w:proofErr w:type="spellStart"/>
      <w:r w:rsidRPr="00E73D4B">
        <w:t>barrierar</w:t>
      </w:r>
      <w:proofErr w:type="spellEnd"/>
      <w:r w:rsidRPr="00E73D4B">
        <w:t xml:space="preserve"> mot sirkulære verdikjeder. Eventuell økonomisk støtte til sirkulære verdikjeder bør </w:t>
      </w:r>
      <w:proofErr w:type="spellStart"/>
      <w:r w:rsidRPr="00E73D4B">
        <w:t>verte</w:t>
      </w:r>
      <w:proofErr w:type="spellEnd"/>
      <w:r w:rsidRPr="00E73D4B">
        <w:t xml:space="preserve"> </w:t>
      </w:r>
      <w:proofErr w:type="spellStart"/>
      <w:r w:rsidRPr="00E73D4B">
        <w:t>gjevne</w:t>
      </w:r>
      <w:proofErr w:type="spellEnd"/>
      <w:r w:rsidRPr="00E73D4B">
        <w:t xml:space="preserve"> i form av </w:t>
      </w:r>
      <w:proofErr w:type="spellStart"/>
      <w:r w:rsidRPr="00E73D4B">
        <w:t>tilskot</w:t>
      </w:r>
      <w:proofErr w:type="spellEnd"/>
      <w:r w:rsidRPr="00E73D4B">
        <w:t>.</w:t>
      </w:r>
    </w:p>
    <w:p w14:paraId="0FA25661" w14:textId="77777777" w:rsidR="00972395" w:rsidRPr="00E73D4B" w:rsidRDefault="00F120C7" w:rsidP="00E73D4B">
      <w:r w:rsidRPr="00E73D4B">
        <w:t xml:space="preserve">Departementet ser det slik at oppmodingsvedtaket er </w:t>
      </w:r>
      <w:proofErr w:type="spellStart"/>
      <w:r w:rsidRPr="00E73D4B">
        <w:t>følgt</w:t>
      </w:r>
      <w:proofErr w:type="spellEnd"/>
      <w:r w:rsidRPr="00E73D4B">
        <w:t xml:space="preserve"> opp gjennom dette.</w:t>
      </w:r>
    </w:p>
    <w:p w14:paraId="61D87E4F" w14:textId="77777777" w:rsidR="00972395" w:rsidRPr="00E73D4B" w:rsidRDefault="00F120C7" w:rsidP="00E73D4B">
      <w:pPr>
        <w:pStyle w:val="avsnitt-tittel"/>
      </w:pPr>
      <w:r w:rsidRPr="00E73D4B">
        <w:t xml:space="preserve">Vurdere kven som bør </w:t>
      </w:r>
      <w:proofErr w:type="spellStart"/>
      <w:r w:rsidRPr="00E73D4B">
        <w:t>vere</w:t>
      </w:r>
      <w:proofErr w:type="spellEnd"/>
      <w:r w:rsidRPr="00E73D4B">
        <w:t xml:space="preserve"> ekskludert </w:t>
      </w:r>
      <w:proofErr w:type="spellStart"/>
      <w:r w:rsidRPr="00E73D4B">
        <w:t>frå</w:t>
      </w:r>
      <w:proofErr w:type="spellEnd"/>
      <w:r w:rsidRPr="00E73D4B">
        <w:t xml:space="preserve"> å </w:t>
      </w:r>
      <w:proofErr w:type="spellStart"/>
      <w:r w:rsidRPr="00E73D4B">
        <w:t>sitje</w:t>
      </w:r>
      <w:proofErr w:type="spellEnd"/>
      <w:r w:rsidRPr="00E73D4B">
        <w:t xml:space="preserve"> i </w:t>
      </w:r>
      <w:proofErr w:type="spellStart"/>
      <w:r w:rsidRPr="00E73D4B">
        <w:t>Noregs</w:t>
      </w:r>
      <w:proofErr w:type="spellEnd"/>
      <w:r w:rsidRPr="00E73D4B">
        <w:t xml:space="preserve"> Banks </w:t>
      </w:r>
      <w:proofErr w:type="spellStart"/>
      <w:r w:rsidRPr="00E73D4B">
        <w:t>styrande</w:t>
      </w:r>
      <w:proofErr w:type="spellEnd"/>
      <w:r w:rsidRPr="00E73D4B">
        <w:t xml:space="preserve"> organ</w:t>
      </w:r>
    </w:p>
    <w:p w14:paraId="497289F2" w14:textId="77777777" w:rsidR="00972395" w:rsidRPr="00E73D4B" w:rsidRDefault="00F120C7" w:rsidP="00E73D4B">
      <w:pPr>
        <w:pStyle w:val="avsnitt-undertittel"/>
      </w:pPr>
      <w:r w:rsidRPr="00E73D4B">
        <w:t>Vedtak nr. 782, 13. juni 2022</w:t>
      </w:r>
    </w:p>
    <w:p w14:paraId="4A22DC4F" w14:textId="77777777" w:rsidR="00972395" w:rsidRPr="00E73D4B" w:rsidRDefault="00F120C7" w:rsidP="00E73D4B">
      <w:pPr>
        <w:pStyle w:val="blokksit"/>
        <w:rPr>
          <w:rStyle w:val="kursiv"/>
        </w:rPr>
      </w:pPr>
      <w:r w:rsidRPr="00E73D4B">
        <w:rPr>
          <w:rStyle w:val="kursiv"/>
        </w:rPr>
        <w:t>«Stortinget ber regjeringen på egnet måte komme tilbake til Stortinget med en vurdering av hvem som bør være utelukket fra å sitte i Norges Banks styrende organer, jf. sentralbankloven § 2-3 fjerde ledd og § 2-6 tredje ledd.»</w:t>
      </w:r>
    </w:p>
    <w:p w14:paraId="366AA2E8"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eit</w:t>
      </w:r>
      <w:proofErr w:type="spellEnd"/>
      <w:r w:rsidRPr="00E73D4B">
        <w:t xml:space="preserve">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Guri Melby, Sveinung Rotevatn og Sofie </w:t>
      </w:r>
      <w:proofErr w:type="spellStart"/>
      <w:r w:rsidRPr="00E73D4B">
        <w:t>Høgestøl</w:t>
      </w:r>
      <w:proofErr w:type="spellEnd"/>
      <w:r w:rsidRPr="00E73D4B">
        <w:t xml:space="preserve"> om å flytte </w:t>
      </w:r>
      <w:proofErr w:type="spellStart"/>
      <w:r w:rsidRPr="00E73D4B">
        <w:t>Noregs</w:t>
      </w:r>
      <w:proofErr w:type="spellEnd"/>
      <w:r w:rsidRPr="00E73D4B">
        <w:t xml:space="preserve"> Bank Investment Management (NBIM) ut av </w:t>
      </w:r>
      <w:proofErr w:type="spellStart"/>
      <w:r w:rsidRPr="00E73D4B">
        <w:t>Noregs</w:t>
      </w:r>
      <w:proofErr w:type="spellEnd"/>
      <w:r w:rsidRPr="00E73D4B">
        <w:t xml:space="preserve"> Bank og innføre </w:t>
      </w:r>
      <w:proofErr w:type="spellStart"/>
      <w:r w:rsidRPr="00E73D4B">
        <w:t>strengare</w:t>
      </w:r>
      <w:proofErr w:type="spellEnd"/>
      <w:r w:rsidRPr="00E73D4B">
        <w:t xml:space="preserve"> </w:t>
      </w:r>
      <w:proofErr w:type="spellStart"/>
      <w:r w:rsidRPr="00E73D4B">
        <w:t>habilitetsreglar</w:t>
      </w:r>
      <w:proofErr w:type="spellEnd"/>
      <w:r w:rsidRPr="00E73D4B">
        <w:t xml:space="preserve"> rundt </w:t>
      </w:r>
      <w:proofErr w:type="spellStart"/>
      <w:r w:rsidRPr="00E73D4B">
        <w:t>utnemningar</w:t>
      </w:r>
      <w:proofErr w:type="spellEnd"/>
      <w:r w:rsidRPr="00E73D4B">
        <w:t xml:space="preserve"> i banken, jf. Dokument 8:149 S (2021–2022) og </w:t>
      </w:r>
      <w:proofErr w:type="spellStart"/>
      <w:r w:rsidRPr="00E73D4B">
        <w:t>Innst</w:t>
      </w:r>
      <w:proofErr w:type="spellEnd"/>
      <w:r w:rsidRPr="00E73D4B">
        <w:t xml:space="preserve">. 353 S (2021–2022). Departementet vil </w:t>
      </w:r>
      <w:proofErr w:type="spellStart"/>
      <w:r w:rsidRPr="00E73D4B">
        <w:t>kome</w:t>
      </w:r>
      <w:proofErr w:type="spellEnd"/>
      <w:r w:rsidRPr="00E73D4B">
        <w:t xml:space="preserve"> tilbake til Stortinget med ei vurdering.</w:t>
      </w:r>
    </w:p>
    <w:p w14:paraId="33F880D0" w14:textId="77777777" w:rsidR="00972395" w:rsidRPr="00E73D4B" w:rsidRDefault="00F120C7" w:rsidP="00E73D4B">
      <w:pPr>
        <w:pStyle w:val="avsnitt-tittel"/>
      </w:pPr>
      <w:r w:rsidRPr="00E73D4B">
        <w:t xml:space="preserve">Innføre </w:t>
      </w:r>
      <w:proofErr w:type="spellStart"/>
      <w:r w:rsidRPr="00E73D4B">
        <w:t>mva</w:t>
      </w:r>
      <w:proofErr w:type="spellEnd"/>
      <w:r w:rsidRPr="00E73D4B">
        <w:t xml:space="preserve"> på </w:t>
      </w:r>
      <w:proofErr w:type="spellStart"/>
      <w:r w:rsidRPr="00E73D4B">
        <w:t>prisar</w:t>
      </w:r>
      <w:proofErr w:type="spellEnd"/>
      <w:r w:rsidRPr="00E73D4B">
        <w:t xml:space="preserve"> over 500 000 kroner for elbiler</w:t>
      </w:r>
    </w:p>
    <w:p w14:paraId="5F727FEE" w14:textId="77777777" w:rsidR="00972395" w:rsidRPr="00E73D4B" w:rsidRDefault="00F120C7" w:rsidP="00E73D4B">
      <w:pPr>
        <w:pStyle w:val="avsnitt-undertittel"/>
      </w:pPr>
      <w:r w:rsidRPr="00E73D4B">
        <w:t>Vedtak nr. 829, 17. juni 2022</w:t>
      </w:r>
    </w:p>
    <w:p w14:paraId="46A2BB88" w14:textId="77777777" w:rsidR="00972395" w:rsidRPr="00E73D4B" w:rsidRDefault="00F120C7" w:rsidP="00E73D4B">
      <w:pPr>
        <w:pStyle w:val="blokksit"/>
        <w:rPr>
          <w:rStyle w:val="kursiv"/>
        </w:rPr>
      </w:pPr>
      <w:r w:rsidRPr="00E73D4B">
        <w:rPr>
          <w:rStyle w:val="kursiv"/>
        </w:rPr>
        <w:t>«Stortinget ber regjeringen i statsbudsjettet for 2023 innføre moms på kjøpsbeløpet for elbiler over 500 000 kroner. Momsfritaket skal holdes uendret frem til 2025. I forbindelse med innføring av kjøpsavgifter for elbil skal det sikres at konkurransefordelen til elbiler i alle personbilsegment opprettholdes.»</w:t>
      </w:r>
    </w:p>
    <w:p w14:paraId="6C0123B9"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2 (2021–2022) </w:t>
      </w:r>
      <w:r w:rsidRPr="00E73D4B">
        <w:rPr>
          <w:rStyle w:val="kursiv"/>
        </w:rPr>
        <w:t>Revidert nasjonalbudsjett 2022</w:t>
      </w:r>
      <w:r w:rsidRPr="00E73D4B">
        <w:t xml:space="preserve">. Departementet </w:t>
      </w:r>
      <w:proofErr w:type="spellStart"/>
      <w:r w:rsidRPr="00E73D4B">
        <w:t>legg</w:t>
      </w:r>
      <w:proofErr w:type="spellEnd"/>
      <w:r w:rsidRPr="00E73D4B">
        <w:t xml:space="preserve"> til grunn at oppmodingsvedtaket er </w:t>
      </w:r>
      <w:proofErr w:type="spellStart"/>
      <w:r w:rsidRPr="00E73D4B">
        <w:t>følgt</w:t>
      </w:r>
      <w:proofErr w:type="spellEnd"/>
      <w:r w:rsidRPr="00E73D4B">
        <w:t xml:space="preserve"> opp gjennom vurderinga i </w:t>
      </w:r>
      <w:proofErr w:type="spellStart"/>
      <w:r w:rsidRPr="00E73D4B">
        <w:t>Prop</w:t>
      </w:r>
      <w:proofErr w:type="spellEnd"/>
      <w:r w:rsidRPr="00E73D4B">
        <w:t>. 1 LS (2022–2023), kapittel 7.</w:t>
      </w:r>
    </w:p>
    <w:p w14:paraId="02C46FD0" w14:textId="77777777" w:rsidR="00972395" w:rsidRPr="00E73D4B" w:rsidRDefault="00F120C7" w:rsidP="00E73D4B">
      <w:pPr>
        <w:pStyle w:val="Overskrift2"/>
      </w:pPr>
      <w:r w:rsidRPr="00E73D4B">
        <w:t>Stortingssesjon 2020–2021</w:t>
      </w:r>
    </w:p>
    <w:p w14:paraId="45023EED" w14:textId="77777777" w:rsidR="00972395" w:rsidRPr="00E73D4B" w:rsidRDefault="00F120C7" w:rsidP="00E73D4B">
      <w:pPr>
        <w:pStyle w:val="avsnitt-tittel"/>
      </w:pPr>
      <w:r w:rsidRPr="00E73D4B">
        <w:t xml:space="preserve">Vurdere den kommunale </w:t>
      </w:r>
      <w:proofErr w:type="spellStart"/>
      <w:r w:rsidRPr="00E73D4B">
        <w:t>handlefridomen</w:t>
      </w:r>
      <w:proofErr w:type="spellEnd"/>
      <w:r w:rsidRPr="00E73D4B">
        <w:t xml:space="preserve"> i formuesskatten</w:t>
      </w:r>
    </w:p>
    <w:p w14:paraId="0234E511" w14:textId="77777777" w:rsidR="00972395" w:rsidRPr="00E73D4B" w:rsidRDefault="00F120C7" w:rsidP="00E73D4B">
      <w:pPr>
        <w:pStyle w:val="avsnitt-undertittel"/>
      </w:pPr>
      <w:r w:rsidRPr="00E73D4B">
        <w:t>Vedtak nr. 104, 26. november 2020</w:t>
      </w:r>
    </w:p>
    <w:p w14:paraId="424474EC" w14:textId="77777777" w:rsidR="00972395" w:rsidRPr="00E73D4B" w:rsidRDefault="00F120C7" w:rsidP="00E73D4B">
      <w:pPr>
        <w:pStyle w:val="blokksit"/>
        <w:rPr>
          <w:rStyle w:val="kursiv"/>
        </w:rPr>
      </w:pPr>
      <w:r w:rsidRPr="00E73D4B">
        <w:rPr>
          <w:rStyle w:val="kursiv"/>
        </w:rPr>
        <w:t>«Stortinget ber regjeringen komme tilbake til Stortinget med en vurdering av det framtidige mulighetsrommet for endring av formuesskatten, der både statens inntekter og kommunenes handlingsrom for konkurranse om skattebetingelser mellom kommuner belyses.»</w:t>
      </w:r>
    </w:p>
    <w:p w14:paraId="574660F8"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5 (2019–2020), </w:t>
      </w:r>
      <w:r w:rsidRPr="00E73D4B">
        <w:rPr>
          <w:rStyle w:val="kursiv"/>
        </w:rPr>
        <w:t xml:space="preserve">Levende lokalsamfunn for fremtiden – </w:t>
      </w:r>
      <w:proofErr w:type="spellStart"/>
      <w:r w:rsidRPr="00E73D4B">
        <w:rPr>
          <w:rStyle w:val="kursiv"/>
        </w:rPr>
        <w:t>Distriktsmeldingen</w:t>
      </w:r>
      <w:proofErr w:type="spellEnd"/>
      <w:r w:rsidRPr="00E73D4B">
        <w:t xml:space="preserve">, jf. </w:t>
      </w:r>
      <w:proofErr w:type="spellStart"/>
      <w:r w:rsidRPr="00E73D4B">
        <w:t>Innst</w:t>
      </w:r>
      <w:proofErr w:type="spellEnd"/>
      <w:r w:rsidRPr="00E73D4B">
        <w:t xml:space="preserve">. 88 S (2020–2021). Oppmodingsvedtaket </w:t>
      </w:r>
      <w:proofErr w:type="spellStart"/>
      <w:r w:rsidRPr="00E73D4B">
        <w:t>vart</w:t>
      </w:r>
      <w:proofErr w:type="spellEnd"/>
      <w:r w:rsidRPr="00E73D4B">
        <w:t xml:space="preserve"> kort omtalt i </w:t>
      </w:r>
      <w:proofErr w:type="spellStart"/>
      <w:r w:rsidRPr="00E73D4B">
        <w:t>Prop</w:t>
      </w:r>
      <w:proofErr w:type="spellEnd"/>
      <w:r w:rsidRPr="00E73D4B">
        <w:t xml:space="preserve">. 1 LS (2021–2022). Der kjem det fram at svaret </w:t>
      </w:r>
      <w:proofErr w:type="spellStart"/>
      <w:r w:rsidRPr="00E73D4B">
        <w:t>frå</w:t>
      </w:r>
      <w:proofErr w:type="spellEnd"/>
      <w:r w:rsidRPr="00E73D4B">
        <w:t xml:space="preserve"> departementet på oppmodingsvedtaket vil vente til etter at </w:t>
      </w:r>
      <w:r w:rsidRPr="00E73D4B">
        <w:rPr>
          <w:rStyle w:val="kursiv"/>
        </w:rPr>
        <w:t>Inntektssystemutvalget</w:t>
      </w:r>
      <w:r w:rsidRPr="00E73D4B">
        <w:t xml:space="preserve"> har </w:t>
      </w:r>
      <w:proofErr w:type="spellStart"/>
      <w:r w:rsidRPr="00E73D4B">
        <w:t>kome</w:t>
      </w:r>
      <w:proofErr w:type="spellEnd"/>
      <w:r w:rsidRPr="00E73D4B">
        <w:t xml:space="preserve"> med innstillinga si. </w:t>
      </w:r>
      <w:proofErr w:type="spellStart"/>
      <w:r w:rsidRPr="00E73D4B">
        <w:t>Utvalet</w:t>
      </w:r>
      <w:proofErr w:type="spellEnd"/>
      <w:r w:rsidRPr="00E73D4B">
        <w:t xml:space="preserve"> la 29. august 2022 fram NOU 2022: 10 </w:t>
      </w:r>
      <w:r w:rsidRPr="00E73D4B">
        <w:rPr>
          <w:rStyle w:val="kursiv"/>
        </w:rPr>
        <w:t>Inntektssystemet for kommunene</w:t>
      </w:r>
      <w:r w:rsidRPr="00E73D4B">
        <w:t xml:space="preserve">. Rapporten skal </w:t>
      </w:r>
      <w:proofErr w:type="spellStart"/>
      <w:r w:rsidRPr="00E73D4B">
        <w:t>no</w:t>
      </w:r>
      <w:proofErr w:type="spellEnd"/>
      <w:r w:rsidRPr="00E73D4B">
        <w:t xml:space="preserve"> på </w:t>
      </w:r>
      <w:proofErr w:type="spellStart"/>
      <w:r w:rsidRPr="00E73D4B">
        <w:t>høyring</w:t>
      </w:r>
      <w:proofErr w:type="spellEnd"/>
      <w:r w:rsidRPr="00E73D4B">
        <w:t xml:space="preserve">. I lys av dette vil regjeringa </w:t>
      </w:r>
      <w:proofErr w:type="spellStart"/>
      <w:r w:rsidRPr="00E73D4B">
        <w:t>kome</w:t>
      </w:r>
      <w:proofErr w:type="spellEnd"/>
      <w:r w:rsidRPr="00E73D4B">
        <w:t xml:space="preserve"> tilbake med svar på oppmodingsvedtaket i forbindelse med </w:t>
      </w:r>
      <w:proofErr w:type="spellStart"/>
      <w:r w:rsidRPr="00E73D4B">
        <w:t>dei</w:t>
      </w:r>
      <w:proofErr w:type="spellEnd"/>
      <w:r w:rsidRPr="00E73D4B">
        <w:t xml:space="preserve"> </w:t>
      </w:r>
      <w:proofErr w:type="spellStart"/>
      <w:r w:rsidRPr="00E73D4B">
        <w:t>årlege</w:t>
      </w:r>
      <w:proofErr w:type="spellEnd"/>
      <w:r w:rsidRPr="00E73D4B">
        <w:t xml:space="preserve"> budsjetta.</w:t>
      </w:r>
    </w:p>
    <w:p w14:paraId="4202F5C4" w14:textId="77777777" w:rsidR="00972395" w:rsidRPr="00E73D4B" w:rsidRDefault="00F120C7" w:rsidP="00E73D4B">
      <w:pPr>
        <w:pStyle w:val="avsnitt-tittel"/>
      </w:pPr>
      <w:r w:rsidRPr="00E73D4B">
        <w:t>Forslag til ei ordning med differensiert tvangsmulkt</w:t>
      </w:r>
    </w:p>
    <w:p w14:paraId="069B3AB8" w14:textId="77777777" w:rsidR="00972395" w:rsidRPr="00E73D4B" w:rsidRDefault="00F120C7" w:rsidP="00E73D4B">
      <w:pPr>
        <w:pStyle w:val="avsnitt-undertittel"/>
      </w:pPr>
      <w:r w:rsidRPr="00E73D4B">
        <w:t>Vedtak nr. 176, 3. desember 2020</w:t>
      </w:r>
    </w:p>
    <w:p w14:paraId="0C286882" w14:textId="77777777" w:rsidR="00972395" w:rsidRPr="00E73D4B" w:rsidRDefault="00F120C7" w:rsidP="00E73D4B">
      <w:pPr>
        <w:pStyle w:val="blokksit"/>
        <w:rPr>
          <w:rStyle w:val="kursiv"/>
        </w:rPr>
      </w:pPr>
      <w:r w:rsidRPr="00E73D4B">
        <w:rPr>
          <w:rStyle w:val="kursiv"/>
        </w:rPr>
        <w:t>«Stortinget ber regjeringen utarbeide forslag til en ordning med differensiert tvangsmulkt, og komme tilbake med en vurdering av et slikt forslag til Stortinget på en egnet måte.»</w:t>
      </w:r>
    </w:p>
    <w:p w14:paraId="053DF788"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Prop</w:t>
      </w:r>
      <w:proofErr w:type="spellEnd"/>
      <w:r w:rsidRPr="00E73D4B">
        <w:t xml:space="preserve">. 1 S (2020–2021), jf. </w:t>
      </w:r>
      <w:proofErr w:type="spellStart"/>
      <w:r w:rsidRPr="00E73D4B">
        <w:t>Innst</w:t>
      </w:r>
      <w:proofErr w:type="spellEnd"/>
      <w:r w:rsidRPr="00E73D4B">
        <w:t>. 2 S (2020–2021).</w:t>
      </w:r>
    </w:p>
    <w:p w14:paraId="354DC7A4" w14:textId="77777777" w:rsidR="00972395" w:rsidRPr="00E73D4B" w:rsidRDefault="00F120C7" w:rsidP="00E73D4B">
      <w:r w:rsidRPr="00E73D4B">
        <w:t xml:space="preserve">Saka er omtalt i </w:t>
      </w:r>
      <w:proofErr w:type="spellStart"/>
      <w:r w:rsidRPr="00E73D4B">
        <w:t>Prop</w:t>
      </w:r>
      <w:proofErr w:type="spellEnd"/>
      <w:r w:rsidRPr="00E73D4B">
        <w:t xml:space="preserve">. 114 LS (2021–2022) </w:t>
      </w:r>
      <w:proofErr w:type="spellStart"/>
      <w:r w:rsidRPr="00E73D4B">
        <w:rPr>
          <w:rStyle w:val="kursiv"/>
        </w:rPr>
        <w:t>Endringar</w:t>
      </w:r>
      <w:proofErr w:type="spellEnd"/>
      <w:r w:rsidRPr="00E73D4B">
        <w:rPr>
          <w:rStyle w:val="kursiv"/>
        </w:rPr>
        <w:t xml:space="preserve"> i skatte-, avgifts- og tollovgivninga m.m. og folketrygdloven (</w:t>
      </w:r>
      <w:proofErr w:type="spellStart"/>
      <w:r w:rsidRPr="00E73D4B">
        <w:rPr>
          <w:rStyle w:val="kursiv"/>
        </w:rPr>
        <w:t>arbeidsavklaringspengar</w:t>
      </w:r>
      <w:proofErr w:type="spellEnd"/>
      <w:r w:rsidRPr="00E73D4B">
        <w:rPr>
          <w:rStyle w:val="kursiv"/>
        </w:rPr>
        <w:t xml:space="preserve"> m.m.)</w:t>
      </w:r>
      <w:r w:rsidRPr="00E73D4B">
        <w:t xml:space="preserve"> punkt 9.2. Departementet orienterte her om at det er vurdert ulike </w:t>
      </w:r>
      <w:proofErr w:type="spellStart"/>
      <w:r w:rsidRPr="00E73D4B">
        <w:t>ordningar</w:t>
      </w:r>
      <w:proofErr w:type="spellEnd"/>
      <w:r w:rsidRPr="00E73D4B">
        <w:t xml:space="preserve"> med differensiering av tvangsmulkt etter </w:t>
      </w:r>
      <w:proofErr w:type="spellStart"/>
      <w:r w:rsidRPr="00E73D4B">
        <w:t>kjenneteikn</w:t>
      </w:r>
      <w:proofErr w:type="spellEnd"/>
      <w:r w:rsidRPr="00E73D4B">
        <w:t xml:space="preserve"> ved </w:t>
      </w:r>
      <w:proofErr w:type="spellStart"/>
      <w:r w:rsidRPr="00E73D4B">
        <w:t>verksemdene</w:t>
      </w:r>
      <w:proofErr w:type="spellEnd"/>
      <w:r w:rsidRPr="00E73D4B">
        <w:t xml:space="preserve">, men ingen av </w:t>
      </w:r>
      <w:proofErr w:type="spellStart"/>
      <w:r w:rsidRPr="00E73D4B">
        <w:t>desse</w:t>
      </w:r>
      <w:proofErr w:type="spellEnd"/>
      <w:r w:rsidRPr="00E73D4B">
        <w:t xml:space="preserve"> vert vurderte som eigna. I staden er det grunn til å differensiere mellom </w:t>
      </w:r>
      <w:proofErr w:type="spellStart"/>
      <w:r w:rsidRPr="00E73D4B">
        <w:t>dei</w:t>
      </w:r>
      <w:proofErr w:type="spellEnd"/>
      <w:r w:rsidRPr="00E73D4B">
        <w:t xml:space="preserve"> ulike </w:t>
      </w:r>
      <w:proofErr w:type="spellStart"/>
      <w:r w:rsidRPr="00E73D4B">
        <w:t>meldingstypane</w:t>
      </w:r>
      <w:proofErr w:type="spellEnd"/>
      <w:r w:rsidRPr="00E73D4B">
        <w:t xml:space="preserve">. Dei siste åra har Skattedirektoratet på </w:t>
      </w:r>
      <w:proofErr w:type="spellStart"/>
      <w:r w:rsidRPr="00E73D4B">
        <w:t>fleire</w:t>
      </w:r>
      <w:proofErr w:type="spellEnd"/>
      <w:r w:rsidRPr="00E73D4B">
        <w:t xml:space="preserve"> område sett ned </w:t>
      </w:r>
      <w:proofErr w:type="spellStart"/>
      <w:r w:rsidRPr="00E73D4B">
        <w:t>talet</w:t>
      </w:r>
      <w:proofErr w:type="spellEnd"/>
      <w:r w:rsidRPr="00E73D4B">
        <w:t xml:space="preserve"> på </w:t>
      </w:r>
      <w:proofErr w:type="spellStart"/>
      <w:r w:rsidRPr="00E73D4B">
        <w:t>dagar</w:t>
      </w:r>
      <w:proofErr w:type="spellEnd"/>
      <w:r w:rsidRPr="00E73D4B">
        <w:t xml:space="preserve"> </w:t>
      </w:r>
      <w:proofErr w:type="gramStart"/>
      <w:r w:rsidRPr="00E73D4B">
        <w:t>ei tvangsmulkt</w:t>
      </w:r>
      <w:proofErr w:type="gramEnd"/>
      <w:r w:rsidRPr="00E73D4B">
        <w:t xml:space="preserve"> lauper. Direktoratet følgjer med på verknaden av </w:t>
      </w:r>
      <w:proofErr w:type="spellStart"/>
      <w:r w:rsidRPr="00E73D4B">
        <w:t>desse</w:t>
      </w:r>
      <w:proofErr w:type="spellEnd"/>
      <w:r w:rsidRPr="00E73D4B">
        <w:t xml:space="preserve"> </w:t>
      </w:r>
      <w:proofErr w:type="spellStart"/>
      <w:r w:rsidRPr="00E73D4B">
        <w:t>endringane</w:t>
      </w:r>
      <w:proofErr w:type="spellEnd"/>
      <w:r w:rsidRPr="00E73D4B">
        <w:t xml:space="preserve"> og vurderer å </w:t>
      </w:r>
      <w:proofErr w:type="spellStart"/>
      <w:r w:rsidRPr="00E73D4B">
        <w:t>setje</w:t>
      </w:r>
      <w:proofErr w:type="spellEnd"/>
      <w:r w:rsidRPr="00E73D4B">
        <w:t xml:space="preserve"> ned </w:t>
      </w:r>
      <w:proofErr w:type="spellStart"/>
      <w:r w:rsidRPr="00E73D4B">
        <w:t>talet</w:t>
      </w:r>
      <w:proofErr w:type="spellEnd"/>
      <w:r w:rsidRPr="00E73D4B">
        <w:t xml:space="preserve"> på </w:t>
      </w:r>
      <w:proofErr w:type="spellStart"/>
      <w:r w:rsidRPr="00E73D4B">
        <w:t>laupedagar</w:t>
      </w:r>
      <w:proofErr w:type="spellEnd"/>
      <w:r w:rsidRPr="00E73D4B">
        <w:t xml:space="preserve"> for </w:t>
      </w:r>
      <w:proofErr w:type="spellStart"/>
      <w:r w:rsidRPr="00E73D4B">
        <w:t>fleire</w:t>
      </w:r>
      <w:proofErr w:type="spellEnd"/>
      <w:r w:rsidRPr="00E73D4B">
        <w:t xml:space="preserve"> </w:t>
      </w:r>
      <w:proofErr w:type="spellStart"/>
      <w:r w:rsidRPr="00E73D4B">
        <w:t>typar</w:t>
      </w:r>
      <w:proofErr w:type="spellEnd"/>
      <w:r w:rsidRPr="00E73D4B">
        <w:t xml:space="preserve"> av </w:t>
      </w:r>
      <w:proofErr w:type="spellStart"/>
      <w:r w:rsidRPr="00E73D4B">
        <w:t>meldingar</w:t>
      </w:r>
      <w:proofErr w:type="spellEnd"/>
      <w:r w:rsidRPr="00E73D4B">
        <w:t xml:space="preserve">. Det vert òg vurdert å </w:t>
      </w:r>
      <w:proofErr w:type="spellStart"/>
      <w:r w:rsidRPr="00E73D4B">
        <w:t>setje</w:t>
      </w:r>
      <w:proofErr w:type="spellEnd"/>
      <w:r w:rsidRPr="00E73D4B">
        <w:t xml:space="preserve"> ned satsen for tvangsmulkt for enkelte </w:t>
      </w:r>
      <w:proofErr w:type="spellStart"/>
      <w:r w:rsidRPr="00E73D4B">
        <w:t>meldingar</w:t>
      </w:r>
      <w:proofErr w:type="spellEnd"/>
      <w:r w:rsidRPr="00E73D4B">
        <w:t xml:space="preserve">. Det er </w:t>
      </w:r>
      <w:proofErr w:type="spellStart"/>
      <w:r w:rsidRPr="00E73D4B">
        <w:t>naudsynt</w:t>
      </w:r>
      <w:proofErr w:type="spellEnd"/>
      <w:r w:rsidRPr="00E73D4B">
        <w:t xml:space="preserve"> med </w:t>
      </w:r>
      <w:proofErr w:type="spellStart"/>
      <w:r w:rsidRPr="00E73D4B">
        <w:t>forskriftsendringar</w:t>
      </w:r>
      <w:proofErr w:type="spellEnd"/>
      <w:r w:rsidRPr="00E73D4B">
        <w:t xml:space="preserve">, og Skattedirektoratet vil sende framlegg om slike </w:t>
      </w:r>
      <w:proofErr w:type="spellStart"/>
      <w:r w:rsidRPr="00E73D4B">
        <w:t>endringar</w:t>
      </w:r>
      <w:proofErr w:type="spellEnd"/>
      <w:r w:rsidRPr="00E73D4B">
        <w:t xml:space="preserve"> på allmenn </w:t>
      </w:r>
      <w:proofErr w:type="spellStart"/>
      <w:r w:rsidRPr="00E73D4B">
        <w:t>høyring</w:t>
      </w:r>
      <w:proofErr w:type="spellEnd"/>
      <w:r w:rsidRPr="00E73D4B">
        <w:t xml:space="preserve">. I </w:t>
      </w:r>
      <w:proofErr w:type="spellStart"/>
      <w:r w:rsidRPr="00E73D4B">
        <w:t>Innst</w:t>
      </w:r>
      <w:proofErr w:type="spellEnd"/>
      <w:r w:rsidRPr="00E73D4B">
        <w:t xml:space="preserve">. 450 S (2021–2022) punkt 4.12.2 tok finanskomiteen omtalen til orientering. Departementet ser det slik at oppmodingsvedtaket er </w:t>
      </w:r>
      <w:proofErr w:type="spellStart"/>
      <w:r w:rsidRPr="00E73D4B">
        <w:t>følgt</w:t>
      </w:r>
      <w:proofErr w:type="spellEnd"/>
      <w:r w:rsidRPr="00E73D4B">
        <w:t xml:space="preserve"> opp gjennom dette.</w:t>
      </w:r>
    </w:p>
    <w:p w14:paraId="03F0B101" w14:textId="77777777" w:rsidR="00972395" w:rsidRPr="00E73D4B" w:rsidRDefault="00F120C7" w:rsidP="00E73D4B">
      <w:pPr>
        <w:pStyle w:val="avsnitt-tittel"/>
      </w:pPr>
      <w:r w:rsidRPr="00E73D4B">
        <w:t xml:space="preserve">Endring av </w:t>
      </w:r>
      <w:proofErr w:type="spellStart"/>
      <w:r w:rsidRPr="00E73D4B">
        <w:t>meirverdiavgiftsreglane</w:t>
      </w:r>
      <w:proofErr w:type="spellEnd"/>
      <w:r w:rsidRPr="00E73D4B">
        <w:t xml:space="preserve"> ved omtvista krav i </w:t>
      </w:r>
      <w:proofErr w:type="spellStart"/>
      <w:r w:rsidRPr="00E73D4B">
        <w:t>entreprisar</w:t>
      </w:r>
      <w:proofErr w:type="spellEnd"/>
    </w:p>
    <w:p w14:paraId="43C31F59" w14:textId="77777777" w:rsidR="00972395" w:rsidRPr="00E73D4B" w:rsidRDefault="00F120C7" w:rsidP="00E73D4B">
      <w:pPr>
        <w:pStyle w:val="avsnitt-undertittel"/>
      </w:pPr>
      <w:r w:rsidRPr="00E73D4B">
        <w:t>Vedtak nr. 849, 27. april 2021</w:t>
      </w:r>
    </w:p>
    <w:p w14:paraId="2F9664B6" w14:textId="77777777" w:rsidR="00972395" w:rsidRPr="00E73D4B" w:rsidRDefault="00F120C7" w:rsidP="00E73D4B">
      <w:pPr>
        <w:pStyle w:val="blokksit"/>
        <w:rPr>
          <w:rStyle w:val="kursiv"/>
        </w:rPr>
      </w:pPr>
      <w:r w:rsidRPr="00E73D4B">
        <w:rPr>
          <w:rStyle w:val="kursiv"/>
        </w:rPr>
        <w:t>«Stortinget ber regjeringen foreta nødvendige forskrifts- og/eller regelendringer slik at innberetning og betaling av merverdiavgift ved bygge- og anleggsvirksomhet suspenderes inntil omtvistede krav er avklart, og komme tilbake med nødvendig budsjettmessig oppfølging snarest og senest i forbindelse med statsbudsjettet for 2022.»</w:t>
      </w:r>
    </w:p>
    <w:p w14:paraId="37A2699E"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8:116 S (2020–2021), jf. </w:t>
      </w:r>
      <w:proofErr w:type="spellStart"/>
      <w:r w:rsidRPr="00E73D4B">
        <w:t>Innst</w:t>
      </w:r>
      <w:proofErr w:type="spellEnd"/>
      <w:r w:rsidRPr="00E73D4B">
        <w:t xml:space="preserve">. 348 S (2020–2021). Vedtaket må </w:t>
      </w:r>
      <w:proofErr w:type="spellStart"/>
      <w:r w:rsidRPr="00E73D4B">
        <w:t>sjåast</w:t>
      </w:r>
      <w:proofErr w:type="spellEnd"/>
      <w:r w:rsidRPr="00E73D4B">
        <w:t xml:space="preserve"> i </w:t>
      </w:r>
      <w:proofErr w:type="spellStart"/>
      <w:r w:rsidRPr="00E73D4B">
        <w:t>samenheng</w:t>
      </w:r>
      <w:proofErr w:type="spellEnd"/>
      <w:r w:rsidRPr="00E73D4B">
        <w:t xml:space="preserve"> med oppmodingsvedtak nr. 163 (2020–2021).</w:t>
      </w:r>
    </w:p>
    <w:p w14:paraId="6CBAA185" w14:textId="77777777" w:rsidR="00972395" w:rsidRPr="00E73D4B" w:rsidRDefault="00F120C7" w:rsidP="00E73D4B">
      <w:r w:rsidRPr="00E73D4B">
        <w:t xml:space="preserve">I </w:t>
      </w:r>
      <w:proofErr w:type="spellStart"/>
      <w:r w:rsidRPr="00E73D4B">
        <w:t>Prop</w:t>
      </w:r>
      <w:proofErr w:type="spellEnd"/>
      <w:r w:rsidRPr="00E73D4B">
        <w:t xml:space="preserve">. 1 LS (2021–2022), punkt 22, har regjeringa omtalt saka. Regjeringa har opplyst at saka reiser statsstøtterettslege </w:t>
      </w:r>
      <w:proofErr w:type="spellStart"/>
      <w:r w:rsidRPr="00E73D4B">
        <w:t>problemstillingar</w:t>
      </w:r>
      <w:proofErr w:type="spellEnd"/>
      <w:r w:rsidRPr="00E73D4B">
        <w:t xml:space="preserve"> som bør </w:t>
      </w:r>
      <w:proofErr w:type="spellStart"/>
      <w:r w:rsidRPr="00E73D4B">
        <w:t>verte</w:t>
      </w:r>
      <w:proofErr w:type="spellEnd"/>
      <w:r w:rsidRPr="00E73D4B">
        <w:t xml:space="preserve"> avklarte med </w:t>
      </w:r>
      <w:proofErr w:type="spellStart"/>
      <w:r w:rsidRPr="00E73D4B">
        <w:t>EFTAs</w:t>
      </w:r>
      <w:proofErr w:type="spellEnd"/>
      <w:r w:rsidRPr="00E73D4B">
        <w:t xml:space="preserve"> </w:t>
      </w:r>
      <w:proofErr w:type="spellStart"/>
      <w:r w:rsidRPr="00E73D4B">
        <w:t>overvakingsorgan</w:t>
      </w:r>
      <w:proofErr w:type="spellEnd"/>
      <w:r w:rsidRPr="00E73D4B">
        <w:t xml:space="preserve"> (ESA) før </w:t>
      </w:r>
      <w:proofErr w:type="spellStart"/>
      <w:r w:rsidRPr="00E73D4B">
        <w:t>ein</w:t>
      </w:r>
      <w:proofErr w:type="spellEnd"/>
      <w:r w:rsidRPr="00E73D4B">
        <w:t xml:space="preserve"> eventuelt </w:t>
      </w:r>
      <w:proofErr w:type="spellStart"/>
      <w:r w:rsidRPr="00E73D4B">
        <w:t>vedtek</w:t>
      </w:r>
      <w:proofErr w:type="spellEnd"/>
      <w:r w:rsidRPr="00E73D4B">
        <w:t xml:space="preserve"> ei regelendring, og at </w:t>
      </w:r>
      <w:proofErr w:type="spellStart"/>
      <w:r w:rsidRPr="00E73D4B">
        <w:t>ein</w:t>
      </w:r>
      <w:proofErr w:type="spellEnd"/>
      <w:r w:rsidRPr="00E73D4B">
        <w:t xml:space="preserve"> slik prosess vil kunne ta inntil 18 </w:t>
      </w:r>
      <w:proofErr w:type="spellStart"/>
      <w:r w:rsidRPr="00E73D4B">
        <w:t>månader</w:t>
      </w:r>
      <w:proofErr w:type="spellEnd"/>
      <w:r w:rsidRPr="00E73D4B">
        <w:t xml:space="preserve">. Regjeringa har </w:t>
      </w:r>
      <w:proofErr w:type="spellStart"/>
      <w:r w:rsidRPr="00E73D4B">
        <w:t>difor</w:t>
      </w:r>
      <w:proofErr w:type="spellEnd"/>
      <w:r w:rsidRPr="00E73D4B">
        <w:t xml:space="preserve"> </w:t>
      </w:r>
      <w:proofErr w:type="spellStart"/>
      <w:r w:rsidRPr="00E73D4B">
        <w:t>ikkje</w:t>
      </w:r>
      <w:proofErr w:type="spellEnd"/>
      <w:r w:rsidRPr="00E73D4B">
        <w:t xml:space="preserve"> gjort </w:t>
      </w:r>
      <w:proofErr w:type="spellStart"/>
      <w:r w:rsidRPr="00E73D4B">
        <w:t>eit</w:t>
      </w:r>
      <w:proofErr w:type="spellEnd"/>
      <w:r w:rsidRPr="00E73D4B">
        <w:t xml:space="preserve"> framlegg i tråd med Stortingets vedtak. Regjeringa har likevel skissert </w:t>
      </w:r>
      <w:proofErr w:type="spellStart"/>
      <w:r w:rsidRPr="00E73D4B">
        <w:t>eit</w:t>
      </w:r>
      <w:proofErr w:type="spellEnd"/>
      <w:r w:rsidRPr="00E73D4B">
        <w:t xml:space="preserve"> framlegg i tråd med det Stortinget har bede om, slik at Stortinget kan vedta ei regelendring dersom Stortinget </w:t>
      </w:r>
      <w:proofErr w:type="spellStart"/>
      <w:r w:rsidRPr="00E73D4B">
        <w:t>ynskjer</w:t>
      </w:r>
      <w:proofErr w:type="spellEnd"/>
      <w:r w:rsidRPr="00E73D4B">
        <w:t xml:space="preserve"> det. Ved </w:t>
      </w:r>
      <w:proofErr w:type="spellStart"/>
      <w:r w:rsidRPr="00E73D4B">
        <w:t>Innst</w:t>
      </w:r>
      <w:proofErr w:type="spellEnd"/>
      <w:r w:rsidRPr="00E73D4B">
        <w:t>. 3 S (2021–2022) tok Stortinget omtalen til orientering.</w:t>
      </w:r>
    </w:p>
    <w:p w14:paraId="4ED36453" w14:textId="77777777" w:rsidR="00972395" w:rsidRPr="00E73D4B" w:rsidRDefault="00F120C7" w:rsidP="00E73D4B">
      <w:r w:rsidRPr="00E73D4B">
        <w:t xml:space="preserve">Etter dialog med ESA vil regjeringa </w:t>
      </w:r>
      <w:proofErr w:type="spellStart"/>
      <w:r w:rsidRPr="00E73D4B">
        <w:t>leggje</w:t>
      </w:r>
      <w:proofErr w:type="spellEnd"/>
      <w:r w:rsidRPr="00E73D4B">
        <w:t xml:space="preserve"> opp til ei litt anna innretning på ei ordning med utsett tidfesting, og som </w:t>
      </w:r>
      <w:proofErr w:type="spellStart"/>
      <w:r w:rsidRPr="00E73D4B">
        <w:t>ikkje</w:t>
      </w:r>
      <w:proofErr w:type="spellEnd"/>
      <w:r w:rsidRPr="00E73D4B">
        <w:t xml:space="preserve"> vil utfordre statsstøtteregelverket. Regjeringa omtaler i </w:t>
      </w:r>
      <w:proofErr w:type="spellStart"/>
      <w:r w:rsidRPr="00E73D4B">
        <w:t>Prop</w:t>
      </w:r>
      <w:proofErr w:type="spellEnd"/>
      <w:r w:rsidRPr="00E73D4B">
        <w:t xml:space="preserve">. 1 LS (2022–2023), kapittel 7, </w:t>
      </w:r>
      <w:proofErr w:type="spellStart"/>
      <w:r w:rsidRPr="00E73D4B">
        <w:t>eit</w:t>
      </w:r>
      <w:proofErr w:type="spellEnd"/>
      <w:r w:rsidRPr="00E73D4B">
        <w:t xml:space="preserve"> framlegg om ei ordning med utsett </w:t>
      </w:r>
      <w:proofErr w:type="spellStart"/>
      <w:r w:rsidRPr="00E73D4B">
        <w:t>iverksetjing</w:t>
      </w:r>
      <w:proofErr w:type="spellEnd"/>
      <w:r w:rsidRPr="00E73D4B">
        <w:t xml:space="preserve"> av omtvista krav med grunnlag i </w:t>
      </w:r>
      <w:proofErr w:type="spellStart"/>
      <w:r w:rsidRPr="00E73D4B">
        <w:t>tilverknadskontraktar</w:t>
      </w:r>
      <w:proofErr w:type="spellEnd"/>
      <w:r w:rsidRPr="00E73D4B">
        <w:t xml:space="preserve">. Etter planen vert saka sendt på </w:t>
      </w:r>
      <w:proofErr w:type="spellStart"/>
      <w:r w:rsidRPr="00E73D4B">
        <w:t>høyring</w:t>
      </w:r>
      <w:proofErr w:type="spellEnd"/>
      <w:r w:rsidRPr="00E73D4B">
        <w:t xml:space="preserve"> </w:t>
      </w:r>
      <w:proofErr w:type="spellStart"/>
      <w:r w:rsidRPr="00E73D4B">
        <w:t>hausten</w:t>
      </w:r>
      <w:proofErr w:type="spellEnd"/>
      <w:r w:rsidRPr="00E73D4B">
        <w:t xml:space="preserve"> 2022, med sikte på at ordninga kan tre i kraft </w:t>
      </w:r>
      <w:proofErr w:type="spellStart"/>
      <w:r w:rsidRPr="00E73D4B">
        <w:t>frå</w:t>
      </w:r>
      <w:proofErr w:type="spellEnd"/>
      <w:r w:rsidRPr="00E73D4B">
        <w:t xml:space="preserve"> 1. januar 2023. Departementet ser det slik at oppmodingsvedtaket er </w:t>
      </w:r>
      <w:proofErr w:type="spellStart"/>
      <w:r w:rsidRPr="00E73D4B">
        <w:t>følgt</w:t>
      </w:r>
      <w:proofErr w:type="spellEnd"/>
      <w:r w:rsidRPr="00E73D4B">
        <w:t xml:space="preserve"> opp gjennom dette.</w:t>
      </w:r>
    </w:p>
    <w:p w14:paraId="1EBCAB7B" w14:textId="77777777" w:rsidR="00972395" w:rsidRPr="00E73D4B" w:rsidRDefault="00F120C7" w:rsidP="00E73D4B">
      <w:pPr>
        <w:pStyle w:val="avsnitt-tittel"/>
      </w:pPr>
      <w:proofErr w:type="spellStart"/>
      <w:r w:rsidRPr="00E73D4B">
        <w:t>Utval</w:t>
      </w:r>
      <w:proofErr w:type="spellEnd"/>
      <w:r w:rsidRPr="00E73D4B">
        <w:t xml:space="preserve"> om </w:t>
      </w:r>
      <w:proofErr w:type="spellStart"/>
      <w:r w:rsidRPr="00E73D4B">
        <w:t>kontantane</w:t>
      </w:r>
      <w:proofErr w:type="spellEnd"/>
      <w:r w:rsidRPr="00E73D4B">
        <w:t xml:space="preserve"> </w:t>
      </w:r>
      <w:proofErr w:type="spellStart"/>
      <w:r w:rsidRPr="00E73D4B">
        <w:t>si</w:t>
      </w:r>
      <w:proofErr w:type="spellEnd"/>
      <w:r w:rsidRPr="00E73D4B">
        <w:t xml:space="preserve"> rolle i samfunnet</w:t>
      </w:r>
    </w:p>
    <w:p w14:paraId="470B53AB" w14:textId="77777777" w:rsidR="00972395" w:rsidRPr="00E73D4B" w:rsidRDefault="00F120C7" w:rsidP="00E73D4B">
      <w:pPr>
        <w:pStyle w:val="avsnitt-undertittel"/>
      </w:pPr>
      <w:r w:rsidRPr="00E73D4B">
        <w:t>Vedtak nr. 1174, 9. juni 2021</w:t>
      </w:r>
    </w:p>
    <w:p w14:paraId="189593A0" w14:textId="77777777" w:rsidR="00972395" w:rsidRPr="00E73D4B" w:rsidRDefault="00F120C7" w:rsidP="00E73D4B">
      <w:pPr>
        <w:pStyle w:val="blokksit"/>
        <w:rPr>
          <w:rStyle w:val="kursiv"/>
        </w:rPr>
      </w:pPr>
      <w:r w:rsidRPr="00E73D4B">
        <w:rPr>
          <w:rStyle w:val="kursiv"/>
        </w:rPr>
        <w:t>«Stortinget ber regjeringen nedsette et offentlig utvalg som skal vurdere kontantenes rolle i samfunnet fremover.»</w:t>
      </w:r>
    </w:p>
    <w:p w14:paraId="3D4D260F"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31 (2020–2021) </w:t>
      </w:r>
      <w:r w:rsidRPr="00E73D4B">
        <w:rPr>
          <w:rStyle w:val="kursiv"/>
        </w:rPr>
        <w:t>Finansmarkedsmeldingen 2020</w:t>
      </w:r>
      <w:r w:rsidRPr="00E73D4B">
        <w:t xml:space="preserve">, jf. </w:t>
      </w:r>
      <w:proofErr w:type="spellStart"/>
      <w:r w:rsidRPr="00E73D4B">
        <w:t>Innst</w:t>
      </w:r>
      <w:proofErr w:type="spellEnd"/>
      <w:r w:rsidRPr="00E73D4B">
        <w:t xml:space="preserve">. 582 S (2020–2021). Regjeringa vil </w:t>
      </w:r>
      <w:proofErr w:type="spellStart"/>
      <w:r w:rsidRPr="00E73D4B">
        <w:t>følgje</w:t>
      </w:r>
      <w:proofErr w:type="spellEnd"/>
      <w:r w:rsidRPr="00E73D4B">
        <w:t xml:space="preserve"> opp vedtaket og </w:t>
      </w:r>
      <w:proofErr w:type="spellStart"/>
      <w:r w:rsidRPr="00E73D4B">
        <w:t>tek</w:t>
      </w:r>
      <w:proofErr w:type="spellEnd"/>
      <w:r w:rsidRPr="00E73D4B">
        <w:t xml:space="preserve"> sikte på å </w:t>
      </w:r>
      <w:proofErr w:type="spellStart"/>
      <w:r w:rsidRPr="00E73D4B">
        <w:t>setje</w:t>
      </w:r>
      <w:proofErr w:type="spellEnd"/>
      <w:r w:rsidRPr="00E73D4B">
        <w:t xml:space="preserve"> ned </w:t>
      </w:r>
      <w:proofErr w:type="spellStart"/>
      <w:r w:rsidRPr="00E73D4B">
        <w:t>eit</w:t>
      </w:r>
      <w:proofErr w:type="spellEnd"/>
      <w:r w:rsidRPr="00E73D4B">
        <w:t xml:space="preserve"> </w:t>
      </w:r>
      <w:proofErr w:type="spellStart"/>
      <w:r w:rsidRPr="00E73D4B">
        <w:t>utval</w:t>
      </w:r>
      <w:proofErr w:type="spellEnd"/>
      <w:r w:rsidRPr="00E73D4B">
        <w:t xml:space="preserve"> </w:t>
      </w:r>
      <w:proofErr w:type="spellStart"/>
      <w:r w:rsidRPr="00E73D4B">
        <w:t>innan</w:t>
      </w:r>
      <w:proofErr w:type="spellEnd"/>
      <w:r w:rsidRPr="00E73D4B">
        <w:t xml:space="preserve"> </w:t>
      </w:r>
      <w:proofErr w:type="spellStart"/>
      <w:r w:rsidRPr="00E73D4B">
        <w:t>utlaupet</w:t>
      </w:r>
      <w:proofErr w:type="spellEnd"/>
      <w:r w:rsidRPr="00E73D4B">
        <w:t xml:space="preserve"> av 2022.</w:t>
      </w:r>
    </w:p>
    <w:p w14:paraId="53B9EB7C" w14:textId="77777777" w:rsidR="00972395" w:rsidRPr="00E73D4B" w:rsidRDefault="00F120C7" w:rsidP="00E73D4B">
      <w:pPr>
        <w:pStyle w:val="avsnitt-tittel"/>
      </w:pPr>
      <w:proofErr w:type="spellStart"/>
      <w:r w:rsidRPr="00E73D4B">
        <w:t>Samarbeidsløysingar</w:t>
      </w:r>
      <w:proofErr w:type="spellEnd"/>
      <w:r w:rsidRPr="00E73D4B">
        <w:t xml:space="preserve"> for </w:t>
      </w:r>
      <w:proofErr w:type="spellStart"/>
      <w:r w:rsidRPr="00E73D4B">
        <w:t>sparebankar</w:t>
      </w:r>
      <w:proofErr w:type="spellEnd"/>
    </w:p>
    <w:p w14:paraId="1E8BCC51" w14:textId="77777777" w:rsidR="00972395" w:rsidRPr="00E73D4B" w:rsidRDefault="00F120C7" w:rsidP="00E73D4B">
      <w:pPr>
        <w:pStyle w:val="avsnitt-undertittel"/>
      </w:pPr>
      <w:r w:rsidRPr="00E73D4B">
        <w:t>Vedtak nr. 1176, 9. juni 2021</w:t>
      </w:r>
    </w:p>
    <w:p w14:paraId="7429F1DA" w14:textId="77777777" w:rsidR="00972395" w:rsidRPr="00E73D4B" w:rsidRDefault="00F120C7" w:rsidP="00E73D4B">
      <w:pPr>
        <w:pStyle w:val="blokksit"/>
        <w:rPr>
          <w:rStyle w:val="kursiv"/>
        </w:rPr>
      </w:pPr>
      <w:r w:rsidRPr="00E73D4B">
        <w:rPr>
          <w:rStyle w:val="kursiv"/>
        </w:rPr>
        <w:t>«Stortinget ber regjeringen sikre sparebankene fleksibilitet til å benytte fellesløsninger i samarbeid med andre sparebanker innenfor forsvarlige rammer.»</w:t>
      </w:r>
    </w:p>
    <w:p w14:paraId="08301B67"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8:250 S (2020–2021), jf. </w:t>
      </w:r>
      <w:proofErr w:type="spellStart"/>
      <w:r w:rsidRPr="00E73D4B">
        <w:t>Innst</w:t>
      </w:r>
      <w:proofErr w:type="spellEnd"/>
      <w:r w:rsidRPr="00E73D4B">
        <w:t xml:space="preserve">. 539 S (2020–2021). Oppfølginga av vedtaket er drøfta i Meld. St. 12 (2021–2022), </w:t>
      </w:r>
      <w:r w:rsidRPr="00E73D4B">
        <w:rPr>
          <w:rStyle w:val="kursiv"/>
        </w:rPr>
        <w:t>Finansmarkedsmeldingen 2022</w:t>
      </w:r>
      <w:r w:rsidRPr="00E73D4B">
        <w:t xml:space="preserve">, kapittel 2.5.1. I </w:t>
      </w:r>
      <w:proofErr w:type="spellStart"/>
      <w:r w:rsidRPr="00E73D4B">
        <w:t>Innst</w:t>
      </w:r>
      <w:proofErr w:type="spellEnd"/>
      <w:r w:rsidRPr="00E73D4B">
        <w:t xml:space="preserve">. 445 S (2021–2022) tok finanskomiteen omtalen til orientering. Departementet ser det slik at oppmodingsvedtaket er </w:t>
      </w:r>
      <w:proofErr w:type="spellStart"/>
      <w:r w:rsidRPr="00E73D4B">
        <w:t>følgt</w:t>
      </w:r>
      <w:proofErr w:type="spellEnd"/>
      <w:r w:rsidRPr="00E73D4B">
        <w:t xml:space="preserve"> opp gjennom dette.</w:t>
      </w:r>
    </w:p>
    <w:p w14:paraId="389804C7" w14:textId="77777777" w:rsidR="00972395" w:rsidRPr="00E73D4B" w:rsidRDefault="00F120C7" w:rsidP="00E73D4B">
      <w:pPr>
        <w:pStyle w:val="avsnitt-tittel"/>
      </w:pPr>
      <w:r w:rsidRPr="00E73D4B">
        <w:t xml:space="preserve">Kapitalkrav for norske </w:t>
      </w:r>
      <w:proofErr w:type="spellStart"/>
      <w:r w:rsidRPr="00E73D4B">
        <w:t>sparebankar</w:t>
      </w:r>
      <w:proofErr w:type="spellEnd"/>
    </w:p>
    <w:p w14:paraId="3AFC0F46" w14:textId="77777777" w:rsidR="00972395" w:rsidRPr="00E73D4B" w:rsidRDefault="00F120C7" w:rsidP="00E73D4B">
      <w:pPr>
        <w:pStyle w:val="avsnitt-undertittel"/>
      </w:pPr>
      <w:r w:rsidRPr="00E73D4B">
        <w:t>Vedtak nr. 1177, 9. juni 2021</w:t>
      </w:r>
    </w:p>
    <w:p w14:paraId="72E2C71E" w14:textId="77777777" w:rsidR="00972395" w:rsidRPr="00E73D4B" w:rsidRDefault="00F120C7" w:rsidP="00E73D4B">
      <w:pPr>
        <w:pStyle w:val="blokksit"/>
        <w:rPr>
          <w:rStyle w:val="kursiv"/>
        </w:rPr>
      </w:pPr>
      <w:r w:rsidRPr="00E73D4B">
        <w:rPr>
          <w:rStyle w:val="kursiv"/>
        </w:rPr>
        <w:t>«Stortinget ber regjeringen aktivt bruke handlingsrommet som finnes overfor EU, for å sikre at kapitalkravene til norske sparebanker ikke blir vesentlig strengere enn kravene til konkurrentene deres.»</w:t>
      </w:r>
    </w:p>
    <w:p w14:paraId="00FDD02D"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8:250 S (2020–2021), jf. </w:t>
      </w:r>
      <w:proofErr w:type="spellStart"/>
      <w:r w:rsidRPr="00E73D4B">
        <w:t>Innst</w:t>
      </w:r>
      <w:proofErr w:type="spellEnd"/>
      <w:r w:rsidRPr="00E73D4B">
        <w:t xml:space="preserve">. 539 S (2020–2021). Oppfølginga av vedtaket er drøfta i Meld. St. 12 (2021–2022) </w:t>
      </w:r>
      <w:r w:rsidRPr="00E73D4B">
        <w:rPr>
          <w:rStyle w:val="kursiv"/>
        </w:rPr>
        <w:t>Finansmarkedsmeldingen 2022</w:t>
      </w:r>
      <w:r w:rsidRPr="00E73D4B">
        <w:t xml:space="preserve">, kapittel 2.5.2. I </w:t>
      </w:r>
      <w:proofErr w:type="spellStart"/>
      <w:r w:rsidRPr="00E73D4B">
        <w:t>Innst</w:t>
      </w:r>
      <w:proofErr w:type="spellEnd"/>
      <w:r w:rsidRPr="00E73D4B">
        <w:t xml:space="preserve">. 445 S (2021–2022) tok finanskomiteen omtalen til orientering. Departementet ser det slik at oppmodingsvedtaket er </w:t>
      </w:r>
      <w:proofErr w:type="spellStart"/>
      <w:r w:rsidRPr="00E73D4B">
        <w:t>følgt</w:t>
      </w:r>
      <w:proofErr w:type="spellEnd"/>
      <w:r w:rsidRPr="00E73D4B">
        <w:t xml:space="preserve"> opp gjennom dette.</w:t>
      </w:r>
    </w:p>
    <w:p w14:paraId="2427EEA5" w14:textId="77777777" w:rsidR="00972395" w:rsidRPr="00E73D4B" w:rsidRDefault="00F120C7" w:rsidP="00E73D4B">
      <w:pPr>
        <w:pStyle w:val="avsnitt-tittel"/>
      </w:pPr>
      <w:proofErr w:type="spellStart"/>
      <w:r w:rsidRPr="00E73D4B">
        <w:t>Eigedomsskatt</w:t>
      </w:r>
      <w:proofErr w:type="spellEnd"/>
      <w:r w:rsidRPr="00E73D4B">
        <w:t xml:space="preserve"> – utgreiing og vurdering av </w:t>
      </w:r>
      <w:proofErr w:type="spellStart"/>
      <w:r w:rsidRPr="00E73D4B">
        <w:t>eit</w:t>
      </w:r>
      <w:proofErr w:type="spellEnd"/>
      <w:r w:rsidRPr="00E73D4B">
        <w:t xml:space="preserve"> tak for </w:t>
      </w:r>
      <w:proofErr w:type="spellStart"/>
      <w:r w:rsidRPr="00E73D4B">
        <w:t>bustader</w:t>
      </w:r>
      <w:proofErr w:type="spellEnd"/>
      <w:r w:rsidRPr="00E73D4B">
        <w:t xml:space="preserve"> og </w:t>
      </w:r>
      <w:proofErr w:type="spellStart"/>
      <w:r w:rsidRPr="00E73D4B">
        <w:t>fritidsbustader</w:t>
      </w:r>
      <w:proofErr w:type="spellEnd"/>
    </w:p>
    <w:p w14:paraId="2AFAEE6F" w14:textId="77777777" w:rsidR="00972395" w:rsidRPr="00E73D4B" w:rsidRDefault="00F120C7" w:rsidP="00E73D4B">
      <w:pPr>
        <w:pStyle w:val="avsnitt-undertittel"/>
      </w:pPr>
      <w:r w:rsidRPr="00E73D4B">
        <w:t>Vedtak nr. 1250, 16. juni 2021</w:t>
      </w:r>
    </w:p>
    <w:p w14:paraId="7799EA08" w14:textId="77777777" w:rsidR="00972395" w:rsidRPr="00E73D4B" w:rsidRDefault="00F120C7" w:rsidP="00E73D4B">
      <w:pPr>
        <w:pStyle w:val="blokksit"/>
        <w:rPr>
          <w:rStyle w:val="kursiv"/>
        </w:rPr>
      </w:pPr>
      <w:r w:rsidRPr="00E73D4B">
        <w:rPr>
          <w:rStyle w:val="kursiv"/>
        </w:rPr>
        <w:t>«Stortinget ber regjeringen legge fram en helhetlig utredning om eiendomsskatten og herunder utrede et tak for eiendomsskatt på ordinære boliger og hytter, og komme tilbake til Stortinget på eigna måte.»</w:t>
      </w:r>
    </w:p>
    <w:p w14:paraId="66B424F6" w14:textId="77777777" w:rsidR="00972395" w:rsidRPr="00E73D4B" w:rsidRDefault="00F120C7" w:rsidP="00E73D4B">
      <w:r w:rsidRPr="00E73D4B">
        <w:t xml:space="preserve">Vedtaket </w:t>
      </w:r>
      <w:proofErr w:type="spellStart"/>
      <w:r w:rsidRPr="00E73D4B">
        <w:t>vart</w:t>
      </w:r>
      <w:proofErr w:type="spellEnd"/>
      <w:r w:rsidRPr="00E73D4B">
        <w:t xml:space="preserve"> gjort ved behandlinga </w:t>
      </w:r>
      <w:proofErr w:type="spellStart"/>
      <w:r w:rsidRPr="00E73D4B">
        <w:t>Prop</w:t>
      </w:r>
      <w:proofErr w:type="spellEnd"/>
      <w:r w:rsidRPr="00E73D4B">
        <w:t xml:space="preserve">. 192 S (2020–2021) </w:t>
      </w:r>
      <w:r w:rsidRPr="00E73D4B">
        <w:rPr>
          <w:rStyle w:val="kursiv"/>
        </w:rPr>
        <w:t>Kommuneproposisjonen for 2022,</w:t>
      </w:r>
      <w:r w:rsidRPr="00E73D4B">
        <w:t xml:space="preserve"> jf. </w:t>
      </w:r>
      <w:proofErr w:type="spellStart"/>
      <w:r w:rsidRPr="00E73D4B">
        <w:t>Innst</w:t>
      </w:r>
      <w:proofErr w:type="spellEnd"/>
      <w:r w:rsidRPr="00E73D4B">
        <w:t xml:space="preserve">. 660 S (2020–2021). Regjeringa vil vurdere korleis vedtaket skal </w:t>
      </w:r>
      <w:proofErr w:type="spellStart"/>
      <w:r w:rsidRPr="00E73D4B">
        <w:t>følgjast</w:t>
      </w:r>
      <w:proofErr w:type="spellEnd"/>
      <w:r w:rsidRPr="00E73D4B">
        <w:t xml:space="preserve"> opp og vil </w:t>
      </w:r>
      <w:proofErr w:type="spellStart"/>
      <w:r w:rsidRPr="00E73D4B">
        <w:t>kome</w:t>
      </w:r>
      <w:proofErr w:type="spellEnd"/>
      <w:r w:rsidRPr="00E73D4B">
        <w:t xml:space="preserve"> tilbake til Stortinget om saka.</w:t>
      </w:r>
    </w:p>
    <w:p w14:paraId="27FAD0C1" w14:textId="77777777" w:rsidR="00972395" w:rsidRPr="00E73D4B" w:rsidRDefault="00F120C7" w:rsidP="00E73D4B">
      <w:pPr>
        <w:pStyle w:val="Overskrift2"/>
      </w:pPr>
      <w:r w:rsidRPr="00E73D4B">
        <w:t>Stortingssesjon 2019–2020</w:t>
      </w:r>
    </w:p>
    <w:p w14:paraId="5C27385B" w14:textId="77777777" w:rsidR="00972395" w:rsidRPr="00E73D4B" w:rsidRDefault="00F120C7" w:rsidP="00E73D4B">
      <w:pPr>
        <w:pStyle w:val="avsnitt-tittel"/>
      </w:pPr>
      <w:r w:rsidRPr="00E73D4B">
        <w:t xml:space="preserve">Kulturmiljømeldinga – </w:t>
      </w:r>
      <w:proofErr w:type="spellStart"/>
      <w:r w:rsidRPr="00E73D4B">
        <w:t>vedlikehald</w:t>
      </w:r>
      <w:proofErr w:type="spellEnd"/>
      <w:r w:rsidRPr="00E73D4B">
        <w:t xml:space="preserve"> av privateide kulturminne og kulturmiljø</w:t>
      </w:r>
    </w:p>
    <w:p w14:paraId="67A9D665" w14:textId="77777777" w:rsidR="00972395" w:rsidRPr="00E73D4B" w:rsidRDefault="00F120C7" w:rsidP="00E73D4B">
      <w:pPr>
        <w:pStyle w:val="avsnitt-undertittel"/>
      </w:pPr>
      <w:r w:rsidRPr="00E73D4B">
        <w:t>Vedtak nr. 707, 16. juni 2020</w:t>
      </w:r>
    </w:p>
    <w:p w14:paraId="7992CAA3" w14:textId="77777777" w:rsidR="00972395" w:rsidRPr="00E73D4B" w:rsidRDefault="00F120C7" w:rsidP="00E73D4B">
      <w:pPr>
        <w:pStyle w:val="blokksit"/>
        <w:rPr>
          <w:rStyle w:val="kursiv"/>
        </w:rPr>
      </w:pPr>
      <w:r w:rsidRPr="00E73D4B">
        <w:rPr>
          <w:rStyle w:val="kursiv"/>
        </w:rPr>
        <w:t xml:space="preserve">«Stortinget ber regjeringen i samband med bevaringsstrategiene, fremme forslag om hvordan staten kan stimulere private eiere av kulturminner og kulturmiljøer til jevnt, godt vedlikehold gjennom skatte- og </w:t>
      </w:r>
      <w:proofErr w:type="spellStart"/>
      <w:r w:rsidRPr="00E73D4B">
        <w:rPr>
          <w:rStyle w:val="kursiv"/>
        </w:rPr>
        <w:t>avgiftsinsentiver</w:t>
      </w:r>
      <w:proofErr w:type="spellEnd"/>
      <w:r w:rsidRPr="00E73D4B">
        <w:rPr>
          <w:rStyle w:val="kursiv"/>
        </w:rPr>
        <w:t>.</w:t>
      </w:r>
    </w:p>
    <w:p w14:paraId="0F74C947"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16 (2019–2020) – </w:t>
      </w:r>
      <w:r w:rsidRPr="00E73D4B">
        <w:rPr>
          <w:rStyle w:val="kursiv"/>
        </w:rPr>
        <w:t>Nye mål i kulturmiljøpolitikken – Engasjement, bærekraft og mangfold</w:t>
      </w:r>
      <w:r w:rsidRPr="00E73D4B">
        <w:t xml:space="preserve">, jf. </w:t>
      </w:r>
      <w:proofErr w:type="spellStart"/>
      <w:r w:rsidRPr="00E73D4B">
        <w:t>Innst</w:t>
      </w:r>
      <w:proofErr w:type="spellEnd"/>
      <w:r w:rsidRPr="00E73D4B">
        <w:t xml:space="preserve">. 379 S (2019–2020). Oppmodingsvedtaket vil </w:t>
      </w:r>
      <w:proofErr w:type="spellStart"/>
      <w:r w:rsidRPr="00E73D4B">
        <w:t>verte</w:t>
      </w:r>
      <w:proofErr w:type="spellEnd"/>
      <w:r w:rsidRPr="00E73D4B">
        <w:t xml:space="preserve"> </w:t>
      </w:r>
      <w:proofErr w:type="spellStart"/>
      <w:r w:rsidRPr="00E73D4B">
        <w:t>følgt</w:t>
      </w:r>
      <w:proofErr w:type="spellEnd"/>
      <w:r w:rsidRPr="00E73D4B">
        <w:t xml:space="preserve"> opp i samråd med Klima- og miljødepartementet og i samsvar med nye </w:t>
      </w:r>
      <w:proofErr w:type="spellStart"/>
      <w:r w:rsidRPr="00E73D4B">
        <w:t>bevaringsstrategiar</w:t>
      </w:r>
      <w:proofErr w:type="spellEnd"/>
      <w:r w:rsidRPr="00E73D4B">
        <w:t xml:space="preserve"> som Klima- og miljødepartementet førebur. Finansdepartementet vil </w:t>
      </w:r>
      <w:proofErr w:type="spellStart"/>
      <w:r w:rsidRPr="00E73D4B">
        <w:t>kome</w:t>
      </w:r>
      <w:proofErr w:type="spellEnd"/>
      <w:r w:rsidRPr="00E73D4B">
        <w:t xml:space="preserve"> tilbake til Stortinget om saka.</w:t>
      </w:r>
    </w:p>
    <w:p w14:paraId="0E5A583A" w14:textId="77777777" w:rsidR="00972395" w:rsidRPr="00E73D4B" w:rsidRDefault="00F120C7" w:rsidP="00E73D4B">
      <w:pPr>
        <w:pStyle w:val="avsnitt-tittel"/>
      </w:pPr>
      <w:proofErr w:type="spellStart"/>
      <w:r w:rsidRPr="00E73D4B">
        <w:t>Reiarlagskatteordninga</w:t>
      </w:r>
      <w:proofErr w:type="spellEnd"/>
    </w:p>
    <w:p w14:paraId="3AF75BB9" w14:textId="77777777" w:rsidR="00972395" w:rsidRPr="00E73D4B" w:rsidRDefault="00F120C7" w:rsidP="00E73D4B">
      <w:pPr>
        <w:pStyle w:val="avsnitt-undertittel"/>
      </w:pPr>
      <w:r w:rsidRPr="00E73D4B">
        <w:t>Vedtak nr. 784, 19. juni 2020</w:t>
      </w:r>
    </w:p>
    <w:p w14:paraId="3E8699F4" w14:textId="77777777" w:rsidR="00972395" w:rsidRPr="00E73D4B" w:rsidRDefault="00F120C7" w:rsidP="00E73D4B">
      <w:pPr>
        <w:pStyle w:val="blokksit"/>
        <w:rPr>
          <w:rStyle w:val="kursiv"/>
        </w:rPr>
      </w:pPr>
      <w:r w:rsidRPr="00E73D4B">
        <w:rPr>
          <w:rStyle w:val="kursiv"/>
        </w:rPr>
        <w:t>«Stortinget ber regjeringen utrede og vurdere endringer i rederiskatteordningen slik at selskaper innenfor ordningen i tillegg til virksomhet som kvalifiserer for rederibeskatning kan drive virksomhet som ikke er støtteberettiget, og som skal beskattes ordinært. Status for saken skal omtales i forbindelse med statsbudsjettet for 2021.»</w:t>
      </w:r>
    </w:p>
    <w:p w14:paraId="4CCD05FF"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2 (2019–2020), jf. </w:t>
      </w:r>
      <w:proofErr w:type="spellStart"/>
      <w:r w:rsidRPr="00E73D4B">
        <w:t>Innst</w:t>
      </w:r>
      <w:proofErr w:type="spellEnd"/>
      <w:r w:rsidRPr="00E73D4B">
        <w:t xml:space="preserve">. 360 S (2019–2020). Finansdepartementet arbeider med oppfølging av vedtaket og vil </w:t>
      </w:r>
      <w:proofErr w:type="spellStart"/>
      <w:r w:rsidRPr="00E73D4B">
        <w:t>kome</w:t>
      </w:r>
      <w:proofErr w:type="spellEnd"/>
      <w:r w:rsidRPr="00E73D4B">
        <w:t xml:space="preserve"> tilbake til Stortinget om saka. Saka er </w:t>
      </w:r>
      <w:proofErr w:type="spellStart"/>
      <w:r w:rsidRPr="00E73D4B">
        <w:t>nærare</w:t>
      </w:r>
      <w:proofErr w:type="spellEnd"/>
      <w:r w:rsidRPr="00E73D4B">
        <w:t xml:space="preserve"> omtalt i </w:t>
      </w:r>
      <w:proofErr w:type="spellStart"/>
      <w:r w:rsidRPr="00E73D4B">
        <w:t>Prop</w:t>
      </w:r>
      <w:proofErr w:type="spellEnd"/>
      <w:r w:rsidRPr="00E73D4B">
        <w:t>. 1 LS (2022–2023), kapittel 15.</w:t>
      </w:r>
    </w:p>
    <w:p w14:paraId="706BF81A" w14:textId="77777777" w:rsidR="00972395" w:rsidRPr="00E73D4B" w:rsidRDefault="00F120C7" w:rsidP="00E73D4B">
      <w:pPr>
        <w:pStyle w:val="Overskrift2"/>
      </w:pPr>
      <w:r w:rsidRPr="00E73D4B">
        <w:t>Stortingssesjon 2018–2019</w:t>
      </w:r>
    </w:p>
    <w:p w14:paraId="7919EFEF" w14:textId="77777777" w:rsidR="00972395" w:rsidRPr="00E73D4B" w:rsidRDefault="00F120C7" w:rsidP="00E73D4B">
      <w:pPr>
        <w:pStyle w:val="avsnitt-tittel"/>
      </w:pPr>
      <w:r w:rsidRPr="00E73D4B">
        <w:t xml:space="preserve">Skattefrie </w:t>
      </w:r>
      <w:proofErr w:type="spellStart"/>
      <w:r w:rsidRPr="00E73D4B">
        <w:t>satsar</w:t>
      </w:r>
      <w:proofErr w:type="spellEnd"/>
      <w:r w:rsidRPr="00E73D4B">
        <w:t xml:space="preserve"> ved </w:t>
      </w:r>
      <w:proofErr w:type="spellStart"/>
      <w:r w:rsidRPr="00E73D4B">
        <w:t>kostgodtgjering</w:t>
      </w:r>
      <w:proofErr w:type="spellEnd"/>
      <w:r w:rsidRPr="00E73D4B">
        <w:t xml:space="preserve"> på reiser</w:t>
      </w:r>
    </w:p>
    <w:p w14:paraId="731692A4" w14:textId="77777777" w:rsidR="00972395" w:rsidRPr="00E73D4B" w:rsidRDefault="00F120C7" w:rsidP="00E73D4B">
      <w:pPr>
        <w:pStyle w:val="avsnitt-undertittel"/>
      </w:pPr>
      <w:r w:rsidRPr="00E73D4B">
        <w:t>Vedtak nr. 188, 12. desember 2018</w:t>
      </w:r>
    </w:p>
    <w:p w14:paraId="4404904B" w14:textId="77777777" w:rsidR="00972395" w:rsidRPr="00E73D4B" w:rsidRDefault="00F120C7" w:rsidP="00E73D4B">
      <w:pPr>
        <w:pStyle w:val="blokksit"/>
        <w:rPr>
          <w:rStyle w:val="kursiv"/>
        </w:rPr>
      </w:pPr>
      <w:r w:rsidRPr="00E73D4B">
        <w:rPr>
          <w:rStyle w:val="kursiv"/>
        </w:rPr>
        <w:t>«Stortinget ber regjeringen sørge for at det i 2019 settes like skattefrie satser ved kostgodtgjørelse for tjenestereiser og pendleropphold utenlands som innenlands.»</w:t>
      </w:r>
    </w:p>
    <w:p w14:paraId="7E206AAE" w14:textId="4549DF15"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Prop</w:t>
      </w:r>
      <w:proofErr w:type="spellEnd"/>
      <w:r w:rsidRPr="00E73D4B">
        <w:t xml:space="preserve">. 1 LS (2018–2019), jf. </w:t>
      </w:r>
      <w:proofErr w:type="spellStart"/>
      <w:r w:rsidRPr="00E73D4B">
        <w:t>Innst</w:t>
      </w:r>
      <w:proofErr w:type="spellEnd"/>
      <w:r w:rsidRPr="00E73D4B">
        <w:t xml:space="preserve">. 3 S (2018–2019). Ved </w:t>
      </w:r>
      <w:proofErr w:type="spellStart"/>
      <w:r w:rsidRPr="00E73D4B">
        <w:t>ein</w:t>
      </w:r>
      <w:proofErr w:type="spellEnd"/>
      <w:r w:rsidRPr="00E73D4B">
        <w:t xml:space="preserve"> inkurie vart vedtaket </w:t>
      </w:r>
      <w:proofErr w:type="spellStart"/>
      <w:r w:rsidRPr="00E73D4B">
        <w:t>ikkje</w:t>
      </w:r>
      <w:proofErr w:type="spellEnd"/>
      <w:r w:rsidRPr="00E73D4B">
        <w:t xml:space="preserve"> sendt </w:t>
      </w:r>
      <w:proofErr w:type="spellStart"/>
      <w:r w:rsidRPr="00E73D4B">
        <w:t>frå</w:t>
      </w:r>
      <w:proofErr w:type="spellEnd"/>
      <w:r w:rsidRPr="00E73D4B">
        <w:t xml:space="preserve"> Stortinget før i oktober 2021. I </w:t>
      </w:r>
      <w:proofErr w:type="spellStart"/>
      <w:r w:rsidRPr="00E73D4B">
        <w:t>Prop</w:t>
      </w:r>
      <w:proofErr w:type="spellEnd"/>
      <w:r w:rsidRPr="00E73D4B">
        <w:t xml:space="preserve">. 1 LS (2022–2023), kapittel 14, opplyser </w:t>
      </w:r>
      <w:proofErr w:type="spellStart"/>
      <w:r w:rsidRPr="00E73D4B">
        <w:t>ein</w:t>
      </w:r>
      <w:proofErr w:type="spellEnd"/>
      <w:r w:rsidRPr="00E73D4B">
        <w:t xml:space="preserve"> at </w:t>
      </w:r>
      <w:proofErr w:type="spellStart"/>
      <w:r w:rsidRPr="00E73D4B">
        <w:t>dei</w:t>
      </w:r>
      <w:proofErr w:type="spellEnd"/>
      <w:r w:rsidRPr="00E73D4B">
        <w:t xml:space="preserve"> skattefrie </w:t>
      </w:r>
      <w:proofErr w:type="spellStart"/>
      <w:r w:rsidRPr="00E73D4B">
        <w:t>satsane</w:t>
      </w:r>
      <w:proofErr w:type="spellEnd"/>
      <w:r w:rsidRPr="00E73D4B">
        <w:t xml:space="preserve"> for </w:t>
      </w:r>
      <w:proofErr w:type="spellStart"/>
      <w:r w:rsidRPr="00E73D4B">
        <w:t>kostgodtgjering</w:t>
      </w:r>
      <w:proofErr w:type="spellEnd"/>
      <w:r w:rsidRPr="00E73D4B">
        <w:t xml:space="preserve"> vart endra i samsvar med oppmodingsvedtaket </w:t>
      </w:r>
      <w:proofErr w:type="spellStart"/>
      <w:r w:rsidRPr="00E73D4B">
        <w:t>frå</w:t>
      </w:r>
      <w:proofErr w:type="spellEnd"/>
      <w:r w:rsidRPr="00E73D4B">
        <w:t xml:space="preserve"> 1. januar 2019. Like </w:t>
      </w:r>
      <w:proofErr w:type="spellStart"/>
      <w:r w:rsidRPr="00E73D4B">
        <w:t>satsar</w:t>
      </w:r>
      <w:proofErr w:type="spellEnd"/>
      <w:r w:rsidRPr="00E73D4B">
        <w:t xml:space="preserve"> følgjer av forskrift om </w:t>
      </w:r>
      <w:proofErr w:type="spellStart"/>
      <w:r w:rsidRPr="00E73D4B">
        <w:t>takseringsreglar</w:t>
      </w:r>
      <w:proofErr w:type="spellEnd"/>
      <w:r w:rsidRPr="00E73D4B">
        <w:t xml:space="preserve"> 2019 §§ 1</w:t>
      </w:r>
      <w:r w:rsidR="00E73D4B">
        <w:t>-</w:t>
      </w:r>
      <w:r w:rsidRPr="00E73D4B">
        <w:t xml:space="preserve">2-2 og 1-2-4 og av satsforskriften 2020 §§ 3 og 4. Departementet ser det slik at oppmodingsvedtaket er </w:t>
      </w:r>
      <w:proofErr w:type="spellStart"/>
      <w:r w:rsidRPr="00E73D4B">
        <w:t>følgt</w:t>
      </w:r>
      <w:proofErr w:type="spellEnd"/>
      <w:r w:rsidRPr="00E73D4B">
        <w:t xml:space="preserve"> opp.</w:t>
      </w:r>
    </w:p>
    <w:p w14:paraId="3CA98275" w14:textId="77777777" w:rsidR="00972395" w:rsidRPr="00E73D4B" w:rsidRDefault="00F120C7" w:rsidP="00E73D4B">
      <w:pPr>
        <w:pStyle w:val="Overskrift2"/>
      </w:pPr>
      <w:r w:rsidRPr="00E73D4B">
        <w:t>Stortingssesjon 2016–2017</w:t>
      </w:r>
    </w:p>
    <w:p w14:paraId="4DFE960C" w14:textId="77777777" w:rsidR="00972395" w:rsidRPr="00E73D4B" w:rsidRDefault="00F120C7" w:rsidP="00E73D4B">
      <w:pPr>
        <w:pStyle w:val="avsnitt-tittel"/>
      </w:pPr>
      <w:r w:rsidRPr="00E73D4B">
        <w:t>Land-for-land rapportering</w:t>
      </w:r>
    </w:p>
    <w:p w14:paraId="3ACF3881" w14:textId="77777777" w:rsidR="00972395" w:rsidRPr="00E73D4B" w:rsidRDefault="00F120C7" w:rsidP="00E73D4B">
      <w:pPr>
        <w:pStyle w:val="avsnitt-undertittel"/>
      </w:pPr>
      <w:r w:rsidRPr="00E73D4B">
        <w:t>Vedtak nr. 48, 15. november 2016</w:t>
      </w:r>
    </w:p>
    <w:p w14:paraId="3AB78727" w14:textId="77777777" w:rsidR="00972395" w:rsidRPr="00E73D4B" w:rsidRDefault="00F120C7" w:rsidP="00E73D4B">
      <w:pPr>
        <w:pStyle w:val="blokksit"/>
        <w:rPr>
          <w:rStyle w:val="kursiv"/>
        </w:rPr>
      </w:pPr>
      <w:r w:rsidRPr="00E73D4B">
        <w:rPr>
          <w:rStyle w:val="kursiv"/>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2DC8B84A"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Prop</w:t>
      </w:r>
      <w:proofErr w:type="spellEnd"/>
      <w:r w:rsidRPr="00E73D4B">
        <w:t xml:space="preserve">. 120 L (2015–2016) </w:t>
      </w:r>
      <w:r w:rsidRPr="00E73D4B">
        <w:rPr>
          <w:rStyle w:val="kursiv"/>
        </w:rPr>
        <w:t>Endringer i ligningsloven (land-for-land-rapportering til skattemyndighetene)</w:t>
      </w:r>
      <w:r w:rsidRPr="00E73D4B">
        <w:t xml:space="preserve"> og </w:t>
      </w:r>
      <w:proofErr w:type="spellStart"/>
      <w:r w:rsidRPr="00E73D4B">
        <w:t>tilhøyrande</w:t>
      </w:r>
      <w:proofErr w:type="spellEnd"/>
      <w:r w:rsidRPr="00E73D4B">
        <w:t xml:space="preserve"> </w:t>
      </w:r>
      <w:proofErr w:type="spellStart"/>
      <w:r w:rsidRPr="00E73D4B">
        <w:t>Innst</w:t>
      </w:r>
      <w:proofErr w:type="spellEnd"/>
      <w:r w:rsidRPr="00E73D4B">
        <w:t xml:space="preserve">. 42 L (2016–2017). I </w:t>
      </w:r>
      <w:proofErr w:type="spellStart"/>
      <w:r w:rsidRPr="00E73D4B">
        <w:t>Prop</w:t>
      </w:r>
      <w:proofErr w:type="spellEnd"/>
      <w:r w:rsidRPr="00E73D4B">
        <w:t xml:space="preserve">. 1 S (2021–2022) opplyste Finansdepartementet at det på EU-nivå </w:t>
      </w:r>
      <w:proofErr w:type="spellStart"/>
      <w:r w:rsidRPr="00E73D4B">
        <w:t>vart</w:t>
      </w:r>
      <w:proofErr w:type="spellEnd"/>
      <w:r w:rsidRPr="00E73D4B">
        <w:t xml:space="preserve"> oppnådd semje om nye </w:t>
      </w:r>
      <w:proofErr w:type="spellStart"/>
      <w:r w:rsidRPr="00E73D4B">
        <w:t>reglar</w:t>
      </w:r>
      <w:proofErr w:type="spellEnd"/>
      <w:r w:rsidRPr="00E73D4B">
        <w:t xml:space="preserve"> på området som oppmodingsvedtaket gjeld, og at det tok sikte på å utarbeide og høyre framlegg til </w:t>
      </w:r>
      <w:proofErr w:type="spellStart"/>
      <w:r w:rsidRPr="00E73D4B">
        <w:t>lovendringar</w:t>
      </w:r>
      <w:proofErr w:type="spellEnd"/>
      <w:r w:rsidRPr="00E73D4B">
        <w:t xml:space="preserve"> basert på forventa EØS-</w:t>
      </w:r>
      <w:proofErr w:type="spellStart"/>
      <w:r w:rsidRPr="00E73D4B">
        <w:t>rettslege</w:t>
      </w:r>
      <w:proofErr w:type="spellEnd"/>
      <w:r w:rsidRPr="00E73D4B">
        <w:t xml:space="preserve"> skyldnader, der òg oppmodingsvedtaket vil </w:t>
      </w:r>
      <w:proofErr w:type="spellStart"/>
      <w:r w:rsidRPr="00E73D4B">
        <w:t>verte</w:t>
      </w:r>
      <w:proofErr w:type="spellEnd"/>
      <w:r w:rsidRPr="00E73D4B">
        <w:t xml:space="preserve"> </w:t>
      </w:r>
      <w:proofErr w:type="spellStart"/>
      <w:r w:rsidRPr="00E73D4B">
        <w:t>følgt</w:t>
      </w:r>
      <w:proofErr w:type="spellEnd"/>
      <w:r w:rsidRPr="00E73D4B">
        <w:t xml:space="preserve"> opp. I </w:t>
      </w:r>
      <w:proofErr w:type="spellStart"/>
      <w:r w:rsidRPr="00E73D4B">
        <w:t>Innst</w:t>
      </w:r>
      <w:proofErr w:type="spellEnd"/>
      <w:r w:rsidRPr="00E73D4B">
        <w:t>. 141 S (2021–2022) opplyste kontroll- og konstitusjonskomiteen at regjeringa si omtale vert teken til etterretning. EU-</w:t>
      </w:r>
      <w:proofErr w:type="spellStart"/>
      <w:r w:rsidRPr="00E73D4B">
        <w:t>reglane</w:t>
      </w:r>
      <w:proofErr w:type="spellEnd"/>
      <w:r w:rsidRPr="00E73D4B">
        <w:t xml:space="preserve"> vart </w:t>
      </w:r>
      <w:proofErr w:type="spellStart"/>
      <w:r w:rsidRPr="00E73D4B">
        <w:t>offentleggjorde</w:t>
      </w:r>
      <w:proofErr w:type="spellEnd"/>
      <w:r w:rsidRPr="00E73D4B">
        <w:t xml:space="preserve"> i november 2021. Direktivet er per </w:t>
      </w:r>
      <w:proofErr w:type="spellStart"/>
      <w:r w:rsidRPr="00E73D4B">
        <w:t>no</w:t>
      </w:r>
      <w:proofErr w:type="spellEnd"/>
      <w:r w:rsidRPr="00E73D4B">
        <w:t xml:space="preserve"> </w:t>
      </w:r>
      <w:proofErr w:type="spellStart"/>
      <w:r w:rsidRPr="00E73D4B">
        <w:t>ikkje</w:t>
      </w:r>
      <w:proofErr w:type="spellEnd"/>
      <w:r w:rsidRPr="00E73D4B">
        <w:t xml:space="preserve"> innlemma i EØS-avtalen. Finansdepartementet </w:t>
      </w:r>
      <w:proofErr w:type="spellStart"/>
      <w:r w:rsidRPr="00E73D4B">
        <w:t>tek</w:t>
      </w:r>
      <w:proofErr w:type="spellEnd"/>
      <w:r w:rsidRPr="00E73D4B">
        <w:t xml:space="preserve"> sikte på å utarbeide og høyre framlegg til </w:t>
      </w:r>
      <w:proofErr w:type="spellStart"/>
      <w:r w:rsidRPr="00E73D4B">
        <w:t>lovendringar</w:t>
      </w:r>
      <w:proofErr w:type="spellEnd"/>
      <w:r w:rsidRPr="00E73D4B">
        <w:t>, basert på nye EU-</w:t>
      </w:r>
      <w:proofErr w:type="spellStart"/>
      <w:r w:rsidRPr="00E73D4B">
        <w:t>reglar</w:t>
      </w:r>
      <w:proofErr w:type="spellEnd"/>
      <w:r w:rsidRPr="00E73D4B">
        <w:t>.</w:t>
      </w:r>
    </w:p>
    <w:p w14:paraId="0852AF8D" w14:textId="77777777" w:rsidR="00972395" w:rsidRPr="00E73D4B" w:rsidRDefault="00F120C7" w:rsidP="00E73D4B">
      <w:pPr>
        <w:pStyle w:val="avsnitt-tittel"/>
      </w:pPr>
      <w:r w:rsidRPr="00E73D4B">
        <w:t xml:space="preserve">Sikre behovet hos </w:t>
      </w:r>
      <w:proofErr w:type="spellStart"/>
      <w:r w:rsidRPr="00E73D4B">
        <w:t>bustadkjøparar</w:t>
      </w:r>
      <w:proofErr w:type="spellEnd"/>
      <w:r w:rsidRPr="00E73D4B">
        <w:t xml:space="preserve"> for </w:t>
      </w:r>
      <w:proofErr w:type="spellStart"/>
      <w:r w:rsidRPr="00E73D4B">
        <w:t>meir</w:t>
      </w:r>
      <w:proofErr w:type="spellEnd"/>
      <w:r w:rsidRPr="00E73D4B">
        <w:t xml:space="preserve"> tid i bustadhandelen</w:t>
      </w:r>
    </w:p>
    <w:p w14:paraId="67255E55" w14:textId="77777777" w:rsidR="00972395" w:rsidRPr="00E73D4B" w:rsidRDefault="00F120C7" w:rsidP="00E73D4B">
      <w:pPr>
        <w:pStyle w:val="avsnitt-undertittel"/>
      </w:pPr>
      <w:r w:rsidRPr="00E73D4B">
        <w:t>Vedtak nr. 1040, 20. juni 2017</w:t>
      </w:r>
    </w:p>
    <w:p w14:paraId="1FA0BFDE" w14:textId="77777777" w:rsidR="00972395" w:rsidRPr="00E73D4B" w:rsidRDefault="00F120C7" w:rsidP="00E73D4B">
      <w:pPr>
        <w:pStyle w:val="blokksit"/>
        <w:rPr>
          <w:rStyle w:val="kursiv"/>
        </w:rPr>
      </w:pPr>
      <w:r w:rsidRPr="00E73D4B">
        <w:rPr>
          <w:rStyle w:val="kursiv"/>
        </w:rPr>
        <w:t>«Stortinget ber regjeringen sikre boligkjøpernes behov for mer tid i bolighandelen gjennom forskriftene til eiendomsmeglingsloven eller ved å fremme forslag for Stortinget om endringer i avhendingsloven.»</w:t>
      </w:r>
    </w:p>
    <w:p w14:paraId="74ED6B15"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8:123 S (2016–2017) </w:t>
      </w:r>
      <w:r w:rsidRPr="00E73D4B">
        <w:rPr>
          <w:rStyle w:val="kursiv"/>
        </w:rPr>
        <w:t xml:space="preserve">Representantforslag fra stortingsrepresentantene Hans Olav Syversen, Line Henriette Hjemdal, Hans Fredrik Grøvan, Kjell Ingolf Ropstad og Geir Sigbjørn </w:t>
      </w:r>
      <w:proofErr w:type="spellStart"/>
      <w:r w:rsidRPr="00E73D4B">
        <w:rPr>
          <w:rStyle w:val="kursiv"/>
        </w:rPr>
        <w:t>Toskedal</w:t>
      </w:r>
      <w:proofErr w:type="spellEnd"/>
      <w:r w:rsidRPr="00E73D4B">
        <w:rPr>
          <w:rStyle w:val="kursiv"/>
        </w:rPr>
        <w:t xml:space="preserve"> om tiltak for å styrke forbrukernes rettigheter i handel med bolig</w:t>
      </w:r>
      <w:r w:rsidRPr="00E73D4B">
        <w:t xml:space="preserve">, jf. </w:t>
      </w:r>
      <w:proofErr w:type="spellStart"/>
      <w:r w:rsidRPr="00E73D4B">
        <w:t>Innst</w:t>
      </w:r>
      <w:proofErr w:type="spellEnd"/>
      <w:r w:rsidRPr="00E73D4B">
        <w:t>. 477 S (2016–2017).</w:t>
      </w:r>
    </w:p>
    <w:p w14:paraId="5331F0C0" w14:textId="77777777" w:rsidR="00972395" w:rsidRPr="00E73D4B" w:rsidRDefault="00F120C7" w:rsidP="00E73D4B">
      <w:proofErr w:type="spellStart"/>
      <w:r w:rsidRPr="00E73D4B">
        <w:t>Eit</w:t>
      </w:r>
      <w:proofErr w:type="spellEnd"/>
      <w:r w:rsidRPr="00E73D4B">
        <w:t xml:space="preserve"> </w:t>
      </w:r>
      <w:proofErr w:type="spellStart"/>
      <w:r w:rsidRPr="00E73D4B">
        <w:t>utval</w:t>
      </w:r>
      <w:proofErr w:type="spellEnd"/>
      <w:r w:rsidRPr="00E73D4B">
        <w:t xml:space="preserve"> vart sett ned 11. oktober 2019 for å revidere </w:t>
      </w:r>
      <w:proofErr w:type="spellStart"/>
      <w:r w:rsidRPr="00E73D4B">
        <w:t>eigedomsmeklingslova</w:t>
      </w:r>
      <w:proofErr w:type="spellEnd"/>
      <w:r w:rsidRPr="00E73D4B">
        <w:t xml:space="preserve">. </w:t>
      </w:r>
      <w:proofErr w:type="spellStart"/>
      <w:r w:rsidRPr="00E73D4B">
        <w:t>Utvalet</w:t>
      </w:r>
      <w:proofErr w:type="spellEnd"/>
      <w:r w:rsidRPr="00E73D4B">
        <w:t xml:space="preserve"> overleverte si utgreiing, NOU 2021: 7 </w:t>
      </w:r>
      <w:r w:rsidRPr="00E73D4B">
        <w:rPr>
          <w:rStyle w:val="kursiv"/>
        </w:rPr>
        <w:t>Trygg og enkel eiendomsmegling — Evaluering av eiendomsmeglingsloven og forslag til en fremtidsrettet regulering</w:t>
      </w:r>
      <w:r w:rsidRPr="00E73D4B">
        <w:t xml:space="preserve">, 4. juni 2021. Utgreiinga </w:t>
      </w:r>
      <w:proofErr w:type="spellStart"/>
      <w:r w:rsidRPr="00E73D4B">
        <w:t>inneheld</w:t>
      </w:r>
      <w:proofErr w:type="spellEnd"/>
      <w:r w:rsidRPr="00E73D4B">
        <w:t xml:space="preserve"> mellom anna framlegg til </w:t>
      </w:r>
      <w:proofErr w:type="spellStart"/>
      <w:r w:rsidRPr="00E73D4B">
        <w:t>endringar</w:t>
      </w:r>
      <w:proofErr w:type="spellEnd"/>
      <w:r w:rsidRPr="00E73D4B">
        <w:t xml:space="preserve"> som skal sikre </w:t>
      </w:r>
      <w:proofErr w:type="spellStart"/>
      <w:r w:rsidRPr="00E73D4B">
        <w:t>forbrukarar</w:t>
      </w:r>
      <w:proofErr w:type="spellEnd"/>
      <w:r w:rsidRPr="00E73D4B">
        <w:t xml:space="preserve"> </w:t>
      </w:r>
      <w:proofErr w:type="spellStart"/>
      <w:r w:rsidRPr="00E73D4B">
        <w:t>meir</w:t>
      </w:r>
      <w:proofErr w:type="spellEnd"/>
      <w:r w:rsidRPr="00E73D4B">
        <w:t xml:space="preserve"> tid i bustadhandelen. Utgreiinga har </w:t>
      </w:r>
      <w:proofErr w:type="spellStart"/>
      <w:r w:rsidRPr="00E73D4B">
        <w:t>vore</w:t>
      </w:r>
      <w:proofErr w:type="spellEnd"/>
      <w:r w:rsidRPr="00E73D4B">
        <w:t xml:space="preserve"> på </w:t>
      </w:r>
      <w:proofErr w:type="spellStart"/>
      <w:r w:rsidRPr="00E73D4B">
        <w:t>høyring</w:t>
      </w:r>
      <w:proofErr w:type="spellEnd"/>
      <w:r w:rsidRPr="00E73D4B">
        <w:t xml:space="preserve"> til oktober 2021 og ligg </w:t>
      </w:r>
      <w:proofErr w:type="spellStart"/>
      <w:r w:rsidRPr="00E73D4B">
        <w:t>no</w:t>
      </w:r>
      <w:proofErr w:type="spellEnd"/>
      <w:r w:rsidRPr="00E73D4B">
        <w:t xml:space="preserve"> til vurdering i departementet.</w:t>
      </w:r>
    </w:p>
    <w:p w14:paraId="3DEDD3C9" w14:textId="77777777" w:rsidR="00972395" w:rsidRPr="00E73D4B" w:rsidRDefault="00F120C7" w:rsidP="00E73D4B">
      <w:pPr>
        <w:pStyle w:val="Overskrift1"/>
      </w:pPr>
      <w:proofErr w:type="spellStart"/>
      <w:r w:rsidRPr="00E73D4B">
        <w:t>Forsvarsdepartmentet</w:t>
      </w:r>
      <w:proofErr w:type="spellEnd"/>
    </w:p>
    <w:p w14:paraId="67E29E48" w14:textId="2A2096D7" w:rsidR="00972395" w:rsidRDefault="00F120C7" w:rsidP="00E73D4B">
      <w:r w:rsidRPr="00E73D4B">
        <w:t xml:space="preserve">Nedenfor gis en oversikt over oppfølging av anmodnings- og utredningsvedtak under Forsvarsdepartementet. Oversikten inkluderer alle de vedtakene fra tidligere stortingssesjoner som kontroll- og konstitusjonskomiteen i </w:t>
      </w:r>
      <w:proofErr w:type="spellStart"/>
      <w:r w:rsidRPr="00E73D4B">
        <w:t>Innst</w:t>
      </w:r>
      <w:proofErr w:type="spellEnd"/>
      <w:r w:rsidRPr="00E73D4B">
        <w:t xml:space="preserve">. 141 S (2021–2022) mente ikke var </w:t>
      </w:r>
      <w:proofErr w:type="spellStart"/>
      <w:r w:rsidRPr="00E73D4B">
        <w:t>utkvittert</w:t>
      </w:r>
      <w:proofErr w:type="spellEnd"/>
      <w:r w:rsidRPr="00E73D4B">
        <w:t>. I tabellen nedenfor angis det også hvorvidt Forsvarsdepartementet planlegger at rapporteringen knyttet til anmodningsvedtaket nå avsluttes eller om departementet vil rapportere konkret på vedtaket også i neste års budsjettproposisjon. Det er ingen nye vedtak i sesjonen 2021–2022.</w:t>
      </w:r>
    </w:p>
    <w:p w14:paraId="3F477785" w14:textId="33C0F2BF" w:rsidR="00681E28" w:rsidRPr="00E73D4B" w:rsidRDefault="00681E28" w:rsidP="00681E28">
      <w:pPr>
        <w:pStyle w:val="tabell-tittel"/>
      </w:pPr>
      <w:r w:rsidRPr="00E73D4B">
        <w:t>Oversikt over anmodnings- og utredningsvedtak, ordnet etter sesjon og nummer</w:t>
      </w:r>
    </w:p>
    <w:p w14:paraId="7BDF2F4E"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418"/>
        <w:gridCol w:w="1233"/>
        <w:gridCol w:w="5146"/>
        <w:gridCol w:w="1403"/>
      </w:tblGrid>
      <w:tr w:rsidR="00972395" w:rsidRPr="00E73D4B" w14:paraId="32501408" w14:textId="77777777" w:rsidTr="007116DC">
        <w:trPr>
          <w:trHeight w:val="600"/>
        </w:trPr>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CF8AA90" w14:textId="77777777" w:rsidR="00972395" w:rsidRPr="00E73D4B" w:rsidRDefault="00F120C7" w:rsidP="00681E28">
            <w:r w:rsidRPr="00E73D4B">
              <w:t>Sesjon</w:t>
            </w:r>
          </w:p>
        </w:tc>
        <w:tc>
          <w:tcPr>
            <w:tcW w:w="12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B406A5" w14:textId="77777777" w:rsidR="00972395" w:rsidRPr="00E73D4B" w:rsidRDefault="00F120C7" w:rsidP="00681E28">
            <w:pPr>
              <w:jc w:val="right"/>
            </w:pPr>
            <w:r w:rsidRPr="00E73D4B">
              <w:t>Vedtak nr.</w:t>
            </w:r>
          </w:p>
        </w:tc>
        <w:tc>
          <w:tcPr>
            <w:tcW w:w="514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6FA17D" w14:textId="77777777" w:rsidR="00972395" w:rsidRPr="00E73D4B" w:rsidRDefault="00F120C7" w:rsidP="00681E28">
            <w:r w:rsidRPr="00E73D4B">
              <w:t>Stikkord</w:t>
            </w:r>
          </w:p>
        </w:tc>
        <w:tc>
          <w:tcPr>
            <w:tcW w:w="140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92FF11" w14:textId="77777777" w:rsidR="00972395" w:rsidRPr="00E73D4B" w:rsidRDefault="00F120C7" w:rsidP="00681E28">
            <w:pPr>
              <w:jc w:val="right"/>
            </w:pPr>
            <w:r w:rsidRPr="00E73D4B">
              <w:t>Rapportering avsluttes</w:t>
            </w:r>
          </w:p>
        </w:tc>
      </w:tr>
      <w:tr w:rsidR="00972395" w:rsidRPr="00E73D4B" w14:paraId="6F83A8F4" w14:textId="77777777" w:rsidTr="007116DC">
        <w:trPr>
          <w:trHeight w:val="380"/>
        </w:trPr>
        <w:tc>
          <w:tcPr>
            <w:tcW w:w="1418" w:type="dxa"/>
            <w:tcBorders>
              <w:top w:val="single" w:sz="4" w:space="0" w:color="000000"/>
              <w:left w:val="nil"/>
              <w:bottom w:val="nil"/>
              <w:right w:val="nil"/>
            </w:tcBorders>
            <w:tcMar>
              <w:top w:w="128" w:type="dxa"/>
              <w:left w:w="43" w:type="dxa"/>
              <w:bottom w:w="43" w:type="dxa"/>
              <w:right w:w="43" w:type="dxa"/>
            </w:tcMar>
          </w:tcPr>
          <w:p w14:paraId="451D3D1D" w14:textId="77777777" w:rsidR="00972395" w:rsidRPr="00E73D4B" w:rsidRDefault="00F120C7" w:rsidP="00681E28">
            <w:r w:rsidRPr="00E73D4B">
              <w:t>2020–2021</w:t>
            </w:r>
          </w:p>
        </w:tc>
        <w:tc>
          <w:tcPr>
            <w:tcW w:w="1233" w:type="dxa"/>
            <w:tcBorders>
              <w:top w:val="single" w:sz="4" w:space="0" w:color="000000"/>
              <w:left w:val="nil"/>
              <w:bottom w:val="nil"/>
              <w:right w:val="nil"/>
            </w:tcBorders>
            <w:tcMar>
              <w:top w:w="128" w:type="dxa"/>
              <w:left w:w="43" w:type="dxa"/>
              <w:bottom w:w="43" w:type="dxa"/>
              <w:right w:w="43" w:type="dxa"/>
            </w:tcMar>
          </w:tcPr>
          <w:p w14:paraId="0DBE62F2" w14:textId="77777777" w:rsidR="00972395" w:rsidRPr="00E73D4B" w:rsidRDefault="00F120C7" w:rsidP="00681E28">
            <w:pPr>
              <w:jc w:val="right"/>
            </w:pPr>
            <w:r w:rsidRPr="00E73D4B">
              <w:t>31</w:t>
            </w:r>
          </w:p>
        </w:tc>
        <w:tc>
          <w:tcPr>
            <w:tcW w:w="5146" w:type="dxa"/>
            <w:tcBorders>
              <w:top w:val="single" w:sz="4" w:space="0" w:color="000000"/>
              <w:left w:val="nil"/>
              <w:bottom w:val="nil"/>
              <w:right w:val="nil"/>
            </w:tcBorders>
            <w:tcMar>
              <w:top w:w="128" w:type="dxa"/>
              <w:left w:w="43" w:type="dxa"/>
              <w:bottom w:w="43" w:type="dxa"/>
              <w:right w:w="43" w:type="dxa"/>
            </w:tcMar>
          </w:tcPr>
          <w:p w14:paraId="5BE6967C" w14:textId="77777777" w:rsidR="00972395" w:rsidRPr="00E73D4B" w:rsidRDefault="00F120C7" w:rsidP="00681E28">
            <w:r w:rsidRPr="00E73D4B">
              <w:t>Veteraner – kartlegging av prioriterte forskningsområder</w:t>
            </w:r>
          </w:p>
        </w:tc>
        <w:tc>
          <w:tcPr>
            <w:tcW w:w="1403" w:type="dxa"/>
            <w:tcBorders>
              <w:top w:val="single" w:sz="4" w:space="0" w:color="000000"/>
              <w:left w:val="nil"/>
              <w:bottom w:val="nil"/>
              <w:right w:val="nil"/>
            </w:tcBorders>
            <w:tcMar>
              <w:top w:w="128" w:type="dxa"/>
              <w:left w:w="43" w:type="dxa"/>
              <w:bottom w:w="43" w:type="dxa"/>
              <w:right w:w="43" w:type="dxa"/>
            </w:tcMar>
          </w:tcPr>
          <w:p w14:paraId="3827F235" w14:textId="77777777" w:rsidR="00972395" w:rsidRPr="00E73D4B" w:rsidRDefault="00F120C7" w:rsidP="00681E28">
            <w:pPr>
              <w:jc w:val="right"/>
            </w:pPr>
            <w:r w:rsidRPr="00E73D4B">
              <w:t>Ja</w:t>
            </w:r>
          </w:p>
        </w:tc>
      </w:tr>
      <w:tr w:rsidR="00972395" w:rsidRPr="00E73D4B" w14:paraId="30E7A51F"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8F58058"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6D49726D" w14:textId="77777777" w:rsidR="00972395" w:rsidRPr="00E73D4B" w:rsidRDefault="00F120C7" w:rsidP="00681E28">
            <w:pPr>
              <w:jc w:val="right"/>
            </w:pPr>
            <w:r w:rsidRPr="00E73D4B">
              <w:t>35</w:t>
            </w:r>
          </w:p>
        </w:tc>
        <w:tc>
          <w:tcPr>
            <w:tcW w:w="5146" w:type="dxa"/>
            <w:tcBorders>
              <w:top w:val="nil"/>
              <w:left w:val="nil"/>
              <w:bottom w:val="nil"/>
              <w:right w:val="nil"/>
            </w:tcBorders>
            <w:tcMar>
              <w:top w:w="128" w:type="dxa"/>
              <w:left w:w="43" w:type="dxa"/>
              <w:bottom w:w="43" w:type="dxa"/>
              <w:right w:w="43" w:type="dxa"/>
            </w:tcMar>
          </w:tcPr>
          <w:p w14:paraId="35B7C439" w14:textId="77777777" w:rsidR="00972395" w:rsidRPr="00E73D4B" w:rsidRDefault="00F120C7" w:rsidP="00681E28">
            <w:r w:rsidRPr="00E73D4B">
              <w:t>Veteraner – spesialisterklæring</w:t>
            </w:r>
          </w:p>
        </w:tc>
        <w:tc>
          <w:tcPr>
            <w:tcW w:w="1403" w:type="dxa"/>
            <w:tcBorders>
              <w:top w:val="nil"/>
              <w:left w:val="nil"/>
              <w:bottom w:val="nil"/>
              <w:right w:val="nil"/>
            </w:tcBorders>
            <w:tcMar>
              <w:top w:w="128" w:type="dxa"/>
              <w:left w:w="43" w:type="dxa"/>
              <w:bottom w:w="43" w:type="dxa"/>
              <w:right w:w="43" w:type="dxa"/>
            </w:tcMar>
          </w:tcPr>
          <w:p w14:paraId="65EF85AA" w14:textId="77777777" w:rsidR="00972395" w:rsidRPr="00E73D4B" w:rsidRDefault="00F120C7" w:rsidP="00681E28">
            <w:pPr>
              <w:jc w:val="right"/>
            </w:pPr>
            <w:r w:rsidRPr="00E73D4B">
              <w:t>Ja</w:t>
            </w:r>
          </w:p>
        </w:tc>
      </w:tr>
      <w:tr w:rsidR="00972395" w:rsidRPr="00E73D4B" w14:paraId="747986FE"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41B67259"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0F4DA33E" w14:textId="77777777" w:rsidR="00972395" w:rsidRPr="00E73D4B" w:rsidRDefault="00F120C7" w:rsidP="00681E28">
            <w:pPr>
              <w:jc w:val="right"/>
            </w:pPr>
            <w:r w:rsidRPr="00E73D4B">
              <w:t>36</w:t>
            </w:r>
          </w:p>
        </w:tc>
        <w:tc>
          <w:tcPr>
            <w:tcW w:w="5146" w:type="dxa"/>
            <w:tcBorders>
              <w:top w:val="nil"/>
              <w:left w:val="nil"/>
              <w:bottom w:val="nil"/>
              <w:right w:val="nil"/>
            </w:tcBorders>
            <w:tcMar>
              <w:top w:w="128" w:type="dxa"/>
              <w:left w:w="43" w:type="dxa"/>
              <w:bottom w:w="43" w:type="dxa"/>
              <w:right w:w="43" w:type="dxa"/>
            </w:tcMar>
          </w:tcPr>
          <w:p w14:paraId="307C2C02" w14:textId="77777777" w:rsidR="00972395" w:rsidRPr="00E73D4B" w:rsidRDefault="00F120C7" w:rsidP="00681E28">
            <w:r w:rsidRPr="00E73D4B">
              <w:t>Veteraner – vedtak som kan være i strid med gjeldende rett</w:t>
            </w:r>
          </w:p>
        </w:tc>
        <w:tc>
          <w:tcPr>
            <w:tcW w:w="1403" w:type="dxa"/>
            <w:tcBorders>
              <w:top w:val="nil"/>
              <w:left w:val="nil"/>
              <w:bottom w:val="nil"/>
              <w:right w:val="nil"/>
            </w:tcBorders>
            <w:tcMar>
              <w:top w:w="128" w:type="dxa"/>
              <w:left w:w="43" w:type="dxa"/>
              <w:bottom w:w="43" w:type="dxa"/>
              <w:right w:w="43" w:type="dxa"/>
            </w:tcMar>
          </w:tcPr>
          <w:p w14:paraId="26B12231" w14:textId="77777777" w:rsidR="00972395" w:rsidRPr="00E73D4B" w:rsidRDefault="00F120C7" w:rsidP="00681E28">
            <w:pPr>
              <w:jc w:val="right"/>
            </w:pPr>
            <w:r w:rsidRPr="00E73D4B">
              <w:t>Ja</w:t>
            </w:r>
          </w:p>
        </w:tc>
      </w:tr>
      <w:tr w:rsidR="00972395" w:rsidRPr="00E73D4B" w14:paraId="6768E186"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753CAC44"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33A99F6B" w14:textId="77777777" w:rsidR="00972395" w:rsidRPr="00E73D4B" w:rsidRDefault="00F120C7" w:rsidP="00681E28">
            <w:pPr>
              <w:jc w:val="right"/>
            </w:pPr>
            <w:r w:rsidRPr="00E73D4B">
              <w:t>123</w:t>
            </w:r>
          </w:p>
        </w:tc>
        <w:tc>
          <w:tcPr>
            <w:tcW w:w="5146" w:type="dxa"/>
            <w:tcBorders>
              <w:top w:val="nil"/>
              <w:left w:val="nil"/>
              <w:bottom w:val="nil"/>
              <w:right w:val="nil"/>
            </w:tcBorders>
            <w:tcMar>
              <w:top w:w="128" w:type="dxa"/>
              <w:left w:w="43" w:type="dxa"/>
              <w:bottom w:w="43" w:type="dxa"/>
              <w:right w:w="43" w:type="dxa"/>
            </w:tcMar>
          </w:tcPr>
          <w:p w14:paraId="0D55A94F" w14:textId="77777777" w:rsidR="00972395" w:rsidRPr="00E73D4B" w:rsidRDefault="00F120C7" w:rsidP="00681E28">
            <w:r w:rsidRPr="00E73D4B">
              <w:t>Utdanne nok personell til HV etter modell fra Finnmark</w:t>
            </w:r>
          </w:p>
        </w:tc>
        <w:tc>
          <w:tcPr>
            <w:tcW w:w="1403" w:type="dxa"/>
            <w:tcBorders>
              <w:top w:val="nil"/>
              <w:left w:val="nil"/>
              <w:bottom w:val="nil"/>
              <w:right w:val="nil"/>
            </w:tcBorders>
            <w:tcMar>
              <w:top w:w="128" w:type="dxa"/>
              <w:left w:w="43" w:type="dxa"/>
              <w:bottom w:w="43" w:type="dxa"/>
              <w:right w:w="43" w:type="dxa"/>
            </w:tcMar>
          </w:tcPr>
          <w:p w14:paraId="2A4D0295" w14:textId="77777777" w:rsidR="00972395" w:rsidRPr="00E73D4B" w:rsidRDefault="00F120C7" w:rsidP="00681E28">
            <w:pPr>
              <w:jc w:val="right"/>
            </w:pPr>
            <w:r w:rsidRPr="00E73D4B">
              <w:t>Ja</w:t>
            </w:r>
          </w:p>
        </w:tc>
      </w:tr>
      <w:tr w:rsidR="00972395" w:rsidRPr="00E73D4B" w14:paraId="740A5BA4"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3DA0B1E3"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58D533FF" w14:textId="77777777" w:rsidR="00972395" w:rsidRPr="00E73D4B" w:rsidRDefault="00F120C7" w:rsidP="00681E28">
            <w:pPr>
              <w:jc w:val="right"/>
            </w:pPr>
            <w:r w:rsidRPr="00E73D4B">
              <w:t>124</w:t>
            </w:r>
          </w:p>
        </w:tc>
        <w:tc>
          <w:tcPr>
            <w:tcW w:w="5146" w:type="dxa"/>
            <w:tcBorders>
              <w:top w:val="nil"/>
              <w:left w:val="nil"/>
              <w:bottom w:val="nil"/>
              <w:right w:val="nil"/>
            </w:tcBorders>
            <w:tcMar>
              <w:top w:w="128" w:type="dxa"/>
              <w:left w:w="43" w:type="dxa"/>
              <w:bottom w:w="43" w:type="dxa"/>
              <w:right w:w="43" w:type="dxa"/>
            </w:tcMar>
          </w:tcPr>
          <w:p w14:paraId="06389203" w14:textId="77777777" w:rsidR="00972395" w:rsidRPr="00E73D4B" w:rsidRDefault="00F120C7" w:rsidP="00681E28">
            <w:r w:rsidRPr="00E73D4B">
              <w:t xml:space="preserve">Vurderinger om standardisert fartøyklasse </w:t>
            </w:r>
          </w:p>
        </w:tc>
        <w:tc>
          <w:tcPr>
            <w:tcW w:w="1403" w:type="dxa"/>
            <w:tcBorders>
              <w:top w:val="nil"/>
              <w:left w:val="nil"/>
              <w:bottom w:val="nil"/>
              <w:right w:val="nil"/>
            </w:tcBorders>
            <w:tcMar>
              <w:top w:w="128" w:type="dxa"/>
              <w:left w:w="43" w:type="dxa"/>
              <w:bottom w:w="43" w:type="dxa"/>
              <w:right w:w="43" w:type="dxa"/>
            </w:tcMar>
          </w:tcPr>
          <w:p w14:paraId="43461E6F" w14:textId="77777777" w:rsidR="00972395" w:rsidRPr="00E73D4B" w:rsidRDefault="00F120C7" w:rsidP="00681E28">
            <w:pPr>
              <w:jc w:val="right"/>
            </w:pPr>
            <w:r w:rsidRPr="00E73D4B">
              <w:t>Nei</w:t>
            </w:r>
          </w:p>
        </w:tc>
      </w:tr>
      <w:tr w:rsidR="00972395" w:rsidRPr="00E73D4B" w14:paraId="3627414E"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4C6AA22E"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31DCA570" w14:textId="77777777" w:rsidR="00972395" w:rsidRPr="00E73D4B" w:rsidRDefault="00F120C7" w:rsidP="00681E28">
            <w:pPr>
              <w:jc w:val="right"/>
            </w:pPr>
            <w:r w:rsidRPr="00E73D4B">
              <w:t>125</w:t>
            </w:r>
          </w:p>
        </w:tc>
        <w:tc>
          <w:tcPr>
            <w:tcW w:w="5146" w:type="dxa"/>
            <w:tcBorders>
              <w:top w:val="nil"/>
              <w:left w:val="nil"/>
              <w:bottom w:val="nil"/>
              <w:right w:val="nil"/>
            </w:tcBorders>
            <w:tcMar>
              <w:top w:w="128" w:type="dxa"/>
              <w:left w:w="43" w:type="dxa"/>
              <w:bottom w:w="43" w:type="dxa"/>
              <w:right w:w="43" w:type="dxa"/>
            </w:tcMar>
          </w:tcPr>
          <w:p w14:paraId="78C394A6" w14:textId="77777777" w:rsidR="00972395" w:rsidRPr="00E73D4B" w:rsidRDefault="00F120C7" w:rsidP="00681E28">
            <w:r w:rsidRPr="00E73D4B">
              <w:t>Sette ned en forsvarskommisjon</w:t>
            </w:r>
          </w:p>
        </w:tc>
        <w:tc>
          <w:tcPr>
            <w:tcW w:w="1403" w:type="dxa"/>
            <w:tcBorders>
              <w:top w:val="nil"/>
              <w:left w:val="nil"/>
              <w:bottom w:val="nil"/>
              <w:right w:val="nil"/>
            </w:tcBorders>
            <w:tcMar>
              <w:top w:w="128" w:type="dxa"/>
              <w:left w:w="43" w:type="dxa"/>
              <w:bottom w:w="43" w:type="dxa"/>
              <w:right w:w="43" w:type="dxa"/>
            </w:tcMar>
          </w:tcPr>
          <w:p w14:paraId="022A91C7" w14:textId="77777777" w:rsidR="00972395" w:rsidRPr="00E73D4B" w:rsidRDefault="00F120C7" w:rsidP="00681E28">
            <w:pPr>
              <w:jc w:val="right"/>
            </w:pPr>
            <w:r w:rsidRPr="00E73D4B">
              <w:t xml:space="preserve">Ja </w:t>
            </w:r>
          </w:p>
        </w:tc>
      </w:tr>
      <w:tr w:rsidR="00972395" w:rsidRPr="00E73D4B" w14:paraId="21D7837C"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B012827"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166E3058" w14:textId="77777777" w:rsidR="00972395" w:rsidRPr="00E73D4B" w:rsidRDefault="00F120C7" w:rsidP="00681E28">
            <w:pPr>
              <w:jc w:val="right"/>
            </w:pPr>
            <w:r w:rsidRPr="00E73D4B">
              <w:t>128</w:t>
            </w:r>
          </w:p>
        </w:tc>
        <w:tc>
          <w:tcPr>
            <w:tcW w:w="5146" w:type="dxa"/>
            <w:tcBorders>
              <w:top w:val="nil"/>
              <w:left w:val="nil"/>
              <w:bottom w:val="nil"/>
              <w:right w:val="nil"/>
            </w:tcBorders>
            <w:tcMar>
              <w:top w:w="128" w:type="dxa"/>
              <w:left w:w="43" w:type="dxa"/>
              <w:bottom w:w="43" w:type="dxa"/>
              <w:right w:w="43" w:type="dxa"/>
            </w:tcMar>
          </w:tcPr>
          <w:p w14:paraId="1C416115" w14:textId="77777777" w:rsidR="00972395" w:rsidRPr="00E73D4B" w:rsidRDefault="00F120C7" w:rsidP="00681E28">
            <w:r w:rsidRPr="00E73D4B">
              <w:t>Nye helikoptre til dedikert helikopterstøtte for Hæren</w:t>
            </w:r>
          </w:p>
        </w:tc>
        <w:tc>
          <w:tcPr>
            <w:tcW w:w="1403" w:type="dxa"/>
            <w:tcBorders>
              <w:top w:val="nil"/>
              <w:left w:val="nil"/>
              <w:bottom w:val="nil"/>
              <w:right w:val="nil"/>
            </w:tcBorders>
            <w:tcMar>
              <w:top w:w="128" w:type="dxa"/>
              <w:left w:w="43" w:type="dxa"/>
              <w:bottom w:w="43" w:type="dxa"/>
              <w:right w:w="43" w:type="dxa"/>
            </w:tcMar>
          </w:tcPr>
          <w:p w14:paraId="1336368D" w14:textId="77777777" w:rsidR="00972395" w:rsidRPr="00E73D4B" w:rsidRDefault="00F120C7" w:rsidP="00681E28">
            <w:pPr>
              <w:jc w:val="right"/>
            </w:pPr>
            <w:r w:rsidRPr="00E73D4B">
              <w:t>Nei</w:t>
            </w:r>
          </w:p>
        </w:tc>
      </w:tr>
      <w:tr w:rsidR="00972395" w:rsidRPr="00E73D4B" w14:paraId="2C3123C4"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63DBF1BA"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07D569EE" w14:textId="77777777" w:rsidR="00972395" w:rsidRPr="00E73D4B" w:rsidRDefault="00F120C7" w:rsidP="00681E28">
            <w:pPr>
              <w:jc w:val="right"/>
            </w:pPr>
            <w:r w:rsidRPr="00E73D4B">
              <w:t>131</w:t>
            </w:r>
          </w:p>
        </w:tc>
        <w:tc>
          <w:tcPr>
            <w:tcW w:w="5146" w:type="dxa"/>
            <w:tcBorders>
              <w:top w:val="nil"/>
              <w:left w:val="nil"/>
              <w:bottom w:val="nil"/>
              <w:right w:val="nil"/>
            </w:tcBorders>
            <w:tcMar>
              <w:top w:w="128" w:type="dxa"/>
              <w:left w:w="43" w:type="dxa"/>
              <w:bottom w:w="43" w:type="dxa"/>
              <w:right w:w="43" w:type="dxa"/>
            </w:tcMar>
          </w:tcPr>
          <w:p w14:paraId="214D7E85" w14:textId="77777777" w:rsidR="00972395" w:rsidRPr="00E73D4B" w:rsidRDefault="00F120C7" w:rsidP="00681E28">
            <w:r w:rsidRPr="00E73D4B">
              <w:t>Utrede å benytte Haslemoen og Drevjamoen</w:t>
            </w:r>
          </w:p>
        </w:tc>
        <w:tc>
          <w:tcPr>
            <w:tcW w:w="1403" w:type="dxa"/>
            <w:tcBorders>
              <w:top w:val="nil"/>
              <w:left w:val="nil"/>
              <w:bottom w:val="nil"/>
              <w:right w:val="nil"/>
            </w:tcBorders>
            <w:tcMar>
              <w:top w:w="128" w:type="dxa"/>
              <w:left w:w="43" w:type="dxa"/>
              <w:bottom w:w="43" w:type="dxa"/>
              <w:right w:w="43" w:type="dxa"/>
            </w:tcMar>
          </w:tcPr>
          <w:p w14:paraId="34FB6A7E" w14:textId="77777777" w:rsidR="00972395" w:rsidRPr="00E73D4B" w:rsidRDefault="00F120C7" w:rsidP="00681E28">
            <w:pPr>
              <w:jc w:val="right"/>
            </w:pPr>
            <w:r w:rsidRPr="00E73D4B">
              <w:t>Nei</w:t>
            </w:r>
          </w:p>
        </w:tc>
      </w:tr>
      <w:tr w:rsidR="00972395" w:rsidRPr="00E73D4B" w14:paraId="1C1720A2"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7435CE52"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4F3921DD" w14:textId="77777777" w:rsidR="00972395" w:rsidRPr="00E73D4B" w:rsidRDefault="00F120C7" w:rsidP="00681E28">
            <w:pPr>
              <w:jc w:val="right"/>
            </w:pPr>
            <w:r w:rsidRPr="00E73D4B">
              <w:t>133</w:t>
            </w:r>
          </w:p>
        </w:tc>
        <w:tc>
          <w:tcPr>
            <w:tcW w:w="5146" w:type="dxa"/>
            <w:tcBorders>
              <w:top w:val="nil"/>
              <w:left w:val="nil"/>
              <w:bottom w:val="nil"/>
              <w:right w:val="nil"/>
            </w:tcBorders>
            <w:tcMar>
              <w:top w:w="128" w:type="dxa"/>
              <w:left w:w="43" w:type="dxa"/>
              <w:bottom w:w="43" w:type="dxa"/>
              <w:right w:w="43" w:type="dxa"/>
            </w:tcMar>
          </w:tcPr>
          <w:p w14:paraId="5DD501B6" w14:textId="77777777" w:rsidR="00972395" w:rsidRPr="00E73D4B" w:rsidRDefault="00F120C7" w:rsidP="00681E28">
            <w:r w:rsidRPr="00E73D4B">
              <w:t>Utredning om bruk av ikke-militært ansatte</w:t>
            </w:r>
          </w:p>
        </w:tc>
        <w:tc>
          <w:tcPr>
            <w:tcW w:w="1403" w:type="dxa"/>
            <w:tcBorders>
              <w:top w:val="nil"/>
              <w:left w:val="nil"/>
              <w:bottom w:val="nil"/>
              <w:right w:val="nil"/>
            </w:tcBorders>
            <w:tcMar>
              <w:top w:w="128" w:type="dxa"/>
              <w:left w:w="43" w:type="dxa"/>
              <w:bottom w:w="43" w:type="dxa"/>
              <w:right w:w="43" w:type="dxa"/>
            </w:tcMar>
          </w:tcPr>
          <w:p w14:paraId="4FAF8892" w14:textId="77777777" w:rsidR="00972395" w:rsidRPr="00E73D4B" w:rsidRDefault="00F120C7" w:rsidP="00681E28">
            <w:pPr>
              <w:jc w:val="right"/>
            </w:pPr>
            <w:r w:rsidRPr="00E73D4B">
              <w:t>Nei</w:t>
            </w:r>
          </w:p>
        </w:tc>
      </w:tr>
      <w:tr w:rsidR="00972395" w:rsidRPr="00E73D4B" w14:paraId="365C63DB"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3E4BA74A"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775DA3D0" w14:textId="77777777" w:rsidR="00972395" w:rsidRPr="00E73D4B" w:rsidRDefault="00F120C7" w:rsidP="00681E28">
            <w:pPr>
              <w:jc w:val="right"/>
            </w:pPr>
            <w:r w:rsidRPr="00E73D4B">
              <w:t>136</w:t>
            </w:r>
          </w:p>
        </w:tc>
        <w:tc>
          <w:tcPr>
            <w:tcW w:w="5146" w:type="dxa"/>
            <w:tcBorders>
              <w:top w:val="nil"/>
              <w:left w:val="nil"/>
              <w:bottom w:val="nil"/>
              <w:right w:val="nil"/>
            </w:tcBorders>
            <w:tcMar>
              <w:top w:w="128" w:type="dxa"/>
              <w:left w:w="43" w:type="dxa"/>
              <w:bottom w:w="43" w:type="dxa"/>
              <w:right w:w="43" w:type="dxa"/>
            </w:tcMar>
          </w:tcPr>
          <w:p w14:paraId="5E624BE9" w14:textId="77777777" w:rsidR="00972395" w:rsidRPr="00E73D4B" w:rsidRDefault="00F120C7" w:rsidP="00681E28">
            <w:r w:rsidRPr="00E73D4B">
              <w:t xml:space="preserve">Personell til HV på Drevjamoen etter modell </w:t>
            </w:r>
            <w:proofErr w:type="spellStart"/>
            <w:r w:rsidRPr="00E73D4B">
              <w:t>frå</w:t>
            </w:r>
            <w:proofErr w:type="spellEnd"/>
            <w:r w:rsidRPr="00E73D4B">
              <w:t xml:space="preserve"> FLF</w:t>
            </w:r>
          </w:p>
        </w:tc>
        <w:tc>
          <w:tcPr>
            <w:tcW w:w="1403" w:type="dxa"/>
            <w:tcBorders>
              <w:top w:val="nil"/>
              <w:left w:val="nil"/>
              <w:bottom w:val="nil"/>
              <w:right w:val="nil"/>
            </w:tcBorders>
            <w:tcMar>
              <w:top w:w="128" w:type="dxa"/>
              <w:left w:w="43" w:type="dxa"/>
              <w:bottom w:w="43" w:type="dxa"/>
              <w:right w:w="43" w:type="dxa"/>
            </w:tcMar>
          </w:tcPr>
          <w:p w14:paraId="7C071277" w14:textId="77777777" w:rsidR="00972395" w:rsidRPr="00E73D4B" w:rsidRDefault="00F120C7" w:rsidP="00681E28">
            <w:pPr>
              <w:jc w:val="right"/>
            </w:pPr>
            <w:r w:rsidRPr="00E73D4B">
              <w:t>Ja</w:t>
            </w:r>
          </w:p>
        </w:tc>
      </w:tr>
      <w:tr w:rsidR="00972395" w:rsidRPr="00E73D4B" w14:paraId="503DCCDB"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16F8F85"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7FE19550" w14:textId="77777777" w:rsidR="00972395" w:rsidRPr="00E73D4B" w:rsidRDefault="00F120C7" w:rsidP="00681E28">
            <w:pPr>
              <w:jc w:val="right"/>
            </w:pPr>
            <w:r w:rsidRPr="00E73D4B">
              <w:t>1099</w:t>
            </w:r>
          </w:p>
        </w:tc>
        <w:tc>
          <w:tcPr>
            <w:tcW w:w="5146" w:type="dxa"/>
            <w:tcBorders>
              <w:top w:val="nil"/>
              <w:left w:val="nil"/>
              <w:bottom w:val="nil"/>
              <w:right w:val="nil"/>
            </w:tcBorders>
            <w:tcMar>
              <w:top w:w="128" w:type="dxa"/>
              <w:left w:w="43" w:type="dxa"/>
              <w:bottom w:w="43" w:type="dxa"/>
              <w:right w:w="43" w:type="dxa"/>
            </w:tcMar>
          </w:tcPr>
          <w:p w14:paraId="0C2A2084" w14:textId="77777777" w:rsidR="00972395" w:rsidRPr="00E73D4B" w:rsidRDefault="00F120C7" w:rsidP="00681E28">
            <w:r w:rsidRPr="00E73D4B">
              <w:t>Ivaretakelse av de nasjonale kulturhistoriske verdiene på Kjeller</w:t>
            </w:r>
          </w:p>
        </w:tc>
        <w:tc>
          <w:tcPr>
            <w:tcW w:w="1403" w:type="dxa"/>
            <w:tcBorders>
              <w:top w:val="nil"/>
              <w:left w:val="nil"/>
              <w:bottom w:val="nil"/>
              <w:right w:val="nil"/>
            </w:tcBorders>
            <w:tcMar>
              <w:top w:w="128" w:type="dxa"/>
              <w:left w:w="43" w:type="dxa"/>
              <w:bottom w:w="43" w:type="dxa"/>
              <w:right w:w="43" w:type="dxa"/>
            </w:tcMar>
          </w:tcPr>
          <w:p w14:paraId="472E2492" w14:textId="77777777" w:rsidR="00972395" w:rsidRPr="00E73D4B" w:rsidRDefault="00F120C7" w:rsidP="00681E28">
            <w:pPr>
              <w:jc w:val="right"/>
            </w:pPr>
            <w:r w:rsidRPr="00E73D4B">
              <w:t>Nei</w:t>
            </w:r>
          </w:p>
        </w:tc>
      </w:tr>
      <w:tr w:rsidR="00972395" w:rsidRPr="00E73D4B" w14:paraId="02337C9E"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6DE8C2E6" w14:textId="77777777" w:rsidR="00972395" w:rsidRPr="00E73D4B" w:rsidRDefault="00F120C7" w:rsidP="00681E28">
            <w:r w:rsidRPr="00E73D4B">
              <w:t>2020–2021</w:t>
            </w:r>
          </w:p>
        </w:tc>
        <w:tc>
          <w:tcPr>
            <w:tcW w:w="1233" w:type="dxa"/>
            <w:tcBorders>
              <w:top w:val="nil"/>
              <w:left w:val="nil"/>
              <w:bottom w:val="nil"/>
              <w:right w:val="nil"/>
            </w:tcBorders>
            <w:tcMar>
              <w:top w:w="128" w:type="dxa"/>
              <w:left w:w="43" w:type="dxa"/>
              <w:bottom w:w="43" w:type="dxa"/>
              <w:right w:w="43" w:type="dxa"/>
            </w:tcMar>
          </w:tcPr>
          <w:p w14:paraId="1589ED7D" w14:textId="77777777" w:rsidR="00972395" w:rsidRPr="00E73D4B" w:rsidRDefault="00F120C7" w:rsidP="00681E28">
            <w:pPr>
              <w:jc w:val="right"/>
            </w:pPr>
            <w:r w:rsidRPr="00E73D4B">
              <w:t>1187</w:t>
            </w:r>
          </w:p>
        </w:tc>
        <w:tc>
          <w:tcPr>
            <w:tcW w:w="5146" w:type="dxa"/>
            <w:tcBorders>
              <w:top w:val="nil"/>
              <w:left w:val="nil"/>
              <w:bottom w:val="nil"/>
              <w:right w:val="nil"/>
            </w:tcBorders>
            <w:tcMar>
              <w:top w:w="128" w:type="dxa"/>
              <w:left w:w="43" w:type="dxa"/>
              <w:bottom w:w="43" w:type="dxa"/>
              <w:right w:w="43" w:type="dxa"/>
            </w:tcMar>
          </w:tcPr>
          <w:p w14:paraId="676898AB" w14:textId="77777777" w:rsidR="00972395" w:rsidRPr="00E73D4B" w:rsidRDefault="00F120C7" w:rsidP="00681E28">
            <w:r w:rsidRPr="00E73D4B">
              <w:t>Statlig bidrag til istandsettelsen av Den gamle krigsskole</w:t>
            </w:r>
          </w:p>
        </w:tc>
        <w:tc>
          <w:tcPr>
            <w:tcW w:w="1403" w:type="dxa"/>
            <w:tcBorders>
              <w:top w:val="nil"/>
              <w:left w:val="nil"/>
              <w:bottom w:val="nil"/>
              <w:right w:val="nil"/>
            </w:tcBorders>
            <w:tcMar>
              <w:top w:w="128" w:type="dxa"/>
              <w:left w:w="43" w:type="dxa"/>
              <w:bottom w:w="43" w:type="dxa"/>
              <w:right w:w="43" w:type="dxa"/>
            </w:tcMar>
          </w:tcPr>
          <w:p w14:paraId="32B5C42B" w14:textId="77777777" w:rsidR="00972395" w:rsidRPr="00E73D4B" w:rsidRDefault="00F120C7" w:rsidP="00681E28">
            <w:pPr>
              <w:jc w:val="right"/>
            </w:pPr>
            <w:r w:rsidRPr="00E73D4B">
              <w:t>Nei</w:t>
            </w:r>
          </w:p>
        </w:tc>
      </w:tr>
      <w:tr w:rsidR="00972395" w:rsidRPr="00E73D4B" w14:paraId="42523A05" w14:textId="77777777" w:rsidTr="007116DC">
        <w:trPr>
          <w:trHeight w:val="380"/>
        </w:trPr>
        <w:tc>
          <w:tcPr>
            <w:tcW w:w="1418" w:type="dxa"/>
            <w:tcBorders>
              <w:top w:val="nil"/>
              <w:left w:val="nil"/>
              <w:right w:val="nil"/>
            </w:tcBorders>
            <w:tcMar>
              <w:top w:w="128" w:type="dxa"/>
              <w:left w:w="43" w:type="dxa"/>
              <w:bottom w:w="43" w:type="dxa"/>
              <w:right w:w="43" w:type="dxa"/>
            </w:tcMar>
          </w:tcPr>
          <w:p w14:paraId="0C406875" w14:textId="77777777" w:rsidR="00972395" w:rsidRPr="00E73D4B" w:rsidRDefault="00F120C7" w:rsidP="00681E28">
            <w:r w:rsidRPr="00E73D4B">
              <w:t>2019–2020</w:t>
            </w:r>
          </w:p>
        </w:tc>
        <w:tc>
          <w:tcPr>
            <w:tcW w:w="1233" w:type="dxa"/>
            <w:tcBorders>
              <w:top w:val="nil"/>
              <w:left w:val="nil"/>
              <w:right w:val="nil"/>
            </w:tcBorders>
            <w:tcMar>
              <w:top w:w="128" w:type="dxa"/>
              <w:left w:w="43" w:type="dxa"/>
              <w:bottom w:w="43" w:type="dxa"/>
              <w:right w:w="43" w:type="dxa"/>
            </w:tcMar>
          </w:tcPr>
          <w:p w14:paraId="1DF406AF" w14:textId="77777777" w:rsidR="00972395" w:rsidRPr="00E73D4B" w:rsidRDefault="00F120C7" w:rsidP="00681E28">
            <w:pPr>
              <w:jc w:val="right"/>
            </w:pPr>
            <w:r w:rsidRPr="00E73D4B">
              <w:t>676</w:t>
            </w:r>
          </w:p>
        </w:tc>
        <w:tc>
          <w:tcPr>
            <w:tcW w:w="5146" w:type="dxa"/>
            <w:tcBorders>
              <w:top w:val="nil"/>
              <w:left w:val="nil"/>
              <w:right w:val="nil"/>
            </w:tcBorders>
            <w:tcMar>
              <w:top w:w="128" w:type="dxa"/>
              <w:left w:w="43" w:type="dxa"/>
              <w:bottom w:w="43" w:type="dxa"/>
              <w:right w:w="43" w:type="dxa"/>
            </w:tcMar>
          </w:tcPr>
          <w:p w14:paraId="35B11832" w14:textId="77777777" w:rsidR="00972395" w:rsidRPr="00E73D4B" w:rsidRDefault="00F120C7" w:rsidP="00681E28">
            <w:r w:rsidRPr="00E73D4B">
              <w:t>Evaluering av ny etterretningstjenestelov</w:t>
            </w:r>
          </w:p>
        </w:tc>
        <w:tc>
          <w:tcPr>
            <w:tcW w:w="1403" w:type="dxa"/>
            <w:tcBorders>
              <w:top w:val="nil"/>
              <w:left w:val="nil"/>
              <w:right w:val="nil"/>
            </w:tcBorders>
            <w:tcMar>
              <w:top w:w="128" w:type="dxa"/>
              <w:left w:w="43" w:type="dxa"/>
              <w:bottom w:w="43" w:type="dxa"/>
              <w:right w:w="43" w:type="dxa"/>
            </w:tcMar>
          </w:tcPr>
          <w:p w14:paraId="65F9FC55" w14:textId="77777777" w:rsidR="00972395" w:rsidRPr="00E73D4B" w:rsidRDefault="00F120C7" w:rsidP="00681E28">
            <w:pPr>
              <w:jc w:val="right"/>
            </w:pPr>
            <w:r w:rsidRPr="00E73D4B">
              <w:t>Nei</w:t>
            </w:r>
          </w:p>
        </w:tc>
      </w:tr>
      <w:tr w:rsidR="00972395" w:rsidRPr="00E73D4B" w14:paraId="5A30983E" w14:textId="77777777" w:rsidTr="007116DC">
        <w:trPr>
          <w:trHeight w:val="380"/>
        </w:trPr>
        <w:tc>
          <w:tcPr>
            <w:tcW w:w="1418" w:type="dxa"/>
            <w:tcBorders>
              <w:top w:val="nil"/>
              <w:left w:val="nil"/>
              <w:bottom w:val="single" w:sz="4" w:space="0" w:color="000000"/>
              <w:right w:val="nil"/>
            </w:tcBorders>
            <w:shd w:val="clear" w:color="auto" w:fill="auto"/>
            <w:tcMar>
              <w:top w:w="128" w:type="dxa"/>
              <w:left w:w="43" w:type="dxa"/>
              <w:bottom w:w="43" w:type="dxa"/>
              <w:right w:w="43" w:type="dxa"/>
            </w:tcMar>
          </w:tcPr>
          <w:p w14:paraId="6788B64B" w14:textId="77777777" w:rsidR="00972395" w:rsidRPr="00E73D4B" w:rsidRDefault="00F120C7" w:rsidP="00681E28">
            <w:r w:rsidRPr="00E73D4B">
              <w:t>2016–2017</w:t>
            </w:r>
          </w:p>
        </w:tc>
        <w:tc>
          <w:tcPr>
            <w:tcW w:w="1233" w:type="dxa"/>
            <w:tcBorders>
              <w:top w:val="nil"/>
              <w:left w:val="nil"/>
              <w:bottom w:val="single" w:sz="4" w:space="0" w:color="000000"/>
              <w:right w:val="nil"/>
            </w:tcBorders>
            <w:shd w:val="clear" w:color="auto" w:fill="auto"/>
            <w:tcMar>
              <w:top w:w="128" w:type="dxa"/>
              <w:left w:w="43" w:type="dxa"/>
              <w:bottom w:w="43" w:type="dxa"/>
              <w:right w:w="43" w:type="dxa"/>
            </w:tcMar>
          </w:tcPr>
          <w:p w14:paraId="02C64B58" w14:textId="77777777" w:rsidR="00972395" w:rsidRPr="00E73D4B" w:rsidRDefault="00F120C7" w:rsidP="00681E28">
            <w:pPr>
              <w:jc w:val="right"/>
            </w:pPr>
            <w:r w:rsidRPr="00E73D4B">
              <w:t>576</w:t>
            </w:r>
          </w:p>
        </w:tc>
        <w:tc>
          <w:tcPr>
            <w:tcW w:w="5146" w:type="dxa"/>
            <w:tcBorders>
              <w:top w:val="nil"/>
              <w:left w:val="nil"/>
              <w:bottom w:val="single" w:sz="4" w:space="0" w:color="000000"/>
              <w:right w:val="nil"/>
            </w:tcBorders>
            <w:shd w:val="clear" w:color="auto" w:fill="auto"/>
            <w:tcMar>
              <w:top w:w="128" w:type="dxa"/>
              <w:left w:w="43" w:type="dxa"/>
              <w:bottom w:w="43" w:type="dxa"/>
              <w:right w:w="43" w:type="dxa"/>
            </w:tcMar>
          </w:tcPr>
          <w:p w14:paraId="0C451842" w14:textId="77777777" w:rsidR="00972395" w:rsidRPr="00E73D4B" w:rsidRDefault="00F120C7" w:rsidP="00681E28">
            <w:r w:rsidRPr="00E73D4B">
              <w:t>Lovhjemmel for å ivareta rettighetene for fanger</w:t>
            </w:r>
          </w:p>
        </w:tc>
        <w:tc>
          <w:tcPr>
            <w:tcW w:w="1403" w:type="dxa"/>
            <w:tcBorders>
              <w:top w:val="nil"/>
              <w:left w:val="nil"/>
              <w:bottom w:val="single" w:sz="4" w:space="0" w:color="000000"/>
              <w:right w:val="nil"/>
            </w:tcBorders>
            <w:shd w:val="clear" w:color="auto" w:fill="auto"/>
            <w:tcMar>
              <w:top w:w="128" w:type="dxa"/>
              <w:left w:w="43" w:type="dxa"/>
              <w:bottom w:w="43" w:type="dxa"/>
              <w:right w:w="43" w:type="dxa"/>
            </w:tcMar>
          </w:tcPr>
          <w:p w14:paraId="51C052AD" w14:textId="77777777" w:rsidR="00972395" w:rsidRPr="00E73D4B" w:rsidRDefault="00F120C7" w:rsidP="00681E28">
            <w:pPr>
              <w:jc w:val="right"/>
            </w:pPr>
            <w:r w:rsidRPr="00E73D4B">
              <w:t>Nei</w:t>
            </w:r>
          </w:p>
        </w:tc>
      </w:tr>
    </w:tbl>
    <w:p w14:paraId="5815FCD4" w14:textId="77777777" w:rsidR="00972395" w:rsidRPr="00E73D4B" w:rsidRDefault="00F120C7" w:rsidP="007116DC">
      <w:pPr>
        <w:pStyle w:val="Overskrift2"/>
        <w:numPr>
          <w:ilvl w:val="1"/>
          <w:numId w:val="42"/>
        </w:numPr>
      </w:pPr>
      <w:r w:rsidRPr="00E73D4B">
        <w:t>Stortingssesjon 2020–2021</w:t>
      </w:r>
    </w:p>
    <w:p w14:paraId="5E9141C8" w14:textId="77777777" w:rsidR="00972395" w:rsidRPr="00E73D4B" w:rsidRDefault="00F120C7" w:rsidP="00E73D4B">
      <w:pPr>
        <w:pStyle w:val="avsnitt-tittel"/>
      </w:pPr>
      <w:r w:rsidRPr="00E73D4B">
        <w:t>Veteraner – kartlegging av prioriterte områder</w:t>
      </w:r>
    </w:p>
    <w:p w14:paraId="05957DA9" w14:textId="77777777" w:rsidR="00972395" w:rsidRPr="00E73D4B" w:rsidRDefault="00F120C7" w:rsidP="00E73D4B">
      <w:pPr>
        <w:pStyle w:val="avsnitt-undertittel"/>
      </w:pPr>
      <w:r w:rsidRPr="00E73D4B">
        <w:t>Vedtak nr. 31, 15. oktober 2020</w:t>
      </w:r>
    </w:p>
    <w:p w14:paraId="5302745D" w14:textId="77777777" w:rsidR="00972395" w:rsidRPr="00E73D4B" w:rsidRDefault="00F120C7" w:rsidP="00E73D4B">
      <w:pPr>
        <w:pStyle w:val="blokksit"/>
        <w:rPr>
          <w:rStyle w:val="kursiv"/>
        </w:rPr>
      </w:pPr>
      <w:r w:rsidRPr="00E73D4B">
        <w:rPr>
          <w:rStyle w:val="kursiv"/>
        </w:rPr>
        <w:t>«Stortinget ber regjeringen legge frem en kartlegging av prioriterte forskningsområder relatert til forsvarspersonell i utenlandstjeneste. Denne skal legge grunnlaget for en strategi for norsk veteranforskning.»</w:t>
      </w:r>
    </w:p>
    <w:p w14:paraId="203707ED" w14:textId="77777777" w:rsidR="00972395" w:rsidRPr="00E73D4B" w:rsidRDefault="00F120C7" w:rsidP="00E73D4B">
      <w:r w:rsidRPr="00E73D4B">
        <w:t xml:space="preserve">Vedtaket ble truffet under behandlingen av </w:t>
      </w:r>
      <w:proofErr w:type="spellStart"/>
      <w:r w:rsidRPr="00E73D4B">
        <w:t>Innst</w:t>
      </w:r>
      <w:proofErr w:type="spellEnd"/>
      <w:r w:rsidRPr="00E73D4B">
        <w:t xml:space="preserve">. 20 S (2020–2021) til Meld. St. 15 (2019–2020) </w:t>
      </w:r>
      <w:r w:rsidRPr="00E73D4B">
        <w:rPr>
          <w:rStyle w:val="kursiv"/>
        </w:rPr>
        <w:t>Også vi når det blir krevet – Veteraner i vår tid</w:t>
      </w:r>
      <w:r w:rsidRPr="00E73D4B">
        <w:t>.</w:t>
      </w:r>
    </w:p>
    <w:p w14:paraId="7A37D766" w14:textId="77777777" w:rsidR="00972395" w:rsidRPr="00E73D4B" w:rsidRDefault="00F120C7" w:rsidP="00E73D4B">
      <w:r w:rsidRPr="00E73D4B">
        <w:t>Forsvarsdepartementet har etablert Forum for veteranforskning. Forumet, som hadde sitt første møte 16. februar 2021, består av både militære og sivile institusjoner. Fra forsvarssektoren er Forsvaret og Forsvarets forskningsinstitutt representert. På sivil side er Forskningsrådet, Folkehelseinstituttet, Nasjonalt kunnskapssenter om vold og traumatisk stress samt Modum Bad representert. Det er også åpnet for at andre sivile relevante institusjoner skal kunne inviteres. Veteranorganisasjonene er referansegruppe for forumet, og kan fremme konkrete ønsker og behov for prosjekter. Til sammen representerer institusjonene i forumet en vesentlig andel av norsk forskningskompetanse innenfor veteranfeltet. Med bakgrunn i forumets arbeid og kompetanse, er det vedtatt en strategi for veteranforskning. Prioriterte forskningsområder relatert til forsvarspersonell i internasjonale operasjoner er norske veteraners psykiske og fysiske helse, samt samfunnsfaglig og historiefaglig forskning om veteraner.</w:t>
      </w:r>
    </w:p>
    <w:p w14:paraId="4B4F6F1F" w14:textId="77777777" w:rsidR="00972395" w:rsidRPr="00E73D4B" w:rsidRDefault="00F120C7" w:rsidP="00E73D4B">
      <w:r w:rsidRPr="00E73D4B">
        <w:t>Det vises til Del II, 6 Nærmere omtale av bevilgningsforslagene mv., kap. 1720 Forsvaret, post 01, under Forsvarets sanitet og Forsvarets høgskole og post 71, Støtte til veteranforskning.</w:t>
      </w:r>
    </w:p>
    <w:p w14:paraId="4166D6E5" w14:textId="77777777" w:rsidR="00972395" w:rsidRPr="00E73D4B" w:rsidRDefault="00F120C7" w:rsidP="00E73D4B">
      <w:pPr>
        <w:pStyle w:val="avsnitt-tittel"/>
      </w:pPr>
      <w:r w:rsidRPr="00E73D4B">
        <w:t>Veteraner – spesialisterklæring</w:t>
      </w:r>
    </w:p>
    <w:p w14:paraId="214EF8D8" w14:textId="77777777" w:rsidR="00972395" w:rsidRPr="00E73D4B" w:rsidRDefault="00F120C7" w:rsidP="00E73D4B">
      <w:pPr>
        <w:pStyle w:val="avsnitt-undertittel"/>
      </w:pPr>
      <w:r w:rsidRPr="00E73D4B">
        <w:t>Vedtak nr. 35, 15. oktober 2020</w:t>
      </w:r>
    </w:p>
    <w:p w14:paraId="6DAD2E4A" w14:textId="77777777" w:rsidR="00972395" w:rsidRPr="00E73D4B" w:rsidRDefault="00F120C7" w:rsidP="00E73D4B">
      <w:pPr>
        <w:pStyle w:val="blokksit"/>
        <w:rPr>
          <w:rStyle w:val="kursiv"/>
        </w:rPr>
      </w:pPr>
      <w:r w:rsidRPr="00E73D4B">
        <w:rPr>
          <w:rStyle w:val="kursiv"/>
        </w:rPr>
        <w:t>«Stortinget ber regjeringen sikre at spesialisterklæring om varig psykisk belastningsskade ikke settes til side av Statens pensjonskasse eller erstatningsordningenes klageorgan, uten at erklæringen først sendes tilbake til den aktuelle spesialisten for en kommentar eller tilleggserklæring. Dersom Statens pensjonskasse eller klageorganet mener at erklæringen fortsatt ikke er tilfredsstillende, må det hentes inn en ny medisinsk vurdering.»</w:t>
      </w:r>
    </w:p>
    <w:p w14:paraId="27D5B316"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xml:space="preserve">. 21 S (2020–2021) til Dokument 8:101 S (2019–2020) </w:t>
      </w:r>
      <w:r w:rsidRPr="00E73D4B">
        <w:rPr>
          <w:rStyle w:val="kursiv"/>
        </w:rPr>
        <w:t>Representantforslag fra stortingsrepresentant Bjørnar Moxnes om å sikre rettmessig erstatning for norske veteraner med psykiske skader</w:t>
      </w:r>
      <w:r w:rsidRPr="00E73D4B">
        <w:t>.</w:t>
      </w:r>
    </w:p>
    <w:p w14:paraId="4C44238A" w14:textId="77777777" w:rsidR="00972395" w:rsidRPr="00E73D4B" w:rsidRDefault="00F120C7" w:rsidP="00E73D4B">
      <w:r w:rsidRPr="00E73D4B">
        <w:t>Vedtaket er fulgt opp. Forskriftsendringer trådte i kraft 1. april 2022.</w:t>
      </w:r>
    </w:p>
    <w:p w14:paraId="6D144916" w14:textId="77777777" w:rsidR="00972395" w:rsidRPr="00E73D4B" w:rsidRDefault="00F120C7" w:rsidP="00E73D4B">
      <w:pPr>
        <w:pStyle w:val="avsnitt-tittel"/>
      </w:pPr>
      <w:r w:rsidRPr="00E73D4B">
        <w:t>Veteraner – vedtak som kan være i strid med gjeldende rett</w:t>
      </w:r>
    </w:p>
    <w:p w14:paraId="3E44B6AC" w14:textId="77777777" w:rsidR="00972395" w:rsidRPr="00E73D4B" w:rsidRDefault="00F120C7" w:rsidP="00E73D4B">
      <w:pPr>
        <w:pStyle w:val="avsnitt-undertittel"/>
      </w:pPr>
      <w:r w:rsidRPr="00E73D4B">
        <w:t>Vedtak nr. 36, 15. oktober 2020</w:t>
      </w:r>
    </w:p>
    <w:p w14:paraId="6D20AAB1" w14:textId="77777777" w:rsidR="00972395" w:rsidRPr="00E73D4B" w:rsidRDefault="00F120C7" w:rsidP="00E73D4B">
      <w:pPr>
        <w:pStyle w:val="blokksit"/>
      </w:pPr>
      <w:r w:rsidRPr="00E73D4B">
        <w:rPr>
          <w:rStyle w:val="kursiv"/>
        </w:rPr>
        <w:t xml:space="preserve">«Stortinget ber regjeringa sikre at </w:t>
      </w:r>
      <w:proofErr w:type="spellStart"/>
      <w:r w:rsidRPr="00E73D4B">
        <w:rPr>
          <w:rStyle w:val="kursiv"/>
        </w:rPr>
        <w:t>veteranar</w:t>
      </w:r>
      <w:proofErr w:type="spellEnd"/>
      <w:r w:rsidRPr="00E73D4B">
        <w:rPr>
          <w:rStyle w:val="kursiv"/>
        </w:rPr>
        <w:t xml:space="preserve"> kan få ta opp saka si på nytt der vedtak </w:t>
      </w:r>
      <w:proofErr w:type="spellStart"/>
      <w:r w:rsidRPr="00E73D4B">
        <w:rPr>
          <w:rStyle w:val="kursiv"/>
        </w:rPr>
        <w:t>frå</w:t>
      </w:r>
      <w:proofErr w:type="spellEnd"/>
      <w:r w:rsidRPr="00E73D4B">
        <w:rPr>
          <w:rStyle w:val="kursiv"/>
        </w:rPr>
        <w:t xml:space="preserve"> Statens pensjonskasse og/eller klagenemnda kan </w:t>
      </w:r>
      <w:proofErr w:type="spellStart"/>
      <w:r w:rsidRPr="00E73D4B">
        <w:rPr>
          <w:rStyle w:val="kursiv"/>
        </w:rPr>
        <w:t>vere</w:t>
      </w:r>
      <w:proofErr w:type="spellEnd"/>
      <w:r w:rsidRPr="00E73D4B">
        <w:rPr>
          <w:rStyle w:val="kursiv"/>
        </w:rPr>
        <w:t xml:space="preserve"> i strid med </w:t>
      </w:r>
      <w:proofErr w:type="spellStart"/>
      <w:r w:rsidRPr="00E73D4B">
        <w:rPr>
          <w:rStyle w:val="kursiv"/>
        </w:rPr>
        <w:t>gjeldande</w:t>
      </w:r>
      <w:proofErr w:type="spellEnd"/>
      <w:r w:rsidRPr="00E73D4B">
        <w:rPr>
          <w:rStyle w:val="kursiv"/>
        </w:rPr>
        <w:t xml:space="preserve"> rett.»</w:t>
      </w:r>
    </w:p>
    <w:p w14:paraId="194129B6"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21 S (2020–2021) til Dokument 8:101 S (2019–2020)</w:t>
      </w:r>
      <w:r w:rsidRPr="00E73D4B">
        <w:rPr>
          <w:rStyle w:val="kursiv"/>
        </w:rPr>
        <w:t xml:space="preserve"> Representantforslag fra stortingsrepresentant Bjørnar Moxnes om å sikre rettmessig erstatning for norske veteraner med psykiske skader.</w:t>
      </w:r>
    </w:p>
    <w:p w14:paraId="73E9E3AF" w14:textId="77777777" w:rsidR="00972395" w:rsidRPr="00E73D4B" w:rsidRDefault="00F120C7" w:rsidP="00E73D4B">
      <w:r w:rsidRPr="00E73D4B">
        <w:t xml:space="preserve">Skadelidte veteraner er allerede i dag sikret mulighet for prøving og gjenopptak av vedtak om erstatning og kompensasjon som er i strid med gjeldende rett. Vedtak fra Statens pensjonskasse kan klages inn for en særskilt klagenemnd. Vedtak fra klagenemnda kan bringes inn for domstolene innenfor en søksmålsfrist på seks måneder. Klagere som har fått saken sin avgjort i klagenemnda har også mulighet til å </w:t>
      </w:r>
      <w:proofErr w:type="gramStart"/>
      <w:r w:rsidRPr="00E73D4B">
        <w:t>begjære</w:t>
      </w:r>
      <w:proofErr w:type="gramEnd"/>
      <w:r w:rsidRPr="00E73D4B">
        <w:t xml:space="preserve"> gjenopptak etter reglene i forvaltningsloven. Skadelidte kan videre bringe klager mot forvaltningen inn for Sivilombudet etter reglene i lov 18. juni 2021 nr. 121 om Stortingets ombud for kontroll med forvaltningen. Dette var nytt av 2021. Tidligere falt ansvaret for slike klager under Ombudsnemnda for Forsvaret. Overføringen av ansvaret til Sivilombudet innebærer en styrking av kontrollen med sakene. Regjeringen mener anmodningen ivaretas gjennom gjeldende ordninger, og anser etter dette vedtaket for å være fulgt opp.</w:t>
      </w:r>
    </w:p>
    <w:p w14:paraId="6ED0B618" w14:textId="77777777" w:rsidR="00972395" w:rsidRPr="00E73D4B" w:rsidRDefault="00F120C7" w:rsidP="00E73D4B">
      <w:pPr>
        <w:pStyle w:val="avsnitt-tittel"/>
      </w:pPr>
      <w:r w:rsidRPr="00E73D4B">
        <w:t>Utdanne nok personell til HV etter modell fra Finnmark</w:t>
      </w:r>
    </w:p>
    <w:p w14:paraId="57E6AAEE" w14:textId="77777777" w:rsidR="00972395" w:rsidRPr="00E73D4B" w:rsidRDefault="00F120C7" w:rsidP="00E73D4B">
      <w:pPr>
        <w:pStyle w:val="avsnitt-undertittel"/>
      </w:pPr>
      <w:r w:rsidRPr="00E73D4B">
        <w:t>Vedtak nr. 123, 1. desember 2020</w:t>
      </w:r>
    </w:p>
    <w:p w14:paraId="4738622C" w14:textId="77777777" w:rsidR="00972395" w:rsidRPr="00E73D4B" w:rsidRDefault="00F120C7" w:rsidP="00E73D4B">
      <w:pPr>
        <w:pStyle w:val="blokksit"/>
        <w:rPr>
          <w:rStyle w:val="kursiv"/>
        </w:rPr>
      </w:pPr>
      <w:r w:rsidRPr="00E73D4B">
        <w:rPr>
          <w:rStyle w:val="kursiv"/>
        </w:rPr>
        <w:t>«Stortinget ber regjeringen se på muligheten for å utnytte eksisterende EBA og etter behov opprette midlertidig rekruttutdanning for å utdanne nok personell til HV etter modell fra Finnmark, innenfor budsjettrammen.»</w:t>
      </w:r>
    </w:p>
    <w:p w14:paraId="591B1989"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xml:space="preserve">. 87 S (2020–2021) til </w:t>
      </w:r>
      <w:proofErr w:type="spellStart"/>
      <w:r w:rsidRPr="00E73D4B">
        <w:t>Prop</w:t>
      </w:r>
      <w:proofErr w:type="spellEnd"/>
      <w:r w:rsidRPr="00E73D4B">
        <w:t xml:space="preserve">. 14 S (2020–2021) </w:t>
      </w:r>
      <w:r w:rsidRPr="00E73D4B">
        <w:rPr>
          <w:rStyle w:val="kursiv"/>
        </w:rPr>
        <w:t>Evne til forsvar – vilje til beredskap. Langtidsplan for forsvarssektoren</w:t>
      </w:r>
      <w:r w:rsidRPr="00E73D4B">
        <w:t>.</w:t>
      </w:r>
    </w:p>
    <w:p w14:paraId="7FAF77A7" w14:textId="77777777" w:rsidR="00972395" w:rsidRPr="00E73D4B" w:rsidRDefault="00F120C7" w:rsidP="00E73D4B">
      <w:r w:rsidRPr="00E73D4B">
        <w:t xml:space="preserve">Forhold </w:t>
      </w:r>
      <w:proofErr w:type="gramStart"/>
      <w:r w:rsidRPr="00E73D4B">
        <w:t>vedrørende</w:t>
      </w:r>
      <w:proofErr w:type="gramEnd"/>
      <w:r w:rsidRPr="00E73D4B">
        <w:t xml:space="preserve"> behov for å opprette egen rekruttutdanning for Heimevernet er vurdert og redegjort for i </w:t>
      </w:r>
      <w:proofErr w:type="spellStart"/>
      <w:r w:rsidRPr="00E73D4B">
        <w:t>Prop</w:t>
      </w:r>
      <w:proofErr w:type="spellEnd"/>
      <w:r w:rsidRPr="00E73D4B">
        <w:t>. 1 S (2021–2022). Innenfor dagens heimevernsstruktur er det etter forsvarssjefens militærfaglige vurderinger og en helhetlig vurdering av Forsvarsdepartementet, ikke funnet behov for en egen rekruttutdanning for Heimevernet.</w:t>
      </w:r>
    </w:p>
    <w:p w14:paraId="098E4E89" w14:textId="77777777" w:rsidR="00972395" w:rsidRPr="00E73D4B" w:rsidRDefault="00F120C7" w:rsidP="00E73D4B">
      <w:pPr>
        <w:pStyle w:val="avsnitt-tittel"/>
      </w:pPr>
      <w:r w:rsidRPr="00E73D4B">
        <w:t>Vurderinger om standardisert fartøyklasse</w:t>
      </w:r>
    </w:p>
    <w:p w14:paraId="3367A3D4" w14:textId="77777777" w:rsidR="00972395" w:rsidRPr="00E73D4B" w:rsidRDefault="00F120C7" w:rsidP="00E73D4B">
      <w:pPr>
        <w:pStyle w:val="avsnitt-undertittel"/>
      </w:pPr>
      <w:r w:rsidRPr="00E73D4B">
        <w:t>Vedtak nr. 124, 1. desember 2020</w:t>
      </w:r>
    </w:p>
    <w:p w14:paraId="2A04CF7D" w14:textId="77777777" w:rsidR="00972395" w:rsidRPr="00E73D4B" w:rsidRDefault="00F120C7" w:rsidP="00E73D4B">
      <w:pPr>
        <w:pStyle w:val="blokksit"/>
        <w:rPr>
          <w:rStyle w:val="kursiv"/>
        </w:rPr>
      </w:pPr>
      <w:r w:rsidRPr="00E73D4B">
        <w:rPr>
          <w:rStyle w:val="kursiv"/>
        </w:rPr>
        <w:t xml:space="preserve">«Stortinget ber regjeringen på egnet vis fremme en sak om erstatning av dagens kystvakt- og støttefartøy, herunder en vurdering av en fremtidig standardisert fartøyklasse, og komme tilbake med mulige forseringer i </w:t>
      </w:r>
      <w:proofErr w:type="spellStart"/>
      <w:r w:rsidRPr="00E73D4B">
        <w:rPr>
          <w:rStyle w:val="kursiv"/>
        </w:rPr>
        <w:t>Prop</w:t>
      </w:r>
      <w:proofErr w:type="spellEnd"/>
      <w:r w:rsidRPr="00E73D4B">
        <w:rPr>
          <w:rStyle w:val="kursiv"/>
        </w:rPr>
        <w:t>. 1 S (2021–2022).»</w:t>
      </w:r>
    </w:p>
    <w:p w14:paraId="1598AF3A"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xml:space="preserve">. 87 S (2020–2021) til </w:t>
      </w:r>
      <w:proofErr w:type="spellStart"/>
      <w:r w:rsidRPr="00E73D4B">
        <w:t>Prop</w:t>
      </w:r>
      <w:proofErr w:type="spellEnd"/>
      <w:r w:rsidRPr="00E73D4B">
        <w:t xml:space="preserve">. 14 S (2020–2021) </w:t>
      </w:r>
      <w:r w:rsidRPr="00E73D4B">
        <w:rPr>
          <w:rStyle w:val="kursiv"/>
        </w:rPr>
        <w:t>Evne til forsvar – vilje til beredskap. Langtidsplan for forsvarssektoren</w:t>
      </w:r>
      <w:r w:rsidRPr="00E73D4B">
        <w:t>.</w:t>
      </w:r>
    </w:p>
    <w:p w14:paraId="1D86FC1E" w14:textId="77777777" w:rsidR="00972395" w:rsidRPr="00E73D4B" w:rsidRDefault="00F120C7" w:rsidP="00E73D4B">
      <w:r w:rsidRPr="00E73D4B">
        <w:t>Forsvarsdepartementet har gitt Forsvaret i oppdrag å gjennomføre en konseptvalgutredning etter statens prosjektmodell for å vurdere muligheten for en standardisert fartøyklasse. Et mulig standardisert fartøy kan på sikt vurderes som en erstatning for dagens kystvakt- og støttefartøyer når disse faller for levetid, eller når leiekontrakter går ut. En konseptvalgutredning vil kunne dokumentere effektene av en mulig overgang til standardisert fartøyklasse, og eventuelle gevinster i form av enklere drift, utdanning og understøttelse, men også gi anbefalinger om eierskapsform og anskaffelsesstrategi.</w:t>
      </w:r>
    </w:p>
    <w:p w14:paraId="5E82DFA4" w14:textId="77777777" w:rsidR="00972395" w:rsidRPr="00E73D4B" w:rsidRDefault="00F120C7" w:rsidP="00E73D4B">
      <w:pPr>
        <w:pStyle w:val="avsnitt-tittel"/>
      </w:pPr>
      <w:r w:rsidRPr="00E73D4B">
        <w:t>Sette ned en forsvarskommisjon</w:t>
      </w:r>
    </w:p>
    <w:p w14:paraId="5DCA8120" w14:textId="77777777" w:rsidR="00972395" w:rsidRPr="00E73D4B" w:rsidRDefault="00F120C7" w:rsidP="00E73D4B">
      <w:pPr>
        <w:pStyle w:val="avsnitt-undertittel"/>
      </w:pPr>
      <w:r w:rsidRPr="00E73D4B">
        <w:t>Vedtak nr. 125, 1. desember 2020</w:t>
      </w:r>
    </w:p>
    <w:p w14:paraId="3CC88DB4" w14:textId="77777777" w:rsidR="00972395" w:rsidRPr="00E73D4B" w:rsidRDefault="00F120C7" w:rsidP="00E73D4B">
      <w:pPr>
        <w:pStyle w:val="blokksit"/>
        <w:rPr>
          <w:rStyle w:val="kursiv"/>
        </w:rPr>
      </w:pPr>
      <w:r w:rsidRPr="00E73D4B">
        <w:rPr>
          <w:rStyle w:val="kursiv"/>
        </w:rPr>
        <w:t>«Stortinget ber regjeringen i løpet av 2021 sette ned en forsvarskommisjon med bred faglig og politisk sammensetning for å vurdere de sikkerhetspolitiske utfordringene for Norge, med sikte på å skape et bredest mulig grunnlag for videre utvikling i forsvarssektoren.»</w:t>
      </w:r>
    </w:p>
    <w:p w14:paraId="74F10D80"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xml:space="preserve">. 87 S (2020–2021) til </w:t>
      </w:r>
      <w:proofErr w:type="spellStart"/>
      <w:r w:rsidRPr="00E73D4B">
        <w:t>Prop</w:t>
      </w:r>
      <w:proofErr w:type="spellEnd"/>
      <w:r w:rsidRPr="00E73D4B">
        <w:t xml:space="preserve">. 14 S (2020–2021) </w:t>
      </w:r>
      <w:r w:rsidRPr="00E73D4B">
        <w:rPr>
          <w:rStyle w:val="kursiv"/>
        </w:rPr>
        <w:t>Evne til forsvar – vilje til beredskap. Langtidsplan for forsvarssektoren</w:t>
      </w:r>
      <w:r w:rsidRPr="00E73D4B">
        <w:t>.</w:t>
      </w:r>
    </w:p>
    <w:p w14:paraId="5E9FE2E8" w14:textId="77777777" w:rsidR="00972395" w:rsidRPr="00E73D4B" w:rsidRDefault="00F120C7" w:rsidP="00E73D4B">
      <w:r w:rsidRPr="00E73D4B">
        <w:t>Regjeringen vedtok 17. desember 2021 å nedsette en bredt sammensatt forsvarskommisjon som skal ha relevans for neste langtidsplan, i tråd med Hurdalsplattformen. Formålet med etableringen av forsvarskommisjonen var å få uavhengige innspill, vurderinger og presentasjoner av hvilke veivalg og prioriteringer som best bidrar til å verne om Norges sikkerhet, samt synliggjøre hvilke konsekvenser dette har for den videre utviklingen av forsvarssektoren. Dette arbeidet er også en mulighet for regjeringen til å legge til rette for en bred debatt om Norges sikkerhets- og forsvarspolitiske utfordringer og muligheter. Forsvarskommisjonen skal levere et utkast til NOU 1. mai 2023.</w:t>
      </w:r>
    </w:p>
    <w:p w14:paraId="36D0BE6A" w14:textId="77777777" w:rsidR="00972395" w:rsidRPr="00E73D4B" w:rsidRDefault="00F120C7" w:rsidP="00E73D4B">
      <w:pPr>
        <w:pStyle w:val="avsnitt-tittel"/>
      </w:pPr>
      <w:r w:rsidRPr="00E73D4B">
        <w:t>Nye helikoptre til dedikert helikopterstøtte for Hæren</w:t>
      </w:r>
    </w:p>
    <w:p w14:paraId="0125C413" w14:textId="77777777" w:rsidR="00972395" w:rsidRPr="00E73D4B" w:rsidRDefault="00F120C7" w:rsidP="00E73D4B">
      <w:pPr>
        <w:pStyle w:val="avsnitt-undertittel"/>
      </w:pPr>
      <w:r w:rsidRPr="00E73D4B">
        <w:t>Vedtak nr. 128, 1. desember 2020</w:t>
      </w:r>
    </w:p>
    <w:p w14:paraId="20DFBF08" w14:textId="77777777" w:rsidR="00972395" w:rsidRPr="00E73D4B" w:rsidRDefault="00F120C7" w:rsidP="00E73D4B">
      <w:pPr>
        <w:pStyle w:val="blokksit"/>
        <w:rPr>
          <w:rStyle w:val="kursiv"/>
        </w:rPr>
      </w:pPr>
      <w:r w:rsidRPr="00E73D4B">
        <w:rPr>
          <w:rStyle w:val="kursiv"/>
        </w:rPr>
        <w:t>«Stortinget ber regjeringen i forbindelse med den planlagte anskaffelsen av nye helikoptre til spesialstyrkene fra 2024, også anskaffe nye helikoptre til dedikert helikopterstøtte for Hæren. De nye helikoptrene skal organiseres i en skvadron på Rygge, og en skvadron på Bardufoss for å understøtte og samvirke med Hæren. Det henstilles til regjeringen å komme tilbake til Stortinget med en egen sak om anskaffelsen av helikoptrene, herunder antall.»</w:t>
      </w:r>
    </w:p>
    <w:p w14:paraId="42B05D3D"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xml:space="preserve">. 87 S (2020–2021) til </w:t>
      </w:r>
      <w:proofErr w:type="spellStart"/>
      <w:r w:rsidRPr="00E73D4B">
        <w:t>Prop</w:t>
      </w:r>
      <w:proofErr w:type="spellEnd"/>
      <w:r w:rsidRPr="00E73D4B">
        <w:t xml:space="preserve">. 14 S (2020–2021) </w:t>
      </w:r>
      <w:r w:rsidRPr="00E73D4B">
        <w:rPr>
          <w:rStyle w:val="kursiv"/>
        </w:rPr>
        <w:t>Evne til forsvar – vilje til beredskap. Langtidsplan for forsvarssektoren</w:t>
      </w:r>
      <w:r w:rsidRPr="00E73D4B">
        <w:t>.</w:t>
      </w:r>
    </w:p>
    <w:p w14:paraId="02F5CF82" w14:textId="77777777" w:rsidR="00972395" w:rsidRPr="00E73D4B" w:rsidRDefault="00F120C7" w:rsidP="00E73D4B">
      <w:r w:rsidRPr="00E73D4B">
        <w:t xml:space="preserve">Arbeidet er pågående og er en del av regjeringens helhetlige tilnærming til Forsvarets fremtidige helikopterkapasitet. Forsvarsdepartementet har besluttet at det skal etableres en skvadronsledelse på Bardufoss for helikopterstøtte til Hæren. Forsvaret er gitt i oppdrag å utrede innretningen på dette innen utgangen av 2022, herunder å gi råd om tidsplanen for gjennomføring. Det er videre besluttet å flytte ett </w:t>
      </w:r>
      <w:proofErr w:type="gramStart"/>
      <w:r w:rsidRPr="00E73D4B">
        <w:t>Bell helikopter</w:t>
      </w:r>
      <w:proofErr w:type="gramEnd"/>
      <w:r w:rsidRPr="00E73D4B">
        <w:t xml:space="preserve"> til Bardufoss fra Rygge for å drive opplæring. Regjeringen vil komme tilbake til Stortinget med en egen sak om anskaffelsen av helikoptrene.</w:t>
      </w:r>
    </w:p>
    <w:p w14:paraId="2B265E08" w14:textId="77777777" w:rsidR="00972395" w:rsidRPr="00E73D4B" w:rsidRDefault="00F120C7" w:rsidP="00E73D4B">
      <w:pPr>
        <w:pStyle w:val="avsnitt-tittel"/>
      </w:pPr>
      <w:r w:rsidRPr="00E73D4B">
        <w:t>Utrede å benytte Haslemoen og Drevjamoen</w:t>
      </w:r>
    </w:p>
    <w:p w14:paraId="79F22E66" w14:textId="77777777" w:rsidR="00972395" w:rsidRPr="00E73D4B" w:rsidRDefault="00F120C7" w:rsidP="00E73D4B">
      <w:pPr>
        <w:pStyle w:val="avsnitt-undertittel"/>
      </w:pPr>
      <w:r w:rsidRPr="00E73D4B">
        <w:t>Vedtak nr. 131, 1. desember 2020</w:t>
      </w:r>
    </w:p>
    <w:p w14:paraId="5AEAF990" w14:textId="77777777" w:rsidR="00972395" w:rsidRPr="00E73D4B" w:rsidRDefault="00F120C7" w:rsidP="00E73D4B">
      <w:pPr>
        <w:pStyle w:val="blokksit"/>
        <w:rPr>
          <w:rStyle w:val="kursiv"/>
        </w:rPr>
      </w:pPr>
      <w:r w:rsidRPr="00E73D4B">
        <w:rPr>
          <w:rStyle w:val="kursiv"/>
        </w:rPr>
        <w:t xml:space="preserve">«Stortinget ber regjeringen utrede å benytte Haslemoen og Drevjamoen som supplement til rekruttskolen som lokaliseres på </w:t>
      </w:r>
      <w:proofErr w:type="spellStart"/>
      <w:r w:rsidRPr="00E73D4B">
        <w:rPr>
          <w:rStyle w:val="kursiv"/>
        </w:rPr>
        <w:t>Terningmoen</w:t>
      </w:r>
      <w:proofErr w:type="spellEnd"/>
      <w:r w:rsidRPr="00E73D4B">
        <w:rPr>
          <w:rStyle w:val="kursiv"/>
        </w:rPr>
        <w:t xml:space="preserve">, og på egnet måte komme tilbake til dette i forbindelse med </w:t>
      </w:r>
      <w:proofErr w:type="spellStart"/>
      <w:r w:rsidRPr="00E73D4B">
        <w:rPr>
          <w:rStyle w:val="kursiv"/>
        </w:rPr>
        <w:t>Prop</w:t>
      </w:r>
      <w:proofErr w:type="spellEnd"/>
      <w:r w:rsidRPr="00E73D4B">
        <w:rPr>
          <w:rStyle w:val="kursiv"/>
        </w:rPr>
        <w:t>. 1 S (2021–2022).»</w:t>
      </w:r>
    </w:p>
    <w:p w14:paraId="0374E28E"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xml:space="preserve">. 87 S (2020–2021) til </w:t>
      </w:r>
      <w:proofErr w:type="spellStart"/>
      <w:r w:rsidRPr="00E73D4B">
        <w:t>Prop</w:t>
      </w:r>
      <w:proofErr w:type="spellEnd"/>
      <w:r w:rsidRPr="00E73D4B">
        <w:t xml:space="preserve">. 14 S (2020–2021) </w:t>
      </w:r>
      <w:r w:rsidRPr="00E73D4B">
        <w:rPr>
          <w:rStyle w:val="kursiv"/>
        </w:rPr>
        <w:t>Evne til forsvar – vilje til beredskap. Langtidsplan for forsvarssektoren</w:t>
      </w:r>
      <w:r w:rsidRPr="00E73D4B">
        <w:t>.</w:t>
      </w:r>
    </w:p>
    <w:p w14:paraId="362421E0" w14:textId="77777777" w:rsidR="00972395" w:rsidRPr="00E73D4B" w:rsidRDefault="00F120C7" w:rsidP="00E73D4B">
      <w:r w:rsidRPr="00E73D4B">
        <w:t xml:space="preserve">Forsvarsdepartementet har i tråd med </w:t>
      </w:r>
      <w:proofErr w:type="spellStart"/>
      <w:r w:rsidRPr="00E73D4B">
        <w:t>Innst</w:t>
      </w:r>
      <w:proofErr w:type="spellEnd"/>
      <w:r w:rsidRPr="00E73D4B">
        <w:t xml:space="preserve">. 87 S (2020–2021) til </w:t>
      </w:r>
      <w:proofErr w:type="spellStart"/>
      <w:r w:rsidRPr="00E73D4B">
        <w:t>Prop</w:t>
      </w:r>
      <w:proofErr w:type="spellEnd"/>
      <w:r w:rsidRPr="00E73D4B">
        <w:t xml:space="preserve">. 14 S (2020–2021) utredet bruk av Drevjamoen og/eller Haslemoen som supplement i rekruttutdanningen i Forsvaret. Som beskrevet av den forrige regjeringen i </w:t>
      </w:r>
      <w:proofErr w:type="spellStart"/>
      <w:r w:rsidRPr="00E73D4B">
        <w:t>Prop</w:t>
      </w:r>
      <w:proofErr w:type="spellEnd"/>
      <w:r w:rsidRPr="00E73D4B">
        <w:t xml:space="preserve">. 1 S (2021–2022) avdekket utredningen en feil i plangrunnlaget for antall rekrutter pr. rekruttskole. Parallelt med dette vil beslutningen om tolv eller 16 måneder førstegangstjeneste, samt en pågående utredning om effektivisering av vakt- og sikringsfunksjonen i Forsvaret, ha betydning for utdanningsbehovet. Forsvaret er anmodet om å fremskaffe oppdaterte analyser av utdanningsbehovet ved rekruttskolene. Hensiktsmessigheten av å benytte andre leire som supplement til </w:t>
      </w:r>
      <w:proofErr w:type="spellStart"/>
      <w:r w:rsidRPr="00E73D4B">
        <w:t>Terningmoen</w:t>
      </w:r>
      <w:proofErr w:type="spellEnd"/>
      <w:r w:rsidRPr="00E73D4B">
        <w:t xml:space="preserve"> er utredet. Utredningene viser at det er fordeler med å samle utdanningsmiljøer på få lokasjoner og at å ta i bruk flere leirer vil medføre utgifter til oppgradering av bo- og fellesarealer og kostnader knyttet til å tilfredsstille kravene til kjønnsnøytral verneplikt. Videre vil utdanningsbelastningen for de operative avdelingene reduseres og skape rom for økt operativ tilgjengelighet. Basert på Forsvarets utredninger vil Forsvarsdepartementet supplere eksisterende utredning med en oppdatert vurdering av det totale utdanningsbehovet for rekrutter. </w:t>
      </w:r>
      <w:proofErr w:type="spellStart"/>
      <w:r w:rsidRPr="00E73D4B">
        <w:t>Terningmoen</w:t>
      </w:r>
      <w:proofErr w:type="spellEnd"/>
      <w:r w:rsidRPr="00E73D4B">
        <w:t xml:space="preserve"> bygges i første omgang opp for å ivareta en økning på 1 100 rekrutter pr. innrykk. Pågående utredninger i Forsvaret vil definere rekruttutdanningsbehovet og være styrende både for det endelige utdanningsvolumet ved </w:t>
      </w:r>
      <w:proofErr w:type="spellStart"/>
      <w:r w:rsidRPr="00E73D4B">
        <w:t>Terningmoen</w:t>
      </w:r>
      <w:proofErr w:type="spellEnd"/>
      <w:r w:rsidRPr="00E73D4B">
        <w:t xml:space="preserve"> og behovet for å iverksette eventuelle ytterligere tiltak. Regjeringen vil komme tilbake til Stortinget om dette.</w:t>
      </w:r>
    </w:p>
    <w:p w14:paraId="2334625F" w14:textId="77777777" w:rsidR="00972395" w:rsidRPr="00E73D4B" w:rsidRDefault="00F120C7" w:rsidP="00E73D4B">
      <w:pPr>
        <w:pStyle w:val="avsnitt-tittel"/>
      </w:pPr>
      <w:r w:rsidRPr="00E73D4B">
        <w:t>Utredning om bruk av ikke-militært ansatte</w:t>
      </w:r>
    </w:p>
    <w:p w14:paraId="2BAEA1BE" w14:textId="77777777" w:rsidR="00972395" w:rsidRPr="00E73D4B" w:rsidRDefault="00F120C7" w:rsidP="00E73D4B">
      <w:pPr>
        <w:pStyle w:val="avsnitt-undertittel"/>
      </w:pPr>
      <w:r w:rsidRPr="00E73D4B">
        <w:t>Vedtak nr. 133, 1. desember 2020</w:t>
      </w:r>
    </w:p>
    <w:p w14:paraId="657FB795" w14:textId="77777777" w:rsidR="00972395" w:rsidRPr="00E73D4B" w:rsidRDefault="00F120C7" w:rsidP="00E73D4B">
      <w:pPr>
        <w:pStyle w:val="blokksit"/>
        <w:rPr>
          <w:rStyle w:val="kursiv"/>
        </w:rPr>
      </w:pPr>
      <w:r w:rsidRPr="00E73D4B">
        <w:rPr>
          <w:rStyle w:val="kursiv"/>
        </w:rPr>
        <w:t>«Stortinget ber regjeringen innen 2022 legge fram en utredning om bruk av ikke-militært ansatte og forhold knyttet til krigens folkerett og ikke-militært personell som legitime militære mål.»</w:t>
      </w:r>
    </w:p>
    <w:p w14:paraId="6FB2CCDB"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xml:space="preserve">. 87 S (2020–2021) til </w:t>
      </w:r>
      <w:proofErr w:type="spellStart"/>
      <w:r w:rsidRPr="00E73D4B">
        <w:t>Prop</w:t>
      </w:r>
      <w:proofErr w:type="spellEnd"/>
      <w:r w:rsidRPr="00E73D4B">
        <w:t xml:space="preserve">. 14 S (2020–2021) </w:t>
      </w:r>
      <w:r w:rsidRPr="00E73D4B">
        <w:rPr>
          <w:rStyle w:val="kursiv"/>
        </w:rPr>
        <w:t>Evne til forsvar – vilje til beredskap. Langtidsplan for forsvarssektoren</w:t>
      </w:r>
      <w:r w:rsidRPr="00E73D4B">
        <w:t>.</w:t>
      </w:r>
    </w:p>
    <w:p w14:paraId="3969E5D2" w14:textId="77777777" w:rsidR="00972395" w:rsidRPr="00E73D4B" w:rsidRDefault="00F120C7" w:rsidP="00E73D4B">
      <w:r w:rsidRPr="00E73D4B">
        <w:t>Forsvarsdepartementet har iverksatt en kartlegging om bruk av ikke-militært ansatte og forhold knyttet til krigens folkerett og ikke-militært personell som legitime militære mål. Kartleggingen er nå i sluttfasen, og regjeringen tar sikte på å informere Stortinget om saken innen utgangen av 2022.</w:t>
      </w:r>
    </w:p>
    <w:p w14:paraId="2EA2714C" w14:textId="77777777" w:rsidR="00972395" w:rsidRPr="00E73D4B" w:rsidRDefault="00F120C7" w:rsidP="00E73D4B">
      <w:pPr>
        <w:pStyle w:val="avsnitt-tittel"/>
      </w:pPr>
      <w:r w:rsidRPr="00E73D4B">
        <w:t>Personell til HV på Drevjamoen etter modell fra FLF</w:t>
      </w:r>
    </w:p>
    <w:p w14:paraId="28E13971" w14:textId="77777777" w:rsidR="00972395" w:rsidRPr="00E73D4B" w:rsidRDefault="00F120C7" w:rsidP="00E73D4B">
      <w:pPr>
        <w:pStyle w:val="avsnitt-undertittel"/>
      </w:pPr>
      <w:r w:rsidRPr="00E73D4B">
        <w:t>Vedtak nr. 136, 16. desember 2020</w:t>
      </w:r>
    </w:p>
    <w:p w14:paraId="63656CCE" w14:textId="77777777" w:rsidR="00972395" w:rsidRPr="00E73D4B" w:rsidRDefault="00F120C7" w:rsidP="00E73D4B">
      <w:pPr>
        <w:pStyle w:val="blokksit"/>
        <w:rPr>
          <w:rStyle w:val="kursiv"/>
        </w:rPr>
      </w:pPr>
      <w:r w:rsidRPr="00E73D4B">
        <w:rPr>
          <w:rStyle w:val="kursiv"/>
        </w:rPr>
        <w:t xml:space="preserve">«Stortinget ber regjeringa greie ut utnytting av </w:t>
      </w:r>
      <w:proofErr w:type="spellStart"/>
      <w:r w:rsidRPr="00E73D4B">
        <w:rPr>
          <w:rStyle w:val="kursiv"/>
        </w:rPr>
        <w:t>eksisterande</w:t>
      </w:r>
      <w:proofErr w:type="spellEnd"/>
      <w:r w:rsidRPr="00E73D4B">
        <w:rPr>
          <w:rStyle w:val="kursiv"/>
        </w:rPr>
        <w:t xml:space="preserve"> EBA og etter behov opprette mellombels rekruttutdanning for å utdanne personell til HV på Drevjamoen etter modell </w:t>
      </w:r>
      <w:proofErr w:type="spellStart"/>
      <w:r w:rsidRPr="00E73D4B">
        <w:rPr>
          <w:rStyle w:val="kursiv"/>
        </w:rPr>
        <w:t>frå</w:t>
      </w:r>
      <w:proofErr w:type="spellEnd"/>
      <w:r w:rsidRPr="00E73D4B">
        <w:rPr>
          <w:rStyle w:val="kursiv"/>
        </w:rPr>
        <w:t xml:space="preserve"> Finnmark landforsvar.»</w:t>
      </w:r>
    </w:p>
    <w:p w14:paraId="450C02FC" w14:textId="77777777" w:rsidR="00972395" w:rsidRPr="00E73D4B" w:rsidRDefault="00F120C7" w:rsidP="00E73D4B">
      <w:r w:rsidRPr="00E73D4B">
        <w:t xml:space="preserve">Vedtaket ble truffet under behandling av </w:t>
      </w:r>
      <w:proofErr w:type="spellStart"/>
      <w:r w:rsidRPr="00E73D4B">
        <w:t>Innst</w:t>
      </w:r>
      <w:proofErr w:type="spellEnd"/>
      <w:r w:rsidRPr="00E73D4B">
        <w:t xml:space="preserve">. 87 S (2020–2021) til </w:t>
      </w:r>
      <w:proofErr w:type="spellStart"/>
      <w:r w:rsidRPr="00E73D4B">
        <w:t>Prop</w:t>
      </w:r>
      <w:proofErr w:type="spellEnd"/>
      <w:r w:rsidRPr="00E73D4B">
        <w:t xml:space="preserve">. 14 S (2020–2021) </w:t>
      </w:r>
      <w:r w:rsidRPr="00E73D4B">
        <w:rPr>
          <w:rStyle w:val="kursiv"/>
        </w:rPr>
        <w:t>Evne til forsvar – vilje til beredskap. Langtidsplan for forsvarssektoren</w:t>
      </w:r>
      <w:r w:rsidRPr="00E73D4B">
        <w:t>.</w:t>
      </w:r>
    </w:p>
    <w:p w14:paraId="78DB69D1" w14:textId="77777777" w:rsidR="00972395" w:rsidRPr="00E73D4B" w:rsidRDefault="00F120C7" w:rsidP="00E73D4B">
      <w:r w:rsidRPr="00E73D4B">
        <w:t xml:space="preserve">Forhold </w:t>
      </w:r>
      <w:proofErr w:type="gramStart"/>
      <w:r w:rsidRPr="00E73D4B">
        <w:t>vedrørende</w:t>
      </w:r>
      <w:proofErr w:type="gramEnd"/>
      <w:r w:rsidRPr="00E73D4B">
        <w:t xml:space="preserve"> behov for å opprette egen rekruttutdanning for Heimevernet er vurdert helhetlig av forrige regjering og redegjort for i </w:t>
      </w:r>
      <w:proofErr w:type="spellStart"/>
      <w:r w:rsidRPr="00E73D4B">
        <w:t>Prop</w:t>
      </w:r>
      <w:proofErr w:type="spellEnd"/>
      <w:r w:rsidRPr="00E73D4B">
        <w:t>. 1 S (2021–2022). Innenfor dagens Heimevernsstruktur er det etter forsvarssjefens militærfaglige vurderinger og en helhetlig vurdering av Forsvarsdepartementet ikke funnet behov for en egen rekruttutdanning for Heimevernet. Heimevernet har i dag utfordringer med å rekvirere personell med lokal tilknytning i de nordligste fylkene. Forsvaret har tilgjengelig flere virkemidler for å bøte på denne utfordringen, eksempelvis seleksjon etter geografisk tilhørighet i forbindelse med rekvirering til førstegangstjeneste. Regjeringen vil se den videre styrkingen av Heimevernet i sammenheng med en helhetlig vurdering av Heimevernets fremtidige utnyttelse og innretning i den neste langtidsplanen for forsvarssektoren.</w:t>
      </w:r>
    </w:p>
    <w:p w14:paraId="147762D3" w14:textId="77777777" w:rsidR="00972395" w:rsidRPr="00E73D4B" w:rsidRDefault="00F120C7" w:rsidP="00E73D4B">
      <w:pPr>
        <w:pStyle w:val="avsnitt-tittel"/>
      </w:pPr>
      <w:r w:rsidRPr="00E73D4B">
        <w:t>Ivaretakelse av de nasjonale kulturhistoriske verdiene på Kjeller</w:t>
      </w:r>
    </w:p>
    <w:p w14:paraId="431701B5" w14:textId="77777777" w:rsidR="00972395" w:rsidRPr="00E73D4B" w:rsidRDefault="00F120C7" w:rsidP="00E73D4B">
      <w:pPr>
        <w:pStyle w:val="avsnitt-undertittel"/>
      </w:pPr>
      <w:r w:rsidRPr="00E73D4B">
        <w:t>Vedtak nr. 1099, 2. juni 2021</w:t>
      </w:r>
    </w:p>
    <w:p w14:paraId="64A95A6A" w14:textId="77777777" w:rsidR="00972395" w:rsidRPr="00E73D4B" w:rsidRDefault="00F120C7" w:rsidP="00E73D4B">
      <w:pPr>
        <w:pStyle w:val="blokksit"/>
        <w:rPr>
          <w:rStyle w:val="kursiv"/>
        </w:rPr>
      </w:pPr>
      <w:r w:rsidRPr="00E73D4B">
        <w:rPr>
          <w:rStyle w:val="kursiv"/>
        </w:rPr>
        <w:t>«Stortinget ber regjeringen legge frem en sak for Stortinget med en plan for hvordan staten kan bidra til at de nasjonale kulturhistoriske verdiene på Kjeller blir ivaretatt.»</w:t>
      </w:r>
    </w:p>
    <w:p w14:paraId="4FFE704B" w14:textId="77777777" w:rsidR="00972395" w:rsidRPr="00E73D4B" w:rsidRDefault="00F120C7" w:rsidP="00E73D4B">
      <w:r w:rsidRPr="00E73D4B">
        <w:t xml:space="preserve">Vedtaket ble truffet ved behandling av </w:t>
      </w:r>
      <w:proofErr w:type="spellStart"/>
      <w:r w:rsidRPr="00E73D4B">
        <w:t>Innst</w:t>
      </w:r>
      <w:proofErr w:type="spellEnd"/>
      <w:r w:rsidRPr="00E73D4B">
        <w:t xml:space="preserve">. 543 S (2020–2021) til Dokument 8:241 S (2020–2021) </w:t>
      </w:r>
      <w:r w:rsidRPr="00E73D4B">
        <w:rPr>
          <w:rStyle w:val="kursiv"/>
        </w:rPr>
        <w:t>Representantforslag om en permanent løsning for småflyaktiviteten i Oslo-området og luftfartøyvernsenter på Kjeller</w:t>
      </w:r>
      <w:r w:rsidRPr="00E73D4B">
        <w:t>.</w:t>
      </w:r>
    </w:p>
    <w:p w14:paraId="6F26DAA4" w14:textId="77777777" w:rsidR="00972395" w:rsidRPr="00E73D4B" w:rsidRDefault="00F120C7" w:rsidP="00E73D4B">
      <w:r w:rsidRPr="00E73D4B">
        <w:t xml:space="preserve">Forhold knyttet til ivaretakelse av nasjonale, kulturhistoriske verdier på Kjeller ses i sammenheng med arbeidet knyttet til avhendingen av Kjeller base, og koordineres med pågående prosesser hos Riksantikvaren og Lillestrøm kommune. Det vises også til informasjonssak om avviklingen av Kjeller base i </w:t>
      </w:r>
      <w:proofErr w:type="spellStart"/>
      <w:r w:rsidRPr="00E73D4B">
        <w:t>Prop</w:t>
      </w:r>
      <w:proofErr w:type="spellEnd"/>
      <w:r w:rsidRPr="00E73D4B">
        <w:t>. 1 S (2021–2022) Del III, 6.8 Avhending av Kjeller base. Fremdriften i Lillestrøm kommunes planprosess medfører at planen som skal danne grunnlag for etterbruk av Kjeller først ferdigbehandles ved utgangen av 2026. Riksantikvarens fredningsprosess samkjøres med dette arbeidet. Regjeringen vil komme tilbake til Stortinget om oppfølging av vedtaket.</w:t>
      </w:r>
    </w:p>
    <w:p w14:paraId="409EA6E9" w14:textId="77777777" w:rsidR="00972395" w:rsidRPr="00E73D4B" w:rsidRDefault="00F120C7" w:rsidP="00E73D4B">
      <w:pPr>
        <w:pStyle w:val="avsnitt-tittel"/>
      </w:pPr>
      <w:r w:rsidRPr="00E73D4B">
        <w:t>Statlig bidrag til istandsettelsen av Den gamle krigsskole</w:t>
      </w:r>
    </w:p>
    <w:p w14:paraId="217610B0" w14:textId="77777777" w:rsidR="00972395" w:rsidRPr="00E73D4B" w:rsidRDefault="00F120C7" w:rsidP="00E73D4B">
      <w:pPr>
        <w:pStyle w:val="avsnitt-undertittel"/>
      </w:pPr>
      <w:r w:rsidRPr="00E73D4B">
        <w:t>Vedtak nr. 1187, 9. juni 2021</w:t>
      </w:r>
    </w:p>
    <w:p w14:paraId="496AF3D3" w14:textId="77777777" w:rsidR="00972395" w:rsidRPr="00E73D4B" w:rsidRDefault="00F120C7" w:rsidP="00E73D4B">
      <w:pPr>
        <w:pStyle w:val="blokksit"/>
        <w:rPr>
          <w:rStyle w:val="kursiv"/>
        </w:rPr>
      </w:pPr>
      <w:r w:rsidRPr="00E73D4B">
        <w:rPr>
          <w:rStyle w:val="kursiv"/>
        </w:rPr>
        <w:t>«Stortinget ber regjeringen utrede og avklare hvorvidt eventuelle fremtidige tilskudd og/eller driftsmidler til Stiftelsen Den Gamle Krigsskole i forbindelse med bygningsmassen i Tollbugata 10 i Oslo bør utløses via Kulturdepartementet.»</w:t>
      </w:r>
    </w:p>
    <w:p w14:paraId="2718AEDC" w14:textId="77777777" w:rsidR="00972395" w:rsidRPr="00E73D4B" w:rsidRDefault="00F120C7" w:rsidP="00E73D4B">
      <w:r w:rsidRPr="00E73D4B">
        <w:t xml:space="preserve">Vedtaket ble truffet ved behandling av </w:t>
      </w:r>
      <w:proofErr w:type="spellStart"/>
      <w:r w:rsidRPr="00E73D4B">
        <w:t>Innst</w:t>
      </w:r>
      <w:proofErr w:type="spellEnd"/>
      <w:r w:rsidRPr="00E73D4B">
        <w:t xml:space="preserve">. 494 S (2020–2021) til Dokument 8:278 S (2020–2021) </w:t>
      </w:r>
      <w:r w:rsidRPr="00E73D4B">
        <w:rPr>
          <w:rStyle w:val="kursiv"/>
        </w:rPr>
        <w:t>Representantforslag om statlig bidrag til istandsettelsen av Den Gamle Krigsskole i Oslo</w:t>
      </w:r>
      <w:r w:rsidRPr="00E73D4B">
        <w:t>.</w:t>
      </w:r>
    </w:p>
    <w:p w14:paraId="78F8F327" w14:textId="77777777" w:rsidR="00972395" w:rsidRPr="00E73D4B" w:rsidRDefault="00F120C7" w:rsidP="00E73D4B">
      <w:r w:rsidRPr="00E73D4B">
        <w:t>Forsvarsdepartementet igangsatte i 2021 et tverrsektorielt arbeid for å utrede alternativer for fremtidig forvaltning av forsvarssektorens kulturhistoriske eiendommer. Utredningen skal også belyse hvordan man eventuelt kan sørge for finansiering innenfor rammen av sektorprinsippet, selv om man eksempelvis avhender slike eiendommer eller velger andre organisasjonsformer for eierskapet. En arbeidsgruppe ledet av Forsvarsbygg leverte sin rapport til Forsvarsdepartementet 15. juni 2022. Det gjennomføres nå en høring av utredningen, som vil utgjøre et viktig grunnlag for regjeringens videre behandling av arbeidsgruppens anbefalinger. Om det skal etableres spesielle tilskuddsordninger for kulturhistoriske eiendommer som tidligere har vært i forsvarssektorenes eie, inkludert Tollbugata 10, vil være en del av anbefalingen knyttet til fremtidig forvaltning av disse eiendommene.</w:t>
      </w:r>
    </w:p>
    <w:p w14:paraId="01951915" w14:textId="77777777" w:rsidR="00972395" w:rsidRPr="00E73D4B" w:rsidRDefault="00F120C7" w:rsidP="00E73D4B">
      <w:pPr>
        <w:pStyle w:val="Overskrift2"/>
      </w:pPr>
      <w:r w:rsidRPr="00E73D4B">
        <w:t>Stortingssesjon 2019–2020</w:t>
      </w:r>
    </w:p>
    <w:p w14:paraId="4FEFDC1F" w14:textId="77777777" w:rsidR="00972395" w:rsidRPr="00E73D4B" w:rsidRDefault="00F120C7" w:rsidP="00E73D4B">
      <w:pPr>
        <w:pStyle w:val="avsnitt-tittel"/>
      </w:pPr>
      <w:r w:rsidRPr="00E73D4B">
        <w:t>Evaluering av ny etterretningstjenestelov</w:t>
      </w:r>
    </w:p>
    <w:p w14:paraId="3FDC7285" w14:textId="77777777" w:rsidR="00972395" w:rsidRPr="00E73D4B" w:rsidRDefault="00F120C7" w:rsidP="00E73D4B">
      <w:pPr>
        <w:pStyle w:val="avsnitt-undertittel"/>
      </w:pPr>
      <w:r w:rsidRPr="00E73D4B">
        <w:t>Vedtak nr. 676, 11. juni 2020</w:t>
      </w:r>
    </w:p>
    <w:p w14:paraId="072234C8" w14:textId="77777777" w:rsidR="00972395" w:rsidRPr="00E73D4B" w:rsidRDefault="00F120C7" w:rsidP="00E73D4B">
      <w:pPr>
        <w:pStyle w:val="blokksit"/>
        <w:rPr>
          <w:rStyle w:val="kursiv"/>
        </w:rPr>
      </w:pPr>
      <w:r w:rsidRPr="00E73D4B">
        <w:rPr>
          <w:rStyle w:val="kursiv"/>
        </w:rPr>
        <w:t>«Stortinget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bestemmelser, inkludert ressurssituasjonen, kompetanse og virkemidler hos EOS-utvalget og domstolene.»</w:t>
      </w:r>
    </w:p>
    <w:p w14:paraId="464F95AD" w14:textId="77777777" w:rsidR="00972395" w:rsidRPr="00E73D4B" w:rsidRDefault="00F120C7" w:rsidP="00E73D4B">
      <w:r w:rsidRPr="00E73D4B">
        <w:t xml:space="preserve">Vedtaket ble truffet ved behandling av </w:t>
      </w:r>
      <w:proofErr w:type="spellStart"/>
      <w:r w:rsidRPr="00E73D4B">
        <w:t>Innst</w:t>
      </w:r>
      <w:proofErr w:type="spellEnd"/>
      <w:r w:rsidRPr="00E73D4B">
        <w:t xml:space="preserve">. 357 L (2019–2020) til </w:t>
      </w:r>
      <w:proofErr w:type="spellStart"/>
      <w:r w:rsidRPr="00E73D4B">
        <w:t>Prop</w:t>
      </w:r>
      <w:proofErr w:type="spellEnd"/>
      <w:r w:rsidRPr="00E73D4B">
        <w:t xml:space="preserve">. 80 L (2019–2020) </w:t>
      </w:r>
      <w:r w:rsidRPr="00E73D4B">
        <w:rPr>
          <w:rStyle w:val="kursiv"/>
        </w:rPr>
        <w:t>Lov om Etterretningstjenesten (etterretningstjenesteloven)</w:t>
      </w:r>
      <w:r w:rsidRPr="00E73D4B">
        <w:t xml:space="preserve"> og Lovvedtak 134 (2019–2020).</w:t>
      </w:r>
    </w:p>
    <w:p w14:paraId="762DF073" w14:textId="77777777" w:rsidR="00972395" w:rsidRPr="00E73D4B" w:rsidRDefault="00F120C7" w:rsidP="00E73D4B">
      <w:r w:rsidRPr="00E73D4B">
        <w:t xml:space="preserve">Regjeringen vil sørge for en uavhengig evaluering av etterretningstjenesteloven fra full ikrafttredelse slik Stortinget ber om. Etterretningstjenesteloven har </w:t>
      </w:r>
      <w:proofErr w:type="gramStart"/>
      <w:r w:rsidRPr="00E73D4B">
        <w:t>trådt</w:t>
      </w:r>
      <w:proofErr w:type="gramEnd"/>
      <w:r w:rsidRPr="00E73D4B">
        <w:t xml:space="preserve"> i kraft trinnvis. Den siste bestemmelsen, paragraf 7-3, ble satt i kraft 2. september 2022, slik at systemet for tilrettelagt innhenting kan testes og utvikles på trygt juridisk grunnlag. Aktiviteten begrenses gjennom en instruks til innsamling av data for å teste og utvikle systemet. Dataene skal ikke brukes til etterretningsformål. Ikrafttredelsen av bestemmelsen 2. september 2022 innebærer at hele etterretningstjenesteloven er ikraftsatt, og at evalueringen vil foreligge senest 2. september 2026.</w:t>
      </w:r>
    </w:p>
    <w:p w14:paraId="5B6E6D7A" w14:textId="77777777" w:rsidR="00972395" w:rsidRPr="00E73D4B" w:rsidRDefault="00F120C7" w:rsidP="00E73D4B">
      <w:r w:rsidRPr="00E73D4B">
        <w:t xml:space="preserve">Samtidig er endringer i paragraf 7-3 på høring, og planen er å sende en lovproposisjon til Stortinget før påske 2023. Regjeringen foreslår å endre bestemmelsen på bakgrunn av utvikling i internasjonal rettspraksis avsagt etter at loven ble vedtatt. I høringsnotatet foreslås det at sjefen for Etterretningstjenesten fortsatt skal kunne treffe beslutning om at </w:t>
      </w:r>
      <w:proofErr w:type="spellStart"/>
      <w:r w:rsidRPr="00E73D4B">
        <w:t>ekomtilbydere</w:t>
      </w:r>
      <w:proofErr w:type="spellEnd"/>
      <w:r w:rsidRPr="00E73D4B">
        <w:t xml:space="preserve"> skal tilrettelegge for testinnhenting og </w:t>
      </w:r>
      <w:proofErr w:type="spellStart"/>
      <w:r w:rsidRPr="00E73D4B">
        <w:t>testanalyser</w:t>
      </w:r>
      <w:proofErr w:type="spellEnd"/>
      <w:r w:rsidRPr="00E73D4B">
        <w:t xml:space="preserve"> av trafikk i nett og tjenester. Systemet for tilrettelagt innhenting kan ikke settes i operativ drift før Stortinget har behandlet en proposisjon om endringer i paragraf 7-3.</w:t>
      </w:r>
    </w:p>
    <w:p w14:paraId="366ACB58" w14:textId="77777777" w:rsidR="00972395" w:rsidRPr="00E73D4B" w:rsidRDefault="00F120C7" w:rsidP="00E73D4B">
      <w:pPr>
        <w:pStyle w:val="Overskrift2"/>
      </w:pPr>
      <w:r w:rsidRPr="00E73D4B">
        <w:t>Stortingssesjon 2016–2017</w:t>
      </w:r>
    </w:p>
    <w:p w14:paraId="3A07C9A2" w14:textId="77777777" w:rsidR="00972395" w:rsidRPr="00E73D4B" w:rsidRDefault="00F120C7" w:rsidP="00E73D4B">
      <w:pPr>
        <w:pStyle w:val="avsnitt-tittel"/>
      </w:pPr>
      <w:r w:rsidRPr="00E73D4B">
        <w:t>Lovhjemmel for å ivareta rettighetene for fanger</w:t>
      </w:r>
    </w:p>
    <w:p w14:paraId="57CF1D73" w14:textId="77777777" w:rsidR="00972395" w:rsidRPr="00E73D4B" w:rsidRDefault="00F120C7" w:rsidP="00E73D4B">
      <w:pPr>
        <w:pStyle w:val="avsnitt-undertittel"/>
      </w:pPr>
      <w:r w:rsidRPr="00E73D4B">
        <w:t>Vedtak nr. 576, 18. april 2017:</w:t>
      </w:r>
    </w:p>
    <w:p w14:paraId="3FA99733" w14:textId="77777777" w:rsidR="00972395" w:rsidRPr="00E73D4B" w:rsidRDefault="00F120C7" w:rsidP="00E73D4B">
      <w:pPr>
        <w:pStyle w:val="blokksit"/>
        <w:rPr>
          <w:rStyle w:val="kursiv"/>
        </w:rPr>
      </w:pPr>
      <w:r w:rsidRPr="00E73D4B">
        <w:rPr>
          <w:rStyle w:val="kursiv"/>
        </w:rP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14:paraId="681A51DF" w14:textId="77777777" w:rsidR="00972395" w:rsidRPr="00E73D4B" w:rsidRDefault="00F120C7" w:rsidP="00E73D4B">
      <w:r w:rsidRPr="00E73D4B">
        <w:t xml:space="preserve">Vedtaket ble truffet ved behandling av </w:t>
      </w:r>
      <w:proofErr w:type="spellStart"/>
      <w:r w:rsidRPr="00E73D4B">
        <w:t>Innst</w:t>
      </w:r>
      <w:proofErr w:type="spellEnd"/>
      <w:r w:rsidRPr="00E73D4B">
        <w:t xml:space="preserve">. 248 S (2016–2017) om </w:t>
      </w:r>
      <w:r w:rsidRPr="00E73D4B">
        <w:rPr>
          <w:rStyle w:val="kursiv"/>
        </w:rPr>
        <w:t>Redegjørelse av utenriksministeren og forsvarsministeren om Afghanistan, inkludert rapporten fra det regjeringsoppnevnte utvalget som har evaluert og trukket lærdommer av Norges sivile og militære innsats i Afghanistan for perioden 2001–2014</w:t>
      </w:r>
      <w:r w:rsidRPr="00E73D4B">
        <w:t>. Forslaget ble fremmet av Miljøpartiet De Grønne etter at innstillingen var fremmet for Stortinget.</w:t>
      </w:r>
    </w:p>
    <w:p w14:paraId="54C3C9C0" w14:textId="77777777" w:rsidR="00972395" w:rsidRPr="00E73D4B" w:rsidRDefault="00F120C7" w:rsidP="00E73D4B">
      <w:r w:rsidRPr="00E73D4B">
        <w:t xml:space="preserve">Forsvaret har på oppdrag fra Forsvarsdepartementet utført en utredning av temaet frihetsberøvelse i militære operasjoner, som et grunnlag for det videre arbeidet med problemstillingen. Saken har vist seg noe mer kompleks enn hva først var antatt. Det pågår nå et arbeid i Forsvarsdepartement med å utrede behovet for </w:t>
      </w:r>
      <w:proofErr w:type="spellStart"/>
      <w:r w:rsidRPr="00E73D4B">
        <w:t>lovforankring</w:t>
      </w:r>
      <w:proofErr w:type="spellEnd"/>
      <w:r w:rsidRPr="00E73D4B">
        <w:t>, i dialog med Utenriksdepartementet og Justis- og beredskapsdepartementet. Forsvarsdepartementet tar sikte på å ferdigstille denne utredningen innen første halvdel av 2023. Regjeringen tar sikte på å informere Stortinget om saken våren 2023.</w:t>
      </w:r>
    </w:p>
    <w:p w14:paraId="761FC09C" w14:textId="77777777" w:rsidR="00972395" w:rsidRPr="00E73D4B" w:rsidRDefault="00F120C7" w:rsidP="00E73D4B">
      <w:pPr>
        <w:pStyle w:val="Overskrift1"/>
      </w:pPr>
      <w:r w:rsidRPr="00E73D4B">
        <w:t xml:space="preserve">Helse- og </w:t>
      </w:r>
      <w:proofErr w:type="spellStart"/>
      <w:r w:rsidRPr="00E73D4B">
        <w:t>omsorgsdepartmentet</w:t>
      </w:r>
      <w:proofErr w:type="spellEnd"/>
    </w:p>
    <w:p w14:paraId="3B2D1629" w14:textId="1694BC8C" w:rsidR="00972395" w:rsidRDefault="00F120C7" w:rsidP="00E73D4B">
      <w:r w:rsidRPr="00E73D4B">
        <w:t xml:space="preserve">Nedenfor gis en oversikt over oppfølging av anmodnings- og utredningsvedtak under Helse- og omsorgsdepartementet. Oversikten inkluderer alle vedtak fra stortingssesjonen 2021–2022, samt de vedtakene som kontroll- og konstitusjonskomiteen i </w:t>
      </w:r>
      <w:proofErr w:type="spellStart"/>
      <w:r w:rsidRPr="00E73D4B">
        <w:t>Innst</w:t>
      </w:r>
      <w:proofErr w:type="spellEnd"/>
      <w:r w:rsidRPr="00E73D4B">
        <w:t>. 141 S (2021–2022) mente ikke var kvittert ut. I tabellen nedenfor angis det også hvorvidt departementet planlegger at rapporteringen knyttet til anmodningsvedtaket nå avsluttes eller om departementet vil rapportere konkret på vedtaket også i neste års budsjettproposisjon.</w:t>
      </w:r>
    </w:p>
    <w:p w14:paraId="63120486" w14:textId="45447553" w:rsidR="00681E28" w:rsidRPr="00E73D4B" w:rsidRDefault="00681E28" w:rsidP="00681E28">
      <w:pPr>
        <w:pStyle w:val="tabell-tittel"/>
      </w:pPr>
      <w:r w:rsidRPr="00E73D4B">
        <w:t>Oversikt over anmodnings- og utredningsvedtak, ordnet etter sesjon og nummer</w:t>
      </w:r>
    </w:p>
    <w:p w14:paraId="4BB7F58A" w14:textId="77777777" w:rsidR="00972395" w:rsidRPr="00E73D4B" w:rsidRDefault="00F120C7" w:rsidP="00E73D4B">
      <w:pPr>
        <w:pStyle w:val="Tabellnavn"/>
      </w:pPr>
      <w:r w:rsidRPr="00E73D4B">
        <w:t>04J1xt2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1418"/>
        <w:gridCol w:w="1276"/>
        <w:gridCol w:w="4819"/>
        <w:gridCol w:w="1587"/>
      </w:tblGrid>
      <w:tr w:rsidR="00972395" w:rsidRPr="00E73D4B" w14:paraId="08219EBF" w14:textId="77777777" w:rsidTr="00681E28">
        <w:trPr>
          <w:trHeight w:val="860"/>
        </w:trPr>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8DF7E1" w14:textId="77777777" w:rsidR="00972395" w:rsidRPr="00E73D4B" w:rsidRDefault="00F120C7" w:rsidP="00681E28">
            <w:r w:rsidRPr="00E73D4B">
              <w:t xml:space="preserve">Sesjon </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6B64A2" w14:textId="77777777" w:rsidR="00972395" w:rsidRPr="00E73D4B" w:rsidRDefault="00F120C7" w:rsidP="00681E28">
            <w:pPr>
              <w:jc w:val="right"/>
            </w:pPr>
            <w:r w:rsidRPr="00E73D4B">
              <w:t>Vedtak nr.</w:t>
            </w:r>
          </w:p>
        </w:tc>
        <w:tc>
          <w:tcPr>
            <w:tcW w:w="481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005D76" w14:textId="77777777" w:rsidR="00972395" w:rsidRPr="00E73D4B" w:rsidRDefault="00F120C7" w:rsidP="00681E28">
            <w:r w:rsidRPr="00E73D4B">
              <w:t>Stikkord</w:t>
            </w:r>
          </w:p>
        </w:tc>
        <w:tc>
          <w:tcPr>
            <w:tcW w:w="15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0E6411" w14:textId="77777777" w:rsidR="00972395" w:rsidRPr="00E73D4B" w:rsidRDefault="00F120C7" w:rsidP="00681E28">
            <w:pPr>
              <w:jc w:val="right"/>
            </w:pPr>
            <w:r w:rsidRPr="00E73D4B">
              <w:t xml:space="preserve">Rapportering avsluttes </w:t>
            </w:r>
            <w:r w:rsidRPr="00E73D4B">
              <w:br/>
              <w:t xml:space="preserve">(Ja/Nei) </w:t>
            </w:r>
            <w:r w:rsidRPr="00E73D4B">
              <w:br/>
              <w:t xml:space="preserve">i </w:t>
            </w:r>
            <w:proofErr w:type="spellStart"/>
            <w:r w:rsidRPr="00E73D4B">
              <w:t>Prop</w:t>
            </w:r>
            <w:proofErr w:type="spellEnd"/>
            <w:r w:rsidRPr="00E73D4B">
              <w:t>. 1 S (2022–2023)</w:t>
            </w:r>
          </w:p>
        </w:tc>
      </w:tr>
      <w:tr w:rsidR="00972395" w:rsidRPr="00E73D4B" w14:paraId="2A80F8C4" w14:textId="77777777" w:rsidTr="00681E28">
        <w:trPr>
          <w:trHeight w:val="640"/>
        </w:trPr>
        <w:tc>
          <w:tcPr>
            <w:tcW w:w="1418" w:type="dxa"/>
            <w:tcBorders>
              <w:top w:val="single" w:sz="4" w:space="0" w:color="000000"/>
              <w:left w:val="nil"/>
              <w:bottom w:val="nil"/>
              <w:right w:val="nil"/>
            </w:tcBorders>
            <w:tcMar>
              <w:top w:w="128" w:type="dxa"/>
              <w:left w:w="43" w:type="dxa"/>
              <w:bottom w:w="43" w:type="dxa"/>
              <w:right w:w="43" w:type="dxa"/>
            </w:tcMar>
          </w:tcPr>
          <w:p w14:paraId="0CD3AC34" w14:textId="77777777" w:rsidR="00972395" w:rsidRPr="00E73D4B" w:rsidRDefault="00F120C7" w:rsidP="00681E28">
            <w:r w:rsidRPr="00E73D4B">
              <w:t>2021–2022</w:t>
            </w:r>
          </w:p>
        </w:tc>
        <w:tc>
          <w:tcPr>
            <w:tcW w:w="1276" w:type="dxa"/>
            <w:tcBorders>
              <w:top w:val="single" w:sz="4" w:space="0" w:color="000000"/>
              <w:left w:val="nil"/>
              <w:bottom w:val="nil"/>
              <w:right w:val="nil"/>
            </w:tcBorders>
            <w:tcMar>
              <w:top w:w="128" w:type="dxa"/>
              <w:left w:w="43" w:type="dxa"/>
              <w:bottom w:w="43" w:type="dxa"/>
              <w:right w:w="43" w:type="dxa"/>
            </w:tcMar>
          </w:tcPr>
          <w:p w14:paraId="2F81FDD0" w14:textId="77777777" w:rsidR="00972395" w:rsidRPr="00E73D4B" w:rsidRDefault="00F120C7" w:rsidP="00681E28">
            <w:pPr>
              <w:jc w:val="right"/>
            </w:pPr>
            <w:r w:rsidRPr="00E73D4B">
              <w:t xml:space="preserve">35, </w:t>
            </w:r>
            <w:r w:rsidRPr="00E73D4B">
              <w:br/>
              <w:t>punkt 51</w:t>
            </w:r>
          </w:p>
        </w:tc>
        <w:tc>
          <w:tcPr>
            <w:tcW w:w="4819" w:type="dxa"/>
            <w:tcBorders>
              <w:top w:val="single" w:sz="4" w:space="0" w:color="000000"/>
              <w:left w:val="nil"/>
              <w:bottom w:val="nil"/>
              <w:right w:val="nil"/>
            </w:tcBorders>
            <w:tcMar>
              <w:top w:w="128" w:type="dxa"/>
              <w:left w:w="43" w:type="dxa"/>
              <w:bottom w:w="43" w:type="dxa"/>
              <w:right w:w="43" w:type="dxa"/>
            </w:tcMar>
          </w:tcPr>
          <w:p w14:paraId="28F2F3DF" w14:textId="77777777" w:rsidR="00972395" w:rsidRPr="00E73D4B" w:rsidRDefault="00F120C7" w:rsidP="00681E28">
            <w:r w:rsidRPr="00E73D4B">
              <w:t>Utredning av status for tannhelsetjenester</w:t>
            </w:r>
          </w:p>
        </w:tc>
        <w:tc>
          <w:tcPr>
            <w:tcW w:w="1587" w:type="dxa"/>
            <w:tcBorders>
              <w:top w:val="single" w:sz="4" w:space="0" w:color="000000"/>
              <w:left w:val="nil"/>
              <w:bottom w:val="nil"/>
              <w:right w:val="nil"/>
            </w:tcBorders>
            <w:tcMar>
              <w:top w:w="128" w:type="dxa"/>
              <w:left w:w="43" w:type="dxa"/>
              <w:bottom w:w="43" w:type="dxa"/>
              <w:right w:w="43" w:type="dxa"/>
            </w:tcMar>
          </w:tcPr>
          <w:p w14:paraId="0B828DA7" w14:textId="77777777" w:rsidR="00972395" w:rsidRPr="00E73D4B" w:rsidRDefault="00F120C7" w:rsidP="00681E28">
            <w:pPr>
              <w:jc w:val="right"/>
            </w:pPr>
            <w:r w:rsidRPr="00E73D4B">
              <w:t>Ja</w:t>
            </w:r>
          </w:p>
        </w:tc>
      </w:tr>
      <w:tr w:rsidR="00972395" w:rsidRPr="00E73D4B" w14:paraId="4767D43E"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30D43A6A"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58D1CBB9" w14:textId="77777777" w:rsidR="00972395" w:rsidRPr="00E73D4B" w:rsidRDefault="00F120C7" w:rsidP="00681E28">
            <w:pPr>
              <w:jc w:val="right"/>
            </w:pPr>
            <w:r w:rsidRPr="00E73D4B">
              <w:t xml:space="preserve">35, </w:t>
            </w:r>
            <w:r w:rsidRPr="00E73D4B">
              <w:br/>
              <w:t>punkt 52</w:t>
            </w:r>
          </w:p>
        </w:tc>
        <w:tc>
          <w:tcPr>
            <w:tcW w:w="4819" w:type="dxa"/>
            <w:tcBorders>
              <w:top w:val="nil"/>
              <w:left w:val="nil"/>
              <w:bottom w:val="nil"/>
              <w:right w:val="nil"/>
            </w:tcBorders>
            <w:tcMar>
              <w:top w:w="128" w:type="dxa"/>
              <w:left w:w="43" w:type="dxa"/>
              <w:bottom w:w="43" w:type="dxa"/>
              <w:right w:w="43" w:type="dxa"/>
            </w:tcMar>
          </w:tcPr>
          <w:p w14:paraId="03816289" w14:textId="77777777" w:rsidR="00972395" w:rsidRPr="00E73D4B" w:rsidRDefault="00F120C7" w:rsidP="00681E28">
            <w:r w:rsidRPr="00E73D4B">
              <w:t>Utvalg tannhelsetjenester</w:t>
            </w:r>
          </w:p>
        </w:tc>
        <w:tc>
          <w:tcPr>
            <w:tcW w:w="1587" w:type="dxa"/>
            <w:tcBorders>
              <w:top w:val="nil"/>
              <w:left w:val="nil"/>
              <w:bottom w:val="nil"/>
              <w:right w:val="nil"/>
            </w:tcBorders>
            <w:tcMar>
              <w:top w:w="128" w:type="dxa"/>
              <w:left w:w="43" w:type="dxa"/>
              <w:bottom w:w="43" w:type="dxa"/>
              <w:right w:w="43" w:type="dxa"/>
            </w:tcMar>
          </w:tcPr>
          <w:p w14:paraId="15ADCB95" w14:textId="77777777" w:rsidR="00972395" w:rsidRPr="00E73D4B" w:rsidRDefault="00F120C7" w:rsidP="00681E28">
            <w:pPr>
              <w:jc w:val="right"/>
            </w:pPr>
            <w:r w:rsidRPr="00E73D4B">
              <w:t>Ja</w:t>
            </w:r>
          </w:p>
        </w:tc>
      </w:tr>
      <w:tr w:rsidR="00972395" w:rsidRPr="00E73D4B" w14:paraId="6D9CA15C"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5462271"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1EA433AD" w14:textId="77777777" w:rsidR="00972395" w:rsidRPr="00E73D4B" w:rsidRDefault="00F120C7" w:rsidP="00681E28">
            <w:pPr>
              <w:jc w:val="right"/>
            </w:pPr>
            <w:r w:rsidRPr="00E73D4B">
              <w:t>87</w:t>
            </w:r>
          </w:p>
        </w:tc>
        <w:tc>
          <w:tcPr>
            <w:tcW w:w="4819" w:type="dxa"/>
            <w:tcBorders>
              <w:top w:val="nil"/>
              <w:left w:val="nil"/>
              <w:bottom w:val="nil"/>
              <w:right w:val="nil"/>
            </w:tcBorders>
            <w:tcMar>
              <w:top w:w="128" w:type="dxa"/>
              <w:left w:w="43" w:type="dxa"/>
              <w:bottom w:w="43" w:type="dxa"/>
              <w:right w:w="43" w:type="dxa"/>
            </w:tcMar>
          </w:tcPr>
          <w:p w14:paraId="1C5F399C" w14:textId="77777777" w:rsidR="00972395" w:rsidRPr="00E73D4B" w:rsidRDefault="00F120C7" w:rsidP="00681E28">
            <w:r w:rsidRPr="00E73D4B">
              <w:t>Kostnader kommunal sektor – KS</w:t>
            </w:r>
          </w:p>
        </w:tc>
        <w:tc>
          <w:tcPr>
            <w:tcW w:w="1587" w:type="dxa"/>
            <w:tcBorders>
              <w:top w:val="nil"/>
              <w:left w:val="nil"/>
              <w:bottom w:val="nil"/>
              <w:right w:val="nil"/>
            </w:tcBorders>
            <w:tcMar>
              <w:top w:w="128" w:type="dxa"/>
              <w:left w:w="43" w:type="dxa"/>
              <w:bottom w:w="43" w:type="dxa"/>
              <w:right w:w="43" w:type="dxa"/>
            </w:tcMar>
          </w:tcPr>
          <w:p w14:paraId="0C31CD46" w14:textId="77777777" w:rsidR="00972395" w:rsidRPr="00E73D4B" w:rsidRDefault="00F120C7" w:rsidP="00681E28">
            <w:pPr>
              <w:jc w:val="right"/>
            </w:pPr>
            <w:r w:rsidRPr="00E73D4B">
              <w:t>Ja</w:t>
            </w:r>
          </w:p>
        </w:tc>
      </w:tr>
      <w:tr w:rsidR="00972395" w:rsidRPr="00E73D4B" w14:paraId="0A51D575"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2CE749B3"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4003147F" w14:textId="77777777" w:rsidR="00972395" w:rsidRPr="00E73D4B" w:rsidRDefault="00F120C7" w:rsidP="00681E28">
            <w:pPr>
              <w:jc w:val="right"/>
            </w:pPr>
            <w:r w:rsidRPr="00E73D4B">
              <w:t>88</w:t>
            </w:r>
          </w:p>
        </w:tc>
        <w:tc>
          <w:tcPr>
            <w:tcW w:w="4819" w:type="dxa"/>
            <w:tcBorders>
              <w:top w:val="nil"/>
              <w:left w:val="nil"/>
              <w:bottom w:val="nil"/>
              <w:right w:val="nil"/>
            </w:tcBorders>
            <w:tcMar>
              <w:top w:w="128" w:type="dxa"/>
              <w:left w:w="43" w:type="dxa"/>
              <w:bottom w:w="43" w:type="dxa"/>
              <w:right w:w="43" w:type="dxa"/>
            </w:tcMar>
          </w:tcPr>
          <w:p w14:paraId="51361604" w14:textId="77777777" w:rsidR="00972395" w:rsidRPr="00E73D4B" w:rsidRDefault="00F120C7" w:rsidP="00681E28">
            <w:r w:rsidRPr="00E73D4B">
              <w:t>Investeringsbeslutninger og tiltak i nasjonal e-helseportefølje</w:t>
            </w:r>
          </w:p>
        </w:tc>
        <w:tc>
          <w:tcPr>
            <w:tcW w:w="1587" w:type="dxa"/>
            <w:tcBorders>
              <w:top w:val="nil"/>
              <w:left w:val="nil"/>
              <w:bottom w:val="nil"/>
              <w:right w:val="nil"/>
            </w:tcBorders>
            <w:tcMar>
              <w:top w:w="128" w:type="dxa"/>
              <w:left w:w="43" w:type="dxa"/>
              <w:bottom w:w="43" w:type="dxa"/>
              <w:right w:w="43" w:type="dxa"/>
            </w:tcMar>
          </w:tcPr>
          <w:p w14:paraId="22F7750A" w14:textId="77777777" w:rsidR="00972395" w:rsidRPr="00E73D4B" w:rsidRDefault="00F120C7" w:rsidP="00681E28">
            <w:pPr>
              <w:jc w:val="right"/>
            </w:pPr>
            <w:r w:rsidRPr="00E73D4B">
              <w:t>Ja</w:t>
            </w:r>
          </w:p>
        </w:tc>
      </w:tr>
      <w:tr w:rsidR="00972395" w:rsidRPr="00E73D4B" w14:paraId="4DC65C81"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00768E4C"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5F3DB434" w14:textId="77777777" w:rsidR="00972395" w:rsidRPr="00E73D4B" w:rsidRDefault="00F120C7" w:rsidP="00681E28">
            <w:pPr>
              <w:jc w:val="right"/>
            </w:pPr>
            <w:r w:rsidRPr="00E73D4B">
              <w:t>89</w:t>
            </w:r>
          </w:p>
        </w:tc>
        <w:tc>
          <w:tcPr>
            <w:tcW w:w="4819" w:type="dxa"/>
            <w:tcBorders>
              <w:top w:val="nil"/>
              <w:left w:val="nil"/>
              <w:bottom w:val="nil"/>
              <w:right w:val="nil"/>
            </w:tcBorders>
            <w:tcMar>
              <w:top w:w="128" w:type="dxa"/>
              <w:left w:w="43" w:type="dxa"/>
              <w:bottom w:w="43" w:type="dxa"/>
              <w:right w:w="43" w:type="dxa"/>
            </w:tcMar>
          </w:tcPr>
          <w:p w14:paraId="5D370A61" w14:textId="77777777" w:rsidR="00972395" w:rsidRPr="00E73D4B" w:rsidRDefault="00F120C7" w:rsidP="00681E28">
            <w:r w:rsidRPr="00E73D4B">
              <w:t>Evaluering av prismodell for nasjonale e-helseløsninger</w:t>
            </w:r>
          </w:p>
        </w:tc>
        <w:tc>
          <w:tcPr>
            <w:tcW w:w="1587" w:type="dxa"/>
            <w:tcBorders>
              <w:top w:val="nil"/>
              <w:left w:val="nil"/>
              <w:bottom w:val="nil"/>
              <w:right w:val="nil"/>
            </w:tcBorders>
            <w:tcMar>
              <w:top w:w="128" w:type="dxa"/>
              <w:left w:w="43" w:type="dxa"/>
              <w:bottom w:w="43" w:type="dxa"/>
              <w:right w:w="43" w:type="dxa"/>
            </w:tcMar>
          </w:tcPr>
          <w:p w14:paraId="2396083A" w14:textId="77777777" w:rsidR="00972395" w:rsidRPr="00E73D4B" w:rsidRDefault="00F120C7" w:rsidP="00681E28">
            <w:pPr>
              <w:jc w:val="right"/>
            </w:pPr>
            <w:r w:rsidRPr="00E73D4B">
              <w:t>Nei</w:t>
            </w:r>
          </w:p>
        </w:tc>
      </w:tr>
      <w:tr w:rsidR="00972395" w:rsidRPr="00E73D4B" w14:paraId="4E654DAF"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4DD7ACFC"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66141D81" w14:textId="77777777" w:rsidR="00972395" w:rsidRPr="00E73D4B" w:rsidRDefault="00F120C7" w:rsidP="00681E28">
            <w:pPr>
              <w:jc w:val="right"/>
            </w:pPr>
            <w:r w:rsidRPr="00E73D4B">
              <w:t>416</w:t>
            </w:r>
          </w:p>
        </w:tc>
        <w:tc>
          <w:tcPr>
            <w:tcW w:w="4819" w:type="dxa"/>
            <w:tcBorders>
              <w:top w:val="nil"/>
              <w:left w:val="nil"/>
              <w:bottom w:val="nil"/>
              <w:right w:val="nil"/>
            </w:tcBorders>
            <w:tcMar>
              <w:top w:w="128" w:type="dxa"/>
              <w:left w:w="43" w:type="dxa"/>
              <w:bottom w:w="43" w:type="dxa"/>
              <w:right w:w="43" w:type="dxa"/>
            </w:tcMar>
          </w:tcPr>
          <w:p w14:paraId="2CBCD586" w14:textId="77777777" w:rsidR="00972395" w:rsidRPr="00E73D4B" w:rsidRDefault="00F120C7" w:rsidP="00681E28">
            <w:r w:rsidRPr="00E73D4B">
              <w:t>Overgangsordning for autorisasjon av paramedisinere</w:t>
            </w:r>
          </w:p>
        </w:tc>
        <w:tc>
          <w:tcPr>
            <w:tcW w:w="1587" w:type="dxa"/>
            <w:tcBorders>
              <w:top w:val="nil"/>
              <w:left w:val="nil"/>
              <w:bottom w:val="nil"/>
              <w:right w:val="nil"/>
            </w:tcBorders>
            <w:tcMar>
              <w:top w:w="128" w:type="dxa"/>
              <w:left w:w="43" w:type="dxa"/>
              <w:bottom w:w="43" w:type="dxa"/>
              <w:right w:w="43" w:type="dxa"/>
            </w:tcMar>
          </w:tcPr>
          <w:p w14:paraId="63585297" w14:textId="77777777" w:rsidR="00972395" w:rsidRPr="00E73D4B" w:rsidRDefault="00F120C7" w:rsidP="00681E28">
            <w:pPr>
              <w:jc w:val="right"/>
            </w:pPr>
            <w:r w:rsidRPr="00E73D4B">
              <w:t>Nei</w:t>
            </w:r>
          </w:p>
        </w:tc>
      </w:tr>
      <w:tr w:rsidR="00972395" w:rsidRPr="00E73D4B" w14:paraId="227AA2A5"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1F6222D2"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12DE8984" w14:textId="77777777" w:rsidR="00972395" w:rsidRPr="00E73D4B" w:rsidRDefault="00F120C7" w:rsidP="00681E28">
            <w:pPr>
              <w:jc w:val="right"/>
            </w:pPr>
            <w:r w:rsidRPr="00E73D4B">
              <w:t>417</w:t>
            </w:r>
          </w:p>
        </w:tc>
        <w:tc>
          <w:tcPr>
            <w:tcW w:w="4819" w:type="dxa"/>
            <w:tcBorders>
              <w:top w:val="nil"/>
              <w:left w:val="nil"/>
              <w:bottom w:val="nil"/>
              <w:right w:val="nil"/>
            </w:tcBorders>
            <w:tcMar>
              <w:top w:w="128" w:type="dxa"/>
              <w:left w:w="43" w:type="dxa"/>
              <w:bottom w:w="43" w:type="dxa"/>
              <w:right w:w="43" w:type="dxa"/>
            </w:tcMar>
          </w:tcPr>
          <w:p w14:paraId="7E4E3B68" w14:textId="77777777" w:rsidR="00972395" w:rsidRPr="00E73D4B" w:rsidRDefault="00F120C7" w:rsidP="00681E28">
            <w:r w:rsidRPr="00E73D4B">
              <w:t>Avklaring knyttet til Register for utøvere av alternativ behandling</w:t>
            </w:r>
          </w:p>
        </w:tc>
        <w:tc>
          <w:tcPr>
            <w:tcW w:w="1587" w:type="dxa"/>
            <w:tcBorders>
              <w:top w:val="nil"/>
              <w:left w:val="nil"/>
              <w:bottom w:val="nil"/>
              <w:right w:val="nil"/>
            </w:tcBorders>
            <w:tcMar>
              <w:top w:w="128" w:type="dxa"/>
              <w:left w:w="43" w:type="dxa"/>
              <w:bottom w:w="43" w:type="dxa"/>
              <w:right w:w="43" w:type="dxa"/>
            </w:tcMar>
          </w:tcPr>
          <w:p w14:paraId="1A49F64D" w14:textId="77777777" w:rsidR="00972395" w:rsidRPr="00E73D4B" w:rsidRDefault="00F120C7" w:rsidP="00681E28">
            <w:pPr>
              <w:jc w:val="right"/>
            </w:pPr>
            <w:r w:rsidRPr="00E73D4B">
              <w:t>Nei</w:t>
            </w:r>
          </w:p>
        </w:tc>
      </w:tr>
      <w:tr w:rsidR="00972395" w:rsidRPr="00E73D4B" w14:paraId="548974FD"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55BE5008"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011136AD" w14:textId="77777777" w:rsidR="00972395" w:rsidRPr="00E73D4B" w:rsidRDefault="00F120C7" w:rsidP="00681E28">
            <w:pPr>
              <w:jc w:val="right"/>
            </w:pPr>
            <w:r w:rsidRPr="00E73D4B">
              <w:t>516</w:t>
            </w:r>
          </w:p>
        </w:tc>
        <w:tc>
          <w:tcPr>
            <w:tcW w:w="4819" w:type="dxa"/>
            <w:tcBorders>
              <w:top w:val="nil"/>
              <w:left w:val="nil"/>
              <w:bottom w:val="nil"/>
              <w:right w:val="nil"/>
            </w:tcBorders>
            <w:tcMar>
              <w:top w:w="128" w:type="dxa"/>
              <w:left w:w="43" w:type="dxa"/>
              <w:bottom w:w="43" w:type="dxa"/>
              <w:right w:w="43" w:type="dxa"/>
            </w:tcMar>
          </w:tcPr>
          <w:p w14:paraId="0C6B3051" w14:textId="77777777" w:rsidR="00972395" w:rsidRPr="00E73D4B" w:rsidRDefault="00F120C7" w:rsidP="00681E28">
            <w:r w:rsidRPr="00E73D4B">
              <w:t>Sikring av helsefaglig oppfølging etter fødsel</w:t>
            </w:r>
          </w:p>
        </w:tc>
        <w:tc>
          <w:tcPr>
            <w:tcW w:w="1587" w:type="dxa"/>
            <w:tcBorders>
              <w:top w:val="nil"/>
              <w:left w:val="nil"/>
              <w:bottom w:val="nil"/>
              <w:right w:val="nil"/>
            </w:tcBorders>
            <w:tcMar>
              <w:top w:w="128" w:type="dxa"/>
              <w:left w:w="43" w:type="dxa"/>
              <w:bottom w:w="43" w:type="dxa"/>
              <w:right w:w="43" w:type="dxa"/>
            </w:tcMar>
          </w:tcPr>
          <w:p w14:paraId="07294003" w14:textId="77777777" w:rsidR="00972395" w:rsidRPr="00E73D4B" w:rsidRDefault="00F120C7" w:rsidP="00681E28">
            <w:pPr>
              <w:jc w:val="right"/>
            </w:pPr>
            <w:r w:rsidRPr="00E73D4B">
              <w:t>Nei</w:t>
            </w:r>
          </w:p>
        </w:tc>
      </w:tr>
      <w:tr w:rsidR="00972395" w:rsidRPr="00E73D4B" w14:paraId="41FEBCB4"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3859F174"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6D90C1B6" w14:textId="77777777" w:rsidR="00972395" w:rsidRPr="00E73D4B" w:rsidRDefault="00F120C7" w:rsidP="00681E28">
            <w:pPr>
              <w:jc w:val="right"/>
            </w:pPr>
            <w:r w:rsidRPr="00E73D4B">
              <w:t>517</w:t>
            </w:r>
          </w:p>
        </w:tc>
        <w:tc>
          <w:tcPr>
            <w:tcW w:w="4819" w:type="dxa"/>
            <w:tcBorders>
              <w:top w:val="nil"/>
              <w:left w:val="nil"/>
              <w:bottom w:val="nil"/>
              <w:right w:val="nil"/>
            </w:tcBorders>
            <w:tcMar>
              <w:top w:w="128" w:type="dxa"/>
              <w:left w:w="43" w:type="dxa"/>
              <w:bottom w:w="43" w:type="dxa"/>
              <w:right w:w="43" w:type="dxa"/>
            </w:tcMar>
          </w:tcPr>
          <w:p w14:paraId="65644366" w14:textId="77777777" w:rsidR="00972395" w:rsidRPr="00E73D4B" w:rsidRDefault="00F120C7" w:rsidP="00681E28">
            <w:r w:rsidRPr="00E73D4B">
              <w:t>Lovfeste rett til selvvalgt støtteperson gjennom graviditet og fødsel</w:t>
            </w:r>
          </w:p>
        </w:tc>
        <w:tc>
          <w:tcPr>
            <w:tcW w:w="1587" w:type="dxa"/>
            <w:tcBorders>
              <w:top w:val="nil"/>
              <w:left w:val="nil"/>
              <w:bottom w:val="nil"/>
              <w:right w:val="nil"/>
            </w:tcBorders>
            <w:tcMar>
              <w:top w:w="128" w:type="dxa"/>
              <w:left w:w="43" w:type="dxa"/>
              <w:bottom w:w="43" w:type="dxa"/>
              <w:right w:w="43" w:type="dxa"/>
            </w:tcMar>
          </w:tcPr>
          <w:p w14:paraId="527A89A1" w14:textId="77777777" w:rsidR="00972395" w:rsidRPr="00E73D4B" w:rsidRDefault="00F120C7" w:rsidP="00681E28">
            <w:pPr>
              <w:jc w:val="right"/>
            </w:pPr>
            <w:r w:rsidRPr="00E73D4B">
              <w:t>Nei</w:t>
            </w:r>
          </w:p>
        </w:tc>
      </w:tr>
      <w:tr w:rsidR="00972395" w:rsidRPr="00E73D4B" w14:paraId="03D1A00D"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649A2FB6"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0A254FA8" w14:textId="77777777" w:rsidR="00972395" w:rsidRPr="00E73D4B" w:rsidRDefault="00F120C7" w:rsidP="00681E28">
            <w:pPr>
              <w:jc w:val="right"/>
            </w:pPr>
            <w:r w:rsidRPr="00E73D4B">
              <w:t>518</w:t>
            </w:r>
          </w:p>
        </w:tc>
        <w:tc>
          <w:tcPr>
            <w:tcW w:w="4819" w:type="dxa"/>
            <w:tcBorders>
              <w:top w:val="nil"/>
              <w:left w:val="nil"/>
              <w:bottom w:val="nil"/>
              <w:right w:val="nil"/>
            </w:tcBorders>
            <w:tcMar>
              <w:top w:w="128" w:type="dxa"/>
              <w:left w:w="43" w:type="dxa"/>
              <w:bottom w:w="43" w:type="dxa"/>
              <w:right w:w="43" w:type="dxa"/>
            </w:tcMar>
          </w:tcPr>
          <w:p w14:paraId="546DA125" w14:textId="77777777" w:rsidR="00972395" w:rsidRPr="00E73D4B" w:rsidRDefault="00F120C7" w:rsidP="00681E28">
            <w:r w:rsidRPr="00E73D4B">
              <w:t>Oppfølging og hjelpeapparat for forebygging av fødselsdepresjon</w:t>
            </w:r>
          </w:p>
        </w:tc>
        <w:tc>
          <w:tcPr>
            <w:tcW w:w="1587" w:type="dxa"/>
            <w:tcBorders>
              <w:top w:val="nil"/>
              <w:left w:val="nil"/>
              <w:bottom w:val="nil"/>
              <w:right w:val="nil"/>
            </w:tcBorders>
            <w:tcMar>
              <w:top w:w="128" w:type="dxa"/>
              <w:left w:w="43" w:type="dxa"/>
              <w:bottom w:w="43" w:type="dxa"/>
              <w:right w:w="43" w:type="dxa"/>
            </w:tcMar>
          </w:tcPr>
          <w:p w14:paraId="0CCBDC5D" w14:textId="77777777" w:rsidR="00972395" w:rsidRPr="00E73D4B" w:rsidRDefault="00F120C7" w:rsidP="00681E28">
            <w:pPr>
              <w:jc w:val="right"/>
            </w:pPr>
            <w:r w:rsidRPr="00E73D4B">
              <w:t>Nei</w:t>
            </w:r>
          </w:p>
        </w:tc>
      </w:tr>
      <w:tr w:rsidR="00972395" w:rsidRPr="00E73D4B" w14:paraId="07975514"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1BF5B20C"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3BBC26FD" w14:textId="77777777" w:rsidR="00972395" w:rsidRPr="00E73D4B" w:rsidRDefault="00F120C7" w:rsidP="00681E28">
            <w:pPr>
              <w:jc w:val="right"/>
            </w:pPr>
            <w:r w:rsidRPr="00E73D4B">
              <w:t>519</w:t>
            </w:r>
          </w:p>
        </w:tc>
        <w:tc>
          <w:tcPr>
            <w:tcW w:w="4819" w:type="dxa"/>
            <w:tcBorders>
              <w:top w:val="nil"/>
              <w:left w:val="nil"/>
              <w:bottom w:val="nil"/>
              <w:right w:val="nil"/>
            </w:tcBorders>
            <w:tcMar>
              <w:top w:w="128" w:type="dxa"/>
              <w:left w:w="43" w:type="dxa"/>
              <w:bottom w:w="43" w:type="dxa"/>
              <w:right w:w="43" w:type="dxa"/>
            </w:tcMar>
          </w:tcPr>
          <w:p w14:paraId="3C308D54" w14:textId="77777777" w:rsidR="00972395" w:rsidRPr="00E73D4B" w:rsidRDefault="00F120C7" w:rsidP="00681E28">
            <w:r w:rsidRPr="00E73D4B">
              <w:t>Behandlingssenter ved alvorlig fødselsdepresjon for mor med barn</w:t>
            </w:r>
          </w:p>
        </w:tc>
        <w:tc>
          <w:tcPr>
            <w:tcW w:w="1587" w:type="dxa"/>
            <w:tcBorders>
              <w:top w:val="nil"/>
              <w:left w:val="nil"/>
              <w:bottom w:val="nil"/>
              <w:right w:val="nil"/>
            </w:tcBorders>
            <w:tcMar>
              <w:top w:w="128" w:type="dxa"/>
              <w:left w:w="43" w:type="dxa"/>
              <w:bottom w:w="43" w:type="dxa"/>
              <w:right w:w="43" w:type="dxa"/>
            </w:tcMar>
          </w:tcPr>
          <w:p w14:paraId="2DAAAC0E" w14:textId="77777777" w:rsidR="00972395" w:rsidRPr="00E73D4B" w:rsidRDefault="00F120C7" w:rsidP="00681E28">
            <w:pPr>
              <w:jc w:val="right"/>
            </w:pPr>
            <w:r w:rsidRPr="00E73D4B">
              <w:t>Nei</w:t>
            </w:r>
          </w:p>
        </w:tc>
      </w:tr>
      <w:tr w:rsidR="00972395" w:rsidRPr="00E73D4B" w14:paraId="1A4987B2"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53A79863"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5F8DE9AD" w14:textId="77777777" w:rsidR="00972395" w:rsidRPr="00E73D4B" w:rsidRDefault="00F120C7" w:rsidP="00681E28">
            <w:pPr>
              <w:jc w:val="right"/>
            </w:pPr>
            <w:r w:rsidRPr="00E73D4B">
              <w:t>520</w:t>
            </w:r>
          </w:p>
        </w:tc>
        <w:tc>
          <w:tcPr>
            <w:tcW w:w="4819" w:type="dxa"/>
            <w:tcBorders>
              <w:top w:val="nil"/>
              <w:left w:val="nil"/>
              <w:bottom w:val="nil"/>
              <w:right w:val="nil"/>
            </w:tcBorders>
            <w:tcMar>
              <w:top w:w="128" w:type="dxa"/>
              <w:left w:w="43" w:type="dxa"/>
              <w:bottom w:w="43" w:type="dxa"/>
              <w:right w:w="43" w:type="dxa"/>
            </w:tcMar>
          </w:tcPr>
          <w:p w14:paraId="624A7846" w14:textId="77777777" w:rsidR="00972395" w:rsidRPr="00E73D4B" w:rsidRDefault="00F120C7" w:rsidP="00681E28">
            <w:r w:rsidRPr="00E73D4B">
              <w:t>Rettighetsfesting av hjemmebesøk av jordmor</w:t>
            </w:r>
          </w:p>
        </w:tc>
        <w:tc>
          <w:tcPr>
            <w:tcW w:w="1587" w:type="dxa"/>
            <w:tcBorders>
              <w:top w:val="nil"/>
              <w:left w:val="nil"/>
              <w:bottom w:val="nil"/>
              <w:right w:val="nil"/>
            </w:tcBorders>
            <w:tcMar>
              <w:top w:w="128" w:type="dxa"/>
              <w:left w:w="43" w:type="dxa"/>
              <w:bottom w:w="43" w:type="dxa"/>
              <w:right w:w="43" w:type="dxa"/>
            </w:tcMar>
          </w:tcPr>
          <w:p w14:paraId="5DF4FAE2" w14:textId="77777777" w:rsidR="00972395" w:rsidRPr="00E73D4B" w:rsidRDefault="00F120C7" w:rsidP="00681E28">
            <w:pPr>
              <w:jc w:val="right"/>
            </w:pPr>
            <w:r w:rsidRPr="00E73D4B">
              <w:t>Nei</w:t>
            </w:r>
          </w:p>
        </w:tc>
      </w:tr>
      <w:tr w:rsidR="00972395" w:rsidRPr="00E73D4B" w14:paraId="2B958DAB"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11E7781B"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77F75F60" w14:textId="77777777" w:rsidR="00972395" w:rsidRPr="00E73D4B" w:rsidRDefault="00F120C7" w:rsidP="00681E28">
            <w:pPr>
              <w:jc w:val="right"/>
            </w:pPr>
            <w:r w:rsidRPr="00E73D4B">
              <w:t>561</w:t>
            </w:r>
          </w:p>
        </w:tc>
        <w:tc>
          <w:tcPr>
            <w:tcW w:w="4819" w:type="dxa"/>
            <w:tcBorders>
              <w:top w:val="nil"/>
              <w:left w:val="nil"/>
              <w:bottom w:val="nil"/>
              <w:right w:val="nil"/>
            </w:tcBorders>
            <w:tcMar>
              <w:top w:w="128" w:type="dxa"/>
              <w:left w:w="43" w:type="dxa"/>
              <w:bottom w:w="43" w:type="dxa"/>
              <w:right w:w="43" w:type="dxa"/>
            </w:tcMar>
          </w:tcPr>
          <w:p w14:paraId="6812CF39" w14:textId="77777777" w:rsidR="00972395" w:rsidRPr="00E73D4B" w:rsidRDefault="00F120C7" w:rsidP="00681E28">
            <w:r w:rsidRPr="00E73D4B">
              <w:t>Utredning av spesialistforskriften</w:t>
            </w:r>
          </w:p>
        </w:tc>
        <w:tc>
          <w:tcPr>
            <w:tcW w:w="1587" w:type="dxa"/>
            <w:tcBorders>
              <w:top w:val="nil"/>
              <w:left w:val="nil"/>
              <w:bottom w:val="nil"/>
              <w:right w:val="nil"/>
            </w:tcBorders>
            <w:tcMar>
              <w:top w:w="128" w:type="dxa"/>
              <w:left w:w="43" w:type="dxa"/>
              <w:bottom w:w="43" w:type="dxa"/>
              <w:right w:w="43" w:type="dxa"/>
            </w:tcMar>
          </w:tcPr>
          <w:p w14:paraId="34A4A688" w14:textId="77777777" w:rsidR="00972395" w:rsidRPr="00E73D4B" w:rsidRDefault="00F120C7" w:rsidP="00681E28">
            <w:pPr>
              <w:jc w:val="right"/>
            </w:pPr>
            <w:r w:rsidRPr="00E73D4B">
              <w:t>Nei</w:t>
            </w:r>
          </w:p>
        </w:tc>
      </w:tr>
      <w:tr w:rsidR="00972395" w:rsidRPr="00E73D4B" w14:paraId="7EFC93AD"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23689FEE"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7FCC39E2" w14:textId="77777777" w:rsidR="00972395" w:rsidRPr="00E73D4B" w:rsidRDefault="00F120C7" w:rsidP="00681E28">
            <w:pPr>
              <w:jc w:val="right"/>
            </w:pPr>
            <w:r w:rsidRPr="00E73D4B">
              <w:t>570</w:t>
            </w:r>
          </w:p>
        </w:tc>
        <w:tc>
          <w:tcPr>
            <w:tcW w:w="4819" w:type="dxa"/>
            <w:tcBorders>
              <w:top w:val="nil"/>
              <w:left w:val="nil"/>
              <w:bottom w:val="nil"/>
              <w:right w:val="nil"/>
            </w:tcBorders>
            <w:tcMar>
              <w:top w:w="128" w:type="dxa"/>
              <w:left w:w="43" w:type="dxa"/>
              <w:bottom w:w="43" w:type="dxa"/>
              <w:right w:w="43" w:type="dxa"/>
            </w:tcMar>
          </w:tcPr>
          <w:p w14:paraId="58D59DCB" w14:textId="77777777" w:rsidR="00972395" w:rsidRPr="00E73D4B" w:rsidRDefault="00F120C7" w:rsidP="00681E28">
            <w:r w:rsidRPr="00E73D4B">
              <w:t>Helsehjelp og psykologisk oppfølging av ukrainske flyktninger</w:t>
            </w:r>
          </w:p>
        </w:tc>
        <w:tc>
          <w:tcPr>
            <w:tcW w:w="1587" w:type="dxa"/>
            <w:tcBorders>
              <w:top w:val="nil"/>
              <w:left w:val="nil"/>
              <w:bottom w:val="nil"/>
              <w:right w:val="nil"/>
            </w:tcBorders>
            <w:tcMar>
              <w:top w:w="128" w:type="dxa"/>
              <w:left w:w="43" w:type="dxa"/>
              <w:bottom w:w="43" w:type="dxa"/>
              <w:right w:w="43" w:type="dxa"/>
            </w:tcMar>
          </w:tcPr>
          <w:p w14:paraId="161356FB" w14:textId="77777777" w:rsidR="00972395" w:rsidRPr="00E73D4B" w:rsidRDefault="00F120C7" w:rsidP="00681E28">
            <w:pPr>
              <w:jc w:val="right"/>
            </w:pPr>
            <w:r w:rsidRPr="00E73D4B">
              <w:t>Ja</w:t>
            </w:r>
          </w:p>
        </w:tc>
      </w:tr>
      <w:tr w:rsidR="00972395" w:rsidRPr="00E73D4B" w14:paraId="3BDDF679"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3ABA5267"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18F80B51" w14:textId="77777777" w:rsidR="00972395" w:rsidRPr="00E73D4B" w:rsidRDefault="00F120C7" w:rsidP="00681E28">
            <w:pPr>
              <w:jc w:val="right"/>
            </w:pPr>
            <w:r w:rsidRPr="00E73D4B">
              <w:t>641</w:t>
            </w:r>
          </w:p>
        </w:tc>
        <w:tc>
          <w:tcPr>
            <w:tcW w:w="4819" w:type="dxa"/>
            <w:tcBorders>
              <w:top w:val="nil"/>
              <w:left w:val="nil"/>
              <w:bottom w:val="nil"/>
              <w:right w:val="nil"/>
            </w:tcBorders>
            <w:tcMar>
              <w:top w:w="128" w:type="dxa"/>
              <w:left w:w="43" w:type="dxa"/>
              <w:bottom w:w="43" w:type="dxa"/>
              <w:right w:w="43" w:type="dxa"/>
            </w:tcMar>
          </w:tcPr>
          <w:p w14:paraId="7ED6EA5A" w14:textId="77777777" w:rsidR="00972395" w:rsidRPr="00E73D4B" w:rsidRDefault="00F120C7" w:rsidP="00681E28">
            <w:r w:rsidRPr="00E73D4B">
              <w:t>Døgnbehandling psykisk syke barn</w:t>
            </w:r>
          </w:p>
        </w:tc>
        <w:tc>
          <w:tcPr>
            <w:tcW w:w="1587" w:type="dxa"/>
            <w:tcBorders>
              <w:top w:val="nil"/>
              <w:left w:val="nil"/>
              <w:bottom w:val="nil"/>
              <w:right w:val="nil"/>
            </w:tcBorders>
            <w:tcMar>
              <w:top w:w="128" w:type="dxa"/>
              <w:left w:w="43" w:type="dxa"/>
              <w:bottom w:w="43" w:type="dxa"/>
              <w:right w:w="43" w:type="dxa"/>
            </w:tcMar>
          </w:tcPr>
          <w:p w14:paraId="15E98D49" w14:textId="77777777" w:rsidR="00972395" w:rsidRPr="00E73D4B" w:rsidRDefault="00F120C7" w:rsidP="00681E28">
            <w:pPr>
              <w:jc w:val="right"/>
            </w:pPr>
            <w:r w:rsidRPr="00E73D4B">
              <w:t>Ja</w:t>
            </w:r>
          </w:p>
        </w:tc>
      </w:tr>
      <w:tr w:rsidR="00972395" w:rsidRPr="00E73D4B" w14:paraId="542FAD45"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4D454856"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75F4F6E9" w14:textId="77777777" w:rsidR="00972395" w:rsidRPr="00E73D4B" w:rsidRDefault="00F120C7" w:rsidP="00681E28">
            <w:pPr>
              <w:jc w:val="right"/>
            </w:pPr>
            <w:r w:rsidRPr="00E73D4B">
              <w:t>762</w:t>
            </w:r>
          </w:p>
        </w:tc>
        <w:tc>
          <w:tcPr>
            <w:tcW w:w="4819" w:type="dxa"/>
            <w:tcBorders>
              <w:top w:val="nil"/>
              <w:left w:val="nil"/>
              <w:bottom w:val="nil"/>
              <w:right w:val="nil"/>
            </w:tcBorders>
            <w:tcMar>
              <w:top w:w="128" w:type="dxa"/>
              <w:left w:w="43" w:type="dxa"/>
              <w:bottom w:w="43" w:type="dxa"/>
              <w:right w:w="43" w:type="dxa"/>
            </w:tcMar>
          </w:tcPr>
          <w:p w14:paraId="51B14985" w14:textId="77777777" w:rsidR="00972395" w:rsidRPr="00E73D4B" w:rsidRDefault="00F120C7" w:rsidP="00681E28">
            <w:r w:rsidRPr="00E73D4B">
              <w:t>Handlingsplan for reduksjon av ensomhet</w:t>
            </w:r>
          </w:p>
        </w:tc>
        <w:tc>
          <w:tcPr>
            <w:tcW w:w="1587" w:type="dxa"/>
            <w:tcBorders>
              <w:top w:val="nil"/>
              <w:left w:val="nil"/>
              <w:bottom w:val="nil"/>
              <w:right w:val="nil"/>
            </w:tcBorders>
            <w:tcMar>
              <w:top w:w="128" w:type="dxa"/>
              <w:left w:w="43" w:type="dxa"/>
              <w:bottom w:w="43" w:type="dxa"/>
              <w:right w:w="43" w:type="dxa"/>
            </w:tcMar>
          </w:tcPr>
          <w:p w14:paraId="195E5D58" w14:textId="77777777" w:rsidR="00972395" w:rsidRPr="00E73D4B" w:rsidRDefault="00F120C7" w:rsidP="00681E28">
            <w:pPr>
              <w:jc w:val="right"/>
            </w:pPr>
            <w:r w:rsidRPr="00E73D4B">
              <w:t>Nei</w:t>
            </w:r>
          </w:p>
        </w:tc>
      </w:tr>
      <w:tr w:rsidR="00972395" w:rsidRPr="00E73D4B" w14:paraId="14033284"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441701AA"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41A7A92E" w14:textId="77777777" w:rsidR="00972395" w:rsidRPr="00E73D4B" w:rsidRDefault="00F120C7" w:rsidP="00681E28">
            <w:pPr>
              <w:jc w:val="right"/>
            </w:pPr>
            <w:r w:rsidRPr="00E73D4B">
              <w:t>763</w:t>
            </w:r>
          </w:p>
        </w:tc>
        <w:tc>
          <w:tcPr>
            <w:tcW w:w="4819" w:type="dxa"/>
            <w:tcBorders>
              <w:top w:val="nil"/>
              <w:left w:val="nil"/>
              <w:bottom w:val="nil"/>
              <w:right w:val="nil"/>
            </w:tcBorders>
            <w:tcMar>
              <w:top w:w="128" w:type="dxa"/>
              <w:left w:w="43" w:type="dxa"/>
              <w:bottom w:w="43" w:type="dxa"/>
              <w:right w:w="43" w:type="dxa"/>
            </w:tcMar>
          </w:tcPr>
          <w:p w14:paraId="58121C0E" w14:textId="77777777" w:rsidR="00972395" w:rsidRPr="00E73D4B" w:rsidRDefault="00F120C7" w:rsidP="00681E28">
            <w:r w:rsidRPr="00E73D4B">
              <w:t>Styrking av forskning på ensomhet</w:t>
            </w:r>
          </w:p>
        </w:tc>
        <w:tc>
          <w:tcPr>
            <w:tcW w:w="1587" w:type="dxa"/>
            <w:tcBorders>
              <w:top w:val="nil"/>
              <w:left w:val="nil"/>
              <w:bottom w:val="nil"/>
              <w:right w:val="nil"/>
            </w:tcBorders>
            <w:tcMar>
              <w:top w:w="128" w:type="dxa"/>
              <w:left w:w="43" w:type="dxa"/>
              <w:bottom w:w="43" w:type="dxa"/>
              <w:right w:w="43" w:type="dxa"/>
            </w:tcMar>
          </w:tcPr>
          <w:p w14:paraId="49CB36D4" w14:textId="77777777" w:rsidR="00972395" w:rsidRPr="00E73D4B" w:rsidRDefault="00F120C7" w:rsidP="00681E28">
            <w:pPr>
              <w:jc w:val="right"/>
            </w:pPr>
            <w:r w:rsidRPr="00E73D4B">
              <w:t>Nei</w:t>
            </w:r>
          </w:p>
        </w:tc>
      </w:tr>
      <w:tr w:rsidR="00972395" w:rsidRPr="00E73D4B" w14:paraId="35C60EAA"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59B5C113"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2CBCEEEA" w14:textId="77777777" w:rsidR="00972395" w:rsidRPr="00E73D4B" w:rsidRDefault="00F120C7" w:rsidP="00681E28">
            <w:pPr>
              <w:jc w:val="right"/>
            </w:pPr>
            <w:r w:rsidRPr="00E73D4B">
              <w:t>764</w:t>
            </w:r>
          </w:p>
        </w:tc>
        <w:tc>
          <w:tcPr>
            <w:tcW w:w="4819" w:type="dxa"/>
            <w:tcBorders>
              <w:top w:val="nil"/>
              <w:left w:val="nil"/>
              <w:bottom w:val="nil"/>
              <w:right w:val="nil"/>
            </w:tcBorders>
            <w:tcMar>
              <w:top w:w="128" w:type="dxa"/>
              <w:left w:w="43" w:type="dxa"/>
              <w:bottom w:w="43" w:type="dxa"/>
              <w:right w:w="43" w:type="dxa"/>
            </w:tcMar>
          </w:tcPr>
          <w:p w14:paraId="672647E5" w14:textId="77777777" w:rsidR="00972395" w:rsidRPr="00E73D4B" w:rsidRDefault="00F120C7" w:rsidP="00681E28">
            <w:r w:rsidRPr="00E73D4B">
              <w:t>Styrking av samarbeid for forebygging av ensomhet</w:t>
            </w:r>
          </w:p>
        </w:tc>
        <w:tc>
          <w:tcPr>
            <w:tcW w:w="1587" w:type="dxa"/>
            <w:tcBorders>
              <w:top w:val="nil"/>
              <w:left w:val="nil"/>
              <w:bottom w:val="nil"/>
              <w:right w:val="nil"/>
            </w:tcBorders>
            <w:tcMar>
              <w:top w:w="128" w:type="dxa"/>
              <w:left w:w="43" w:type="dxa"/>
              <w:bottom w:w="43" w:type="dxa"/>
              <w:right w:w="43" w:type="dxa"/>
            </w:tcMar>
          </w:tcPr>
          <w:p w14:paraId="42A10192" w14:textId="77777777" w:rsidR="00972395" w:rsidRPr="00E73D4B" w:rsidRDefault="00F120C7" w:rsidP="00681E28">
            <w:pPr>
              <w:jc w:val="right"/>
            </w:pPr>
            <w:r w:rsidRPr="00E73D4B">
              <w:t>Nei</w:t>
            </w:r>
          </w:p>
        </w:tc>
      </w:tr>
      <w:tr w:rsidR="00972395" w:rsidRPr="00E73D4B" w14:paraId="321526D0"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0A2D5452"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080888FC" w14:textId="77777777" w:rsidR="00972395" w:rsidRPr="00E73D4B" w:rsidRDefault="00F120C7" w:rsidP="00681E28">
            <w:pPr>
              <w:jc w:val="right"/>
            </w:pPr>
            <w:r w:rsidRPr="00E73D4B">
              <w:t>765</w:t>
            </w:r>
          </w:p>
        </w:tc>
        <w:tc>
          <w:tcPr>
            <w:tcW w:w="4819" w:type="dxa"/>
            <w:tcBorders>
              <w:top w:val="nil"/>
              <w:left w:val="nil"/>
              <w:bottom w:val="nil"/>
              <w:right w:val="nil"/>
            </w:tcBorders>
            <w:tcMar>
              <w:top w:w="128" w:type="dxa"/>
              <w:left w:w="43" w:type="dxa"/>
              <w:bottom w:w="43" w:type="dxa"/>
              <w:right w:w="43" w:type="dxa"/>
            </w:tcMar>
          </w:tcPr>
          <w:p w14:paraId="4A7BF20E" w14:textId="77777777" w:rsidR="00972395" w:rsidRPr="00E73D4B" w:rsidRDefault="00F120C7" w:rsidP="00681E28">
            <w:r w:rsidRPr="00E73D4B">
              <w:t>Gjennomgang av unntaksordning i Nye metoder</w:t>
            </w:r>
          </w:p>
        </w:tc>
        <w:tc>
          <w:tcPr>
            <w:tcW w:w="1587" w:type="dxa"/>
            <w:tcBorders>
              <w:top w:val="nil"/>
              <w:left w:val="nil"/>
              <w:bottom w:val="nil"/>
              <w:right w:val="nil"/>
            </w:tcBorders>
            <w:tcMar>
              <w:top w:w="128" w:type="dxa"/>
              <w:left w:w="43" w:type="dxa"/>
              <w:bottom w:w="43" w:type="dxa"/>
              <w:right w:w="43" w:type="dxa"/>
            </w:tcMar>
          </w:tcPr>
          <w:p w14:paraId="1001DA02" w14:textId="77777777" w:rsidR="00972395" w:rsidRPr="00E73D4B" w:rsidRDefault="00F120C7" w:rsidP="00681E28">
            <w:pPr>
              <w:jc w:val="right"/>
            </w:pPr>
            <w:r w:rsidRPr="00E73D4B">
              <w:t>Ja</w:t>
            </w:r>
          </w:p>
        </w:tc>
      </w:tr>
      <w:tr w:rsidR="00972395" w:rsidRPr="00E73D4B" w14:paraId="10C04F43"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707EDA38"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4D867C52" w14:textId="77777777" w:rsidR="00972395" w:rsidRPr="00E73D4B" w:rsidRDefault="00F120C7" w:rsidP="00681E28">
            <w:pPr>
              <w:jc w:val="right"/>
            </w:pPr>
            <w:r w:rsidRPr="00E73D4B">
              <w:t>766</w:t>
            </w:r>
          </w:p>
        </w:tc>
        <w:tc>
          <w:tcPr>
            <w:tcW w:w="4819" w:type="dxa"/>
            <w:tcBorders>
              <w:top w:val="nil"/>
              <w:left w:val="nil"/>
              <w:bottom w:val="nil"/>
              <w:right w:val="nil"/>
            </w:tcBorders>
            <w:tcMar>
              <w:top w:w="128" w:type="dxa"/>
              <w:left w:w="43" w:type="dxa"/>
              <w:bottom w:w="43" w:type="dxa"/>
              <w:right w:w="43" w:type="dxa"/>
            </w:tcMar>
          </w:tcPr>
          <w:p w14:paraId="3B5C37DF" w14:textId="77777777" w:rsidR="00972395" w:rsidRPr="00E73D4B" w:rsidRDefault="00F120C7" w:rsidP="00681E28">
            <w:r w:rsidRPr="00E73D4B">
              <w:t>Redegjøre for oppfølging av evaluering av Nye metoder</w:t>
            </w:r>
          </w:p>
        </w:tc>
        <w:tc>
          <w:tcPr>
            <w:tcW w:w="1587" w:type="dxa"/>
            <w:tcBorders>
              <w:top w:val="nil"/>
              <w:left w:val="nil"/>
              <w:bottom w:val="nil"/>
              <w:right w:val="nil"/>
            </w:tcBorders>
            <w:tcMar>
              <w:top w:w="128" w:type="dxa"/>
              <w:left w:w="43" w:type="dxa"/>
              <w:bottom w:w="43" w:type="dxa"/>
              <w:right w:w="43" w:type="dxa"/>
            </w:tcMar>
          </w:tcPr>
          <w:p w14:paraId="5BD836EF" w14:textId="77777777" w:rsidR="00972395" w:rsidRPr="00E73D4B" w:rsidRDefault="00F120C7" w:rsidP="00681E28">
            <w:pPr>
              <w:jc w:val="right"/>
            </w:pPr>
            <w:r w:rsidRPr="00E73D4B">
              <w:t>Ja</w:t>
            </w:r>
          </w:p>
        </w:tc>
      </w:tr>
      <w:tr w:rsidR="00972395" w:rsidRPr="00E73D4B" w14:paraId="056F1228"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3CAD680D"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637D82BA" w14:textId="77777777" w:rsidR="00972395" w:rsidRPr="00E73D4B" w:rsidRDefault="00F120C7" w:rsidP="00681E28">
            <w:pPr>
              <w:jc w:val="right"/>
            </w:pPr>
            <w:r w:rsidRPr="00E73D4B">
              <w:t>831</w:t>
            </w:r>
          </w:p>
        </w:tc>
        <w:tc>
          <w:tcPr>
            <w:tcW w:w="4819" w:type="dxa"/>
            <w:tcBorders>
              <w:top w:val="nil"/>
              <w:left w:val="nil"/>
              <w:bottom w:val="nil"/>
              <w:right w:val="nil"/>
            </w:tcBorders>
            <w:tcMar>
              <w:top w:w="128" w:type="dxa"/>
              <w:left w:w="43" w:type="dxa"/>
              <w:bottom w:w="43" w:type="dxa"/>
              <w:right w:w="43" w:type="dxa"/>
            </w:tcMar>
          </w:tcPr>
          <w:p w14:paraId="610D08C3" w14:textId="77777777" w:rsidR="00972395" w:rsidRPr="00E73D4B" w:rsidRDefault="00F120C7" w:rsidP="00681E28">
            <w:r w:rsidRPr="00E73D4B">
              <w:t>Helsetjenesten på Politiets utlendingsinternat, Trandum</w:t>
            </w:r>
          </w:p>
        </w:tc>
        <w:tc>
          <w:tcPr>
            <w:tcW w:w="1587" w:type="dxa"/>
            <w:tcBorders>
              <w:top w:val="nil"/>
              <w:left w:val="nil"/>
              <w:bottom w:val="nil"/>
              <w:right w:val="nil"/>
            </w:tcBorders>
            <w:tcMar>
              <w:top w:w="128" w:type="dxa"/>
              <w:left w:w="43" w:type="dxa"/>
              <w:bottom w:w="43" w:type="dxa"/>
              <w:right w:w="43" w:type="dxa"/>
            </w:tcMar>
          </w:tcPr>
          <w:p w14:paraId="4C160FF5" w14:textId="77777777" w:rsidR="00972395" w:rsidRPr="00E73D4B" w:rsidRDefault="00F120C7" w:rsidP="00681E28">
            <w:pPr>
              <w:jc w:val="right"/>
            </w:pPr>
            <w:r w:rsidRPr="00E73D4B">
              <w:t>Nei</w:t>
            </w:r>
          </w:p>
        </w:tc>
      </w:tr>
      <w:tr w:rsidR="00972395" w:rsidRPr="00E73D4B" w14:paraId="6513EF0C"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11184E71" w14:textId="77777777" w:rsidR="00972395" w:rsidRPr="00E73D4B" w:rsidRDefault="00F120C7" w:rsidP="00681E28">
            <w:r w:rsidRPr="00E73D4B">
              <w:t>2021–2022</w:t>
            </w:r>
          </w:p>
        </w:tc>
        <w:tc>
          <w:tcPr>
            <w:tcW w:w="1276" w:type="dxa"/>
            <w:tcBorders>
              <w:top w:val="nil"/>
              <w:left w:val="nil"/>
              <w:bottom w:val="nil"/>
              <w:right w:val="nil"/>
            </w:tcBorders>
            <w:tcMar>
              <w:top w:w="128" w:type="dxa"/>
              <w:left w:w="43" w:type="dxa"/>
              <w:bottom w:w="43" w:type="dxa"/>
              <w:right w:w="43" w:type="dxa"/>
            </w:tcMar>
          </w:tcPr>
          <w:p w14:paraId="6C860A95" w14:textId="77777777" w:rsidR="00972395" w:rsidRPr="00E73D4B" w:rsidRDefault="00F120C7" w:rsidP="00681E28">
            <w:pPr>
              <w:jc w:val="right"/>
            </w:pPr>
            <w:r w:rsidRPr="00E73D4B">
              <w:t>832</w:t>
            </w:r>
          </w:p>
        </w:tc>
        <w:tc>
          <w:tcPr>
            <w:tcW w:w="4819" w:type="dxa"/>
            <w:tcBorders>
              <w:top w:val="nil"/>
              <w:left w:val="nil"/>
              <w:bottom w:val="nil"/>
              <w:right w:val="nil"/>
            </w:tcBorders>
            <w:tcMar>
              <w:top w:w="128" w:type="dxa"/>
              <w:left w:w="43" w:type="dxa"/>
              <w:bottom w:w="43" w:type="dxa"/>
              <w:right w:w="43" w:type="dxa"/>
            </w:tcMar>
          </w:tcPr>
          <w:p w14:paraId="6D50E58B" w14:textId="77777777" w:rsidR="00972395" w:rsidRPr="00E73D4B" w:rsidRDefault="00F120C7" w:rsidP="00681E28">
            <w:r w:rsidRPr="00E73D4B">
              <w:t>Fylkeskommunens plikt til å tilby tannhelsetjenester</w:t>
            </w:r>
          </w:p>
        </w:tc>
        <w:tc>
          <w:tcPr>
            <w:tcW w:w="1587" w:type="dxa"/>
            <w:tcBorders>
              <w:top w:val="nil"/>
              <w:left w:val="nil"/>
              <w:bottom w:val="nil"/>
              <w:right w:val="nil"/>
            </w:tcBorders>
            <w:tcMar>
              <w:top w:w="128" w:type="dxa"/>
              <w:left w:w="43" w:type="dxa"/>
              <w:bottom w:w="43" w:type="dxa"/>
              <w:right w:w="43" w:type="dxa"/>
            </w:tcMar>
          </w:tcPr>
          <w:p w14:paraId="53830998" w14:textId="77777777" w:rsidR="00972395" w:rsidRPr="00E73D4B" w:rsidRDefault="00F120C7" w:rsidP="00681E28">
            <w:pPr>
              <w:jc w:val="right"/>
            </w:pPr>
            <w:r w:rsidRPr="00E73D4B">
              <w:t xml:space="preserve"> Nei</w:t>
            </w:r>
          </w:p>
        </w:tc>
      </w:tr>
      <w:tr w:rsidR="00972395" w:rsidRPr="00E73D4B" w14:paraId="2ADC51AA"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48C68F9A"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047FE489" w14:textId="77777777" w:rsidR="00972395" w:rsidRPr="00E73D4B" w:rsidRDefault="00F120C7" w:rsidP="00681E28">
            <w:pPr>
              <w:jc w:val="right"/>
            </w:pPr>
            <w:r w:rsidRPr="00E73D4B">
              <w:t>5</w:t>
            </w:r>
          </w:p>
        </w:tc>
        <w:tc>
          <w:tcPr>
            <w:tcW w:w="4819" w:type="dxa"/>
            <w:tcBorders>
              <w:top w:val="nil"/>
              <w:left w:val="nil"/>
              <w:bottom w:val="nil"/>
              <w:right w:val="nil"/>
            </w:tcBorders>
            <w:tcMar>
              <w:top w:w="128" w:type="dxa"/>
              <w:left w:w="43" w:type="dxa"/>
              <w:bottom w:w="43" w:type="dxa"/>
              <w:right w:w="43" w:type="dxa"/>
            </w:tcMar>
          </w:tcPr>
          <w:p w14:paraId="396F0A3A" w14:textId="77777777" w:rsidR="00972395" w:rsidRPr="00E73D4B" w:rsidRDefault="00F120C7" w:rsidP="00681E28">
            <w:r w:rsidRPr="00E73D4B">
              <w:t>Økonomiske modeller for utvikling av antibiotika</w:t>
            </w:r>
          </w:p>
        </w:tc>
        <w:tc>
          <w:tcPr>
            <w:tcW w:w="1587" w:type="dxa"/>
            <w:tcBorders>
              <w:top w:val="nil"/>
              <w:left w:val="nil"/>
              <w:bottom w:val="nil"/>
              <w:right w:val="nil"/>
            </w:tcBorders>
            <w:tcMar>
              <w:top w:w="128" w:type="dxa"/>
              <w:left w:w="43" w:type="dxa"/>
              <w:bottom w:w="43" w:type="dxa"/>
              <w:right w:w="43" w:type="dxa"/>
            </w:tcMar>
          </w:tcPr>
          <w:p w14:paraId="73E81E38" w14:textId="77777777" w:rsidR="00972395" w:rsidRPr="00E73D4B" w:rsidRDefault="00F120C7" w:rsidP="00681E28">
            <w:pPr>
              <w:jc w:val="right"/>
            </w:pPr>
            <w:r w:rsidRPr="00E73D4B">
              <w:t>Nei</w:t>
            </w:r>
          </w:p>
        </w:tc>
      </w:tr>
      <w:tr w:rsidR="00972395" w:rsidRPr="00E73D4B" w14:paraId="74684B76"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6135C265"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666F7C26" w14:textId="77777777" w:rsidR="00972395" w:rsidRPr="00E73D4B" w:rsidRDefault="00F120C7" w:rsidP="00681E28">
            <w:pPr>
              <w:jc w:val="right"/>
            </w:pPr>
            <w:r w:rsidRPr="00E73D4B">
              <w:t>9</w:t>
            </w:r>
          </w:p>
        </w:tc>
        <w:tc>
          <w:tcPr>
            <w:tcW w:w="4819" w:type="dxa"/>
            <w:tcBorders>
              <w:top w:val="nil"/>
              <w:left w:val="nil"/>
              <w:bottom w:val="nil"/>
              <w:right w:val="nil"/>
            </w:tcBorders>
            <w:tcMar>
              <w:top w:w="128" w:type="dxa"/>
              <w:left w:w="43" w:type="dxa"/>
              <w:bottom w:w="43" w:type="dxa"/>
              <w:right w:w="43" w:type="dxa"/>
            </w:tcMar>
          </w:tcPr>
          <w:p w14:paraId="5DFAA761" w14:textId="77777777" w:rsidR="00972395" w:rsidRPr="00E73D4B" w:rsidRDefault="00F120C7" w:rsidP="00681E28">
            <w:r w:rsidRPr="00E73D4B">
              <w:t>Lovendring om mennesker på sykehjem mot deres egen vilje</w:t>
            </w:r>
          </w:p>
        </w:tc>
        <w:tc>
          <w:tcPr>
            <w:tcW w:w="1587" w:type="dxa"/>
            <w:tcBorders>
              <w:top w:val="nil"/>
              <w:left w:val="nil"/>
              <w:bottom w:val="nil"/>
              <w:right w:val="nil"/>
            </w:tcBorders>
            <w:tcMar>
              <w:top w:w="128" w:type="dxa"/>
              <w:left w:w="43" w:type="dxa"/>
              <w:bottom w:w="43" w:type="dxa"/>
              <w:right w:w="43" w:type="dxa"/>
            </w:tcMar>
          </w:tcPr>
          <w:p w14:paraId="73F40B74" w14:textId="77777777" w:rsidR="00972395" w:rsidRPr="00E73D4B" w:rsidRDefault="00F120C7" w:rsidP="00681E28">
            <w:pPr>
              <w:jc w:val="right"/>
            </w:pPr>
            <w:r w:rsidRPr="00E73D4B">
              <w:t>Nei</w:t>
            </w:r>
          </w:p>
        </w:tc>
      </w:tr>
      <w:tr w:rsidR="00972395" w:rsidRPr="00E73D4B" w14:paraId="40938A5D"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6023E47A"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5C010AD7" w14:textId="77777777" w:rsidR="00972395" w:rsidRPr="00E73D4B" w:rsidRDefault="00F120C7" w:rsidP="00681E28">
            <w:pPr>
              <w:jc w:val="right"/>
            </w:pPr>
            <w:r w:rsidRPr="00E73D4B">
              <w:t>84</w:t>
            </w:r>
          </w:p>
        </w:tc>
        <w:tc>
          <w:tcPr>
            <w:tcW w:w="4819" w:type="dxa"/>
            <w:tcBorders>
              <w:top w:val="nil"/>
              <w:left w:val="nil"/>
              <w:bottom w:val="nil"/>
              <w:right w:val="nil"/>
            </w:tcBorders>
            <w:tcMar>
              <w:top w:w="128" w:type="dxa"/>
              <w:left w:w="43" w:type="dxa"/>
              <w:bottom w:w="43" w:type="dxa"/>
              <w:right w:w="43" w:type="dxa"/>
            </w:tcMar>
          </w:tcPr>
          <w:p w14:paraId="2F09B0E0" w14:textId="77777777" w:rsidR="00972395" w:rsidRPr="00E73D4B" w:rsidRDefault="00F120C7" w:rsidP="00681E28">
            <w:r w:rsidRPr="00E73D4B">
              <w:t>Revisjon av smittevernloven etter Koronakommisjonens rapport</w:t>
            </w:r>
          </w:p>
        </w:tc>
        <w:tc>
          <w:tcPr>
            <w:tcW w:w="1587" w:type="dxa"/>
            <w:tcBorders>
              <w:top w:val="nil"/>
              <w:left w:val="nil"/>
              <w:bottom w:val="nil"/>
              <w:right w:val="nil"/>
            </w:tcBorders>
            <w:tcMar>
              <w:top w:w="128" w:type="dxa"/>
              <w:left w:w="43" w:type="dxa"/>
              <w:bottom w:w="43" w:type="dxa"/>
              <w:right w:w="43" w:type="dxa"/>
            </w:tcMar>
          </w:tcPr>
          <w:p w14:paraId="21D341E4" w14:textId="77777777" w:rsidR="00972395" w:rsidRPr="00E73D4B" w:rsidRDefault="00F120C7" w:rsidP="00681E28">
            <w:pPr>
              <w:jc w:val="right"/>
            </w:pPr>
            <w:r w:rsidRPr="00E73D4B">
              <w:t>Nei</w:t>
            </w:r>
          </w:p>
        </w:tc>
      </w:tr>
      <w:tr w:rsidR="00972395" w:rsidRPr="00E73D4B" w14:paraId="464DC031"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772FF703"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06241725" w14:textId="77777777" w:rsidR="00972395" w:rsidRPr="00E73D4B" w:rsidRDefault="00F120C7" w:rsidP="00681E28">
            <w:pPr>
              <w:jc w:val="right"/>
            </w:pPr>
            <w:r w:rsidRPr="00E73D4B">
              <w:t>96</w:t>
            </w:r>
          </w:p>
        </w:tc>
        <w:tc>
          <w:tcPr>
            <w:tcW w:w="4819" w:type="dxa"/>
            <w:tcBorders>
              <w:top w:val="nil"/>
              <w:left w:val="nil"/>
              <w:bottom w:val="nil"/>
              <w:right w:val="nil"/>
            </w:tcBorders>
            <w:tcMar>
              <w:top w:w="128" w:type="dxa"/>
              <w:left w:w="43" w:type="dxa"/>
              <w:bottom w:w="43" w:type="dxa"/>
              <w:right w:w="43" w:type="dxa"/>
            </w:tcMar>
          </w:tcPr>
          <w:p w14:paraId="31988D08" w14:textId="77777777" w:rsidR="00972395" w:rsidRPr="00E73D4B" w:rsidRDefault="00F120C7" w:rsidP="00681E28">
            <w:r w:rsidRPr="00E73D4B">
              <w:t>Gjennomgang av folketrygdens refusjonsordning for tannbehandling</w:t>
            </w:r>
          </w:p>
        </w:tc>
        <w:tc>
          <w:tcPr>
            <w:tcW w:w="1587" w:type="dxa"/>
            <w:tcBorders>
              <w:top w:val="nil"/>
              <w:left w:val="nil"/>
              <w:bottom w:val="nil"/>
              <w:right w:val="nil"/>
            </w:tcBorders>
            <w:tcMar>
              <w:top w:w="128" w:type="dxa"/>
              <w:left w:w="43" w:type="dxa"/>
              <w:bottom w:w="43" w:type="dxa"/>
              <w:right w:w="43" w:type="dxa"/>
            </w:tcMar>
          </w:tcPr>
          <w:p w14:paraId="44673449" w14:textId="77777777" w:rsidR="00972395" w:rsidRPr="00E73D4B" w:rsidRDefault="00F120C7" w:rsidP="00681E28">
            <w:pPr>
              <w:jc w:val="right"/>
            </w:pPr>
            <w:r w:rsidRPr="00E73D4B">
              <w:t xml:space="preserve">Nei </w:t>
            </w:r>
          </w:p>
        </w:tc>
      </w:tr>
      <w:tr w:rsidR="00972395" w:rsidRPr="00E73D4B" w14:paraId="2CEC23FC"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2FD2F251"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4AA6D116" w14:textId="77777777" w:rsidR="00972395" w:rsidRPr="00E73D4B" w:rsidRDefault="00F120C7" w:rsidP="00681E28">
            <w:pPr>
              <w:jc w:val="right"/>
            </w:pPr>
            <w:r w:rsidRPr="00E73D4B">
              <w:t>153</w:t>
            </w:r>
          </w:p>
        </w:tc>
        <w:tc>
          <w:tcPr>
            <w:tcW w:w="4819" w:type="dxa"/>
            <w:tcBorders>
              <w:top w:val="nil"/>
              <w:left w:val="nil"/>
              <w:bottom w:val="nil"/>
              <w:right w:val="nil"/>
            </w:tcBorders>
            <w:tcMar>
              <w:top w:w="128" w:type="dxa"/>
              <w:left w:w="43" w:type="dxa"/>
              <w:bottom w:w="43" w:type="dxa"/>
              <w:right w:w="43" w:type="dxa"/>
            </w:tcMar>
          </w:tcPr>
          <w:p w14:paraId="7CB013A7" w14:textId="77777777" w:rsidR="00972395" w:rsidRPr="00E73D4B" w:rsidRDefault="00F120C7" w:rsidP="00681E28">
            <w:proofErr w:type="spellStart"/>
            <w:r w:rsidRPr="00E73D4B">
              <w:t>Hospice</w:t>
            </w:r>
            <w:proofErr w:type="spellEnd"/>
            <w:r w:rsidRPr="00E73D4B">
              <w:t xml:space="preserve"> Malvik og </w:t>
            </w:r>
            <w:proofErr w:type="spellStart"/>
            <w:r w:rsidRPr="00E73D4B">
              <w:t>barnehospice</w:t>
            </w:r>
            <w:proofErr w:type="spellEnd"/>
            <w:r w:rsidRPr="00E73D4B">
              <w:t xml:space="preserve"> i Kristiansand</w:t>
            </w:r>
          </w:p>
        </w:tc>
        <w:tc>
          <w:tcPr>
            <w:tcW w:w="1587" w:type="dxa"/>
            <w:tcBorders>
              <w:top w:val="nil"/>
              <w:left w:val="nil"/>
              <w:bottom w:val="nil"/>
              <w:right w:val="nil"/>
            </w:tcBorders>
            <w:tcMar>
              <w:top w:w="128" w:type="dxa"/>
              <w:left w:w="43" w:type="dxa"/>
              <w:bottom w:w="43" w:type="dxa"/>
              <w:right w:w="43" w:type="dxa"/>
            </w:tcMar>
          </w:tcPr>
          <w:p w14:paraId="09EEE5A2" w14:textId="77777777" w:rsidR="00972395" w:rsidRPr="00E73D4B" w:rsidRDefault="00F120C7" w:rsidP="00681E28">
            <w:pPr>
              <w:jc w:val="right"/>
            </w:pPr>
            <w:r w:rsidRPr="00E73D4B">
              <w:t>Ja</w:t>
            </w:r>
          </w:p>
        </w:tc>
      </w:tr>
      <w:tr w:rsidR="00972395" w:rsidRPr="00E73D4B" w14:paraId="620A8ED4"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7A2D53DC"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37F70C8B" w14:textId="77777777" w:rsidR="00972395" w:rsidRPr="00E73D4B" w:rsidRDefault="00F120C7" w:rsidP="00681E28">
            <w:pPr>
              <w:jc w:val="right"/>
            </w:pPr>
            <w:r w:rsidRPr="00E73D4B">
              <w:t>229</w:t>
            </w:r>
          </w:p>
        </w:tc>
        <w:tc>
          <w:tcPr>
            <w:tcW w:w="4819" w:type="dxa"/>
            <w:tcBorders>
              <w:top w:val="nil"/>
              <w:left w:val="nil"/>
              <w:bottom w:val="nil"/>
              <w:right w:val="nil"/>
            </w:tcBorders>
            <w:tcMar>
              <w:top w:w="128" w:type="dxa"/>
              <w:left w:w="43" w:type="dxa"/>
              <w:bottom w:w="43" w:type="dxa"/>
              <w:right w:w="43" w:type="dxa"/>
            </w:tcMar>
          </w:tcPr>
          <w:p w14:paraId="1BA90072" w14:textId="77777777" w:rsidR="00972395" w:rsidRPr="00E73D4B" w:rsidRDefault="00F120C7" w:rsidP="00681E28">
            <w:r w:rsidRPr="00E73D4B">
              <w:t>Sykehusenes intensivkapasitet og beredskap i etterkant av covid-19-pandemien</w:t>
            </w:r>
          </w:p>
        </w:tc>
        <w:tc>
          <w:tcPr>
            <w:tcW w:w="1587" w:type="dxa"/>
            <w:tcBorders>
              <w:top w:val="nil"/>
              <w:left w:val="nil"/>
              <w:bottom w:val="nil"/>
              <w:right w:val="nil"/>
            </w:tcBorders>
            <w:tcMar>
              <w:top w:w="128" w:type="dxa"/>
              <w:left w:w="43" w:type="dxa"/>
              <w:bottom w:w="43" w:type="dxa"/>
              <w:right w:w="43" w:type="dxa"/>
            </w:tcMar>
          </w:tcPr>
          <w:p w14:paraId="3D82E7FC" w14:textId="77777777" w:rsidR="00972395" w:rsidRPr="00E73D4B" w:rsidRDefault="00F120C7" w:rsidP="00681E28">
            <w:pPr>
              <w:jc w:val="right"/>
            </w:pPr>
            <w:r w:rsidRPr="00E73D4B">
              <w:t>Nei</w:t>
            </w:r>
          </w:p>
        </w:tc>
      </w:tr>
      <w:tr w:rsidR="00972395" w:rsidRPr="00E73D4B" w14:paraId="66125732"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4A164484"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534F4C33" w14:textId="77777777" w:rsidR="00972395" w:rsidRPr="00E73D4B" w:rsidRDefault="00F120C7" w:rsidP="00681E28">
            <w:pPr>
              <w:jc w:val="right"/>
            </w:pPr>
            <w:r w:rsidRPr="00E73D4B">
              <w:t>328</w:t>
            </w:r>
          </w:p>
        </w:tc>
        <w:tc>
          <w:tcPr>
            <w:tcW w:w="4819" w:type="dxa"/>
            <w:tcBorders>
              <w:top w:val="nil"/>
              <w:left w:val="nil"/>
              <w:bottom w:val="nil"/>
              <w:right w:val="nil"/>
            </w:tcBorders>
            <w:tcMar>
              <w:top w:w="128" w:type="dxa"/>
              <w:left w:w="43" w:type="dxa"/>
              <w:bottom w:w="43" w:type="dxa"/>
              <w:right w:w="43" w:type="dxa"/>
            </w:tcMar>
          </w:tcPr>
          <w:p w14:paraId="27B5D642" w14:textId="6E55D986" w:rsidR="00972395" w:rsidRPr="00E73D4B" w:rsidRDefault="00F120C7" w:rsidP="00681E28">
            <w:r w:rsidRPr="00E73D4B">
              <w:t>Alternative behandlere – fritak fra Merverdiavgiftsloven</w:t>
            </w:r>
          </w:p>
        </w:tc>
        <w:tc>
          <w:tcPr>
            <w:tcW w:w="1587" w:type="dxa"/>
            <w:tcBorders>
              <w:top w:val="nil"/>
              <w:left w:val="nil"/>
              <w:bottom w:val="nil"/>
              <w:right w:val="nil"/>
            </w:tcBorders>
            <w:tcMar>
              <w:top w:w="128" w:type="dxa"/>
              <w:left w:w="43" w:type="dxa"/>
              <w:bottom w:w="43" w:type="dxa"/>
              <w:right w:w="43" w:type="dxa"/>
            </w:tcMar>
          </w:tcPr>
          <w:p w14:paraId="05E9669D" w14:textId="77777777" w:rsidR="00972395" w:rsidRPr="00E73D4B" w:rsidRDefault="00F120C7" w:rsidP="00681E28">
            <w:pPr>
              <w:jc w:val="right"/>
            </w:pPr>
            <w:r w:rsidRPr="00E73D4B">
              <w:t>Nei</w:t>
            </w:r>
          </w:p>
        </w:tc>
      </w:tr>
      <w:tr w:rsidR="00972395" w:rsidRPr="00E73D4B" w14:paraId="43DE83F2"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68A801E9"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105E454D" w14:textId="77777777" w:rsidR="00972395" w:rsidRPr="00E73D4B" w:rsidRDefault="00F120C7" w:rsidP="00681E28">
            <w:pPr>
              <w:jc w:val="right"/>
            </w:pPr>
            <w:r w:rsidRPr="00E73D4B">
              <w:t>604</w:t>
            </w:r>
          </w:p>
        </w:tc>
        <w:tc>
          <w:tcPr>
            <w:tcW w:w="4819" w:type="dxa"/>
            <w:tcBorders>
              <w:top w:val="nil"/>
              <w:left w:val="nil"/>
              <w:bottom w:val="nil"/>
              <w:right w:val="nil"/>
            </w:tcBorders>
            <w:tcMar>
              <w:top w:w="128" w:type="dxa"/>
              <w:left w:w="43" w:type="dxa"/>
              <w:bottom w:w="43" w:type="dxa"/>
              <w:right w:w="43" w:type="dxa"/>
            </w:tcMar>
          </w:tcPr>
          <w:p w14:paraId="0B9565E8" w14:textId="77777777" w:rsidR="00972395" w:rsidRPr="00E73D4B" w:rsidRDefault="00F120C7" w:rsidP="00681E28">
            <w:r w:rsidRPr="00E73D4B">
              <w:t>Planlegging og evaluering av nye sykehusbygg</w:t>
            </w:r>
          </w:p>
        </w:tc>
        <w:tc>
          <w:tcPr>
            <w:tcW w:w="1587" w:type="dxa"/>
            <w:tcBorders>
              <w:top w:val="nil"/>
              <w:left w:val="nil"/>
              <w:bottom w:val="nil"/>
              <w:right w:val="nil"/>
            </w:tcBorders>
            <w:tcMar>
              <w:top w:w="128" w:type="dxa"/>
              <w:left w:w="43" w:type="dxa"/>
              <w:bottom w:w="43" w:type="dxa"/>
              <w:right w:w="43" w:type="dxa"/>
            </w:tcMar>
          </w:tcPr>
          <w:p w14:paraId="7D731AF7" w14:textId="77777777" w:rsidR="00972395" w:rsidRPr="00E73D4B" w:rsidRDefault="00F120C7" w:rsidP="00681E28">
            <w:pPr>
              <w:jc w:val="right"/>
            </w:pPr>
            <w:r w:rsidRPr="00E73D4B">
              <w:t>Ja</w:t>
            </w:r>
          </w:p>
        </w:tc>
      </w:tr>
      <w:tr w:rsidR="00972395" w:rsidRPr="00E73D4B" w14:paraId="3E7E9F48"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4A78AB76"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1256B1D3" w14:textId="77777777" w:rsidR="00972395" w:rsidRPr="00E73D4B" w:rsidRDefault="00F120C7" w:rsidP="00681E28">
            <w:pPr>
              <w:jc w:val="right"/>
            </w:pPr>
            <w:r w:rsidRPr="00E73D4B">
              <w:t>607</w:t>
            </w:r>
          </w:p>
        </w:tc>
        <w:tc>
          <w:tcPr>
            <w:tcW w:w="4819" w:type="dxa"/>
            <w:tcBorders>
              <w:top w:val="nil"/>
              <w:left w:val="nil"/>
              <w:bottom w:val="nil"/>
              <w:right w:val="nil"/>
            </w:tcBorders>
            <w:tcMar>
              <w:top w:w="128" w:type="dxa"/>
              <w:left w:w="43" w:type="dxa"/>
              <w:bottom w:w="43" w:type="dxa"/>
              <w:right w:w="43" w:type="dxa"/>
            </w:tcMar>
          </w:tcPr>
          <w:p w14:paraId="05DBB23B" w14:textId="48ECB318" w:rsidR="00972395" w:rsidRPr="00E73D4B" w:rsidRDefault="00F120C7" w:rsidP="00681E28">
            <w:r w:rsidRPr="00E73D4B">
              <w:t>Utredning av endringer i innkjøpsforskriften</w:t>
            </w:r>
            <w:r w:rsidR="00681E28">
              <w:t xml:space="preserve"> </w:t>
            </w:r>
            <w:r w:rsidRPr="00E73D4B">
              <w:t>for Vinmonopolet</w:t>
            </w:r>
          </w:p>
        </w:tc>
        <w:tc>
          <w:tcPr>
            <w:tcW w:w="1587" w:type="dxa"/>
            <w:tcBorders>
              <w:top w:val="nil"/>
              <w:left w:val="nil"/>
              <w:bottom w:val="nil"/>
              <w:right w:val="nil"/>
            </w:tcBorders>
            <w:tcMar>
              <w:top w:w="128" w:type="dxa"/>
              <w:left w:w="43" w:type="dxa"/>
              <w:bottom w:w="43" w:type="dxa"/>
              <w:right w:w="43" w:type="dxa"/>
            </w:tcMar>
          </w:tcPr>
          <w:p w14:paraId="58513582" w14:textId="77777777" w:rsidR="00972395" w:rsidRPr="00E73D4B" w:rsidRDefault="00F120C7" w:rsidP="00681E28">
            <w:pPr>
              <w:jc w:val="right"/>
            </w:pPr>
            <w:r w:rsidRPr="00E73D4B">
              <w:t>Nei</w:t>
            </w:r>
          </w:p>
        </w:tc>
      </w:tr>
      <w:tr w:rsidR="00972395" w:rsidRPr="00E73D4B" w14:paraId="4871843C"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1AB16BF1"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2386CDC6" w14:textId="77777777" w:rsidR="00972395" w:rsidRPr="00E73D4B" w:rsidRDefault="00F120C7" w:rsidP="00681E28">
            <w:pPr>
              <w:jc w:val="right"/>
            </w:pPr>
            <w:r w:rsidRPr="00E73D4B">
              <w:t>645</w:t>
            </w:r>
          </w:p>
        </w:tc>
        <w:tc>
          <w:tcPr>
            <w:tcW w:w="4819" w:type="dxa"/>
            <w:tcBorders>
              <w:top w:val="nil"/>
              <w:left w:val="nil"/>
              <w:bottom w:val="nil"/>
              <w:right w:val="nil"/>
            </w:tcBorders>
            <w:tcMar>
              <w:top w:w="128" w:type="dxa"/>
              <w:left w:w="43" w:type="dxa"/>
              <w:bottom w:w="43" w:type="dxa"/>
              <w:right w:w="43" w:type="dxa"/>
            </w:tcMar>
          </w:tcPr>
          <w:p w14:paraId="0590FAE0" w14:textId="77777777" w:rsidR="00972395" w:rsidRPr="00E73D4B" w:rsidRDefault="00F120C7" w:rsidP="00681E28">
            <w:r w:rsidRPr="00E73D4B">
              <w:t>Voksenvaksinasjonsprogram</w:t>
            </w:r>
          </w:p>
        </w:tc>
        <w:tc>
          <w:tcPr>
            <w:tcW w:w="1587" w:type="dxa"/>
            <w:tcBorders>
              <w:top w:val="nil"/>
              <w:left w:val="nil"/>
              <w:bottom w:val="nil"/>
              <w:right w:val="nil"/>
            </w:tcBorders>
            <w:tcMar>
              <w:top w:w="128" w:type="dxa"/>
              <w:left w:w="43" w:type="dxa"/>
              <w:bottom w:w="43" w:type="dxa"/>
              <w:right w:w="43" w:type="dxa"/>
            </w:tcMar>
          </w:tcPr>
          <w:p w14:paraId="25F523F7" w14:textId="77777777" w:rsidR="00972395" w:rsidRPr="00E73D4B" w:rsidRDefault="00F120C7" w:rsidP="00681E28">
            <w:pPr>
              <w:jc w:val="right"/>
            </w:pPr>
            <w:r w:rsidRPr="00E73D4B">
              <w:t>Nei</w:t>
            </w:r>
          </w:p>
        </w:tc>
      </w:tr>
      <w:tr w:rsidR="00972395" w:rsidRPr="00E73D4B" w14:paraId="3DC4BEA4"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45EAD2E7"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5CA9D157" w14:textId="77777777" w:rsidR="00972395" w:rsidRPr="00E73D4B" w:rsidRDefault="00F120C7" w:rsidP="00681E28">
            <w:pPr>
              <w:jc w:val="right"/>
            </w:pPr>
            <w:r w:rsidRPr="00E73D4B">
              <w:t>646</w:t>
            </w:r>
          </w:p>
        </w:tc>
        <w:tc>
          <w:tcPr>
            <w:tcW w:w="4819" w:type="dxa"/>
            <w:tcBorders>
              <w:top w:val="nil"/>
              <w:left w:val="nil"/>
              <w:bottom w:val="nil"/>
              <w:right w:val="nil"/>
            </w:tcBorders>
            <w:tcMar>
              <w:top w:w="128" w:type="dxa"/>
              <w:left w:w="43" w:type="dxa"/>
              <w:bottom w:w="43" w:type="dxa"/>
              <w:right w:w="43" w:type="dxa"/>
            </w:tcMar>
          </w:tcPr>
          <w:p w14:paraId="79D0E63F" w14:textId="77777777" w:rsidR="00972395" w:rsidRPr="00E73D4B" w:rsidRDefault="00F120C7" w:rsidP="00681E28">
            <w:r w:rsidRPr="00E73D4B">
              <w:t xml:space="preserve">Automatisk informasjonsordning </w:t>
            </w:r>
          </w:p>
        </w:tc>
        <w:tc>
          <w:tcPr>
            <w:tcW w:w="1587" w:type="dxa"/>
            <w:tcBorders>
              <w:top w:val="nil"/>
              <w:left w:val="nil"/>
              <w:bottom w:val="nil"/>
              <w:right w:val="nil"/>
            </w:tcBorders>
            <w:tcMar>
              <w:top w:w="128" w:type="dxa"/>
              <w:left w:w="43" w:type="dxa"/>
              <w:bottom w:w="43" w:type="dxa"/>
              <w:right w:w="43" w:type="dxa"/>
            </w:tcMar>
          </w:tcPr>
          <w:p w14:paraId="5E1DF173" w14:textId="77777777" w:rsidR="00972395" w:rsidRPr="00E73D4B" w:rsidRDefault="00F120C7" w:rsidP="00681E28">
            <w:pPr>
              <w:jc w:val="right"/>
            </w:pPr>
            <w:r w:rsidRPr="00E73D4B">
              <w:t>Nei</w:t>
            </w:r>
          </w:p>
        </w:tc>
      </w:tr>
      <w:tr w:rsidR="00972395" w:rsidRPr="00E73D4B" w14:paraId="5E9C485C"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3FD268B4"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0607940A" w14:textId="77777777" w:rsidR="00972395" w:rsidRPr="00E73D4B" w:rsidRDefault="00F120C7" w:rsidP="00681E28">
            <w:pPr>
              <w:jc w:val="right"/>
            </w:pPr>
            <w:r w:rsidRPr="00E73D4B">
              <w:t>650</w:t>
            </w:r>
          </w:p>
        </w:tc>
        <w:tc>
          <w:tcPr>
            <w:tcW w:w="4819" w:type="dxa"/>
            <w:tcBorders>
              <w:top w:val="nil"/>
              <w:left w:val="nil"/>
              <w:bottom w:val="nil"/>
              <w:right w:val="nil"/>
            </w:tcBorders>
            <w:tcMar>
              <w:top w:w="128" w:type="dxa"/>
              <w:left w:w="43" w:type="dxa"/>
              <w:bottom w:w="43" w:type="dxa"/>
              <w:right w:w="43" w:type="dxa"/>
            </w:tcMar>
          </w:tcPr>
          <w:p w14:paraId="6BC70485" w14:textId="77777777" w:rsidR="00972395" w:rsidRPr="00E73D4B" w:rsidRDefault="00F120C7" w:rsidP="00681E28">
            <w:r w:rsidRPr="00E73D4B">
              <w:t>Sikring av fortsatt drift av fødeavdelingen i Kristiansund</w:t>
            </w:r>
          </w:p>
        </w:tc>
        <w:tc>
          <w:tcPr>
            <w:tcW w:w="1587" w:type="dxa"/>
            <w:tcBorders>
              <w:top w:val="nil"/>
              <w:left w:val="nil"/>
              <w:bottom w:val="nil"/>
              <w:right w:val="nil"/>
            </w:tcBorders>
            <w:tcMar>
              <w:top w:w="128" w:type="dxa"/>
              <w:left w:w="43" w:type="dxa"/>
              <w:bottom w:w="43" w:type="dxa"/>
              <w:right w:w="43" w:type="dxa"/>
            </w:tcMar>
          </w:tcPr>
          <w:p w14:paraId="4D0547B2" w14:textId="77777777" w:rsidR="00972395" w:rsidRPr="00E73D4B" w:rsidRDefault="00F120C7" w:rsidP="00681E28">
            <w:pPr>
              <w:jc w:val="right"/>
            </w:pPr>
            <w:r w:rsidRPr="00E73D4B">
              <w:t>Ja</w:t>
            </w:r>
          </w:p>
        </w:tc>
      </w:tr>
      <w:tr w:rsidR="00972395" w:rsidRPr="00E73D4B" w14:paraId="65E042EB"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2C90E350"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4D6D517F" w14:textId="77777777" w:rsidR="00972395" w:rsidRPr="00E73D4B" w:rsidRDefault="00F120C7" w:rsidP="00681E28">
            <w:pPr>
              <w:jc w:val="right"/>
            </w:pPr>
            <w:r w:rsidRPr="00E73D4B">
              <w:t>651</w:t>
            </w:r>
          </w:p>
        </w:tc>
        <w:tc>
          <w:tcPr>
            <w:tcW w:w="4819" w:type="dxa"/>
            <w:tcBorders>
              <w:top w:val="nil"/>
              <w:left w:val="nil"/>
              <w:bottom w:val="nil"/>
              <w:right w:val="nil"/>
            </w:tcBorders>
            <w:tcMar>
              <w:top w:w="128" w:type="dxa"/>
              <w:left w:w="43" w:type="dxa"/>
              <w:bottom w:w="43" w:type="dxa"/>
              <w:right w:w="43" w:type="dxa"/>
            </w:tcMar>
          </w:tcPr>
          <w:p w14:paraId="75DC6261" w14:textId="77777777" w:rsidR="00972395" w:rsidRPr="00E73D4B" w:rsidRDefault="00F120C7" w:rsidP="00681E28">
            <w:r w:rsidRPr="00E73D4B">
              <w:t>Drift av fødeavdelingen i Kristiansund</w:t>
            </w:r>
          </w:p>
        </w:tc>
        <w:tc>
          <w:tcPr>
            <w:tcW w:w="1587" w:type="dxa"/>
            <w:tcBorders>
              <w:top w:val="nil"/>
              <w:left w:val="nil"/>
              <w:bottom w:val="nil"/>
              <w:right w:val="nil"/>
            </w:tcBorders>
            <w:tcMar>
              <w:top w:w="128" w:type="dxa"/>
              <w:left w:w="43" w:type="dxa"/>
              <w:bottom w:w="43" w:type="dxa"/>
              <w:right w:w="43" w:type="dxa"/>
            </w:tcMar>
          </w:tcPr>
          <w:p w14:paraId="22B71D00" w14:textId="77777777" w:rsidR="00972395" w:rsidRPr="00E73D4B" w:rsidRDefault="00F120C7" w:rsidP="00681E28">
            <w:pPr>
              <w:jc w:val="right"/>
            </w:pPr>
            <w:r w:rsidRPr="00E73D4B">
              <w:t>Ja</w:t>
            </w:r>
          </w:p>
        </w:tc>
      </w:tr>
      <w:tr w:rsidR="00972395" w:rsidRPr="00E73D4B" w14:paraId="41A9C3A5"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67741ADE"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6C37AD42" w14:textId="77777777" w:rsidR="00972395" w:rsidRPr="00E73D4B" w:rsidRDefault="00F120C7" w:rsidP="00681E28">
            <w:pPr>
              <w:jc w:val="right"/>
            </w:pPr>
            <w:r w:rsidRPr="00E73D4B">
              <w:t>692</w:t>
            </w:r>
          </w:p>
        </w:tc>
        <w:tc>
          <w:tcPr>
            <w:tcW w:w="4819" w:type="dxa"/>
            <w:tcBorders>
              <w:top w:val="nil"/>
              <w:left w:val="nil"/>
              <w:bottom w:val="nil"/>
              <w:right w:val="nil"/>
            </w:tcBorders>
            <w:tcMar>
              <w:top w:w="128" w:type="dxa"/>
              <w:left w:w="43" w:type="dxa"/>
              <w:bottom w:w="43" w:type="dxa"/>
              <w:right w:w="43" w:type="dxa"/>
            </w:tcMar>
          </w:tcPr>
          <w:p w14:paraId="2EFEAB6C" w14:textId="77777777" w:rsidR="00972395" w:rsidRPr="00E73D4B" w:rsidRDefault="00F120C7" w:rsidP="00681E28">
            <w:r w:rsidRPr="00E73D4B">
              <w:t>Botilbud for personer som har kommet ut av aktiv rus</w:t>
            </w:r>
          </w:p>
        </w:tc>
        <w:tc>
          <w:tcPr>
            <w:tcW w:w="1587" w:type="dxa"/>
            <w:tcBorders>
              <w:top w:val="nil"/>
              <w:left w:val="nil"/>
              <w:bottom w:val="nil"/>
              <w:right w:val="nil"/>
            </w:tcBorders>
            <w:tcMar>
              <w:top w:w="128" w:type="dxa"/>
              <w:left w:w="43" w:type="dxa"/>
              <w:bottom w:w="43" w:type="dxa"/>
              <w:right w:w="43" w:type="dxa"/>
            </w:tcMar>
          </w:tcPr>
          <w:p w14:paraId="7B031E2E" w14:textId="77777777" w:rsidR="00972395" w:rsidRPr="00E73D4B" w:rsidRDefault="00F120C7" w:rsidP="00681E28">
            <w:pPr>
              <w:jc w:val="right"/>
            </w:pPr>
            <w:r w:rsidRPr="00E73D4B">
              <w:t>Nei</w:t>
            </w:r>
          </w:p>
        </w:tc>
      </w:tr>
      <w:tr w:rsidR="00972395" w:rsidRPr="00E73D4B" w14:paraId="4C21DC52"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28C37160"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6CE140F2" w14:textId="77777777" w:rsidR="00972395" w:rsidRPr="00E73D4B" w:rsidRDefault="00F120C7" w:rsidP="00681E28">
            <w:pPr>
              <w:jc w:val="right"/>
            </w:pPr>
            <w:r w:rsidRPr="00E73D4B">
              <w:t>693</w:t>
            </w:r>
          </w:p>
        </w:tc>
        <w:tc>
          <w:tcPr>
            <w:tcW w:w="4819" w:type="dxa"/>
            <w:tcBorders>
              <w:top w:val="nil"/>
              <w:left w:val="nil"/>
              <w:bottom w:val="nil"/>
              <w:right w:val="nil"/>
            </w:tcBorders>
            <w:tcMar>
              <w:top w:w="128" w:type="dxa"/>
              <w:left w:w="43" w:type="dxa"/>
              <w:bottom w:w="43" w:type="dxa"/>
              <w:right w:w="43" w:type="dxa"/>
            </w:tcMar>
          </w:tcPr>
          <w:p w14:paraId="18857249" w14:textId="77777777" w:rsidR="00972395" w:rsidRPr="00E73D4B" w:rsidRDefault="00F120C7" w:rsidP="00681E28">
            <w:r w:rsidRPr="00E73D4B">
              <w:t>Finansieringsordning innen rusfeltet</w:t>
            </w:r>
          </w:p>
        </w:tc>
        <w:tc>
          <w:tcPr>
            <w:tcW w:w="1587" w:type="dxa"/>
            <w:tcBorders>
              <w:top w:val="nil"/>
              <w:left w:val="nil"/>
              <w:bottom w:val="nil"/>
              <w:right w:val="nil"/>
            </w:tcBorders>
            <w:tcMar>
              <w:top w:w="128" w:type="dxa"/>
              <w:left w:w="43" w:type="dxa"/>
              <w:bottom w:w="43" w:type="dxa"/>
              <w:right w:w="43" w:type="dxa"/>
            </w:tcMar>
          </w:tcPr>
          <w:p w14:paraId="527E236D" w14:textId="77777777" w:rsidR="00972395" w:rsidRPr="00E73D4B" w:rsidRDefault="00F120C7" w:rsidP="00681E28">
            <w:pPr>
              <w:jc w:val="right"/>
            </w:pPr>
            <w:r w:rsidRPr="00E73D4B">
              <w:t>Nei</w:t>
            </w:r>
          </w:p>
        </w:tc>
      </w:tr>
      <w:tr w:rsidR="00972395" w:rsidRPr="00E73D4B" w14:paraId="369C3468" w14:textId="77777777" w:rsidTr="00681E28">
        <w:trPr>
          <w:trHeight w:val="880"/>
        </w:trPr>
        <w:tc>
          <w:tcPr>
            <w:tcW w:w="1418" w:type="dxa"/>
            <w:tcBorders>
              <w:top w:val="nil"/>
              <w:left w:val="nil"/>
              <w:bottom w:val="nil"/>
              <w:right w:val="nil"/>
            </w:tcBorders>
            <w:tcMar>
              <w:top w:w="128" w:type="dxa"/>
              <w:left w:w="43" w:type="dxa"/>
              <w:bottom w:w="43" w:type="dxa"/>
              <w:right w:w="43" w:type="dxa"/>
            </w:tcMar>
          </w:tcPr>
          <w:p w14:paraId="4A0E19D1"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1A015393" w14:textId="77777777" w:rsidR="00972395" w:rsidRPr="00E73D4B" w:rsidRDefault="00F120C7" w:rsidP="00681E28">
            <w:pPr>
              <w:jc w:val="right"/>
            </w:pPr>
            <w:r w:rsidRPr="00E73D4B">
              <w:t>694</w:t>
            </w:r>
          </w:p>
        </w:tc>
        <w:tc>
          <w:tcPr>
            <w:tcW w:w="4819" w:type="dxa"/>
            <w:tcBorders>
              <w:top w:val="nil"/>
              <w:left w:val="nil"/>
              <w:bottom w:val="nil"/>
              <w:right w:val="nil"/>
            </w:tcBorders>
            <w:tcMar>
              <w:top w:w="128" w:type="dxa"/>
              <w:left w:w="43" w:type="dxa"/>
              <w:bottom w:w="43" w:type="dxa"/>
              <w:right w:w="43" w:type="dxa"/>
            </w:tcMar>
          </w:tcPr>
          <w:p w14:paraId="3FEFF06A" w14:textId="77777777" w:rsidR="00972395" w:rsidRPr="00E73D4B" w:rsidRDefault="00F120C7" w:rsidP="00681E28">
            <w:r w:rsidRPr="00E73D4B">
              <w:t>Levekårsundersøkelse</w:t>
            </w:r>
          </w:p>
          <w:p w14:paraId="72E6ED51" w14:textId="77777777" w:rsidR="00972395" w:rsidRPr="00E73D4B" w:rsidRDefault="00F120C7" w:rsidP="00681E28">
            <w:r w:rsidRPr="00E73D4B">
              <w:t>for personer med alvorlig ruslidelse og psykisk lidelse (ROP)</w:t>
            </w:r>
          </w:p>
        </w:tc>
        <w:tc>
          <w:tcPr>
            <w:tcW w:w="1587" w:type="dxa"/>
            <w:tcBorders>
              <w:top w:val="nil"/>
              <w:left w:val="nil"/>
              <w:bottom w:val="nil"/>
              <w:right w:val="nil"/>
            </w:tcBorders>
            <w:tcMar>
              <w:top w:w="128" w:type="dxa"/>
              <w:left w:w="43" w:type="dxa"/>
              <w:bottom w:w="43" w:type="dxa"/>
              <w:right w:w="43" w:type="dxa"/>
            </w:tcMar>
          </w:tcPr>
          <w:p w14:paraId="202B4253" w14:textId="77777777" w:rsidR="00972395" w:rsidRPr="00E73D4B" w:rsidRDefault="00F120C7" w:rsidP="00681E28">
            <w:pPr>
              <w:jc w:val="right"/>
            </w:pPr>
            <w:r w:rsidRPr="00E73D4B">
              <w:t>Ja</w:t>
            </w:r>
          </w:p>
        </w:tc>
      </w:tr>
      <w:tr w:rsidR="00972395" w:rsidRPr="00E73D4B" w14:paraId="0F83129E"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219353D9"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2C046C0C" w14:textId="77777777" w:rsidR="00972395" w:rsidRPr="00E73D4B" w:rsidRDefault="00F120C7" w:rsidP="00681E28">
            <w:pPr>
              <w:jc w:val="right"/>
            </w:pPr>
            <w:r w:rsidRPr="00E73D4B">
              <w:t>702</w:t>
            </w:r>
          </w:p>
        </w:tc>
        <w:tc>
          <w:tcPr>
            <w:tcW w:w="4819" w:type="dxa"/>
            <w:tcBorders>
              <w:top w:val="nil"/>
              <w:left w:val="nil"/>
              <w:bottom w:val="nil"/>
              <w:right w:val="nil"/>
            </w:tcBorders>
            <w:tcMar>
              <w:top w:w="128" w:type="dxa"/>
              <w:left w:w="43" w:type="dxa"/>
              <w:bottom w:w="43" w:type="dxa"/>
              <w:right w:w="43" w:type="dxa"/>
            </w:tcMar>
          </w:tcPr>
          <w:p w14:paraId="40B1D563" w14:textId="77777777" w:rsidR="00972395" w:rsidRPr="00E73D4B" w:rsidRDefault="00F120C7" w:rsidP="00681E28">
            <w:r w:rsidRPr="00E73D4B">
              <w:t xml:space="preserve">Helhetlig og koordinert helse- og omsorgstjenestetilbud </w:t>
            </w:r>
          </w:p>
        </w:tc>
        <w:tc>
          <w:tcPr>
            <w:tcW w:w="1587" w:type="dxa"/>
            <w:tcBorders>
              <w:top w:val="nil"/>
              <w:left w:val="nil"/>
              <w:bottom w:val="nil"/>
              <w:right w:val="nil"/>
            </w:tcBorders>
            <w:tcMar>
              <w:top w:w="128" w:type="dxa"/>
              <w:left w:w="43" w:type="dxa"/>
              <w:bottom w:w="43" w:type="dxa"/>
              <w:right w:w="43" w:type="dxa"/>
            </w:tcMar>
          </w:tcPr>
          <w:p w14:paraId="01540651" w14:textId="77777777" w:rsidR="00972395" w:rsidRPr="00E73D4B" w:rsidRDefault="00F120C7" w:rsidP="00681E28">
            <w:pPr>
              <w:jc w:val="right"/>
            </w:pPr>
            <w:r w:rsidRPr="00E73D4B">
              <w:t xml:space="preserve">Nei </w:t>
            </w:r>
          </w:p>
        </w:tc>
      </w:tr>
      <w:tr w:rsidR="00972395" w:rsidRPr="00E73D4B" w14:paraId="68A07DCC"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326DEBED"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3E00AEBD" w14:textId="77777777" w:rsidR="00972395" w:rsidRPr="00E73D4B" w:rsidRDefault="00F120C7" w:rsidP="00681E28">
            <w:pPr>
              <w:jc w:val="right"/>
            </w:pPr>
            <w:r w:rsidRPr="00E73D4B">
              <w:t>726</w:t>
            </w:r>
          </w:p>
        </w:tc>
        <w:tc>
          <w:tcPr>
            <w:tcW w:w="4819" w:type="dxa"/>
            <w:tcBorders>
              <w:top w:val="nil"/>
              <w:left w:val="nil"/>
              <w:bottom w:val="nil"/>
              <w:right w:val="nil"/>
            </w:tcBorders>
            <w:tcMar>
              <w:top w:w="128" w:type="dxa"/>
              <w:left w:w="43" w:type="dxa"/>
              <w:bottom w:w="43" w:type="dxa"/>
              <w:right w:w="43" w:type="dxa"/>
            </w:tcMar>
          </w:tcPr>
          <w:p w14:paraId="3B3C5D5E" w14:textId="77777777" w:rsidR="00972395" w:rsidRPr="00E73D4B" w:rsidRDefault="00F120C7" w:rsidP="00681E28">
            <w:r w:rsidRPr="00E73D4B">
              <w:t xml:space="preserve">Responstider, kompetanse og akuttmedisinsk utstyr </w:t>
            </w:r>
          </w:p>
        </w:tc>
        <w:tc>
          <w:tcPr>
            <w:tcW w:w="1587" w:type="dxa"/>
            <w:tcBorders>
              <w:top w:val="nil"/>
              <w:left w:val="nil"/>
              <w:bottom w:val="nil"/>
              <w:right w:val="nil"/>
            </w:tcBorders>
            <w:tcMar>
              <w:top w:w="128" w:type="dxa"/>
              <w:left w:w="43" w:type="dxa"/>
              <w:bottom w:w="43" w:type="dxa"/>
              <w:right w:w="43" w:type="dxa"/>
            </w:tcMar>
          </w:tcPr>
          <w:p w14:paraId="15D6B312" w14:textId="77777777" w:rsidR="00972395" w:rsidRPr="00E73D4B" w:rsidRDefault="00F120C7" w:rsidP="00681E28">
            <w:pPr>
              <w:jc w:val="right"/>
            </w:pPr>
            <w:r w:rsidRPr="00E73D4B">
              <w:t>Nei</w:t>
            </w:r>
          </w:p>
        </w:tc>
      </w:tr>
      <w:tr w:rsidR="00972395" w:rsidRPr="00E73D4B" w14:paraId="6E68C6A3"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7006E727"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53DEC086" w14:textId="77777777" w:rsidR="00972395" w:rsidRPr="00E73D4B" w:rsidRDefault="00F120C7" w:rsidP="00681E28">
            <w:pPr>
              <w:jc w:val="right"/>
            </w:pPr>
            <w:r w:rsidRPr="00E73D4B">
              <w:t>727</w:t>
            </w:r>
          </w:p>
        </w:tc>
        <w:tc>
          <w:tcPr>
            <w:tcW w:w="4819" w:type="dxa"/>
            <w:tcBorders>
              <w:top w:val="nil"/>
              <w:left w:val="nil"/>
              <w:bottom w:val="nil"/>
              <w:right w:val="nil"/>
            </w:tcBorders>
            <w:tcMar>
              <w:top w:w="128" w:type="dxa"/>
              <w:left w:w="43" w:type="dxa"/>
              <w:bottom w:w="43" w:type="dxa"/>
              <w:right w:w="43" w:type="dxa"/>
            </w:tcMar>
          </w:tcPr>
          <w:p w14:paraId="238CAA2D" w14:textId="77777777" w:rsidR="00972395" w:rsidRPr="00E73D4B" w:rsidRDefault="00F120C7" w:rsidP="00681E28">
            <w:r w:rsidRPr="00E73D4B">
              <w:t>Norges tilgang til produksjonskapasitet for kritisk medisinsk utstyr</w:t>
            </w:r>
          </w:p>
        </w:tc>
        <w:tc>
          <w:tcPr>
            <w:tcW w:w="1587" w:type="dxa"/>
            <w:tcBorders>
              <w:top w:val="nil"/>
              <w:left w:val="nil"/>
              <w:bottom w:val="nil"/>
              <w:right w:val="nil"/>
            </w:tcBorders>
            <w:tcMar>
              <w:top w:w="128" w:type="dxa"/>
              <w:left w:w="43" w:type="dxa"/>
              <w:bottom w:w="43" w:type="dxa"/>
              <w:right w:w="43" w:type="dxa"/>
            </w:tcMar>
          </w:tcPr>
          <w:p w14:paraId="66693D7D" w14:textId="77777777" w:rsidR="00972395" w:rsidRPr="00E73D4B" w:rsidRDefault="00F120C7" w:rsidP="00681E28">
            <w:pPr>
              <w:jc w:val="right"/>
            </w:pPr>
            <w:r w:rsidRPr="00E73D4B">
              <w:t>Ja</w:t>
            </w:r>
          </w:p>
        </w:tc>
      </w:tr>
      <w:tr w:rsidR="00972395" w:rsidRPr="00E73D4B" w14:paraId="42E0FC2F"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44996070"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4B158107" w14:textId="77777777" w:rsidR="00972395" w:rsidRPr="00E73D4B" w:rsidRDefault="00F120C7" w:rsidP="00681E28">
            <w:pPr>
              <w:jc w:val="right"/>
            </w:pPr>
            <w:r w:rsidRPr="00E73D4B">
              <w:t>876</w:t>
            </w:r>
          </w:p>
        </w:tc>
        <w:tc>
          <w:tcPr>
            <w:tcW w:w="4819" w:type="dxa"/>
            <w:tcBorders>
              <w:top w:val="nil"/>
              <w:left w:val="nil"/>
              <w:bottom w:val="nil"/>
              <w:right w:val="nil"/>
            </w:tcBorders>
            <w:tcMar>
              <w:top w:w="128" w:type="dxa"/>
              <w:left w:w="43" w:type="dxa"/>
              <w:bottom w:w="43" w:type="dxa"/>
              <w:right w:w="43" w:type="dxa"/>
            </w:tcMar>
          </w:tcPr>
          <w:p w14:paraId="1303C94E" w14:textId="77777777" w:rsidR="00972395" w:rsidRPr="00E73D4B" w:rsidRDefault="00F120C7" w:rsidP="00681E28">
            <w:r w:rsidRPr="00E73D4B">
              <w:t xml:space="preserve">Koronakommisjonen – situasjonen for kommuneoverleger og kommunale smittevernleger </w:t>
            </w:r>
          </w:p>
        </w:tc>
        <w:tc>
          <w:tcPr>
            <w:tcW w:w="1587" w:type="dxa"/>
            <w:tcBorders>
              <w:top w:val="nil"/>
              <w:left w:val="nil"/>
              <w:bottom w:val="nil"/>
              <w:right w:val="nil"/>
            </w:tcBorders>
            <w:tcMar>
              <w:top w:w="128" w:type="dxa"/>
              <w:left w:w="43" w:type="dxa"/>
              <w:bottom w:w="43" w:type="dxa"/>
              <w:right w:w="43" w:type="dxa"/>
            </w:tcMar>
          </w:tcPr>
          <w:p w14:paraId="134E6E0F" w14:textId="77777777" w:rsidR="00972395" w:rsidRPr="00E73D4B" w:rsidRDefault="00F120C7" w:rsidP="00681E28">
            <w:pPr>
              <w:jc w:val="right"/>
            </w:pPr>
            <w:r w:rsidRPr="00E73D4B">
              <w:t>Nei</w:t>
            </w:r>
          </w:p>
        </w:tc>
      </w:tr>
      <w:tr w:rsidR="00972395" w:rsidRPr="00E73D4B" w14:paraId="1F60E660"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4C375C88"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02E5B5DC" w14:textId="77777777" w:rsidR="00972395" w:rsidRPr="00E73D4B" w:rsidRDefault="00F120C7" w:rsidP="00681E28">
            <w:pPr>
              <w:jc w:val="right"/>
            </w:pPr>
            <w:r w:rsidRPr="00E73D4B">
              <w:t>889</w:t>
            </w:r>
          </w:p>
        </w:tc>
        <w:tc>
          <w:tcPr>
            <w:tcW w:w="4819" w:type="dxa"/>
            <w:tcBorders>
              <w:top w:val="nil"/>
              <w:left w:val="nil"/>
              <w:bottom w:val="nil"/>
              <w:right w:val="nil"/>
            </w:tcBorders>
            <w:tcMar>
              <w:top w:w="128" w:type="dxa"/>
              <w:left w:w="43" w:type="dxa"/>
              <w:bottom w:w="43" w:type="dxa"/>
              <w:right w:w="43" w:type="dxa"/>
            </w:tcMar>
          </w:tcPr>
          <w:p w14:paraId="417E7457" w14:textId="77777777" w:rsidR="00972395" w:rsidRPr="00E73D4B" w:rsidRDefault="00F120C7" w:rsidP="00681E28">
            <w:r w:rsidRPr="00E73D4B">
              <w:t>Nasjonal produksjon og beredskap for kritisk viktig smittevernutstyr</w:t>
            </w:r>
          </w:p>
        </w:tc>
        <w:tc>
          <w:tcPr>
            <w:tcW w:w="1587" w:type="dxa"/>
            <w:tcBorders>
              <w:top w:val="nil"/>
              <w:left w:val="nil"/>
              <w:bottom w:val="nil"/>
              <w:right w:val="nil"/>
            </w:tcBorders>
            <w:tcMar>
              <w:top w:w="128" w:type="dxa"/>
              <w:left w:w="43" w:type="dxa"/>
              <w:bottom w:w="43" w:type="dxa"/>
              <w:right w:w="43" w:type="dxa"/>
            </w:tcMar>
          </w:tcPr>
          <w:p w14:paraId="2B420906" w14:textId="77777777" w:rsidR="00972395" w:rsidRPr="00E73D4B" w:rsidRDefault="00F120C7" w:rsidP="00681E28">
            <w:pPr>
              <w:jc w:val="right"/>
            </w:pPr>
            <w:r w:rsidRPr="00E73D4B">
              <w:t>Ja</w:t>
            </w:r>
          </w:p>
        </w:tc>
      </w:tr>
      <w:tr w:rsidR="00972395" w:rsidRPr="00E73D4B" w14:paraId="2CE261E7"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6372B761"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42F20185" w14:textId="77777777" w:rsidR="00972395" w:rsidRPr="00E73D4B" w:rsidRDefault="00F120C7" w:rsidP="00681E28">
            <w:pPr>
              <w:jc w:val="right"/>
            </w:pPr>
            <w:r w:rsidRPr="00E73D4B">
              <w:t>963</w:t>
            </w:r>
          </w:p>
        </w:tc>
        <w:tc>
          <w:tcPr>
            <w:tcW w:w="4819" w:type="dxa"/>
            <w:tcBorders>
              <w:top w:val="nil"/>
              <w:left w:val="nil"/>
              <w:bottom w:val="nil"/>
              <w:right w:val="nil"/>
            </w:tcBorders>
            <w:tcMar>
              <w:top w:w="128" w:type="dxa"/>
              <w:left w:w="43" w:type="dxa"/>
              <w:bottom w:w="43" w:type="dxa"/>
              <w:right w:w="43" w:type="dxa"/>
            </w:tcMar>
          </w:tcPr>
          <w:p w14:paraId="593119C4" w14:textId="77777777" w:rsidR="00972395" w:rsidRPr="00E73D4B" w:rsidRDefault="00F120C7" w:rsidP="00681E28">
            <w:r w:rsidRPr="00E73D4B">
              <w:t xml:space="preserve">Beredskapsavtaler for norsk produksjon av legemidler </w:t>
            </w:r>
          </w:p>
        </w:tc>
        <w:tc>
          <w:tcPr>
            <w:tcW w:w="1587" w:type="dxa"/>
            <w:tcBorders>
              <w:top w:val="nil"/>
              <w:left w:val="nil"/>
              <w:bottom w:val="nil"/>
              <w:right w:val="nil"/>
            </w:tcBorders>
            <w:tcMar>
              <w:top w:w="128" w:type="dxa"/>
              <w:left w:w="43" w:type="dxa"/>
              <w:bottom w:w="43" w:type="dxa"/>
              <w:right w:w="43" w:type="dxa"/>
            </w:tcMar>
          </w:tcPr>
          <w:p w14:paraId="4BB654DC" w14:textId="77777777" w:rsidR="00972395" w:rsidRPr="00E73D4B" w:rsidRDefault="00F120C7" w:rsidP="00681E28">
            <w:pPr>
              <w:jc w:val="right"/>
            </w:pPr>
            <w:r w:rsidRPr="00E73D4B">
              <w:t>Ja</w:t>
            </w:r>
          </w:p>
        </w:tc>
      </w:tr>
      <w:tr w:rsidR="00972395" w:rsidRPr="00E73D4B" w14:paraId="4020E573"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03D29691"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40E6DC44" w14:textId="77777777" w:rsidR="00972395" w:rsidRPr="00E73D4B" w:rsidRDefault="00F120C7" w:rsidP="00681E28">
            <w:pPr>
              <w:jc w:val="right"/>
            </w:pPr>
            <w:r w:rsidRPr="00E73D4B">
              <w:t>986</w:t>
            </w:r>
          </w:p>
        </w:tc>
        <w:tc>
          <w:tcPr>
            <w:tcW w:w="4819" w:type="dxa"/>
            <w:tcBorders>
              <w:top w:val="nil"/>
              <w:left w:val="nil"/>
              <w:bottom w:val="nil"/>
              <w:right w:val="nil"/>
            </w:tcBorders>
            <w:tcMar>
              <w:top w:w="128" w:type="dxa"/>
              <w:left w:w="43" w:type="dxa"/>
              <w:bottom w:w="43" w:type="dxa"/>
              <w:right w:w="43" w:type="dxa"/>
            </w:tcMar>
          </w:tcPr>
          <w:p w14:paraId="739D0141" w14:textId="77777777" w:rsidR="00972395" w:rsidRPr="00E73D4B" w:rsidRDefault="00F120C7" w:rsidP="00681E28">
            <w:r w:rsidRPr="00E73D4B">
              <w:t>Eldrevoldssaker – nasjonale retningslinjer</w:t>
            </w:r>
          </w:p>
        </w:tc>
        <w:tc>
          <w:tcPr>
            <w:tcW w:w="1587" w:type="dxa"/>
            <w:tcBorders>
              <w:top w:val="nil"/>
              <w:left w:val="nil"/>
              <w:bottom w:val="nil"/>
              <w:right w:val="nil"/>
            </w:tcBorders>
            <w:tcMar>
              <w:top w:w="128" w:type="dxa"/>
              <w:left w:w="43" w:type="dxa"/>
              <w:bottom w:w="43" w:type="dxa"/>
              <w:right w:w="43" w:type="dxa"/>
            </w:tcMar>
          </w:tcPr>
          <w:p w14:paraId="694611AC" w14:textId="77777777" w:rsidR="00972395" w:rsidRPr="00E73D4B" w:rsidRDefault="00F120C7" w:rsidP="00681E28">
            <w:pPr>
              <w:jc w:val="right"/>
            </w:pPr>
            <w:r w:rsidRPr="00E73D4B">
              <w:t>Nei</w:t>
            </w:r>
          </w:p>
        </w:tc>
      </w:tr>
      <w:tr w:rsidR="00972395" w:rsidRPr="00E73D4B" w14:paraId="0492E68A"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490F512E"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6BAA3AD5" w14:textId="77777777" w:rsidR="00972395" w:rsidRPr="00E73D4B" w:rsidRDefault="00F120C7" w:rsidP="00681E28">
            <w:pPr>
              <w:jc w:val="right"/>
            </w:pPr>
            <w:r w:rsidRPr="00E73D4B">
              <w:t>987</w:t>
            </w:r>
          </w:p>
        </w:tc>
        <w:tc>
          <w:tcPr>
            <w:tcW w:w="4819" w:type="dxa"/>
            <w:tcBorders>
              <w:top w:val="nil"/>
              <w:left w:val="nil"/>
              <w:bottom w:val="nil"/>
              <w:right w:val="nil"/>
            </w:tcBorders>
            <w:tcMar>
              <w:top w:w="128" w:type="dxa"/>
              <w:left w:w="43" w:type="dxa"/>
              <w:bottom w:w="43" w:type="dxa"/>
              <w:right w:w="43" w:type="dxa"/>
            </w:tcMar>
          </w:tcPr>
          <w:p w14:paraId="7C9FF782" w14:textId="77777777" w:rsidR="00972395" w:rsidRPr="00E73D4B" w:rsidRDefault="00F120C7" w:rsidP="00681E28">
            <w:r w:rsidRPr="00E73D4B">
              <w:t>Eldrevoldssaker – meldeplikt</w:t>
            </w:r>
          </w:p>
        </w:tc>
        <w:tc>
          <w:tcPr>
            <w:tcW w:w="1587" w:type="dxa"/>
            <w:tcBorders>
              <w:top w:val="nil"/>
              <w:left w:val="nil"/>
              <w:bottom w:val="nil"/>
              <w:right w:val="nil"/>
            </w:tcBorders>
            <w:tcMar>
              <w:top w:w="128" w:type="dxa"/>
              <w:left w:w="43" w:type="dxa"/>
              <w:bottom w:w="43" w:type="dxa"/>
              <w:right w:w="43" w:type="dxa"/>
            </w:tcMar>
          </w:tcPr>
          <w:p w14:paraId="1FE7396E" w14:textId="77777777" w:rsidR="00972395" w:rsidRPr="00E73D4B" w:rsidRDefault="00F120C7" w:rsidP="00681E28">
            <w:pPr>
              <w:jc w:val="right"/>
            </w:pPr>
            <w:r w:rsidRPr="00E73D4B">
              <w:t>Nei</w:t>
            </w:r>
          </w:p>
        </w:tc>
      </w:tr>
      <w:tr w:rsidR="00972395" w:rsidRPr="00E73D4B" w14:paraId="186B0213"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12A2EABE"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0F142DC1" w14:textId="77777777" w:rsidR="00972395" w:rsidRPr="00E73D4B" w:rsidRDefault="00F120C7" w:rsidP="00681E28">
            <w:pPr>
              <w:jc w:val="right"/>
            </w:pPr>
            <w:r w:rsidRPr="00E73D4B">
              <w:t>1105</w:t>
            </w:r>
          </w:p>
        </w:tc>
        <w:tc>
          <w:tcPr>
            <w:tcW w:w="4819" w:type="dxa"/>
            <w:tcBorders>
              <w:top w:val="nil"/>
              <w:left w:val="nil"/>
              <w:bottom w:val="nil"/>
              <w:right w:val="nil"/>
            </w:tcBorders>
            <w:tcMar>
              <w:top w:w="128" w:type="dxa"/>
              <w:left w:w="43" w:type="dxa"/>
              <w:bottom w:w="43" w:type="dxa"/>
              <w:right w:w="43" w:type="dxa"/>
            </w:tcMar>
          </w:tcPr>
          <w:p w14:paraId="142BF778" w14:textId="77777777" w:rsidR="00972395" w:rsidRPr="00E73D4B" w:rsidRDefault="00F120C7" w:rsidP="00681E28">
            <w:r w:rsidRPr="00E73D4B">
              <w:t>Helse-, sosial- og omsorgssektoren – saksbehandling av klager</w:t>
            </w:r>
          </w:p>
        </w:tc>
        <w:tc>
          <w:tcPr>
            <w:tcW w:w="1587" w:type="dxa"/>
            <w:tcBorders>
              <w:top w:val="nil"/>
              <w:left w:val="nil"/>
              <w:bottom w:val="nil"/>
              <w:right w:val="nil"/>
            </w:tcBorders>
            <w:tcMar>
              <w:top w:w="128" w:type="dxa"/>
              <w:left w:w="43" w:type="dxa"/>
              <w:bottom w:w="43" w:type="dxa"/>
              <w:right w:w="43" w:type="dxa"/>
            </w:tcMar>
          </w:tcPr>
          <w:p w14:paraId="75C16C77" w14:textId="77777777" w:rsidR="00972395" w:rsidRPr="00E73D4B" w:rsidRDefault="00F120C7" w:rsidP="00681E28">
            <w:pPr>
              <w:jc w:val="right"/>
            </w:pPr>
            <w:r w:rsidRPr="00E73D4B">
              <w:t xml:space="preserve">Ja </w:t>
            </w:r>
          </w:p>
        </w:tc>
      </w:tr>
      <w:tr w:rsidR="00972395" w:rsidRPr="00E73D4B" w14:paraId="351B978E"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5C3B5BA8"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6C38242E" w14:textId="77777777" w:rsidR="00972395" w:rsidRPr="00E73D4B" w:rsidRDefault="00F120C7" w:rsidP="00681E28">
            <w:pPr>
              <w:jc w:val="right"/>
            </w:pPr>
            <w:r w:rsidRPr="00E73D4B">
              <w:t>1114</w:t>
            </w:r>
          </w:p>
        </w:tc>
        <w:tc>
          <w:tcPr>
            <w:tcW w:w="4819" w:type="dxa"/>
            <w:tcBorders>
              <w:top w:val="nil"/>
              <w:left w:val="nil"/>
              <w:bottom w:val="nil"/>
              <w:right w:val="nil"/>
            </w:tcBorders>
            <w:tcMar>
              <w:top w:w="128" w:type="dxa"/>
              <w:left w:w="43" w:type="dxa"/>
              <w:bottom w:w="43" w:type="dxa"/>
              <w:right w:w="43" w:type="dxa"/>
            </w:tcMar>
          </w:tcPr>
          <w:p w14:paraId="40D0E4FC" w14:textId="77777777" w:rsidR="00972395" w:rsidRPr="00E73D4B" w:rsidRDefault="00F120C7" w:rsidP="00681E28">
            <w:r w:rsidRPr="00E73D4B">
              <w:t>Legemiddelloven – narkotika til eget bruk</w:t>
            </w:r>
          </w:p>
        </w:tc>
        <w:tc>
          <w:tcPr>
            <w:tcW w:w="1587" w:type="dxa"/>
            <w:tcBorders>
              <w:top w:val="nil"/>
              <w:left w:val="nil"/>
              <w:bottom w:val="nil"/>
              <w:right w:val="nil"/>
            </w:tcBorders>
            <w:tcMar>
              <w:top w:w="128" w:type="dxa"/>
              <w:left w:w="43" w:type="dxa"/>
              <w:bottom w:w="43" w:type="dxa"/>
              <w:right w:w="43" w:type="dxa"/>
            </w:tcMar>
          </w:tcPr>
          <w:p w14:paraId="28ED5D28" w14:textId="77777777" w:rsidR="00972395" w:rsidRPr="00E73D4B" w:rsidRDefault="00F120C7" w:rsidP="00681E28">
            <w:pPr>
              <w:jc w:val="right"/>
            </w:pPr>
            <w:r w:rsidRPr="00E73D4B">
              <w:t>Nei</w:t>
            </w:r>
          </w:p>
        </w:tc>
      </w:tr>
      <w:tr w:rsidR="00972395" w:rsidRPr="00E73D4B" w14:paraId="703CB4FD"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E91FC1F"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418233C9" w14:textId="77777777" w:rsidR="00972395" w:rsidRPr="00E73D4B" w:rsidRDefault="00F120C7" w:rsidP="00681E28">
            <w:pPr>
              <w:jc w:val="right"/>
            </w:pPr>
            <w:r w:rsidRPr="00E73D4B">
              <w:t>1120</w:t>
            </w:r>
          </w:p>
        </w:tc>
        <w:tc>
          <w:tcPr>
            <w:tcW w:w="4819" w:type="dxa"/>
            <w:tcBorders>
              <w:top w:val="nil"/>
              <w:left w:val="nil"/>
              <w:bottom w:val="nil"/>
              <w:right w:val="nil"/>
            </w:tcBorders>
            <w:tcMar>
              <w:top w:w="128" w:type="dxa"/>
              <w:left w:w="43" w:type="dxa"/>
              <w:bottom w:w="43" w:type="dxa"/>
              <w:right w:w="43" w:type="dxa"/>
            </w:tcMar>
          </w:tcPr>
          <w:p w14:paraId="3B09900B" w14:textId="77777777" w:rsidR="00972395" w:rsidRPr="00E73D4B" w:rsidRDefault="00F120C7" w:rsidP="00681E28">
            <w:r w:rsidRPr="00E73D4B">
              <w:t>Rusfaglig kompetanse i BUP</w:t>
            </w:r>
          </w:p>
        </w:tc>
        <w:tc>
          <w:tcPr>
            <w:tcW w:w="1587" w:type="dxa"/>
            <w:tcBorders>
              <w:top w:val="nil"/>
              <w:left w:val="nil"/>
              <w:bottom w:val="nil"/>
              <w:right w:val="nil"/>
            </w:tcBorders>
            <w:tcMar>
              <w:top w:w="128" w:type="dxa"/>
              <w:left w:w="43" w:type="dxa"/>
              <w:bottom w:w="43" w:type="dxa"/>
              <w:right w:w="43" w:type="dxa"/>
            </w:tcMar>
          </w:tcPr>
          <w:p w14:paraId="78E7D0A8" w14:textId="77777777" w:rsidR="00972395" w:rsidRPr="00E73D4B" w:rsidRDefault="00F120C7" w:rsidP="00681E28">
            <w:pPr>
              <w:jc w:val="right"/>
            </w:pPr>
            <w:r w:rsidRPr="00E73D4B">
              <w:t>Ja</w:t>
            </w:r>
          </w:p>
        </w:tc>
      </w:tr>
      <w:tr w:rsidR="00972395" w:rsidRPr="00E73D4B" w14:paraId="29539D6B"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63F846C5"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46BFCCF5" w14:textId="77777777" w:rsidR="00972395" w:rsidRPr="00E73D4B" w:rsidRDefault="00F120C7" w:rsidP="00681E28">
            <w:pPr>
              <w:jc w:val="right"/>
            </w:pPr>
            <w:r w:rsidRPr="00E73D4B">
              <w:t>1122</w:t>
            </w:r>
          </w:p>
        </w:tc>
        <w:tc>
          <w:tcPr>
            <w:tcW w:w="4819" w:type="dxa"/>
            <w:tcBorders>
              <w:top w:val="nil"/>
              <w:left w:val="nil"/>
              <w:bottom w:val="nil"/>
              <w:right w:val="nil"/>
            </w:tcBorders>
            <w:tcMar>
              <w:top w:w="128" w:type="dxa"/>
              <w:left w:w="43" w:type="dxa"/>
              <w:bottom w:w="43" w:type="dxa"/>
              <w:right w:w="43" w:type="dxa"/>
            </w:tcMar>
          </w:tcPr>
          <w:p w14:paraId="4726A13B" w14:textId="77777777" w:rsidR="00972395" w:rsidRPr="00E73D4B" w:rsidRDefault="00F120C7" w:rsidP="00681E28">
            <w:proofErr w:type="spellStart"/>
            <w:r w:rsidRPr="00E73D4B">
              <w:t>Ettervernsreform</w:t>
            </w:r>
            <w:proofErr w:type="spellEnd"/>
            <w:r w:rsidRPr="00E73D4B">
              <w:t xml:space="preserve"> for rusavhengige</w:t>
            </w:r>
          </w:p>
        </w:tc>
        <w:tc>
          <w:tcPr>
            <w:tcW w:w="1587" w:type="dxa"/>
            <w:tcBorders>
              <w:top w:val="nil"/>
              <w:left w:val="nil"/>
              <w:bottom w:val="nil"/>
              <w:right w:val="nil"/>
            </w:tcBorders>
            <w:tcMar>
              <w:top w:w="128" w:type="dxa"/>
              <w:left w:w="43" w:type="dxa"/>
              <w:bottom w:w="43" w:type="dxa"/>
              <w:right w:w="43" w:type="dxa"/>
            </w:tcMar>
          </w:tcPr>
          <w:p w14:paraId="30042030" w14:textId="77777777" w:rsidR="00972395" w:rsidRPr="00E73D4B" w:rsidRDefault="00F120C7" w:rsidP="00681E28">
            <w:pPr>
              <w:jc w:val="right"/>
            </w:pPr>
            <w:r w:rsidRPr="00E73D4B">
              <w:t xml:space="preserve">Nei </w:t>
            </w:r>
          </w:p>
        </w:tc>
      </w:tr>
      <w:tr w:rsidR="00972395" w:rsidRPr="00E73D4B" w14:paraId="30F5500B"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07CACC65"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0A0FECDA" w14:textId="77777777" w:rsidR="00972395" w:rsidRPr="00E73D4B" w:rsidRDefault="00F120C7" w:rsidP="00681E28">
            <w:pPr>
              <w:jc w:val="right"/>
            </w:pPr>
            <w:r w:rsidRPr="00E73D4B">
              <w:t>1123</w:t>
            </w:r>
          </w:p>
        </w:tc>
        <w:tc>
          <w:tcPr>
            <w:tcW w:w="4819" w:type="dxa"/>
            <w:tcBorders>
              <w:top w:val="nil"/>
              <w:left w:val="nil"/>
              <w:bottom w:val="nil"/>
              <w:right w:val="nil"/>
            </w:tcBorders>
            <w:tcMar>
              <w:top w:w="128" w:type="dxa"/>
              <w:left w:w="43" w:type="dxa"/>
              <w:bottom w:w="43" w:type="dxa"/>
              <w:right w:w="43" w:type="dxa"/>
            </w:tcMar>
          </w:tcPr>
          <w:p w14:paraId="1FFE167A" w14:textId="77777777" w:rsidR="00972395" w:rsidRPr="00E73D4B" w:rsidRDefault="00F120C7" w:rsidP="00681E28">
            <w:r w:rsidRPr="00E73D4B">
              <w:t xml:space="preserve">Bruk av </w:t>
            </w:r>
            <w:proofErr w:type="spellStart"/>
            <w:r w:rsidRPr="00E73D4B">
              <w:t>Nalokson</w:t>
            </w:r>
            <w:proofErr w:type="spellEnd"/>
          </w:p>
        </w:tc>
        <w:tc>
          <w:tcPr>
            <w:tcW w:w="1587" w:type="dxa"/>
            <w:tcBorders>
              <w:top w:val="nil"/>
              <w:left w:val="nil"/>
              <w:bottom w:val="nil"/>
              <w:right w:val="nil"/>
            </w:tcBorders>
            <w:tcMar>
              <w:top w:w="128" w:type="dxa"/>
              <w:left w:w="43" w:type="dxa"/>
              <w:bottom w:w="43" w:type="dxa"/>
              <w:right w:w="43" w:type="dxa"/>
            </w:tcMar>
          </w:tcPr>
          <w:p w14:paraId="71B11165" w14:textId="77777777" w:rsidR="00972395" w:rsidRPr="00E73D4B" w:rsidRDefault="00F120C7" w:rsidP="00681E28">
            <w:pPr>
              <w:jc w:val="right"/>
            </w:pPr>
            <w:r w:rsidRPr="00E73D4B">
              <w:t>Ja</w:t>
            </w:r>
          </w:p>
        </w:tc>
      </w:tr>
      <w:tr w:rsidR="00972395" w:rsidRPr="00E73D4B" w14:paraId="61367557"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4E0C95AE"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53D70C53" w14:textId="77777777" w:rsidR="00972395" w:rsidRPr="00E73D4B" w:rsidRDefault="00F120C7" w:rsidP="00681E28">
            <w:pPr>
              <w:jc w:val="right"/>
            </w:pPr>
            <w:r w:rsidRPr="00E73D4B">
              <w:t>1164</w:t>
            </w:r>
          </w:p>
        </w:tc>
        <w:tc>
          <w:tcPr>
            <w:tcW w:w="4819" w:type="dxa"/>
            <w:tcBorders>
              <w:top w:val="nil"/>
              <w:left w:val="nil"/>
              <w:bottom w:val="nil"/>
              <w:right w:val="nil"/>
            </w:tcBorders>
            <w:tcMar>
              <w:top w:w="128" w:type="dxa"/>
              <w:left w:w="43" w:type="dxa"/>
              <w:bottom w:w="43" w:type="dxa"/>
              <w:right w:w="43" w:type="dxa"/>
            </w:tcMar>
          </w:tcPr>
          <w:p w14:paraId="7C00BD5E" w14:textId="77777777" w:rsidR="00972395" w:rsidRPr="00E73D4B" w:rsidRDefault="00F120C7" w:rsidP="00681E28">
            <w:r w:rsidRPr="00E73D4B">
              <w:t>Evaluering av de regionale odontologiske kompetansesentrene</w:t>
            </w:r>
          </w:p>
        </w:tc>
        <w:tc>
          <w:tcPr>
            <w:tcW w:w="1587" w:type="dxa"/>
            <w:tcBorders>
              <w:top w:val="nil"/>
              <w:left w:val="nil"/>
              <w:bottom w:val="nil"/>
              <w:right w:val="nil"/>
            </w:tcBorders>
            <w:tcMar>
              <w:top w:w="128" w:type="dxa"/>
              <w:left w:w="43" w:type="dxa"/>
              <w:bottom w:w="43" w:type="dxa"/>
              <w:right w:w="43" w:type="dxa"/>
            </w:tcMar>
          </w:tcPr>
          <w:p w14:paraId="436DAA99" w14:textId="77777777" w:rsidR="00972395" w:rsidRPr="00E73D4B" w:rsidRDefault="00F120C7" w:rsidP="00681E28">
            <w:pPr>
              <w:jc w:val="right"/>
            </w:pPr>
            <w:r w:rsidRPr="00E73D4B">
              <w:t>Nei</w:t>
            </w:r>
          </w:p>
        </w:tc>
      </w:tr>
      <w:tr w:rsidR="00972395" w:rsidRPr="00E73D4B" w14:paraId="73D7AF3F"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01406892"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1EF853FA" w14:textId="77777777" w:rsidR="00972395" w:rsidRPr="00E73D4B" w:rsidRDefault="00F120C7" w:rsidP="00681E28">
            <w:pPr>
              <w:jc w:val="right"/>
            </w:pPr>
            <w:r w:rsidRPr="00E73D4B">
              <w:t>1170</w:t>
            </w:r>
          </w:p>
        </w:tc>
        <w:tc>
          <w:tcPr>
            <w:tcW w:w="4819" w:type="dxa"/>
            <w:tcBorders>
              <w:top w:val="nil"/>
              <w:left w:val="nil"/>
              <w:bottom w:val="nil"/>
              <w:right w:val="nil"/>
            </w:tcBorders>
            <w:tcMar>
              <w:top w:w="128" w:type="dxa"/>
              <w:left w:w="43" w:type="dxa"/>
              <w:bottom w:w="43" w:type="dxa"/>
              <w:right w:w="43" w:type="dxa"/>
            </w:tcMar>
          </w:tcPr>
          <w:p w14:paraId="37BA545F" w14:textId="77777777" w:rsidR="00972395" w:rsidRPr="00E73D4B" w:rsidRDefault="00F120C7" w:rsidP="00681E28">
            <w:r w:rsidRPr="00E73D4B">
              <w:t>WHO – tilgang til effektive antibiotika</w:t>
            </w:r>
          </w:p>
        </w:tc>
        <w:tc>
          <w:tcPr>
            <w:tcW w:w="1587" w:type="dxa"/>
            <w:tcBorders>
              <w:top w:val="nil"/>
              <w:left w:val="nil"/>
              <w:bottom w:val="nil"/>
              <w:right w:val="nil"/>
            </w:tcBorders>
            <w:tcMar>
              <w:top w:w="128" w:type="dxa"/>
              <w:left w:w="43" w:type="dxa"/>
              <w:bottom w:w="43" w:type="dxa"/>
              <w:right w:w="43" w:type="dxa"/>
            </w:tcMar>
          </w:tcPr>
          <w:p w14:paraId="0243887C" w14:textId="77777777" w:rsidR="00972395" w:rsidRPr="00E73D4B" w:rsidRDefault="00F120C7" w:rsidP="00681E28">
            <w:pPr>
              <w:jc w:val="right"/>
            </w:pPr>
            <w:r w:rsidRPr="00E73D4B">
              <w:t>Nei</w:t>
            </w:r>
          </w:p>
        </w:tc>
      </w:tr>
      <w:tr w:rsidR="00972395" w:rsidRPr="00E73D4B" w14:paraId="287A85E7"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346AF88E" w14:textId="77777777" w:rsidR="00972395" w:rsidRPr="00E73D4B" w:rsidRDefault="00F120C7" w:rsidP="00681E28">
            <w:r w:rsidRPr="00E73D4B">
              <w:t>2020–2021</w:t>
            </w:r>
          </w:p>
        </w:tc>
        <w:tc>
          <w:tcPr>
            <w:tcW w:w="1276" w:type="dxa"/>
            <w:tcBorders>
              <w:top w:val="nil"/>
              <w:left w:val="nil"/>
              <w:bottom w:val="nil"/>
              <w:right w:val="nil"/>
            </w:tcBorders>
            <w:tcMar>
              <w:top w:w="128" w:type="dxa"/>
              <w:left w:w="43" w:type="dxa"/>
              <w:bottom w:w="43" w:type="dxa"/>
              <w:right w:w="43" w:type="dxa"/>
            </w:tcMar>
          </w:tcPr>
          <w:p w14:paraId="06CE22F3" w14:textId="77777777" w:rsidR="00972395" w:rsidRPr="00E73D4B" w:rsidRDefault="00F120C7" w:rsidP="00681E28">
            <w:pPr>
              <w:jc w:val="right"/>
            </w:pPr>
            <w:r w:rsidRPr="00E73D4B">
              <w:t>1281</w:t>
            </w:r>
          </w:p>
        </w:tc>
        <w:tc>
          <w:tcPr>
            <w:tcW w:w="4819" w:type="dxa"/>
            <w:tcBorders>
              <w:top w:val="nil"/>
              <w:left w:val="nil"/>
              <w:bottom w:val="nil"/>
              <w:right w:val="nil"/>
            </w:tcBorders>
            <w:tcMar>
              <w:top w:w="128" w:type="dxa"/>
              <w:left w:w="43" w:type="dxa"/>
              <w:bottom w:w="43" w:type="dxa"/>
              <w:right w:w="43" w:type="dxa"/>
            </w:tcMar>
          </w:tcPr>
          <w:p w14:paraId="2D1F8312" w14:textId="77777777" w:rsidR="00972395" w:rsidRPr="00E73D4B" w:rsidRDefault="00F120C7" w:rsidP="00681E28">
            <w:r w:rsidRPr="00E73D4B">
              <w:t>Styrket opplæring av eldrerådene</w:t>
            </w:r>
            <w:r w:rsidRPr="00E73D4B">
              <w:rPr>
                <w:rStyle w:val="kursiv"/>
              </w:rPr>
              <w:t xml:space="preserve"> </w:t>
            </w:r>
          </w:p>
        </w:tc>
        <w:tc>
          <w:tcPr>
            <w:tcW w:w="1587" w:type="dxa"/>
            <w:tcBorders>
              <w:top w:val="nil"/>
              <w:left w:val="nil"/>
              <w:bottom w:val="nil"/>
              <w:right w:val="nil"/>
            </w:tcBorders>
            <w:tcMar>
              <w:top w:w="128" w:type="dxa"/>
              <w:left w:w="43" w:type="dxa"/>
              <w:bottom w:w="43" w:type="dxa"/>
              <w:right w:w="43" w:type="dxa"/>
            </w:tcMar>
          </w:tcPr>
          <w:p w14:paraId="2CF40542" w14:textId="77777777" w:rsidR="00972395" w:rsidRPr="00E73D4B" w:rsidRDefault="00F120C7" w:rsidP="00681E28">
            <w:pPr>
              <w:jc w:val="right"/>
            </w:pPr>
            <w:r w:rsidRPr="00E73D4B">
              <w:t>Ja</w:t>
            </w:r>
          </w:p>
        </w:tc>
      </w:tr>
      <w:tr w:rsidR="00972395" w:rsidRPr="00E73D4B" w14:paraId="2FC84248"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F6FA8FC"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79B2C2FB" w14:textId="77777777" w:rsidR="00972395" w:rsidRPr="00E73D4B" w:rsidRDefault="00F120C7" w:rsidP="00681E28">
            <w:pPr>
              <w:jc w:val="right"/>
            </w:pPr>
            <w:r w:rsidRPr="00E73D4B">
              <w:t>347</w:t>
            </w:r>
          </w:p>
        </w:tc>
        <w:tc>
          <w:tcPr>
            <w:tcW w:w="4819" w:type="dxa"/>
            <w:tcBorders>
              <w:top w:val="nil"/>
              <w:left w:val="nil"/>
              <w:bottom w:val="nil"/>
              <w:right w:val="nil"/>
            </w:tcBorders>
            <w:tcMar>
              <w:top w:w="128" w:type="dxa"/>
              <w:left w:w="43" w:type="dxa"/>
              <w:bottom w:w="43" w:type="dxa"/>
              <w:right w:w="43" w:type="dxa"/>
            </w:tcMar>
          </w:tcPr>
          <w:p w14:paraId="59EF05B4" w14:textId="77777777" w:rsidR="00972395" w:rsidRPr="00E73D4B" w:rsidRDefault="00F120C7" w:rsidP="00681E28">
            <w:r w:rsidRPr="00E73D4B">
              <w:t>Prøveprosjekt der helsesykepleiere henviser til BUP</w:t>
            </w:r>
          </w:p>
        </w:tc>
        <w:tc>
          <w:tcPr>
            <w:tcW w:w="1587" w:type="dxa"/>
            <w:tcBorders>
              <w:top w:val="nil"/>
              <w:left w:val="nil"/>
              <w:bottom w:val="nil"/>
              <w:right w:val="nil"/>
            </w:tcBorders>
            <w:tcMar>
              <w:top w:w="128" w:type="dxa"/>
              <w:left w:w="43" w:type="dxa"/>
              <w:bottom w:w="43" w:type="dxa"/>
              <w:right w:w="43" w:type="dxa"/>
            </w:tcMar>
          </w:tcPr>
          <w:p w14:paraId="41BAA13C" w14:textId="77777777" w:rsidR="00972395" w:rsidRPr="00E73D4B" w:rsidRDefault="00F120C7" w:rsidP="00681E28">
            <w:pPr>
              <w:jc w:val="right"/>
            </w:pPr>
            <w:r w:rsidRPr="00E73D4B">
              <w:t>Nei</w:t>
            </w:r>
          </w:p>
        </w:tc>
      </w:tr>
      <w:tr w:rsidR="00972395" w:rsidRPr="00E73D4B" w14:paraId="57E5FBD4"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30A38293"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0BD500A5" w14:textId="77777777" w:rsidR="00972395" w:rsidRPr="00E73D4B" w:rsidRDefault="00F120C7" w:rsidP="00681E28">
            <w:pPr>
              <w:jc w:val="right"/>
            </w:pPr>
            <w:r w:rsidRPr="00E73D4B">
              <w:t>573</w:t>
            </w:r>
          </w:p>
        </w:tc>
        <w:tc>
          <w:tcPr>
            <w:tcW w:w="4819" w:type="dxa"/>
            <w:tcBorders>
              <w:top w:val="nil"/>
              <w:left w:val="nil"/>
              <w:bottom w:val="nil"/>
              <w:right w:val="nil"/>
            </w:tcBorders>
            <w:tcMar>
              <w:top w:w="128" w:type="dxa"/>
              <w:left w:w="43" w:type="dxa"/>
              <w:bottom w:w="43" w:type="dxa"/>
              <w:right w:w="43" w:type="dxa"/>
            </w:tcMar>
          </w:tcPr>
          <w:p w14:paraId="0586791C" w14:textId="77777777" w:rsidR="00972395" w:rsidRPr="00E73D4B" w:rsidRDefault="00F120C7" w:rsidP="00681E28">
            <w:r w:rsidRPr="00E73D4B">
              <w:t xml:space="preserve">Luftambulansetjenesten i Kirkenes og Tromsø </w:t>
            </w:r>
          </w:p>
        </w:tc>
        <w:tc>
          <w:tcPr>
            <w:tcW w:w="1587" w:type="dxa"/>
            <w:tcBorders>
              <w:top w:val="nil"/>
              <w:left w:val="nil"/>
              <w:bottom w:val="nil"/>
              <w:right w:val="nil"/>
            </w:tcBorders>
            <w:tcMar>
              <w:top w:w="128" w:type="dxa"/>
              <w:left w:w="43" w:type="dxa"/>
              <w:bottom w:w="43" w:type="dxa"/>
              <w:right w:w="43" w:type="dxa"/>
            </w:tcMar>
          </w:tcPr>
          <w:p w14:paraId="12E0DF5F" w14:textId="77777777" w:rsidR="00972395" w:rsidRPr="00E73D4B" w:rsidRDefault="00F120C7" w:rsidP="00681E28">
            <w:pPr>
              <w:jc w:val="right"/>
            </w:pPr>
            <w:r w:rsidRPr="00E73D4B">
              <w:t>Ja</w:t>
            </w:r>
          </w:p>
        </w:tc>
      </w:tr>
      <w:tr w:rsidR="00972395" w:rsidRPr="00E73D4B" w14:paraId="5FC88C30"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2CFAD653"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2DFCED9E" w14:textId="77777777" w:rsidR="00972395" w:rsidRPr="00E73D4B" w:rsidRDefault="00F120C7" w:rsidP="00681E28">
            <w:pPr>
              <w:jc w:val="right"/>
            </w:pPr>
            <w:r w:rsidRPr="00E73D4B">
              <w:t>575</w:t>
            </w:r>
          </w:p>
        </w:tc>
        <w:tc>
          <w:tcPr>
            <w:tcW w:w="4819" w:type="dxa"/>
            <w:tcBorders>
              <w:top w:val="nil"/>
              <w:left w:val="nil"/>
              <w:bottom w:val="nil"/>
              <w:right w:val="nil"/>
            </w:tcBorders>
            <w:tcMar>
              <w:top w:w="128" w:type="dxa"/>
              <w:left w:w="43" w:type="dxa"/>
              <w:bottom w:w="43" w:type="dxa"/>
              <w:right w:w="43" w:type="dxa"/>
            </w:tcMar>
          </w:tcPr>
          <w:p w14:paraId="5B349A77" w14:textId="77777777" w:rsidR="00972395" w:rsidRPr="00E73D4B" w:rsidRDefault="00F120C7" w:rsidP="00681E28">
            <w:r w:rsidRPr="00E73D4B">
              <w:t xml:space="preserve">Beredskapsmodell for norsk produksjon av legemidler </w:t>
            </w:r>
          </w:p>
        </w:tc>
        <w:tc>
          <w:tcPr>
            <w:tcW w:w="1587" w:type="dxa"/>
            <w:tcBorders>
              <w:top w:val="nil"/>
              <w:left w:val="nil"/>
              <w:bottom w:val="nil"/>
              <w:right w:val="nil"/>
            </w:tcBorders>
            <w:tcMar>
              <w:top w:w="128" w:type="dxa"/>
              <w:left w:w="43" w:type="dxa"/>
              <w:bottom w:w="43" w:type="dxa"/>
              <w:right w:w="43" w:type="dxa"/>
            </w:tcMar>
          </w:tcPr>
          <w:p w14:paraId="0C16BFCB" w14:textId="77777777" w:rsidR="00972395" w:rsidRPr="00E73D4B" w:rsidRDefault="00F120C7" w:rsidP="00681E28">
            <w:pPr>
              <w:jc w:val="right"/>
            </w:pPr>
            <w:r w:rsidRPr="00E73D4B">
              <w:t>Ja</w:t>
            </w:r>
          </w:p>
        </w:tc>
      </w:tr>
      <w:tr w:rsidR="00972395" w:rsidRPr="00E73D4B" w14:paraId="627D2254"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2BB6E52E"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2282E417" w14:textId="77777777" w:rsidR="00972395" w:rsidRPr="00E73D4B" w:rsidRDefault="00F120C7" w:rsidP="00681E28">
            <w:pPr>
              <w:jc w:val="right"/>
            </w:pPr>
            <w:r w:rsidRPr="00E73D4B">
              <w:t>577</w:t>
            </w:r>
          </w:p>
        </w:tc>
        <w:tc>
          <w:tcPr>
            <w:tcW w:w="4819" w:type="dxa"/>
            <w:tcBorders>
              <w:top w:val="nil"/>
              <w:left w:val="nil"/>
              <w:bottom w:val="nil"/>
              <w:right w:val="nil"/>
            </w:tcBorders>
            <w:tcMar>
              <w:top w:w="128" w:type="dxa"/>
              <w:left w:w="43" w:type="dxa"/>
              <w:bottom w:w="43" w:type="dxa"/>
              <w:right w:w="43" w:type="dxa"/>
            </w:tcMar>
          </w:tcPr>
          <w:p w14:paraId="1274F9AF" w14:textId="77777777" w:rsidR="00972395" w:rsidRPr="00E73D4B" w:rsidRDefault="00F120C7" w:rsidP="00681E28">
            <w:r w:rsidRPr="00E73D4B">
              <w:t>Sykehuset i Kirkenes – intensivvirksomhet nivå 2</w:t>
            </w:r>
          </w:p>
        </w:tc>
        <w:tc>
          <w:tcPr>
            <w:tcW w:w="1587" w:type="dxa"/>
            <w:tcBorders>
              <w:top w:val="nil"/>
              <w:left w:val="nil"/>
              <w:bottom w:val="nil"/>
              <w:right w:val="nil"/>
            </w:tcBorders>
            <w:tcMar>
              <w:top w:w="128" w:type="dxa"/>
              <w:left w:w="43" w:type="dxa"/>
              <w:bottom w:w="43" w:type="dxa"/>
              <w:right w:w="43" w:type="dxa"/>
            </w:tcMar>
          </w:tcPr>
          <w:p w14:paraId="2C9B7250" w14:textId="77777777" w:rsidR="00972395" w:rsidRPr="00E73D4B" w:rsidRDefault="00F120C7" w:rsidP="00681E28">
            <w:pPr>
              <w:jc w:val="right"/>
            </w:pPr>
            <w:r w:rsidRPr="00E73D4B">
              <w:t>Ja</w:t>
            </w:r>
          </w:p>
        </w:tc>
      </w:tr>
      <w:tr w:rsidR="00972395" w:rsidRPr="00E73D4B" w14:paraId="564876EC"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759AE45A"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523749DB" w14:textId="77777777" w:rsidR="00972395" w:rsidRPr="00E73D4B" w:rsidRDefault="00F120C7" w:rsidP="00681E28">
            <w:pPr>
              <w:jc w:val="right"/>
            </w:pPr>
            <w:r w:rsidRPr="00E73D4B">
              <w:t>581</w:t>
            </w:r>
          </w:p>
        </w:tc>
        <w:tc>
          <w:tcPr>
            <w:tcW w:w="4819" w:type="dxa"/>
            <w:tcBorders>
              <w:top w:val="nil"/>
              <w:left w:val="nil"/>
              <w:bottom w:val="nil"/>
              <w:right w:val="nil"/>
            </w:tcBorders>
            <w:tcMar>
              <w:top w:w="128" w:type="dxa"/>
              <w:left w:w="43" w:type="dxa"/>
              <w:bottom w:w="43" w:type="dxa"/>
              <w:right w:w="43" w:type="dxa"/>
            </w:tcMar>
          </w:tcPr>
          <w:p w14:paraId="2E192576" w14:textId="77777777" w:rsidR="00972395" w:rsidRPr="00E73D4B" w:rsidRDefault="00F120C7" w:rsidP="00681E28">
            <w:r w:rsidRPr="00E73D4B">
              <w:t>Gjennomgang av helselovgivningen jf. FNs barnekonvensjon</w:t>
            </w:r>
          </w:p>
        </w:tc>
        <w:tc>
          <w:tcPr>
            <w:tcW w:w="1587" w:type="dxa"/>
            <w:tcBorders>
              <w:top w:val="nil"/>
              <w:left w:val="nil"/>
              <w:bottom w:val="nil"/>
              <w:right w:val="nil"/>
            </w:tcBorders>
            <w:tcMar>
              <w:top w:w="128" w:type="dxa"/>
              <w:left w:w="43" w:type="dxa"/>
              <w:bottom w:w="43" w:type="dxa"/>
              <w:right w:w="43" w:type="dxa"/>
            </w:tcMar>
          </w:tcPr>
          <w:p w14:paraId="15BEDD9C" w14:textId="77777777" w:rsidR="00972395" w:rsidRPr="00E73D4B" w:rsidRDefault="00F120C7" w:rsidP="00681E28">
            <w:pPr>
              <w:jc w:val="right"/>
            </w:pPr>
            <w:r w:rsidRPr="00E73D4B">
              <w:t>Ja</w:t>
            </w:r>
          </w:p>
        </w:tc>
      </w:tr>
      <w:tr w:rsidR="00972395" w:rsidRPr="00E73D4B" w14:paraId="22000101"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35071FFD"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6D630818" w14:textId="77777777" w:rsidR="00972395" w:rsidRPr="00E73D4B" w:rsidRDefault="00F120C7" w:rsidP="00681E28">
            <w:pPr>
              <w:jc w:val="right"/>
            </w:pPr>
            <w:r w:rsidRPr="00E73D4B">
              <w:t>611</w:t>
            </w:r>
          </w:p>
        </w:tc>
        <w:tc>
          <w:tcPr>
            <w:tcW w:w="4819" w:type="dxa"/>
            <w:tcBorders>
              <w:top w:val="nil"/>
              <w:left w:val="nil"/>
              <w:bottom w:val="nil"/>
              <w:right w:val="nil"/>
            </w:tcBorders>
            <w:tcMar>
              <w:top w:w="128" w:type="dxa"/>
              <w:left w:w="43" w:type="dxa"/>
              <w:bottom w:w="43" w:type="dxa"/>
              <w:right w:w="43" w:type="dxa"/>
            </w:tcMar>
          </w:tcPr>
          <w:p w14:paraId="0B3A8319" w14:textId="77777777" w:rsidR="00972395" w:rsidRPr="00E73D4B" w:rsidRDefault="00F120C7" w:rsidP="00681E28">
            <w:r w:rsidRPr="00E73D4B">
              <w:t xml:space="preserve">Utredning av markedet for genetisk selvtesting </w:t>
            </w:r>
          </w:p>
        </w:tc>
        <w:tc>
          <w:tcPr>
            <w:tcW w:w="1587" w:type="dxa"/>
            <w:tcBorders>
              <w:top w:val="nil"/>
              <w:left w:val="nil"/>
              <w:bottom w:val="nil"/>
              <w:right w:val="nil"/>
            </w:tcBorders>
            <w:tcMar>
              <w:top w:w="128" w:type="dxa"/>
              <w:left w:w="43" w:type="dxa"/>
              <w:bottom w:w="43" w:type="dxa"/>
              <w:right w:w="43" w:type="dxa"/>
            </w:tcMar>
          </w:tcPr>
          <w:p w14:paraId="5EC40BA7" w14:textId="77777777" w:rsidR="00972395" w:rsidRPr="00E73D4B" w:rsidRDefault="00F120C7" w:rsidP="00681E28">
            <w:pPr>
              <w:jc w:val="right"/>
            </w:pPr>
            <w:r w:rsidRPr="00E73D4B">
              <w:t>Nei</w:t>
            </w:r>
          </w:p>
        </w:tc>
      </w:tr>
      <w:tr w:rsidR="00972395" w:rsidRPr="00E73D4B" w14:paraId="164C2BB0"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5333616"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48AEE912" w14:textId="77777777" w:rsidR="00972395" w:rsidRPr="00E73D4B" w:rsidRDefault="00F120C7" w:rsidP="00681E28">
            <w:pPr>
              <w:jc w:val="right"/>
            </w:pPr>
            <w:r w:rsidRPr="00E73D4B">
              <w:t>612</w:t>
            </w:r>
          </w:p>
        </w:tc>
        <w:tc>
          <w:tcPr>
            <w:tcW w:w="4819" w:type="dxa"/>
            <w:tcBorders>
              <w:top w:val="nil"/>
              <w:left w:val="nil"/>
              <w:bottom w:val="nil"/>
              <w:right w:val="nil"/>
            </w:tcBorders>
            <w:tcMar>
              <w:top w:w="128" w:type="dxa"/>
              <w:left w:w="43" w:type="dxa"/>
              <w:bottom w:w="43" w:type="dxa"/>
              <w:right w:w="43" w:type="dxa"/>
            </w:tcMar>
          </w:tcPr>
          <w:p w14:paraId="793033C6" w14:textId="77777777" w:rsidR="00972395" w:rsidRPr="00E73D4B" w:rsidRDefault="00F120C7" w:rsidP="00681E28">
            <w:r w:rsidRPr="00E73D4B">
              <w:t>Forbud genetisk testing av barn</w:t>
            </w:r>
          </w:p>
        </w:tc>
        <w:tc>
          <w:tcPr>
            <w:tcW w:w="1587" w:type="dxa"/>
            <w:tcBorders>
              <w:top w:val="nil"/>
              <w:left w:val="nil"/>
              <w:bottom w:val="nil"/>
              <w:right w:val="nil"/>
            </w:tcBorders>
            <w:tcMar>
              <w:top w:w="128" w:type="dxa"/>
              <w:left w:w="43" w:type="dxa"/>
              <w:bottom w:w="43" w:type="dxa"/>
              <w:right w:w="43" w:type="dxa"/>
            </w:tcMar>
          </w:tcPr>
          <w:p w14:paraId="493F23C5" w14:textId="77777777" w:rsidR="00972395" w:rsidRPr="00E73D4B" w:rsidRDefault="00F120C7" w:rsidP="00681E28">
            <w:pPr>
              <w:jc w:val="right"/>
            </w:pPr>
            <w:r w:rsidRPr="00E73D4B">
              <w:t>Nei</w:t>
            </w:r>
          </w:p>
        </w:tc>
      </w:tr>
      <w:tr w:rsidR="00972395" w:rsidRPr="00E73D4B" w14:paraId="59D5C503"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0334C0BB"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19D2657B" w14:textId="77777777" w:rsidR="00972395" w:rsidRPr="00E73D4B" w:rsidRDefault="00F120C7" w:rsidP="00681E28">
            <w:pPr>
              <w:jc w:val="right"/>
            </w:pPr>
            <w:r w:rsidRPr="00E73D4B">
              <w:t>616</w:t>
            </w:r>
          </w:p>
        </w:tc>
        <w:tc>
          <w:tcPr>
            <w:tcW w:w="4819" w:type="dxa"/>
            <w:tcBorders>
              <w:top w:val="nil"/>
              <w:left w:val="nil"/>
              <w:bottom w:val="nil"/>
              <w:right w:val="nil"/>
            </w:tcBorders>
            <w:tcMar>
              <w:top w:w="128" w:type="dxa"/>
              <w:left w:w="43" w:type="dxa"/>
              <w:bottom w:w="43" w:type="dxa"/>
              <w:right w:w="43" w:type="dxa"/>
            </w:tcMar>
          </w:tcPr>
          <w:p w14:paraId="378BE538" w14:textId="77777777" w:rsidR="00972395" w:rsidRPr="00E73D4B" w:rsidRDefault="00F120C7" w:rsidP="00681E28">
            <w:r w:rsidRPr="00E73D4B">
              <w:t xml:space="preserve">Preimplantasjonsdiagnostikk </w:t>
            </w:r>
          </w:p>
        </w:tc>
        <w:tc>
          <w:tcPr>
            <w:tcW w:w="1587" w:type="dxa"/>
            <w:tcBorders>
              <w:top w:val="nil"/>
              <w:left w:val="nil"/>
              <w:bottom w:val="nil"/>
              <w:right w:val="nil"/>
            </w:tcBorders>
            <w:tcMar>
              <w:top w:w="128" w:type="dxa"/>
              <w:left w:w="43" w:type="dxa"/>
              <w:bottom w:w="43" w:type="dxa"/>
              <w:right w:w="43" w:type="dxa"/>
            </w:tcMar>
          </w:tcPr>
          <w:p w14:paraId="0CE57568" w14:textId="77777777" w:rsidR="00972395" w:rsidRPr="00E73D4B" w:rsidRDefault="00F120C7" w:rsidP="00681E28">
            <w:pPr>
              <w:jc w:val="right"/>
            </w:pPr>
            <w:r w:rsidRPr="00E73D4B">
              <w:t>Nei</w:t>
            </w:r>
          </w:p>
        </w:tc>
      </w:tr>
      <w:tr w:rsidR="00972395" w:rsidRPr="00E73D4B" w14:paraId="65FCCA8C"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8F3E0B3"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3F002059" w14:textId="77777777" w:rsidR="00972395" w:rsidRPr="00E73D4B" w:rsidRDefault="00F120C7" w:rsidP="00681E28">
            <w:pPr>
              <w:jc w:val="right"/>
            </w:pPr>
            <w:r w:rsidRPr="00E73D4B">
              <w:t>617</w:t>
            </w:r>
          </w:p>
        </w:tc>
        <w:tc>
          <w:tcPr>
            <w:tcW w:w="4819" w:type="dxa"/>
            <w:tcBorders>
              <w:top w:val="nil"/>
              <w:left w:val="nil"/>
              <w:bottom w:val="nil"/>
              <w:right w:val="nil"/>
            </w:tcBorders>
            <w:tcMar>
              <w:top w:w="128" w:type="dxa"/>
              <w:left w:w="43" w:type="dxa"/>
              <w:bottom w:w="43" w:type="dxa"/>
              <w:right w:w="43" w:type="dxa"/>
            </w:tcMar>
          </w:tcPr>
          <w:p w14:paraId="02E5D0C6" w14:textId="77777777" w:rsidR="00972395" w:rsidRPr="00E73D4B" w:rsidRDefault="00F120C7" w:rsidP="00681E28">
            <w:r w:rsidRPr="00E73D4B">
              <w:t>Svangerskap – ultralyd med tilleggsundersøkelser</w:t>
            </w:r>
          </w:p>
        </w:tc>
        <w:tc>
          <w:tcPr>
            <w:tcW w:w="1587" w:type="dxa"/>
            <w:tcBorders>
              <w:top w:val="nil"/>
              <w:left w:val="nil"/>
              <w:bottom w:val="nil"/>
              <w:right w:val="nil"/>
            </w:tcBorders>
            <w:tcMar>
              <w:top w:w="128" w:type="dxa"/>
              <w:left w:w="43" w:type="dxa"/>
              <w:bottom w:w="43" w:type="dxa"/>
              <w:right w:w="43" w:type="dxa"/>
            </w:tcMar>
          </w:tcPr>
          <w:p w14:paraId="4586F89F" w14:textId="77777777" w:rsidR="00972395" w:rsidRPr="00E73D4B" w:rsidRDefault="00F120C7" w:rsidP="00681E28">
            <w:pPr>
              <w:jc w:val="right"/>
            </w:pPr>
            <w:r w:rsidRPr="00E73D4B">
              <w:t>Nei</w:t>
            </w:r>
          </w:p>
        </w:tc>
      </w:tr>
      <w:tr w:rsidR="00972395" w:rsidRPr="00E73D4B" w14:paraId="6F6782AE"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2DF34516" w14:textId="77777777" w:rsidR="00972395" w:rsidRPr="00E73D4B" w:rsidRDefault="00F120C7" w:rsidP="00681E28">
            <w:r w:rsidRPr="00E73D4B">
              <w:t>2019–2020</w:t>
            </w:r>
          </w:p>
        </w:tc>
        <w:tc>
          <w:tcPr>
            <w:tcW w:w="1276" w:type="dxa"/>
            <w:tcBorders>
              <w:top w:val="nil"/>
              <w:left w:val="nil"/>
              <w:bottom w:val="nil"/>
              <w:right w:val="nil"/>
            </w:tcBorders>
            <w:tcMar>
              <w:top w:w="128" w:type="dxa"/>
              <w:left w:w="43" w:type="dxa"/>
              <w:bottom w:w="43" w:type="dxa"/>
              <w:right w:w="43" w:type="dxa"/>
            </w:tcMar>
          </w:tcPr>
          <w:p w14:paraId="68AE29DE" w14:textId="77777777" w:rsidR="00972395" w:rsidRPr="00E73D4B" w:rsidRDefault="00F120C7" w:rsidP="00681E28">
            <w:pPr>
              <w:jc w:val="right"/>
            </w:pPr>
            <w:r w:rsidRPr="00E73D4B">
              <w:t>619</w:t>
            </w:r>
          </w:p>
        </w:tc>
        <w:tc>
          <w:tcPr>
            <w:tcW w:w="4819" w:type="dxa"/>
            <w:tcBorders>
              <w:top w:val="nil"/>
              <w:left w:val="nil"/>
              <w:bottom w:val="nil"/>
              <w:right w:val="nil"/>
            </w:tcBorders>
            <w:tcMar>
              <w:top w:w="128" w:type="dxa"/>
              <w:left w:w="43" w:type="dxa"/>
              <w:bottom w:w="43" w:type="dxa"/>
              <w:right w:w="43" w:type="dxa"/>
            </w:tcMar>
          </w:tcPr>
          <w:p w14:paraId="7C89116C" w14:textId="77777777" w:rsidR="00972395" w:rsidRPr="00E73D4B" w:rsidRDefault="00F120C7" w:rsidP="00681E28">
            <w:r w:rsidRPr="00E73D4B">
              <w:t>NIPT til alle kvinner som har krav på fosterdiagnostikk</w:t>
            </w:r>
          </w:p>
        </w:tc>
        <w:tc>
          <w:tcPr>
            <w:tcW w:w="1587" w:type="dxa"/>
            <w:tcBorders>
              <w:top w:val="nil"/>
              <w:left w:val="nil"/>
              <w:bottom w:val="nil"/>
              <w:right w:val="nil"/>
            </w:tcBorders>
            <w:tcMar>
              <w:top w:w="128" w:type="dxa"/>
              <w:left w:w="43" w:type="dxa"/>
              <w:bottom w:w="43" w:type="dxa"/>
              <w:right w:w="43" w:type="dxa"/>
            </w:tcMar>
          </w:tcPr>
          <w:p w14:paraId="316E4C07" w14:textId="77777777" w:rsidR="00972395" w:rsidRPr="00E73D4B" w:rsidRDefault="00F120C7" w:rsidP="00681E28">
            <w:pPr>
              <w:jc w:val="right"/>
            </w:pPr>
            <w:r w:rsidRPr="00E73D4B">
              <w:t>Ja</w:t>
            </w:r>
          </w:p>
        </w:tc>
      </w:tr>
      <w:tr w:rsidR="00972395" w:rsidRPr="00E73D4B" w14:paraId="1B03B7CE"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10D3AC1" w14:textId="77777777" w:rsidR="00972395" w:rsidRPr="00E73D4B" w:rsidRDefault="00F120C7" w:rsidP="00681E28">
            <w:r w:rsidRPr="00E73D4B">
              <w:t>2018–2019</w:t>
            </w:r>
          </w:p>
        </w:tc>
        <w:tc>
          <w:tcPr>
            <w:tcW w:w="1276" w:type="dxa"/>
            <w:tcBorders>
              <w:top w:val="nil"/>
              <w:left w:val="nil"/>
              <w:bottom w:val="nil"/>
              <w:right w:val="nil"/>
            </w:tcBorders>
            <w:tcMar>
              <w:top w:w="128" w:type="dxa"/>
              <w:left w:w="43" w:type="dxa"/>
              <w:bottom w:w="43" w:type="dxa"/>
              <w:right w:w="43" w:type="dxa"/>
            </w:tcMar>
          </w:tcPr>
          <w:p w14:paraId="2393ED89" w14:textId="77777777" w:rsidR="00972395" w:rsidRPr="00E73D4B" w:rsidRDefault="00F120C7" w:rsidP="00681E28">
            <w:pPr>
              <w:jc w:val="right"/>
            </w:pPr>
            <w:r w:rsidRPr="00E73D4B">
              <w:t>20</w:t>
            </w:r>
          </w:p>
        </w:tc>
        <w:tc>
          <w:tcPr>
            <w:tcW w:w="4819" w:type="dxa"/>
            <w:tcBorders>
              <w:top w:val="nil"/>
              <w:left w:val="nil"/>
              <w:bottom w:val="nil"/>
              <w:right w:val="nil"/>
            </w:tcBorders>
            <w:tcMar>
              <w:top w:w="128" w:type="dxa"/>
              <w:left w:w="43" w:type="dxa"/>
              <w:bottom w:w="43" w:type="dxa"/>
              <w:right w:w="43" w:type="dxa"/>
            </w:tcMar>
          </w:tcPr>
          <w:p w14:paraId="7D0C5823" w14:textId="77777777" w:rsidR="00972395" w:rsidRPr="00E73D4B" w:rsidRDefault="00F120C7" w:rsidP="00681E28">
            <w:r w:rsidRPr="00E73D4B">
              <w:t>Styrking av norsk tannhelse</w:t>
            </w:r>
          </w:p>
        </w:tc>
        <w:tc>
          <w:tcPr>
            <w:tcW w:w="1587" w:type="dxa"/>
            <w:tcBorders>
              <w:top w:val="nil"/>
              <w:left w:val="nil"/>
              <w:bottom w:val="nil"/>
              <w:right w:val="nil"/>
            </w:tcBorders>
            <w:tcMar>
              <w:top w:w="128" w:type="dxa"/>
              <w:left w:w="43" w:type="dxa"/>
              <w:bottom w:w="43" w:type="dxa"/>
              <w:right w:w="43" w:type="dxa"/>
            </w:tcMar>
          </w:tcPr>
          <w:p w14:paraId="5D9E3FD5" w14:textId="77777777" w:rsidR="00972395" w:rsidRPr="00E73D4B" w:rsidRDefault="00F120C7" w:rsidP="00681E28">
            <w:pPr>
              <w:jc w:val="right"/>
            </w:pPr>
            <w:r w:rsidRPr="00E73D4B">
              <w:t>Nei</w:t>
            </w:r>
          </w:p>
        </w:tc>
      </w:tr>
      <w:tr w:rsidR="00972395" w:rsidRPr="00E73D4B" w14:paraId="5EB77726"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8AF231D" w14:textId="77777777" w:rsidR="00972395" w:rsidRPr="00E73D4B" w:rsidRDefault="00F120C7" w:rsidP="00681E28">
            <w:r w:rsidRPr="00E73D4B">
              <w:t>2018–2019</w:t>
            </w:r>
          </w:p>
        </w:tc>
        <w:tc>
          <w:tcPr>
            <w:tcW w:w="1276" w:type="dxa"/>
            <w:tcBorders>
              <w:top w:val="nil"/>
              <w:left w:val="nil"/>
              <w:bottom w:val="nil"/>
              <w:right w:val="nil"/>
            </w:tcBorders>
            <w:tcMar>
              <w:top w:w="128" w:type="dxa"/>
              <w:left w:w="43" w:type="dxa"/>
              <w:bottom w:w="43" w:type="dxa"/>
              <w:right w:w="43" w:type="dxa"/>
            </w:tcMar>
          </w:tcPr>
          <w:p w14:paraId="71E30219" w14:textId="77777777" w:rsidR="00972395" w:rsidRPr="00E73D4B" w:rsidRDefault="00F120C7" w:rsidP="00681E28">
            <w:pPr>
              <w:jc w:val="right"/>
            </w:pPr>
            <w:r w:rsidRPr="00E73D4B">
              <w:t>25</w:t>
            </w:r>
          </w:p>
        </w:tc>
        <w:tc>
          <w:tcPr>
            <w:tcW w:w="4819" w:type="dxa"/>
            <w:tcBorders>
              <w:top w:val="nil"/>
              <w:left w:val="nil"/>
              <w:bottom w:val="nil"/>
              <w:right w:val="nil"/>
            </w:tcBorders>
            <w:tcMar>
              <w:top w:w="128" w:type="dxa"/>
              <w:left w:w="43" w:type="dxa"/>
              <w:bottom w:w="43" w:type="dxa"/>
              <w:right w:w="43" w:type="dxa"/>
            </w:tcMar>
          </w:tcPr>
          <w:p w14:paraId="2CD46EF2" w14:textId="77777777" w:rsidR="00972395" w:rsidRPr="00E73D4B" w:rsidRDefault="00F120C7" w:rsidP="00681E28">
            <w:r w:rsidRPr="00E73D4B">
              <w:t>Ensomhet inn i folkehelseloven § 7</w:t>
            </w:r>
          </w:p>
        </w:tc>
        <w:tc>
          <w:tcPr>
            <w:tcW w:w="1587" w:type="dxa"/>
            <w:tcBorders>
              <w:top w:val="nil"/>
              <w:left w:val="nil"/>
              <w:bottom w:val="nil"/>
              <w:right w:val="nil"/>
            </w:tcBorders>
            <w:tcMar>
              <w:top w:w="128" w:type="dxa"/>
              <w:left w:w="43" w:type="dxa"/>
              <w:bottom w:w="43" w:type="dxa"/>
              <w:right w:w="43" w:type="dxa"/>
            </w:tcMar>
          </w:tcPr>
          <w:p w14:paraId="6CB1091C" w14:textId="77777777" w:rsidR="00972395" w:rsidRPr="00E73D4B" w:rsidRDefault="00F120C7" w:rsidP="00681E28">
            <w:pPr>
              <w:jc w:val="right"/>
            </w:pPr>
            <w:r w:rsidRPr="00E73D4B">
              <w:t>Nei</w:t>
            </w:r>
          </w:p>
        </w:tc>
      </w:tr>
      <w:tr w:rsidR="00972395" w:rsidRPr="00E73D4B" w14:paraId="72ED3028"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3F62CFEF" w14:textId="77777777" w:rsidR="00972395" w:rsidRPr="00E73D4B" w:rsidRDefault="00F120C7" w:rsidP="00681E28">
            <w:r w:rsidRPr="00E73D4B">
              <w:t>2018–2019</w:t>
            </w:r>
          </w:p>
        </w:tc>
        <w:tc>
          <w:tcPr>
            <w:tcW w:w="1276" w:type="dxa"/>
            <w:tcBorders>
              <w:top w:val="nil"/>
              <w:left w:val="nil"/>
              <w:bottom w:val="nil"/>
              <w:right w:val="nil"/>
            </w:tcBorders>
            <w:tcMar>
              <w:top w:w="128" w:type="dxa"/>
              <w:left w:w="43" w:type="dxa"/>
              <w:bottom w:w="43" w:type="dxa"/>
              <w:right w:w="43" w:type="dxa"/>
            </w:tcMar>
          </w:tcPr>
          <w:p w14:paraId="4CCFE994" w14:textId="77777777" w:rsidR="00972395" w:rsidRPr="00E73D4B" w:rsidRDefault="00F120C7" w:rsidP="00681E28">
            <w:pPr>
              <w:jc w:val="right"/>
            </w:pPr>
            <w:r w:rsidRPr="00E73D4B">
              <w:t>39</w:t>
            </w:r>
          </w:p>
        </w:tc>
        <w:tc>
          <w:tcPr>
            <w:tcW w:w="4819" w:type="dxa"/>
            <w:tcBorders>
              <w:top w:val="nil"/>
              <w:left w:val="nil"/>
              <w:bottom w:val="nil"/>
              <w:right w:val="nil"/>
            </w:tcBorders>
            <w:tcMar>
              <w:top w:w="128" w:type="dxa"/>
              <w:left w:w="43" w:type="dxa"/>
              <w:bottom w:w="43" w:type="dxa"/>
              <w:right w:w="43" w:type="dxa"/>
            </w:tcMar>
          </w:tcPr>
          <w:p w14:paraId="5F409FDE" w14:textId="77777777" w:rsidR="00972395" w:rsidRPr="00E73D4B" w:rsidRDefault="00F120C7" w:rsidP="00681E28">
            <w:r w:rsidRPr="00E73D4B">
              <w:t>Forslag om merking av alkoholholdig drikk</w:t>
            </w:r>
          </w:p>
        </w:tc>
        <w:tc>
          <w:tcPr>
            <w:tcW w:w="1587" w:type="dxa"/>
            <w:tcBorders>
              <w:top w:val="nil"/>
              <w:left w:val="nil"/>
              <w:bottom w:val="nil"/>
              <w:right w:val="nil"/>
            </w:tcBorders>
            <w:tcMar>
              <w:top w:w="128" w:type="dxa"/>
              <w:left w:w="43" w:type="dxa"/>
              <w:bottom w:w="43" w:type="dxa"/>
              <w:right w:w="43" w:type="dxa"/>
            </w:tcMar>
          </w:tcPr>
          <w:p w14:paraId="4D41DDF7" w14:textId="77777777" w:rsidR="00972395" w:rsidRPr="00E73D4B" w:rsidRDefault="00F120C7" w:rsidP="00681E28">
            <w:pPr>
              <w:jc w:val="right"/>
            </w:pPr>
            <w:r w:rsidRPr="00E73D4B">
              <w:t>Nei</w:t>
            </w:r>
          </w:p>
        </w:tc>
      </w:tr>
      <w:tr w:rsidR="00972395" w:rsidRPr="00E73D4B" w14:paraId="6E37B656"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105D7029" w14:textId="77777777" w:rsidR="00972395" w:rsidRPr="00E73D4B" w:rsidRDefault="00F120C7" w:rsidP="00681E28">
            <w:r w:rsidRPr="00E73D4B">
              <w:t>2018–2019</w:t>
            </w:r>
          </w:p>
        </w:tc>
        <w:tc>
          <w:tcPr>
            <w:tcW w:w="1276" w:type="dxa"/>
            <w:tcBorders>
              <w:top w:val="nil"/>
              <w:left w:val="nil"/>
              <w:bottom w:val="nil"/>
              <w:right w:val="nil"/>
            </w:tcBorders>
            <w:tcMar>
              <w:top w:w="128" w:type="dxa"/>
              <w:left w:w="43" w:type="dxa"/>
              <w:bottom w:w="43" w:type="dxa"/>
              <w:right w:w="43" w:type="dxa"/>
            </w:tcMar>
          </w:tcPr>
          <w:p w14:paraId="6BA491A9" w14:textId="77777777" w:rsidR="00972395" w:rsidRPr="00E73D4B" w:rsidRDefault="00F120C7" w:rsidP="00681E28">
            <w:pPr>
              <w:jc w:val="right"/>
            </w:pPr>
            <w:r w:rsidRPr="00E73D4B">
              <w:t>44</w:t>
            </w:r>
          </w:p>
        </w:tc>
        <w:tc>
          <w:tcPr>
            <w:tcW w:w="4819" w:type="dxa"/>
            <w:tcBorders>
              <w:top w:val="nil"/>
              <w:left w:val="nil"/>
              <w:bottom w:val="nil"/>
              <w:right w:val="nil"/>
            </w:tcBorders>
            <w:tcMar>
              <w:top w:w="128" w:type="dxa"/>
              <w:left w:w="43" w:type="dxa"/>
              <w:bottom w:w="43" w:type="dxa"/>
              <w:right w:w="43" w:type="dxa"/>
            </w:tcMar>
          </w:tcPr>
          <w:p w14:paraId="2374E626" w14:textId="77777777" w:rsidR="00972395" w:rsidRPr="00E73D4B" w:rsidRDefault="00F120C7" w:rsidP="00681E28">
            <w:r w:rsidRPr="00E73D4B">
              <w:t>Innføring av merking av alkoholholdig drikk</w:t>
            </w:r>
          </w:p>
        </w:tc>
        <w:tc>
          <w:tcPr>
            <w:tcW w:w="1587" w:type="dxa"/>
            <w:tcBorders>
              <w:top w:val="nil"/>
              <w:left w:val="nil"/>
              <w:bottom w:val="nil"/>
              <w:right w:val="nil"/>
            </w:tcBorders>
            <w:tcMar>
              <w:top w:w="128" w:type="dxa"/>
              <w:left w:w="43" w:type="dxa"/>
              <w:bottom w:w="43" w:type="dxa"/>
              <w:right w:w="43" w:type="dxa"/>
            </w:tcMar>
          </w:tcPr>
          <w:p w14:paraId="56AE0D0E" w14:textId="77777777" w:rsidR="00972395" w:rsidRPr="00E73D4B" w:rsidRDefault="00F120C7" w:rsidP="00681E28">
            <w:pPr>
              <w:jc w:val="right"/>
            </w:pPr>
            <w:r w:rsidRPr="00E73D4B">
              <w:t>Nei</w:t>
            </w:r>
          </w:p>
        </w:tc>
      </w:tr>
      <w:tr w:rsidR="00972395" w:rsidRPr="00E73D4B" w14:paraId="2410CF9D"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6A5B02CA" w14:textId="77777777" w:rsidR="00972395" w:rsidRPr="00E73D4B" w:rsidRDefault="00F120C7" w:rsidP="00681E28">
            <w:r w:rsidRPr="00E73D4B">
              <w:t>2018–2019</w:t>
            </w:r>
          </w:p>
        </w:tc>
        <w:tc>
          <w:tcPr>
            <w:tcW w:w="1276" w:type="dxa"/>
            <w:tcBorders>
              <w:top w:val="nil"/>
              <w:left w:val="nil"/>
              <w:bottom w:val="nil"/>
              <w:right w:val="nil"/>
            </w:tcBorders>
            <w:tcMar>
              <w:top w:w="128" w:type="dxa"/>
              <w:left w:w="43" w:type="dxa"/>
              <w:bottom w:w="43" w:type="dxa"/>
              <w:right w:w="43" w:type="dxa"/>
            </w:tcMar>
          </w:tcPr>
          <w:p w14:paraId="408701D5" w14:textId="77777777" w:rsidR="00972395" w:rsidRPr="00E73D4B" w:rsidRDefault="00F120C7" w:rsidP="00681E28">
            <w:pPr>
              <w:jc w:val="right"/>
            </w:pPr>
            <w:r w:rsidRPr="00E73D4B">
              <w:t>82</w:t>
            </w:r>
          </w:p>
        </w:tc>
        <w:tc>
          <w:tcPr>
            <w:tcW w:w="4819" w:type="dxa"/>
            <w:tcBorders>
              <w:top w:val="nil"/>
              <w:left w:val="nil"/>
              <w:bottom w:val="nil"/>
              <w:right w:val="nil"/>
            </w:tcBorders>
            <w:tcMar>
              <w:top w:w="128" w:type="dxa"/>
              <w:left w:w="43" w:type="dxa"/>
              <w:bottom w:w="43" w:type="dxa"/>
              <w:right w:w="43" w:type="dxa"/>
            </w:tcMar>
          </w:tcPr>
          <w:p w14:paraId="165E2B4A" w14:textId="77777777" w:rsidR="00972395" w:rsidRPr="00E73D4B" w:rsidRDefault="00F120C7" w:rsidP="00681E28">
            <w:r w:rsidRPr="00E73D4B">
              <w:t>Ideelle organisasjoners pensjonskostnader</w:t>
            </w:r>
          </w:p>
        </w:tc>
        <w:tc>
          <w:tcPr>
            <w:tcW w:w="1587" w:type="dxa"/>
            <w:tcBorders>
              <w:top w:val="nil"/>
              <w:left w:val="nil"/>
              <w:bottom w:val="nil"/>
              <w:right w:val="nil"/>
            </w:tcBorders>
            <w:tcMar>
              <w:top w:w="128" w:type="dxa"/>
              <w:left w:w="43" w:type="dxa"/>
              <w:bottom w:w="43" w:type="dxa"/>
              <w:right w:w="43" w:type="dxa"/>
            </w:tcMar>
          </w:tcPr>
          <w:p w14:paraId="35AF605E" w14:textId="77777777" w:rsidR="00972395" w:rsidRPr="00E73D4B" w:rsidRDefault="00F120C7" w:rsidP="00681E28">
            <w:pPr>
              <w:jc w:val="right"/>
            </w:pPr>
            <w:r w:rsidRPr="00E73D4B">
              <w:t>Nei</w:t>
            </w:r>
          </w:p>
        </w:tc>
      </w:tr>
      <w:tr w:rsidR="00972395" w:rsidRPr="00E73D4B" w14:paraId="4AA0FFB2"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33F98F3B" w14:textId="77777777" w:rsidR="00972395" w:rsidRPr="00E73D4B" w:rsidRDefault="00F120C7" w:rsidP="00681E28">
            <w:r w:rsidRPr="00E73D4B">
              <w:t>2018–2019</w:t>
            </w:r>
          </w:p>
        </w:tc>
        <w:tc>
          <w:tcPr>
            <w:tcW w:w="1276" w:type="dxa"/>
            <w:tcBorders>
              <w:top w:val="nil"/>
              <w:left w:val="nil"/>
              <w:bottom w:val="nil"/>
              <w:right w:val="nil"/>
            </w:tcBorders>
            <w:tcMar>
              <w:top w:w="128" w:type="dxa"/>
              <w:left w:w="43" w:type="dxa"/>
              <w:bottom w:w="43" w:type="dxa"/>
              <w:right w:w="43" w:type="dxa"/>
            </w:tcMar>
          </w:tcPr>
          <w:p w14:paraId="07F89212" w14:textId="77777777" w:rsidR="00972395" w:rsidRPr="00E73D4B" w:rsidRDefault="00F120C7" w:rsidP="00681E28">
            <w:pPr>
              <w:jc w:val="right"/>
            </w:pPr>
            <w:r w:rsidRPr="00E73D4B">
              <w:t>87</w:t>
            </w:r>
          </w:p>
        </w:tc>
        <w:tc>
          <w:tcPr>
            <w:tcW w:w="4819" w:type="dxa"/>
            <w:tcBorders>
              <w:top w:val="nil"/>
              <w:left w:val="nil"/>
              <w:bottom w:val="nil"/>
              <w:right w:val="nil"/>
            </w:tcBorders>
            <w:tcMar>
              <w:top w:w="128" w:type="dxa"/>
              <w:left w:w="43" w:type="dxa"/>
              <w:bottom w:w="43" w:type="dxa"/>
              <w:right w:w="43" w:type="dxa"/>
            </w:tcMar>
          </w:tcPr>
          <w:p w14:paraId="66086287" w14:textId="77777777" w:rsidR="00972395" w:rsidRPr="00E73D4B" w:rsidRDefault="00F120C7" w:rsidP="00681E28">
            <w:r w:rsidRPr="00E73D4B">
              <w:t xml:space="preserve">Utredning av BPA-ordningen </w:t>
            </w:r>
          </w:p>
        </w:tc>
        <w:tc>
          <w:tcPr>
            <w:tcW w:w="1587" w:type="dxa"/>
            <w:tcBorders>
              <w:top w:val="nil"/>
              <w:left w:val="nil"/>
              <w:bottom w:val="nil"/>
              <w:right w:val="nil"/>
            </w:tcBorders>
            <w:tcMar>
              <w:top w:w="128" w:type="dxa"/>
              <w:left w:w="43" w:type="dxa"/>
              <w:bottom w:w="43" w:type="dxa"/>
              <w:right w:w="43" w:type="dxa"/>
            </w:tcMar>
          </w:tcPr>
          <w:p w14:paraId="6AB8B267" w14:textId="77777777" w:rsidR="00972395" w:rsidRPr="00E73D4B" w:rsidRDefault="00F120C7" w:rsidP="00681E28">
            <w:pPr>
              <w:jc w:val="right"/>
            </w:pPr>
            <w:r w:rsidRPr="00E73D4B">
              <w:t>Ja</w:t>
            </w:r>
          </w:p>
        </w:tc>
      </w:tr>
      <w:tr w:rsidR="00972395" w:rsidRPr="00E73D4B" w14:paraId="322D0394" w14:textId="77777777" w:rsidTr="00681E28">
        <w:trPr>
          <w:trHeight w:val="640"/>
        </w:trPr>
        <w:tc>
          <w:tcPr>
            <w:tcW w:w="1418" w:type="dxa"/>
            <w:tcBorders>
              <w:top w:val="nil"/>
              <w:left w:val="nil"/>
              <w:bottom w:val="nil"/>
              <w:right w:val="nil"/>
            </w:tcBorders>
            <w:tcMar>
              <w:top w:w="128" w:type="dxa"/>
              <w:left w:w="43" w:type="dxa"/>
              <w:bottom w:w="43" w:type="dxa"/>
              <w:right w:w="43" w:type="dxa"/>
            </w:tcMar>
          </w:tcPr>
          <w:p w14:paraId="1D7E272F" w14:textId="77777777" w:rsidR="00972395" w:rsidRPr="00E73D4B" w:rsidRDefault="00F120C7" w:rsidP="00681E28">
            <w:r w:rsidRPr="00E73D4B">
              <w:t>2018–2019</w:t>
            </w:r>
          </w:p>
        </w:tc>
        <w:tc>
          <w:tcPr>
            <w:tcW w:w="1276" w:type="dxa"/>
            <w:tcBorders>
              <w:top w:val="nil"/>
              <w:left w:val="nil"/>
              <w:bottom w:val="nil"/>
              <w:right w:val="nil"/>
            </w:tcBorders>
            <w:tcMar>
              <w:top w:w="128" w:type="dxa"/>
              <w:left w:w="43" w:type="dxa"/>
              <w:bottom w:w="43" w:type="dxa"/>
              <w:right w:w="43" w:type="dxa"/>
            </w:tcMar>
          </w:tcPr>
          <w:p w14:paraId="0BB1EF8C" w14:textId="77777777" w:rsidR="00972395" w:rsidRPr="00E73D4B" w:rsidRDefault="00F120C7" w:rsidP="00681E28">
            <w:pPr>
              <w:jc w:val="right"/>
            </w:pPr>
            <w:r w:rsidRPr="00E73D4B">
              <w:t>93</w:t>
            </w:r>
          </w:p>
        </w:tc>
        <w:tc>
          <w:tcPr>
            <w:tcW w:w="4819" w:type="dxa"/>
            <w:tcBorders>
              <w:top w:val="nil"/>
              <w:left w:val="nil"/>
              <w:bottom w:val="nil"/>
              <w:right w:val="nil"/>
            </w:tcBorders>
            <w:tcMar>
              <w:top w:w="128" w:type="dxa"/>
              <w:left w:w="43" w:type="dxa"/>
              <w:bottom w:w="43" w:type="dxa"/>
              <w:right w:w="43" w:type="dxa"/>
            </w:tcMar>
          </w:tcPr>
          <w:p w14:paraId="443F8D8C" w14:textId="77777777" w:rsidR="00972395" w:rsidRPr="00E73D4B" w:rsidRDefault="00F120C7" w:rsidP="00681E28">
            <w:r w:rsidRPr="00E73D4B">
              <w:t>Årsmeldingen for 2017 fra Norges nasjonale institusjon for menneskerettigheter</w:t>
            </w:r>
          </w:p>
        </w:tc>
        <w:tc>
          <w:tcPr>
            <w:tcW w:w="1587" w:type="dxa"/>
            <w:tcBorders>
              <w:top w:val="nil"/>
              <w:left w:val="nil"/>
              <w:bottom w:val="nil"/>
              <w:right w:val="nil"/>
            </w:tcBorders>
            <w:tcMar>
              <w:top w:w="128" w:type="dxa"/>
              <w:left w:w="43" w:type="dxa"/>
              <w:bottom w:w="43" w:type="dxa"/>
              <w:right w:w="43" w:type="dxa"/>
            </w:tcMar>
          </w:tcPr>
          <w:p w14:paraId="55261CD5" w14:textId="77777777" w:rsidR="00972395" w:rsidRPr="00E73D4B" w:rsidRDefault="00F120C7" w:rsidP="00681E28">
            <w:pPr>
              <w:jc w:val="right"/>
            </w:pPr>
            <w:r w:rsidRPr="00E73D4B">
              <w:t>Nei</w:t>
            </w:r>
          </w:p>
        </w:tc>
      </w:tr>
      <w:tr w:rsidR="00972395" w:rsidRPr="00E73D4B" w14:paraId="480A6DED"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03EF0356" w14:textId="77777777" w:rsidR="00972395" w:rsidRPr="00E73D4B" w:rsidRDefault="00F120C7" w:rsidP="00681E28">
            <w:r w:rsidRPr="00E73D4B">
              <w:t>2017–2018</w:t>
            </w:r>
          </w:p>
        </w:tc>
        <w:tc>
          <w:tcPr>
            <w:tcW w:w="1276" w:type="dxa"/>
            <w:tcBorders>
              <w:top w:val="nil"/>
              <w:left w:val="nil"/>
              <w:bottom w:val="nil"/>
              <w:right w:val="nil"/>
            </w:tcBorders>
            <w:tcMar>
              <w:top w:w="128" w:type="dxa"/>
              <w:left w:w="43" w:type="dxa"/>
              <w:bottom w:w="43" w:type="dxa"/>
              <w:right w:w="43" w:type="dxa"/>
            </w:tcMar>
          </w:tcPr>
          <w:p w14:paraId="035FA10F" w14:textId="77777777" w:rsidR="00972395" w:rsidRPr="00E73D4B" w:rsidRDefault="00F120C7" w:rsidP="00681E28">
            <w:pPr>
              <w:jc w:val="right"/>
            </w:pPr>
            <w:r w:rsidRPr="00E73D4B">
              <w:t>468</w:t>
            </w:r>
          </w:p>
        </w:tc>
        <w:tc>
          <w:tcPr>
            <w:tcW w:w="4819" w:type="dxa"/>
            <w:tcBorders>
              <w:top w:val="nil"/>
              <w:left w:val="nil"/>
              <w:bottom w:val="nil"/>
              <w:right w:val="nil"/>
            </w:tcBorders>
            <w:tcMar>
              <w:top w:w="128" w:type="dxa"/>
              <w:left w:w="43" w:type="dxa"/>
              <w:bottom w:w="43" w:type="dxa"/>
              <w:right w:w="43" w:type="dxa"/>
            </w:tcMar>
          </w:tcPr>
          <w:p w14:paraId="06B27360" w14:textId="77777777" w:rsidR="00972395" w:rsidRPr="00E73D4B" w:rsidRDefault="00F120C7" w:rsidP="00681E28">
            <w:r w:rsidRPr="00E73D4B">
              <w:t>Legevakt- og fastlegeordningen</w:t>
            </w:r>
          </w:p>
        </w:tc>
        <w:tc>
          <w:tcPr>
            <w:tcW w:w="1587" w:type="dxa"/>
            <w:tcBorders>
              <w:top w:val="nil"/>
              <w:left w:val="nil"/>
              <w:bottom w:val="nil"/>
              <w:right w:val="nil"/>
            </w:tcBorders>
            <w:tcMar>
              <w:top w:w="128" w:type="dxa"/>
              <w:left w:w="43" w:type="dxa"/>
              <w:bottom w:w="43" w:type="dxa"/>
              <w:right w:w="43" w:type="dxa"/>
            </w:tcMar>
          </w:tcPr>
          <w:p w14:paraId="0700E2D3" w14:textId="77777777" w:rsidR="00972395" w:rsidRPr="00E73D4B" w:rsidRDefault="00F120C7" w:rsidP="00681E28">
            <w:pPr>
              <w:jc w:val="right"/>
            </w:pPr>
            <w:r w:rsidRPr="00E73D4B">
              <w:t xml:space="preserve">Nei </w:t>
            </w:r>
          </w:p>
        </w:tc>
      </w:tr>
      <w:tr w:rsidR="00972395" w:rsidRPr="00E73D4B" w14:paraId="5F6E914F"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5327FC8E" w14:textId="77777777" w:rsidR="00972395" w:rsidRPr="00E73D4B" w:rsidRDefault="00F120C7" w:rsidP="00681E28">
            <w:r w:rsidRPr="00E73D4B">
              <w:t>2017–2018</w:t>
            </w:r>
          </w:p>
        </w:tc>
        <w:tc>
          <w:tcPr>
            <w:tcW w:w="1276" w:type="dxa"/>
            <w:tcBorders>
              <w:top w:val="nil"/>
              <w:left w:val="nil"/>
              <w:bottom w:val="nil"/>
              <w:right w:val="nil"/>
            </w:tcBorders>
            <w:tcMar>
              <w:top w:w="128" w:type="dxa"/>
              <w:left w:w="43" w:type="dxa"/>
              <w:bottom w:w="43" w:type="dxa"/>
              <w:right w:w="43" w:type="dxa"/>
            </w:tcMar>
          </w:tcPr>
          <w:p w14:paraId="4010BD29" w14:textId="77777777" w:rsidR="00972395" w:rsidRPr="00E73D4B" w:rsidRDefault="00F120C7" w:rsidP="00681E28">
            <w:pPr>
              <w:jc w:val="right"/>
            </w:pPr>
            <w:r w:rsidRPr="00E73D4B">
              <w:t>469</w:t>
            </w:r>
          </w:p>
        </w:tc>
        <w:tc>
          <w:tcPr>
            <w:tcW w:w="4819" w:type="dxa"/>
            <w:tcBorders>
              <w:top w:val="nil"/>
              <w:left w:val="nil"/>
              <w:bottom w:val="nil"/>
              <w:right w:val="nil"/>
            </w:tcBorders>
            <w:tcMar>
              <w:top w:w="128" w:type="dxa"/>
              <w:left w:w="43" w:type="dxa"/>
              <w:bottom w:w="43" w:type="dxa"/>
              <w:right w:w="43" w:type="dxa"/>
            </w:tcMar>
          </w:tcPr>
          <w:p w14:paraId="5D35A51C" w14:textId="77777777" w:rsidR="00972395" w:rsidRPr="00E73D4B" w:rsidRDefault="00F120C7" w:rsidP="00681E28">
            <w:r w:rsidRPr="00E73D4B">
              <w:t>Evaluering av turnusordningen</w:t>
            </w:r>
          </w:p>
        </w:tc>
        <w:tc>
          <w:tcPr>
            <w:tcW w:w="1587" w:type="dxa"/>
            <w:tcBorders>
              <w:top w:val="nil"/>
              <w:left w:val="nil"/>
              <w:bottom w:val="nil"/>
              <w:right w:val="nil"/>
            </w:tcBorders>
            <w:tcMar>
              <w:top w:w="128" w:type="dxa"/>
              <w:left w:w="43" w:type="dxa"/>
              <w:bottom w:w="43" w:type="dxa"/>
              <w:right w:w="43" w:type="dxa"/>
            </w:tcMar>
          </w:tcPr>
          <w:p w14:paraId="6E0C0D7E" w14:textId="77777777" w:rsidR="00972395" w:rsidRPr="00E73D4B" w:rsidRDefault="00F120C7" w:rsidP="00681E28">
            <w:pPr>
              <w:jc w:val="right"/>
            </w:pPr>
            <w:r w:rsidRPr="00E73D4B">
              <w:t>Ja</w:t>
            </w:r>
          </w:p>
        </w:tc>
      </w:tr>
      <w:tr w:rsidR="00972395" w:rsidRPr="00E73D4B" w14:paraId="5236FE42"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2FC96B54" w14:textId="77777777" w:rsidR="00972395" w:rsidRPr="00E73D4B" w:rsidRDefault="00F120C7" w:rsidP="00681E28">
            <w:r w:rsidRPr="00E73D4B">
              <w:t>2017–2018</w:t>
            </w:r>
          </w:p>
        </w:tc>
        <w:tc>
          <w:tcPr>
            <w:tcW w:w="1276" w:type="dxa"/>
            <w:tcBorders>
              <w:top w:val="nil"/>
              <w:left w:val="nil"/>
              <w:bottom w:val="nil"/>
              <w:right w:val="nil"/>
            </w:tcBorders>
            <w:tcMar>
              <w:top w:w="128" w:type="dxa"/>
              <w:left w:w="43" w:type="dxa"/>
              <w:bottom w:w="43" w:type="dxa"/>
              <w:right w:w="43" w:type="dxa"/>
            </w:tcMar>
          </w:tcPr>
          <w:p w14:paraId="5D273102" w14:textId="77777777" w:rsidR="00972395" w:rsidRPr="00E73D4B" w:rsidRDefault="00F120C7" w:rsidP="00681E28">
            <w:pPr>
              <w:jc w:val="right"/>
            </w:pPr>
            <w:r w:rsidRPr="00E73D4B">
              <w:t>615</w:t>
            </w:r>
          </w:p>
        </w:tc>
        <w:tc>
          <w:tcPr>
            <w:tcW w:w="4819" w:type="dxa"/>
            <w:tcBorders>
              <w:top w:val="nil"/>
              <w:left w:val="nil"/>
              <w:bottom w:val="nil"/>
              <w:right w:val="nil"/>
            </w:tcBorders>
            <w:tcMar>
              <w:top w:w="128" w:type="dxa"/>
              <w:left w:w="43" w:type="dxa"/>
              <w:bottom w:w="43" w:type="dxa"/>
              <w:right w:w="43" w:type="dxa"/>
            </w:tcMar>
          </w:tcPr>
          <w:p w14:paraId="438FFC1C" w14:textId="77777777" w:rsidR="00972395" w:rsidRPr="00E73D4B" w:rsidRDefault="00F120C7" w:rsidP="00681E28">
            <w:r w:rsidRPr="00E73D4B">
              <w:t>Regelverket for pasientreiser</w:t>
            </w:r>
          </w:p>
        </w:tc>
        <w:tc>
          <w:tcPr>
            <w:tcW w:w="1587" w:type="dxa"/>
            <w:tcBorders>
              <w:top w:val="nil"/>
              <w:left w:val="nil"/>
              <w:bottom w:val="nil"/>
              <w:right w:val="nil"/>
            </w:tcBorders>
            <w:tcMar>
              <w:top w:w="128" w:type="dxa"/>
              <w:left w:w="43" w:type="dxa"/>
              <w:bottom w:w="43" w:type="dxa"/>
              <w:right w:w="43" w:type="dxa"/>
            </w:tcMar>
          </w:tcPr>
          <w:p w14:paraId="05C7849C" w14:textId="77777777" w:rsidR="00972395" w:rsidRPr="00E73D4B" w:rsidRDefault="00F120C7" w:rsidP="00681E28">
            <w:pPr>
              <w:jc w:val="right"/>
            </w:pPr>
            <w:r w:rsidRPr="00E73D4B">
              <w:t>Nei</w:t>
            </w:r>
          </w:p>
        </w:tc>
      </w:tr>
      <w:tr w:rsidR="00972395" w:rsidRPr="00E73D4B" w14:paraId="3F63E889"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22C4FC8D" w14:textId="77777777" w:rsidR="00972395" w:rsidRPr="00E73D4B" w:rsidRDefault="00F120C7" w:rsidP="00681E28">
            <w:r w:rsidRPr="00E73D4B">
              <w:t>2017–2018</w:t>
            </w:r>
          </w:p>
        </w:tc>
        <w:tc>
          <w:tcPr>
            <w:tcW w:w="1276" w:type="dxa"/>
            <w:tcBorders>
              <w:top w:val="nil"/>
              <w:left w:val="nil"/>
              <w:bottom w:val="nil"/>
              <w:right w:val="nil"/>
            </w:tcBorders>
            <w:tcMar>
              <w:top w:w="128" w:type="dxa"/>
              <w:left w:w="43" w:type="dxa"/>
              <w:bottom w:w="43" w:type="dxa"/>
              <w:right w:w="43" w:type="dxa"/>
            </w:tcMar>
          </w:tcPr>
          <w:p w14:paraId="7A196724" w14:textId="77777777" w:rsidR="00972395" w:rsidRPr="00E73D4B" w:rsidRDefault="00F120C7" w:rsidP="00681E28">
            <w:pPr>
              <w:jc w:val="right"/>
            </w:pPr>
            <w:r w:rsidRPr="00E73D4B">
              <w:t>625</w:t>
            </w:r>
          </w:p>
        </w:tc>
        <w:tc>
          <w:tcPr>
            <w:tcW w:w="4819" w:type="dxa"/>
            <w:tcBorders>
              <w:top w:val="nil"/>
              <w:left w:val="nil"/>
              <w:bottom w:val="nil"/>
              <w:right w:val="nil"/>
            </w:tcBorders>
            <w:tcMar>
              <w:top w:w="128" w:type="dxa"/>
              <w:left w:w="43" w:type="dxa"/>
              <w:bottom w:w="43" w:type="dxa"/>
              <w:right w:w="43" w:type="dxa"/>
            </w:tcMar>
          </w:tcPr>
          <w:p w14:paraId="3B96B994" w14:textId="77777777" w:rsidR="00972395" w:rsidRPr="00E73D4B" w:rsidRDefault="00F120C7" w:rsidP="00681E28">
            <w:r w:rsidRPr="00E73D4B">
              <w:t>Styringen av helsevesenet</w:t>
            </w:r>
          </w:p>
        </w:tc>
        <w:tc>
          <w:tcPr>
            <w:tcW w:w="1587" w:type="dxa"/>
            <w:tcBorders>
              <w:top w:val="nil"/>
              <w:left w:val="nil"/>
              <w:bottom w:val="nil"/>
              <w:right w:val="nil"/>
            </w:tcBorders>
            <w:tcMar>
              <w:top w:w="128" w:type="dxa"/>
              <w:left w:w="43" w:type="dxa"/>
              <w:bottom w:w="43" w:type="dxa"/>
              <w:right w:w="43" w:type="dxa"/>
            </w:tcMar>
          </w:tcPr>
          <w:p w14:paraId="205A3304" w14:textId="77777777" w:rsidR="00972395" w:rsidRPr="00E73D4B" w:rsidRDefault="00F120C7" w:rsidP="00681E28">
            <w:pPr>
              <w:jc w:val="right"/>
            </w:pPr>
            <w:r w:rsidRPr="00E73D4B">
              <w:t>Nei</w:t>
            </w:r>
          </w:p>
        </w:tc>
      </w:tr>
      <w:tr w:rsidR="00972395" w:rsidRPr="00E73D4B" w14:paraId="1C07CFC4"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6DC9F91" w14:textId="77777777" w:rsidR="00972395" w:rsidRPr="00E73D4B" w:rsidRDefault="00F120C7" w:rsidP="00681E28">
            <w:r w:rsidRPr="00E73D4B">
              <w:t>2017–2018</w:t>
            </w:r>
          </w:p>
        </w:tc>
        <w:tc>
          <w:tcPr>
            <w:tcW w:w="1276" w:type="dxa"/>
            <w:tcBorders>
              <w:top w:val="nil"/>
              <w:left w:val="nil"/>
              <w:bottom w:val="nil"/>
              <w:right w:val="nil"/>
            </w:tcBorders>
            <w:tcMar>
              <w:top w:w="128" w:type="dxa"/>
              <w:left w:w="43" w:type="dxa"/>
              <w:bottom w:w="43" w:type="dxa"/>
              <w:right w:w="43" w:type="dxa"/>
            </w:tcMar>
          </w:tcPr>
          <w:p w14:paraId="08E268AD" w14:textId="77777777" w:rsidR="00972395" w:rsidRPr="00E73D4B" w:rsidRDefault="00F120C7" w:rsidP="00681E28">
            <w:pPr>
              <w:jc w:val="right"/>
            </w:pPr>
            <w:r w:rsidRPr="00E73D4B">
              <w:t>634</w:t>
            </w:r>
          </w:p>
        </w:tc>
        <w:tc>
          <w:tcPr>
            <w:tcW w:w="4819" w:type="dxa"/>
            <w:tcBorders>
              <w:top w:val="nil"/>
              <w:left w:val="nil"/>
              <w:bottom w:val="nil"/>
              <w:right w:val="nil"/>
            </w:tcBorders>
            <w:tcMar>
              <w:top w:w="128" w:type="dxa"/>
              <w:left w:w="43" w:type="dxa"/>
              <w:bottom w:w="43" w:type="dxa"/>
              <w:right w:w="43" w:type="dxa"/>
            </w:tcMar>
          </w:tcPr>
          <w:p w14:paraId="70D67702" w14:textId="77777777" w:rsidR="00972395" w:rsidRPr="00E73D4B" w:rsidRDefault="00F120C7" w:rsidP="00681E28">
            <w:r w:rsidRPr="00E73D4B">
              <w:t>Evaluering av LAR-ordningen</w:t>
            </w:r>
          </w:p>
        </w:tc>
        <w:tc>
          <w:tcPr>
            <w:tcW w:w="1587" w:type="dxa"/>
            <w:tcBorders>
              <w:top w:val="nil"/>
              <w:left w:val="nil"/>
              <w:bottom w:val="nil"/>
              <w:right w:val="nil"/>
            </w:tcBorders>
            <w:tcMar>
              <w:top w:w="128" w:type="dxa"/>
              <w:left w:w="43" w:type="dxa"/>
              <w:bottom w:w="43" w:type="dxa"/>
              <w:right w:w="43" w:type="dxa"/>
            </w:tcMar>
          </w:tcPr>
          <w:p w14:paraId="6EA07079" w14:textId="77777777" w:rsidR="00972395" w:rsidRPr="00E73D4B" w:rsidRDefault="00F120C7" w:rsidP="00681E28">
            <w:pPr>
              <w:jc w:val="right"/>
            </w:pPr>
            <w:r w:rsidRPr="00E73D4B">
              <w:t>Ja</w:t>
            </w:r>
          </w:p>
        </w:tc>
      </w:tr>
      <w:tr w:rsidR="00972395" w:rsidRPr="00E73D4B" w14:paraId="2635CEFA"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2BA44C7" w14:textId="77777777" w:rsidR="00972395" w:rsidRPr="00E73D4B" w:rsidRDefault="00F120C7" w:rsidP="00681E28">
            <w:r w:rsidRPr="00E73D4B">
              <w:t>2017–2018</w:t>
            </w:r>
          </w:p>
        </w:tc>
        <w:tc>
          <w:tcPr>
            <w:tcW w:w="1276" w:type="dxa"/>
            <w:tcBorders>
              <w:top w:val="nil"/>
              <w:left w:val="nil"/>
              <w:bottom w:val="nil"/>
              <w:right w:val="nil"/>
            </w:tcBorders>
            <w:tcMar>
              <w:top w:w="128" w:type="dxa"/>
              <w:left w:w="43" w:type="dxa"/>
              <w:bottom w:w="43" w:type="dxa"/>
              <w:right w:w="43" w:type="dxa"/>
            </w:tcMar>
          </w:tcPr>
          <w:p w14:paraId="6EED776F" w14:textId="77777777" w:rsidR="00972395" w:rsidRPr="00E73D4B" w:rsidRDefault="00F120C7" w:rsidP="00681E28">
            <w:pPr>
              <w:jc w:val="right"/>
            </w:pPr>
            <w:r w:rsidRPr="00E73D4B">
              <w:t>753</w:t>
            </w:r>
          </w:p>
        </w:tc>
        <w:tc>
          <w:tcPr>
            <w:tcW w:w="4819" w:type="dxa"/>
            <w:tcBorders>
              <w:top w:val="nil"/>
              <w:left w:val="nil"/>
              <w:bottom w:val="nil"/>
              <w:right w:val="nil"/>
            </w:tcBorders>
            <w:tcMar>
              <w:top w:w="128" w:type="dxa"/>
              <w:left w:w="43" w:type="dxa"/>
              <w:bottom w:w="43" w:type="dxa"/>
              <w:right w:w="43" w:type="dxa"/>
            </w:tcMar>
          </w:tcPr>
          <w:p w14:paraId="270BC1F4" w14:textId="77777777" w:rsidR="00972395" w:rsidRPr="00E73D4B" w:rsidRDefault="00F120C7" w:rsidP="00681E28">
            <w:r w:rsidRPr="00E73D4B">
              <w:t>Fødselsomsorg</w:t>
            </w:r>
          </w:p>
        </w:tc>
        <w:tc>
          <w:tcPr>
            <w:tcW w:w="1587" w:type="dxa"/>
            <w:tcBorders>
              <w:top w:val="nil"/>
              <w:left w:val="nil"/>
              <w:bottom w:val="nil"/>
              <w:right w:val="nil"/>
            </w:tcBorders>
            <w:tcMar>
              <w:top w:w="128" w:type="dxa"/>
              <w:left w:w="43" w:type="dxa"/>
              <w:bottom w:w="43" w:type="dxa"/>
              <w:right w:w="43" w:type="dxa"/>
            </w:tcMar>
          </w:tcPr>
          <w:p w14:paraId="091C8563" w14:textId="77777777" w:rsidR="00972395" w:rsidRPr="00E73D4B" w:rsidRDefault="00F120C7" w:rsidP="00681E28">
            <w:pPr>
              <w:jc w:val="right"/>
            </w:pPr>
            <w:r w:rsidRPr="00E73D4B">
              <w:t>Nei</w:t>
            </w:r>
          </w:p>
        </w:tc>
      </w:tr>
      <w:tr w:rsidR="00972395" w:rsidRPr="00E73D4B" w14:paraId="2E522EEF"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79522682" w14:textId="77777777" w:rsidR="00972395" w:rsidRPr="00E73D4B" w:rsidRDefault="00F120C7" w:rsidP="00681E28">
            <w:r w:rsidRPr="00E73D4B">
              <w:t>2017–2018</w:t>
            </w:r>
          </w:p>
        </w:tc>
        <w:tc>
          <w:tcPr>
            <w:tcW w:w="1276" w:type="dxa"/>
            <w:tcBorders>
              <w:top w:val="nil"/>
              <w:left w:val="nil"/>
              <w:bottom w:val="nil"/>
              <w:right w:val="nil"/>
            </w:tcBorders>
            <w:tcMar>
              <w:top w:w="128" w:type="dxa"/>
              <w:left w:w="43" w:type="dxa"/>
              <w:bottom w:w="43" w:type="dxa"/>
              <w:right w:w="43" w:type="dxa"/>
            </w:tcMar>
          </w:tcPr>
          <w:p w14:paraId="5F9C3353" w14:textId="77777777" w:rsidR="00972395" w:rsidRPr="00E73D4B" w:rsidRDefault="00F120C7" w:rsidP="00681E28">
            <w:pPr>
              <w:jc w:val="right"/>
            </w:pPr>
            <w:r w:rsidRPr="00E73D4B">
              <w:t>915</w:t>
            </w:r>
          </w:p>
        </w:tc>
        <w:tc>
          <w:tcPr>
            <w:tcW w:w="4819" w:type="dxa"/>
            <w:tcBorders>
              <w:top w:val="nil"/>
              <w:left w:val="nil"/>
              <w:bottom w:val="nil"/>
              <w:right w:val="nil"/>
            </w:tcBorders>
            <w:tcMar>
              <w:top w:w="128" w:type="dxa"/>
              <w:left w:w="43" w:type="dxa"/>
              <w:bottom w:w="43" w:type="dxa"/>
              <w:right w:w="43" w:type="dxa"/>
            </w:tcMar>
          </w:tcPr>
          <w:p w14:paraId="0669D8CA" w14:textId="77777777" w:rsidR="00972395" w:rsidRPr="00E73D4B" w:rsidRDefault="00F120C7" w:rsidP="00681E28">
            <w:r w:rsidRPr="00E73D4B">
              <w:t>Tobakksskadeloven</w:t>
            </w:r>
          </w:p>
        </w:tc>
        <w:tc>
          <w:tcPr>
            <w:tcW w:w="1587" w:type="dxa"/>
            <w:tcBorders>
              <w:top w:val="nil"/>
              <w:left w:val="nil"/>
              <w:bottom w:val="nil"/>
              <w:right w:val="nil"/>
            </w:tcBorders>
            <w:tcMar>
              <w:top w:w="128" w:type="dxa"/>
              <w:left w:w="43" w:type="dxa"/>
              <w:bottom w:w="43" w:type="dxa"/>
              <w:right w:w="43" w:type="dxa"/>
            </w:tcMar>
          </w:tcPr>
          <w:p w14:paraId="25AE647F" w14:textId="77777777" w:rsidR="00972395" w:rsidRPr="00E73D4B" w:rsidRDefault="00F120C7" w:rsidP="00681E28">
            <w:pPr>
              <w:jc w:val="right"/>
            </w:pPr>
            <w:r w:rsidRPr="00E73D4B">
              <w:t>Nei</w:t>
            </w:r>
          </w:p>
        </w:tc>
      </w:tr>
      <w:tr w:rsidR="00972395" w:rsidRPr="00E73D4B" w14:paraId="337AF452"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21DF55A7" w14:textId="77777777" w:rsidR="00972395" w:rsidRPr="00E73D4B" w:rsidRDefault="00F120C7" w:rsidP="00681E28">
            <w:r w:rsidRPr="00E73D4B">
              <w:t>2016–2017</w:t>
            </w:r>
          </w:p>
        </w:tc>
        <w:tc>
          <w:tcPr>
            <w:tcW w:w="1276" w:type="dxa"/>
            <w:tcBorders>
              <w:top w:val="nil"/>
              <w:left w:val="nil"/>
              <w:bottom w:val="nil"/>
              <w:right w:val="nil"/>
            </w:tcBorders>
            <w:tcMar>
              <w:top w:w="128" w:type="dxa"/>
              <w:left w:w="43" w:type="dxa"/>
              <w:bottom w:w="43" w:type="dxa"/>
              <w:right w:w="43" w:type="dxa"/>
            </w:tcMar>
          </w:tcPr>
          <w:p w14:paraId="0FE59E72" w14:textId="77777777" w:rsidR="00972395" w:rsidRPr="00E73D4B" w:rsidRDefault="00F120C7" w:rsidP="00681E28">
            <w:pPr>
              <w:jc w:val="right"/>
            </w:pPr>
            <w:r w:rsidRPr="00E73D4B">
              <w:t>847</w:t>
            </w:r>
          </w:p>
        </w:tc>
        <w:tc>
          <w:tcPr>
            <w:tcW w:w="4819" w:type="dxa"/>
            <w:tcBorders>
              <w:top w:val="nil"/>
              <w:left w:val="nil"/>
              <w:bottom w:val="nil"/>
              <w:right w:val="nil"/>
            </w:tcBorders>
            <w:tcMar>
              <w:top w:w="128" w:type="dxa"/>
              <w:left w:w="43" w:type="dxa"/>
              <w:bottom w:w="43" w:type="dxa"/>
              <w:right w:w="43" w:type="dxa"/>
            </w:tcMar>
          </w:tcPr>
          <w:p w14:paraId="76FC266B" w14:textId="77777777" w:rsidR="00972395" w:rsidRPr="00E73D4B" w:rsidRDefault="00F120C7" w:rsidP="00681E28">
            <w:r w:rsidRPr="00E73D4B">
              <w:t>Tannhelsetjeneste og kommunalt ansvar</w:t>
            </w:r>
          </w:p>
        </w:tc>
        <w:tc>
          <w:tcPr>
            <w:tcW w:w="1587" w:type="dxa"/>
            <w:tcBorders>
              <w:top w:val="nil"/>
              <w:left w:val="nil"/>
              <w:bottom w:val="nil"/>
              <w:right w:val="nil"/>
            </w:tcBorders>
            <w:tcMar>
              <w:top w:w="128" w:type="dxa"/>
              <w:left w:w="43" w:type="dxa"/>
              <w:bottom w:w="43" w:type="dxa"/>
              <w:right w:w="43" w:type="dxa"/>
            </w:tcMar>
          </w:tcPr>
          <w:p w14:paraId="425AE11D" w14:textId="77777777" w:rsidR="00972395" w:rsidRPr="00E73D4B" w:rsidRDefault="00F120C7" w:rsidP="00681E28">
            <w:pPr>
              <w:jc w:val="right"/>
            </w:pPr>
            <w:r w:rsidRPr="00E73D4B">
              <w:t xml:space="preserve">Ja </w:t>
            </w:r>
          </w:p>
        </w:tc>
      </w:tr>
      <w:tr w:rsidR="00972395" w:rsidRPr="00E73D4B" w14:paraId="0B991073"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0EFBBF04" w14:textId="77777777" w:rsidR="00972395" w:rsidRPr="00E73D4B" w:rsidRDefault="00F120C7" w:rsidP="00681E28">
            <w:r w:rsidRPr="00E73D4B">
              <w:t>2016–2017</w:t>
            </w:r>
          </w:p>
        </w:tc>
        <w:tc>
          <w:tcPr>
            <w:tcW w:w="1276" w:type="dxa"/>
            <w:tcBorders>
              <w:top w:val="nil"/>
              <w:left w:val="nil"/>
              <w:bottom w:val="nil"/>
              <w:right w:val="nil"/>
            </w:tcBorders>
            <w:tcMar>
              <w:top w:w="128" w:type="dxa"/>
              <w:left w:w="43" w:type="dxa"/>
              <w:bottom w:w="43" w:type="dxa"/>
              <w:right w:w="43" w:type="dxa"/>
            </w:tcMar>
          </w:tcPr>
          <w:p w14:paraId="6ADBAC08" w14:textId="77777777" w:rsidR="00972395" w:rsidRPr="00E73D4B" w:rsidRDefault="00F120C7" w:rsidP="00681E28">
            <w:pPr>
              <w:jc w:val="right"/>
            </w:pPr>
            <w:r w:rsidRPr="00E73D4B">
              <w:t>848</w:t>
            </w:r>
          </w:p>
        </w:tc>
        <w:tc>
          <w:tcPr>
            <w:tcW w:w="4819" w:type="dxa"/>
            <w:tcBorders>
              <w:top w:val="nil"/>
              <w:left w:val="nil"/>
              <w:bottom w:val="nil"/>
              <w:right w:val="nil"/>
            </w:tcBorders>
            <w:tcMar>
              <w:top w:w="128" w:type="dxa"/>
              <w:left w:w="43" w:type="dxa"/>
              <w:bottom w:w="43" w:type="dxa"/>
              <w:right w:w="43" w:type="dxa"/>
            </w:tcMar>
          </w:tcPr>
          <w:p w14:paraId="086395DD" w14:textId="77777777" w:rsidR="00972395" w:rsidRPr="00E73D4B" w:rsidRDefault="00F120C7" w:rsidP="00681E28">
            <w:r w:rsidRPr="00E73D4B">
              <w:t>Tannhelsetjeneste og kommunalt ansvar</w:t>
            </w:r>
          </w:p>
        </w:tc>
        <w:tc>
          <w:tcPr>
            <w:tcW w:w="1587" w:type="dxa"/>
            <w:tcBorders>
              <w:top w:val="nil"/>
              <w:left w:val="nil"/>
              <w:bottom w:val="nil"/>
              <w:right w:val="nil"/>
            </w:tcBorders>
            <w:tcMar>
              <w:top w:w="128" w:type="dxa"/>
              <w:left w:w="43" w:type="dxa"/>
              <w:bottom w:w="43" w:type="dxa"/>
              <w:right w:w="43" w:type="dxa"/>
            </w:tcMar>
          </w:tcPr>
          <w:p w14:paraId="6F78E293" w14:textId="77777777" w:rsidR="00972395" w:rsidRPr="00E73D4B" w:rsidRDefault="00F120C7" w:rsidP="00681E28">
            <w:pPr>
              <w:jc w:val="right"/>
            </w:pPr>
            <w:r w:rsidRPr="00E73D4B">
              <w:t xml:space="preserve">Ja </w:t>
            </w:r>
          </w:p>
        </w:tc>
      </w:tr>
      <w:tr w:rsidR="00972395" w:rsidRPr="00E73D4B" w14:paraId="0AF29A8A" w14:textId="77777777" w:rsidTr="00681E28">
        <w:trPr>
          <w:trHeight w:val="380"/>
        </w:trPr>
        <w:tc>
          <w:tcPr>
            <w:tcW w:w="1418" w:type="dxa"/>
            <w:tcBorders>
              <w:top w:val="nil"/>
              <w:left w:val="nil"/>
              <w:bottom w:val="nil"/>
              <w:right w:val="nil"/>
            </w:tcBorders>
            <w:tcMar>
              <w:top w:w="128" w:type="dxa"/>
              <w:left w:w="43" w:type="dxa"/>
              <w:bottom w:w="43" w:type="dxa"/>
              <w:right w:w="43" w:type="dxa"/>
            </w:tcMar>
          </w:tcPr>
          <w:p w14:paraId="0A18C6C0" w14:textId="77777777" w:rsidR="00972395" w:rsidRPr="00E73D4B" w:rsidRDefault="00F120C7" w:rsidP="00681E28">
            <w:r w:rsidRPr="00E73D4B">
              <w:t>2016–2017</w:t>
            </w:r>
          </w:p>
        </w:tc>
        <w:tc>
          <w:tcPr>
            <w:tcW w:w="1276" w:type="dxa"/>
            <w:tcBorders>
              <w:top w:val="nil"/>
              <w:left w:val="nil"/>
              <w:bottom w:val="nil"/>
              <w:right w:val="nil"/>
            </w:tcBorders>
            <w:tcMar>
              <w:top w:w="128" w:type="dxa"/>
              <w:left w:w="43" w:type="dxa"/>
              <w:bottom w:w="43" w:type="dxa"/>
              <w:right w:w="43" w:type="dxa"/>
            </w:tcMar>
          </w:tcPr>
          <w:p w14:paraId="738D655A" w14:textId="77777777" w:rsidR="00972395" w:rsidRPr="00E73D4B" w:rsidRDefault="00F120C7" w:rsidP="00681E28">
            <w:pPr>
              <w:jc w:val="right"/>
            </w:pPr>
            <w:r w:rsidRPr="00E73D4B">
              <w:t>849</w:t>
            </w:r>
          </w:p>
        </w:tc>
        <w:tc>
          <w:tcPr>
            <w:tcW w:w="4819" w:type="dxa"/>
            <w:tcBorders>
              <w:top w:val="nil"/>
              <w:left w:val="nil"/>
              <w:bottom w:val="nil"/>
              <w:right w:val="nil"/>
            </w:tcBorders>
            <w:tcMar>
              <w:top w:w="128" w:type="dxa"/>
              <w:left w:w="43" w:type="dxa"/>
              <w:bottom w:w="43" w:type="dxa"/>
              <w:right w:w="43" w:type="dxa"/>
            </w:tcMar>
          </w:tcPr>
          <w:p w14:paraId="127610FA" w14:textId="77777777" w:rsidR="00972395" w:rsidRPr="00E73D4B" w:rsidRDefault="00F120C7" w:rsidP="00681E28">
            <w:r w:rsidRPr="00E73D4B">
              <w:t>Tannhelsetjeneste og kommunalt ansvar</w:t>
            </w:r>
          </w:p>
        </w:tc>
        <w:tc>
          <w:tcPr>
            <w:tcW w:w="1587" w:type="dxa"/>
            <w:tcBorders>
              <w:top w:val="nil"/>
              <w:left w:val="nil"/>
              <w:bottom w:val="nil"/>
              <w:right w:val="nil"/>
            </w:tcBorders>
            <w:tcMar>
              <w:top w:w="128" w:type="dxa"/>
              <w:left w:w="43" w:type="dxa"/>
              <w:bottom w:w="43" w:type="dxa"/>
              <w:right w:w="43" w:type="dxa"/>
            </w:tcMar>
          </w:tcPr>
          <w:p w14:paraId="56761438" w14:textId="77777777" w:rsidR="00972395" w:rsidRPr="00E73D4B" w:rsidRDefault="00F120C7" w:rsidP="00681E28">
            <w:pPr>
              <w:jc w:val="right"/>
            </w:pPr>
            <w:r w:rsidRPr="00E73D4B">
              <w:t xml:space="preserve">Ja </w:t>
            </w:r>
          </w:p>
        </w:tc>
      </w:tr>
      <w:tr w:rsidR="00972395" w:rsidRPr="00E73D4B" w14:paraId="6C3DEF1B" w14:textId="77777777" w:rsidTr="00681E28">
        <w:trPr>
          <w:trHeight w:val="380"/>
        </w:trPr>
        <w:tc>
          <w:tcPr>
            <w:tcW w:w="1418" w:type="dxa"/>
            <w:tcBorders>
              <w:top w:val="nil"/>
              <w:left w:val="nil"/>
              <w:right w:val="nil"/>
            </w:tcBorders>
            <w:tcMar>
              <w:top w:w="128" w:type="dxa"/>
              <w:left w:w="43" w:type="dxa"/>
              <w:bottom w:w="43" w:type="dxa"/>
              <w:right w:w="43" w:type="dxa"/>
            </w:tcMar>
          </w:tcPr>
          <w:p w14:paraId="181F4CB8" w14:textId="77777777" w:rsidR="00972395" w:rsidRPr="00E73D4B" w:rsidRDefault="00F120C7" w:rsidP="00681E28">
            <w:r w:rsidRPr="00E73D4B">
              <w:t>2016–2017</w:t>
            </w:r>
          </w:p>
        </w:tc>
        <w:tc>
          <w:tcPr>
            <w:tcW w:w="1276" w:type="dxa"/>
            <w:tcBorders>
              <w:top w:val="nil"/>
              <w:left w:val="nil"/>
              <w:right w:val="nil"/>
            </w:tcBorders>
            <w:tcMar>
              <w:top w:w="128" w:type="dxa"/>
              <w:left w:w="43" w:type="dxa"/>
              <w:bottom w:w="43" w:type="dxa"/>
              <w:right w:w="43" w:type="dxa"/>
            </w:tcMar>
          </w:tcPr>
          <w:p w14:paraId="03CEE53F" w14:textId="77777777" w:rsidR="00972395" w:rsidRPr="00E73D4B" w:rsidRDefault="00F120C7" w:rsidP="00681E28">
            <w:pPr>
              <w:jc w:val="right"/>
            </w:pPr>
            <w:r w:rsidRPr="00E73D4B">
              <w:t>850</w:t>
            </w:r>
          </w:p>
        </w:tc>
        <w:tc>
          <w:tcPr>
            <w:tcW w:w="4819" w:type="dxa"/>
            <w:tcBorders>
              <w:top w:val="nil"/>
              <w:left w:val="nil"/>
              <w:right w:val="nil"/>
            </w:tcBorders>
            <w:tcMar>
              <w:top w:w="128" w:type="dxa"/>
              <w:left w:w="43" w:type="dxa"/>
              <w:bottom w:w="43" w:type="dxa"/>
              <w:right w:w="43" w:type="dxa"/>
            </w:tcMar>
          </w:tcPr>
          <w:p w14:paraId="333D506B" w14:textId="77777777" w:rsidR="00972395" w:rsidRPr="00E73D4B" w:rsidRDefault="00F120C7" w:rsidP="00681E28">
            <w:r w:rsidRPr="00E73D4B">
              <w:t>Tannhelsetjeneste og kommunalt ansvar</w:t>
            </w:r>
          </w:p>
        </w:tc>
        <w:tc>
          <w:tcPr>
            <w:tcW w:w="1587" w:type="dxa"/>
            <w:tcBorders>
              <w:top w:val="nil"/>
              <w:left w:val="nil"/>
              <w:right w:val="nil"/>
            </w:tcBorders>
            <w:tcMar>
              <w:top w:w="128" w:type="dxa"/>
              <w:left w:w="43" w:type="dxa"/>
              <w:bottom w:w="43" w:type="dxa"/>
              <w:right w:w="43" w:type="dxa"/>
            </w:tcMar>
          </w:tcPr>
          <w:p w14:paraId="5242EAFE" w14:textId="77777777" w:rsidR="00972395" w:rsidRPr="00E73D4B" w:rsidRDefault="00F120C7" w:rsidP="00681E28">
            <w:pPr>
              <w:jc w:val="right"/>
            </w:pPr>
            <w:r w:rsidRPr="00E73D4B">
              <w:t xml:space="preserve">Ja </w:t>
            </w:r>
          </w:p>
        </w:tc>
      </w:tr>
      <w:tr w:rsidR="00972395" w:rsidRPr="00E73D4B" w14:paraId="3B63AC42" w14:textId="77777777" w:rsidTr="00681E28">
        <w:trPr>
          <w:trHeight w:val="380"/>
        </w:trPr>
        <w:tc>
          <w:tcPr>
            <w:tcW w:w="1418" w:type="dxa"/>
            <w:tcBorders>
              <w:top w:val="nil"/>
              <w:left w:val="nil"/>
              <w:bottom w:val="single" w:sz="4" w:space="0" w:color="000000"/>
              <w:right w:val="nil"/>
            </w:tcBorders>
            <w:shd w:val="clear" w:color="auto" w:fill="auto"/>
            <w:tcMar>
              <w:top w:w="128" w:type="dxa"/>
              <w:left w:w="43" w:type="dxa"/>
              <w:bottom w:w="43" w:type="dxa"/>
              <w:right w:w="43" w:type="dxa"/>
            </w:tcMar>
          </w:tcPr>
          <w:p w14:paraId="1F0AE109" w14:textId="77777777" w:rsidR="00972395" w:rsidRPr="00E73D4B" w:rsidRDefault="00F120C7" w:rsidP="00681E28">
            <w:r w:rsidRPr="00E73D4B">
              <w:t>2015–2016</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tcPr>
          <w:p w14:paraId="7F67E46B" w14:textId="77777777" w:rsidR="00972395" w:rsidRPr="00E73D4B" w:rsidRDefault="00F120C7" w:rsidP="00681E28">
            <w:pPr>
              <w:jc w:val="right"/>
            </w:pPr>
            <w:r w:rsidRPr="00E73D4B">
              <w:t>627</w:t>
            </w:r>
          </w:p>
        </w:tc>
        <w:tc>
          <w:tcPr>
            <w:tcW w:w="4819" w:type="dxa"/>
            <w:tcBorders>
              <w:top w:val="nil"/>
              <w:left w:val="nil"/>
              <w:bottom w:val="single" w:sz="4" w:space="0" w:color="000000"/>
              <w:right w:val="nil"/>
            </w:tcBorders>
            <w:shd w:val="clear" w:color="auto" w:fill="auto"/>
            <w:tcMar>
              <w:top w:w="128" w:type="dxa"/>
              <w:left w:w="43" w:type="dxa"/>
              <w:bottom w:w="43" w:type="dxa"/>
              <w:right w:w="43" w:type="dxa"/>
            </w:tcMar>
          </w:tcPr>
          <w:p w14:paraId="4FB2C805" w14:textId="77777777" w:rsidR="00972395" w:rsidRPr="00E73D4B" w:rsidRDefault="00F120C7" w:rsidP="00681E28">
            <w:r w:rsidRPr="00E73D4B">
              <w:t>Prevensjon til rusavhengige</w:t>
            </w:r>
          </w:p>
        </w:tc>
        <w:tc>
          <w:tcPr>
            <w:tcW w:w="1587" w:type="dxa"/>
            <w:tcBorders>
              <w:top w:val="nil"/>
              <w:left w:val="nil"/>
              <w:bottom w:val="single" w:sz="4" w:space="0" w:color="000000"/>
              <w:right w:val="nil"/>
            </w:tcBorders>
            <w:shd w:val="clear" w:color="auto" w:fill="auto"/>
            <w:tcMar>
              <w:top w:w="128" w:type="dxa"/>
              <w:left w:w="43" w:type="dxa"/>
              <w:bottom w:w="43" w:type="dxa"/>
              <w:right w:w="43" w:type="dxa"/>
            </w:tcMar>
          </w:tcPr>
          <w:p w14:paraId="18B03811" w14:textId="77777777" w:rsidR="00972395" w:rsidRPr="00E73D4B" w:rsidRDefault="00F120C7" w:rsidP="00681E28">
            <w:pPr>
              <w:jc w:val="right"/>
            </w:pPr>
            <w:r w:rsidRPr="00E73D4B">
              <w:t>Nei</w:t>
            </w:r>
          </w:p>
        </w:tc>
      </w:tr>
    </w:tbl>
    <w:p w14:paraId="5C39A9ED" w14:textId="77777777" w:rsidR="00972395" w:rsidRPr="00E73D4B" w:rsidRDefault="00F120C7" w:rsidP="00681E28">
      <w:pPr>
        <w:pStyle w:val="Overskrift2"/>
        <w:numPr>
          <w:ilvl w:val="1"/>
          <w:numId w:val="31"/>
        </w:numPr>
      </w:pPr>
      <w:r w:rsidRPr="00E73D4B">
        <w:t>Stortingssesjon 2021–2022</w:t>
      </w:r>
    </w:p>
    <w:p w14:paraId="2B38D1A0" w14:textId="77777777" w:rsidR="00972395" w:rsidRPr="00E73D4B" w:rsidRDefault="00F120C7" w:rsidP="00E73D4B">
      <w:pPr>
        <w:pStyle w:val="avsnitt-tittel"/>
      </w:pPr>
      <w:r w:rsidRPr="00E73D4B">
        <w:t>Utredning av status for tannhelsetjenestene i Norge</w:t>
      </w:r>
    </w:p>
    <w:p w14:paraId="3DCEA983" w14:textId="77777777" w:rsidR="00972395" w:rsidRPr="00E73D4B" w:rsidRDefault="00F120C7" w:rsidP="00E73D4B">
      <w:pPr>
        <w:pStyle w:val="avsnitt-undertittel"/>
      </w:pPr>
      <w:r w:rsidRPr="00E73D4B">
        <w:t>Vedtak nr. 35, punkt 51, 18. januar 2022</w:t>
      </w:r>
    </w:p>
    <w:p w14:paraId="3C49DDE2" w14:textId="77777777" w:rsidR="00972395" w:rsidRPr="00E73D4B" w:rsidRDefault="00F120C7" w:rsidP="00E73D4B">
      <w:pPr>
        <w:pStyle w:val="blokksit"/>
      </w:pPr>
      <w:r w:rsidRPr="00E73D4B">
        <w:rPr>
          <w:rStyle w:val="kursiv"/>
        </w:rPr>
        <w:t>«Stortinget ber regjeringen sette i gang en utredning av status for tannhelsetjenestene i Norge, herunder sosiale og geografiske forskjeller i bruk og tilgang, årsaker til forskjeller, forholdet mellom tilbud i privat og offentlig regi, samt forskjeller i priser og behandling.»</w:t>
      </w:r>
    </w:p>
    <w:p w14:paraId="78D1F207"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1 S Tillegg 1 (2021–2022), jf. </w:t>
      </w:r>
      <w:proofErr w:type="spellStart"/>
      <w:r w:rsidRPr="00E73D4B">
        <w:t>Innst</w:t>
      </w:r>
      <w:proofErr w:type="spellEnd"/>
      <w:r w:rsidRPr="00E73D4B">
        <w:t>. 2 S (2021–2022).</w:t>
      </w:r>
    </w:p>
    <w:p w14:paraId="293EE8F6" w14:textId="77777777" w:rsidR="00972395" w:rsidRPr="00E73D4B" w:rsidRDefault="00F120C7" w:rsidP="00E73D4B">
      <w:r w:rsidRPr="00E73D4B">
        <w:t>Vedtaket er fulgt opp ved at det i statsråd 12. august 2022 ble nedsatt et offentlig utvalg som skal gjennomgå tannhelsefeltet. Utvalget skal levere sin utredning innen utgangen av juni 2024. Det vises til omtale på kap. 770.</w:t>
      </w:r>
    </w:p>
    <w:p w14:paraId="6D7BE6ED" w14:textId="77777777" w:rsidR="00972395" w:rsidRPr="00E73D4B" w:rsidRDefault="00F120C7" w:rsidP="00E73D4B">
      <w:pPr>
        <w:pStyle w:val="avsnitt-tittel"/>
      </w:pPr>
      <w:r w:rsidRPr="00E73D4B">
        <w:t>Nedsettelse av utvalg for tannhelsetjenestene</w:t>
      </w:r>
    </w:p>
    <w:p w14:paraId="45570FD4" w14:textId="77777777" w:rsidR="00972395" w:rsidRPr="00E73D4B" w:rsidRDefault="00F120C7" w:rsidP="00E73D4B">
      <w:pPr>
        <w:pStyle w:val="avsnitt-undertittel"/>
      </w:pPr>
      <w:r w:rsidRPr="00E73D4B">
        <w:t>Vedtak nr. 35, punkt 52, 18. januar 2022</w:t>
      </w:r>
    </w:p>
    <w:p w14:paraId="38070A10" w14:textId="77777777" w:rsidR="00972395" w:rsidRPr="00E73D4B" w:rsidRDefault="00F120C7" w:rsidP="00E73D4B">
      <w:pPr>
        <w:pStyle w:val="blokksit"/>
      </w:pPr>
      <w:r w:rsidRPr="00E73D4B">
        <w:rPr>
          <w:rStyle w:val="kursiv"/>
        </w:rPr>
        <w:t>«Stortinget ber regjeringen sette ned et utvalg som skal komme med forslag som skal sikre at tannhelsetjenestene blir likestilt med andre helsetjenester, herunder modeller for egenandelstak.»</w:t>
      </w:r>
    </w:p>
    <w:p w14:paraId="0119DDAF"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1 S Tillegg 1 (2021–2022), jf. </w:t>
      </w:r>
      <w:proofErr w:type="spellStart"/>
      <w:r w:rsidRPr="00E73D4B">
        <w:t>Innst</w:t>
      </w:r>
      <w:proofErr w:type="spellEnd"/>
      <w:r w:rsidRPr="00E73D4B">
        <w:t>. 2 S (2021–2022).</w:t>
      </w:r>
    </w:p>
    <w:p w14:paraId="585A3C31" w14:textId="77777777" w:rsidR="00972395" w:rsidRPr="00E73D4B" w:rsidRDefault="00F120C7" w:rsidP="00E73D4B">
      <w:r w:rsidRPr="00E73D4B">
        <w:t>Vedtaket er fulgt opp ved at det i statsråd 12. august 2022 ble nedsatt et offentlig utvalg som skal gjennomgå tannhelsefeltet. Utvalget skal levere sin utredning innen utgangen av juni 2024. Det vises til omtale på kap. 770.</w:t>
      </w:r>
    </w:p>
    <w:p w14:paraId="18C417CB" w14:textId="77777777" w:rsidR="00972395" w:rsidRPr="00E73D4B" w:rsidRDefault="00F120C7" w:rsidP="00E73D4B">
      <w:pPr>
        <w:pStyle w:val="avsnitt-tittel"/>
      </w:pPr>
      <w:r w:rsidRPr="00E73D4B">
        <w:t>Kostnader kommunal sektor – KS</w:t>
      </w:r>
    </w:p>
    <w:p w14:paraId="35D18C95" w14:textId="77777777" w:rsidR="00972395" w:rsidRPr="00E73D4B" w:rsidRDefault="00F120C7" w:rsidP="00E73D4B">
      <w:pPr>
        <w:pStyle w:val="avsnitt-undertittel"/>
      </w:pPr>
      <w:r w:rsidRPr="00E73D4B">
        <w:t>Vedtak nr. 87, 14. desember 2021</w:t>
      </w:r>
    </w:p>
    <w:p w14:paraId="430AEEB2" w14:textId="77777777" w:rsidR="00972395" w:rsidRPr="00E73D4B" w:rsidRDefault="00F120C7" w:rsidP="00E73D4B">
      <w:pPr>
        <w:pStyle w:val="blokksit"/>
      </w:pPr>
      <w:r w:rsidRPr="00E73D4B">
        <w:rPr>
          <w:rStyle w:val="kursiv"/>
        </w:rPr>
        <w:t>«Stortinget ber regjeringen om at de årlige endringene i kostnader for kommunal sektor drøftes i konsultasjonsordningen med KS.»</w:t>
      </w:r>
    </w:p>
    <w:p w14:paraId="1573EFD8"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3 L (2021–2022), jf. </w:t>
      </w:r>
      <w:proofErr w:type="spellStart"/>
      <w:r w:rsidRPr="00E73D4B">
        <w:t>Innst</w:t>
      </w:r>
      <w:proofErr w:type="spellEnd"/>
      <w:r w:rsidRPr="00E73D4B">
        <w:t xml:space="preserve">. 47 L (2021– 2022). Helse- og omsorgsdepartementet har i samarbeid med KS laget et </w:t>
      </w:r>
      <w:proofErr w:type="spellStart"/>
      <w:r w:rsidRPr="00E73D4B">
        <w:t>årshjul</w:t>
      </w:r>
      <w:proofErr w:type="spellEnd"/>
      <w:r w:rsidRPr="00E73D4B">
        <w:t xml:space="preserve"> for samarbeidet som tar hensyn til at de årlige endringene skal drøftes i konsultasjonsordningen. Videre har Direktoratet for e-helse i tildelingsbrevet for 2022 fått i oppdrag å legge opp et </w:t>
      </w:r>
      <w:proofErr w:type="spellStart"/>
      <w:r w:rsidRPr="00E73D4B">
        <w:t>årshjul</w:t>
      </w:r>
      <w:proofErr w:type="spellEnd"/>
      <w:r w:rsidRPr="00E73D4B">
        <w:t xml:space="preserve"> som bidrar til </w:t>
      </w:r>
      <w:proofErr w:type="spellStart"/>
      <w:r w:rsidRPr="00E73D4B">
        <w:t>forankringsprosesser</w:t>
      </w:r>
      <w:proofErr w:type="spellEnd"/>
      <w:r w:rsidRPr="00E73D4B">
        <w:t xml:space="preserve"> mellom regjeringen og KS for saker som er relevant for utviklingen innen e-helseområdet. Anmodningsvedtaket anses som fulgt opp. Det vises til omtale under kap. 701, post 21.</w:t>
      </w:r>
    </w:p>
    <w:p w14:paraId="1BC4E865" w14:textId="77777777" w:rsidR="00972395" w:rsidRPr="00E73D4B" w:rsidRDefault="00F120C7" w:rsidP="00E73D4B">
      <w:pPr>
        <w:pStyle w:val="avsnitt-tittel"/>
      </w:pPr>
      <w:r w:rsidRPr="00E73D4B">
        <w:t>Investeringsbeslutninger og tiltak i nasjonal e-helseportefølje</w:t>
      </w:r>
    </w:p>
    <w:p w14:paraId="6C1423A2" w14:textId="77777777" w:rsidR="00972395" w:rsidRPr="00E73D4B" w:rsidRDefault="00F120C7" w:rsidP="00E73D4B">
      <w:pPr>
        <w:pStyle w:val="avsnitt-undertittel"/>
      </w:pPr>
      <w:r w:rsidRPr="00E73D4B">
        <w:t>Vedtak nr. 88, 14. desember 2021</w:t>
      </w:r>
    </w:p>
    <w:p w14:paraId="5BA7FFDA" w14:textId="2CF2DEAC" w:rsidR="00972395" w:rsidRPr="00E73D4B" w:rsidRDefault="00F120C7" w:rsidP="00E73D4B">
      <w:pPr>
        <w:pStyle w:val="blokksit"/>
      </w:pPr>
      <w:r w:rsidRPr="00E73D4B">
        <w:rPr>
          <w:rStyle w:val="kursiv"/>
        </w:rPr>
        <w:t>«Stortinget ber regjeringen sørge for at vekst i kostnader til forvaltning og drift som er en konsekvens av investeringsbeslutninger og tiltak i nasjonal e</w:t>
      </w:r>
      <w:r w:rsidR="00E73D4B">
        <w:rPr>
          <w:rStyle w:val="kursiv"/>
        </w:rPr>
        <w:t>-</w:t>
      </w:r>
      <w:r w:rsidRPr="00E73D4B">
        <w:rPr>
          <w:rStyle w:val="kursiv"/>
        </w:rPr>
        <w:t>helseportefølje, skal synliggjøres og behandles i den nasjonale styringsmodellen for e</w:t>
      </w:r>
      <w:r w:rsidR="00E73D4B">
        <w:rPr>
          <w:rStyle w:val="kursiv"/>
        </w:rPr>
        <w:t>-</w:t>
      </w:r>
      <w:r w:rsidRPr="00E73D4B">
        <w:rPr>
          <w:rStyle w:val="kursiv"/>
        </w:rPr>
        <w:t>helse.»</w:t>
      </w:r>
    </w:p>
    <w:p w14:paraId="570F2DBA"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3 L (2021–2022), jf. </w:t>
      </w:r>
      <w:proofErr w:type="spellStart"/>
      <w:r w:rsidRPr="00E73D4B">
        <w:t>Innst</w:t>
      </w:r>
      <w:proofErr w:type="spellEnd"/>
      <w:r w:rsidRPr="00E73D4B">
        <w:t>. 47 L (2021–2022). Direktoratet for e-helse har i tildelingsbrevet for 2022 fått i oppdrag å sørge for at vekst i kostnader til forvaltning og drift som er en konsekvens av investeringsbeslutninger og tiltak i nasjonal e-helseportefølje, synliggjøres og behandles i den nasjonale rådsmodellen (tidligere styringsmodellen). I tillegg skal direktoratet sørge for at det gjøres en konkret vurdering av om kostnadene faller innenfor plikten til betaling, krever lov eller forskriftsendring eller må finansieres på annen måte.</w:t>
      </w:r>
    </w:p>
    <w:p w14:paraId="7C5A291C" w14:textId="77777777" w:rsidR="00972395" w:rsidRPr="00E73D4B" w:rsidRDefault="00F120C7" w:rsidP="00E73D4B">
      <w:r w:rsidRPr="00E73D4B">
        <w:t>Anmodningsvedtaket anses som fulgt opp. Det vises til omtale under kap. 701, post 21.</w:t>
      </w:r>
    </w:p>
    <w:p w14:paraId="29E810A2" w14:textId="77777777" w:rsidR="00972395" w:rsidRPr="00E73D4B" w:rsidRDefault="00F120C7" w:rsidP="00E73D4B">
      <w:pPr>
        <w:pStyle w:val="avsnitt-tittel"/>
      </w:pPr>
      <w:r w:rsidRPr="00E73D4B">
        <w:t>Evaluering av prismodell for nasjonale e-helseløsninger</w:t>
      </w:r>
    </w:p>
    <w:p w14:paraId="46D2DB43" w14:textId="77777777" w:rsidR="00972395" w:rsidRPr="00E73D4B" w:rsidRDefault="00F120C7" w:rsidP="00E73D4B">
      <w:pPr>
        <w:pStyle w:val="avsnitt-undertittel"/>
      </w:pPr>
      <w:r w:rsidRPr="00E73D4B">
        <w:t>Vedtak nr. 89, 14. desember 2021</w:t>
      </w:r>
    </w:p>
    <w:p w14:paraId="22326CF6" w14:textId="77777777" w:rsidR="00972395" w:rsidRPr="00E73D4B" w:rsidRDefault="00F120C7" w:rsidP="00E73D4B">
      <w:pPr>
        <w:pStyle w:val="blokksit"/>
      </w:pPr>
      <w:r w:rsidRPr="00E73D4B">
        <w:rPr>
          <w:rStyle w:val="kursiv"/>
        </w:rPr>
        <w:t>«Stortinget ber regjeringen sørge for at prismodellene for de nasjonale e-helseløsningene evalueres og justeres basert på erfaringer med ordningene innen 2024, og at kommunenes andel av kostnadsveksten skal ta utgangspunkt i en vurdering av nytten for den kommunale helse- og omsorgstjenesten.»</w:t>
      </w:r>
    </w:p>
    <w:p w14:paraId="038AE81F" w14:textId="6F0D2919" w:rsidR="00972395" w:rsidRPr="00E73D4B" w:rsidRDefault="00F120C7" w:rsidP="00E73D4B">
      <w:r w:rsidRPr="00E73D4B">
        <w:t xml:space="preserve">Vedtaket ble truffet ved behandling av </w:t>
      </w:r>
      <w:proofErr w:type="spellStart"/>
      <w:r w:rsidRPr="00E73D4B">
        <w:t>Prop</w:t>
      </w:r>
      <w:proofErr w:type="spellEnd"/>
      <w:r w:rsidRPr="00E73D4B">
        <w:t xml:space="preserve">. 3 L (2021–2022), jf. </w:t>
      </w:r>
      <w:proofErr w:type="spellStart"/>
      <w:r w:rsidRPr="00E73D4B">
        <w:t>Innst</w:t>
      </w:r>
      <w:proofErr w:type="spellEnd"/>
      <w:r w:rsidRPr="00E73D4B">
        <w:t>. 47 L (2021–2022). Anmodningsvedtaket følges opp gjennom oppdrag til Norsk helsenett SF og Direktoratet for e-helse. Norsk helsenett har lagt fram forslag til hvordan evaluering og justering av prismodellene for de nasjonale e-helseløsningene skal gjennomføres og forberede for gjennomføring. Direktoratet for e</w:t>
      </w:r>
      <w:r w:rsidR="00E73D4B">
        <w:t>-</w:t>
      </w:r>
      <w:r w:rsidRPr="00E73D4B">
        <w:t>helse bistår Norsk helsenett i arbeidet. Evaluering og justering av prismodellene skal behandles i teknisk beregningsutvalg for nasjonale e-helseløsninger (TBU), i den nasjonale rådsmodellen for e-helse og drøftes i politiske konsultasjoner med KS. Norsk helsenett har startet arbeidet med sikte på gjennomføring av justeringer i prismodellene fra 1. januar 2024.</w:t>
      </w:r>
    </w:p>
    <w:p w14:paraId="02F79D12" w14:textId="77777777" w:rsidR="00972395" w:rsidRPr="00E73D4B" w:rsidRDefault="00F120C7" w:rsidP="00E73D4B">
      <w:pPr>
        <w:pStyle w:val="avsnitt-tittel"/>
      </w:pPr>
      <w:r w:rsidRPr="00E73D4B">
        <w:t>Overgangsordning for autorisasjon av paramedisinere</w:t>
      </w:r>
    </w:p>
    <w:p w14:paraId="70516AAB" w14:textId="77777777" w:rsidR="00972395" w:rsidRPr="00E73D4B" w:rsidRDefault="00F120C7" w:rsidP="00E73D4B">
      <w:pPr>
        <w:pStyle w:val="avsnitt-undertittel"/>
      </w:pPr>
      <w:r w:rsidRPr="00E73D4B">
        <w:t>Vedtak nr. 416, 8. mars 2022</w:t>
      </w:r>
    </w:p>
    <w:p w14:paraId="7E7605A0" w14:textId="77777777" w:rsidR="00972395" w:rsidRPr="00E73D4B" w:rsidRDefault="00F120C7" w:rsidP="00E73D4B">
      <w:pPr>
        <w:pStyle w:val="blokksit"/>
      </w:pPr>
      <w:r w:rsidRPr="00E73D4B">
        <w:rPr>
          <w:rStyle w:val="kursiv"/>
        </w:rPr>
        <w:t xml:space="preserve">«Stortinget ber regjeringen vurdere en overgangsordning som kan gi ambulansearbeidere og sykepleiere med Nasjonal </w:t>
      </w:r>
      <w:proofErr w:type="spellStart"/>
      <w:r w:rsidRPr="00E73D4B">
        <w:rPr>
          <w:rStyle w:val="kursiv"/>
        </w:rPr>
        <w:t>paramedic</w:t>
      </w:r>
      <w:proofErr w:type="spellEnd"/>
      <w:r w:rsidRPr="00E73D4B">
        <w:rPr>
          <w:rStyle w:val="kursiv"/>
        </w:rPr>
        <w:t>-etterutdanning mulighet til å bli autorisert som paramedisiner etter søknad.»</w:t>
      </w:r>
    </w:p>
    <w:p w14:paraId="10C2C470" w14:textId="77777777" w:rsidR="00972395" w:rsidRPr="00E73D4B" w:rsidRDefault="00F120C7" w:rsidP="00E73D4B">
      <w:r w:rsidRPr="00E73D4B">
        <w:t xml:space="preserve">Vedtaket ble truffet ved Stortinget behandling av </w:t>
      </w:r>
      <w:proofErr w:type="spellStart"/>
      <w:r w:rsidRPr="00E73D4B">
        <w:t>Prop</w:t>
      </w:r>
      <w:proofErr w:type="spellEnd"/>
      <w:r w:rsidRPr="00E73D4B">
        <w:t xml:space="preserve">. 236 L (2020–2021), jf. </w:t>
      </w:r>
      <w:proofErr w:type="spellStart"/>
      <w:r w:rsidRPr="00E73D4B">
        <w:t>Innst</w:t>
      </w:r>
      <w:proofErr w:type="spellEnd"/>
      <w:r w:rsidRPr="00E73D4B">
        <w:t>. 170 L (2021–2022).</w:t>
      </w:r>
    </w:p>
    <w:p w14:paraId="1AF6B32A" w14:textId="77777777" w:rsidR="00972395" w:rsidRPr="00E73D4B" w:rsidRDefault="00F120C7" w:rsidP="00E73D4B">
      <w:r w:rsidRPr="00E73D4B">
        <w:t>Helse- og omsorgsdepartementet følger opp vedtaket i samarbeid med Kunnskapsdepartementet.</w:t>
      </w:r>
    </w:p>
    <w:p w14:paraId="054407C3" w14:textId="77777777" w:rsidR="00972395" w:rsidRPr="00E73D4B" w:rsidRDefault="00F120C7" w:rsidP="00E73D4B">
      <w:pPr>
        <w:pStyle w:val="avsnitt-tittel"/>
      </w:pPr>
      <w:r w:rsidRPr="00E73D4B">
        <w:t>Avklaring knyttet til Register for utøvere av alternativ behandling</w:t>
      </w:r>
    </w:p>
    <w:p w14:paraId="1DEA6B7B" w14:textId="77777777" w:rsidR="00972395" w:rsidRPr="00E73D4B" w:rsidRDefault="00F120C7" w:rsidP="00E73D4B">
      <w:pPr>
        <w:pStyle w:val="avsnitt-undertittel"/>
      </w:pPr>
      <w:r w:rsidRPr="00E73D4B">
        <w:t>Vedtak nr. 417, 8. mars 2022</w:t>
      </w:r>
    </w:p>
    <w:p w14:paraId="452A0488" w14:textId="77777777" w:rsidR="00972395" w:rsidRPr="00E73D4B" w:rsidRDefault="00F120C7" w:rsidP="00E73D4B">
      <w:pPr>
        <w:pStyle w:val="blokksit"/>
      </w:pPr>
      <w:r w:rsidRPr="00E73D4B">
        <w:rPr>
          <w:rStyle w:val="kursiv"/>
        </w:rPr>
        <w:t>«Stortinget ber regjeringen avklare hvilke av tjenestetilbyderne som er registrert i Registeret for utøvere av alternativ behandling, som kan anses å yte helsehjelp, og komme tilbake til Stortinget med en helhetlig gjennomgang av ordningene for autorisasjon, lisens og spesialistgodkjenning av helsepersonell, herunder en vurdering av hvilke grupper som skal omfattes av disse ordningene og få fritak fra merverdiavgiftsloven, så snart som mulig.»</w:t>
      </w:r>
    </w:p>
    <w:p w14:paraId="77FCADBE" w14:textId="77777777" w:rsidR="00972395" w:rsidRPr="00E73D4B" w:rsidRDefault="00F120C7" w:rsidP="00E73D4B">
      <w:r w:rsidRPr="00E73D4B">
        <w:t>Vedtaket ble truffet ved behandling av lovforslag om endringer i helsepersonelloven (autorisasjon av naprapater, osteopater og paramedisinere). Endringene i loven omfatter etter Stortingets behandling også manuellterapeuter.</w:t>
      </w:r>
    </w:p>
    <w:p w14:paraId="33A25825" w14:textId="77777777" w:rsidR="00972395" w:rsidRPr="00E73D4B" w:rsidRDefault="00F120C7" w:rsidP="00E73D4B">
      <w:r w:rsidRPr="00E73D4B">
        <w:t>Helse- og omsorgsdepartementet vil følge opp gjeldende anmodningsvedtak i stortingsmeldingen Nasjonal helse- og samhandlingsplan som det tas sikte på at fremlegges høsten 2023.</w:t>
      </w:r>
    </w:p>
    <w:p w14:paraId="761C62AC" w14:textId="77777777" w:rsidR="00972395" w:rsidRPr="00E73D4B" w:rsidRDefault="00F120C7" w:rsidP="00E73D4B">
      <w:pPr>
        <w:pStyle w:val="avsnitt-tittel"/>
      </w:pPr>
      <w:r w:rsidRPr="00E73D4B">
        <w:t>Sikring av helsefaglig oppfølging etter fødsel med hjemmebesøk</w:t>
      </w:r>
    </w:p>
    <w:p w14:paraId="3A025B84" w14:textId="77777777" w:rsidR="00972395" w:rsidRPr="00E73D4B" w:rsidRDefault="00F120C7" w:rsidP="00E73D4B">
      <w:pPr>
        <w:pStyle w:val="avsnitt-undertittel"/>
      </w:pPr>
      <w:r w:rsidRPr="00E73D4B">
        <w:t>Vedtak nr. 516, 3. mai 2022</w:t>
      </w:r>
    </w:p>
    <w:p w14:paraId="077DBAB0" w14:textId="77777777" w:rsidR="00972395" w:rsidRPr="00E73D4B" w:rsidRDefault="00F120C7" w:rsidP="00E73D4B">
      <w:pPr>
        <w:pStyle w:val="blokksit"/>
      </w:pPr>
      <w:r w:rsidRPr="00E73D4B">
        <w:rPr>
          <w:rStyle w:val="kursiv"/>
        </w:rPr>
        <w:t>«Stortinget ber regjeringen i forbindelse med det varslede arbeidet med nasjonal helse- og samhandlingsplan og helhetlig gjennomgang av føde- og barseltilbudet, sikre kvinner nødvendig helsefaglig oppfølging etter fødsel, herunder hjemmebesøk.»</w:t>
      </w:r>
    </w:p>
    <w:p w14:paraId="7D6F9C58" w14:textId="77777777" w:rsidR="00972395" w:rsidRPr="00E73D4B" w:rsidRDefault="00F120C7" w:rsidP="00E73D4B">
      <w:r w:rsidRPr="00E73D4B">
        <w:t xml:space="preserve">Vedtaket ble truffet ved behandling av Dokument 8:85 S (2021–2022), jf. </w:t>
      </w:r>
      <w:proofErr w:type="spellStart"/>
      <w:r w:rsidRPr="00E73D4B">
        <w:t>Innst</w:t>
      </w:r>
      <w:proofErr w:type="spellEnd"/>
      <w:r w:rsidRPr="00E73D4B">
        <w:t>. 255 S (2021–2022).</w:t>
      </w:r>
    </w:p>
    <w:p w14:paraId="3DCDD4D4" w14:textId="77777777" w:rsidR="00972395" w:rsidRPr="00E73D4B" w:rsidRDefault="00F120C7" w:rsidP="00E73D4B">
      <w:r w:rsidRPr="00E73D4B">
        <w:t>Regjeringen vil komme tilbake til Stortinget om oppfølging av vedtaket i forbindelse med arbeidet med nasjonal helse- og samhandlingsplan.</w:t>
      </w:r>
    </w:p>
    <w:p w14:paraId="1C6AA268" w14:textId="77777777" w:rsidR="00972395" w:rsidRPr="00E73D4B" w:rsidRDefault="00F120C7" w:rsidP="00E73D4B">
      <w:pPr>
        <w:pStyle w:val="avsnitt-tittel"/>
      </w:pPr>
      <w:r w:rsidRPr="00E73D4B">
        <w:t>Lovfesting av rett til selvvalgt støtteperson gjennom graviditet og fødsel</w:t>
      </w:r>
    </w:p>
    <w:p w14:paraId="41E53E02" w14:textId="77777777" w:rsidR="00972395" w:rsidRPr="00E73D4B" w:rsidRDefault="00F120C7" w:rsidP="00E73D4B">
      <w:pPr>
        <w:pStyle w:val="avsnitt-undertittel"/>
      </w:pPr>
      <w:r w:rsidRPr="00E73D4B">
        <w:t>Vedtak nr. 517, 3. mai 2022</w:t>
      </w:r>
    </w:p>
    <w:p w14:paraId="12889E7B" w14:textId="77777777" w:rsidR="00972395" w:rsidRPr="00E73D4B" w:rsidRDefault="00F120C7" w:rsidP="00E73D4B">
      <w:pPr>
        <w:pStyle w:val="blokksit"/>
      </w:pPr>
      <w:r w:rsidRPr="00E73D4B">
        <w:rPr>
          <w:rStyle w:val="kursiv"/>
        </w:rPr>
        <w:t>«Stortinget ber regjeringen fremme forslag om å lovfeste retten til å ha med en støtteperson som mor velger, under svangerskap og i fødsel og i barsel.»</w:t>
      </w:r>
    </w:p>
    <w:p w14:paraId="1E34A0AA" w14:textId="77777777" w:rsidR="00972395" w:rsidRPr="00E73D4B" w:rsidRDefault="00F120C7" w:rsidP="00E73D4B">
      <w:r w:rsidRPr="00E73D4B">
        <w:t xml:space="preserve">Vedtaket ble truffet ved Stortingets behandling av Dokument 8:85 S (2021–2022), jf. </w:t>
      </w:r>
      <w:proofErr w:type="spellStart"/>
      <w:r w:rsidRPr="00E73D4B">
        <w:t>Innst</w:t>
      </w:r>
      <w:proofErr w:type="spellEnd"/>
      <w:r w:rsidRPr="00E73D4B">
        <w:t>. 255 S (2021–2022). Regjeringen vil komme tilbake til Stortinget på egnet måte.</w:t>
      </w:r>
    </w:p>
    <w:p w14:paraId="64045446" w14:textId="77777777" w:rsidR="00972395" w:rsidRPr="00E73D4B" w:rsidRDefault="00F120C7" w:rsidP="00E73D4B">
      <w:pPr>
        <w:pStyle w:val="avsnitt-tittel"/>
      </w:pPr>
      <w:r w:rsidRPr="00E73D4B">
        <w:t>Oppfølging og hjelpeapparat for forebygging av fødselsdepresjon</w:t>
      </w:r>
    </w:p>
    <w:p w14:paraId="1521FC51" w14:textId="77777777" w:rsidR="00972395" w:rsidRPr="00E73D4B" w:rsidRDefault="00F120C7" w:rsidP="00E73D4B">
      <w:pPr>
        <w:pStyle w:val="avsnitt-undertittel"/>
      </w:pPr>
      <w:r w:rsidRPr="00E73D4B">
        <w:t>Vedtak nr. 518, 3. mai 2022</w:t>
      </w:r>
    </w:p>
    <w:p w14:paraId="53D95EB4" w14:textId="77777777" w:rsidR="00972395" w:rsidRPr="00E73D4B" w:rsidRDefault="00F120C7" w:rsidP="00E73D4B">
      <w:pPr>
        <w:pStyle w:val="blokksit"/>
      </w:pPr>
      <w:r w:rsidRPr="00E73D4B">
        <w:rPr>
          <w:rStyle w:val="kursiv"/>
        </w:rPr>
        <w:t>«Stortinget ber regjeringen sikre bedre oppfølging og hjelpeapparat i forbindelse med svangerskap og barseltid for å forebygge og behandle fødselsdepresjon.»</w:t>
      </w:r>
    </w:p>
    <w:p w14:paraId="551310D5" w14:textId="77777777" w:rsidR="00972395" w:rsidRPr="00E73D4B" w:rsidRDefault="00F120C7" w:rsidP="00E73D4B">
      <w:r w:rsidRPr="00E73D4B">
        <w:t xml:space="preserve">Vedtaket ble truffet ved behandling av Dokument 8:85 S (2021–2022), jf. </w:t>
      </w:r>
      <w:proofErr w:type="spellStart"/>
      <w:r w:rsidRPr="00E73D4B">
        <w:t>Innst</w:t>
      </w:r>
      <w:proofErr w:type="spellEnd"/>
      <w:r w:rsidRPr="00E73D4B">
        <w:t>. 255 S (2021–2022).</w:t>
      </w:r>
    </w:p>
    <w:p w14:paraId="5779955E" w14:textId="77777777" w:rsidR="00972395" w:rsidRPr="00E73D4B" w:rsidRDefault="00F120C7" w:rsidP="00E73D4B">
      <w:r w:rsidRPr="00E73D4B">
        <w:t>Regjeringen vil komme tilbake til Stortinget om oppfølging av vedtaket i forbindelse med arbeidet med nasjonal helse- og samhandlingsplan og den kommende opptrappingsplanen for psykisk helse. Den varslede opptrappingsplanen for helsestasjons- og skolehelsetjenesten vil bl.a. inngå i disse arbeidene</w:t>
      </w:r>
    </w:p>
    <w:p w14:paraId="6E6416C1" w14:textId="77777777" w:rsidR="00972395" w:rsidRPr="00E73D4B" w:rsidRDefault="00F120C7" w:rsidP="00E73D4B">
      <w:pPr>
        <w:pStyle w:val="avsnitt-tittel"/>
      </w:pPr>
      <w:r w:rsidRPr="00E73D4B">
        <w:t>Behandlingssenter for alvorlig fødselsdepresjon tilrettelagt mor med barn</w:t>
      </w:r>
    </w:p>
    <w:p w14:paraId="10C9E1A1" w14:textId="77777777" w:rsidR="00972395" w:rsidRPr="00E73D4B" w:rsidRDefault="00F120C7" w:rsidP="00E73D4B">
      <w:pPr>
        <w:pStyle w:val="avsnitt-undertittel"/>
      </w:pPr>
      <w:r w:rsidRPr="00E73D4B">
        <w:t>Vedtak nr. 519, 3. mai 2022</w:t>
      </w:r>
    </w:p>
    <w:p w14:paraId="2BE1862D" w14:textId="77777777" w:rsidR="00972395" w:rsidRPr="00E73D4B" w:rsidRDefault="00F120C7" w:rsidP="00E73D4B">
      <w:pPr>
        <w:pStyle w:val="blokksit"/>
      </w:pPr>
      <w:r w:rsidRPr="00E73D4B">
        <w:rPr>
          <w:rStyle w:val="kursiv"/>
        </w:rPr>
        <w:t>«Stortinget ber regjeringen utrede behovet for behandlingssenter hvor mor kan være sammen med barnet ved alvorlig fødselsdepresjon.»</w:t>
      </w:r>
    </w:p>
    <w:p w14:paraId="05E53807" w14:textId="77777777" w:rsidR="00972395" w:rsidRPr="00E73D4B" w:rsidRDefault="00F120C7" w:rsidP="00E73D4B">
      <w:r w:rsidRPr="00E73D4B">
        <w:t xml:space="preserve">Vedtaket ble truffet ved Stortingets behandling av Dokument 8:85 S (2021–2022), jf. </w:t>
      </w:r>
      <w:proofErr w:type="spellStart"/>
      <w:r w:rsidRPr="00E73D4B">
        <w:t>Innst</w:t>
      </w:r>
      <w:proofErr w:type="spellEnd"/>
      <w:r w:rsidRPr="00E73D4B">
        <w:t xml:space="preserve">. 255 S (2021–2022). </w:t>
      </w:r>
    </w:p>
    <w:p w14:paraId="45A3298D" w14:textId="77777777" w:rsidR="00972395" w:rsidRPr="00E73D4B" w:rsidRDefault="00F120C7" w:rsidP="00E73D4B">
      <w:r w:rsidRPr="00E73D4B">
        <w:t>Vedtaket anses som fulgt opp gjennom oppdrag til Helsedirektoratet om å utrede om det er behov for å styrke forebygging og behandling ved ulike alvorlighetsgrader av fødselsdepresjon, og hvordan dette kan innrettes og organiseres.</w:t>
      </w:r>
    </w:p>
    <w:p w14:paraId="1F7DEB3A" w14:textId="77777777" w:rsidR="00972395" w:rsidRPr="00E73D4B" w:rsidRDefault="00F120C7" w:rsidP="00E73D4B">
      <w:pPr>
        <w:pStyle w:val="avsnitt-tittel"/>
      </w:pPr>
      <w:r w:rsidRPr="00E73D4B">
        <w:t>Rettighetsfesting av hjemmebesøk av jordmor</w:t>
      </w:r>
    </w:p>
    <w:p w14:paraId="3CB5E437" w14:textId="77777777" w:rsidR="00972395" w:rsidRPr="00E73D4B" w:rsidRDefault="00F120C7" w:rsidP="00E73D4B">
      <w:pPr>
        <w:pStyle w:val="avsnitt-undertittel"/>
      </w:pPr>
      <w:r w:rsidRPr="00E73D4B">
        <w:t>Vedtak nr. 520, 3. mai 2022</w:t>
      </w:r>
    </w:p>
    <w:p w14:paraId="2900EB26" w14:textId="77777777" w:rsidR="00972395" w:rsidRPr="00E73D4B" w:rsidRDefault="00F120C7" w:rsidP="00E73D4B">
      <w:pPr>
        <w:pStyle w:val="blokksit"/>
      </w:pPr>
      <w:r w:rsidRPr="00E73D4B">
        <w:rPr>
          <w:rStyle w:val="kursiv"/>
        </w:rPr>
        <w:t>«Stortinget ber regjeringen rettighetsfeste hjemmebesøk av jordmor innen én uke etter fødsel.»</w:t>
      </w:r>
    </w:p>
    <w:p w14:paraId="2349CA20" w14:textId="77777777" w:rsidR="00972395" w:rsidRPr="00E73D4B" w:rsidRDefault="00F120C7" w:rsidP="00E73D4B">
      <w:r w:rsidRPr="00E73D4B">
        <w:t xml:space="preserve">Vedtaket ble truffet ved behandling av Dokument 8:85 S (2021–2022), jf. </w:t>
      </w:r>
      <w:proofErr w:type="spellStart"/>
      <w:r w:rsidRPr="00E73D4B">
        <w:t>Innst</w:t>
      </w:r>
      <w:proofErr w:type="spellEnd"/>
      <w:r w:rsidRPr="00E73D4B">
        <w:t>. 255 S (2021–2022).</w:t>
      </w:r>
    </w:p>
    <w:p w14:paraId="60DC05BD" w14:textId="77777777" w:rsidR="00972395" w:rsidRPr="00E73D4B" w:rsidRDefault="00F120C7" w:rsidP="00E73D4B">
      <w:r w:rsidRPr="00E73D4B">
        <w:t>Regjeringen vil komme tilbake til Stortinget om oppfølging av vedtaket i forbindelse med arbeidet med nasjonal helse- og samhandlingsplan og den kommende opptrappingsplanen for psykisk helse.</w:t>
      </w:r>
    </w:p>
    <w:p w14:paraId="73D514E0" w14:textId="77777777" w:rsidR="00972395" w:rsidRPr="00E73D4B" w:rsidRDefault="00F120C7" w:rsidP="00E73D4B">
      <w:pPr>
        <w:pStyle w:val="avsnitt-tittel"/>
      </w:pPr>
      <w:r w:rsidRPr="00E73D4B">
        <w:t>Utredning av spesialistforskriften</w:t>
      </w:r>
    </w:p>
    <w:p w14:paraId="508EC0D2" w14:textId="77777777" w:rsidR="00972395" w:rsidRPr="00E73D4B" w:rsidRDefault="00F120C7" w:rsidP="00E73D4B">
      <w:pPr>
        <w:pStyle w:val="avsnitt-undertittel"/>
      </w:pPr>
      <w:r w:rsidRPr="00E73D4B">
        <w:t>Vedtak nr. 561, 24. mai 2022</w:t>
      </w:r>
    </w:p>
    <w:p w14:paraId="0F88246A" w14:textId="77777777" w:rsidR="00972395" w:rsidRPr="00E73D4B" w:rsidRDefault="00F120C7" w:rsidP="00E73D4B">
      <w:pPr>
        <w:pStyle w:val="blokksit"/>
      </w:pPr>
      <w:r w:rsidRPr="00E73D4B">
        <w:rPr>
          <w:rStyle w:val="kursiv"/>
        </w:rPr>
        <w:t>«Stortinget ber regjeringen så raskt som mulig utrede å endre spesialistforskriften§ 18 første ledd for å åpne for at leger som har gjennomført praktisk tjeneste i et annet EU-/EØS-land, etter søknad og konkret vurdering av læringsmål kan få godkjent hele eller deler av den praktiske tjenesten som LIS1-tjeneste, samtidig som LIS1-ordningen sikres og opprettholdes. Regjeringen bes komme tilbake til Stortinget på egnet måte innen utgangen av 2022.»</w:t>
      </w:r>
    </w:p>
    <w:p w14:paraId="74E9AE1A" w14:textId="77777777" w:rsidR="00972395" w:rsidRPr="00E73D4B" w:rsidRDefault="00F120C7" w:rsidP="00E73D4B">
      <w:r w:rsidRPr="00E73D4B">
        <w:t xml:space="preserve">Vedtaket ble truffet ved behandling av Dokument 8:98 S (2021–2022) og Dokument 8:128 S (2021–2022), jf. </w:t>
      </w:r>
      <w:proofErr w:type="spellStart"/>
      <w:r w:rsidRPr="00E73D4B">
        <w:t>Innst</w:t>
      </w:r>
      <w:proofErr w:type="spellEnd"/>
      <w:r w:rsidRPr="00E73D4B">
        <w:t>. 297 S (2021–2022). Helse- og omsorgsdepartementet vil utrede saken helhetlig og i henhold til Stortingets vedtak. Som grunnlag inngår rapporter og annet materiale som Helsedirektoratet har utarbeidet om den første delen av legenes spesialistutdanning (LIS1). I tillegg vil ulike regelverk være relevante, herunder spesialistforskriften, EØS-regelverket og regelverk om krav til kompetanse for leger som arbeider i den kommunale helse- og omsorgstjenesten. Saken vil bli utredet i lys av behovet for leger, særlig i distriktene. Helse- og omsorgsdepartementet vil komme tilbake til Stortinget på egnet måte.</w:t>
      </w:r>
    </w:p>
    <w:p w14:paraId="43C9131B" w14:textId="77777777" w:rsidR="00972395" w:rsidRPr="00E73D4B" w:rsidRDefault="00F120C7" w:rsidP="00E73D4B">
      <w:pPr>
        <w:pStyle w:val="avsnitt-tittel"/>
      </w:pPr>
      <w:r w:rsidRPr="00E73D4B">
        <w:t>Helsehjelp og psykologisk oppfølging av ukrainske flyktninger</w:t>
      </w:r>
    </w:p>
    <w:p w14:paraId="13EECFCC" w14:textId="77777777" w:rsidR="00972395" w:rsidRPr="00E73D4B" w:rsidRDefault="00F120C7" w:rsidP="00E73D4B">
      <w:pPr>
        <w:pStyle w:val="avsnitt-undertittel"/>
      </w:pPr>
      <w:r w:rsidRPr="00E73D4B">
        <w:t>Vedtak nr. 570, 24. mai 2022</w:t>
      </w:r>
    </w:p>
    <w:p w14:paraId="4BA6888B" w14:textId="77777777" w:rsidR="00972395" w:rsidRPr="00E73D4B" w:rsidRDefault="00F120C7" w:rsidP="00E73D4B">
      <w:pPr>
        <w:pStyle w:val="blokksit"/>
      </w:pPr>
      <w:r w:rsidRPr="00E73D4B">
        <w:rPr>
          <w:rStyle w:val="kursiv"/>
        </w:rPr>
        <w:t>«Stortinget ber regjeringen sikre at helsetjenestene er beredt til å ta imot ukrainske flyktninger med kollektiv beskyttelse og gi de som trenger det, helsehjelp og tilbud om psykologisk oppfølging, og gi sikkerhet for at ekstraordinære kostnader knyttet til dette vil bli kompensert.»</w:t>
      </w:r>
    </w:p>
    <w:p w14:paraId="4ED1289E" w14:textId="77777777" w:rsidR="00972395" w:rsidRPr="00E73D4B" w:rsidRDefault="00F120C7" w:rsidP="00E73D4B">
      <w:r w:rsidRPr="00E73D4B">
        <w:t xml:space="preserve">Vedtaket ble truffet ved behandling av Dokument 8:147 S (2021–2022), jf. </w:t>
      </w:r>
      <w:proofErr w:type="spellStart"/>
      <w:r w:rsidRPr="00E73D4B">
        <w:t>Innst</w:t>
      </w:r>
      <w:proofErr w:type="spellEnd"/>
      <w:r w:rsidRPr="00E73D4B">
        <w:t>. 292 S (2021–2022).</w:t>
      </w:r>
    </w:p>
    <w:p w14:paraId="4910135C" w14:textId="77777777" w:rsidR="00972395" w:rsidRPr="00E73D4B" w:rsidRDefault="00F120C7" w:rsidP="00E73D4B">
      <w:r w:rsidRPr="00E73D4B">
        <w:t xml:space="preserve">Helse- og omsorgsdepartementet viser til at personer fordrevet fra Ukraina som har midlertidig kollektiv beskyttelse og asylsøkere i Norge har samme rett til helsetjenester som resten av Norges befolkning. Helse- og omsorgsdepartementet har siden krigsutbruddet fulgt situasjonen med økte ankomster av personer fra Ukraina nøye, bl.a. for å følge med på at det er tilstrekkelig kapasitet i helse- og omsorgstjenesten som følge av økte ankomster. Det har vært tett kontakt mellom helsemyndighetene og statsforvaltere og kommuner for å vurdere tiltak som kan avlaste eller øke kapasiteten i helsetjenesten. Kommunene har i hovedsak meldt om at kapasiteten i helsetjenesten jevnt over er god, samtidig rapporterer mange kommuner, særlig de som har mottak, om press på fastlegetjenesten, helsestasjons- og skolehelsetjenesten og psykososial oppfølging. Gjennom Stortingets behandling av </w:t>
      </w:r>
      <w:proofErr w:type="spellStart"/>
      <w:r w:rsidRPr="00E73D4B">
        <w:t>Prop</w:t>
      </w:r>
      <w:proofErr w:type="spellEnd"/>
      <w:r w:rsidRPr="00E73D4B">
        <w:t xml:space="preserve">. 78 S (2021–2022), jf. </w:t>
      </w:r>
      <w:proofErr w:type="spellStart"/>
      <w:r w:rsidRPr="00E73D4B">
        <w:t>Innst</w:t>
      </w:r>
      <w:proofErr w:type="spellEnd"/>
      <w:r w:rsidRPr="00E73D4B">
        <w:t>. 270 S (2021–2022) ble det bevilget 15 mill. kroner til å styrke psykososial beredskap. Dette har skjedd gjennom en midlertidig økning til relevante kompetansesentre og gjennom å opprette en rammeavtale som kan sikre kommunene praktisk psykososial bistand ved kriser og katastrofer.</w:t>
      </w:r>
    </w:p>
    <w:p w14:paraId="08C381B9" w14:textId="77777777" w:rsidR="00972395" w:rsidRPr="00E73D4B" w:rsidRDefault="00F120C7" w:rsidP="00E73D4B">
      <w:r w:rsidRPr="00E73D4B">
        <w:t>De regionale helseforetakene ble bedt om å forberede seg på en stor flyktningetilstrømming fra Ukraina, og i den forbindelse bl.a. sikre stor nok kapasitet til tuberkulosescreening. Her er det gjennomført tiltak for å øke kapasiteten. I tillegg har de regionale helseforetakene etablert en nasjonal og regional koordinering av mottak av medisinsk evakuerte pasienter fra Ukraina som befinner seg i nabolandene. Det lagt til grunn at kostnadene for behandling av medisinsk evakuerte pasienter fra Ukraina vil bli dekket. Videre vil det bli vurdert om det er behov for å kompensere spesialisthelsetjenesten for ekstrabelastningen som følge av den økte flyktningetilstrømmingen.</w:t>
      </w:r>
    </w:p>
    <w:p w14:paraId="4F544CC1" w14:textId="77777777" w:rsidR="00972395" w:rsidRPr="00E73D4B" w:rsidRDefault="00F120C7" w:rsidP="00E73D4B">
      <w:r w:rsidRPr="00E73D4B">
        <w:t>Anmodningsvedtaket anses som kvittert ut. Det vises til omtale på kap. 762.</w:t>
      </w:r>
    </w:p>
    <w:p w14:paraId="70116AF1" w14:textId="77777777" w:rsidR="00972395" w:rsidRPr="00E73D4B" w:rsidRDefault="00F120C7" w:rsidP="00E73D4B">
      <w:pPr>
        <w:pStyle w:val="avsnitt-tittel"/>
      </w:pPr>
      <w:r w:rsidRPr="00E73D4B">
        <w:t>Døgnbehandling for psykisk syke barn</w:t>
      </w:r>
    </w:p>
    <w:p w14:paraId="67408FCB" w14:textId="77777777" w:rsidR="00972395" w:rsidRPr="00E73D4B" w:rsidRDefault="00F120C7" w:rsidP="00E73D4B">
      <w:pPr>
        <w:pStyle w:val="avsnitt-undertittel"/>
      </w:pPr>
      <w:r w:rsidRPr="00E73D4B">
        <w:t>Vedtak nr. 641, 2. juni 2022</w:t>
      </w:r>
    </w:p>
    <w:p w14:paraId="32D93C7C" w14:textId="77777777" w:rsidR="00972395" w:rsidRPr="00E73D4B" w:rsidRDefault="00F120C7" w:rsidP="00E73D4B">
      <w:pPr>
        <w:pStyle w:val="blokksit"/>
      </w:pPr>
      <w:r w:rsidRPr="00E73D4B">
        <w:rPr>
          <w:rStyle w:val="kursiv"/>
        </w:rPr>
        <w:t>«Stortinget ber regjeringen sørge for at alle psykisk syke barn og unge under 13 år som har behov for det, får tilgang på døgnbehandling både på ukedager og i helgene.»</w:t>
      </w:r>
    </w:p>
    <w:p w14:paraId="52F21D70" w14:textId="77777777" w:rsidR="00972395" w:rsidRPr="00E73D4B" w:rsidRDefault="00F120C7" w:rsidP="00E73D4B">
      <w:r w:rsidRPr="00E73D4B">
        <w:t xml:space="preserve">Vedtaket ble truffet ved behandling av Dokument 8: 166 S, jf. </w:t>
      </w:r>
      <w:proofErr w:type="spellStart"/>
      <w:r w:rsidRPr="00E73D4B">
        <w:t>Innst</w:t>
      </w:r>
      <w:proofErr w:type="spellEnd"/>
      <w:r w:rsidRPr="00E73D4B">
        <w:t>. 426 S (2021–2022).</w:t>
      </w:r>
    </w:p>
    <w:p w14:paraId="2D603AF7" w14:textId="77777777" w:rsidR="00972395" w:rsidRPr="00E73D4B" w:rsidRDefault="00F120C7" w:rsidP="00E73D4B">
      <w:r w:rsidRPr="00E73D4B">
        <w:t>Flere barn og unge henvises til BUP og mange henvises med mer alvorlige lidelser enn tidligere. Noen vil i perioder ha behov for døgnbehandling. Det er innhentet status fra de regionale helseforetakene, som viser at alle helseforetak har tilgang til døgnbehandling for barn og unge med psykiske lidelser under 13 år hele uken og hele året, og at det gjennomføres tiltak for å øke kapasiteten.</w:t>
      </w:r>
    </w:p>
    <w:p w14:paraId="5FC2D112" w14:textId="77777777" w:rsidR="00972395" w:rsidRPr="00E73D4B" w:rsidRDefault="00F120C7" w:rsidP="00E73D4B">
      <w:r w:rsidRPr="00E73D4B">
        <w:t>De regionale helseforetakene er bedt om å prioritere tilbudet til barn og unge med psykiske lidelser. I oppdragsdokumentet for 2022 er det innført mål om å styrke tilbudet for bl.a. barn og unge, samt stilt krav om at aktiviteten i psykisk helsevern skal være høyere i 2022 sammenlignet med 2021 både innen døgnbehandling og poliklinisk aktivitet. I revidert oppdragsdokument fra juni 2022 er RHF bedt om å prioritere tilbudet til mennesker med spiseforstyrrelser gjennom å videreutvikle og styrke tilbudet for barn, unge og unge voksne. Det vises også til at regjeringen har styrket budsjettet for 2022 til kommunene og spesialisthelsetjenesten, bl.a. for å legge til rette for at barn og unge skal få den hjelpen de trenger. I 2023 skal 150 millioner kroner av den økte grunnfinansieringen til sykehusene gå til døgnbehandling innen psykisk helsevern for barn, unge og voksne.</w:t>
      </w:r>
    </w:p>
    <w:p w14:paraId="4FDB9A59" w14:textId="77777777" w:rsidR="00972395" w:rsidRPr="00E73D4B" w:rsidRDefault="00F120C7" w:rsidP="00E73D4B">
      <w:r w:rsidRPr="00E73D4B">
        <w:t xml:space="preserve">Gjennom den kommende opptrappingsplanen for psykisk helse skal man styrke kapasitet og kvalitet i hele tjenesten, øke </w:t>
      </w:r>
      <w:proofErr w:type="gramStart"/>
      <w:r w:rsidRPr="00E73D4B">
        <w:t>fokuset</w:t>
      </w:r>
      <w:proofErr w:type="gramEnd"/>
      <w:r w:rsidRPr="00E73D4B">
        <w:t xml:space="preserve"> på forebygging, gjøre hjelpen mer tilgjengelig og bedre tilbudet til dem med sammensatte behov. Som innspill til planen er de regionale helseforetakene bedt om å gjøre en fornyet helhetlig analyse og framskriving av behov for tjenester, personell og kompetanse innen psykisk helsevern og TSB, og på bakgrunn av dette foreslå konkrete tiltak for å styrke spesialisthelsetjenestens innsats innen disse to fagområdene. De skal også vurderer hvordan BUP, i samarbeid med kommunene, kan jobbe for å forebygge, fange opp og gi tidlig hjelp til barn og unge. Regjeringen vil komme tilbake til Stortinget på en egnet måte med forslag til ny opptrappingsplan.</w:t>
      </w:r>
    </w:p>
    <w:p w14:paraId="36BD1702" w14:textId="77777777" w:rsidR="00972395" w:rsidRPr="00E73D4B" w:rsidRDefault="00F120C7" w:rsidP="00E73D4B">
      <w:r w:rsidRPr="00E73D4B">
        <w:t>Anmodningsvedtaket anses som kvittert ut.</w:t>
      </w:r>
    </w:p>
    <w:p w14:paraId="0F2876EE" w14:textId="77777777" w:rsidR="00972395" w:rsidRPr="00E73D4B" w:rsidRDefault="00F120C7" w:rsidP="00E73D4B">
      <w:pPr>
        <w:pStyle w:val="avsnitt-tittel"/>
      </w:pPr>
      <w:r w:rsidRPr="00E73D4B">
        <w:t>Handlingsplan for reduksjon av ensomhet</w:t>
      </w:r>
    </w:p>
    <w:p w14:paraId="1E673BB7" w14:textId="77777777" w:rsidR="00972395" w:rsidRPr="00E73D4B" w:rsidRDefault="00F120C7" w:rsidP="00E73D4B">
      <w:pPr>
        <w:pStyle w:val="avsnitt-undertittel"/>
      </w:pPr>
      <w:r w:rsidRPr="00E73D4B">
        <w:t>Vedtak nr. 762, 10. juni 2022</w:t>
      </w:r>
    </w:p>
    <w:p w14:paraId="796A983E" w14:textId="77777777" w:rsidR="00972395" w:rsidRPr="00E73D4B" w:rsidRDefault="00F120C7" w:rsidP="00E73D4B">
      <w:pPr>
        <w:pStyle w:val="blokksit"/>
      </w:pPr>
      <w:r w:rsidRPr="00E73D4B">
        <w:rPr>
          <w:rStyle w:val="kursiv"/>
        </w:rPr>
        <w:t>«Stortinget ber regjeringen utarbeide en handlingsplan for å redusere ensomhet og etablere verktøy for å måle forekomsten av ensomhet.»</w:t>
      </w:r>
    </w:p>
    <w:p w14:paraId="095F8EA5" w14:textId="77777777" w:rsidR="00972395" w:rsidRPr="00E73D4B" w:rsidRDefault="00F120C7" w:rsidP="00E73D4B">
      <w:r w:rsidRPr="00E73D4B">
        <w:t xml:space="preserve">Vedtaket ble truffet ved Stortingets behandling av Dokument 8:219 S (2021–2022), jf. </w:t>
      </w:r>
      <w:proofErr w:type="spellStart"/>
      <w:r w:rsidRPr="00E73D4B">
        <w:t>Innst</w:t>
      </w:r>
      <w:proofErr w:type="spellEnd"/>
      <w:r w:rsidRPr="00E73D4B">
        <w:t>. 357 S (2021–2022). Regjeringen vil komme tilbake til Stortinget på egnet måte.</w:t>
      </w:r>
    </w:p>
    <w:p w14:paraId="31EFF6D5" w14:textId="77777777" w:rsidR="00972395" w:rsidRPr="00E73D4B" w:rsidRDefault="00F120C7" w:rsidP="00E73D4B">
      <w:pPr>
        <w:pStyle w:val="avsnitt-tittel"/>
      </w:pPr>
      <w:r w:rsidRPr="00E73D4B">
        <w:t>Styrking av forskning på ensomhet</w:t>
      </w:r>
    </w:p>
    <w:p w14:paraId="5DDD0745" w14:textId="77777777" w:rsidR="00972395" w:rsidRPr="00E73D4B" w:rsidRDefault="00F120C7" w:rsidP="00E73D4B">
      <w:pPr>
        <w:pStyle w:val="avsnitt-undertittel"/>
      </w:pPr>
      <w:r w:rsidRPr="00E73D4B">
        <w:t>Vedtak nr. 763, 10. juni 2022</w:t>
      </w:r>
    </w:p>
    <w:p w14:paraId="036CBD42" w14:textId="77777777" w:rsidR="00972395" w:rsidRPr="00E73D4B" w:rsidRDefault="00F120C7" w:rsidP="00E73D4B">
      <w:pPr>
        <w:pStyle w:val="blokksit"/>
      </w:pPr>
      <w:r w:rsidRPr="00E73D4B">
        <w:rPr>
          <w:rStyle w:val="kursiv"/>
        </w:rPr>
        <w:t>«Stortinget ber regjeringen styrke forskning på ensomhet og øke kunnskapen om tiltak som motvirker ensomhet.»</w:t>
      </w:r>
    </w:p>
    <w:p w14:paraId="7DA5429F" w14:textId="77777777" w:rsidR="00972395" w:rsidRPr="00E73D4B" w:rsidRDefault="00F120C7" w:rsidP="00E73D4B">
      <w:r w:rsidRPr="00E73D4B">
        <w:t xml:space="preserve">Vedtaket ble truffet ved Stortingets behandling av Dokument 8:219 S (2021–2022), jf. </w:t>
      </w:r>
      <w:proofErr w:type="spellStart"/>
      <w:r w:rsidRPr="00E73D4B">
        <w:t>Innst</w:t>
      </w:r>
      <w:proofErr w:type="spellEnd"/>
      <w:r w:rsidRPr="00E73D4B">
        <w:t>. 357 S (2021–2022). Regjeringen vil komme tilbake til Stortinget på egnet måte.</w:t>
      </w:r>
    </w:p>
    <w:p w14:paraId="47F9D010" w14:textId="77777777" w:rsidR="00972395" w:rsidRPr="00E73D4B" w:rsidRDefault="00F120C7" w:rsidP="00E73D4B">
      <w:pPr>
        <w:pStyle w:val="avsnitt-tittel"/>
      </w:pPr>
      <w:r w:rsidRPr="00E73D4B">
        <w:t>Styrking av samarbeid for forebygging av ensomhet</w:t>
      </w:r>
    </w:p>
    <w:p w14:paraId="55AFCADB" w14:textId="77777777" w:rsidR="00972395" w:rsidRPr="00E73D4B" w:rsidRDefault="00F120C7" w:rsidP="00E73D4B">
      <w:pPr>
        <w:pStyle w:val="avsnitt-undertittel"/>
      </w:pPr>
      <w:r w:rsidRPr="00E73D4B">
        <w:t>Vedtak nr. 764, 10. juni 2022</w:t>
      </w:r>
    </w:p>
    <w:p w14:paraId="5406139E" w14:textId="77777777" w:rsidR="00972395" w:rsidRPr="00E73D4B" w:rsidRDefault="00F120C7" w:rsidP="00E73D4B">
      <w:pPr>
        <w:pStyle w:val="blokksit"/>
      </w:pPr>
      <w:r w:rsidRPr="00E73D4B">
        <w:rPr>
          <w:rStyle w:val="kursiv"/>
        </w:rPr>
        <w:t>«Stortinget ber regjeringen styrke samarbeidet mellom det offentlige, næringslivet, arbeidslivet og frivillige lag og organisasjoner for å forebygge ensomhet.»</w:t>
      </w:r>
    </w:p>
    <w:p w14:paraId="082B68FF" w14:textId="77777777" w:rsidR="00972395" w:rsidRPr="00E73D4B" w:rsidRDefault="00F120C7" w:rsidP="00E73D4B">
      <w:r w:rsidRPr="00E73D4B">
        <w:t xml:space="preserve">Vedtaket ble truffet ved Stortingets behandling av Dokument 8:219 S (2021–2022), jf. </w:t>
      </w:r>
      <w:proofErr w:type="spellStart"/>
      <w:r w:rsidRPr="00E73D4B">
        <w:t>Innst</w:t>
      </w:r>
      <w:proofErr w:type="spellEnd"/>
      <w:r w:rsidRPr="00E73D4B">
        <w:t>. 357 S (2021–2022). Regjeringen vil komme tilbake til Stortinget på egnet måte.</w:t>
      </w:r>
    </w:p>
    <w:p w14:paraId="0467B4E4" w14:textId="77777777" w:rsidR="00972395" w:rsidRPr="00E73D4B" w:rsidRDefault="00F120C7" w:rsidP="00E73D4B">
      <w:pPr>
        <w:pStyle w:val="avsnitt-tittel"/>
      </w:pPr>
      <w:r w:rsidRPr="00E73D4B">
        <w:t>Gjennomgang av unntaksordning i Nye metoder</w:t>
      </w:r>
    </w:p>
    <w:p w14:paraId="19932F6D" w14:textId="77777777" w:rsidR="00972395" w:rsidRPr="00E73D4B" w:rsidRDefault="00F120C7" w:rsidP="00E73D4B">
      <w:pPr>
        <w:pStyle w:val="avsnitt-undertittel"/>
      </w:pPr>
      <w:r w:rsidRPr="00E73D4B">
        <w:t>Vedtak nr. 765, 10. juni 2022</w:t>
      </w:r>
    </w:p>
    <w:p w14:paraId="3E8F1C99" w14:textId="77777777" w:rsidR="00972395" w:rsidRPr="00E73D4B" w:rsidRDefault="00F120C7" w:rsidP="00E73D4B">
      <w:pPr>
        <w:pStyle w:val="blokksit"/>
      </w:pPr>
      <w:r w:rsidRPr="00E73D4B">
        <w:rPr>
          <w:rStyle w:val="kursiv"/>
        </w:rPr>
        <w:t xml:space="preserve">«Stortinget ber regjeringen følge anbefalingen fra </w:t>
      </w:r>
      <w:proofErr w:type="spellStart"/>
      <w:r w:rsidRPr="00E73D4B">
        <w:rPr>
          <w:rStyle w:val="kursiv"/>
        </w:rPr>
        <w:t>Proba</w:t>
      </w:r>
      <w:proofErr w:type="spellEnd"/>
      <w:r w:rsidRPr="00E73D4B">
        <w:rPr>
          <w:rStyle w:val="kursiv"/>
        </w:rPr>
        <w:t xml:space="preserve"> om å gjennomgå praktiseringen av unntaksordningen og å komme tilbake til Stortinget med en drøfting av unntaksordningen og praktiseringen av den i den varslede stortingsmeldingen om prioritering.»</w:t>
      </w:r>
    </w:p>
    <w:p w14:paraId="1348F5AC" w14:textId="77777777" w:rsidR="00972395" w:rsidRPr="00E73D4B" w:rsidRDefault="00F120C7" w:rsidP="00E73D4B">
      <w:r w:rsidRPr="00E73D4B">
        <w:t xml:space="preserve">Vedtaket ble truffet ved Stortingets behandling av Dokument 8:233 S (2021–2022) Representantforslag om å gi raskere tilgang til medisiner for norske pasienter, jf. </w:t>
      </w:r>
      <w:proofErr w:type="spellStart"/>
      <w:r w:rsidRPr="00E73D4B">
        <w:t>Innst</w:t>
      </w:r>
      <w:proofErr w:type="spellEnd"/>
      <w:r w:rsidRPr="00E73D4B">
        <w:t>. 359 S (2021–2022). Anmodningsvedtaket ansees som fulgt opp ved at det er gitt følgende oppdrag til de regionale helseforetakene i revidert oppdragsdokument 2022:</w:t>
      </w:r>
    </w:p>
    <w:p w14:paraId="71058406" w14:textId="77777777" w:rsidR="00972395" w:rsidRPr="00E73D4B" w:rsidRDefault="00F120C7" w:rsidP="00E73D4B">
      <w:r w:rsidRPr="00E73D4B">
        <w:t xml:space="preserve">«De regionale helseforetakene skal i samarbeid, og under ledelse av Helse Vest RHF, gjennomgå praktiseringen av unntaksordningen i system for Nye metoder. De regionale helseforetakene skal herunder vurdere om unntaksordningen praktiseres i tråd med premissene i </w:t>
      </w:r>
      <w:proofErr w:type="spellStart"/>
      <w:r w:rsidRPr="00E73D4B">
        <w:t>Prop</w:t>
      </w:r>
      <w:proofErr w:type="spellEnd"/>
      <w:r w:rsidRPr="00E73D4B">
        <w:t xml:space="preserve">. 55 L (2018–2019) og undersøke variasjon i praktiseringen av unntak for enkeltpasienter. Arbeidet skal vurdere forslag til forbedringer og eventuelle behov for endringer i ordningen. Gjennomgangen skal også vurdere sammenhengen mellom unntaksordningen i Nye metoder og ordninger for tilgang til utprøvende behandling, som for eksempel </w:t>
      </w:r>
      <w:proofErr w:type="spellStart"/>
      <w:r w:rsidRPr="00E73D4B">
        <w:t>compassionate</w:t>
      </w:r>
      <w:proofErr w:type="spellEnd"/>
      <w:r w:rsidRPr="00E73D4B">
        <w:t xml:space="preserve"> </w:t>
      </w:r>
      <w:proofErr w:type="spellStart"/>
      <w:r w:rsidRPr="00E73D4B">
        <w:t>use</w:t>
      </w:r>
      <w:proofErr w:type="spellEnd"/>
      <w:r w:rsidRPr="00E73D4B">
        <w:t xml:space="preserve"> program, godkjenningsfritak eller kliniske studier.»</w:t>
      </w:r>
    </w:p>
    <w:p w14:paraId="7BA6D163" w14:textId="77777777" w:rsidR="00972395" w:rsidRPr="00E73D4B" w:rsidRDefault="00F120C7" w:rsidP="00E73D4B">
      <w:r w:rsidRPr="00E73D4B">
        <w:t>Helse- og omsorgsdepartementet vil motta rapportering på oppdraget i årlig melding 2023. Regjeringen vil komme tilbake til Stortinget med en drøfting av unntaksordningen og praktiseringen av den i den varslede stortingsmelding om prioritering i 2024.</w:t>
      </w:r>
    </w:p>
    <w:p w14:paraId="49BBC2DE" w14:textId="77777777" w:rsidR="00972395" w:rsidRPr="00E73D4B" w:rsidRDefault="00F120C7" w:rsidP="00E73D4B">
      <w:pPr>
        <w:pStyle w:val="avsnitt-tittel"/>
      </w:pPr>
      <w:r w:rsidRPr="00E73D4B">
        <w:t>Redegjøre for oppfølging av evaluering av Nye metoder</w:t>
      </w:r>
    </w:p>
    <w:p w14:paraId="432F9AE3" w14:textId="77777777" w:rsidR="00972395" w:rsidRPr="00E73D4B" w:rsidRDefault="00F120C7" w:rsidP="00E73D4B">
      <w:pPr>
        <w:pStyle w:val="avsnitt-undertittel"/>
      </w:pPr>
      <w:r w:rsidRPr="00E73D4B">
        <w:t>Vedtak nr. 766, 10. juni 2022</w:t>
      </w:r>
    </w:p>
    <w:p w14:paraId="1455C0F2" w14:textId="77777777" w:rsidR="00972395" w:rsidRPr="00E73D4B" w:rsidRDefault="00F120C7" w:rsidP="00E73D4B">
      <w:pPr>
        <w:pStyle w:val="blokksit"/>
      </w:pPr>
      <w:r w:rsidRPr="00E73D4B">
        <w:rPr>
          <w:rStyle w:val="kursiv"/>
        </w:rPr>
        <w:t>«Stortinget ber regjeringen i statsbudsjettet for 2023 gi en redegjørelse for hvordan evalueringen av systemet for Nye metoder er fulgt opp, inkludert tiltak for å få saksbehandlingstiden ned, sikre tillit til systemet og gi brukere og fagfolk en sterkere stemme.»</w:t>
      </w:r>
    </w:p>
    <w:p w14:paraId="38D7CC85" w14:textId="77777777" w:rsidR="00972395" w:rsidRPr="00E73D4B" w:rsidRDefault="00F120C7" w:rsidP="00E73D4B">
      <w:r w:rsidRPr="00E73D4B">
        <w:t xml:space="preserve">Vedtaket ble truffet ved Stortingets behandling av Dokument 8:233 S (2021–2022) Representantforslag om å gi raskere tilgang til medisiner for norske pasienter, jf. </w:t>
      </w:r>
      <w:proofErr w:type="spellStart"/>
      <w:r w:rsidRPr="00E73D4B">
        <w:t>Innst</w:t>
      </w:r>
      <w:proofErr w:type="spellEnd"/>
      <w:r w:rsidRPr="00E73D4B">
        <w:t xml:space="preserve">. 359 S (2021–2022). Anmodningsvedtaket ansees som fulgt opp ved at det er gjort rede for oppfølging av evaluering av Nye metoder i kapittel 12 i </w:t>
      </w:r>
      <w:proofErr w:type="spellStart"/>
      <w:r w:rsidRPr="00E73D4B">
        <w:t>Prop</w:t>
      </w:r>
      <w:proofErr w:type="spellEnd"/>
      <w:r w:rsidRPr="00E73D4B">
        <w:t>. 1 S (2022–2023).</w:t>
      </w:r>
    </w:p>
    <w:p w14:paraId="49CDE488" w14:textId="77777777" w:rsidR="00972395" w:rsidRPr="00E73D4B" w:rsidRDefault="00F120C7" w:rsidP="00E73D4B">
      <w:pPr>
        <w:pStyle w:val="avsnitt-tittel"/>
      </w:pPr>
      <w:r w:rsidRPr="00E73D4B">
        <w:t>Helsetjenester Trandum</w:t>
      </w:r>
    </w:p>
    <w:p w14:paraId="7AC5038E" w14:textId="77777777" w:rsidR="00972395" w:rsidRPr="00E73D4B" w:rsidRDefault="00F120C7" w:rsidP="00E73D4B">
      <w:pPr>
        <w:pStyle w:val="avsnitt-undertittel"/>
      </w:pPr>
      <w:r w:rsidRPr="00E73D4B">
        <w:t>Vedtak nr. 831, 17. juni 2022</w:t>
      </w:r>
    </w:p>
    <w:p w14:paraId="732649BB" w14:textId="77777777" w:rsidR="00972395" w:rsidRPr="00E73D4B" w:rsidRDefault="00F120C7" w:rsidP="00E73D4B">
      <w:pPr>
        <w:pStyle w:val="blokksit"/>
      </w:pPr>
      <w:r w:rsidRPr="00E73D4B">
        <w:rPr>
          <w:rStyle w:val="kursiv"/>
        </w:rPr>
        <w:t>«Stortinget ber regjeringen sikre at helsetjenesten på Politiets utlendingsinternat, Trandum, legges under den offentlige helsetjenesten og at beslutningen om dette tas i løpet av 2022 slik at overføringen kan gjennomføres senest 1. juli 2023.»</w:t>
      </w:r>
    </w:p>
    <w:p w14:paraId="1EE7818C" w14:textId="77777777" w:rsidR="00972395" w:rsidRPr="00E73D4B" w:rsidRDefault="00F120C7" w:rsidP="00E73D4B">
      <w:r w:rsidRPr="00E73D4B">
        <w:t xml:space="preserve">Vedtaket ble truffet ved behandling av Meld. St. 2 (2021–2022), jf. </w:t>
      </w:r>
      <w:proofErr w:type="spellStart"/>
      <w:r w:rsidRPr="00E73D4B">
        <w:t>Innst</w:t>
      </w:r>
      <w:proofErr w:type="spellEnd"/>
      <w:r w:rsidRPr="00E73D4B">
        <w:t xml:space="preserve">. 450 S (2021–2022). Ansvaret for oppfølging av anmodningsvedtaket ligger hos Justis- og beredskapsdepartementet. Det vises derfor til omtale i Justis- og beredskapsdepartementets </w:t>
      </w:r>
      <w:proofErr w:type="spellStart"/>
      <w:r w:rsidRPr="00E73D4B">
        <w:t>Prop</w:t>
      </w:r>
      <w:proofErr w:type="spellEnd"/>
      <w:r w:rsidRPr="00E73D4B">
        <w:t>. 1 S (2022–2023).</w:t>
      </w:r>
    </w:p>
    <w:p w14:paraId="3261A004" w14:textId="77777777" w:rsidR="00972395" w:rsidRPr="00E73D4B" w:rsidRDefault="00F120C7" w:rsidP="00E73D4B">
      <w:pPr>
        <w:pStyle w:val="avsnitt-tittel"/>
      </w:pPr>
      <w:r w:rsidRPr="00E73D4B">
        <w:t>Fylkeskommunens plikt til å tilby tannhelsetjenester</w:t>
      </w:r>
    </w:p>
    <w:p w14:paraId="66449038" w14:textId="77777777" w:rsidR="00972395" w:rsidRPr="00E73D4B" w:rsidRDefault="00F120C7" w:rsidP="00E73D4B">
      <w:pPr>
        <w:pStyle w:val="avsnitt-undertittel"/>
      </w:pPr>
      <w:r w:rsidRPr="00E73D4B">
        <w:t>Vedtak nr. 832, 17. juni 2022</w:t>
      </w:r>
    </w:p>
    <w:p w14:paraId="6F5D9B38" w14:textId="77777777" w:rsidR="00972395" w:rsidRPr="00E73D4B" w:rsidRDefault="00F120C7" w:rsidP="00E73D4B">
      <w:pPr>
        <w:pStyle w:val="blokksit"/>
      </w:pPr>
      <w:r w:rsidRPr="00E73D4B">
        <w:rPr>
          <w:rStyle w:val="kursiv"/>
        </w:rPr>
        <w:t>«Stortinget ber regjeringen fremme nødvendige lovforslag som utvider det lovfestede omfanget av fylkeskommunens plikt til å tilby tannhelsetjenester til å omfatte 21- og 22-åringer, samt forskriftsfeste retten til redusert betaling for disse årskullene.»</w:t>
      </w:r>
    </w:p>
    <w:p w14:paraId="75189C3E" w14:textId="77777777" w:rsidR="00972395" w:rsidRPr="00E73D4B" w:rsidRDefault="00F120C7" w:rsidP="00E73D4B">
      <w:r w:rsidRPr="00E73D4B">
        <w:t xml:space="preserve">Vedtaket ble truffet ved behandling av Meld. St. 2 (2021–2022), jf. </w:t>
      </w:r>
      <w:proofErr w:type="spellStart"/>
      <w:r w:rsidRPr="00E73D4B">
        <w:t>Innst</w:t>
      </w:r>
      <w:proofErr w:type="spellEnd"/>
      <w:r w:rsidRPr="00E73D4B">
        <w:t>. 450 S (2021–2022).</w:t>
      </w:r>
    </w:p>
    <w:p w14:paraId="4C2EDBC0" w14:textId="77777777" w:rsidR="00972395" w:rsidRPr="00E73D4B" w:rsidRDefault="00F120C7" w:rsidP="00E73D4B">
      <w:r w:rsidRPr="00E73D4B">
        <w:t>I statsråd 12. august 2022 ble det nedsatt et offentlig utvalg som skal gjennomgå tannhelsefeltet. Utvalget skal levere sin utredning innen utgangen av juni 2024. Regjeringen kommer tilbake til Stortinget på egnet måte.</w:t>
      </w:r>
    </w:p>
    <w:p w14:paraId="3CB13DE0" w14:textId="77777777" w:rsidR="00972395" w:rsidRPr="00E73D4B" w:rsidRDefault="00F120C7" w:rsidP="00E73D4B">
      <w:pPr>
        <w:pStyle w:val="Overskrift2"/>
      </w:pPr>
      <w:r w:rsidRPr="00E73D4B">
        <w:t>Stortingssesjon 2020–2021</w:t>
      </w:r>
    </w:p>
    <w:p w14:paraId="769F8E24" w14:textId="77777777" w:rsidR="00972395" w:rsidRPr="00E73D4B" w:rsidRDefault="00F120C7" w:rsidP="00E73D4B">
      <w:pPr>
        <w:pStyle w:val="avsnitt-tittel"/>
      </w:pPr>
      <w:r w:rsidRPr="00E73D4B">
        <w:t>Økonomiske modeller for utvikling av nye, virksomme antibiotika</w:t>
      </w:r>
    </w:p>
    <w:p w14:paraId="621CFE20" w14:textId="77777777" w:rsidR="00972395" w:rsidRPr="00E73D4B" w:rsidRDefault="00F120C7" w:rsidP="00E73D4B">
      <w:pPr>
        <w:pStyle w:val="avsnitt-undertittel"/>
      </w:pPr>
      <w:r w:rsidRPr="00E73D4B">
        <w:t>Vedtak nr. 5, 6. oktober 2020</w:t>
      </w:r>
    </w:p>
    <w:p w14:paraId="0D4E05FE" w14:textId="77777777" w:rsidR="00972395" w:rsidRPr="00E73D4B" w:rsidRDefault="00F120C7" w:rsidP="00E73D4B">
      <w:pPr>
        <w:pStyle w:val="blokksit"/>
      </w:pPr>
      <w:r w:rsidRPr="00E73D4B">
        <w:rPr>
          <w:rStyle w:val="kursiv"/>
        </w:rPr>
        <w:t>«Stortinget ber regjeringen utarbeide forslag til økonomiske modeller for utvikling av nye, virksomme antibiotika som premierer medikamentutvikling, ikke salg og bruk, der både belønningsmekanismer og avgift/skatt vurderes som virkemiddel.»</w:t>
      </w:r>
    </w:p>
    <w:p w14:paraId="05489820" w14:textId="77777777" w:rsidR="00972395" w:rsidRPr="00E73D4B" w:rsidRDefault="00F120C7" w:rsidP="00E73D4B">
      <w:r w:rsidRPr="00E73D4B">
        <w:t>Vedtaket ble truffet i forbindelse med trontaledebatten 6. oktober 2020.</w:t>
      </w:r>
    </w:p>
    <w:p w14:paraId="4D00B59A" w14:textId="77777777" w:rsidR="00972395" w:rsidRPr="00E73D4B" w:rsidRDefault="00F120C7" w:rsidP="00E73D4B">
      <w:r w:rsidRPr="00E73D4B">
        <w:t xml:space="preserve">Regjeringen har i Hurdalsplattformen sagt at den ønsker å utvikle en ny strategi for bekjempelse av </w:t>
      </w:r>
      <w:proofErr w:type="spellStart"/>
      <w:r w:rsidRPr="00E73D4B">
        <w:t>antibiotikaresistens</w:t>
      </w:r>
      <w:proofErr w:type="spellEnd"/>
      <w:r w:rsidRPr="00E73D4B">
        <w:t xml:space="preserve"> og vil i den anledning komme tilbake til Stortinget på egnet måte.</w:t>
      </w:r>
    </w:p>
    <w:p w14:paraId="2F43B4B4" w14:textId="77777777" w:rsidR="00972395" w:rsidRPr="00E73D4B" w:rsidRDefault="00F120C7" w:rsidP="00E73D4B">
      <w:pPr>
        <w:pStyle w:val="avsnitt-tittel"/>
      </w:pPr>
      <w:r w:rsidRPr="00E73D4B">
        <w:t>Lovendring om mennesker på sykehjem mot deres egen vilje</w:t>
      </w:r>
    </w:p>
    <w:p w14:paraId="53783C79" w14:textId="77777777" w:rsidR="00972395" w:rsidRPr="00E73D4B" w:rsidRDefault="00F120C7" w:rsidP="00E73D4B">
      <w:pPr>
        <w:pStyle w:val="avsnitt-undertittel"/>
      </w:pPr>
      <w:r w:rsidRPr="00E73D4B">
        <w:t>Vedtak nr. 9, 6. oktober 2020</w:t>
      </w:r>
    </w:p>
    <w:p w14:paraId="46B4DB0D" w14:textId="77777777" w:rsidR="00972395" w:rsidRPr="00E73D4B" w:rsidRDefault="00F120C7" w:rsidP="00E73D4B">
      <w:pPr>
        <w:pStyle w:val="blokksit"/>
      </w:pPr>
      <w:r w:rsidRPr="00E73D4B">
        <w:rPr>
          <w:rStyle w:val="kursiv"/>
        </w:rPr>
        <w:t>«Stortinget ber regjeringen fremme nødvendig lovendring som slår fast at ingen kommuner kan plassere mennesker mellom 0 og femti år, på sykehjem mot deres egen vilje. For barn vil det være nærmeste pårørendes vilje som må gjelde.»</w:t>
      </w:r>
    </w:p>
    <w:p w14:paraId="23446D8C" w14:textId="77777777" w:rsidR="00972395" w:rsidRPr="00E73D4B" w:rsidRDefault="00F120C7" w:rsidP="00E73D4B">
      <w:r w:rsidRPr="00E73D4B">
        <w:t xml:space="preserve">Vedtaket ble truffet ved behandling av Hans Majestet Kongens tale til det 165. storting ved dets åpning og melding om </w:t>
      </w:r>
      <w:proofErr w:type="spellStart"/>
      <w:r w:rsidRPr="00E73D4B">
        <w:t>Noregs</w:t>
      </w:r>
      <w:proofErr w:type="spellEnd"/>
      <w:r w:rsidRPr="00E73D4B">
        <w:t xml:space="preserve"> rikes tilstand og styring (trontaledebatt).</w:t>
      </w:r>
    </w:p>
    <w:p w14:paraId="132B55F3" w14:textId="77777777" w:rsidR="00972395" w:rsidRPr="00E73D4B" w:rsidRDefault="00F120C7" w:rsidP="00E73D4B">
      <w:r w:rsidRPr="00E73D4B">
        <w:t>Arbeidet med å følge opp vedtaket har reist flere prinsipielle spørsmål, og arbeidet har derfor vært mer tidkrevende enn antatt. Helse- og omsorgsdepartementet tar sikte på å sende et lovforslag på høring høsten 2022.</w:t>
      </w:r>
    </w:p>
    <w:p w14:paraId="008D06B3" w14:textId="77777777" w:rsidR="00972395" w:rsidRPr="00E73D4B" w:rsidRDefault="00F120C7" w:rsidP="00E73D4B">
      <w:r w:rsidRPr="00E73D4B">
        <w:t>Regjeringen vil komme tilbake til Stortinget på egnet måte.</w:t>
      </w:r>
    </w:p>
    <w:p w14:paraId="3D46B614" w14:textId="77777777" w:rsidR="00972395" w:rsidRPr="00E73D4B" w:rsidRDefault="00F120C7" w:rsidP="00E73D4B">
      <w:pPr>
        <w:pStyle w:val="avsnitt-tittel"/>
      </w:pPr>
      <w:r w:rsidRPr="00E73D4B">
        <w:t>Helhetlig revisjon av smittevernloven</w:t>
      </w:r>
    </w:p>
    <w:p w14:paraId="5CC3E7D2" w14:textId="77777777" w:rsidR="00972395" w:rsidRPr="00E73D4B" w:rsidRDefault="00F120C7" w:rsidP="00E73D4B">
      <w:pPr>
        <w:pStyle w:val="avsnitt-undertittel"/>
      </w:pPr>
      <w:r w:rsidRPr="00E73D4B">
        <w:t>Vedtak nr. 84, 17. november 2020</w:t>
      </w:r>
    </w:p>
    <w:p w14:paraId="62A13E53" w14:textId="77777777" w:rsidR="00972395" w:rsidRPr="00E73D4B" w:rsidRDefault="00F120C7" w:rsidP="00E73D4B">
      <w:pPr>
        <w:pStyle w:val="blokksit"/>
      </w:pPr>
      <w:r w:rsidRPr="00E73D4B">
        <w:rPr>
          <w:rStyle w:val="kursiv"/>
        </w:rPr>
        <w:t>«Stortinget ber regjeringen foreta en helhetlig revisjon av smittevernloven etter at koronakommisjonen har levert sin rapport.»</w:t>
      </w:r>
    </w:p>
    <w:p w14:paraId="5EE0EA97" w14:textId="77777777" w:rsidR="00972395" w:rsidRPr="00E73D4B" w:rsidRDefault="00F120C7" w:rsidP="00E73D4B">
      <w:r w:rsidRPr="00E73D4B">
        <w:t xml:space="preserve">Vedtaket er truffet i forbindelse med Stortingets behandling av Dokument 8:109 S (2019–2020), jf. </w:t>
      </w:r>
      <w:proofErr w:type="spellStart"/>
      <w:r w:rsidRPr="00E73D4B">
        <w:t>Innst</w:t>
      </w:r>
      <w:proofErr w:type="spellEnd"/>
      <w:r w:rsidRPr="00E73D4B">
        <w:t>. 56 S (2020–2021)</w:t>
      </w:r>
    </w:p>
    <w:p w14:paraId="75948708" w14:textId="77777777" w:rsidR="00972395" w:rsidRPr="00E73D4B" w:rsidRDefault="00F120C7" w:rsidP="00E73D4B">
      <w:r w:rsidRPr="00E73D4B">
        <w:t xml:space="preserve">Arbeidet har blitt forsinket som følge av arbeid med håndtering av koronapandemien. Oppfølging av vedtaket må også sees i sammenheng med at regjeringen 29. april 2022 nedsatte et uavhengig utvalg som skal evaluere myndighetenes håndtering av covid-19-pandemien samlet sett, og i tillegg evaluere omikronhåndteringen i perioden fra 1. november 2021 til tentativt 1. mai 2022. Utvalget skal levere sin rapport til statsministeren innen utgangen av mai 2023 og skal i sitt arbeid se hen til de to delrapportene som koronakommisjonen </w:t>
      </w:r>
      <w:proofErr w:type="gramStart"/>
      <w:r w:rsidRPr="00E73D4B">
        <w:t>avga</w:t>
      </w:r>
      <w:proofErr w:type="gramEnd"/>
      <w:r w:rsidRPr="00E73D4B">
        <w:t xml:space="preserve"> hhv. 14. april 2021 (NOU 2021: 6 </w:t>
      </w:r>
      <w:r w:rsidRPr="00E73D4B">
        <w:rPr>
          <w:rStyle w:val="kursiv"/>
        </w:rPr>
        <w:t>Myndighetenes håndtering av koronapandemien</w:t>
      </w:r>
      <w:r w:rsidRPr="00E73D4B">
        <w:t xml:space="preserve">) og 26. april 2022 (NOU 2022: 5 </w:t>
      </w:r>
      <w:r w:rsidRPr="00E73D4B">
        <w:rPr>
          <w:rStyle w:val="kursiv"/>
        </w:rPr>
        <w:t>Myndighetenes håndtering av koronapandemien – del 2</w:t>
      </w:r>
      <w:r w:rsidRPr="00E73D4B">
        <w:t>).</w:t>
      </w:r>
    </w:p>
    <w:p w14:paraId="5E0D387D" w14:textId="77777777" w:rsidR="00972395" w:rsidRPr="00E73D4B" w:rsidRDefault="00F120C7" w:rsidP="00E73D4B">
      <w:r w:rsidRPr="00E73D4B">
        <w:t>Oppfølging av vedtaket må også sees i sammenheng med regjeringens pågående arbeid med stortingsmelding om folkehelsepolitikken og stortingsmelding om helseberedskap, samt igangsatt gjennomgang av organisering, roller og ansvar i den sentrale helseforvaltningen. Regjeringen vil komme tilbake til Stortinget med oppfølging av anmodningsvedtaket på egnet måte.</w:t>
      </w:r>
    </w:p>
    <w:p w14:paraId="3C3CF38B" w14:textId="77777777" w:rsidR="00972395" w:rsidRPr="00E73D4B" w:rsidRDefault="00F120C7" w:rsidP="00E73D4B">
      <w:pPr>
        <w:pStyle w:val="avsnitt-tittel"/>
      </w:pPr>
      <w:r w:rsidRPr="00E73D4B">
        <w:t>Gjennomgang av folketrygdens refusjonsordning for tannbehandling</w:t>
      </w:r>
    </w:p>
    <w:p w14:paraId="0957F710" w14:textId="77777777" w:rsidR="00972395" w:rsidRPr="00E73D4B" w:rsidRDefault="00F120C7" w:rsidP="00E73D4B">
      <w:pPr>
        <w:pStyle w:val="avsnitt-undertittel"/>
      </w:pPr>
      <w:r w:rsidRPr="00E73D4B">
        <w:t>Vedtak nr. 96, 17. november 2020</w:t>
      </w:r>
    </w:p>
    <w:p w14:paraId="0EADD2F1" w14:textId="77777777" w:rsidR="00972395" w:rsidRPr="00E73D4B" w:rsidRDefault="00F120C7" w:rsidP="00E73D4B">
      <w:pPr>
        <w:pStyle w:val="blokksit"/>
      </w:pPr>
      <w:r w:rsidRPr="00E73D4B">
        <w:rPr>
          <w:rStyle w:val="kursiv"/>
        </w:rPr>
        <w:t xml:space="preserve">«Stortinget ber regjeringen om en helhetlig gjennomgang av folketrygdens refusjonsordning for tannbehandling. Stortinget ber om forslag til forbedring og forenkling av ordningene, og spesielt § 22-15 a om </w:t>
      </w:r>
      <w:proofErr w:type="spellStart"/>
      <w:r w:rsidRPr="00E73D4B">
        <w:rPr>
          <w:rStyle w:val="kursiv"/>
        </w:rPr>
        <w:t>tilbakekreving</w:t>
      </w:r>
      <w:proofErr w:type="spellEnd"/>
      <w:r w:rsidRPr="00E73D4B">
        <w:rPr>
          <w:rStyle w:val="kursiv"/>
        </w:rPr>
        <w:t xml:space="preserve"> av utbetaling etter direkteoppgjørsordningen. Stortinget ber regjeringen komme tilbake til Stortinget med dette før oktober 2021.»</w:t>
      </w:r>
    </w:p>
    <w:p w14:paraId="3D822EE2"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121 L (2019–2020) </w:t>
      </w:r>
      <w:r w:rsidRPr="00E73D4B">
        <w:rPr>
          <w:rStyle w:val="kursiv"/>
        </w:rPr>
        <w:t>Endringer i folketrygdloven (krav til direkte oppgjør)</w:t>
      </w:r>
      <w:r w:rsidRPr="00E73D4B">
        <w:t xml:space="preserve">, jf. </w:t>
      </w:r>
      <w:proofErr w:type="spellStart"/>
      <w:r w:rsidRPr="00E73D4B">
        <w:t>Innst</w:t>
      </w:r>
      <w:proofErr w:type="spellEnd"/>
      <w:r w:rsidRPr="00E73D4B">
        <w:t>. 72 L (2020–2021) og Lovvedtak 20 (2020–2021).</w:t>
      </w:r>
    </w:p>
    <w:p w14:paraId="464D6AF2" w14:textId="77777777" w:rsidR="00972395" w:rsidRPr="00E73D4B" w:rsidRDefault="00F120C7" w:rsidP="00E73D4B">
      <w:r w:rsidRPr="00E73D4B">
        <w:t xml:space="preserve">Kontroll- og konstitusjonskomiteen merket seg i </w:t>
      </w:r>
      <w:proofErr w:type="spellStart"/>
      <w:r w:rsidRPr="00E73D4B">
        <w:t>Innst</w:t>
      </w:r>
      <w:proofErr w:type="spellEnd"/>
      <w:r w:rsidRPr="00E73D4B">
        <w:t>. 141 S (2021–2022) at det ikke er gjort noen helhetlig gjennomgang, og at rapporteringen derfor ikke kan avsluttes.</w:t>
      </w:r>
    </w:p>
    <w:p w14:paraId="230C8D66" w14:textId="77777777" w:rsidR="00972395" w:rsidRPr="00E73D4B" w:rsidRDefault="00F120C7" w:rsidP="00E73D4B">
      <w:r w:rsidRPr="00E73D4B">
        <w:t>I statsråd 12. august 2022 ble det nedsatt et offentlig utvalg som skal gjennomgå tannhelsefeltet. Utvalget skal levere sin utredning innen utgangen av juni 2024. Oppfølging av vedtaket må også sees i sammenheng med regjeringens pågående arbeid med stortingsmelding om folkehelsepolitikken og stortingsmelding om helseberedskap, samt igangsatt gjennomgang av organisering, roller og ansvar i den sentrale helseforvaltningen. Regjeringen kommer tilbake til Stortinget på egnet måte etter at utvalget har levert.</w:t>
      </w:r>
    </w:p>
    <w:p w14:paraId="33994079" w14:textId="77777777" w:rsidR="00972395" w:rsidRPr="00E73D4B" w:rsidRDefault="00F120C7" w:rsidP="00E73D4B">
      <w:pPr>
        <w:pStyle w:val="avsnitt-tittel"/>
      </w:pPr>
      <w:proofErr w:type="spellStart"/>
      <w:r w:rsidRPr="00E73D4B">
        <w:t>Hospice</w:t>
      </w:r>
      <w:proofErr w:type="spellEnd"/>
      <w:r w:rsidRPr="00E73D4B">
        <w:t xml:space="preserve"> Malvik og </w:t>
      </w:r>
      <w:proofErr w:type="spellStart"/>
      <w:r w:rsidRPr="00E73D4B">
        <w:t>Barnehospice</w:t>
      </w:r>
      <w:proofErr w:type="spellEnd"/>
      <w:r w:rsidRPr="00E73D4B">
        <w:t xml:space="preserve"> Kristiansand</w:t>
      </w:r>
    </w:p>
    <w:p w14:paraId="194B2133" w14:textId="77777777" w:rsidR="00972395" w:rsidRPr="00E73D4B" w:rsidRDefault="00F120C7" w:rsidP="00E73D4B">
      <w:pPr>
        <w:pStyle w:val="avsnitt-undertittel"/>
      </w:pPr>
      <w:r w:rsidRPr="00E73D4B">
        <w:t>Vedtak nr. 153, 3. desember 2020</w:t>
      </w:r>
    </w:p>
    <w:p w14:paraId="724560B0" w14:textId="77777777" w:rsidR="00972395" w:rsidRPr="00E73D4B" w:rsidRDefault="00F120C7" w:rsidP="00E73D4B">
      <w:pPr>
        <w:pStyle w:val="blokksit"/>
      </w:pPr>
      <w:r w:rsidRPr="00E73D4B">
        <w:rPr>
          <w:rStyle w:val="kursiv"/>
        </w:rPr>
        <w:t xml:space="preserve">«Stortinget ber regjeringen øremerke 30 millioner kroner til </w:t>
      </w:r>
      <w:proofErr w:type="spellStart"/>
      <w:r w:rsidRPr="00E73D4B">
        <w:rPr>
          <w:rStyle w:val="kursiv"/>
        </w:rPr>
        <w:t>Hospice</w:t>
      </w:r>
      <w:proofErr w:type="spellEnd"/>
      <w:r w:rsidRPr="00E73D4B">
        <w:rPr>
          <w:rStyle w:val="kursiv"/>
        </w:rPr>
        <w:t xml:space="preserve"> Malvik og 30 millioner kroner til </w:t>
      </w:r>
      <w:proofErr w:type="spellStart"/>
      <w:r w:rsidRPr="00E73D4B">
        <w:rPr>
          <w:rStyle w:val="kursiv"/>
        </w:rPr>
        <w:t>barnehospice</w:t>
      </w:r>
      <w:proofErr w:type="spellEnd"/>
      <w:r w:rsidRPr="00E73D4B">
        <w:rPr>
          <w:rStyle w:val="kursiv"/>
        </w:rPr>
        <w:t xml:space="preserve"> i Kristiansand også hele pilotperioden.»</w:t>
      </w:r>
    </w:p>
    <w:p w14:paraId="6A9B44DC" w14:textId="77777777" w:rsidR="00972395" w:rsidRPr="00E73D4B" w:rsidRDefault="00F120C7" w:rsidP="00E73D4B">
      <w:r w:rsidRPr="00E73D4B">
        <w:t xml:space="preserve">Vedtaket ble truffet ved behandlingen av behandlingen av </w:t>
      </w:r>
      <w:proofErr w:type="spellStart"/>
      <w:r w:rsidRPr="00E73D4B">
        <w:t>Prop</w:t>
      </w:r>
      <w:proofErr w:type="spellEnd"/>
      <w:r w:rsidRPr="00E73D4B">
        <w:t xml:space="preserve">. 1 S (2020–2021), jf. </w:t>
      </w:r>
      <w:proofErr w:type="spellStart"/>
      <w:r w:rsidRPr="00E73D4B">
        <w:t>Innst</w:t>
      </w:r>
      <w:proofErr w:type="spellEnd"/>
      <w:r w:rsidRPr="00E73D4B">
        <w:t>. 2 S (2020–2021).</w:t>
      </w:r>
    </w:p>
    <w:p w14:paraId="61AD8EC0" w14:textId="77777777" w:rsidR="00972395" w:rsidRPr="00E73D4B" w:rsidRDefault="00F120C7" w:rsidP="00E73D4B">
      <w:r w:rsidRPr="00E73D4B">
        <w:t xml:space="preserve">Lukas stiftelsens </w:t>
      </w:r>
      <w:proofErr w:type="spellStart"/>
      <w:r w:rsidRPr="00E73D4B">
        <w:t>hospice</w:t>
      </w:r>
      <w:proofErr w:type="spellEnd"/>
      <w:r w:rsidRPr="00E73D4B">
        <w:t xml:space="preserve"> i Malvik og Foreningen for </w:t>
      </w:r>
      <w:proofErr w:type="spellStart"/>
      <w:r w:rsidRPr="00E73D4B">
        <w:t>barnepalliasjon</w:t>
      </w:r>
      <w:proofErr w:type="spellEnd"/>
      <w:r w:rsidRPr="00E73D4B">
        <w:t xml:space="preserve"> sitt </w:t>
      </w:r>
      <w:proofErr w:type="spellStart"/>
      <w:r w:rsidRPr="00E73D4B">
        <w:t>barnehospice</w:t>
      </w:r>
      <w:proofErr w:type="spellEnd"/>
      <w:r w:rsidRPr="00E73D4B">
        <w:t xml:space="preserve"> i Kristiansand har mottatt øremerket tilskudd til etablering og drift over flere år. I statsbudsjettet for 2022, jf. </w:t>
      </w:r>
      <w:proofErr w:type="spellStart"/>
      <w:r w:rsidRPr="00E73D4B">
        <w:t>Innst</w:t>
      </w:r>
      <w:proofErr w:type="spellEnd"/>
      <w:r w:rsidRPr="00E73D4B">
        <w:t xml:space="preserve">. 11 S (2021–2022) ble det øremerket 30,8 mill. kroner til </w:t>
      </w:r>
      <w:proofErr w:type="spellStart"/>
      <w:r w:rsidRPr="00E73D4B">
        <w:t>Hospice</w:t>
      </w:r>
      <w:proofErr w:type="spellEnd"/>
      <w:r w:rsidRPr="00E73D4B">
        <w:t xml:space="preserve"> Malvik og 30,8 mill. kr til </w:t>
      </w:r>
      <w:proofErr w:type="spellStart"/>
      <w:r w:rsidRPr="00E73D4B">
        <w:t>Barnehospice</w:t>
      </w:r>
      <w:proofErr w:type="spellEnd"/>
      <w:r w:rsidRPr="00E73D4B">
        <w:t xml:space="preserve"> i Kristiansand. Regjeringen vil øke likebehandlingen av </w:t>
      </w:r>
      <w:proofErr w:type="spellStart"/>
      <w:r w:rsidRPr="00E73D4B">
        <w:t>tilskuddssøkere</w:t>
      </w:r>
      <w:proofErr w:type="spellEnd"/>
      <w:r w:rsidRPr="00E73D4B">
        <w:t xml:space="preserve"> og som en del av områdegjennomgangen av enkeltstående tilskudd til navngitte mottakere, jf. nærmere omtale under kap. 2, foreslås det å avvikle en rekke tilskudd øremerket til navngitte mottakere i 2023, inkludert tilskuddene til </w:t>
      </w:r>
      <w:proofErr w:type="spellStart"/>
      <w:r w:rsidRPr="00E73D4B">
        <w:t>Barnehospice</w:t>
      </w:r>
      <w:proofErr w:type="spellEnd"/>
      <w:r w:rsidRPr="00E73D4B">
        <w:t xml:space="preserve"> i Kristiansand og Lukas </w:t>
      </w:r>
      <w:proofErr w:type="spellStart"/>
      <w:r w:rsidRPr="00E73D4B">
        <w:t>hospice</w:t>
      </w:r>
      <w:proofErr w:type="spellEnd"/>
      <w:r w:rsidRPr="00E73D4B">
        <w:t xml:space="preserve"> Malvik. Samtidig foreslås det å styrke det søkbare tilskuddet til etablering og drift av lindrende enheter som drives etter </w:t>
      </w:r>
      <w:proofErr w:type="spellStart"/>
      <w:r w:rsidRPr="00E73D4B">
        <w:t>hospicefilosofien</w:t>
      </w:r>
      <w:proofErr w:type="spellEnd"/>
      <w:r w:rsidRPr="00E73D4B">
        <w:t xml:space="preserve"> på posten med 33,3 mill. kroner, til 51,6 mill. kroner i 2023. Forslaget er en del av og må sees i sammenheng med, områdegjennomgangen av enkeltstående tilskudd til navngitte mottakere, jf. nærmere omtale under kap. 2</w:t>
      </w:r>
    </w:p>
    <w:p w14:paraId="5A4A4BFE" w14:textId="77777777" w:rsidR="00972395" w:rsidRPr="00E73D4B" w:rsidRDefault="00F120C7" w:rsidP="00E73D4B">
      <w:r w:rsidRPr="00E73D4B">
        <w:t xml:space="preserve">Lindrende behandling og omsorg er en del av både RHF-ene og kommunenes lovpålagte ansvar. Frittstående </w:t>
      </w:r>
      <w:proofErr w:type="spellStart"/>
      <w:r w:rsidRPr="00E73D4B">
        <w:t>hospice</w:t>
      </w:r>
      <w:proofErr w:type="spellEnd"/>
      <w:r w:rsidRPr="00E73D4B">
        <w:t xml:space="preserve"> er tilbud på siden av de ordinære helse- og omsorgstjenestene og kan bidra til skjevfordeling av tjenestene ved at det er lettere å benytte seg av tilbudet for de som hører til i den aktuelle regionen. De regionale helseforetakene vil få i oppdrag i å gjennomgå status for etableringen av barnepalliative team og vurdere behovet for ytterligere etablering og styrking av barnepalliative team. Sykehusene fikk oppdrag om å etablere regionale barnepalliative team i 2020 i samsvar med Nasjonal faglig retningslinje for </w:t>
      </w:r>
      <w:proofErr w:type="spellStart"/>
      <w:r w:rsidRPr="00E73D4B">
        <w:t>palliasjon</w:t>
      </w:r>
      <w:proofErr w:type="spellEnd"/>
      <w:r w:rsidRPr="00E73D4B">
        <w:t xml:space="preserve"> til barn og unge, og er i gang med dette.</w:t>
      </w:r>
    </w:p>
    <w:p w14:paraId="6F522CDB" w14:textId="77777777" w:rsidR="00972395" w:rsidRPr="00E73D4B" w:rsidRDefault="00F120C7" w:rsidP="00E73D4B">
      <w:r w:rsidRPr="00E73D4B">
        <w:t>Regjeringen foreslår at vedtak nr. 153 oppheves, jf. forslag til romertallsvedtak.</w:t>
      </w:r>
    </w:p>
    <w:p w14:paraId="3E8FC8BE" w14:textId="77777777" w:rsidR="00972395" w:rsidRPr="00E73D4B" w:rsidRDefault="00F120C7" w:rsidP="00E73D4B">
      <w:pPr>
        <w:pStyle w:val="avsnitt-tittel"/>
      </w:pPr>
      <w:r w:rsidRPr="00E73D4B">
        <w:t>Sykehusenes intensivkapasitet og beredskap i etterkant av covid-19-pandemien</w:t>
      </w:r>
    </w:p>
    <w:p w14:paraId="2D14EC2E" w14:textId="77777777" w:rsidR="00972395" w:rsidRPr="00E73D4B" w:rsidRDefault="00F120C7" w:rsidP="00E73D4B">
      <w:pPr>
        <w:pStyle w:val="avsnitt-undertittel"/>
      </w:pPr>
      <w:r w:rsidRPr="00E73D4B">
        <w:t>Vedtak nr. 229, 11. desember 2020</w:t>
      </w:r>
    </w:p>
    <w:p w14:paraId="16B55B4F" w14:textId="77777777" w:rsidR="00972395" w:rsidRPr="00E73D4B" w:rsidRDefault="00F120C7" w:rsidP="00E73D4B">
      <w:pPr>
        <w:pStyle w:val="blokksit"/>
      </w:pPr>
      <w:r w:rsidRPr="00E73D4B">
        <w:rPr>
          <w:rStyle w:val="kursiv"/>
        </w:rPr>
        <w:t>«Stortinget ber regjeringen gjennomgå alle forhold rundt sykehusenes intensivkapasitet og beredskap i etterkant av covid-19-pandemien, herunder også de private, slik at helsetjenesten er forberedt på krisesituasjoner som innebærer økt pasienttilstrømning.»</w:t>
      </w:r>
    </w:p>
    <w:p w14:paraId="467C9AD3" w14:textId="77777777" w:rsidR="00972395" w:rsidRPr="00E73D4B" w:rsidRDefault="00F120C7" w:rsidP="00E73D4B">
      <w:r w:rsidRPr="00E73D4B">
        <w:t xml:space="preserve">Vedtaket ble truffet i forbindelse med behandlingen av representantforslag Dokument 8:144 S (2019–2020) om å styrke norsk intensivkapasitet, jf. </w:t>
      </w:r>
      <w:proofErr w:type="spellStart"/>
      <w:r w:rsidRPr="00E73D4B">
        <w:t>Innst</w:t>
      </w:r>
      <w:proofErr w:type="spellEnd"/>
      <w:r w:rsidRPr="00E73D4B">
        <w:t>. 144 S (2020–2021).</w:t>
      </w:r>
    </w:p>
    <w:p w14:paraId="354C622D" w14:textId="77777777" w:rsidR="00972395" w:rsidRPr="00E73D4B" w:rsidRDefault="00F120C7" w:rsidP="00E73D4B">
      <w:r w:rsidRPr="00E73D4B">
        <w:t>I oppdragsdokument for 2022 ble de regionale helseforetakene bedt om å ta stilling til behovet for økning i intensivkapasitet i hver region og nasjonalt, og vurdere tiltak på kort og lang sikt. De regionale helseforetakene ble særlig bedt om å vurdere personellbehov og kompetansehevende tiltak for å skape fleksibilitet i behandlingskapasiteten og for å avlaste intensivavdelingene. Dette oppdraget må sees i sammenheng med oppdraget i oppdragsdokument for 2021 om å utrede det fremtidige behovet for intensivkapasitet i spesialisthelsetjenesten.</w:t>
      </w:r>
    </w:p>
    <w:p w14:paraId="4E5F23CD" w14:textId="77777777" w:rsidR="00972395" w:rsidRPr="00E73D4B" w:rsidRDefault="00F120C7" w:rsidP="00E73D4B">
      <w:r w:rsidRPr="00E73D4B">
        <w:t>De regionale helseforetakene leverte en statusrapport 15. juni 2022 knyttet til disse oppdragene, hvor man var kommet til enighet rundt felles definisjoner av ulike sengekategorier, og det ble beskrevet ulike tiltak for å møte et eventuelt behov for økt intensivkapasitet på kort sikt, med bl.a. tiltak innen bemanning, kompetanse, areal, utstyr og organisering av behandlingstilbudet.</w:t>
      </w:r>
    </w:p>
    <w:p w14:paraId="32ED45F1" w14:textId="77777777" w:rsidR="00972395" w:rsidRPr="00E73D4B" w:rsidRDefault="00F120C7" w:rsidP="00E73D4B">
      <w:r w:rsidRPr="00E73D4B">
        <w:t>De regionale helseforetakene vil gjennomføre prosesser og prosjekter i regionalt for å følge opp oppdraget videre. Regjeringen vil derfor komme tilbake til Stortinget om saken på egnet måte.</w:t>
      </w:r>
    </w:p>
    <w:p w14:paraId="53A0F98E" w14:textId="77777777" w:rsidR="00972395" w:rsidRPr="00E73D4B" w:rsidRDefault="00F120C7" w:rsidP="00E73D4B">
      <w:pPr>
        <w:pStyle w:val="avsnitt-tittel"/>
      </w:pPr>
      <w:r w:rsidRPr="00E73D4B">
        <w:t>Alternative behandlere – fritak fra merverdiavgiftsloven</w:t>
      </w:r>
    </w:p>
    <w:p w14:paraId="61928F9B" w14:textId="77777777" w:rsidR="00972395" w:rsidRPr="00E73D4B" w:rsidRDefault="00F120C7" w:rsidP="00E73D4B">
      <w:pPr>
        <w:pStyle w:val="avsnitt-undertittel"/>
      </w:pPr>
      <w:r w:rsidRPr="00E73D4B">
        <w:t>Vedtak nr. 328, 18. desember 2020.</w:t>
      </w:r>
    </w:p>
    <w:p w14:paraId="4E9C110A" w14:textId="77777777" w:rsidR="00972395" w:rsidRPr="00E73D4B" w:rsidRDefault="00F120C7" w:rsidP="00E73D4B">
      <w:pPr>
        <w:pStyle w:val="blokksit"/>
      </w:pPr>
      <w:r w:rsidRPr="00E73D4B">
        <w:rPr>
          <w:rStyle w:val="kursiv"/>
        </w:rPr>
        <w:t>«Stortinget ber regjeringen utrede hvorvidt noen av medlemmene i de organisasjoner som i dag er registrert i registeret for alternative behandlere, kan anses å yte helsehjelp, og komme tilbake til Stortinget med nødvendige endringer som gjør det mulig for disse å få fritak fra merverdiavgiftsloven.»</w:t>
      </w:r>
    </w:p>
    <w:p w14:paraId="54467D68" w14:textId="77777777" w:rsidR="00972395" w:rsidRPr="00E73D4B" w:rsidRDefault="00F120C7" w:rsidP="00E73D4B">
      <w:r w:rsidRPr="00E73D4B">
        <w:t xml:space="preserve">Vedtaket er truffet i forbindelse med Stortingets behandling av </w:t>
      </w:r>
      <w:proofErr w:type="spellStart"/>
      <w:r w:rsidRPr="00E73D4B">
        <w:t>Prop</w:t>
      </w:r>
      <w:proofErr w:type="spellEnd"/>
      <w:r w:rsidRPr="00E73D4B">
        <w:t xml:space="preserve">. 1 LS (2020–2021) og regjeringens forslag om å oppheve merverdiavgiftsloven § 3-3 om avgiftsunntak for alternativ behandling som ytes av utøvere som er registrert i Register for utøvere av alternativ behandling i Brønnøysundregistrene, jf. </w:t>
      </w:r>
      <w:proofErr w:type="spellStart"/>
      <w:r w:rsidRPr="00E73D4B">
        <w:t>Innst</w:t>
      </w:r>
      <w:proofErr w:type="spellEnd"/>
      <w:r w:rsidRPr="00E73D4B">
        <w:t>. 4 L (2020–2021).</w:t>
      </w:r>
    </w:p>
    <w:p w14:paraId="2F45D147" w14:textId="77777777" w:rsidR="00972395" w:rsidRPr="00E73D4B" w:rsidRDefault="00F120C7" w:rsidP="00E73D4B">
      <w:r w:rsidRPr="00E73D4B">
        <w:t>Oppfølgingen av vedtaket har blitt forsinket, hovedsakelig på grunn av pandemisituasjonen. Regjeringen vil komme tilbake til Stortinget på egnet måte, men viser imidlertid til at Stortinget har vedtatt endringer i helsepersonelloven som innebærer at naprapater, manuellterapeuter og osteopater ble omfattet av autorisasjonsordningen i helsepersonelloven fra 1. mai 2022.</w:t>
      </w:r>
    </w:p>
    <w:p w14:paraId="247A6A1C" w14:textId="77777777" w:rsidR="00972395" w:rsidRPr="00E73D4B" w:rsidRDefault="00F120C7" w:rsidP="00E73D4B">
      <w:pPr>
        <w:pStyle w:val="avsnitt-tittel"/>
      </w:pPr>
      <w:r w:rsidRPr="00E73D4B">
        <w:t>Planlegging og evaluering av nye sykehusbygg</w:t>
      </w:r>
    </w:p>
    <w:p w14:paraId="07457B6F" w14:textId="77777777" w:rsidR="00972395" w:rsidRPr="00E73D4B" w:rsidRDefault="00F120C7" w:rsidP="00E73D4B">
      <w:pPr>
        <w:pStyle w:val="avsnitt-undertittel"/>
      </w:pPr>
      <w:r w:rsidRPr="00E73D4B">
        <w:t>Vedtak nr. 604, 11. februar 2021</w:t>
      </w:r>
    </w:p>
    <w:p w14:paraId="0F9CFAD6" w14:textId="77777777" w:rsidR="00972395" w:rsidRPr="00E73D4B" w:rsidRDefault="00F120C7" w:rsidP="00E73D4B">
      <w:pPr>
        <w:pStyle w:val="blokksit"/>
      </w:pPr>
      <w:r w:rsidRPr="00E73D4B">
        <w:rPr>
          <w:rStyle w:val="kursiv"/>
        </w:rPr>
        <w:t>«Stortinget ber regjeringen sikre at ansatte involveres i planlegging og evaluering av nye sykehusbygg.»</w:t>
      </w:r>
    </w:p>
    <w:p w14:paraId="144FAF59" w14:textId="77777777" w:rsidR="00972395" w:rsidRPr="00E73D4B" w:rsidRDefault="00F120C7" w:rsidP="00E73D4B">
      <w:r w:rsidRPr="00E73D4B">
        <w:t xml:space="preserve">Vedtaket ble truffet ved behandlingen av Dokument 8:147 S (2020–2021), jf. </w:t>
      </w:r>
      <w:proofErr w:type="spellStart"/>
      <w:r w:rsidRPr="00E73D4B">
        <w:t>Innst</w:t>
      </w:r>
      <w:proofErr w:type="spellEnd"/>
      <w:r w:rsidRPr="00E73D4B">
        <w:t>. 205 S (2020–2021).</w:t>
      </w:r>
    </w:p>
    <w:p w14:paraId="5006A75F" w14:textId="77777777" w:rsidR="00972395" w:rsidRPr="00E73D4B" w:rsidRDefault="00F120C7" w:rsidP="00E73D4B">
      <w:r w:rsidRPr="00E73D4B">
        <w:t>Vedtaket er fulgt opp i foretaksmøte i de regionale helseforetakene 15. juni 2021. Her ble de regionale helseforetakene bedt om å rapportere på hvilke rutiner og prosesser som foreligger for å involvere de ansatte i planlegging og evaluering av nye sykehusbygg i årlig melding for 2021. De regionale helseforetakene rapporterte i årlig melding for 2021 på kravet som var stilt i foretaksmøtet 15. juni 2021. Rapporteringen viser at de ansatte er involvert i stor grad i planlegging, gjennomføring og evaluering av nye sykehusbygg.</w:t>
      </w:r>
    </w:p>
    <w:p w14:paraId="2A4FD0A3" w14:textId="77777777" w:rsidR="00972395" w:rsidRPr="00E73D4B" w:rsidRDefault="00F120C7" w:rsidP="00E73D4B">
      <w:r w:rsidRPr="00E73D4B">
        <w:t>Anmodningsvedtaket anses som fulgt opp. Det vises til nærmere omtale under kap. 732.</w:t>
      </w:r>
    </w:p>
    <w:p w14:paraId="5303D0FC" w14:textId="77777777" w:rsidR="00972395" w:rsidRPr="00E73D4B" w:rsidRDefault="00F120C7" w:rsidP="00E73D4B">
      <w:pPr>
        <w:pStyle w:val="avsnitt-tittel"/>
      </w:pPr>
      <w:r w:rsidRPr="00E73D4B">
        <w:t>Utredning av endringer i innkjøpsforskriften for Vinmonopolet</w:t>
      </w:r>
    </w:p>
    <w:p w14:paraId="5475303B" w14:textId="77777777" w:rsidR="00972395" w:rsidRPr="00E73D4B" w:rsidRDefault="00F120C7" w:rsidP="00E73D4B">
      <w:pPr>
        <w:pStyle w:val="avsnitt-undertittel"/>
      </w:pPr>
      <w:r w:rsidRPr="00E73D4B">
        <w:t>Vedtak nr. 607, 11. februar 2021</w:t>
      </w:r>
    </w:p>
    <w:p w14:paraId="2EC83BB9" w14:textId="77777777" w:rsidR="00972395" w:rsidRPr="00E73D4B" w:rsidRDefault="00F120C7" w:rsidP="00E73D4B">
      <w:pPr>
        <w:pStyle w:val="blokksit"/>
      </w:pPr>
      <w:r w:rsidRPr="00E73D4B">
        <w:rPr>
          <w:rStyle w:val="kursiv"/>
        </w:rPr>
        <w:t>«Stortinget ber regjeringen utrede endringer i innkjøpsforskriften for Vinmonopolet med sikte på å øke utvalget av lokalproduserte varer ved hvert enkelt utsalg. Utgangspunktet kan være modellen til Systembolaget i Sverige, men kriteriene må tilpasses norske forhold, og de må være objektive.»</w:t>
      </w:r>
    </w:p>
    <w:p w14:paraId="52A7FE73" w14:textId="77777777" w:rsidR="00972395" w:rsidRPr="00E73D4B" w:rsidRDefault="00F120C7" w:rsidP="00E73D4B">
      <w:r w:rsidRPr="00E73D4B">
        <w:t xml:space="preserve">Vedtaket ble truffet ved Stortingets behandling av Dokument 8:54 S (2020–2021), jf. </w:t>
      </w:r>
      <w:proofErr w:type="spellStart"/>
      <w:r w:rsidRPr="00E73D4B">
        <w:t>Innst</w:t>
      </w:r>
      <w:proofErr w:type="spellEnd"/>
      <w:r w:rsidRPr="00E73D4B">
        <w:t>. 206 S (2020–2021). Det er innhentet informasjon fra Vinmonopolet om innkjøpssystemet. Utredningen er under arbeid i departementet. Regjeringen vil komme tilbake til Stortinget på egnet måte.</w:t>
      </w:r>
    </w:p>
    <w:p w14:paraId="11D95E3E" w14:textId="77777777" w:rsidR="00972395" w:rsidRPr="00E73D4B" w:rsidRDefault="00F120C7" w:rsidP="00E73D4B">
      <w:pPr>
        <w:pStyle w:val="avsnitt-tittel"/>
      </w:pPr>
      <w:r w:rsidRPr="00E73D4B">
        <w:t>Voksenvaksinasjonsprogram</w:t>
      </w:r>
    </w:p>
    <w:p w14:paraId="5B01298B" w14:textId="77777777" w:rsidR="00972395" w:rsidRPr="00E73D4B" w:rsidRDefault="00F120C7" w:rsidP="00E73D4B">
      <w:pPr>
        <w:pStyle w:val="avsnitt-undertittel"/>
      </w:pPr>
      <w:r w:rsidRPr="00E73D4B">
        <w:t>Vedtak nr. 645, 18. februar 2021</w:t>
      </w:r>
    </w:p>
    <w:p w14:paraId="56A39C1A" w14:textId="77777777" w:rsidR="00972395" w:rsidRPr="00E73D4B" w:rsidRDefault="00F120C7" w:rsidP="00E73D4B">
      <w:pPr>
        <w:pStyle w:val="blokksit"/>
      </w:pPr>
      <w:r w:rsidRPr="00E73D4B">
        <w:rPr>
          <w:rStyle w:val="kursiv"/>
        </w:rPr>
        <w:t>«Stortinget ber regjeringen utrede hvordan et voksenvaksinasjonsprogram kan gjennomføres, og komme tilbake til Stortinget på egnet måte.»</w:t>
      </w:r>
    </w:p>
    <w:p w14:paraId="5DA86CC8" w14:textId="77777777" w:rsidR="00972395" w:rsidRPr="00E73D4B" w:rsidRDefault="00F120C7" w:rsidP="00E73D4B">
      <w:r w:rsidRPr="00E73D4B">
        <w:t xml:space="preserve">Vedtak 645 og 646 ble truffet under behandlingen av Dokument 8:146 S (2019–2020), jf. </w:t>
      </w:r>
      <w:proofErr w:type="spellStart"/>
      <w:r w:rsidRPr="00E73D4B">
        <w:t>Innst</w:t>
      </w:r>
      <w:proofErr w:type="spellEnd"/>
      <w:r w:rsidRPr="00E73D4B">
        <w:t>. 211 S (2020–2021). Arbeidet er forsinket som følge av koronapandemien. Regjeringen vil komme tilbake til Stortinget på egnet måte.</w:t>
      </w:r>
    </w:p>
    <w:p w14:paraId="21621E9B" w14:textId="77777777" w:rsidR="00972395" w:rsidRPr="00E73D4B" w:rsidRDefault="00F120C7" w:rsidP="00E73D4B">
      <w:pPr>
        <w:pStyle w:val="avsnitt-tittel"/>
      </w:pPr>
      <w:r w:rsidRPr="00E73D4B">
        <w:t>Automatisk informasjonsordning</w:t>
      </w:r>
    </w:p>
    <w:p w14:paraId="4C3CF401" w14:textId="77777777" w:rsidR="00972395" w:rsidRPr="00E73D4B" w:rsidRDefault="00F120C7" w:rsidP="00E73D4B">
      <w:pPr>
        <w:pStyle w:val="avsnitt-undertittel"/>
      </w:pPr>
      <w:r w:rsidRPr="00E73D4B">
        <w:t>Vedtak nr. 646, 18. februar 2021</w:t>
      </w:r>
    </w:p>
    <w:p w14:paraId="5969A014" w14:textId="77777777" w:rsidR="00972395" w:rsidRPr="00E73D4B" w:rsidRDefault="00F120C7" w:rsidP="00E73D4B">
      <w:pPr>
        <w:pStyle w:val="blokksit"/>
      </w:pPr>
      <w:r w:rsidRPr="00E73D4B">
        <w:rPr>
          <w:rStyle w:val="kursiv"/>
        </w:rPr>
        <w:t>«Stortinget ber regjeringen vurdere muligheten for å etablere en automatisk informasjonsordning til innbyggere om når det er behov for påfyllingsvaksine mot difteri, stivkrampe og kikhoste. Denne tjenesten kan organiseres som en del av helsenorge.no og også innebære mulighet for å avregistrere seg fra en slik ordning.»</w:t>
      </w:r>
    </w:p>
    <w:p w14:paraId="442F17AD" w14:textId="77777777" w:rsidR="00972395" w:rsidRPr="00E73D4B" w:rsidRDefault="00F120C7" w:rsidP="00E73D4B">
      <w:r w:rsidRPr="00E73D4B">
        <w:t xml:space="preserve">Vedtak 645 og 646 ble truffet under behandlingen av Dokument 146 S (2019–2020), jf. </w:t>
      </w:r>
      <w:proofErr w:type="spellStart"/>
      <w:r w:rsidRPr="00E73D4B">
        <w:t>Innst</w:t>
      </w:r>
      <w:proofErr w:type="spellEnd"/>
      <w:r w:rsidRPr="00E73D4B">
        <w:t>. 211 S (2020–2021). Arbeidet er forsinket som følge av koronapandemien. Regjeringen vil komme tilbake til Stortinget på egnet måte.</w:t>
      </w:r>
    </w:p>
    <w:p w14:paraId="5DAC1DB7" w14:textId="77777777" w:rsidR="00972395" w:rsidRPr="00E73D4B" w:rsidRDefault="00F120C7" w:rsidP="00E73D4B">
      <w:pPr>
        <w:pStyle w:val="avsnitt-tittel"/>
      </w:pPr>
      <w:r w:rsidRPr="00E73D4B">
        <w:t>Sikring av fortsatt drift av fødeavdelingen i Kristiansund</w:t>
      </w:r>
    </w:p>
    <w:p w14:paraId="2EFCD577" w14:textId="77777777" w:rsidR="00972395" w:rsidRPr="00E73D4B" w:rsidRDefault="00F120C7" w:rsidP="00E73D4B">
      <w:pPr>
        <w:pStyle w:val="avsnitt-undertittel"/>
      </w:pPr>
      <w:r w:rsidRPr="00E73D4B">
        <w:t>Vedtak nr. 650, 23. februar 2021</w:t>
      </w:r>
    </w:p>
    <w:p w14:paraId="349603DB" w14:textId="77777777" w:rsidR="00972395" w:rsidRPr="00E73D4B" w:rsidRDefault="00F120C7" w:rsidP="00E73D4B">
      <w:pPr>
        <w:pStyle w:val="blokksit"/>
      </w:pPr>
      <w:r w:rsidRPr="00E73D4B">
        <w:rPr>
          <w:rStyle w:val="kursiv"/>
        </w:rPr>
        <w:t>«Stortinget ber regjeringen instruere Helse Midt-Norge RHF om å sikre fortsatt drift av fødeavdelingen i Kristiansund i tråd med Stortingets vedtak nr. 574 (2019–2020).»</w:t>
      </w:r>
    </w:p>
    <w:p w14:paraId="7A1EC94A" w14:textId="77777777" w:rsidR="00972395" w:rsidRPr="00E73D4B" w:rsidRDefault="00F120C7" w:rsidP="00E73D4B">
      <w:r w:rsidRPr="00E73D4B">
        <w:t xml:space="preserve">Vedtak 650 og 651 ble truffet ved behandlingen av Dokument 8:7 S (2020–2021), jf. </w:t>
      </w:r>
      <w:proofErr w:type="spellStart"/>
      <w:r w:rsidRPr="00E73D4B">
        <w:t>Innst</w:t>
      </w:r>
      <w:proofErr w:type="spellEnd"/>
      <w:r w:rsidRPr="00E73D4B">
        <w:t>. 217 S (2020–2021).</w:t>
      </w:r>
    </w:p>
    <w:p w14:paraId="0A1D08D5" w14:textId="77777777" w:rsidR="00972395" w:rsidRPr="00E73D4B" w:rsidRDefault="00F120C7" w:rsidP="00E73D4B">
      <w:r w:rsidRPr="00E73D4B">
        <w:t>Vedtakene ble fulgt opp i foretaksmøte i Helse Midt-Norge RHF 8. mars 2021. Videre ble det også stilt krav i foretaksmøte i Helse Midt-Norge RHF 10. januar 2022 knyttet til vedtakene. Anmodningsvedtaket anses som fulgt opp. Det vises til nærmere omtale under kap. 732.</w:t>
      </w:r>
    </w:p>
    <w:p w14:paraId="16E88B0E" w14:textId="77777777" w:rsidR="00972395" w:rsidRPr="00E73D4B" w:rsidRDefault="00F120C7" w:rsidP="00E73D4B">
      <w:pPr>
        <w:pStyle w:val="avsnitt-tittel"/>
      </w:pPr>
      <w:r w:rsidRPr="00E73D4B">
        <w:t>Drift av fødeavdelingen i Kristiansund</w:t>
      </w:r>
    </w:p>
    <w:p w14:paraId="722B49FC" w14:textId="77777777" w:rsidR="00972395" w:rsidRPr="00E73D4B" w:rsidRDefault="00F120C7" w:rsidP="00E73D4B">
      <w:pPr>
        <w:pStyle w:val="avsnitt-undertittel"/>
      </w:pPr>
      <w:r w:rsidRPr="00E73D4B">
        <w:t>Vedtak nr. 651, 23. februar 2021</w:t>
      </w:r>
    </w:p>
    <w:p w14:paraId="01C247B4" w14:textId="77777777" w:rsidR="00972395" w:rsidRPr="00E73D4B" w:rsidRDefault="00F120C7" w:rsidP="00E73D4B">
      <w:pPr>
        <w:pStyle w:val="blokksit"/>
        <w:rPr>
          <w:rStyle w:val="kursiv"/>
        </w:rPr>
      </w:pPr>
      <w:r w:rsidRPr="00E73D4B">
        <w:rPr>
          <w:rStyle w:val="kursiv"/>
        </w:rPr>
        <w:t>«Stortinget ber regjeringen snarest sørge for at Helse Møre og Romsdal HF tilføres de nødvendige faglige og økonomiske ressursene til å sikre forsvarlig drift av fødeavdelingen i Kristiansund, og informere Stortinget på egnet måte.»</w:t>
      </w:r>
    </w:p>
    <w:p w14:paraId="1545814F" w14:textId="77777777" w:rsidR="00972395" w:rsidRPr="00E73D4B" w:rsidRDefault="00F120C7" w:rsidP="00E73D4B">
      <w:r w:rsidRPr="00E73D4B">
        <w:t xml:space="preserve">Vedtak 650 og 651 ble truffet ved behandlingen av Dokument 8:7 S (2020–2021), jf. </w:t>
      </w:r>
      <w:proofErr w:type="spellStart"/>
      <w:r w:rsidRPr="00E73D4B">
        <w:t>Innst</w:t>
      </w:r>
      <w:proofErr w:type="spellEnd"/>
      <w:r w:rsidRPr="00E73D4B">
        <w:t>. 217 S (2020–2021).</w:t>
      </w:r>
    </w:p>
    <w:p w14:paraId="267E8108" w14:textId="77777777" w:rsidR="00972395" w:rsidRPr="00E73D4B" w:rsidRDefault="00F120C7" w:rsidP="00E73D4B">
      <w:r w:rsidRPr="00E73D4B">
        <w:t>Vedtakene ble fulgt opp i foretaksmøte i Helse Midt-Norge RHF 8. mars 2021. Videre ble det også stilt krav i foretaksmøte i Helse Midt-Norge RHF 10. januar 2022 knyttet til vedtakene. Anmodningsvedtaket anses som fulgt opp. Det vises til nærmere omtale under kap. 732.</w:t>
      </w:r>
    </w:p>
    <w:p w14:paraId="5E28C567" w14:textId="77777777" w:rsidR="00972395" w:rsidRPr="00E73D4B" w:rsidRDefault="00F120C7" w:rsidP="00E73D4B">
      <w:pPr>
        <w:pStyle w:val="avsnitt-tittel"/>
      </w:pPr>
      <w:r w:rsidRPr="00E73D4B">
        <w:t>Botilbud for personer som har kommet ut av aktiv rus</w:t>
      </w:r>
    </w:p>
    <w:p w14:paraId="5D29F4C8" w14:textId="77777777" w:rsidR="00972395" w:rsidRPr="00E73D4B" w:rsidRDefault="00F120C7" w:rsidP="00E73D4B">
      <w:pPr>
        <w:pStyle w:val="avsnitt-undertittel"/>
      </w:pPr>
      <w:r w:rsidRPr="00E73D4B">
        <w:t>Vedtak nr. 692, 25. februar 2021</w:t>
      </w:r>
    </w:p>
    <w:p w14:paraId="2DA079DE" w14:textId="77777777" w:rsidR="00972395" w:rsidRPr="00E73D4B" w:rsidRDefault="00F120C7" w:rsidP="00E73D4B">
      <w:pPr>
        <w:pStyle w:val="blokksit"/>
      </w:pPr>
      <w:r w:rsidRPr="00E73D4B">
        <w:rPr>
          <w:rStyle w:val="kursiv"/>
        </w:rPr>
        <w:t>«Stortinget ber regjeringen sørge for at personer som har kommet ut av aktiv rus, sikres et botilbud der man ikke plasseres sammen med personer som fortsatt er i aktiv rus.»</w:t>
      </w:r>
    </w:p>
    <w:p w14:paraId="007011FE" w14:textId="77777777" w:rsidR="00972395" w:rsidRPr="00E73D4B" w:rsidRDefault="00F120C7" w:rsidP="00E73D4B">
      <w:r w:rsidRPr="00E73D4B">
        <w:t xml:space="preserve">Vedtaket ble truffet ved behandling av Dokument 8:49 S (2020–2021), </w:t>
      </w:r>
      <w:proofErr w:type="spellStart"/>
      <w:r w:rsidRPr="00E73D4B">
        <w:t>Innst</w:t>
      </w:r>
      <w:proofErr w:type="spellEnd"/>
      <w:r w:rsidRPr="00E73D4B">
        <w:t>. 235 S (2020–2021).</w:t>
      </w:r>
    </w:p>
    <w:p w14:paraId="666EF6AB" w14:textId="77777777" w:rsidR="00972395" w:rsidRPr="00E73D4B" w:rsidRDefault="00F120C7" w:rsidP="00E73D4B">
      <w:r w:rsidRPr="00E73D4B">
        <w:t xml:space="preserve">Anmodningsvedtaket følges opp gjennom regjeringens arbeid med stortingsmeldingen om en forebyggings- og behandlingsreform for rusfeltet, se omtale under kap. 765. Vedtaket sees i sammenheng med det tverrsektorielle boligsosiale arbeidet som følger av Nasjonal strategi for den sosiale boligpolitikken (2021–2024). Strategien varsler flere tiltak for å styrke bo- og tjenestetilbudet til personer med rus- og psykiske lidelser. Det vises også til </w:t>
      </w:r>
      <w:proofErr w:type="spellStart"/>
      <w:r w:rsidRPr="00E73D4B">
        <w:t>Prop</w:t>
      </w:r>
      <w:proofErr w:type="spellEnd"/>
      <w:r w:rsidRPr="00E73D4B">
        <w:t>. 132 L (2021–2022) Lov om kommunenes ansvar på det boligsosiale feltet.</w:t>
      </w:r>
    </w:p>
    <w:p w14:paraId="49F9DD35" w14:textId="77777777" w:rsidR="00972395" w:rsidRPr="00E73D4B" w:rsidRDefault="00F120C7" w:rsidP="00E73D4B">
      <w:r w:rsidRPr="00E73D4B">
        <w:t>Regjeringen vil komme tilbake til Stortinget på egnet måte.</w:t>
      </w:r>
    </w:p>
    <w:p w14:paraId="11A80C74" w14:textId="77777777" w:rsidR="00972395" w:rsidRPr="00E73D4B" w:rsidRDefault="00F120C7" w:rsidP="00E73D4B">
      <w:pPr>
        <w:pStyle w:val="avsnitt-tittel"/>
      </w:pPr>
      <w:r w:rsidRPr="00E73D4B">
        <w:t>Finansieringsordning innen rusfeltet</w:t>
      </w:r>
    </w:p>
    <w:p w14:paraId="76F27B94" w14:textId="77777777" w:rsidR="00972395" w:rsidRPr="00E73D4B" w:rsidRDefault="00F120C7" w:rsidP="00E73D4B">
      <w:pPr>
        <w:pStyle w:val="avsnitt-undertittel"/>
      </w:pPr>
      <w:r w:rsidRPr="00E73D4B">
        <w:t>Vedtak nr. 693, 25. februar 2021</w:t>
      </w:r>
    </w:p>
    <w:p w14:paraId="4F7BDADF" w14:textId="77777777" w:rsidR="00972395" w:rsidRPr="00E73D4B" w:rsidRDefault="00F120C7" w:rsidP="00E73D4B">
      <w:pPr>
        <w:pStyle w:val="blokksit"/>
      </w:pPr>
      <w:r w:rsidRPr="00E73D4B">
        <w:rPr>
          <w:rStyle w:val="kursiv"/>
        </w:rPr>
        <w:t>«Stortinget ber regjeringen fremme forslag til en forbedret og mer rettferdig finansieringsordning for de heldøgns omsorgs- og rehabiliteringstilbudene innen rusfeltet som ikke er å anse som en del av spesialisthelsetjenesten.»</w:t>
      </w:r>
    </w:p>
    <w:p w14:paraId="5D886B76" w14:textId="77777777" w:rsidR="00972395" w:rsidRPr="00E73D4B" w:rsidRDefault="00F120C7" w:rsidP="00E73D4B">
      <w:r w:rsidRPr="00E73D4B">
        <w:t xml:space="preserve">Vedtaket ble truffet ved behandling av Dokument 8:49 S (2020–2021), </w:t>
      </w:r>
      <w:proofErr w:type="spellStart"/>
      <w:r w:rsidRPr="00E73D4B">
        <w:t>Innst</w:t>
      </w:r>
      <w:proofErr w:type="spellEnd"/>
      <w:r w:rsidRPr="00E73D4B">
        <w:t>. 235 S (2020–2021).</w:t>
      </w:r>
    </w:p>
    <w:p w14:paraId="558F6E86" w14:textId="77777777" w:rsidR="00972395" w:rsidRPr="00E73D4B" w:rsidRDefault="00F120C7" w:rsidP="00E73D4B">
      <w:r w:rsidRPr="00E73D4B">
        <w:t>Anmodningsvedtaket følges opp gjennom regjeringens arbeid med stortingsmeldingen om en forebyggings- og behandlingsreform for rusfeltet, se omtale under kap. 765. Behovet for, og eventuell innretning og finansiering av heldøgns omsorgs- og rehabiliteringstilbud utenfor spesialisthelsetjenesten, vil bli vurdert i stortingsmeldingen. Regjeringen kommer tilbake til Stortinget på egnet måte.</w:t>
      </w:r>
    </w:p>
    <w:p w14:paraId="7A8FF0A7" w14:textId="77777777" w:rsidR="00972395" w:rsidRPr="00E73D4B" w:rsidRDefault="00F120C7" w:rsidP="00E73D4B">
      <w:pPr>
        <w:pStyle w:val="avsnitt-tittel"/>
      </w:pPr>
      <w:r w:rsidRPr="00E73D4B">
        <w:t>Levekårsundersøkelse for personer med alvorlig ruslidelse og psykisk lidelse (ROP)</w:t>
      </w:r>
    </w:p>
    <w:p w14:paraId="7F103F09" w14:textId="77777777" w:rsidR="00972395" w:rsidRPr="00E73D4B" w:rsidRDefault="00F120C7" w:rsidP="00E73D4B">
      <w:pPr>
        <w:pStyle w:val="avsnitt-undertittel"/>
      </w:pPr>
      <w:r w:rsidRPr="00E73D4B">
        <w:t>Vedtak nr. 694, 25. februar 2021</w:t>
      </w:r>
    </w:p>
    <w:p w14:paraId="2D4F2C97" w14:textId="77777777" w:rsidR="00972395" w:rsidRPr="00E73D4B" w:rsidRDefault="00F120C7" w:rsidP="00E73D4B">
      <w:pPr>
        <w:pStyle w:val="blokksit"/>
      </w:pPr>
      <w:r w:rsidRPr="00E73D4B">
        <w:rPr>
          <w:rStyle w:val="kursiv"/>
        </w:rPr>
        <w:t xml:space="preserve">«Stortinget ber regjeringa gjennomføre ei levekårsundersøking for </w:t>
      </w:r>
      <w:proofErr w:type="spellStart"/>
      <w:r w:rsidRPr="00E73D4B">
        <w:rPr>
          <w:rStyle w:val="kursiv"/>
        </w:rPr>
        <w:t>personar</w:t>
      </w:r>
      <w:proofErr w:type="spellEnd"/>
      <w:r w:rsidRPr="00E73D4B">
        <w:rPr>
          <w:rStyle w:val="kursiv"/>
        </w:rPr>
        <w:t xml:space="preserve"> med </w:t>
      </w:r>
      <w:proofErr w:type="spellStart"/>
      <w:r w:rsidRPr="00E73D4B">
        <w:rPr>
          <w:rStyle w:val="kursiv"/>
        </w:rPr>
        <w:t>alvorleg</w:t>
      </w:r>
      <w:proofErr w:type="spellEnd"/>
      <w:r w:rsidRPr="00E73D4B">
        <w:rPr>
          <w:rStyle w:val="kursiv"/>
        </w:rPr>
        <w:t xml:space="preserve"> rusliding og psykisk liding (ROP) med utgangspunkt i evaluering av opptrappingsplanen for rusfeltet.»</w:t>
      </w:r>
    </w:p>
    <w:p w14:paraId="516E5B1F" w14:textId="77777777" w:rsidR="00972395" w:rsidRPr="00E73D4B" w:rsidRDefault="00F120C7" w:rsidP="00E73D4B">
      <w:r w:rsidRPr="00E73D4B">
        <w:t xml:space="preserve">Vedtaket ble truffet ved behandling av Dokument 8:130 S (2019–2020), jf. </w:t>
      </w:r>
      <w:proofErr w:type="spellStart"/>
      <w:r w:rsidRPr="00E73D4B">
        <w:t>Innst</w:t>
      </w:r>
      <w:proofErr w:type="spellEnd"/>
      <w:r w:rsidRPr="00E73D4B">
        <w:t>. 243 S (2020–2021).</w:t>
      </w:r>
    </w:p>
    <w:p w14:paraId="11AA8BEE" w14:textId="77777777" w:rsidR="00972395" w:rsidRPr="00E73D4B" w:rsidRDefault="00F120C7" w:rsidP="00E73D4B">
      <w:r w:rsidRPr="00E73D4B">
        <w:t>Anmodningsvedtaket er fulgt opp gjennom oppdrag til Helsedirektoratet i 2022 om å vurdere om kunnskapsgrunnlaget om gruppens levekårsutfordringer anses tilstrekkelig eller om det foreligger behov for ytterligere studier eller undersøkelser før relevante tiltak og tilbud kan iverksettes. Det foreligger allerede god dokumentasjon, bl.a. gjennom Brukerplan kartlegginger, om målgruppens levekår. Helsedirektoratets konkluderer med at det ikke er behov for ytterligere kunnskapsinnhenting om målgruppens levekår før tiltak kan utvikles og iverksettes. Det vises i den sammenheng til regjeringens Forebyggings- og behandlingsreform for rusfeltet, Opptrappingsplan psykisk helse, se omtale under kap. 765, samt Nasjonal strategi for den boligsosiale politikken (2021–2024), for utvikling av tilbud og tjenester til personer med samtidige rus- og psykiske lidelser.</w:t>
      </w:r>
    </w:p>
    <w:p w14:paraId="56C6F0DE" w14:textId="77777777" w:rsidR="00972395" w:rsidRPr="00E73D4B" w:rsidRDefault="00F120C7" w:rsidP="00E73D4B">
      <w:pPr>
        <w:pStyle w:val="avsnitt-tittel"/>
      </w:pPr>
      <w:r w:rsidRPr="00E73D4B">
        <w:t>Helhetlig og koordinert helse- og omsorgstjenestetilbud</w:t>
      </w:r>
    </w:p>
    <w:p w14:paraId="29135276" w14:textId="77777777" w:rsidR="00972395" w:rsidRPr="00E73D4B" w:rsidRDefault="00F120C7" w:rsidP="00E73D4B">
      <w:pPr>
        <w:pStyle w:val="avsnitt-undertittel"/>
      </w:pPr>
      <w:r w:rsidRPr="00E73D4B">
        <w:t>Vedtak nr. 702, 25. februar 2021</w:t>
      </w:r>
    </w:p>
    <w:p w14:paraId="654F3C3A" w14:textId="77777777" w:rsidR="00972395" w:rsidRPr="00E73D4B" w:rsidRDefault="00F120C7" w:rsidP="00E73D4B">
      <w:pPr>
        <w:pStyle w:val="blokksit"/>
      </w:pPr>
      <w:r w:rsidRPr="00E73D4B">
        <w:rPr>
          <w:rStyle w:val="kursiv"/>
        </w:rPr>
        <w:t>«Stortinget ber regjeringen fremme forslag om endringer i helse- og omsorgstjenesteloven § 4-1 første ledd bokstav a,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2BC6623A" w14:textId="77777777" w:rsidR="00972395" w:rsidRPr="00E73D4B" w:rsidRDefault="00F120C7" w:rsidP="00E73D4B">
      <w:r w:rsidRPr="00E73D4B">
        <w:t xml:space="preserve">Vedtaket ble truffet ved behandling av Dokument 8:16 S (2020–2021), jf. </w:t>
      </w:r>
      <w:proofErr w:type="spellStart"/>
      <w:r w:rsidRPr="00E73D4B">
        <w:t>Innst</w:t>
      </w:r>
      <w:proofErr w:type="spellEnd"/>
      <w:r w:rsidRPr="00E73D4B">
        <w:t>. 242 S (2020–2021).</w:t>
      </w:r>
    </w:p>
    <w:p w14:paraId="74B306C9" w14:textId="77777777" w:rsidR="00972395" w:rsidRPr="00E73D4B" w:rsidRDefault="00F120C7" w:rsidP="00E73D4B">
      <w:r w:rsidRPr="00E73D4B">
        <w:t>Arbeidet med å følge opp vedtaket har reist flere prinsipielle spørsmål, og arbeidet har derfor vært mer tidkrevende enn antatt. Helse- og omsorgsdepartementet tar sikte på å sende et lovforslag på høring høsten 2022.</w:t>
      </w:r>
    </w:p>
    <w:p w14:paraId="1318444F" w14:textId="77777777" w:rsidR="00972395" w:rsidRPr="00E73D4B" w:rsidRDefault="00F120C7" w:rsidP="00E73D4B">
      <w:r w:rsidRPr="00E73D4B">
        <w:t>Regjeringen vil komme tilbake til Stortinget på egnet måte.</w:t>
      </w:r>
    </w:p>
    <w:p w14:paraId="250144C5" w14:textId="77777777" w:rsidR="00972395" w:rsidRPr="00E73D4B" w:rsidRDefault="00F120C7" w:rsidP="00E73D4B">
      <w:pPr>
        <w:pStyle w:val="avsnitt-tittel"/>
      </w:pPr>
      <w:r w:rsidRPr="00E73D4B">
        <w:t>Responstider, kompetanse og akuttmedisinsk utstyr</w:t>
      </w:r>
    </w:p>
    <w:p w14:paraId="3CB80AA4" w14:textId="77777777" w:rsidR="00972395" w:rsidRPr="00E73D4B" w:rsidRDefault="00F120C7" w:rsidP="00E73D4B">
      <w:pPr>
        <w:pStyle w:val="avsnitt-undertittel"/>
      </w:pPr>
      <w:r w:rsidRPr="00E73D4B">
        <w:t>Vedtak nr. 726, 2. mars 2021</w:t>
      </w:r>
    </w:p>
    <w:p w14:paraId="7B7CFD95" w14:textId="77777777" w:rsidR="00972395" w:rsidRPr="00E73D4B" w:rsidRDefault="00F120C7" w:rsidP="00E73D4B">
      <w:pPr>
        <w:pStyle w:val="blokksit"/>
      </w:pPr>
      <w:r w:rsidRPr="00E73D4B">
        <w:rPr>
          <w:rStyle w:val="kursiv"/>
        </w:rPr>
        <w:t>«Stortinget ber regjeringen forskriftsfeste responstider for ambulansetjenesten og sette en standard for kompetanse og akuttmedisinsk utstyr i ambulansebilene og på ambulansebasene.»</w:t>
      </w:r>
    </w:p>
    <w:p w14:paraId="05192C54" w14:textId="77777777" w:rsidR="00972395" w:rsidRPr="00E73D4B" w:rsidRDefault="00F120C7" w:rsidP="00E73D4B">
      <w:r w:rsidRPr="00E73D4B">
        <w:t xml:space="preserve">Vedtaket ble truffet ved behandlingen av Meld. St. 5 (2020–2021), jf. </w:t>
      </w:r>
      <w:proofErr w:type="spellStart"/>
      <w:r w:rsidRPr="00E73D4B">
        <w:t>Innst</w:t>
      </w:r>
      <w:proofErr w:type="spellEnd"/>
      <w:r w:rsidRPr="00E73D4B">
        <w:t>. 275 S (2020–2021).</w:t>
      </w:r>
    </w:p>
    <w:p w14:paraId="31C634E9" w14:textId="77777777" w:rsidR="00972395" w:rsidRPr="00E73D4B" w:rsidRDefault="00F120C7" w:rsidP="00E73D4B">
      <w:r w:rsidRPr="00E73D4B">
        <w:t>Vedtaket blir fulgt opp med oppdrag til Helsedirektoratet om å vurdere forslaget og utrede hvordan forslaget eventuelt kan innføres, slik at departementet får et tilstrekkelig beslutningsgrunnlag. Helsedirektoratet skal utrede modeller for hvordan forskriftsfesting av responstid kan innføres og konsekvensene av dette, samt foreslå funksjonskrav for kompetanse og medisinsk utstyr. Frist for oppdraget er utgangen av 2022. Regjeringen vil komme tilbake til Stortinget på egnet måte.</w:t>
      </w:r>
    </w:p>
    <w:p w14:paraId="1BE8906F" w14:textId="77777777" w:rsidR="00972395" w:rsidRPr="00E73D4B" w:rsidRDefault="00F120C7" w:rsidP="00E73D4B">
      <w:pPr>
        <w:pStyle w:val="avsnitt-tittel"/>
      </w:pPr>
      <w:r w:rsidRPr="00E73D4B">
        <w:t>Norges tilgang til produksjonskapasitet for kritisk medisinsk utstyr</w:t>
      </w:r>
    </w:p>
    <w:p w14:paraId="43F9B83B" w14:textId="77777777" w:rsidR="00972395" w:rsidRPr="00E73D4B" w:rsidRDefault="00F120C7" w:rsidP="00E73D4B">
      <w:pPr>
        <w:pStyle w:val="avsnitt-undertittel"/>
      </w:pPr>
      <w:r w:rsidRPr="00E73D4B">
        <w:t>Vedtak nr. 727, 11. mars 2021</w:t>
      </w:r>
    </w:p>
    <w:p w14:paraId="5E1D9B54" w14:textId="77777777" w:rsidR="00972395" w:rsidRPr="00E73D4B" w:rsidRDefault="00F120C7" w:rsidP="00E73D4B">
      <w:pPr>
        <w:pStyle w:val="blokksit"/>
      </w:pPr>
      <w:r w:rsidRPr="00E73D4B">
        <w:rPr>
          <w:rStyle w:val="kursiv"/>
        </w:rPr>
        <w:t>«Stortinget ber regjeringen sikre at Norge har tilgang til produksjonskapasitet for kritisk medisinsk utstyr, herunder gjennom offentlig-private avtaler som raskt kan etablere produksjonslinjer for smittevernutstyr og kritiske medikamenter.»</w:t>
      </w:r>
    </w:p>
    <w:p w14:paraId="30DCD4EF" w14:textId="77777777" w:rsidR="00972395" w:rsidRPr="00E73D4B" w:rsidRDefault="00F120C7" w:rsidP="00E73D4B">
      <w:r w:rsidRPr="00E73D4B">
        <w:t xml:space="preserve">Vedtaket ble truffet ved Stortingets behandling av Meld. St. 5 (2020–2021), jf. </w:t>
      </w:r>
      <w:proofErr w:type="spellStart"/>
      <w:r w:rsidRPr="00E73D4B">
        <w:t>Innst</w:t>
      </w:r>
      <w:proofErr w:type="spellEnd"/>
      <w:r w:rsidRPr="00E73D4B">
        <w:t>. 275 S (2020–2021).</w:t>
      </w:r>
    </w:p>
    <w:p w14:paraId="22E1B27D" w14:textId="77777777" w:rsidR="00972395" w:rsidRPr="00E73D4B" w:rsidRDefault="00F120C7" w:rsidP="00E73D4B">
      <w:r w:rsidRPr="00E73D4B">
        <w:t>Vedtaket anses som fulgt opp gjennom oppbygging av nasjonalt beredskapslager for smittevernutstyr og beredskapslagre for forsyningskritiske legemidler. Vedtaket er videre fulgt opp ved at de regionale helseforetak på oppdrag fra Helse- og omsorgsdepartementet har utredet tiltak for det permanente nasjonale smittevernlageret hvor det inngår leverandøravtaler og Helsedirektoratets utredning om forskriftsfesting av krav til beredskap for smittevernutstyr og personlig verneutstyr. Vedtaket er omtalt under kap. 702.</w:t>
      </w:r>
    </w:p>
    <w:p w14:paraId="47891AD5" w14:textId="77777777" w:rsidR="00972395" w:rsidRPr="00E73D4B" w:rsidRDefault="00F120C7" w:rsidP="00E73D4B">
      <w:pPr>
        <w:pStyle w:val="avsnitt-tittel"/>
      </w:pPr>
      <w:r w:rsidRPr="00E73D4B">
        <w:t>Koronakommisjonen – situasjonen for kommuneoverleger og kommunale smittevernleger</w:t>
      </w:r>
    </w:p>
    <w:p w14:paraId="71D74AC6" w14:textId="77777777" w:rsidR="00972395" w:rsidRPr="00E73D4B" w:rsidRDefault="00F120C7" w:rsidP="00E73D4B">
      <w:pPr>
        <w:pStyle w:val="avsnitt-undertittel"/>
      </w:pPr>
      <w:r w:rsidRPr="00E73D4B">
        <w:t>Vedtak nr. 876 4. mai 2021</w:t>
      </w:r>
    </w:p>
    <w:p w14:paraId="6B5C6F42" w14:textId="77777777" w:rsidR="00972395" w:rsidRPr="00E73D4B" w:rsidRDefault="00F120C7" w:rsidP="00E73D4B">
      <w:pPr>
        <w:pStyle w:val="blokksit"/>
      </w:pPr>
      <w:r w:rsidRPr="00E73D4B">
        <w:rPr>
          <w:rStyle w:val="kursiv"/>
        </w:rPr>
        <w:t>«Stortinget ber regjeringen sikre at Koronakommisjonen gjør en grundig vurdering av situasjonen for kommuneoverleger og kommunale smittevernleger under pandemien og fremme forslag til nødvendige tiltak for tilstrekkelig rekruttering og stabilisering i denne delen av tjenesten.»</w:t>
      </w:r>
    </w:p>
    <w:p w14:paraId="54253561" w14:textId="77777777" w:rsidR="00972395" w:rsidRPr="00E73D4B" w:rsidRDefault="00F120C7" w:rsidP="00E73D4B">
      <w:r w:rsidRPr="00E73D4B">
        <w:t>Vedtak 876 ble truffet under behandlingen av statsministerens redegjørelse holdt den 26. april 2021 om Koronakommisjonens rapport.</w:t>
      </w:r>
    </w:p>
    <w:p w14:paraId="327DB490" w14:textId="77777777" w:rsidR="00972395" w:rsidRPr="00E73D4B" w:rsidRDefault="00F120C7" w:rsidP="00E73D4B">
      <w:r w:rsidRPr="00E73D4B">
        <w:t>Helsedirektoratet og Folkehelseinstituttet har fått i oppdrag å gi innspill om videreutvikling av kommunelegefunksjonen. Ev. tiltak blir omtalt i folkehelsemeldingen og helseberedskapsmeldingen som planlegges å legges frem for stortinget våren 2023.</w:t>
      </w:r>
    </w:p>
    <w:p w14:paraId="1B84C87D" w14:textId="77777777" w:rsidR="00972395" w:rsidRPr="00E73D4B" w:rsidRDefault="00F120C7" w:rsidP="00E73D4B">
      <w:pPr>
        <w:pStyle w:val="avsnitt-tittel"/>
      </w:pPr>
      <w:r w:rsidRPr="00E73D4B">
        <w:t>Nasjonal produksjon og beredskap for kritisk viktig smittevernutstyr</w:t>
      </w:r>
    </w:p>
    <w:p w14:paraId="500C2486" w14:textId="77777777" w:rsidR="00972395" w:rsidRPr="00E73D4B" w:rsidRDefault="00F120C7" w:rsidP="00E73D4B">
      <w:pPr>
        <w:pStyle w:val="avsnitt-undertittel"/>
      </w:pPr>
      <w:r w:rsidRPr="00E73D4B">
        <w:t>Vedtak nr. 889, 11. mai 2021</w:t>
      </w:r>
    </w:p>
    <w:p w14:paraId="7CE1FC99" w14:textId="77777777" w:rsidR="00972395" w:rsidRPr="00E73D4B" w:rsidRDefault="00F120C7" w:rsidP="00E73D4B">
      <w:pPr>
        <w:pStyle w:val="blokksit"/>
      </w:pPr>
      <w:r w:rsidRPr="00E73D4B">
        <w:rPr>
          <w:rStyle w:val="kursiv"/>
        </w:rPr>
        <w:t xml:space="preserve">«Stortinget ber regjeringen gjennom dialog med </w:t>
      </w:r>
      <w:proofErr w:type="gramStart"/>
      <w:r w:rsidRPr="00E73D4B">
        <w:rPr>
          <w:rStyle w:val="kursiv"/>
        </w:rPr>
        <w:t>potensielle</w:t>
      </w:r>
      <w:proofErr w:type="gramEnd"/>
      <w:r w:rsidRPr="00E73D4B">
        <w:rPr>
          <w:rStyle w:val="kursiv"/>
        </w:rPr>
        <w:t xml:space="preserve"> norske produsenter sikre en nasjonal produksjon og beredskap for kritisk viktig smittevernutstyr.»</w:t>
      </w:r>
    </w:p>
    <w:p w14:paraId="04A46435" w14:textId="77777777" w:rsidR="00972395" w:rsidRPr="00E73D4B" w:rsidRDefault="00F120C7" w:rsidP="00E73D4B">
      <w:r w:rsidRPr="00E73D4B">
        <w:t xml:space="preserve">Vedtaket ble truffet ved Stortingets behandling av Dokument 8:124 S (2020–2021), jf. </w:t>
      </w:r>
      <w:proofErr w:type="spellStart"/>
      <w:r w:rsidRPr="00E73D4B">
        <w:t>Innst</w:t>
      </w:r>
      <w:proofErr w:type="spellEnd"/>
      <w:r w:rsidRPr="00E73D4B">
        <w:t>. 363 S (2020–2021).</w:t>
      </w:r>
    </w:p>
    <w:p w14:paraId="31A50B03" w14:textId="77777777" w:rsidR="00972395" w:rsidRPr="00E73D4B" w:rsidRDefault="00F120C7" w:rsidP="00E73D4B">
      <w:r w:rsidRPr="00E73D4B">
        <w:t>Vedtaket anses som fulgt opp gjennom oppbygging av nasjonalt beredskapslager for smittevernutstyr. Vedtaket er videre fulgt opp ved at de regionale helseforetak på oppdrag fra Helse- og omsorgsdepartementet har utredet tiltak for det permanente nasjonale smittevernlageret hvor det inngår leverandøravtaler og Helsedirektoratets utredning om forskriftsfesting av krav til beredskap for smittevernutstyr og personlig verneutstyr. Vedtaket er omtalt under kap. 702.</w:t>
      </w:r>
    </w:p>
    <w:p w14:paraId="23A4500D" w14:textId="77777777" w:rsidR="00972395" w:rsidRPr="00E73D4B" w:rsidRDefault="00F120C7" w:rsidP="00E73D4B">
      <w:pPr>
        <w:pStyle w:val="avsnitt-tittel"/>
      </w:pPr>
      <w:r w:rsidRPr="00E73D4B">
        <w:t>Beredskapsavtaler for norsk produksjon av legemidler</w:t>
      </w:r>
    </w:p>
    <w:p w14:paraId="719FD404" w14:textId="77777777" w:rsidR="00972395" w:rsidRPr="00E73D4B" w:rsidRDefault="00F120C7" w:rsidP="00E73D4B">
      <w:pPr>
        <w:pStyle w:val="avsnitt-undertittel"/>
      </w:pPr>
      <w:r w:rsidRPr="00E73D4B">
        <w:t>Vedtak nr. 963, 20. mai 2021</w:t>
      </w:r>
    </w:p>
    <w:p w14:paraId="1B95A0BB" w14:textId="77777777" w:rsidR="00972395" w:rsidRPr="00E73D4B" w:rsidRDefault="00F120C7" w:rsidP="00E73D4B">
      <w:pPr>
        <w:pStyle w:val="blokksit"/>
      </w:pPr>
      <w:r w:rsidRPr="00E73D4B">
        <w:rPr>
          <w:rStyle w:val="kursiv"/>
        </w:rPr>
        <w:t>«Stortinget ber regjeringen umiddelbart gå i dialog med relevante produksjonsmiljøer med sikte på å inngå beredskapsavtaler for norsk produksjon av viktige legemidler.»</w:t>
      </w:r>
    </w:p>
    <w:p w14:paraId="5643E266" w14:textId="77777777" w:rsidR="00972395" w:rsidRPr="00E73D4B" w:rsidRDefault="00F120C7" w:rsidP="00E73D4B">
      <w:r w:rsidRPr="00E73D4B">
        <w:t xml:space="preserve">Vedtaket ble truffet ved Stortingets behandling av Dokument 8:171 S (2020–2021), jf. </w:t>
      </w:r>
      <w:proofErr w:type="spellStart"/>
      <w:r w:rsidRPr="00E73D4B">
        <w:t>Innst</w:t>
      </w:r>
      <w:proofErr w:type="spellEnd"/>
      <w:r w:rsidRPr="00E73D4B">
        <w:t>. 405 S (2020–2021).</w:t>
      </w:r>
    </w:p>
    <w:p w14:paraId="0551534D" w14:textId="77777777" w:rsidR="00972395" w:rsidRPr="00E73D4B" w:rsidRDefault="00F120C7" w:rsidP="00E73D4B">
      <w:r w:rsidRPr="00E73D4B">
        <w:t>Vedtaket anses som fulgt opp gjennom bl.a. Legemiddelverkets kartlegging av produksjonskapasitet våren 2020. Denne viste at det kun var mulig å egenprodusere noen få legemidler. Som oppfølging ble det kjøpt inn virkestoff for enkelte kritiske intensivlegemidler, jf. også omtale av vedtak nr. 575 av 14. mai 2020. Det vises videre til departementets forslag om å opprette et Nasjonalt legemiddelberedskapsråd. Nasjonalt legemiddelberedskapsråd skal gi faglige anbefalinger i legemiddelberedskapsspørsmål og sikre større grad av samhandling mellom både etatene og primær- og spesialisthelsetjenesten. Nasjonalt legemiddelberedskapsråd vil gi faglige råd som vil være del av grunnlaget for beslutninger i etatene og virksomhetene med ansvar for legemiddelberedskapen. Dette inkluderer også faglige anbefalinger om innkjøp og lagring av virkestoff, herunder ev. kriseproduksjon.</w:t>
      </w:r>
    </w:p>
    <w:p w14:paraId="1BF56833" w14:textId="77777777" w:rsidR="00972395" w:rsidRPr="00E73D4B" w:rsidRDefault="00F120C7" w:rsidP="00E73D4B">
      <w:r w:rsidRPr="00E73D4B">
        <w:t>Innkjøp av legemidler til norsk helsetjeneste må i utgangpunktet gjennomføres etter regelverk for offentlige anskaffelser, herunder også prinsippet om ikke-diskriminering på grunnlag av nasjonalitet. Forbudet mot diskriminering innebærer at en oppdragsgiver ikke kan fastsette krav eller kriterier, eller foreta handlinger eller unnlatelser, som gjør at utenlandske leverandører diskrimineres og/eller at norske leverandører favoriseres. Både direkte diskriminering og indirekte diskriminering er forbudt. Vedtaket er omtalt under kap. 702.</w:t>
      </w:r>
    </w:p>
    <w:p w14:paraId="30AB1AFC" w14:textId="77777777" w:rsidR="00972395" w:rsidRPr="00E73D4B" w:rsidRDefault="00F120C7" w:rsidP="00E73D4B">
      <w:pPr>
        <w:pStyle w:val="avsnitt-tittel"/>
      </w:pPr>
      <w:r w:rsidRPr="00E73D4B">
        <w:t>Eldrevoldssaker – nasjonale retningslinjer</w:t>
      </w:r>
    </w:p>
    <w:p w14:paraId="2F3700B4" w14:textId="77777777" w:rsidR="00972395" w:rsidRPr="00E73D4B" w:rsidRDefault="00F120C7" w:rsidP="00E73D4B">
      <w:pPr>
        <w:pStyle w:val="avsnitt-undertittel"/>
      </w:pPr>
      <w:r w:rsidRPr="00E73D4B">
        <w:t>Vedtak nr. 986, 25. mai 2021</w:t>
      </w:r>
    </w:p>
    <w:p w14:paraId="6C22B3FB" w14:textId="77777777" w:rsidR="00972395" w:rsidRPr="00E73D4B" w:rsidRDefault="00F120C7" w:rsidP="00E73D4B">
      <w:pPr>
        <w:pStyle w:val="blokksit"/>
      </w:pPr>
      <w:r w:rsidRPr="00E73D4B">
        <w:rPr>
          <w:rStyle w:val="kursiv"/>
        </w:rPr>
        <w:t>«Stortinget ber regjeringen etablere nasjonale retningslinjer for utredning og håndtering av eldrevoldssaker.»</w:t>
      </w:r>
    </w:p>
    <w:p w14:paraId="0A5FA60A" w14:textId="77777777" w:rsidR="00972395" w:rsidRPr="00E73D4B" w:rsidRDefault="00F120C7" w:rsidP="00E73D4B">
      <w:r w:rsidRPr="00E73D4B">
        <w:t xml:space="preserve">Vedtaket ble truffet ved behandling av Dokument 8: 218 S (2020–2021), jf. </w:t>
      </w:r>
      <w:proofErr w:type="spellStart"/>
      <w:r w:rsidRPr="00E73D4B">
        <w:t>Innst</w:t>
      </w:r>
      <w:proofErr w:type="spellEnd"/>
      <w:r w:rsidRPr="00E73D4B">
        <w:t>. 485 S (2020–2021). Helse- og omsorgsdepartementet følger opp anmodningsvedtaket gjennom gitt oppdrag til Helsedirektoratet om å utrede ev. etablering av nasjonale faglige retningslinjer eller vurdere andre normerende virkemidler for utredning og håndtering av eldrevoldssaker. Regjeringen vil komme tilbake til Stortinget på egnet måte.</w:t>
      </w:r>
    </w:p>
    <w:p w14:paraId="127178DF" w14:textId="77777777" w:rsidR="00972395" w:rsidRPr="00E73D4B" w:rsidRDefault="00F120C7" w:rsidP="00E73D4B">
      <w:pPr>
        <w:pStyle w:val="avsnitt-tittel"/>
      </w:pPr>
      <w:r w:rsidRPr="00E73D4B">
        <w:t>Eldrevoldssaker – meldeplikt</w:t>
      </w:r>
    </w:p>
    <w:p w14:paraId="2636AF12" w14:textId="77777777" w:rsidR="00972395" w:rsidRPr="00E73D4B" w:rsidRDefault="00F120C7" w:rsidP="00E73D4B">
      <w:pPr>
        <w:pStyle w:val="avsnitt-undertittel"/>
      </w:pPr>
      <w:r w:rsidRPr="00E73D4B">
        <w:t>Vedtak nr. 987, 25. mai 2021</w:t>
      </w:r>
    </w:p>
    <w:p w14:paraId="1AE717E3" w14:textId="77777777" w:rsidR="00972395" w:rsidRPr="00E73D4B" w:rsidRDefault="00F120C7" w:rsidP="00E73D4B">
      <w:pPr>
        <w:pStyle w:val="blokksit"/>
      </w:pPr>
      <w:r w:rsidRPr="00E73D4B">
        <w:rPr>
          <w:rStyle w:val="kursiv"/>
        </w:rPr>
        <w:t>«Stortinget ber regjeringen etablere meldeplikt til tilsynsmyndighetene når det er grunn til å tro at eldre blir utsatt for vold og overgrep.»</w:t>
      </w:r>
    </w:p>
    <w:p w14:paraId="2E8C2AD8" w14:textId="77777777" w:rsidR="00972395" w:rsidRPr="00E73D4B" w:rsidRDefault="00F120C7" w:rsidP="00E73D4B">
      <w:r w:rsidRPr="00E73D4B">
        <w:t xml:space="preserve">Vedtaket ble truffet ved behandling av Dokument 8:218 S (2020–2021), jf. </w:t>
      </w:r>
      <w:proofErr w:type="spellStart"/>
      <w:r w:rsidRPr="00E73D4B">
        <w:t>Innst</w:t>
      </w:r>
      <w:proofErr w:type="spellEnd"/>
      <w:r w:rsidRPr="00E73D4B">
        <w:t>. 485 S (2020–2021). Helse- og omsorgsdepartementet følger opp anmodningsvedtaket gjennom gitt oppdrag til Helsedirektoratet om å gjennomgå dagens virkemidler og prosedyrer for utredning og håndtering av saker der det er grunn til å tro at eldre blir utsatt for vold og overgrep og vurdere effektive meldesystemer for å ivareta behovet for oppfølging fra tilsynsmyndighetene. Regjeringen vil komme tilbake til Stortinget på egnet måte.</w:t>
      </w:r>
    </w:p>
    <w:p w14:paraId="52546FF8" w14:textId="77777777" w:rsidR="00972395" w:rsidRPr="00E73D4B" w:rsidRDefault="00F120C7" w:rsidP="00E73D4B">
      <w:pPr>
        <w:pStyle w:val="avsnitt-tittel"/>
      </w:pPr>
      <w:r w:rsidRPr="00E73D4B">
        <w:t>Helse-, sosial- og omsorgssektoren – saksbehandling av klager</w:t>
      </w:r>
    </w:p>
    <w:p w14:paraId="0C584C39" w14:textId="77777777" w:rsidR="00972395" w:rsidRPr="00E73D4B" w:rsidRDefault="00F120C7" w:rsidP="00E73D4B">
      <w:pPr>
        <w:pStyle w:val="avsnitt-undertittel"/>
      </w:pPr>
      <w:r w:rsidRPr="00E73D4B">
        <w:t>Vedtak nr. 1105, 2. juni 2021</w:t>
      </w:r>
    </w:p>
    <w:p w14:paraId="3270D2FE" w14:textId="77777777" w:rsidR="00972395" w:rsidRPr="00E73D4B" w:rsidRDefault="00F120C7" w:rsidP="00E73D4B">
      <w:pPr>
        <w:pStyle w:val="blokksit"/>
      </w:pPr>
      <w:r w:rsidRPr="00E73D4B">
        <w:rPr>
          <w:rStyle w:val="kursiv"/>
        </w:rPr>
        <w:t>«Stortinget ber regjeringen sørge for at saksbehandlingstiden hos statsforvalteren i klagesaker på helse-, sosial- og omsorgssektoren reduseres. Stortinget orienteres på egnet måte.»</w:t>
      </w:r>
    </w:p>
    <w:p w14:paraId="2D5B1B2A" w14:textId="77777777" w:rsidR="00972395" w:rsidRPr="00E73D4B" w:rsidRDefault="00F120C7" w:rsidP="00E73D4B">
      <w:r w:rsidRPr="00E73D4B">
        <w:t xml:space="preserve">Vedtaket ble truffet ved behandling av Meld. St. 25 (2020–2021), jf. </w:t>
      </w:r>
      <w:proofErr w:type="spellStart"/>
      <w:r w:rsidRPr="00E73D4B">
        <w:t>Innst</w:t>
      </w:r>
      <w:proofErr w:type="spellEnd"/>
      <w:r w:rsidRPr="00E73D4B">
        <w:t xml:space="preserve">. 570 S (2020–2021). Kontroll- og konstitusjonskomiteen merket seg i </w:t>
      </w:r>
      <w:proofErr w:type="spellStart"/>
      <w:r w:rsidRPr="00E73D4B">
        <w:t>Innst</w:t>
      </w:r>
      <w:proofErr w:type="spellEnd"/>
      <w:r w:rsidRPr="00E73D4B">
        <w:t>. 141 S (2021–2022) at Stortinget har behov for et konkret resultat som viser reduksjon i saksbehandlingstiden.</w:t>
      </w:r>
    </w:p>
    <w:p w14:paraId="1B2DD946" w14:textId="77777777" w:rsidR="00972395" w:rsidRPr="00E73D4B" w:rsidRDefault="00F120C7" w:rsidP="00E73D4B">
      <w:proofErr w:type="spellStart"/>
      <w:r w:rsidRPr="00E73D4B">
        <w:t>Andmodningsvedtaket</w:t>
      </w:r>
      <w:proofErr w:type="spellEnd"/>
      <w:r w:rsidRPr="00E73D4B">
        <w:t xml:space="preserve"> anses som fulgt opp gjennom ressursrapportering og tall fra NESTOR (nettbasert system for tilsyn og </w:t>
      </w:r>
      <w:proofErr w:type="spellStart"/>
      <w:r w:rsidRPr="00E73D4B">
        <w:t>rettighetssaker</w:t>
      </w:r>
      <w:proofErr w:type="spellEnd"/>
      <w:r w:rsidRPr="00E73D4B">
        <w:t>) som viser at det har vært en økning i andel rettighetsklager behandlet innen tre måneder for sosiale tjenester i arbeids- og velferdsforvaltningen. Videre har antall restanser for rettighetsklager innen helse- og omsorgstjenester blitt redusert i perioden 1. januar 2022 til 30. juni 2022. Det vises til omtale på kap. 762.</w:t>
      </w:r>
    </w:p>
    <w:p w14:paraId="48F5230D" w14:textId="77777777" w:rsidR="00972395" w:rsidRPr="00E73D4B" w:rsidRDefault="00F120C7" w:rsidP="00E73D4B">
      <w:pPr>
        <w:pStyle w:val="avsnitt-tittel"/>
      </w:pPr>
      <w:r w:rsidRPr="00E73D4B">
        <w:t>Legemiddelloven – narkotika til eget bruk</w:t>
      </w:r>
    </w:p>
    <w:p w14:paraId="7F4E94A4" w14:textId="77777777" w:rsidR="00972395" w:rsidRPr="00E73D4B" w:rsidRDefault="00F120C7" w:rsidP="00E73D4B">
      <w:pPr>
        <w:pStyle w:val="avsnitt-undertittel"/>
      </w:pPr>
      <w:r w:rsidRPr="00E73D4B">
        <w:t>Vedtak nr. 1114, 3. juni 2021</w:t>
      </w:r>
    </w:p>
    <w:p w14:paraId="04A95F81" w14:textId="77777777" w:rsidR="00972395" w:rsidRPr="00E73D4B" w:rsidRDefault="00F120C7" w:rsidP="00E73D4B">
      <w:pPr>
        <w:pStyle w:val="blokksit"/>
      </w:pPr>
      <w:r w:rsidRPr="00E73D4B">
        <w:rPr>
          <w:rStyle w:val="kursiv"/>
        </w:rPr>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70C17828" w14:textId="77777777" w:rsidR="00972395" w:rsidRPr="00E73D4B" w:rsidRDefault="00F120C7" w:rsidP="00E73D4B">
      <w:r w:rsidRPr="00E73D4B">
        <w:t xml:space="preserve">Vedtaket ble truffet ved første behandling av </w:t>
      </w:r>
      <w:proofErr w:type="spellStart"/>
      <w:r w:rsidRPr="00E73D4B">
        <w:t>Prop</w:t>
      </w:r>
      <w:proofErr w:type="spellEnd"/>
      <w:r w:rsidRPr="00E73D4B">
        <w:t xml:space="preserve">. 92 L (2020–2021), jf. </w:t>
      </w:r>
      <w:proofErr w:type="spellStart"/>
      <w:r w:rsidRPr="00E73D4B">
        <w:t>Innst</w:t>
      </w:r>
      <w:proofErr w:type="spellEnd"/>
      <w:r w:rsidRPr="00E73D4B">
        <w:t>. 612 L (2020–2021)</w:t>
      </w:r>
    </w:p>
    <w:p w14:paraId="492B7B62" w14:textId="77777777" w:rsidR="00972395" w:rsidRPr="00E73D4B" w:rsidRDefault="00F120C7" w:rsidP="00E73D4B">
      <w:r w:rsidRPr="00E73D4B">
        <w:t xml:space="preserve">Anmodningsvedtaket følges opp gjennom regjeringens arbeid med stortingsmeldingen om en forebyggings- og behandlingsreform for rusfeltet. Regjeringen vil komme tilbake til Stortinget med forslag knyttet til endringer i legemiddelloven § 31 annet ledd, </w:t>
      </w:r>
      <w:proofErr w:type="gramStart"/>
      <w:r w:rsidRPr="00E73D4B">
        <w:t>vedrørende</w:t>
      </w:r>
      <w:proofErr w:type="gramEnd"/>
      <w:r w:rsidRPr="00E73D4B">
        <w:t xml:space="preserve"> strafferammen for overtredelse av legemiddelloven § 24 første ledd. Regjeringen vil videre vurdere eventuelle avbøtende tiltak for konsekvenser av endringer i legemiddelloven.</w:t>
      </w:r>
    </w:p>
    <w:p w14:paraId="24294B53" w14:textId="77777777" w:rsidR="00972395" w:rsidRPr="00E73D4B" w:rsidRDefault="00F120C7" w:rsidP="00E73D4B">
      <w:pPr>
        <w:pStyle w:val="avsnitt-tittel"/>
      </w:pPr>
      <w:r w:rsidRPr="00E73D4B">
        <w:t>Rusfaglig kompetanse i BUP</w:t>
      </w:r>
    </w:p>
    <w:p w14:paraId="5F3B7822" w14:textId="77777777" w:rsidR="00972395" w:rsidRPr="00E73D4B" w:rsidRDefault="00F120C7" w:rsidP="00E73D4B">
      <w:pPr>
        <w:pStyle w:val="avsnitt-undertittel"/>
      </w:pPr>
      <w:r w:rsidRPr="00E73D4B">
        <w:t>Vedtak nr. 1120, 3. juni 2021</w:t>
      </w:r>
    </w:p>
    <w:p w14:paraId="077C870C" w14:textId="77777777" w:rsidR="00972395" w:rsidRPr="00E73D4B" w:rsidRDefault="00F120C7" w:rsidP="00E73D4B">
      <w:pPr>
        <w:pStyle w:val="blokksit"/>
      </w:pPr>
      <w:r w:rsidRPr="00E73D4B">
        <w:rPr>
          <w:rStyle w:val="kursiv"/>
        </w:rPr>
        <w:t>«Stortinget ber regjeringen sikre at barne- og ungdomspsykiatrien (BUP) får rusfaglig kompetanse.»</w:t>
      </w:r>
    </w:p>
    <w:p w14:paraId="4F5590E7" w14:textId="77777777" w:rsidR="00972395" w:rsidRPr="00E73D4B" w:rsidRDefault="00F120C7" w:rsidP="00E73D4B">
      <w:r w:rsidRPr="00E73D4B">
        <w:t xml:space="preserve">Vedtaket ble truffet ved behandling av Dokument 8:119 S (2020–2021), jf. </w:t>
      </w:r>
      <w:proofErr w:type="spellStart"/>
      <w:r w:rsidRPr="00E73D4B">
        <w:t>Innst</w:t>
      </w:r>
      <w:proofErr w:type="spellEnd"/>
      <w:r w:rsidRPr="00E73D4B">
        <w:t>. 578 S (2020–2021).</w:t>
      </w:r>
    </w:p>
    <w:p w14:paraId="20A4DAF1" w14:textId="77777777" w:rsidR="00972395" w:rsidRPr="00E73D4B" w:rsidRDefault="00F120C7" w:rsidP="00E73D4B">
      <w:r w:rsidRPr="00E73D4B">
        <w:t>Vedtaket anses som fulgt opp gjennom oppdrag til Helsedirektoratet i 2022 om å utrede hvordan spesialisert rusbehandling for barn og unge bør tilbys og beskrive konkrete forslag til styrking av tjenesten. I tillegg vises det til at det enkelte helseforetak har ansvar for tilstrekkelig kunnskap om rusproblematikk hos spesialister i BUP og kompetanse i intervensjoner og behandling. Regjeringen har en målsetning om å utvikle det faglige samarbeidet mellom BUP og TSB, og derved også behandlingstilbudet til unge med skadelig bruk av rusmidler og rusbrukslidelser. I tillegg vil regjeringen legge til rette for å utvikle oppfølgings- og behandlingstilbudet til barn og unge med rusproblemer gjennom den varslede forebyggings- og behandlingsreformen, se omtale under kap. 765. Det vises også til Opptrappingsplan psykiske helse, se nærmere omtale under kap. 765. Anmodningsvedtaket anses som fulgt opp gjennom vurderinger under kap. 734.</w:t>
      </w:r>
    </w:p>
    <w:p w14:paraId="6F700E0A" w14:textId="77777777" w:rsidR="00972395" w:rsidRPr="00E73D4B" w:rsidRDefault="00F120C7" w:rsidP="00E73D4B">
      <w:pPr>
        <w:pStyle w:val="avsnitt-tittel"/>
      </w:pPr>
      <w:proofErr w:type="spellStart"/>
      <w:r w:rsidRPr="00E73D4B">
        <w:t>Ettervernsreform</w:t>
      </w:r>
      <w:proofErr w:type="spellEnd"/>
      <w:r w:rsidRPr="00E73D4B">
        <w:t xml:space="preserve"> for rusavhengige</w:t>
      </w:r>
    </w:p>
    <w:p w14:paraId="38D78234" w14:textId="77777777" w:rsidR="00972395" w:rsidRPr="00E73D4B" w:rsidRDefault="00F120C7" w:rsidP="00E73D4B">
      <w:pPr>
        <w:pStyle w:val="avsnitt-undertittel"/>
      </w:pPr>
      <w:r w:rsidRPr="00E73D4B">
        <w:t>Vedtak nr. 1122, 3. juni 2021</w:t>
      </w:r>
    </w:p>
    <w:p w14:paraId="3EAAE65F" w14:textId="77777777" w:rsidR="00972395" w:rsidRPr="00E73D4B" w:rsidRDefault="00F120C7" w:rsidP="00E73D4B">
      <w:pPr>
        <w:pStyle w:val="blokksit"/>
      </w:pPr>
      <w:r w:rsidRPr="00E73D4B">
        <w:rPr>
          <w:rStyle w:val="kursiv"/>
        </w:rPr>
        <w:t xml:space="preserve">«Stortinget ber regjeringen komme tilbake til Stortinget med en </w:t>
      </w:r>
      <w:proofErr w:type="spellStart"/>
      <w:r w:rsidRPr="00E73D4B">
        <w:rPr>
          <w:rStyle w:val="kursiv"/>
        </w:rPr>
        <w:t>ettervernsreform</w:t>
      </w:r>
      <w:proofErr w:type="spellEnd"/>
      <w:r w:rsidRPr="00E73D4B">
        <w:rPr>
          <w:rStyle w:val="kursiv"/>
        </w:rPr>
        <w:t xml:space="preserve"> der rusavhengige blir fulgt opp på en systematisk måte etter behandlings- og fengselsopphold, herunder sikre boforhold og oppfølging som forebygger at de faller tilbake til rusmiljøet.»</w:t>
      </w:r>
    </w:p>
    <w:p w14:paraId="3D54B06A" w14:textId="77777777" w:rsidR="00972395" w:rsidRPr="00E73D4B" w:rsidRDefault="00F120C7" w:rsidP="00E73D4B">
      <w:r w:rsidRPr="00E73D4B">
        <w:t xml:space="preserve">Vedtaket ble truffet ved behandling av Dokument 8:119 S (2020–2021), jf. </w:t>
      </w:r>
      <w:proofErr w:type="spellStart"/>
      <w:r w:rsidRPr="00E73D4B">
        <w:t>Innst</w:t>
      </w:r>
      <w:proofErr w:type="spellEnd"/>
      <w:r w:rsidRPr="00E73D4B">
        <w:t>. 578 S (2020–2021).</w:t>
      </w:r>
    </w:p>
    <w:p w14:paraId="7500AD8B" w14:textId="77777777" w:rsidR="00972395" w:rsidRPr="00E73D4B" w:rsidRDefault="00F120C7" w:rsidP="00E73D4B">
      <w:r w:rsidRPr="00E73D4B">
        <w:t xml:space="preserve">Anmodningsvedtaket følges opp gjennom regjeringens arbeid med stortingsmeldingen om en forebyggings- og behandlingsreform for rusfeltet, se omtale under kap. 765. Vedtaket sees videre i sammenheng utvikling av behandlingstilbud til innsatte med rusproblematikk og det tverrsektorielle samarbeidet knyttet til løslatelse samt tverrsektorielt samarbeid som følger av Nasjonal strategi for den sosiale boligpolitikken (2021–2024) mv. Det vises også til </w:t>
      </w:r>
      <w:proofErr w:type="spellStart"/>
      <w:r w:rsidRPr="00E73D4B">
        <w:t>Prop</w:t>
      </w:r>
      <w:proofErr w:type="spellEnd"/>
      <w:r w:rsidRPr="00E73D4B">
        <w:t xml:space="preserve">. 132 L (2021–2022) </w:t>
      </w:r>
      <w:r w:rsidRPr="00E73D4B">
        <w:rPr>
          <w:rStyle w:val="kursiv"/>
        </w:rPr>
        <w:t>Lov om kommunenes ansvar på det boligsosiale feltet</w:t>
      </w:r>
      <w:r w:rsidRPr="00E73D4B">
        <w:t>. Regjeringen vil komme tilbake til Stortinget på egnet måte.</w:t>
      </w:r>
    </w:p>
    <w:p w14:paraId="360EA1F0" w14:textId="77777777" w:rsidR="00972395" w:rsidRPr="00E73D4B" w:rsidRDefault="00F120C7" w:rsidP="00E73D4B">
      <w:pPr>
        <w:pStyle w:val="avsnitt-tittel"/>
      </w:pPr>
      <w:r w:rsidRPr="00E73D4B">
        <w:t xml:space="preserve">Bruk av </w:t>
      </w:r>
      <w:proofErr w:type="spellStart"/>
      <w:r w:rsidRPr="00E73D4B">
        <w:t>Nalokson</w:t>
      </w:r>
      <w:proofErr w:type="spellEnd"/>
    </w:p>
    <w:p w14:paraId="6A673227" w14:textId="77777777" w:rsidR="00972395" w:rsidRPr="00E73D4B" w:rsidRDefault="00F120C7" w:rsidP="00E73D4B">
      <w:pPr>
        <w:pStyle w:val="avsnitt-undertittel"/>
      </w:pPr>
      <w:r w:rsidRPr="00E73D4B">
        <w:t>Vedtak nr. 1123, 3. juni 2021</w:t>
      </w:r>
    </w:p>
    <w:p w14:paraId="13FBE454" w14:textId="77777777" w:rsidR="00972395" w:rsidRPr="00E73D4B" w:rsidRDefault="00F120C7" w:rsidP="00E73D4B">
      <w:pPr>
        <w:pStyle w:val="blokksit"/>
      </w:pPr>
      <w:r w:rsidRPr="00E73D4B">
        <w:rPr>
          <w:rStyle w:val="kursiv"/>
        </w:rPr>
        <w:t xml:space="preserve">«Stortinget ber regjeringen vurdere å utvide bruken av </w:t>
      </w:r>
      <w:proofErr w:type="spellStart"/>
      <w:r w:rsidRPr="00E73D4B">
        <w:rPr>
          <w:rStyle w:val="kursiv"/>
        </w:rPr>
        <w:t>Nalokson</w:t>
      </w:r>
      <w:proofErr w:type="spellEnd"/>
      <w:r w:rsidRPr="00E73D4B">
        <w:rPr>
          <w:rStyle w:val="kursiv"/>
        </w:rPr>
        <w:t xml:space="preserve"> nesespray til en nasjonal ordning for å behandle overdoser.»</w:t>
      </w:r>
    </w:p>
    <w:p w14:paraId="41731C0B" w14:textId="77777777" w:rsidR="00972395" w:rsidRPr="00E73D4B" w:rsidRDefault="00F120C7" w:rsidP="00E73D4B">
      <w:r w:rsidRPr="00E73D4B">
        <w:t xml:space="preserve">Vedtaket ble truffet ved behandling av Dokument 8:119 S (2020–2021), jf. </w:t>
      </w:r>
      <w:proofErr w:type="spellStart"/>
      <w:r w:rsidRPr="00E73D4B">
        <w:t>Innst</w:t>
      </w:r>
      <w:proofErr w:type="spellEnd"/>
      <w:r w:rsidRPr="00E73D4B">
        <w:t>. 578 S (2020–2021).</w:t>
      </w:r>
    </w:p>
    <w:p w14:paraId="7807AE4E" w14:textId="77777777" w:rsidR="00972395" w:rsidRPr="00E73D4B" w:rsidRDefault="00F120C7" w:rsidP="00E73D4B">
      <w:r w:rsidRPr="00E73D4B">
        <w:t xml:space="preserve">Anmodningsvedtaket er fulgt opp gjennom at Helsedirektoratet i 2022 fikk i oppdrag å vurdere behovet for utvidelse og innretting av ordningen med </w:t>
      </w:r>
      <w:proofErr w:type="spellStart"/>
      <w:r w:rsidRPr="00E73D4B">
        <w:t>nalokson</w:t>
      </w:r>
      <w:proofErr w:type="spellEnd"/>
      <w:r w:rsidRPr="00E73D4B">
        <w:t xml:space="preserve"> nesespray, herunder administrative og økonomiske konsekvenser. Eventuelle videre utvidelser av ordningen med </w:t>
      </w:r>
      <w:proofErr w:type="spellStart"/>
      <w:r w:rsidRPr="00E73D4B">
        <w:t>nalokson</w:t>
      </w:r>
      <w:proofErr w:type="spellEnd"/>
      <w:r w:rsidRPr="00E73D4B">
        <w:t xml:space="preserve"> nesespray vil finansieres gjennom den løpende bevilgningen til arbeidet mot overdoser. Det vises i denne sammenheng også til regjeringens forebyggings- og behandlingsreform for rusfeltet, herunder videre oppfølging av overdosearbeidet. Anmodningsvedtaket anses som fulgt opp gjennom vurderinger under kap. 734.</w:t>
      </w:r>
    </w:p>
    <w:p w14:paraId="59B6DE25" w14:textId="77777777" w:rsidR="00972395" w:rsidRPr="00E73D4B" w:rsidRDefault="00F120C7" w:rsidP="00E73D4B">
      <w:pPr>
        <w:pStyle w:val="avsnitt-tittel"/>
      </w:pPr>
      <w:r w:rsidRPr="00E73D4B">
        <w:t>Evaluering av de regionale odontologiske kompetansesentrene</w:t>
      </w:r>
    </w:p>
    <w:p w14:paraId="57751C5D" w14:textId="77777777" w:rsidR="00972395" w:rsidRPr="00E73D4B" w:rsidRDefault="00F120C7" w:rsidP="00E73D4B">
      <w:pPr>
        <w:pStyle w:val="avsnitt-undertittel"/>
      </w:pPr>
      <w:r w:rsidRPr="00E73D4B">
        <w:t>Vedtak nr. 1164, 8. juni 2021</w:t>
      </w:r>
    </w:p>
    <w:p w14:paraId="42CDFD58" w14:textId="77777777" w:rsidR="00972395" w:rsidRPr="00E73D4B" w:rsidRDefault="00F120C7" w:rsidP="00E73D4B">
      <w:pPr>
        <w:pStyle w:val="blokksit"/>
      </w:pPr>
      <w:r w:rsidRPr="00E73D4B">
        <w:rPr>
          <w:rStyle w:val="kursiv"/>
        </w:rPr>
        <w:t>«Stortinget ber regjeringen gjennomføre en evaluering av de regionale odontologiske kompetansesentrene. Evalueringen må blant annet vurdere hvorvidt man har nådd målet om at sentrene skal bidra til en desentralisering av spesialisert kompetanse på tannhelsefeltet, om innretningen av dagens statlige tilskuddsordning er riktig, og hvorvidt bruken av disse statlige tilskuddsmidlene bør endres, for bedre å kunne bidra til at man sikrer pasienter tilgang på god spesialisert tannhelsebehandling i hele landet. Resultatet av evalueringen og forslag til tiltak legges fram for Stortinget.»</w:t>
      </w:r>
    </w:p>
    <w:p w14:paraId="737CDF79" w14:textId="77777777" w:rsidR="00972395" w:rsidRPr="00E73D4B" w:rsidRDefault="00F120C7" w:rsidP="00E73D4B">
      <w:r w:rsidRPr="00E73D4B">
        <w:t xml:space="preserve">Vedtaket ble truffet ved behandling av Dokument 8:200 S (2020–2021), jf. </w:t>
      </w:r>
      <w:proofErr w:type="spellStart"/>
      <w:r w:rsidRPr="00E73D4B">
        <w:t>Innst</w:t>
      </w:r>
      <w:proofErr w:type="spellEnd"/>
      <w:r w:rsidRPr="00E73D4B">
        <w:t>. 540 S (2020–2021).</w:t>
      </w:r>
    </w:p>
    <w:p w14:paraId="1896223D" w14:textId="77777777" w:rsidR="00972395" w:rsidRPr="00E73D4B" w:rsidRDefault="00F120C7" w:rsidP="00E73D4B">
      <w:r w:rsidRPr="00E73D4B">
        <w:t>Departementet vil foreta en evaluering av tannhelsetjenestens kompetansesentre i 2022. Regjeringen vil komme tilbake til Stortinget på egnet måte.</w:t>
      </w:r>
    </w:p>
    <w:p w14:paraId="52AC4C9C" w14:textId="77777777" w:rsidR="00972395" w:rsidRPr="00E73D4B" w:rsidRDefault="00F120C7" w:rsidP="00E73D4B">
      <w:pPr>
        <w:pStyle w:val="avsnitt-tittel"/>
      </w:pPr>
      <w:r w:rsidRPr="00E73D4B">
        <w:t>WHO – tilgang til effektive antibiotika</w:t>
      </w:r>
    </w:p>
    <w:p w14:paraId="3703DD55" w14:textId="77777777" w:rsidR="00972395" w:rsidRPr="00E73D4B" w:rsidRDefault="00F120C7" w:rsidP="00E73D4B">
      <w:pPr>
        <w:pStyle w:val="avsnitt-undertittel"/>
      </w:pPr>
      <w:r w:rsidRPr="00E73D4B">
        <w:t>Vedtak 1170, 8. juni 2021</w:t>
      </w:r>
    </w:p>
    <w:p w14:paraId="2A4EC57F" w14:textId="77777777" w:rsidR="00972395" w:rsidRPr="00E73D4B" w:rsidRDefault="00F120C7" w:rsidP="00E73D4B">
      <w:pPr>
        <w:pStyle w:val="blokksit"/>
      </w:pPr>
      <w:r w:rsidRPr="00E73D4B">
        <w:rPr>
          <w:rStyle w:val="kursiv"/>
        </w:rPr>
        <w:t xml:space="preserve">«Stortinget ber regjeringen inkludere tilgang til effektive antibiotika i arbeidet med å utarbeide en traktat for helseberedskap i regi av WHO. Stortinget ber regjeringen vurdere om </w:t>
      </w:r>
      <w:proofErr w:type="spellStart"/>
      <w:r w:rsidRPr="00E73D4B">
        <w:rPr>
          <w:rStyle w:val="kursiv"/>
        </w:rPr>
        <w:t>antibiotikaresistens</w:t>
      </w:r>
      <w:proofErr w:type="spellEnd"/>
      <w:r w:rsidRPr="00E73D4B">
        <w:rPr>
          <w:rStyle w:val="kursiv"/>
        </w:rPr>
        <w:t xml:space="preserve"> egner seg for behandling under denne traktaten, og alternativt komme tilbake til Stortinget med forslag til videre oppfølging av </w:t>
      </w:r>
      <w:proofErr w:type="spellStart"/>
      <w:r w:rsidRPr="00E73D4B">
        <w:rPr>
          <w:rStyle w:val="kursiv"/>
        </w:rPr>
        <w:t>antibiotikaresistens</w:t>
      </w:r>
      <w:proofErr w:type="spellEnd"/>
      <w:r w:rsidRPr="00E73D4B">
        <w:rPr>
          <w:rStyle w:val="kursiv"/>
        </w:rPr>
        <w:t xml:space="preserve"> i WHO.»</w:t>
      </w:r>
    </w:p>
    <w:p w14:paraId="2AFB54C8" w14:textId="77777777" w:rsidR="00972395" w:rsidRPr="00E73D4B" w:rsidRDefault="00F120C7" w:rsidP="00E73D4B">
      <w:r w:rsidRPr="00E73D4B">
        <w:t xml:space="preserve">Vedtaket ble truffet ved behandling av Dokument 8:200 S (2020–2021), jf. </w:t>
      </w:r>
      <w:proofErr w:type="spellStart"/>
      <w:r w:rsidRPr="00E73D4B">
        <w:t>Innst</w:t>
      </w:r>
      <w:proofErr w:type="spellEnd"/>
      <w:r w:rsidRPr="00E73D4B">
        <w:t>. 540 S (2020–2021).</w:t>
      </w:r>
    </w:p>
    <w:p w14:paraId="06F0469D" w14:textId="77777777" w:rsidR="00972395" w:rsidRPr="00E73D4B" w:rsidRDefault="00F120C7" w:rsidP="00E73D4B">
      <w:r w:rsidRPr="00E73D4B">
        <w:t xml:space="preserve">Vedtaket er fulgt opp bl.a. i forbindelse med oppfølging av Nasjonal strategi mot </w:t>
      </w:r>
      <w:proofErr w:type="spellStart"/>
      <w:r w:rsidRPr="00E73D4B">
        <w:t>Antibiotikaresistens</w:t>
      </w:r>
      <w:proofErr w:type="spellEnd"/>
      <w:r w:rsidRPr="00E73D4B">
        <w:t xml:space="preserve">. De mellomstatlige diskusjonene om utvikling av et bindende internasjonalt regelverk for helseberedskap, for eksempel en traktat, er fortsatt i startfasen. WHO-sekretariatets anbefalinger om hvilket innhold en avtale bør ha, inkludert om en slik avtale er et egnet verktøy for oppfølging av </w:t>
      </w:r>
      <w:proofErr w:type="spellStart"/>
      <w:r w:rsidRPr="00E73D4B">
        <w:t>antibiotikaresistens</w:t>
      </w:r>
      <w:proofErr w:type="spellEnd"/>
      <w:r w:rsidRPr="00E73D4B">
        <w:t xml:space="preserve">, vil være en del av grunnlaget for et forslag til avtaletekst. </w:t>
      </w:r>
      <w:proofErr w:type="spellStart"/>
      <w:r w:rsidRPr="00E73D4B">
        <w:t>Antibiotikaresistens</w:t>
      </w:r>
      <w:proofErr w:type="spellEnd"/>
      <w:r w:rsidRPr="00E73D4B">
        <w:t xml:space="preserve"> er et felt hvor internasjonalt samarbeid er avgjørende for mulighetene til å lykkes nasjonalt. Nasjonal strategi mot </w:t>
      </w:r>
      <w:proofErr w:type="spellStart"/>
      <w:r w:rsidRPr="00E73D4B">
        <w:t>Antibiotikaresistens</w:t>
      </w:r>
      <w:proofErr w:type="spellEnd"/>
      <w:r w:rsidRPr="00E73D4B">
        <w:t xml:space="preserve"> skal revideres, og internasjonalt samarbeid vil inngå i en revidert strategi. Regjeringen vil komme tilbake til Stortinget på egnet måte.</w:t>
      </w:r>
    </w:p>
    <w:p w14:paraId="4AD1B33A" w14:textId="77777777" w:rsidR="00972395" w:rsidRPr="00E73D4B" w:rsidRDefault="00F120C7" w:rsidP="00E73D4B">
      <w:pPr>
        <w:pStyle w:val="avsnitt-tittel"/>
      </w:pPr>
      <w:r w:rsidRPr="00E73D4B">
        <w:t>Styrket opplæring av eldrerådene</w:t>
      </w:r>
    </w:p>
    <w:p w14:paraId="69D588C4" w14:textId="77777777" w:rsidR="00972395" w:rsidRPr="00E73D4B" w:rsidRDefault="00F120C7" w:rsidP="00E73D4B">
      <w:pPr>
        <w:pStyle w:val="avsnitt-undertittel"/>
      </w:pPr>
      <w:r w:rsidRPr="00E73D4B">
        <w:t>Vedtak nr. 1281, 17. juni 2021</w:t>
      </w:r>
    </w:p>
    <w:p w14:paraId="3FECB918" w14:textId="77777777" w:rsidR="00972395" w:rsidRPr="00E73D4B" w:rsidRDefault="00F120C7" w:rsidP="00E73D4B">
      <w:pPr>
        <w:pStyle w:val="blokksit"/>
      </w:pPr>
      <w:r w:rsidRPr="00E73D4B">
        <w:rPr>
          <w:rStyle w:val="kursiv"/>
        </w:rPr>
        <w:t>«Stortinget ber regjeringen legge til rette for en styrket opplæring av eldrerådene gjennom at det søkes å få til et samarbeid mellom Pensjonistforbundet, KS og Rådet for et aldersvennlig Norge.»</w:t>
      </w:r>
    </w:p>
    <w:p w14:paraId="7785AB27" w14:textId="77777777" w:rsidR="00972395" w:rsidRPr="00E73D4B" w:rsidRDefault="00F120C7" w:rsidP="00E73D4B">
      <w:r w:rsidRPr="00E73D4B">
        <w:t xml:space="preserve">Vedtaket ble truffet ved behandlingen av Meld. St. 33 (2020–2021) Regulering av pensjoner i 2021 og pensjonisters inntektsforhold, jf. </w:t>
      </w:r>
      <w:proofErr w:type="spellStart"/>
      <w:r w:rsidRPr="00E73D4B">
        <w:t>Innst</w:t>
      </w:r>
      <w:proofErr w:type="spellEnd"/>
      <w:r w:rsidRPr="00E73D4B">
        <w:t>. 665 S (2020–2021).</w:t>
      </w:r>
    </w:p>
    <w:p w14:paraId="5E03E469" w14:textId="77777777" w:rsidR="00972395" w:rsidRPr="00E73D4B" w:rsidRDefault="00F120C7" w:rsidP="00E73D4B">
      <w:r w:rsidRPr="00E73D4B">
        <w:t xml:space="preserve">Helse- og omsorgsdepartementet har gitt Senteret for et aldersvennlig Norge i oppdrag å tilby de kommunale og fylkeskommunale eldrerådene og andre kommunale folkevalgte og administrative medarbeidere opplæring i eldrerådenes oppgaver og i medvirkningsarbeid for å fremme mer aldersvennlige lokalsamfunn. Oppgaven skal løses i samarbeid med Rådet for et aldersvennlig Norge, herunder med Pensjonistforbundet og KS, og også involvere andre organisasjoner som representerer eldre innbyggere. Senteret har i samarbeid med Pensjonistforbundet og KS regionalt utviklet et opplæringsopplegg som skal testes ut i Vestfold og Telemark høsten 2022 med to kurssamlinger, som skal tilbys både digitalt og med fysisk deltakelse. På bakgrunn av erfaringene skal det ferdigstilles et kursopplegg som kan være landsdekkende og tilbys etter kommunevalget i 2023. Som del av forarbeidet ble det gjennomført en undersøkelse blant medlemmer av eldrerådene som viste at over 50 prosent av de som svarte ikke har fått noe opplæring. Eldrerådene er viktige representanter og talerør for hele eldrebefolkningen, de har </w:t>
      </w:r>
      <w:proofErr w:type="gramStart"/>
      <w:r w:rsidRPr="00E73D4B">
        <w:t>en sentralt rolle</w:t>
      </w:r>
      <w:proofErr w:type="gramEnd"/>
      <w:r w:rsidRPr="00E73D4B">
        <w:t xml:space="preserve"> i å bidra til utviklingen av aldersvennlige lokalsamfunn, og som attraktive samarbeidspartnere for kommunens administrative og politiske ledelse. Regjeringen vil derfor bidra til ytterligere styrking av opplæringstilbud for eldrerådene. Anmodningsvedtaket anses som fulgt opp.</w:t>
      </w:r>
    </w:p>
    <w:p w14:paraId="565E8A0D" w14:textId="77777777" w:rsidR="00972395" w:rsidRPr="00E73D4B" w:rsidRDefault="00F120C7" w:rsidP="00E73D4B">
      <w:pPr>
        <w:pStyle w:val="Overskrift2"/>
      </w:pPr>
      <w:r w:rsidRPr="00E73D4B">
        <w:t>Stortingssesjon 2019–2020</w:t>
      </w:r>
    </w:p>
    <w:p w14:paraId="03E302DF" w14:textId="77777777" w:rsidR="00972395" w:rsidRPr="00E73D4B" w:rsidRDefault="00F120C7" w:rsidP="00E73D4B">
      <w:pPr>
        <w:pStyle w:val="avsnitt-tittel"/>
      </w:pPr>
      <w:r w:rsidRPr="00E73D4B">
        <w:t>Prøveprosjekt der helsesykepleiere henviser til BUP</w:t>
      </w:r>
    </w:p>
    <w:p w14:paraId="36F1D8F0" w14:textId="77777777" w:rsidR="00972395" w:rsidRPr="00E73D4B" w:rsidRDefault="00F120C7" w:rsidP="00E73D4B">
      <w:pPr>
        <w:pStyle w:val="avsnitt-undertittel"/>
      </w:pPr>
      <w:r w:rsidRPr="00E73D4B">
        <w:t>Vedtak nr. 347, 4. februar 2020</w:t>
      </w:r>
    </w:p>
    <w:p w14:paraId="771C444E" w14:textId="77777777" w:rsidR="00972395" w:rsidRPr="00E73D4B" w:rsidRDefault="00F120C7" w:rsidP="00E73D4B">
      <w:pPr>
        <w:pStyle w:val="blokksit"/>
      </w:pPr>
      <w:r w:rsidRPr="00E73D4B">
        <w:rPr>
          <w:rStyle w:val="kursiv"/>
        </w:rPr>
        <w:t>«Stortinget ber regjeringen gjennomføre et prøveprosjekt der helsesykepleiere kan henvise barn og unge til Barne- og ungdomspsykiatrien (BUP).»</w:t>
      </w:r>
    </w:p>
    <w:p w14:paraId="12754B5E" w14:textId="77777777" w:rsidR="00972395" w:rsidRPr="00E73D4B" w:rsidRDefault="00F120C7" w:rsidP="00E73D4B">
      <w:pPr>
        <w:rPr>
          <w:rStyle w:val="kursiv"/>
        </w:rPr>
      </w:pPr>
      <w:r w:rsidRPr="00E73D4B">
        <w:rPr>
          <w:rStyle w:val="kursiv"/>
        </w:rPr>
        <w:t xml:space="preserve">Vedtaket ble truffet ved behandling av </w:t>
      </w:r>
      <w:proofErr w:type="spellStart"/>
      <w:r w:rsidRPr="00E73D4B">
        <w:rPr>
          <w:rStyle w:val="kursiv"/>
        </w:rPr>
        <w:t>Prop</w:t>
      </w:r>
      <w:proofErr w:type="spellEnd"/>
      <w:r w:rsidRPr="00E73D4B">
        <w:rPr>
          <w:rStyle w:val="kursiv"/>
        </w:rPr>
        <w:t xml:space="preserve">. 121 S (2018–2019), jf. </w:t>
      </w:r>
      <w:proofErr w:type="spellStart"/>
      <w:r w:rsidRPr="00E73D4B">
        <w:rPr>
          <w:rStyle w:val="kursiv"/>
        </w:rPr>
        <w:t>Innst</w:t>
      </w:r>
      <w:proofErr w:type="spellEnd"/>
      <w:r w:rsidRPr="00E73D4B">
        <w:rPr>
          <w:rStyle w:val="kursiv"/>
        </w:rPr>
        <w:t>. 131 S (2019–2020).</w:t>
      </w:r>
    </w:p>
    <w:p w14:paraId="38D8FF55" w14:textId="77777777" w:rsidR="00972395" w:rsidRPr="00E73D4B" w:rsidRDefault="00F120C7" w:rsidP="00E73D4B">
      <w:r w:rsidRPr="00E73D4B">
        <w:t>Helsedirektoratet har utredet hvordan et slikt prøveprosjekt kan utformes. Anmodningsvedtaket vil bli fulgt opp i den kommende opptrappingsplanen for psykisk helse. Regjeringen vil komme tilbake til Stortinget på egnet måte.</w:t>
      </w:r>
    </w:p>
    <w:p w14:paraId="77C843D5" w14:textId="77777777" w:rsidR="00972395" w:rsidRPr="00E73D4B" w:rsidRDefault="00F120C7" w:rsidP="00E73D4B">
      <w:pPr>
        <w:pStyle w:val="avsnitt-tittel"/>
      </w:pPr>
      <w:r w:rsidRPr="00E73D4B">
        <w:t>Permanent ambulansehelikopter i Kirkenes og jetfly i Tromsø</w:t>
      </w:r>
    </w:p>
    <w:p w14:paraId="58DF280E" w14:textId="77777777" w:rsidR="00972395" w:rsidRPr="00E73D4B" w:rsidRDefault="00F120C7" w:rsidP="00E73D4B">
      <w:pPr>
        <w:pStyle w:val="avsnitt-undertittel"/>
      </w:pPr>
      <w:r w:rsidRPr="00E73D4B">
        <w:t>Vedtak nr. 573, 14. mai 2020</w:t>
      </w:r>
    </w:p>
    <w:p w14:paraId="04108DA9" w14:textId="77777777" w:rsidR="00972395" w:rsidRPr="00E73D4B" w:rsidRDefault="00F120C7" w:rsidP="00E73D4B">
      <w:pPr>
        <w:pStyle w:val="blokksit"/>
      </w:pPr>
      <w:r w:rsidRPr="00E73D4B">
        <w:rPr>
          <w:rStyle w:val="kursiv"/>
        </w:rPr>
        <w:t>«Stortinget ber regjeringen sørge for et permanent ambulansehelikopter i Kirkenes og et jetfly stasjonert fast i Tromsø.»</w:t>
      </w:r>
    </w:p>
    <w:p w14:paraId="0A174771" w14:textId="77777777" w:rsidR="00972395" w:rsidRPr="00E73D4B" w:rsidRDefault="00F120C7" w:rsidP="00E73D4B">
      <w:r w:rsidRPr="00E73D4B">
        <w:t xml:space="preserve">Vedtaket ble truffet ved behandlingen av Meld. St. 7 (2019–2020), jf. </w:t>
      </w:r>
      <w:proofErr w:type="spellStart"/>
      <w:r w:rsidRPr="00E73D4B">
        <w:t>Innst</w:t>
      </w:r>
      <w:proofErr w:type="spellEnd"/>
      <w:r w:rsidRPr="00E73D4B">
        <w:t>. 255 S (2019–2020).</w:t>
      </w:r>
    </w:p>
    <w:p w14:paraId="3A1C729F" w14:textId="77777777" w:rsidR="00972395" w:rsidRPr="00E73D4B" w:rsidRDefault="00F120C7" w:rsidP="00E73D4B">
      <w:r w:rsidRPr="00E73D4B">
        <w:t xml:space="preserve">Helse- og omsorgskomiteen, jf. </w:t>
      </w:r>
      <w:proofErr w:type="spellStart"/>
      <w:r w:rsidRPr="00E73D4B">
        <w:t>Innst</w:t>
      </w:r>
      <w:proofErr w:type="spellEnd"/>
      <w:r w:rsidRPr="00E73D4B">
        <w:t xml:space="preserve">. 11 S (2020–2021), og Kontroll- og konstitusjonskomiteen, jf. </w:t>
      </w:r>
      <w:proofErr w:type="spellStart"/>
      <w:r w:rsidRPr="00E73D4B">
        <w:t>Innst</w:t>
      </w:r>
      <w:proofErr w:type="spellEnd"/>
      <w:r w:rsidRPr="00E73D4B">
        <w:t>. 580 S (2020–2021), mente begge at vedtaket bare delvis er fulgt opp ettersom jetfly i Tromsø ennå ikke er på plass, og at vedtaket derfor opprettholdes.</w:t>
      </w:r>
    </w:p>
    <w:p w14:paraId="70661CEB" w14:textId="77777777" w:rsidR="00972395" w:rsidRPr="00E73D4B" w:rsidRDefault="00F120C7" w:rsidP="00E73D4B">
      <w:r w:rsidRPr="00E73D4B">
        <w:t>Ambulansehelikopter i Kirkenes kom på plass i 2020. Luftambulansetjenesten HF fikk våren 2022 på plass et ambulansejetfly i Tromsø.</w:t>
      </w:r>
    </w:p>
    <w:p w14:paraId="18705770" w14:textId="77777777" w:rsidR="00972395" w:rsidRPr="00E73D4B" w:rsidRDefault="00F120C7" w:rsidP="00E73D4B">
      <w:r w:rsidRPr="00E73D4B">
        <w:t>Anmodningsvedtaket anses som fulgt opp. Det vises til nærmere omtale under kap. 732.</w:t>
      </w:r>
    </w:p>
    <w:p w14:paraId="28D7251A" w14:textId="77777777" w:rsidR="00972395" w:rsidRPr="00E73D4B" w:rsidRDefault="00F120C7" w:rsidP="00E73D4B">
      <w:pPr>
        <w:pStyle w:val="avsnitt-tittel"/>
      </w:pPr>
      <w:r w:rsidRPr="00E73D4B">
        <w:t>Beredskapsmodell for norsk produksjon av legemidler</w:t>
      </w:r>
    </w:p>
    <w:p w14:paraId="60B71FE0" w14:textId="77777777" w:rsidR="00972395" w:rsidRPr="00E73D4B" w:rsidRDefault="00F120C7" w:rsidP="00E73D4B">
      <w:pPr>
        <w:pStyle w:val="avsnitt-undertittel"/>
      </w:pPr>
      <w:r w:rsidRPr="00E73D4B">
        <w:t>Vedtak nr. 575, 14. mai 2020</w:t>
      </w:r>
    </w:p>
    <w:p w14:paraId="6C4EAE83" w14:textId="77777777" w:rsidR="00972395" w:rsidRPr="00E73D4B" w:rsidRDefault="00F120C7" w:rsidP="00E73D4B">
      <w:pPr>
        <w:pStyle w:val="blokksit"/>
      </w:pPr>
      <w:r w:rsidRPr="00E73D4B">
        <w:rPr>
          <w:rStyle w:val="kursiv"/>
        </w:rPr>
        <w:t>«Stortinget ber regjeringen snarest mulig få på plass en beredskapsmodell for norsk produksjon av viktige legemidler, herunder antibiotika, og komme tilbake til Stortinget med en sak om dette.»</w:t>
      </w:r>
    </w:p>
    <w:p w14:paraId="2189C523" w14:textId="77777777" w:rsidR="00972395" w:rsidRPr="00E73D4B" w:rsidRDefault="00F120C7" w:rsidP="00E73D4B">
      <w:r w:rsidRPr="00E73D4B">
        <w:t xml:space="preserve">Vedtaket ble truffet ved Stortingets behandling av Meld. St. 7 (2019–2020), jf. </w:t>
      </w:r>
      <w:proofErr w:type="spellStart"/>
      <w:r w:rsidRPr="00E73D4B">
        <w:t>Innst</w:t>
      </w:r>
      <w:proofErr w:type="spellEnd"/>
      <w:r w:rsidRPr="00E73D4B">
        <w:t>. 255 S (2019–2020).</w:t>
      </w:r>
    </w:p>
    <w:p w14:paraId="3D5C98C5" w14:textId="77777777" w:rsidR="00972395" w:rsidRPr="00E73D4B" w:rsidRDefault="00F120C7" w:rsidP="00E73D4B">
      <w:r w:rsidRPr="00E73D4B">
        <w:t xml:space="preserve">Vedtaket anses som fulgt opp gjennom flere tiltak. Helse- og omsorgsdepartementet vil i løpet av høsten sende utkast til lov- og forskriftsendringer om den permanente innretningen for legemiddelberedskapen på høring. I høringsnotatet foreslås det bl.a. å opprette et Nasjonalt legemiddelberedskapsråd ledet av Helsedirektoratet. Rådet skal ha totaloversikten over nasjonale legemiddelberedskapslagre og sikre tett samhandling på tvers av helsetjenesten. Rådet skal også gi faglige anbefalinger om innkjøp og lagring av virkestoff, herunder ev. kriseproduksjon dersom det vurderes som egnet tiltak for å ivareta tilgangen til enkeltlegemidler. Dette er en vurdering som vil måtte sees i sammenheng med øvrige tiltak, herunder lagervolum, forsyningssituasjonen og ev. felleseuropeiske tiltak. Eksempelvis ble det under pandemien kjøpt inn råstoff for å kunne </w:t>
      </w:r>
      <w:proofErr w:type="spellStart"/>
      <w:r w:rsidRPr="00E73D4B">
        <w:t>kriseprodusere</w:t>
      </w:r>
      <w:proofErr w:type="spellEnd"/>
      <w:r w:rsidRPr="00E73D4B">
        <w:t xml:space="preserve"> enkelte forsyningskritiske intensivlegemidler, uten at dette viste seg å være nødvendig for å ivareta tilgangen.</w:t>
      </w:r>
    </w:p>
    <w:p w14:paraId="245D9B3B" w14:textId="77777777" w:rsidR="00972395" w:rsidRPr="00E73D4B" w:rsidRDefault="00F120C7" w:rsidP="00E73D4B">
      <w:r w:rsidRPr="00E73D4B">
        <w:t>Helsedirektoratet har gjennomført en mulighetsstudie for norsk produksjon av antibiotika innenfor en ramme på 15 mill. kroner. Studien viste at tiltaket ville medført betydelige kostnader for staten, med et svært usikkert inntektspotensial og juridisk grunnlag for gjennomførbarhet. Vedtaket er omtalt under kap. 702.</w:t>
      </w:r>
    </w:p>
    <w:p w14:paraId="3618DBDC" w14:textId="77777777" w:rsidR="00972395" w:rsidRPr="00E73D4B" w:rsidRDefault="00F120C7" w:rsidP="00E73D4B">
      <w:pPr>
        <w:pStyle w:val="avsnitt-tittel"/>
      </w:pPr>
      <w:r w:rsidRPr="00E73D4B">
        <w:t>Sykehuset i Kirkenes – intensivvirksomhet nivå 2</w:t>
      </w:r>
    </w:p>
    <w:p w14:paraId="72B74DF3" w14:textId="77777777" w:rsidR="00972395" w:rsidRPr="00E73D4B" w:rsidRDefault="00F120C7" w:rsidP="00E73D4B">
      <w:pPr>
        <w:pStyle w:val="avsnitt-undertittel"/>
      </w:pPr>
      <w:r w:rsidRPr="00E73D4B">
        <w:t>Vedtak nr. 577, 14. mai 2020</w:t>
      </w:r>
    </w:p>
    <w:p w14:paraId="7D366AF8" w14:textId="77777777" w:rsidR="00972395" w:rsidRPr="00E73D4B" w:rsidRDefault="00F120C7" w:rsidP="00E73D4B">
      <w:pPr>
        <w:pStyle w:val="blokksit"/>
      </w:pPr>
      <w:r w:rsidRPr="00E73D4B">
        <w:rPr>
          <w:rStyle w:val="kursiv"/>
        </w:rPr>
        <w:t>«Stortinget ber regjeringen definere sykehuset i Kirkenes som intensivvirksomhet nivå 2.»</w:t>
      </w:r>
    </w:p>
    <w:p w14:paraId="2BB2AA80" w14:textId="77777777" w:rsidR="00972395" w:rsidRPr="00E73D4B" w:rsidRDefault="00F120C7" w:rsidP="00E73D4B">
      <w:r w:rsidRPr="00E73D4B">
        <w:t xml:space="preserve">Vedtaket ble truffet ved Stortingets behandling av Meld. St. 7 (2019–2020), jf. </w:t>
      </w:r>
      <w:proofErr w:type="spellStart"/>
      <w:r w:rsidRPr="00E73D4B">
        <w:t>Innst</w:t>
      </w:r>
      <w:proofErr w:type="spellEnd"/>
      <w:r w:rsidRPr="00E73D4B">
        <w:t>. 255 S (2019–2020).</w:t>
      </w:r>
    </w:p>
    <w:p w14:paraId="0043B477" w14:textId="77777777" w:rsidR="00972395" w:rsidRPr="00E73D4B" w:rsidRDefault="00F120C7" w:rsidP="00E73D4B">
      <w:r w:rsidRPr="00E73D4B">
        <w:t xml:space="preserve">Anmodningsvedtaket anses fulgt opp gjennom vedtak i foretaksmøtet 10. juni 2020 hvor Helse Nord RHF ble bedt om å vurdere styrevedtaket fra 2008 om nivådeling av intensivavdelingene i regionen på nytt på bakgrunn av erfaringer gjort siden den gang og på bakgrunn av Stortingets anmodningsvedtak, og gjennom Helse Nord </w:t>
      </w:r>
      <w:proofErr w:type="spellStart"/>
      <w:r w:rsidRPr="00E73D4B">
        <w:t>RHFs</w:t>
      </w:r>
      <w:proofErr w:type="spellEnd"/>
      <w:r w:rsidRPr="00E73D4B">
        <w:t xml:space="preserve"> tilbakemelding gjennom deres regionale delrapport om intensivkapasitet fra juni 2022. Det vises til omtale under kap. 732.</w:t>
      </w:r>
    </w:p>
    <w:p w14:paraId="406EE30A" w14:textId="77777777" w:rsidR="00972395" w:rsidRPr="00E73D4B" w:rsidRDefault="00F120C7" w:rsidP="00E73D4B">
      <w:pPr>
        <w:pStyle w:val="avsnitt-tittel"/>
      </w:pPr>
      <w:r w:rsidRPr="00E73D4B">
        <w:t>Gjennomgang av helselovgivningen jf. FNs barnekonvensjon</w:t>
      </w:r>
    </w:p>
    <w:p w14:paraId="7908DE1B" w14:textId="77777777" w:rsidR="00972395" w:rsidRPr="00E73D4B" w:rsidRDefault="00F120C7" w:rsidP="00E73D4B">
      <w:pPr>
        <w:pStyle w:val="avsnitt-undertittel"/>
      </w:pPr>
      <w:r w:rsidRPr="00E73D4B">
        <w:t>Vedtak nr. 581, 14. mai 2020</w:t>
      </w:r>
    </w:p>
    <w:p w14:paraId="643DBA7A" w14:textId="77777777" w:rsidR="00972395" w:rsidRPr="00E73D4B" w:rsidRDefault="00F120C7" w:rsidP="00E73D4B">
      <w:pPr>
        <w:pStyle w:val="blokksit"/>
      </w:pPr>
      <w:r w:rsidRPr="00E73D4B">
        <w:rPr>
          <w:rStyle w:val="kursiv"/>
        </w:rPr>
        <w:t>«Stortinget ber regjeringen gjennomgå helselovgivningen for å sikre at denne er i tråd med FNs barnekonvensjons prinsipper om barns rett til å bli hørt, beslutninger til barnets beste og barns rett til privatliv.»</w:t>
      </w:r>
    </w:p>
    <w:p w14:paraId="2F27C026" w14:textId="77777777" w:rsidR="00972395" w:rsidRPr="00E73D4B" w:rsidRDefault="00F120C7" w:rsidP="00E73D4B">
      <w:r w:rsidRPr="00E73D4B">
        <w:t xml:space="preserve">Vedtaket ble truffet ved Stortingets behandling av Meld. St. 7 (2019–2020), jf. </w:t>
      </w:r>
      <w:proofErr w:type="spellStart"/>
      <w:r w:rsidRPr="00E73D4B">
        <w:t>Innst</w:t>
      </w:r>
      <w:proofErr w:type="spellEnd"/>
      <w:r w:rsidRPr="00E73D4B">
        <w:t xml:space="preserve">. 255 S (2019–2020). Kontroll- og konstitusjonskomiteen opprettholdt vedtaket, jf. </w:t>
      </w:r>
      <w:proofErr w:type="spellStart"/>
      <w:r w:rsidRPr="00E73D4B">
        <w:t>Innst</w:t>
      </w:r>
      <w:proofErr w:type="spellEnd"/>
      <w:r w:rsidRPr="00E73D4B">
        <w:t>. 580 S (2020–2021).</w:t>
      </w:r>
    </w:p>
    <w:p w14:paraId="230345E0" w14:textId="77777777" w:rsidR="00972395" w:rsidRPr="00E73D4B" w:rsidRDefault="00F120C7" w:rsidP="00E73D4B">
      <w:r w:rsidRPr="00E73D4B">
        <w:t xml:space="preserve">Barnekonvensjonen er inkorporert i norsk rett gjennom menneskerettsloven § 2 første ledd nr. 4. Ved strid mellom nasjonal rett og barnekonvensjonen med protokoller, vil barnekonvensjonen ha forrang, jf. menneskerettighetsloven § 3. I helseretten er det kun unntaksvis at enkeltgrupper reguleres særskilt. Som en hovedregel gjelder de samme overordnede rettighetsbestemmelsene uavhengig av alder, kjønn, etnisitet etc. Likevel er det unntaksvis egne regler for ulike grupper i samfunnet som f.eks. barn. Ett eksempel er kapittel 6 i pasient- og brukerrettighetsloven som regulerer barns særlige rettigheter i helsetjenesten. I de senere år er det også vedtatt endringer i helselovgivningen for å styrke barns rettigheter bl.a. lov om endringer i pasient- og brukerrettighetslova, </w:t>
      </w:r>
      <w:proofErr w:type="spellStart"/>
      <w:r w:rsidRPr="00E73D4B">
        <w:t>helsepersonellova</w:t>
      </w:r>
      <w:proofErr w:type="spellEnd"/>
      <w:r w:rsidRPr="00E73D4B">
        <w:t xml:space="preserve"> m.m. (styrking av rettsstilling til barn ved yting av helse- og omsorgstjenester). Disse endringene ga barn rett til økt grad av medvirkning og rettigheter når de er pårørende til alvorlig syke søsken eller er etterlatte til foreldre eller søsken. Regjeringens vurdering, er at helselovgivningen er i overenstemmelse med barnekonvensjonens prinsipper om barns rett til å bli hørt, beslutninger til barnets beste og barns rett til privatliv. Anmodningsvedtaket anses som fulgt opp.</w:t>
      </w:r>
    </w:p>
    <w:p w14:paraId="4F9C7492" w14:textId="77777777" w:rsidR="00972395" w:rsidRPr="00E73D4B" w:rsidRDefault="00F120C7" w:rsidP="00E73D4B">
      <w:pPr>
        <w:pStyle w:val="avsnitt-tittel"/>
      </w:pPr>
      <w:r w:rsidRPr="00E73D4B">
        <w:t>Utredning av markedet for genetisk selvtesting</w:t>
      </w:r>
    </w:p>
    <w:p w14:paraId="4030E8D8" w14:textId="77777777" w:rsidR="00972395" w:rsidRPr="00E73D4B" w:rsidRDefault="00F120C7" w:rsidP="00E73D4B">
      <w:pPr>
        <w:pStyle w:val="avsnitt-undertittel"/>
      </w:pPr>
      <w:r w:rsidRPr="00E73D4B">
        <w:t>Vedtak 611, 26. mai 2020</w:t>
      </w:r>
    </w:p>
    <w:p w14:paraId="2F617E36" w14:textId="77777777" w:rsidR="00972395" w:rsidRPr="00E73D4B" w:rsidRDefault="00F120C7" w:rsidP="00E73D4B">
      <w:pPr>
        <w:pStyle w:val="blokksit"/>
      </w:pPr>
      <w:r w:rsidRPr="00E73D4B">
        <w:rPr>
          <w:rStyle w:val="kursiv"/>
        </w:rPr>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4A33ABFE" w14:textId="77777777" w:rsidR="00972395" w:rsidRPr="00E73D4B" w:rsidRDefault="00F120C7" w:rsidP="00E73D4B">
      <w:r w:rsidRPr="00E73D4B">
        <w:t xml:space="preserve">Vedtaket ble truffet ved Stortingets behandling av </w:t>
      </w:r>
      <w:proofErr w:type="spellStart"/>
      <w:r w:rsidRPr="00E73D4B">
        <w:t>Prop</w:t>
      </w:r>
      <w:proofErr w:type="spellEnd"/>
      <w:r w:rsidRPr="00E73D4B">
        <w:t xml:space="preserve">. 34 L (2019–2020), jf. </w:t>
      </w:r>
      <w:proofErr w:type="spellStart"/>
      <w:r w:rsidRPr="00E73D4B">
        <w:t>Innst</w:t>
      </w:r>
      <w:proofErr w:type="spellEnd"/>
      <w:r w:rsidRPr="00E73D4B">
        <w:t>. 296 L (2019–2020).</w:t>
      </w:r>
    </w:p>
    <w:p w14:paraId="3B5A08F7" w14:textId="77777777" w:rsidR="00972395" w:rsidRPr="00E73D4B" w:rsidRDefault="00F120C7" w:rsidP="00E73D4B">
      <w:r w:rsidRPr="00E73D4B">
        <w:t xml:space="preserve">På oppdrag fra departementet, har Helsedirektoratet utredet markedet for genetisk selvtesting som beskrevet i dette vedtaket. Utredningen er presentert i rapporten </w:t>
      </w:r>
      <w:r w:rsidRPr="00E73D4B">
        <w:rPr>
          <w:rStyle w:val="kursiv"/>
        </w:rPr>
        <w:t>Regulering av genetiske selvtester. Utredning av markedet for genetiske selvtester og av forslag til lovendringer som sikrer at testing av barn utenfor helsetjenesten blir forbudt. Svar på tilleggsoppdrag nr. 50 til tildelingsbrev for 2020, punkt 2.4.</w:t>
      </w:r>
      <w:r w:rsidRPr="00E73D4B">
        <w:t xml:space="preserve"> Rapporten ble levert 17. desember 2021. Utredningen omfatter også forslag til lovendringer som sikrer at testing av barn utenfor helsetjenesten blir forbudt, jf. vedtak 612. Bioteknologirådet og Forbrukerrådet har deltatt i arbeidet, og bl.a. Statens legemiddelverk og Datatilsynet har gitt innspill til arbeidet. Regjeringen vil komme tilbake til Stortinget på egnet måte.</w:t>
      </w:r>
    </w:p>
    <w:p w14:paraId="0816AF78" w14:textId="77777777" w:rsidR="00972395" w:rsidRPr="00E73D4B" w:rsidRDefault="00F120C7" w:rsidP="00E73D4B">
      <w:pPr>
        <w:pStyle w:val="avsnitt-tittel"/>
      </w:pPr>
      <w:r w:rsidRPr="00E73D4B">
        <w:t>Forbud genetisk testing av barn</w:t>
      </w:r>
    </w:p>
    <w:p w14:paraId="695649DC" w14:textId="77777777" w:rsidR="00972395" w:rsidRPr="00E73D4B" w:rsidRDefault="00F120C7" w:rsidP="00E73D4B">
      <w:pPr>
        <w:pStyle w:val="avsnitt-undertittel"/>
      </w:pPr>
      <w:r w:rsidRPr="00E73D4B">
        <w:t>Vedtak nr. 612, 26. mai 2020</w:t>
      </w:r>
    </w:p>
    <w:p w14:paraId="2E5C70C3" w14:textId="77777777" w:rsidR="00972395" w:rsidRPr="00E73D4B" w:rsidRDefault="00F120C7" w:rsidP="00E73D4B">
      <w:pPr>
        <w:pStyle w:val="blokksit"/>
      </w:pPr>
      <w:r w:rsidRPr="00E73D4B">
        <w:rPr>
          <w:rStyle w:val="kursiv"/>
        </w:rPr>
        <w:t>«Stortinget ber regjeringen fremme lovforslag som sikrer at genetisk testing av barn utenfor helsetjenesten er forbudt.»</w:t>
      </w:r>
    </w:p>
    <w:p w14:paraId="2B5EBBA3" w14:textId="77777777" w:rsidR="00972395" w:rsidRPr="00E73D4B" w:rsidRDefault="00F120C7" w:rsidP="00E73D4B">
      <w:r w:rsidRPr="00E73D4B">
        <w:t xml:space="preserve">Vedtaket ble truffet ved Stortingets behandling av </w:t>
      </w:r>
      <w:proofErr w:type="spellStart"/>
      <w:r w:rsidRPr="00E73D4B">
        <w:t>Prop</w:t>
      </w:r>
      <w:proofErr w:type="spellEnd"/>
      <w:r w:rsidRPr="00E73D4B">
        <w:t xml:space="preserve">. 34 L (2019–2020), jf. </w:t>
      </w:r>
      <w:proofErr w:type="spellStart"/>
      <w:r w:rsidRPr="00E73D4B">
        <w:t>Innst</w:t>
      </w:r>
      <w:proofErr w:type="spellEnd"/>
      <w:r w:rsidRPr="00E73D4B">
        <w:t>. 296 L (2019–2020).</w:t>
      </w:r>
    </w:p>
    <w:p w14:paraId="6C512B09" w14:textId="77777777" w:rsidR="00972395" w:rsidRPr="00E73D4B" w:rsidRDefault="00F120C7" w:rsidP="00E73D4B">
      <w:r w:rsidRPr="00E73D4B">
        <w:t xml:space="preserve">På oppdrag fra departementet, har Helsedirektoratet utredet markedet for genetisk selvtesting som beskrevet i vedtak 611. Utredningen er presentert i rapporten </w:t>
      </w:r>
      <w:r w:rsidRPr="00E73D4B">
        <w:rPr>
          <w:rStyle w:val="kursiv"/>
        </w:rPr>
        <w:t>Regulering av genetiske selvtester. Utredning av markedet for genetiske selvtester og av forslag til lovendringer som sikrer at testing av barn utenfor helsetjenesten blir forbudt. Svar på tilleggsoppdrag nr. 50 til tildelingsbrev for 2020, punkt 2.4.</w:t>
      </w:r>
      <w:r w:rsidRPr="00E73D4B">
        <w:t xml:space="preserve"> Rapporten ble levert 17. desember 2021. Utredningen omfatter også forslag til lovendringer som sikrer at testing av barn utenfor helsetjenesten blir forbudt, jf. vedtak 612. Bioteknologirådet og Forbrukerrådet har deltatt i arbeidet, og bl.a. Statens legemiddelverk og Datatilsynet har gitt innspill til arbeidet.</w:t>
      </w:r>
    </w:p>
    <w:p w14:paraId="00ECFBC6" w14:textId="77777777" w:rsidR="00972395" w:rsidRPr="00E73D4B" w:rsidRDefault="00F120C7" w:rsidP="00E73D4B">
      <w:r w:rsidRPr="00E73D4B">
        <w:t>Regjeringen vil komme tilbake til Stortinget på egnet måte.</w:t>
      </w:r>
    </w:p>
    <w:p w14:paraId="1E838604" w14:textId="77777777" w:rsidR="00972395" w:rsidRPr="00E73D4B" w:rsidRDefault="00F120C7" w:rsidP="00E73D4B">
      <w:pPr>
        <w:pStyle w:val="avsnitt-tittel"/>
      </w:pPr>
      <w:r w:rsidRPr="00E73D4B">
        <w:t>Preimplantasjonsdiagnostikk</w:t>
      </w:r>
    </w:p>
    <w:p w14:paraId="36B90BF1" w14:textId="77777777" w:rsidR="00972395" w:rsidRPr="00E73D4B" w:rsidRDefault="00F120C7" w:rsidP="00E73D4B">
      <w:pPr>
        <w:pStyle w:val="avsnitt-undertittel"/>
      </w:pPr>
      <w:r w:rsidRPr="00E73D4B">
        <w:t>Vedtak nr. 616, 8. juni 2020</w:t>
      </w:r>
    </w:p>
    <w:p w14:paraId="740BDC46" w14:textId="77777777" w:rsidR="00972395" w:rsidRPr="00E73D4B" w:rsidRDefault="00F120C7" w:rsidP="00E73D4B">
      <w:pPr>
        <w:pStyle w:val="blokksit"/>
      </w:pPr>
      <w:r w:rsidRPr="00E73D4B">
        <w:rPr>
          <w:rStyle w:val="kursiv"/>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060E691D" w14:textId="77777777" w:rsidR="00972395" w:rsidRPr="00E73D4B" w:rsidRDefault="00F120C7" w:rsidP="00E73D4B">
      <w:r w:rsidRPr="00E73D4B">
        <w:t xml:space="preserve">Vedtaket ble truffet ved Stortingets behandling av </w:t>
      </w:r>
      <w:proofErr w:type="spellStart"/>
      <w:r w:rsidRPr="00E73D4B">
        <w:t>Prop</w:t>
      </w:r>
      <w:proofErr w:type="spellEnd"/>
      <w:r w:rsidRPr="00E73D4B">
        <w:t xml:space="preserve">. 34 L (2019–2020), jf. </w:t>
      </w:r>
      <w:proofErr w:type="spellStart"/>
      <w:r w:rsidRPr="00E73D4B">
        <w:t>Innst</w:t>
      </w:r>
      <w:proofErr w:type="spellEnd"/>
      <w:r w:rsidRPr="00E73D4B">
        <w:t>. 296 L (2019–2020).</w:t>
      </w:r>
    </w:p>
    <w:p w14:paraId="71E31E6D" w14:textId="77777777" w:rsidR="00972395" w:rsidRPr="00E73D4B" w:rsidRDefault="00F120C7" w:rsidP="00E73D4B">
      <w:r w:rsidRPr="00E73D4B">
        <w:t xml:space="preserve">I </w:t>
      </w:r>
      <w:proofErr w:type="spellStart"/>
      <w:r w:rsidRPr="00E73D4B">
        <w:t>Innst</w:t>
      </w:r>
      <w:proofErr w:type="spellEnd"/>
      <w:r w:rsidRPr="00E73D4B">
        <w:t xml:space="preserve">. 11 S (2020–2021) merker komiteen seg at tiltaket ikke er </w:t>
      </w:r>
      <w:proofErr w:type="spellStart"/>
      <w:r w:rsidRPr="00E73D4B">
        <w:t>utkvittert</w:t>
      </w:r>
      <w:proofErr w:type="spellEnd"/>
      <w:r w:rsidRPr="00E73D4B">
        <w:t xml:space="preserve"> av regjeringen, og understreker at tilbudet skal være innført innen 1. januar 2021.</w:t>
      </w:r>
    </w:p>
    <w:p w14:paraId="311331D6" w14:textId="77777777" w:rsidR="00972395" w:rsidRPr="00E73D4B" w:rsidRDefault="00F120C7" w:rsidP="00E73D4B">
      <w:r w:rsidRPr="00E73D4B">
        <w:t xml:space="preserve">På oppdrag fra departementet har Helsedirektoratet gjennomgått vilkårene og retningslinjene for PGD og fosterdiagnostikk som beskrevet i vedtaket og utredet og foreslått enkelte lovendringer som følge av gjennomgangen. Svar på oppdraget er presentert i rapporten </w:t>
      </w:r>
      <w:r w:rsidRPr="00E73D4B">
        <w:rPr>
          <w:rStyle w:val="kursiv"/>
        </w:rPr>
        <w:t>Et helhetlig og sammenhengende tilbud til kvinner og par som har økt risiko for å få et foster eller barn med en alvorlig, arvelig sykdom eller tilstand. Gjennomgang av vilkår for preimplantasjonsdiagnostikk og genetisk fosterdiagnostikk og forslag til endringer i regelverk. Svar på tilleggsoppdrag nr. 50 til tildelingsbrev for 2020, punkt 2.3.</w:t>
      </w:r>
      <w:r w:rsidRPr="00E73D4B">
        <w:t xml:space="preserve"> Rapporten ble levert 17. desember 2021.</w:t>
      </w:r>
    </w:p>
    <w:p w14:paraId="486BAA7F" w14:textId="77777777" w:rsidR="00972395" w:rsidRPr="00E73D4B" w:rsidRDefault="00F120C7" w:rsidP="00E73D4B">
      <w:r w:rsidRPr="00E73D4B">
        <w:t>Regjeringen vil komme tilbake til Stortinget på egnet måte.</w:t>
      </w:r>
    </w:p>
    <w:p w14:paraId="6578961D" w14:textId="77777777" w:rsidR="00972395" w:rsidRPr="00E73D4B" w:rsidRDefault="00F120C7" w:rsidP="00E73D4B">
      <w:pPr>
        <w:pStyle w:val="avsnitt-tittel"/>
      </w:pPr>
      <w:r w:rsidRPr="00E73D4B">
        <w:t>Svangerskap – ultralyd med tilleggsundersøkelser</w:t>
      </w:r>
    </w:p>
    <w:p w14:paraId="5E23B76A" w14:textId="77777777" w:rsidR="00972395" w:rsidRPr="00E73D4B" w:rsidRDefault="00F120C7" w:rsidP="00E73D4B">
      <w:pPr>
        <w:pStyle w:val="avsnitt-undertittel"/>
      </w:pPr>
      <w:r w:rsidRPr="00E73D4B">
        <w:t>Vedtak nr. 617, 26. mai 2020</w:t>
      </w:r>
    </w:p>
    <w:p w14:paraId="1B405865" w14:textId="77777777" w:rsidR="00972395" w:rsidRPr="00E73D4B" w:rsidRDefault="00F120C7" w:rsidP="00E73D4B">
      <w:pPr>
        <w:pStyle w:val="blokksit"/>
      </w:pPr>
      <w:r w:rsidRPr="00E73D4B">
        <w:rPr>
          <w:rStyle w:val="kursiv"/>
        </w:rPr>
        <w:t>«Stortinget ber regjeringen sørge for at ultralyd med tilleggsundersøkelser som kan avdekke alvorlig sykdom eller skade hos fosteret, blir et tilbud til alle kvinner i første trimester gjennom den offentlige svangerskapsomsorgen.»</w:t>
      </w:r>
    </w:p>
    <w:p w14:paraId="0E8BC9F9" w14:textId="77777777" w:rsidR="00972395" w:rsidRPr="00E73D4B" w:rsidRDefault="00F120C7" w:rsidP="00E73D4B">
      <w:r w:rsidRPr="00E73D4B">
        <w:t xml:space="preserve">Vedtaket ble truffet ved behandlingen av </w:t>
      </w:r>
      <w:proofErr w:type="spellStart"/>
      <w:r w:rsidRPr="00E73D4B">
        <w:t>Prop</w:t>
      </w:r>
      <w:proofErr w:type="spellEnd"/>
      <w:r w:rsidRPr="00E73D4B">
        <w:t xml:space="preserve">. 34 L (2019–2020), jf. </w:t>
      </w:r>
      <w:proofErr w:type="spellStart"/>
      <w:r w:rsidRPr="00E73D4B">
        <w:t>Innst</w:t>
      </w:r>
      <w:proofErr w:type="spellEnd"/>
      <w:r w:rsidRPr="00E73D4B">
        <w:t xml:space="preserve">. 296 L (2019–2020). I </w:t>
      </w:r>
      <w:proofErr w:type="spellStart"/>
      <w:r w:rsidRPr="00E73D4B">
        <w:t>Innst</w:t>
      </w:r>
      <w:proofErr w:type="spellEnd"/>
      <w:r w:rsidRPr="00E73D4B">
        <w:t xml:space="preserve">. 11 S (2020–2021) merker komiteen seg at tiltaket ikke er </w:t>
      </w:r>
      <w:proofErr w:type="spellStart"/>
      <w:r w:rsidRPr="00E73D4B">
        <w:t>utkvittert</w:t>
      </w:r>
      <w:proofErr w:type="spellEnd"/>
      <w:r w:rsidRPr="00E73D4B">
        <w:t xml:space="preserve"> av regjeringen, og understreker at tilbudet skal være tilgjengelig for alle kvinner i første trimester gjennom den offentlige svangerskapsomsorgen innen 1. januar 2021.</w:t>
      </w:r>
    </w:p>
    <w:p w14:paraId="23D0208A" w14:textId="77777777" w:rsidR="00972395" w:rsidRPr="00E73D4B" w:rsidRDefault="00F120C7" w:rsidP="00E73D4B">
      <w:r w:rsidRPr="00E73D4B">
        <w:t xml:space="preserve">Vedtaket er fulgt opp gjennom økning av bevilgningen under kap. 732 i 2022. Tilbudet skal innføres i alle helseforetak i løpet av 2022. I </w:t>
      </w:r>
      <w:proofErr w:type="spellStart"/>
      <w:r w:rsidRPr="00E73D4B">
        <w:t>Prop</w:t>
      </w:r>
      <w:proofErr w:type="spellEnd"/>
      <w:r w:rsidRPr="00E73D4B">
        <w:t>. 1 S (2022–2023) foreslås det bevilget helårsvirkning for tjenestetilbudet. Vedtaket er omtalt under kap. 732.</w:t>
      </w:r>
    </w:p>
    <w:p w14:paraId="027D01C3" w14:textId="77777777" w:rsidR="00972395" w:rsidRPr="00E73D4B" w:rsidRDefault="00F120C7" w:rsidP="00E73D4B">
      <w:pPr>
        <w:pStyle w:val="avsnitt-tittel"/>
      </w:pPr>
      <w:r w:rsidRPr="00E73D4B">
        <w:t>NIPT til alle kvinner som har krav på fosterdiagnostikk</w:t>
      </w:r>
    </w:p>
    <w:p w14:paraId="10B94F17" w14:textId="77777777" w:rsidR="00972395" w:rsidRPr="00E73D4B" w:rsidRDefault="00F120C7" w:rsidP="00E73D4B">
      <w:pPr>
        <w:pStyle w:val="avsnitt-undertittel"/>
      </w:pPr>
      <w:r w:rsidRPr="00E73D4B">
        <w:t>Vedtak nr. 619, 26. mai 2020</w:t>
      </w:r>
    </w:p>
    <w:p w14:paraId="301BD025" w14:textId="77777777" w:rsidR="00972395" w:rsidRPr="00E73D4B" w:rsidRDefault="00F120C7" w:rsidP="00E73D4B">
      <w:pPr>
        <w:pStyle w:val="blokksit"/>
      </w:pPr>
      <w:r w:rsidRPr="00E73D4B">
        <w:rPr>
          <w:rStyle w:val="kursiv"/>
        </w:rPr>
        <w:t>«Stortinget ber regjeringen sørge for at Non-</w:t>
      </w:r>
      <w:proofErr w:type="spellStart"/>
      <w:r w:rsidRPr="00E73D4B">
        <w:rPr>
          <w:rStyle w:val="kursiv"/>
        </w:rPr>
        <w:t>invasiv</w:t>
      </w:r>
      <w:proofErr w:type="spellEnd"/>
      <w:r w:rsidRPr="00E73D4B">
        <w:rPr>
          <w:rStyle w:val="kursiv"/>
        </w:rPr>
        <w:t xml:space="preserve"> prenatal test (NIPT) tilbys alle kvinner som har krav på fosterdiagnostikk, eller ved funn på tidlig ultralyd med tilleggsundersøkelser, uavhengig av kvinnens alder»</w:t>
      </w:r>
    </w:p>
    <w:p w14:paraId="360CDB0E" w14:textId="77777777" w:rsidR="00972395" w:rsidRPr="00E73D4B" w:rsidRDefault="00F120C7" w:rsidP="00E73D4B">
      <w:r w:rsidRPr="00E73D4B">
        <w:t xml:space="preserve">Vedtaket ble truffet ved Stortingets behandling av </w:t>
      </w:r>
      <w:proofErr w:type="spellStart"/>
      <w:r w:rsidRPr="00E73D4B">
        <w:t>Prop</w:t>
      </w:r>
      <w:proofErr w:type="spellEnd"/>
      <w:r w:rsidRPr="00E73D4B">
        <w:t xml:space="preserve">. 34 L (2019–2020), jf. </w:t>
      </w:r>
      <w:proofErr w:type="spellStart"/>
      <w:r w:rsidRPr="00E73D4B">
        <w:t>Innst</w:t>
      </w:r>
      <w:proofErr w:type="spellEnd"/>
      <w:r w:rsidRPr="00E73D4B">
        <w:t>. 296 L (2019–2020).</w:t>
      </w:r>
    </w:p>
    <w:p w14:paraId="263C8A18" w14:textId="77777777" w:rsidR="00972395" w:rsidRPr="00E73D4B" w:rsidRDefault="00F120C7" w:rsidP="00E73D4B">
      <w:r w:rsidRPr="00E73D4B">
        <w:t xml:space="preserve">I </w:t>
      </w:r>
      <w:proofErr w:type="spellStart"/>
      <w:r w:rsidRPr="00E73D4B">
        <w:t>Innst</w:t>
      </w:r>
      <w:proofErr w:type="spellEnd"/>
      <w:r w:rsidRPr="00E73D4B">
        <w:t xml:space="preserve">. 11 S (2020–2021) merker komiteen seg at tiltaket ikke er </w:t>
      </w:r>
      <w:proofErr w:type="spellStart"/>
      <w:r w:rsidRPr="00E73D4B">
        <w:t>utkvittert</w:t>
      </w:r>
      <w:proofErr w:type="spellEnd"/>
      <w:r w:rsidRPr="00E73D4B">
        <w:t xml:space="preserve"> av regjeringen, og understreker at tilbudet skal være innført innen 1. januar 2021.</w:t>
      </w:r>
    </w:p>
    <w:p w14:paraId="7B8A84AB" w14:textId="77777777" w:rsidR="00972395" w:rsidRPr="00E73D4B" w:rsidRDefault="00F120C7" w:rsidP="00E73D4B">
      <w:r w:rsidRPr="00E73D4B">
        <w:t>Anmodningsvedtaket anses som fulgt opp ved at de regionale helseforetakene har etablert tilbud om NIPT til alle gravide som har krav på fosterdiagnostikk (gravide over 35 år eller som har andre indikasjoner for fosterdiagnostikk).</w:t>
      </w:r>
    </w:p>
    <w:p w14:paraId="0C109F0B" w14:textId="77777777" w:rsidR="00972395" w:rsidRPr="00E73D4B" w:rsidRDefault="00F120C7" w:rsidP="00E73D4B">
      <w:pPr>
        <w:pStyle w:val="Overskrift2"/>
      </w:pPr>
      <w:r w:rsidRPr="00E73D4B">
        <w:t>Stortingssesjon 2018–2019</w:t>
      </w:r>
    </w:p>
    <w:p w14:paraId="74B2137A" w14:textId="77777777" w:rsidR="00972395" w:rsidRPr="00E73D4B" w:rsidRDefault="00F120C7" w:rsidP="00E73D4B">
      <w:pPr>
        <w:pStyle w:val="avsnitt-tittel"/>
      </w:pPr>
      <w:r w:rsidRPr="00E73D4B">
        <w:t>Styrking av norsk tannhelse</w:t>
      </w:r>
    </w:p>
    <w:p w14:paraId="6EA22F25" w14:textId="77777777" w:rsidR="00972395" w:rsidRPr="00E73D4B" w:rsidRDefault="00F120C7" w:rsidP="00E73D4B">
      <w:pPr>
        <w:pStyle w:val="avsnitt-undertittel"/>
      </w:pPr>
      <w:r w:rsidRPr="00E73D4B">
        <w:t>Vedtak nr. 20, 15. november 2018</w:t>
      </w:r>
    </w:p>
    <w:p w14:paraId="5EF79A25" w14:textId="77777777" w:rsidR="00972395" w:rsidRPr="00E73D4B" w:rsidRDefault="00F120C7" w:rsidP="00E73D4B">
      <w:pPr>
        <w:pStyle w:val="blokksit"/>
      </w:pPr>
      <w:r w:rsidRPr="00E73D4B">
        <w:rPr>
          <w:rStyle w:val="kursiv"/>
        </w:rPr>
        <w:t>«Stortinget ber regjeringen komme tilbake til Stortinget med en egen sak om styrking av norsk tannhelse, med mål om å utjevne sosial ulikhet i tannhelse gjennom å hjelpe dem som trenger det mest. Stortinget ber om at saken inneholder:</w:t>
      </w:r>
    </w:p>
    <w:p w14:paraId="5BE17972" w14:textId="77777777" w:rsidR="00972395" w:rsidRPr="00E73D4B" w:rsidRDefault="00F120C7" w:rsidP="00E73D4B">
      <w:pPr>
        <w:pStyle w:val="alfaliste2"/>
        <w:rPr>
          <w:rStyle w:val="kursiv"/>
        </w:rPr>
      </w:pPr>
      <w:r w:rsidRPr="00E73D4B">
        <w:rPr>
          <w:rStyle w:val="kursiv"/>
        </w:rPr>
        <w:t>forslag til hvordan man kan styrke det forebyggende arbeidet for god folketannhelse</w:t>
      </w:r>
    </w:p>
    <w:p w14:paraId="73FCFBDA" w14:textId="77777777" w:rsidR="00972395" w:rsidRPr="00E73D4B" w:rsidRDefault="00F120C7" w:rsidP="00E73D4B">
      <w:pPr>
        <w:pStyle w:val="alfaliste2"/>
        <w:rPr>
          <w:rStyle w:val="kursiv"/>
        </w:rPr>
      </w:pPr>
      <w:r w:rsidRPr="00E73D4B">
        <w:rPr>
          <w:rStyle w:val="kursiv"/>
        </w:rPr>
        <w:t>en gjennomgang av refusjonsordningene på tannhelsefeltet</w:t>
      </w:r>
    </w:p>
    <w:p w14:paraId="4B56DA8C" w14:textId="77777777" w:rsidR="00972395" w:rsidRPr="00E73D4B" w:rsidRDefault="00F120C7" w:rsidP="00E73D4B">
      <w:pPr>
        <w:pStyle w:val="alfaliste2"/>
        <w:rPr>
          <w:rStyle w:val="kursiv"/>
        </w:rPr>
      </w:pPr>
      <w:r w:rsidRPr="00E73D4B">
        <w:rPr>
          <w:rStyle w:val="kursiv"/>
        </w:rPr>
        <w:t>forslag som i større grad vil hjelpe dem som i dag ikke har økonomisk mulighet for å få gjennomført nødvendig tannhelsebehandling</w:t>
      </w:r>
    </w:p>
    <w:p w14:paraId="5E0B0C8B" w14:textId="77777777" w:rsidR="00972395" w:rsidRPr="00E73D4B" w:rsidRDefault="00F120C7" w:rsidP="00E73D4B">
      <w:pPr>
        <w:pStyle w:val="alfaliste2"/>
      </w:pPr>
      <w:r w:rsidRPr="00E73D4B">
        <w:rPr>
          <w:rStyle w:val="kursiv"/>
        </w:rPr>
        <w:t xml:space="preserve">forslag til forbedring og forenkling av ordningene for refusjon gjennom folketrygden til spesielle </w:t>
      </w:r>
      <w:r w:rsidRPr="00E73D4B">
        <w:t>diagnoser.»</w:t>
      </w:r>
    </w:p>
    <w:p w14:paraId="68ED089C" w14:textId="77777777" w:rsidR="00972395" w:rsidRPr="00E73D4B" w:rsidRDefault="00F120C7" w:rsidP="00E73D4B">
      <w:r w:rsidRPr="00E73D4B">
        <w:t xml:space="preserve">Vedtaket ble truffet ved behandling av Dokument 8:209 S (2017–2018), jf. </w:t>
      </w:r>
      <w:proofErr w:type="spellStart"/>
      <w:r w:rsidRPr="00E73D4B">
        <w:t>Innst</w:t>
      </w:r>
      <w:proofErr w:type="spellEnd"/>
      <w:r w:rsidRPr="00E73D4B">
        <w:t>. 39 S (2018–2019).</w:t>
      </w:r>
    </w:p>
    <w:p w14:paraId="687039E3" w14:textId="77777777" w:rsidR="00972395" w:rsidRPr="00E73D4B" w:rsidRDefault="00F120C7" w:rsidP="00E73D4B">
      <w:r w:rsidRPr="00E73D4B">
        <w:t>I statsråd 12. august 2022 ble det nedsatt et offentlig utvalg som skal gjennomgå tannhelsefeltet. Utvalget skal levere sin utredning innen utgangen av juni 2024. Regjeringen kommer tilbake til Stortinget på egnet måte.</w:t>
      </w:r>
    </w:p>
    <w:p w14:paraId="3469A4EA" w14:textId="77777777" w:rsidR="00972395" w:rsidRPr="00E73D4B" w:rsidRDefault="00F120C7" w:rsidP="00E73D4B">
      <w:pPr>
        <w:pStyle w:val="avsnitt-tittel"/>
      </w:pPr>
      <w:r w:rsidRPr="00E73D4B">
        <w:t>Ensomhet inn i folkehelseloven § 7</w:t>
      </w:r>
    </w:p>
    <w:p w14:paraId="53E86A9E" w14:textId="77777777" w:rsidR="00972395" w:rsidRPr="00E73D4B" w:rsidRDefault="00F120C7" w:rsidP="00E73D4B">
      <w:pPr>
        <w:pStyle w:val="avsnitt-undertittel"/>
      </w:pPr>
      <w:r w:rsidRPr="00E73D4B">
        <w:t>Vedtak nr. 25, 20. november 2018</w:t>
      </w:r>
    </w:p>
    <w:p w14:paraId="164EFF6D" w14:textId="77777777" w:rsidR="00972395" w:rsidRPr="00E73D4B" w:rsidRDefault="00F120C7" w:rsidP="00E73D4B">
      <w:pPr>
        <w:pStyle w:val="blokksit"/>
      </w:pPr>
      <w:r w:rsidRPr="00E73D4B">
        <w:rPr>
          <w:rStyle w:val="kursiv"/>
        </w:rPr>
        <w:t>«Stortinget ber regjeringen fremme forslag om at «ensomhet» tas inn i folkehelseloven § 7.»</w:t>
      </w:r>
    </w:p>
    <w:p w14:paraId="6FA9ABC5" w14:textId="77777777" w:rsidR="00972395" w:rsidRPr="00E73D4B" w:rsidRDefault="00F120C7" w:rsidP="00E73D4B">
      <w:r w:rsidRPr="00E73D4B">
        <w:t>Vedtaket ble truffet ved Stortingets møte 20. november 2018. Regjeringen vil komme tilbake til Stortinget med en vurdering i forbindelse med ny folkehelsemelding 2023.</w:t>
      </w:r>
    </w:p>
    <w:p w14:paraId="5B2FA717" w14:textId="77777777" w:rsidR="00972395" w:rsidRPr="00E73D4B" w:rsidRDefault="00F120C7" w:rsidP="00E73D4B">
      <w:pPr>
        <w:pStyle w:val="avsnitt-tittel"/>
      </w:pPr>
      <w:r w:rsidRPr="00E73D4B">
        <w:t>Forslag om merking av alkoholholdig drikk</w:t>
      </w:r>
    </w:p>
    <w:p w14:paraId="4E2A0761" w14:textId="77777777" w:rsidR="00972395" w:rsidRPr="00E73D4B" w:rsidRDefault="00F120C7" w:rsidP="00E73D4B">
      <w:pPr>
        <w:pStyle w:val="avsnitt-undertittel"/>
      </w:pPr>
      <w:r w:rsidRPr="00E73D4B">
        <w:t>Vedtak nr. 39, 20. november 2018</w:t>
      </w:r>
    </w:p>
    <w:p w14:paraId="3D69EEE7" w14:textId="77777777" w:rsidR="00972395" w:rsidRPr="00E73D4B" w:rsidRDefault="00F120C7" w:rsidP="00E73D4B">
      <w:pPr>
        <w:pStyle w:val="blokksit"/>
      </w:pPr>
      <w:r w:rsidRPr="00E73D4B">
        <w:rPr>
          <w:rStyle w:val="kursiv"/>
        </w:rPr>
        <w:t xml:space="preserve">«Stortinget ber regjeringen fremme forslag for Stortinget om å innføre krav om </w:t>
      </w:r>
      <w:proofErr w:type="spellStart"/>
      <w:r w:rsidRPr="00E73D4B">
        <w:rPr>
          <w:rStyle w:val="kursiv"/>
        </w:rPr>
        <w:t>innholdsmerking</w:t>
      </w:r>
      <w:proofErr w:type="spellEnd"/>
      <w:r w:rsidRPr="00E73D4B">
        <w:rPr>
          <w:rStyle w:val="kursiv"/>
        </w:rPr>
        <w:t xml:space="preserve"> av alkoholholdig drikk.»</w:t>
      </w:r>
    </w:p>
    <w:p w14:paraId="23FEE584" w14:textId="77777777" w:rsidR="00972395" w:rsidRPr="00E73D4B" w:rsidRDefault="00F120C7" w:rsidP="00E73D4B">
      <w:r w:rsidRPr="00E73D4B">
        <w:t xml:space="preserve">Vedtaket ble truffet ved Stortingets behandling av Dokument 8:141 S (2017–2018) om en offensiv og solidarisk alkoholpolitikk, jf. </w:t>
      </w:r>
      <w:proofErr w:type="spellStart"/>
      <w:r w:rsidRPr="00E73D4B">
        <w:t>Innst</w:t>
      </w:r>
      <w:proofErr w:type="spellEnd"/>
      <w:r w:rsidRPr="00E73D4B">
        <w:t>. 38 S (2018–2019).</w:t>
      </w:r>
    </w:p>
    <w:p w14:paraId="04B7CB61" w14:textId="77777777" w:rsidR="00972395" w:rsidRPr="00E73D4B" w:rsidRDefault="00F120C7" w:rsidP="00E73D4B">
      <w:r w:rsidRPr="00E73D4B">
        <w:t xml:space="preserve">I Nasjonal alkoholstrategi (2021–2025) framgår det at det vil settes i gang en prosess for å foreslå nasjonale krav til </w:t>
      </w:r>
      <w:proofErr w:type="spellStart"/>
      <w:r w:rsidRPr="00E73D4B">
        <w:t>innholdsmerking</w:t>
      </w:r>
      <w:proofErr w:type="spellEnd"/>
      <w:r w:rsidRPr="00E73D4B">
        <w:t xml:space="preserve"> i Norge. Det ventes at Europakommisjonen fremmer et forslag om felles europeisk regelverk om obligatorisk </w:t>
      </w:r>
      <w:proofErr w:type="spellStart"/>
      <w:r w:rsidRPr="00E73D4B">
        <w:t>innholdsmerking</w:t>
      </w:r>
      <w:proofErr w:type="spellEnd"/>
      <w:r w:rsidRPr="00E73D4B">
        <w:t>, både næringsdeklarasjon og ingrediensliste, innen utgangen av 2022. Tidligere utsendt oppdrag til Mattilsynet om å vurdere et nasjonalt regelverk om dette er utsatt inntil videre, i påvente av forslag om felles europeiske regler. Departementet vil følge opp dette videre og regjeringen vil komme tilbake til Stortinget på egnet måte.</w:t>
      </w:r>
    </w:p>
    <w:p w14:paraId="1A01F439" w14:textId="77777777" w:rsidR="00972395" w:rsidRPr="00E73D4B" w:rsidRDefault="00F120C7" w:rsidP="00E73D4B">
      <w:pPr>
        <w:pStyle w:val="avsnitt-tittel"/>
      </w:pPr>
      <w:r w:rsidRPr="00E73D4B">
        <w:t>Innføring av merking av alkoholholdig drikk</w:t>
      </w:r>
    </w:p>
    <w:p w14:paraId="5802FA15" w14:textId="77777777" w:rsidR="00972395" w:rsidRPr="00E73D4B" w:rsidRDefault="00F120C7" w:rsidP="00E73D4B">
      <w:pPr>
        <w:pStyle w:val="avsnitt-undertittel"/>
      </w:pPr>
      <w:r w:rsidRPr="00E73D4B">
        <w:t>Vedtak nr. 44, 20. november 2018</w:t>
      </w:r>
    </w:p>
    <w:p w14:paraId="0540ED7F" w14:textId="77777777" w:rsidR="00972395" w:rsidRPr="00E73D4B" w:rsidRDefault="00F120C7" w:rsidP="00E73D4B">
      <w:pPr>
        <w:pStyle w:val="blokksit"/>
      </w:pPr>
      <w:r w:rsidRPr="00E73D4B">
        <w:rPr>
          <w:rStyle w:val="kursiv"/>
        </w:rPr>
        <w:t>«Stortinget ber regjeringen innføre en merkeordning for alkoholholdig drikk med helseadvarsler om alkoholbruk under graviditet og i forbindelse med kjøring.»</w:t>
      </w:r>
    </w:p>
    <w:p w14:paraId="26E3C9E6" w14:textId="77777777" w:rsidR="00972395" w:rsidRPr="00E73D4B" w:rsidRDefault="00F120C7" w:rsidP="00E73D4B">
      <w:r w:rsidRPr="00E73D4B">
        <w:t xml:space="preserve">Vedtaket ble truffet ved Stortingets behandling av Dokument 8:141 S (2017–2018) om en offensiv og solidarisk alkoholpolitikk, jf. </w:t>
      </w:r>
      <w:proofErr w:type="spellStart"/>
      <w:r w:rsidRPr="00E73D4B">
        <w:t>Innst</w:t>
      </w:r>
      <w:proofErr w:type="spellEnd"/>
      <w:r w:rsidRPr="00E73D4B">
        <w:t>. 38 S (2018–2019).</w:t>
      </w:r>
    </w:p>
    <w:p w14:paraId="0BC54F34" w14:textId="77777777" w:rsidR="00972395" w:rsidRPr="00E73D4B" w:rsidRDefault="00F120C7" w:rsidP="00E73D4B">
      <w:r w:rsidRPr="00E73D4B">
        <w:t>I Nasjonal alkoholstrategi (2021–2025) framgår det at det vil foreslås innføring av krav til advarselsmerking på alkoholholdig drikk i Norge. Som et ledd i dette arbeidet har Helsedirektoratet levert en utredning om advarselsmerking som alkoholpolitisk virkemiddel, inkludert kunnskapsgjennomgang og juridiske vurderinger. Departementet vil følge opp dette videre, og regjeringen vil komme tilbake til Stortinget på egnet måte.</w:t>
      </w:r>
    </w:p>
    <w:p w14:paraId="2B7C3EC8" w14:textId="77777777" w:rsidR="00972395" w:rsidRPr="00E73D4B" w:rsidRDefault="00F120C7" w:rsidP="00E73D4B">
      <w:pPr>
        <w:pStyle w:val="avsnitt-tittel"/>
      </w:pPr>
      <w:r w:rsidRPr="00E73D4B">
        <w:t>Ideelle organisasjoners pensjonskostnader</w:t>
      </w:r>
    </w:p>
    <w:p w14:paraId="58813DAB" w14:textId="77777777" w:rsidR="00972395" w:rsidRPr="00E73D4B" w:rsidRDefault="00F120C7" w:rsidP="00E73D4B">
      <w:pPr>
        <w:pStyle w:val="avsnitt-undertittel"/>
      </w:pPr>
      <w:r w:rsidRPr="00E73D4B">
        <w:t>Vedtak nr. 82, 3. desember 2018</w:t>
      </w:r>
    </w:p>
    <w:p w14:paraId="7127C01B" w14:textId="77777777" w:rsidR="00972395" w:rsidRPr="00E73D4B" w:rsidRDefault="00F120C7" w:rsidP="00E73D4B">
      <w:pPr>
        <w:pStyle w:val="blokksit"/>
      </w:pPr>
      <w:r w:rsidRPr="00E73D4B">
        <w:rPr>
          <w:rStyle w:val="kursiv"/>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1D01B6BC" w14:textId="77777777" w:rsidR="00972395" w:rsidRPr="00E73D4B" w:rsidRDefault="00F120C7" w:rsidP="00E73D4B">
      <w:r w:rsidRPr="00E73D4B">
        <w:t xml:space="preserve">Vedtaket ble truffet ved behandling Meld. St. 1 (2018–2019), jf. </w:t>
      </w:r>
      <w:proofErr w:type="spellStart"/>
      <w:r w:rsidRPr="00E73D4B">
        <w:t>Innst</w:t>
      </w:r>
      <w:proofErr w:type="spellEnd"/>
      <w:r w:rsidRPr="00E73D4B">
        <w:t>. 2 S (2018–2019).</w:t>
      </w:r>
    </w:p>
    <w:p w14:paraId="65CC0590" w14:textId="77777777" w:rsidR="00972395" w:rsidRPr="00E73D4B" w:rsidRDefault="00F120C7" w:rsidP="00E73D4B">
      <w:r w:rsidRPr="00E73D4B">
        <w:t>Vedtaket omfatter ideelle organisasjoners arbeid for kommuner og fylkeskommuner over flere år og innenfor ulike sektorer. Anmodningsvedtaket forutsetter et omfattende kartleggingsarbeid når det gjelder i hvor stor grad kommunene og fylkeskommunene allerede har påtatt seg forpliktelser, og i hvilket omfang kommuner og fylkeskommuner i dag står uten ansvar. Arbeidet med utredningen har blitt forsinket som følge av koronasituasjonen både i 2020 og i 2021, men er nå startet opp. Regjeringen vil komme tilbake til Stortinget på egnet måte.</w:t>
      </w:r>
    </w:p>
    <w:p w14:paraId="5EFE5926" w14:textId="77777777" w:rsidR="00972395" w:rsidRPr="00E73D4B" w:rsidRDefault="00F120C7" w:rsidP="00E73D4B">
      <w:pPr>
        <w:pStyle w:val="avsnitt-tittel"/>
      </w:pPr>
      <w:r w:rsidRPr="00E73D4B">
        <w:t>Utredning om BPA-ordningen</w:t>
      </w:r>
    </w:p>
    <w:p w14:paraId="5EAEFFF6" w14:textId="77777777" w:rsidR="00972395" w:rsidRPr="00E73D4B" w:rsidRDefault="00F120C7" w:rsidP="00E73D4B">
      <w:pPr>
        <w:pStyle w:val="avsnitt-undertittel"/>
      </w:pPr>
      <w:r w:rsidRPr="00E73D4B">
        <w:t>Vedtak nr. 87, 3. desember 2018</w:t>
      </w:r>
    </w:p>
    <w:p w14:paraId="7A9E758D" w14:textId="77777777" w:rsidR="00972395" w:rsidRPr="00E73D4B" w:rsidRDefault="00F120C7" w:rsidP="00E73D4B">
      <w:pPr>
        <w:pStyle w:val="blokksit"/>
      </w:pPr>
      <w:r w:rsidRPr="00E73D4B">
        <w:rPr>
          <w:rStyle w:val="kursiv"/>
        </w:rPr>
        <w:t>«Stortinget ber regjeringen gjennomføre en utredning med sikte på at BPA utformes slik at ordningen bidrar til å oppnå likeverd, like muligheter uansett bosted, likestilling og samfunnsdeltakelse for personer med nedsatt funksjonsevne, gode arbeidsforhold for assistentene og bærekraft i ordningen.»</w:t>
      </w:r>
    </w:p>
    <w:p w14:paraId="2C10A5B9" w14:textId="77777777" w:rsidR="00972395" w:rsidRPr="00E73D4B" w:rsidRDefault="00F120C7" w:rsidP="00E73D4B">
      <w:r w:rsidRPr="00E73D4B">
        <w:t xml:space="preserve">Vedtaket ble truffet ved behandling av Meld. St. 1 (2018–2019), jf. </w:t>
      </w:r>
      <w:proofErr w:type="spellStart"/>
      <w:r w:rsidRPr="00E73D4B">
        <w:t>Innst</w:t>
      </w:r>
      <w:proofErr w:type="spellEnd"/>
      <w:r w:rsidRPr="00E73D4B">
        <w:t>. 2 S (2018–2019).</w:t>
      </w:r>
    </w:p>
    <w:p w14:paraId="15B27BA8" w14:textId="77777777" w:rsidR="00972395" w:rsidRPr="00E73D4B" w:rsidRDefault="00F120C7" w:rsidP="00E73D4B">
      <w:r w:rsidRPr="00E73D4B">
        <w:t>Anmodningsvedtaket anses som fulgt opp gjennom NOU 2021: 11 Selvstyrt er velstyrt, som departementet fikk overlevert 16. desember 2021. Utvalget som står bak utredningen, hadde i oppgave å gjennomgå og foreslå forbedringer i ordningen brukerstyrt personlig assistanse (BPA). Utredningen har vært på høring og departementet vil ta stilling til videre oppfølging. Det vises til omtale på kap. 761.</w:t>
      </w:r>
    </w:p>
    <w:p w14:paraId="7B3EA083" w14:textId="77777777" w:rsidR="00972395" w:rsidRPr="00E73D4B" w:rsidRDefault="00F120C7" w:rsidP="00E73D4B">
      <w:pPr>
        <w:pStyle w:val="avsnitt-tittel"/>
      </w:pPr>
      <w:r w:rsidRPr="00E73D4B">
        <w:t>Årsmeldingen for 2017 fra Norges nasjonale institusjon for menneskerettigheter</w:t>
      </w:r>
    </w:p>
    <w:p w14:paraId="2CA0C28B" w14:textId="77777777" w:rsidR="00972395" w:rsidRPr="00E73D4B" w:rsidRDefault="00F120C7" w:rsidP="00E73D4B">
      <w:pPr>
        <w:pStyle w:val="avsnitt-undertittel"/>
      </w:pPr>
      <w:r w:rsidRPr="00E73D4B">
        <w:t>Vedtak nr. 93, 4. desember 2018</w:t>
      </w:r>
    </w:p>
    <w:p w14:paraId="2E541933" w14:textId="77777777" w:rsidR="00972395" w:rsidRPr="00E73D4B" w:rsidRDefault="00F120C7" w:rsidP="00E73D4B">
      <w:pPr>
        <w:pStyle w:val="blokksit"/>
      </w:pPr>
      <w:r w:rsidRPr="00E73D4B">
        <w:rPr>
          <w:rStyle w:val="kursiv"/>
        </w:rPr>
        <w:t>«Stortinget ber regjeringen gjennomgå anbefalingene i årsmeldingen for 2017 fra Norges nasjonale institusjon for menneskerettigheter og komme tilbake til Stortinget på egnet måte med hvordan anbefalingene er fulgt opp.»</w:t>
      </w:r>
    </w:p>
    <w:p w14:paraId="6B579709" w14:textId="77777777" w:rsidR="00972395" w:rsidRPr="00E73D4B" w:rsidRDefault="00F120C7" w:rsidP="00E73D4B">
      <w:r w:rsidRPr="00E73D4B">
        <w:t xml:space="preserve">Vedtaket ble truffet ved behandling av Dokument 6 (2017–2018), jf. </w:t>
      </w:r>
      <w:proofErr w:type="spellStart"/>
      <w:r w:rsidRPr="00E73D4B">
        <w:t>Innst</w:t>
      </w:r>
      <w:proofErr w:type="spellEnd"/>
      <w:r w:rsidRPr="00E73D4B">
        <w:t xml:space="preserve">. 78 S (2018–2019). Kontroll- og konstitusjonskomiteen opprettholdt vedtaket, jf. </w:t>
      </w:r>
      <w:proofErr w:type="spellStart"/>
      <w:r w:rsidRPr="00E73D4B">
        <w:t>Innst</w:t>
      </w:r>
      <w:proofErr w:type="spellEnd"/>
      <w:r w:rsidRPr="00E73D4B">
        <w:t>. 580 S (2020–2021).</w:t>
      </w:r>
    </w:p>
    <w:p w14:paraId="1A4A287C" w14:textId="77777777" w:rsidR="00972395" w:rsidRPr="00E73D4B" w:rsidRDefault="00F120C7" w:rsidP="00E73D4B">
      <w:r w:rsidRPr="00E73D4B">
        <w:t>Anbefalingen fra Norges nasjonale institusjon for menneskerettigheter om ECT hører inn under Helse- og omsorgsdepartementets ansvarsområde og lyder slik:</w:t>
      </w:r>
    </w:p>
    <w:p w14:paraId="29FFEC66" w14:textId="77777777" w:rsidR="00972395" w:rsidRPr="00E73D4B" w:rsidRDefault="00F120C7" w:rsidP="00E73D4B">
      <w:r w:rsidRPr="00E73D4B">
        <w:t xml:space="preserve">«Omfanget av og behovet for ECT uten samtykke på </w:t>
      </w:r>
      <w:proofErr w:type="spellStart"/>
      <w:r w:rsidRPr="00E73D4B">
        <w:t>nødrettslig</w:t>
      </w:r>
      <w:proofErr w:type="spellEnd"/>
      <w:r w:rsidRPr="00E73D4B">
        <w:t xml:space="preserve">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5A1CC63E" w14:textId="77777777" w:rsidR="00972395" w:rsidRPr="00E73D4B" w:rsidRDefault="00F120C7" w:rsidP="00E73D4B">
      <w:r w:rsidRPr="00E73D4B">
        <w:t xml:space="preserve">Som redegjort i svarbrevet til justiskomiteen 25. juni 2018 nedsatte regjeringen i 2016 et lovutvalg, Tvangslovutvalget, som fikk i mandat å foreta en revisjon av tvangshjemler i helse- og omsorgssektoren. Tvangslovutvalget leverte sin innstilling (NOU 2019: 14) 18. juni 2019. Utvalget har levert et omfattende lovutkast med bl.a. forslag til bestemmelser om </w:t>
      </w:r>
      <w:proofErr w:type="spellStart"/>
      <w:r w:rsidRPr="00E73D4B">
        <w:t>elektrokonvulsiv</w:t>
      </w:r>
      <w:proofErr w:type="spellEnd"/>
      <w:r w:rsidRPr="00E73D4B">
        <w:t xml:space="preserve"> behandling (ECT). Departementet har oppnevnt et ekspertutvalg som skal evaluere lovendringene som innførte manglende samtykkekompetanse som vilkår for tvungen observasjon, tvungent psykisk helsevern og undersøkelse og behandling uten eget samtykke. Tvangslovutvalget foreslo bl.a. en felles mer diagnosenøytral lov om bruk av tvang i helse- og omsorgssektoren. Utvalget foreslo at manglende samtykkekompetanse skulle være et sentralt vilkår. Det vil bli tatt stilling til hvordan forslagene fra Tvangslovutvalget bør følges opp når resultatet av evalueringen er klar. Regjeringen vil komme tilbake til Stortinget på egnet måte.</w:t>
      </w:r>
    </w:p>
    <w:p w14:paraId="1CEE136A" w14:textId="77777777" w:rsidR="00972395" w:rsidRPr="00E73D4B" w:rsidRDefault="00F120C7" w:rsidP="00E73D4B">
      <w:pPr>
        <w:pStyle w:val="Overskrift2"/>
      </w:pPr>
      <w:r w:rsidRPr="00E73D4B">
        <w:t>Stortingssesjon 2017–2018</w:t>
      </w:r>
    </w:p>
    <w:p w14:paraId="746B89A5" w14:textId="77777777" w:rsidR="00972395" w:rsidRPr="00E73D4B" w:rsidRDefault="00F120C7" w:rsidP="00E73D4B">
      <w:pPr>
        <w:pStyle w:val="avsnitt-tittel"/>
      </w:pPr>
      <w:r w:rsidRPr="00E73D4B">
        <w:t>Legevakt- og fastlegeordningen</w:t>
      </w:r>
    </w:p>
    <w:p w14:paraId="5C8C6B5C" w14:textId="77777777" w:rsidR="00972395" w:rsidRPr="00E73D4B" w:rsidRDefault="00F120C7" w:rsidP="00E73D4B">
      <w:pPr>
        <w:pStyle w:val="avsnitt-undertittel"/>
      </w:pPr>
      <w:r w:rsidRPr="00E73D4B">
        <w:t>Vedtak nr. 468, 13. februar 2018</w:t>
      </w:r>
    </w:p>
    <w:p w14:paraId="11FFA255" w14:textId="77777777" w:rsidR="00972395" w:rsidRPr="00E73D4B" w:rsidRDefault="00F120C7" w:rsidP="00E73D4B">
      <w:pPr>
        <w:pStyle w:val="blokksit"/>
      </w:pPr>
      <w:r w:rsidRPr="00E73D4B">
        <w:rPr>
          <w:rStyle w:val="kursiv"/>
        </w:rPr>
        <w:t>«Stortinget ber regjeringen fremme en egen sak til Stortinget om forbedringer i legevaktordningen som også bidrar til rekrutteringen til fastlegeordningen.»</w:t>
      </w:r>
    </w:p>
    <w:p w14:paraId="17035EAA" w14:textId="77777777" w:rsidR="00972395" w:rsidRPr="00E73D4B" w:rsidRDefault="00F120C7" w:rsidP="00E73D4B">
      <w:r w:rsidRPr="00E73D4B">
        <w:t xml:space="preserve">Vedtaket ble truffet ved behandling av Representantforslag 8:3 S (2017–2018) om tiltak for å styrke rekruttering til og finansiering av fastlegeordningen, i tråd med intensjonene i samhandlingsreformen, jf. </w:t>
      </w:r>
      <w:proofErr w:type="spellStart"/>
      <w:r w:rsidRPr="00E73D4B">
        <w:t>Innst</w:t>
      </w:r>
      <w:proofErr w:type="spellEnd"/>
      <w:r w:rsidRPr="00E73D4B">
        <w:t>. 109 S (2017–2018).</w:t>
      </w:r>
    </w:p>
    <w:p w14:paraId="775353AE" w14:textId="77777777" w:rsidR="00972395" w:rsidRPr="00E73D4B" w:rsidRDefault="00F120C7" w:rsidP="00E73D4B">
      <w:r w:rsidRPr="00E73D4B">
        <w:t xml:space="preserve">Kontroll- og konstitusjonskomiteen merket seg i </w:t>
      </w:r>
      <w:proofErr w:type="spellStart"/>
      <w:r w:rsidRPr="00E73D4B">
        <w:t>Innst</w:t>
      </w:r>
      <w:proofErr w:type="spellEnd"/>
      <w:r w:rsidRPr="00E73D4B">
        <w:t xml:space="preserve">. 141 S (2021–2022) at regjeringen har kommet med en handlingsplan, og at denne ikke er fremmet i Stortinget. Komiteen anser derfor ikke anmodningsvedtaket som </w:t>
      </w:r>
      <w:proofErr w:type="spellStart"/>
      <w:r w:rsidRPr="00E73D4B">
        <w:t>utkvittert</w:t>
      </w:r>
      <w:proofErr w:type="spellEnd"/>
      <w:r w:rsidRPr="00E73D4B">
        <w:t>.</w:t>
      </w:r>
    </w:p>
    <w:p w14:paraId="52BE35B1" w14:textId="77777777" w:rsidR="00972395" w:rsidRPr="00E73D4B" w:rsidRDefault="00F120C7" w:rsidP="00E73D4B">
      <w:r w:rsidRPr="00E73D4B">
        <w:t>Det er nedsatt et hurtigarbeidende ekspertutvalg som har som formål å utrede hvordan fastlegeordningen kan gjøres mer bærekraftig. Endringer i legevakt for å oppnå redusert arbeidstid i legevakt for allmennleger er ett av temaene utvalget skal utrede. Utvalget skal levere foreløpige vurderinger og anbefalinger 1. desember 2022. Endelige vurderinger og anbefalinger leveres 15. april 2023. Anmodningsvedtaket vil bli fulgt opp overfor Stortinget i Nasjonal helse- og samhandlingsplan som kommer i 2023. Regjeringen vil komme tilbake til Stortinget på egnet måte.</w:t>
      </w:r>
    </w:p>
    <w:p w14:paraId="661EAE53" w14:textId="77777777" w:rsidR="00972395" w:rsidRPr="00E73D4B" w:rsidRDefault="00F120C7" w:rsidP="00E73D4B">
      <w:pPr>
        <w:pStyle w:val="avsnitt-tittel"/>
      </w:pPr>
      <w:r w:rsidRPr="00E73D4B">
        <w:t>Evaluering av turnusordningen</w:t>
      </w:r>
    </w:p>
    <w:p w14:paraId="42129CFD" w14:textId="77777777" w:rsidR="00972395" w:rsidRPr="00E73D4B" w:rsidRDefault="00F120C7" w:rsidP="00E73D4B">
      <w:pPr>
        <w:pStyle w:val="avsnitt-undertittel"/>
      </w:pPr>
      <w:r w:rsidRPr="00E73D4B">
        <w:t>Vedtak nr. 469, 13. februar 2018</w:t>
      </w:r>
    </w:p>
    <w:p w14:paraId="5F1D72E5" w14:textId="77777777" w:rsidR="00972395" w:rsidRPr="00E73D4B" w:rsidRDefault="00F120C7" w:rsidP="00E73D4B">
      <w:pPr>
        <w:pStyle w:val="blokksit"/>
      </w:pPr>
      <w:r w:rsidRPr="00E73D4B">
        <w:rPr>
          <w:rStyle w:val="kursiv"/>
        </w:rPr>
        <w:t>«Stortinget ber regjeringen i lys av den varslede evalueringen av turnusordningen fremme nødvendige forslag til endringer og økonomiske incentiver for å styrke rekrutteringen av medisinstudenter til lokalsykehus og rekrutteringssvake områder i kommunehelsetjenesten.»</w:t>
      </w:r>
    </w:p>
    <w:p w14:paraId="07CDA4FE" w14:textId="77777777" w:rsidR="00972395" w:rsidRPr="00E73D4B" w:rsidRDefault="00F120C7" w:rsidP="00E73D4B">
      <w:r w:rsidRPr="00E73D4B">
        <w:t xml:space="preserve">Vedtaket ble truffet ved Stortingets behandling av representantforslag om tiltak for å styrke rekruttering til og finansiering av fastlegeordningen, i tråd med intensjonene i samhandlingsreformen, Dokument 8:3 S (2017–2018), </w:t>
      </w:r>
      <w:proofErr w:type="spellStart"/>
      <w:r w:rsidRPr="00E73D4B">
        <w:t>Innst</w:t>
      </w:r>
      <w:proofErr w:type="spellEnd"/>
      <w:r w:rsidRPr="00E73D4B">
        <w:t>. 109 S (2017–2018).</w:t>
      </w:r>
    </w:p>
    <w:p w14:paraId="773F6A07" w14:textId="77777777" w:rsidR="00972395" w:rsidRPr="00E73D4B" w:rsidRDefault="00F120C7" w:rsidP="00E73D4B">
      <w:r w:rsidRPr="00E73D4B">
        <w:t>Konteksten for vedtaket tilsier at vedtaket gjelder rekruttering av nyutdannede leger til LIS1-stillinger i rekrutteringssvake områder. Helsedirektoratet har gjennomført en evaluering av omleggingen av den tidligere turnusordningen til den første delen av spesialiseringsløpet for leger, kalt LIS1. Direktoratet overleverte rapporten 9. juni 2021. Evalueringen viser at den nye ordningen med LIS1-stillinger har videreført en god geografisk fordeling av LIS1-leger til ulike deler av landet. Det er imidlertid visse utfordringer med frafall, spesielt i rekrutteringssvake områder. Regjeringen ser det derfor som viktig å særlig legge til rette for en bedre rekruttering av leger, og benytter ulike virkemidler for å oppnå dette.</w:t>
      </w:r>
    </w:p>
    <w:p w14:paraId="56D392DE" w14:textId="77777777" w:rsidR="00972395" w:rsidRPr="00E73D4B" w:rsidRDefault="00F120C7" w:rsidP="00E73D4B">
      <w:r w:rsidRPr="00E73D4B">
        <w:t>Å rekruttere og stabilisere bemanningen ved de mindre sykehusene vil bl.a. kreve en mer systematisk innsats for å utvikle fagmiljøer og utdanne egne spesialister. De regionale helseforetakene fikk derfor i oppdrag for 2022 å iverksette tiltak for å styrke rekruttering og spesialistutdanning for leger ved de mindre sykehusene i distriktene. I 2019 ble det opprettet 38 LIS1 stillinger som alle gikk til Nord-Norge. I 2022 ble det opprettet 31 LIS1-stillinger med kobling til rekrutteringssvake spesialiteter, herunder allmennmedisin.</w:t>
      </w:r>
    </w:p>
    <w:p w14:paraId="0DB62019" w14:textId="77777777" w:rsidR="00972395" w:rsidRPr="00E73D4B" w:rsidRDefault="00F120C7" w:rsidP="00E73D4B">
      <w:r w:rsidRPr="00E73D4B">
        <w:t>Regjeringen er opptatt av å legge til rette for bedre rekruttering til fastlegeordningen gjennom en god, fleksibel og trygg spesialistutdanning i allmennmedisin. Departementet har nylig nedsatt et ekspertutvalg for gjennomgang av allmennlegetjenesten. Den skal utrede nærmere hvordan både permanente og tidsavgrensede endringer i kompetansekrav og endringer i utdanningsløp for spesialistutdanning i allmennmedisin kan bedre rekrutteringen. I utredningen inngår å vurdere innretningen på den delen av allmennlegenes spesialisering som skal skje i sykehus, egne stillinger for ALIS i sykehus og hvordan mulighet for fast lønn for leger som spesialiserer seg i allmennmedisin kan innrettes. Vedtaket anses som fulgt opp.</w:t>
      </w:r>
    </w:p>
    <w:p w14:paraId="1EFA2392" w14:textId="77777777" w:rsidR="00972395" w:rsidRPr="00E73D4B" w:rsidRDefault="00F120C7" w:rsidP="00E73D4B">
      <w:pPr>
        <w:pStyle w:val="avsnitt-tittel"/>
      </w:pPr>
      <w:r w:rsidRPr="00E73D4B">
        <w:t>Regelverket for pasientreiser</w:t>
      </w:r>
    </w:p>
    <w:p w14:paraId="7D334C43" w14:textId="77777777" w:rsidR="00972395" w:rsidRPr="00E73D4B" w:rsidRDefault="00F120C7" w:rsidP="00E73D4B">
      <w:pPr>
        <w:pStyle w:val="avsnitt-undertittel"/>
      </w:pPr>
      <w:r w:rsidRPr="00E73D4B">
        <w:t>Vedtak nr. 615, 19. april 2018</w:t>
      </w:r>
    </w:p>
    <w:p w14:paraId="34019755" w14:textId="77777777" w:rsidR="00972395" w:rsidRPr="00E73D4B" w:rsidRDefault="00F120C7" w:rsidP="00E73D4B">
      <w:pPr>
        <w:pStyle w:val="blokksit"/>
      </w:pPr>
      <w:r w:rsidRPr="00E73D4B">
        <w:rPr>
          <w:rStyle w:val="kursiv"/>
        </w:rPr>
        <w:t>«Stortinget ber regjeringen foreta en bred gjennomgang av regelverket for pasientreiser og fremme en sak for Stortinget med tiltak for å forenkle og forbedre ordningen.»</w:t>
      </w:r>
    </w:p>
    <w:p w14:paraId="3C176E6C" w14:textId="77777777" w:rsidR="00972395" w:rsidRPr="00E73D4B" w:rsidRDefault="00F120C7" w:rsidP="00E73D4B">
      <w:r w:rsidRPr="00E73D4B">
        <w:t>Helsedirektoratet fikk i tildelingsbrevet for 2019 i oppdrag å foreta en gjennomgang av regelverket for pasientreiser og oversendte departementet en rapport om gjennomgangen i midten av oktober 2020. Departementet arbeider med forslag til endringer i pasientreiseforskriften for å følge opp innspillene i rapporten og vil komme tilbake til Stortinget med en nærmere omtale av forskriftsendringene når disse har vært på offentlig høring.</w:t>
      </w:r>
    </w:p>
    <w:p w14:paraId="69F3F734" w14:textId="77777777" w:rsidR="00972395" w:rsidRPr="00E73D4B" w:rsidRDefault="00F120C7" w:rsidP="00E73D4B">
      <w:pPr>
        <w:pStyle w:val="avsnitt-tittel"/>
      </w:pPr>
      <w:r w:rsidRPr="00E73D4B">
        <w:t>Styringen av helsevesenet</w:t>
      </w:r>
    </w:p>
    <w:p w14:paraId="4F5F7B27" w14:textId="77777777" w:rsidR="00972395" w:rsidRPr="00E73D4B" w:rsidRDefault="00F120C7" w:rsidP="00E73D4B">
      <w:pPr>
        <w:pStyle w:val="avsnitt-undertittel"/>
      </w:pPr>
      <w:r w:rsidRPr="00E73D4B">
        <w:t>Vedtak nr. 625, 18. februar 2018</w:t>
      </w:r>
    </w:p>
    <w:p w14:paraId="1D046B46" w14:textId="77777777" w:rsidR="00972395" w:rsidRPr="00E73D4B" w:rsidRDefault="00F120C7" w:rsidP="00E73D4B">
      <w:pPr>
        <w:pStyle w:val="blokksit"/>
      </w:pPr>
      <w:r w:rsidRPr="00E73D4B">
        <w:rPr>
          <w:rStyle w:val="kursiv"/>
        </w:rPr>
        <w:t xml:space="preserve">«Stortinget ber regjeringen </w:t>
      </w:r>
      <w:proofErr w:type="gramStart"/>
      <w:r w:rsidRPr="00E73D4B">
        <w:rPr>
          <w:rStyle w:val="kursiv"/>
        </w:rPr>
        <w:t>integrere</w:t>
      </w:r>
      <w:proofErr w:type="gramEnd"/>
      <w:r w:rsidRPr="00E73D4B">
        <w:rPr>
          <w:rStyle w:val="kursiv"/>
        </w:rPr>
        <w:t xml:space="preserve"> målene for livskvalitet i styringen av helsevesenet i større grad enn i dag.»</w:t>
      </w:r>
    </w:p>
    <w:p w14:paraId="4D9429AE" w14:textId="77777777" w:rsidR="00972395" w:rsidRPr="00E73D4B" w:rsidRDefault="00F120C7" w:rsidP="00E73D4B">
      <w:r w:rsidRPr="00E73D4B">
        <w:t xml:space="preserve">Vedtaket ble truffet ble truffet ved behandling av Dokument 8:130 S (2017–2018), jf. </w:t>
      </w:r>
      <w:proofErr w:type="spellStart"/>
      <w:r w:rsidRPr="00E73D4B">
        <w:t>Innst</w:t>
      </w:r>
      <w:proofErr w:type="spellEnd"/>
      <w:r w:rsidRPr="00E73D4B">
        <w:t>. 2019 S (2017–2018).</w:t>
      </w:r>
    </w:p>
    <w:p w14:paraId="480FDC77" w14:textId="77777777" w:rsidR="00972395" w:rsidRPr="00E73D4B" w:rsidRDefault="00F120C7" w:rsidP="00E73D4B">
      <w:r w:rsidRPr="00E73D4B">
        <w:t xml:space="preserve">Vedtaket følges opp gjennom oppfølging av Meld. St. 19 (2018–2019) </w:t>
      </w:r>
      <w:r w:rsidRPr="00E73D4B">
        <w:rPr>
          <w:rStyle w:val="kursiv"/>
        </w:rPr>
        <w:t xml:space="preserve">Folkehelsemeldinga – Gode liv i </w:t>
      </w:r>
      <w:proofErr w:type="spellStart"/>
      <w:r w:rsidRPr="00E73D4B">
        <w:rPr>
          <w:rStyle w:val="kursiv"/>
        </w:rPr>
        <w:t>eit</w:t>
      </w:r>
      <w:proofErr w:type="spellEnd"/>
      <w:r w:rsidRPr="00E73D4B">
        <w:rPr>
          <w:rStyle w:val="kursiv"/>
        </w:rPr>
        <w:t xml:space="preserve"> trygt samfunn</w:t>
      </w:r>
      <w:r w:rsidRPr="00E73D4B">
        <w:t>. Regjeringen vil komme tilbake til Stortinget på egnet måte.</w:t>
      </w:r>
    </w:p>
    <w:p w14:paraId="23899C6C" w14:textId="77777777" w:rsidR="00972395" w:rsidRPr="00E73D4B" w:rsidRDefault="00F120C7" w:rsidP="00E73D4B">
      <w:pPr>
        <w:pStyle w:val="avsnitt-tittel"/>
      </w:pPr>
      <w:r w:rsidRPr="00E73D4B">
        <w:t>Evaluering av LAR-ordningen</w:t>
      </w:r>
    </w:p>
    <w:p w14:paraId="714290E1" w14:textId="77777777" w:rsidR="00972395" w:rsidRPr="00E73D4B" w:rsidRDefault="00F120C7" w:rsidP="00E73D4B">
      <w:pPr>
        <w:pStyle w:val="avsnitt-undertittel"/>
      </w:pPr>
      <w:r w:rsidRPr="00E73D4B">
        <w:t>Vedtak nr. 634, 24. april 2018</w:t>
      </w:r>
    </w:p>
    <w:p w14:paraId="21BD0A0A" w14:textId="77777777" w:rsidR="00972395" w:rsidRPr="00E73D4B" w:rsidRDefault="00F120C7" w:rsidP="00E73D4B">
      <w:pPr>
        <w:pStyle w:val="blokksit"/>
      </w:pPr>
      <w:r w:rsidRPr="00E73D4B">
        <w:rPr>
          <w:rStyle w:val="kursiv"/>
        </w:rPr>
        <w:t xml:space="preserve">«Stortinget ber regjeringen evaluere LAR-ordningen og fremme tiltak for å sikre innhold, kvalitet og forbedringer i ordningen, slik at LAR kan fungere </w:t>
      </w:r>
      <w:proofErr w:type="gramStart"/>
      <w:r w:rsidRPr="00E73D4B">
        <w:rPr>
          <w:rStyle w:val="kursiv"/>
        </w:rPr>
        <w:t>optimalt</w:t>
      </w:r>
      <w:proofErr w:type="gramEnd"/>
      <w:r w:rsidRPr="00E73D4B">
        <w:rPr>
          <w:rStyle w:val="kursiv"/>
        </w:rPr>
        <w:t>.»</w:t>
      </w:r>
    </w:p>
    <w:p w14:paraId="6C36F6AD" w14:textId="77777777" w:rsidR="00972395" w:rsidRPr="00E73D4B" w:rsidRDefault="00F120C7" w:rsidP="00E73D4B">
      <w:r w:rsidRPr="00E73D4B">
        <w:t xml:space="preserve">Vedtaket ble truffet i Stortingets behandling av Dokument 8:29 S (2017–2018), jf. </w:t>
      </w:r>
      <w:proofErr w:type="spellStart"/>
      <w:r w:rsidRPr="00E73D4B">
        <w:t>Innst</w:t>
      </w:r>
      <w:proofErr w:type="spellEnd"/>
      <w:r w:rsidRPr="00E73D4B">
        <w:t>. 215 S (2017–2018).</w:t>
      </w:r>
    </w:p>
    <w:p w14:paraId="13A22AE9" w14:textId="77777777" w:rsidR="00972395" w:rsidRPr="00E73D4B" w:rsidRDefault="00F120C7" w:rsidP="00E73D4B">
      <w:r w:rsidRPr="00E73D4B">
        <w:t>Anmodningsvedtaket er fulgt opp ved at Helsedirektoratet har fått i oppdrag å gjennomføre en følgeevaluering av implementeringen av den nye retningslinjen for legemiddelassistert rehabilitering (LAR). Den reviderte retningslinjen ble publisert våren 2022. Følgeevalueringen vil gi informasjon om hvordan denne bidrar til å sikre innhold, kvalitet og forbedringer i LAR-ordningen.</w:t>
      </w:r>
    </w:p>
    <w:p w14:paraId="4F54DB06" w14:textId="77777777" w:rsidR="00972395" w:rsidRPr="00E73D4B" w:rsidRDefault="00F120C7" w:rsidP="00E73D4B">
      <w:r w:rsidRPr="00E73D4B">
        <w:t>Anmodningsvedtaket anses som fulgt opp gjennom vurderinger under kap. 734.</w:t>
      </w:r>
    </w:p>
    <w:p w14:paraId="05635FBB" w14:textId="77777777" w:rsidR="00972395" w:rsidRPr="00E73D4B" w:rsidRDefault="00F120C7" w:rsidP="00E73D4B">
      <w:pPr>
        <w:pStyle w:val="avsnitt-tittel"/>
      </w:pPr>
      <w:r w:rsidRPr="00E73D4B">
        <w:t>Fødselsomsorg</w:t>
      </w:r>
    </w:p>
    <w:p w14:paraId="505C47A6" w14:textId="77777777" w:rsidR="00972395" w:rsidRPr="00E73D4B" w:rsidRDefault="00F120C7" w:rsidP="00E73D4B">
      <w:pPr>
        <w:pStyle w:val="avsnitt-undertittel"/>
      </w:pPr>
      <w:r w:rsidRPr="00E73D4B">
        <w:t>Vedtak nr. 753, 24. mai 2018</w:t>
      </w:r>
    </w:p>
    <w:p w14:paraId="7F35866A" w14:textId="77777777" w:rsidR="00972395" w:rsidRPr="00E73D4B" w:rsidRDefault="00F120C7" w:rsidP="00E73D4B">
      <w:pPr>
        <w:pStyle w:val="blokksit"/>
      </w:pPr>
      <w:r w:rsidRPr="00E73D4B">
        <w:rPr>
          <w:rStyle w:val="kursiv"/>
        </w:rPr>
        <w:t>«Stortinget ber regjeringen sørge for at det gjøres en ny vurdering av behovet for å innføre et screening-tiltak for å avdekke depresjon blant gravide kvinner /barselkvinner.»</w:t>
      </w:r>
    </w:p>
    <w:p w14:paraId="43728BEA" w14:textId="77777777" w:rsidR="00972395" w:rsidRPr="00E73D4B" w:rsidRDefault="00F120C7" w:rsidP="00E73D4B">
      <w:r w:rsidRPr="00E73D4B">
        <w:t xml:space="preserve">Vedtaket ble truffet ved behandling av Representantforslag 154 S (2017–2018) om tiltak for å sikre mor og barn ei </w:t>
      </w:r>
      <w:proofErr w:type="spellStart"/>
      <w:r w:rsidRPr="00E73D4B">
        <w:t>fagleg</w:t>
      </w:r>
      <w:proofErr w:type="spellEnd"/>
      <w:r w:rsidRPr="00E73D4B">
        <w:t xml:space="preserve"> god barselomsorg og hindre </w:t>
      </w:r>
      <w:proofErr w:type="spellStart"/>
      <w:r w:rsidRPr="00E73D4B">
        <w:t>uforsvarlege</w:t>
      </w:r>
      <w:proofErr w:type="spellEnd"/>
      <w:r w:rsidRPr="00E73D4B">
        <w:t xml:space="preserve"> kutt i </w:t>
      </w:r>
      <w:proofErr w:type="spellStart"/>
      <w:r w:rsidRPr="00E73D4B">
        <w:t>liggjetid</w:t>
      </w:r>
      <w:proofErr w:type="spellEnd"/>
      <w:r w:rsidRPr="00E73D4B">
        <w:t xml:space="preserve"> på sjukehus etter fødsel, og Representantforslag 168 S (2017–2018) om åtte tiltak for å sikre trygg fødselsomsorg, jf. </w:t>
      </w:r>
      <w:proofErr w:type="spellStart"/>
      <w:r w:rsidRPr="00E73D4B">
        <w:t>Innst</w:t>
      </w:r>
      <w:proofErr w:type="spellEnd"/>
      <w:r w:rsidRPr="00E73D4B">
        <w:t>. 280 S (2017–2018).</w:t>
      </w:r>
    </w:p>
    <w:p w14:paraId="1C6E7025" w14:textId="77777777" w:rsidR="00972395" w:rsidRPr="00E73D4B" w:rsidRDefault="00F120C7" w:rsidP="00E73D4B">
      <w:r w:rsidRPr="00E73D4B">
        <w:t>Anmodningsvedtaket vil bli fulgt opp i den kommende opptrappingsplanen for psykisk helse. Vedtaket må også sees i sammenheng med vedtak nr. 516 av 3. mai 2022. Regjeringen vil komme tilbake til Stortinget på egnet måte.</w:t>
      </w:r>
    </w:p>
    <w:p w14:paraId="53D0F0A4" w14:textId="77777777" w:rsidR="00972395" w:rsidRPr="00E73D4B" w:rsidRDefault="00F120C7" w:rsidP="00E73D4B">
      <w:pPr>
        <w:pStyle w:val="avsnitt-tittel"/>
      </w:pPr>
      <w:r w:rsidRPr="00E73D4B">
        <w:t>Tobakksskadeloven</w:t>
      </w:r>
    </w:p>
    <w:p w14:paraId="11AC9C12" w14:textId="77777777" w:rsidR="00972395" w:rsidRPr="00E73D4B" w:rsidRDefault="00F120C7" w:rsidP="00E73D4B">
      <w:pPr>
        <w:pStyle w:val="avsnitt-undertittel"/>
      </w:pPr>
      <w:r w:rsidRPr="00E73D4B">
        <w:t>Vedtak nr. 915, 12. juni 2018</w:t>
      </w:r>
    </w:p>
    <w:p w14:paraId="25EC25DF" w14:textId="77777777" w:rsidR="00972395" w:rsidRPr="00E73D4B" w:rsidRDefault="00F120C7" w:rsidP="00E73D4B">
      <w:pPr>
        <w:pStyle w:val="blokksit"/>
      </w:pPr>
      <w:r w:rsidRPr="00E73D4B">
        <w:rPr>
          <w:rStyle w:val="kursiv"/>
        </w:rPr>
        <w:t>«Stortinget ber regjeringen utrede og fremme forslag om endringer i tobakksskadeloven med mål om å hindre at en ny generasjon blir avhengig av tobakk, og mål om å gjøre flere arenaer i samfunnet tobakksfrie og å styrke vernet mot passiv røyking.»</w:t>
      </w:r>
    </w:p>
    <w:p w14:paraId="6F75B2DA" w14:textId="77777777" w:rsidR="00972395" w:rsidRPr="00E73D4B" w:rsidRDefault="00F120C7" w:rsidP="00E73D4B">
      <w:r w:rsidRPr="00E73D4B">
        <w:t xml:space="preserve">Vedtaket ble truffet ved behandlingen av Dokument 8:189 S (2017–2018), jf. </w:t>
      </w:r>
      <w:proofErr w:type="spellStart"/>
      <w:r w:rsidRPr="00E73D4B">
        <w:t>Innst</w:t>
      </w:r>
      <w:proofErr w:type="spellEnd"/>
      <w:r w:rsidRPr="00E73D4B">
        <w:t>. 367 S (2017–2018). Regjeringen arbeider for tiden med en ny tobakksstrategi, som vil inngå i folkehelsemeldingen som skal fremmes våren 2023. Regjeringen vil komme tilbake til Stortinget på egnet måte.</w:t>
      </w:r>
    </w:p>
    <w:p w14:paraId="115B430B" w14:textId="77777777" w:rsidR="00972395" w:rsidRPr="00E73D4B" w:rsidRDefault="00F120C7" w:rsidP="00E73D4B">
      <w:pPr>
        <w:pStyle w:val="Overskrift2"/>
      </w:pPr>
      <w:r w:rsidRPr="00E73D4B">
        <w:t>Stortingssesjon 2016–2017</w:t>
      </w:r>
    </w:p>
    <w:p w14:paraId="7527BB8F" w14:textId="77777777" w:rsidR="00972395" w:rsidRPr="00E73D4B" w:rsidRDefault="00F120C7" w:rsidP="00E73D4B">
      <w:pPr>
        <w:pStyle w:val="avsnitt-tittel"/>
      </w:pPr>
      <w:r w:rsidRPr="00E73D4B">
        <w:t>Tannhelsetjeneste og kommunalt ansvar</w:t>
      </w:r>
    </w:p>
    <w:p w14:paraId="1053507E" w14:textId="77777777" w:rsidR="00972395" w:rsidRPr="00E73D4B" w:rsidRDefault="00F120C7" w:rsidP="00E73D4B">
      <w:pPr>
        <w:pStyle w:val="avsnitt-undertittel"/>
      </w:pPr>
      <w:r w:rsidRPr="00E73D4B">
        <w:t>Vedtak nr. 847, 8. juni 2017</w:t>
      </w:r>
    </w:p>
    <w:p w14:paraId="6743A8D8" w14:textId="77777777" w:rsidR="00972395" w:rsidRPr="00E73D4B" w:rsidRDefault="00F120C7" w:rsidP="00E73D4B">
      <w:pPr>
        <w:pStyle w:val="blokksit"/>
      </w:pPr>
      <w:r w:rsidRPr="00E73D4B">
        <w:rPr>
          <w:rStyle w:val="kursiv"/>
        </w:rPr>
        <w:t>«Stortinget ber regjeringen legge til rette for en prøveordning som innebærer at kommuner som ønsker det, etter søknad kan få tillatelse til å overta ansvaret for tannhelsetjenesten fra 2020.»</w:t>
      </w:r>
    </w:p>
    <w:p w14:paraId="29B153B7"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71 L (2016–2017) Endringer i helselovgivningen (overføring av det offentlige tannhelsetjenesteansvaret, lovfesting av kompetansekrav m.m.), jf. </w:t>
      </w:r>
      <w:proofErr w:type="spellStart"/>
      <w:r w:rsidRPr="00E73D4B">
        <w:t>Innst</w:t>
      </w:r>
      <w:proofErr w:type="spellEnd"/>
      <w:r w:rsidRPr="00E73D4B">
        <w:t>. 378 L (2016–2017).</w:t>
      </w:r>
    </w:p>
    <w:p w14:paraId="12E566E1" w14:textId="77777777" w:rsidR="00972395" w:rsidRPr="00E73D4B" w:rsidRDefault="00F120C7" w:rsidP="00E73D4B">
      <w:r w:rsidRPr="00E73D4B">
        <w:t xml:space="preserve">Stortinget fattet 24. mai 2022 lovvedtak som opphever vedtatte lovendringer som legger til rette for overføring av ansvaret for den offentlige tannhelsetjenesten fra fylkeskommunene til kommunene, jf. </w:t>
      </w:r>
      <w:proofErr w:type="spellStart"/>
      <w:r w:rsidRPr="00E73D4B">
        <w:t>Prop</w:t>
      </w:r>
      <w:proofErr w:type="spellEnd"/>
      <w:r w:rsidRPr="00E73D4B">
        <w:t xml:space="preserve">. 64 L (2021–2022) Endringer i lov om endringer i helselovgivningen (oppheving av overføring av det offentlige tannhelsetjenesteansvaret) og </w:t>
      </w:r>
      <w:proofErr w:type="spellStart"/>
      <w:r w:rsidRPr="00E73D4B">
        <w:t>Innst</w:t>
      </w:r>
      <w:proofErr w:type="spellEnd"/>
      <w:r w:rsidRPr="00E73D4B">
        <w:t xml:space="preserve">. 295 L (2021–2022). Regjeringen la i lovproposisjonen til grunn at det ikke lenger er politisk flertall for anmodningsvedtak 847, 848, 849, 850 og 851 i Stortinget, og at det derfor ikke planlegges ytterligere oppfølging av vedtakene. Ved behandlingen av </w:t>
      </w:r>
      <w:proofErr w:type="spellStart"/>
      <w:r w:rsidRPr="00E73D4B">
        <w:t>Prop</w:t>
      </w:r>
      <w:proofErr w:type="spellEnd"/>
      <w:r w:rsidRPr="00E73D4B">
        <w:t>. 64 L (2021–2022) ble det ikke flertall i Stortinget for fortsatt oppfølging av anmodningsvedtakene. Regjeringen varslet i proposisjonen at endelig sluttrapportering på anmodningsvedtakene med forslag om at vedtakene oppheves, vil bli gjort i forbindelse med budsjettproposisjonen for 2023. Vedtak 847 foreslås derfor opphevet, jf. forslag til romertallsvedtak.</w:t>
      </w:r>
    </w:p>
    <w:p w14:paraId="05A87F96" w14:textId="77777777" w:rsidR="00972395" w:rsidRPr="00E73D4B" w:rsidRDefault="00F120C7" w:rsidP="00E73D4B">
      <w:pPr>
        <w:pStyle w:val="avsnitt-tittel"/>
      </w:pPr>
      <w:r w:rsidRPr="00E73D4B">
        <w:t>Tannhelsetjeneste og kommunalt ansvar</w:t>
      </w:r>
    </w:p>
    <w:p w14:paraId="2C3359A9" w14:textId="77777777" w:rsidR="00972395" w:rsidRPr="00E73D4B" w:rsidRDefault="00F120C7" w:rsidP="00E73D4B">
      <w:pPr>
        <w:pStyle w:val="avsnitt-undertittel"/>
      </w:pPr>
      <w:r w:rsidRPr="00E73D4B">
        <w:t>Vedtak nr. 848, 8. juni 2017</w:t>
      </w:r>
    </w:p>
    <w:p w14:paraId="49037CC3" w14:textId="77777777" w:rsidR="00972395" w:rsidRPr="00E73D4B" w:rsidRDefault="00F120C7" w:rsidP="00E73D4B">
      <w:pPr>
        <w:pStyle w:val="blokksit"/>
      </w:pPr>
      <w:r w:rsidRPr="00E73D4B">
        <w:rPr>
          <w:rStyle w:val="kursiv"/>
        </w:rPr>
        <w:t xml:space="preserve">«Stortinget ber regjeringen sørge for at prøveordningen som starter i 2020, i de kommunene som ønsker å overta tannhelsetjenesten, </w:t>
      </w:r>
      <w:proofErr w:type="spellStart"/>
      <w:r w:rsidRPr="00E73D4B">
        <w:rPr>
          <w:rStyle w:val="kursiv"/>
        </w:rPr>
        <w:t>følgeevalueres</w:t>
      </w:r>
      <w:proofErr w:type="spellEnd"/>
      <w:r w:rsidRPr="00E73D4B">
        <w:rPr>
          <w:rStyle w:val="kursiv"/>
        </w:rPr>
        <w:t xml:space="preserve"> frem til 2023. Basert på erfaringene i prøvetiden og endringer i kommunestruktur etter 2020, kan en videre utvidelse til flere kommuner tidligst skje etter 2023.»</w:t>
      </w:r>
    </w:p>
    <w:p w14:paraId="25D632E9"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71 L (2016–2017) Endringer i helselovgivningen (overføring av det offentlige tannhelsetjenesteansvaret, lovfesting av kompetansekrav m.m.), jf. </w:t>
      </w:r>
      <w:proofErr w:type="spellStart"/>
      <w:r w:rsidRPr="00E73D4B">
        <w:t>Innst</w:t>
      </w:r>
      <w:proofErr w:type="spellEnd"/>
      <w:r w:rsidRPr="00E73D4B">
        <w:t>. 378 L (2016–2017).</w:t>
      </w:r>
    </w:p>
    <w:p w14:paraId="256BE7F7" w14:textId="77777777" w:rsidR="00972395" w:rsidRPr="00E73D4B" w:rsidRDefault="00F120C7" w:rsidP="00E73D4B">
      <w:r w:rsidRPr="00E73D4B">
        <w:t xml:space="preserve">Stortinget fattet 24. mai 2022 lovvedtak som opphever vedtatte lovendringer som legger til rette for overføring av ansvaret for den offentlige tannhelsetjenesten fra fylkeskommunene til kommunene, jf. </w:t>
      </w:r>
      <w:proofErr w:type="spellStart"/>
      <w:r w:rsidRPr="00E73D4B">
        <w:t>Prop</w:t>
      </w:r>
      <w:proofErr w:type="spellEnd"/>
      <w:r w:rsidRPr="00E73D4B">
        <w:t xml:space="preserve">. 64 L (2021–2022) Endringer i lov om endringer i helselovgivningen (oppheving av overføring av det offentlige tannhelsetjenesteansvaret) og </w:t>
      </w:r>
      <w:proofErr w:type="spellStart"/>
      <w:r w:rsidRPr="00E73D4B">
        <w:t>Innst</w:t>
      </w:r>
      <w:proofErr w:type="spellEnd"/>
      <w:r w:rsidRPr="00E73D4B">
        <w:t xml:space="preserve">. 295 L (2021–2022). Regjeringen la i lovproposisjonen til grunn at det ikke lenger er politisk flertall for anmodningsvedtak 847, 848, 849, 850 og 851 i Stortinget, og at det derfor ikke planlegges ytterligere oppfølging av vedtakene. Ved behandlingen av </w:t>
      </w:r>
      <w:proofErr w:type="spellStart"/>
      <w:r w:rsidRPr="00E73D4B">
        <w:t>Prop</w:t>
      </w:r>
      <w:proofErr w:type="spellEnd"/>
      <w:r w:rsidRPr="00E73D4B">
        <w:t>. 64 L (2021–2022) ble det ikke flertall i Stortinget for fortsatt oppfølging av anmodningsvedtakene. Regjeringen varslet i proposisjonen at endelig sluttrapportering på anmodningsvedtakene med forslag om at vedtakene oppheves, vil bli gjort i forbindelse med budsjettproposisjonen for 2023. Vedtak 848 foreslås derfor opphevet, jf. forslag til romertallsvedtak.</w:t>
      </w:r>
    </w:p>
    <w:p w14:paraId="37AEC7F9" w14:textId="77777777" w:rsidR="00972395" w:rsidRPr="00E73D4B" w:rsidRDefault="00F120C7" w:rsidP="00E73D4B">
      <w:pPr>
        <w:pStyle w:val="avsnitt-tittel"/>
      </w:pPr>
      <w:r w:rsidRPr="00E73D4B">
        <w:t>Tannhelsetjeneste og kommunalt ansvar</w:t>
      </w:r>
    </w:p>
    <w:p w14:paraId="473A5BBF" w14:textId="77777777" w:rsidR="00972395" w:rsidRPr="00E73D4B" w:rsidRDefault="00F120C7" w:rsidP="00E73D4B">
      <w:pPr>
        <w:pStyle w:val="avsnitt-undertittel"/>
      </w:pPr>
      <w:r w:rsidRPr="00E73D4B">
        <w:t>Vedtak nr. 849, 8. juni 2017</w:t>
      </w:r>
    </w:p>
    <w:p w14:paraId="24DE8262" w14:textId="77777777" w:rsidR="00972395" w:rsidRPr="00E73D4B" w:rsidRDefault="00F120C7" w:rsidP="00E73D4B">
      <w:pPr>
        <w:pStyle w:val="blokksit"/>
      </w:pPr>
      <w:r w:rsidRPr="00E73D4B">
        <w:rPr>
          <w:rStyle w:val="kursiv"/>
        </w:rPr>
        <w:t>«Stortinget ber regjeringen vurdere behovet for økonomiske incentiver for kommuner som ønsker å overta tannhelsetjenesten.»</w:t>
      </w:r>
    </w:p>
    <w:p w14:paraId="073CB4D5"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71 L (2016–2017) Endringer i helselovgivningen (overføring av det offentlige tannhelsetjenesteansvaret, lovfesting av kompetansekrav m.m.), jf. </w:t>
      </w:r>
      <w:proofErr w:type="spellStart"/>
      <w:r w:rsidRPr="00E73D4B">
        <w:t>Innst</w:t>
      </w:r>
      <w:proofErr w:type="spellEnd"/>
      <w:r w:rsidRPr="00E73D4B">
        <w:t>. 378 L (2016–2017).</w:t>
      </w:r>
    </w:p>
    <w:p w14:paraId="3EF210F1" w14:textId="77777777" w:rsidR="00972395" w:rsidRPr="00E73D4B" w:rsidRDefault="00F120C7" w:rsidP="00E73D4B">
      <w:r w:rsidRPr="00E73D4B">
        <w:t xml:space="preserve">Stortinget fattet 24. mai 2022 lovvedtak som opphever vedtatte lovendringer som legger til rette for overføring av ansvaret for den offentlige tannhelsetjenesten fra fylkeskommunene til kommunene, jf. </w:t>
      </w:r>
      <w:proofErr w:type="spellStart"/>
      <w:r w:rsidRPr="00E73D4B">
        <w:t>Prop</w:t>
      </w:r>
      <w:proofErr w:type="spellEnd"/>
      <w:r w:rsidRPr="00E73D4B">
        <w:t xml:space="preserve">. 64 L (2021–2022) Endringer i lov om endringer i helselovgivningen (oppheving av overføring av det offentlige tannhelsetjenesteansvaret) og </w:t>
      </w:r>
      <w:proofErr w:type="spellStart"/>
      <w:r w:rsidRPr="00E73D4B">
        <w:t>Innst</w:t>
      </w:r>
      <w:proofErr w:type="spellEnd"/>
      <w:r w:rsidRPr="00E73D4B">
        <w:t xml:space="preserve">. 295 L (2021–2022). Regjeringen la i lovproposisjonen til grunn at det ikke lenger er politisk flertall for anmodningsvedtak 847, 848, 849, 850 og 851 i Stortinget, og at det derfor ikke planlegges ytterligere oppfølging av vedtakene. Ved behandlingen av </w:t>
      </w:r>
      <w:proofErr w:type="spellStart"/>
      <w:r w:rsidRPr="00E73D4B">
        <w:t>Prop</w:t>
      </w:r>
      <w:proofErr w:type="spellEnd"/>
      <w:r w:rsidRPr="00E73D4B">
        <w:t>. 64 L (2021–2022) ble det ikke flertall i Stortinget for fortsatt oppfølging av anmodningsvedtakene. Regjeringen varslet i proposisjonen at endelig sluttrapportering på anmodningsvedtakene med forslag om at vedtakene oppheves, vil bli gjort i forbindelse med budsjettproposisjonen for 2023. Vedtak 849 foreslås derfor opphevet, jf. forslag til romertallsvedtak.</w:t>
      </w:r>
    </w:p>
    <w:p w14:paraId="6780C4EA" w14:textId="77777777" w:rsidR="00972395" w:rsidRPr="00E73D4B" w:rsidRDefault="00F120C7" w:rsidP="00E73D4B">
      <w:pPr>
        <w:pStyle w:val="avsnitt-tittel"/>
      </w:pPr>
      <w:r w:rsidRPr="00E73D4B">
        <w:t>Tannhelsetjeneste og kommunalt ansvar</w:t>
      </w:r>
    </w:p>
    <w:p w14:paraId="520F3D44" w14:textId="77777777" w:rsidR="00972395" w:rsidRPr="00E73D4B" w:rsidRDefault="00F120C7" w:rsidP="00E73D4B">
      <w:pPr>
        <w:pStyle w:val="avsnitt-undertittel"/>
      </w:pPr>
      <w:r w:rsidRPr="00E73D4B">
        <w:t>Vedtak nr. 850, 8. juni 2017</w:t>
      </w:r>
    </w:p>
    <w:p w14:paraId="2DAE4800" w14:textId="77777777" w:rsidR="00972395" w:rsidRPr="00E73D4B" w:rsidRDefault="00F120C7" w:rsidP="00E73D4B">
      <w:pPr>
        <w:pStyle w:val="blokksit"/>
      </w:pPr>
      <w:r w:rsidRPr="00E73D4B">
        <w:rPr>
          <w:rStyle w:val="kursiv"/>
        </w:rPr>
        <w:t>«Stortinget ber regjeringen komme tilbake med egen sak som vurderer overføring av den samlede tannhelsetjenesten basert på erfaringene fra prøveordningen som kan gi grunnlag for beslutning om overføring fra 2023.»</w:t>
      </w:r>
    </w:p>
    <w:p w14:paraId="120CE9DD" w14:textId="77777777" w:rsidR="00972395" w:rsidRPr="00E73D4B" w:rsidRDefault="00F120C7" w:rsidP="00E73D4B">
      <w:r w:rsidRPr="00E73D4B">
        <w:t xml:space="preserve">Anmodningsvedtaket anses som </w:t>
      </w:r>
      <w:proofErr w:type="spellStart"/>
      <w:r w:rsidRPr="00E73D4B">
        <w:t>utkvittert</w:t>
      </w:r>
      <w:proofErr w:type="spellEnd"/>
      <w:r w:rsidRPr="00E73D4B">
        <w:t xml:space="preserve"> gjennom omtale i </w:t>
      </w:r>
      <w:proofErr w:type="spellStart"/>
      <w:r w:rsidRPr="00E73D4B">
        <w:t>Prop</w:t>
      </w:r>
      <w:proofErr w:type="spellEnd"/>
      <w:r w:rsidRPr="00E73D4B">
        <w:t>. 64 L (2021–2022) der det vises til at det ikke lenger er politisk flertall for anmodningsvedtakene i Stortinget.</w:t>
      </w:r>
    </w:p>
    <w:p w14:paraId="1474902A" w14:textId="77777777" w:rsidR="00972395" w:rsidRPr="00E73D4B" w:rsidRDefault="00F120C7" w:rsidP="00E73D4B">
      <w:r w:rsidRPr="00E73D4B">
        <w:t xml:space="preserve">Stortinget fattet 24. mai 2022 lovvedtak som opphever vedtatte lovendringer som legger til rette for overføring av ansvaret for den offentlige tannhelsetjenesten fra fylkeskommunene til kommunene, jf. </w:t>
      </w:r>
      <w:proofErr w:type="spellStart"/>
      <w:r w:rsidRPr="00E73D4B">
        <w:t>Prop</w:t>
      </w:r>
      <w:proofErr w:type="spellEnd"/>
      <w:r w:rsidRPr="00E73D4B">
        <w:t xml:space="preserve">. 64 L (2021–2022) Endringer i lov om endringer i helselovgivningen (oppheving av overføring av det offentlige tannhelsetjenesteansvaret) og </w:t>
      </w:r>
      <w:proofErr w:type="spellStart"/>
      <w:r w:rsidRPr="00E73D4B">
        <w:t>Innst</w:t>
      </w:r>
      <w:proofErr w:type="spellEnd"/>
      <w:r w:rsidRPr="00E73D4B">
        <w:t xml:space="preserve">. 295 L (2021–2022). Regjeringen la i lovproposisjonen til grunn at det ikke lenger er politisk flertall for anmodningsvedtak 847, 848, 849, 850 og 851 i Stortinget, og at det derfor ikke planlegges ytterligere oppfølging av vedtakene. Ved behandlingen av </w:t>
      </w:r>
      <w:proofErr w:type="spellStart"/>
      <w:r w:rsidRPr="00E73D4B">
        <w:t>Prop</w:t>
      </w:r>
      <w:proofErr w:type="spellEnd"/>
      <w:r w:rsidRPr="00E73D4B">
        <w:t>. 64 L (2021–2022) ble det ikke flertall i Stortinget for fortsatt oppfølging av anmodningsvedtakene. Regjeringen varslet i proposisjonen at endelig sluttrapportering på anmodningsvedtakene med forslag om at vedtakene oppheves, vil bli gjort i forbindelse med budsjettproposisjonen for 2023. Vedtak 850 foreslås derfor opphevet, jf. forslag til romertallsvedtak.</w:t>
      </w:r>
    </w:p>
    <w:p w14:paraId="56CB5CAB" w14:textId="77777777" w:rsidR="00972395" w:rsidRPr="00E73D4B" w:rsidRDefault="00F120C7" w:rsidP="00E73D4B">
      <w:pPr>
        <w:pStyle w:val="Overskrift2"/>
      </w:pPr>
      <w:r w:rsidRPr="00E73D4B">
        <w:t>Stortingssesjon 2015–2016</w:t>
      </w:r>
    </w:p>
    <w:p w14:paraId="52AEFBEA" w14:textId="77777777" w:rsidR="00972395" w:rsidRPr="00E73D4B" w:rsidRDefault="00F120C7" w:rsidP="00E73D4B">
      <w:pPr>
        <w:pStyle w:val="avsnitt-tittel"/>
      </w:pPr>
      <w:r w:rsidRPr="00E73D4B">
        <w:t>Prevensjon til rusavhengige</w:t>
      </w:r>
    </w:p>
    <w:p w14:paraId="1E031A26" w14:textId="77777777" w:rsidR="00972395" w:rsidRPr="00E73D4B" w:rsidRDefault="00F120C7" w:rsidP="00E73D4B">
      <w:pPr>
        <w:pStyle w:val="avsnitt-undertittel"/>
      </w:pPr>
      <w:r w:rsidRPr="00E73D4B">
        <w:t>Vedtak nr. 627, 28. april 2016</w:t>
      </w:r>
    </w:p>
    <w:p w14:paraId="780EEAFC" w14:textId="77777777" w:rsidR="00972395" w:rsidRPr="00E73D4B" w:rsidRDefault="00F120C7" w:rsidP="00E73D4B">
      <w:pPr>
        <w:pStyle w:val="blokksit"/>
      </w:pPr>
      <w:r w:rsidRPr="00E73D4B">
        <w:rPr>
          <w:rStyle w:val="kursiv"/>
        </w:rPr>
        <w:t>«Stortinget ber regjeringen vurdere å gi alle kvinner med alvorlig rusmiddelavhengighet tilbud om gratis langtidsvirkende prevensjon.»</w:t>
      </w:r>
    </w:p>
    <w:p w14:paraId="6F59B4D0"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15 S (2015–2016) </w:t>
      </w:r>
      <w:r w:rsidRPr="00E73D4B">
        <w:rPr>
          <w:rStyle w:val="kursiv"/>
        </w:rPr>
        <w:t>Opptrappingsplan for rusfeltet (2016–2020)</w:t>
      </w:r>
      <w:r w:rsidRPr="00E73D4B">
        <w:t xml:space="preserve">, jf. </w:t>
      </w:r>
      <w:proofErr w:type="spellStart"/>
      <w:r w:rsidRPr="00E73D4B">
        <w:t>Innst</w:t>
      </w:r>
      <w:proofErr w:type="spellEnd"/>
      <w:r w:rsidRPr="00E73D4B">
        <w:t>. 240 S (2015–2016).</w:t>
      </w:r>
    </w:p>
    <w:p w14:paraId="5F7A85B9" w14:textId="77777777" w:rsidR="00972395" w:rsidRPr="00E73D4B" w:rsidRDefault="00F120C7" w:rsidP="00E73D4B">
      <w:r w:rsidRPr="00E73D4B">
        <w:t>En ordning med gratis langtidsvirkende prevensjon til alle kvinner med alvorlig rusmiddelavhengighet, vil reise flere juridiske, økonomiske og faglige spørsmål. Helse- og omsorgsdepartementet vil vurdere dette etter å ha høstet flere erfaringer med gratis langtidsvirkende prevensjon til kvinner i LAR, og komme tilbake til Stortinget i sammenheng med melding om forebyggings- og behandlingsreform.</w:t>
      </w:r>
    </w:p>
    <w:p w14:paraId="7A68F547" w14:textId="77777777" w:rsidR="00972395" w:rsidRPr="00E73D4B" w:rsidRDefault="00F120C7" w:rsidP="00E73D4B">
      <w:pPr>
        <w:pStyle w:val="Overskrift1"/>
      </w:pPr>
      <w:r w:rsidRPr="00E73D4B">
        <w:t xml:space="preserve">Justis- og </w:t>
      </w:r>
      <w:proofErr w:type="spellStart"/>
      <w:r w:rsidRPr="00E73D4B">
        <w:t>beredskapsdepartmentet</w:t>
      </w:r>
      <w:proofErr w:type="spellEnd"/>
    </w:p>
    <w:p w14:paraId="2796944A" w14:textId="77777777" w:rsidR="00972395" w:rsidRPr="00E73D4B" w:rsidRDefault="00F120C7" w:rsidP="00E73D4B">
      <w:proofErr w:type="spellStart"/>
      <w:r w:rsidRPr="00E73D4B">
        <w:t>Nedanfor</w:t>
      </w:r>
      <w:proofErr w:type="spellEnd"/>
      <w:r w:rsidRPr="00E73D4B">
        <w:t xml:space="preserve"> gir departementet </w:t>
      </w:r>
      <w:proofErr w:type="gramStart"/>
      <w:r w:rsidRPr="00E73D4B">
        <w:t>ei oversikt</w:t>
      </w:r>
      <w:proofErr w:type="gramEnd"/>
      <w:r w:rsidRPr="00E73D4B">
        <w:t xml:space="preserve"> over oppfølging av oppmodingsvedtak under Justis- og beredskapsdepartementet. </w:t>
      </w:r>
      <w:proofErr w:type="spellStart"/>
      <w:r w:rsidRPr="00E73D4B">
        <w:t>Oversikta</w:t>
      </w:r>
      <w:proofErr w:type="spellEnd"/>
      <w:r w:rsidRPr="00E73D4B">
        <w:t xml:space="preserve"> inkluderer alle vedtak </w:t>
      </w:r>
      <w:proofErr w:type="spellStart"/>
      <w:r w:rsidRPr="00E73D4B">
        <w:t>frå</w:t>
      </w:r>
      <w:proofErr w:type="spellEnd"/>
      <w:r w:rsidRPr="00E73D4B">
        <w:t xml:space="preserve"> stortingssesjonen 2021–2022, og </w:t>
      </w:r>
      <w:proofErr w:type="spellStart"/>
      <w:r w:rsidRPr="00E73D4B">
        <w:t>dei</w:t>
      </w:r>
      <w:proofErr w:type="spellEnd"/>
      <w:r w:rsidRPr="00E73D4B">
        <w:t xml:space="preserve"> vedtaka </w:t>
      </w:r>
      <w:proofErr w:type="spellStart"/>
      <w:r w:rsidRPr="00E73D4B">
        <w:t>frå</w:t>
      </w:r>
      <w:proofErr w:type="spellEnd"/>
      <w:r w:rsidRPr="00E73D4B">
        <w:t xml:space="preserve"> </w:t>
      </w:r>
      <w:proofErr w:type="spellStart"/>
      <w:r w:rsidRPr="00E73D4B">
        <w:t>tidlegare</w:t>
      </w:r>
      <w:proofErr w:type="spellEnd"/>
      <w:r w:rsidRPr="00E73D4B">
        <w:t xml:space="preserve"> </w:t>
      </w:r>
      <w:proofErr w:type="spellStart"/>
      <w:r w:rsidRPr="00E73D4B">
        <w:t>stortingssesjonar</w:t>
      </w:r>
      <w:proofErr w:type="spellEnd"/>
      <w:r w:rsidRPr="00E73D4B">
        <w:t xml:space="preserve"> som kontroll- og konstitusjonskomiteen i </w:t>
      </w:r>
      <w:proofErr w:type="spellStart"/>
      <w:r w:rsidRPr="00E73D4B">
        <w:t>Innst</w:t>
      </w:r>
      <w:proofErr w:type="spellEnd"/>
      <w:r w:rsidRPr="00E73D4B">
        <w:t xml:space="preserve">. 141 S (2021–2022) meinte </w:t>
      </w:r>
      <w:proofErr w:type="spellStart"/>
      <w:r w:rsidRPr="00E73D4B">
        <w:t>ikkje</w:t>
      </w:r>
      <w:proofErr w:type="spellEnd"/>
      <w:r w:rsidRPr="00E73D4B">
        <w:t xml:space="preserve"> var </w:t>
      </w:r>
      <w:proofErr w:type="spellStart"/>
      <w:r w:rsidRPr="00E73D4B">
        <w:t>følgde</w:t>
      </w:r>
      <w:proofErr w:type="spellEnd"/>
      <w:r w:rsidRPr="00E73D4B">
        <w:t xml:space="preserve"> opp. I enkelte tilfelle kan oppfølginga av vedtaka </w:t>
      </w:r>
      <w:proofErr w:type="spellStart"/>
      <w:r w:rsidRPr="00E73D4B">
        <w:t>vere</w:t>
      </w:r>
      <w:proofErr w:type="spellEnd"/>
      <w:r w:rsidRPr="00E73D4B">
        <w:t xml:space="preserve"> </w:t>
      </w:r>
      <w:proofErr w:type="spellStart"/>
      <w:r w:rsidRPr="00E73D4B">
        <w:t>meir</w:t>
      </w:r>
      <w:proofErr w:type="spellEnd"/>
      <w:r w:rsidRPr="00E73D4B">
        <w:t xml:space="preserve"> </w:t>
      </w:r>
      <w:proofErr w:type="spellStart"/>
      <w:r w:rsidRPr="00E73D4B">
        <w:t>omfattande</w:t>
      </w:r>
      <w:proofErr w:type="spellEnd"/>
      <w:r w:rsidRPr="00E73D4B">
        <w:t xml:space="preserve"> forklart under det aktuelle programområdet i proposisjonen. I </w:t>
      </w:r>
      <w:proofErr w:type="spellStart"/>
      <w:r w:rsidRPr="00E73D4B">
        <w:t>desse</w:t>
      </w:r>
      <w:proofErr w:type="spellEnd"/>
      <w:r w:rsidRPr="00E73D4B">
        <w:t xml:space="preserve"> tilfella vil det </w:t>
      </w:r>
      <w:proofErr w:type="spellStart"/>
      <w:r w:rsidRPr="00E73D4B">
        <w:t>vere</w:t>
      </w:r>
      <w:proofErr w:type="spellEnd"/>
      <w:r w:rsidRPr="00E73D4B">
        <w:t xml:space="preserve"> </w:t>
      </w:r>
      <w:proofErr w:type="spellStart"/>
      <w:r w:rsidRPr="00E73D4B">
        <w:t>ein</w:t>
      </w:r>
      <w:proofErr w:type="spellEnd"/>
      <w:r w:rsidRPr="00E73D4B">
        <w:t xml:space="preserve"> referanse til kvar denne teksten </w:t>
      </w:r>
      <w:proofErr w:type="spellStart"/>
      <w:r w:rsidRPr="00E73D4B">
        <w:t>finst</w:t>
      </w:r>
      <w:proofErr w:type="spellEnd"/>
      <w:r w:rsidRPr="00E73D4B">
        <w:t>.</w:t>
      </w:r>
    </w:p>
    <w:p w14:paraId="56C39926" w14:textId="77777777" w:rsidR="00972395" w:rsidRPr="00E73D4B" w:rsidRDefault="00F120C7" w:rsidP="00E73D4B">
      <w:r w:rsidRPr="00E73D4B">
        <w:t xml:space="preserve">I kolonne fire i tabellen </w:t>
      </w:r>
      <w:proofErr w:type="spellStart"/>
      <w:r w:rsidRPr="00E73D4B">
        <w:t>nedanfor</w:t>
      </w:r>
      <w:proofErr w:type="spellEnd"/>
      <w:r w:rsidRPr="00E73D4B">
        <w:t xml:space="preserve"> går det fram om departementet planlegg at rapporteringa på oppmodingsvedtaket </w:t>
      </w:r>
      <w:proofErr w:type="spellStart"/>
      <w:r w:rsidRPr="00E73D4B">
        <w:t>no</w:t>
      </w:r>
      <w:proofErr w:type="spellEnd"/>
      <w:r w:rsidRPr="00E73D4B">
        <w:t xml:space="preserve"> blir avslutta, eller om departementet vil rapportere konkret på vedtaket også i budsjettproposisjonen til neste år.</w:t>
      </w:r>
    </w:p>
    <w:p w14:paraId="28D71E79" w14:textId="77777777" w:rsidR="00972395" w:rsidRPr="00E73D4B" w:rsidRDefault="00F120C7" w:rsidP="00E73D4B">
      <w:proofErr w:type="spellStart"/>
      <w:r w:rsidRPr="00E73D4B">
        <w:t>Sjølv</w:t>
      </w:r>
      <w:proofErr w:type="spellEnd"/>
      <w:r w:rsidRPr="00E73D4B">
        <w:t xml:space="preserve"> om det i tabellen blir opplyst om at rapporteringa blir avslutta, vil det i </w:t>
      </w:r>
      <w:proofErr w:type="spellStart"/>
      <w:r w:rsidRPr="00E73D4B">
        <w:t>ein</w:t>
      </w:r>
      <w:proofErr w:type="spellEnd"/>
      <w:r w:rsidRPr="00E73D4B">
        <w:t xml:space="preserve"> del tilfelle kunne </w:t>
      </w:r>
      <w:proofErr w:type="spellStart"/>
      <w:r w:rsidRPr="00E73D4B">
        <w:t>vere</w:t>
      </w:r>
      <w:proofErr w:type="spellEnd"/>
      <w:r w:rsidRPr="00E73D4B">
        <w:t xml:space="preserve"> slik at oppfølginga av alle sider av vedtaket </w:t>
      </w:r>
      <w:proofErr w:type="spellStart"/>
      <w:r w:rsidRPr="00E73D4B">
        <w:t>ikkje</w:t>
      </w:r>
      <w:proofErr w:type="spellEnd"/>
      <w:r w:rsidRPr="00E73D4B">
        <w:t xml:space="preserve"> er </w:t>
      </w:r>
      <w:proofErr w:type="spellStart"/>
      <w:r w:rsidRPr="00E73D4B">
        <w:t>endeleg</w:t>
      </w:r>
      <w:proofErr w:type="spellEnd"/>
      <w:r w:rsidRPr="00E73D4B">
        <w:t xml:space="preserve"> avslutta. Dette kan t.d. gjelde vedtak med oppmoding til regjeringa om å vareta </w:t>
      </w:r>
      <w:proofErr w:type="spellStart"/>
      <w:r w:rsidRPr="00E73D4B">
        <w:t>særlege</w:t>
      </w:r>
      <w:proofErr w:type="spellEnd"/>
      <w:r w:rsidRPr="00E73D4B">
        <w:t xml:space="preserve"> omsyn i politikkutforminga på </w:t>
      </w:r>
      <w:proofErr w:type="spellStart"/>
      <w:r w:rsidRPr="00E73D4B">
        <w:t>eit</w:t>
      </w:r>
      <w:proofErr w:type="spellEnd"/>
      <w:r w:rsidRPr="00E73D4B">
        <w:t xml:space="preserve"> område, der oppfølginga vil kunne gå over mange år. Stortinget vil i </w:t>
      </w:r>
      <w:proofErr w:type="spellStart"/>
      <w:r w:rsidRPr="00E73D4B">
        <w:t>desse</w:t>
      </w:r>
      <w:proofErr w:type="spellEnd"/>
      <w:r w:rsidRPr="00E73D4B">
        <w:t xml:space="preserve"> tilfella bli orientert om den </w:t>
      </w:r>
      <w:proofErr w:type="spellStart"/>
      <w:r w:rsidRPr="00E73D4B">
        <w:t>vidare</w:t>
      </w:r>
      <w:proofErr w:type="spellEnd"/>
      <w:r w:rsidRPr="00E73D4B">
        <w:t xml:space="preserve"> oppfølginga på ordinær måte, gjennom omtale av det relevante politikkområdet i </w:t>
      </w:r>
      <w:proofErr w:type="spellStart"/>
      <w:r w:rsidRPr="00E73D4B">
        <w:t>budsjettproposisjonar</w:t>
      </w:r>
      <w:proofErr w:type="spellEnd"/>
      <w:r w:rsidRPr="00E73D4B">
        <w:t xml:space="preserve"> og andre dokument.</w:t>
      </w:r>
    </w:p>
    <w:p w14:paraId="5FB8CF5D" w14:textId="24079E00" w:rsidR="00972395" w:rsidRDefault="00F120C7" w:rsidP="00E73D4B">
      <w:r w:rsidRPr="00E73D4B">
        <w:t xml:space="preserve">I enkelte tilfelle er det nødvendig å fremme forslag om at oppmodingsvedtaket blir oppheva før rapporteringa kan </w:t>
      </w:r>
      <w:proofErr w:type="spellStart"/>
      <w:r w:rsidRPr="00E73D4B">
        <w:t>avsluttast</w:t>
      </w:r>
      <w:proofErr w:type="spellEnd"/>
      <w:r w:rsidRPr="00E73D4B">
        <w:t xml:space="preserve">. Departementet har fremma </w:t>
      </w:r>
      <w:proofErr w:type="spellStart"/>
      <w:r w:rsidRPr="00E73D4B">
        <w:t>eit</w:t>
      </w:r>
      <w:proofErr w:type="spellEnd"/>
      <w:r w:rsidRPr="00E73D4B">
        <w:t xml:space="preserve"> slikt forslag. Vi viser til forslagsdelen i denne proposisjonen.</w:t>
      </w:r>
    </w:p>
    <w:p w14:paraId="5345205E" w14:textId="1DF7A319" w:rsidR="00681E28" w:rsidRPr="00E73D4B" w:rsidRDefault="00681E28" w:rsidP="00681E28">
      <w:pPr>
        <w:pStyle w:val="tabell-tittel"/>
      </w:pPr>
      <w:r w:rsidRPr="00E73D4B">
        <w:t>Oversikt over oppmodingsvedtak, ordna etter sesjon og nummer</w:t>
      </w:r>
    </w:p>
    <w:p w14:paraId="4FF80098"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560"/>
        <w:gridCol w:w="1275"/>
        <w:gridCol w:w="4536"/>
        <w:gridCol w:w="1829"/>
      </w:tblGrid>
      <w:tr w:rsidR="00972395" w:rsidRPr="00E73D4B" w14:paraId="77C0A210" w14:textId="77777777" w:rsidTr="00681E28">
        <w:trPr>
          <w:trHeight w:val="600"/>
        </w:trPr>
        <w:tc>
          <w:tcPr>
            <w:tcW w:w="1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A0EC5A0" w14:textId="77777777" w:rsidR="00972395" w:rsidRPr="00E73D4B" w:rsidRDefault="00F120C7" w:rsidP="00681E28">
            <w:r w:rsidRPr="00E73D4B">
              <w:t>Sesjon</w:t>
            </w:r>
          </w:p>
        </w:tc>
        <w:tc>
          <w:tcPr>
            <w:tcW w:w="12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C0439E" w14:textId="77777777" w:rsidR="00972395" w:rsidRPr="00E73D4B" w:rsidRDefault="00F120C7" w:rsidP="00681E28">
            <w:pPr>
              <w:jc w:val="right"/>
            </w:pPr>
            <w:r w:rsidRPr="00E73D4B">
              <w:t>Vedtak nr.</w:t>
            </w:r>
          </w:p>
        </w:tc>
        <w:tc>
          <w:tcPr>
            <w:tcW w:w="453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EF02F4" w14:textId="77777777" w:rsidR="00972395" w:rsidRPr="00E73D4B" w:rsidRDefault="00F120C7" w:rsidP="00681E28">
            <w:r w:rsidRPr="00E73D4B">
              <w:t>Stikkord</w:t>
            </w:r>
          </w:p>
        </w:tc>
        <w:tc>
          <w:tcPr>
            <w:tcW w:w="182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9511C8A" w14:textId="77777777" w:rsidR="00972395" w:rsidRPr="00E73D4B" w:rsidRDefault="00F120C7" w:rsidP="00681E28">
            <w:pPr>
              <w:jc w:val="right"/>
            </w:pPr>
            <w:r w:rsidRPr="00E73D4B">
              <w:t xml:space="preserve">Rapporteringa </w:t>
            </w:r>
            <w:r w:rsidRPr="00E73D4B">
              <w:br/>
              <w:t>blir avslutta (ja/nei)</w:t>
            </w:r>
          </w:p>
        </w:tc>
      </w:tr>
      <w:tr w:rsidR="00972395" w:rsidRPr="00E73D4B" w14:paraId="36FF4817" w14:textId="77777777" w:rsidTr="00681E28">
        <w:trPr>
          <w:trHeight w:val="380"/>
        </w:trPr>
        <w:tc>
          <w:tcPr>
            <w:tcW w:w="1560" w:type="dxa"/>
            <w:tcBorders>
              <w:top w:val="single" w:sz="4" w:space="0" w:color="000000"/>
              <w:left w:val="nil"/>
              <w:bottom w:val="nil"/>
              <w:right w:val="nil"/>
            </w:tcBorders>
            <w:tcMar>
              <w:top w:w="128" w:type="dxa"/>
              <w:left w:w="43" w:type="dxa"/>
              <w:bottom w:w="43" w:type="dxa"/>
              <w:right w:w="43" w:type="dxa"/>
            </w:tcMar>
          </w:tcPr>
          <w:p w14:paraId="3416280A" w14:textId="77777777" w:rsidR="00972395" w:rsidRPr="00E73D4B" w:rsidRDefault="00F120C7" w:rsidP="00681E28">
            <w:r w:rsidRPr="00E73D4B">
              <w:t>2021–2022</w:t>
            </w:r>
          </w:p>
        </w:tc>
        <w:tc>
          <w:tcPr>
            <w:tcW w:w="1275" w:type="dxa"/>
            <w:tcBorders>
              <w:top w:val="single" w:sz="4" w:space="0" w:color="000000"/>
              <w:left w:val="nil"/>
              <w:bottom w:val="nil"/>
              <w:right w:val="nil"/>
            </w:tcBorders>
            <w:tcMar>
              <w:top w:w="128" w:type="dxa"/>
              <w:left w:w="43" w:type="dxa"/>
              <w:bottom w:w="43" w:type="dxa"/>
              <w:right w:w="43" w:type="dxa"/>
            </w:tcMar>
          </w:tcPr>
          <w:p w14:paraId="510AD495" w14:textId="77777777" w:rsidR="00972395" w:rsidRPr="00E73D4B" w:rsidRDefault="00F120C7" w:rsidP="00681E28">
            <w:pPr>
              <w:jc w:val="right"/>
            </w:pPr>
            <w:r w:rsidRPr="00E73D4B">
              <w:t>35.49</w:t>
            </w:r>
          </w:p>
        </w:tc>
        <w:tc>
          <w:tcPr>
            <w:tcW w:w="4536" w:type="dxa"/>
            <w:tcBorders>
              <w:top w:val="single" w:sz="4" w:space="0" w:color="000000"/>
              <w:left w:val="nil"/>
              <w:bottom w:val="nil"/>
              <w:right w:val="nil"/>
            </w:tcBorders>
            <w:tcMar>
              <w:top w:w="128" w:type="dxa"/>
              <w:left w:w="43" w:type="dxa"/>
              <w:bottom w:w="43" w:type="dxa"/>
              <w:right w:w="43" w:type="dxa"/>
            </w:tcMar>
          </w:tcPr>
          <w:p w14:paraId="278A46E0" w14:textId="77777777" w:rsidR="00972395" w:rsidRPr="00E73D4B" w:rsidRDefault="00F120C7" w:rsidP="00681E28">
            <w:r w:rsidRPr="00E73D4B">
              <w:t xml:space="preserve">Ny </w:t>
            </w:r>
            <w:proofErr w:type="spellStart"/>
            <w:r w:rsidRPr="00E73D4B">
              <w:t>rettshjelpordning</w:t>
            </w:r>
            <w:proofErr w:type="spellEnd"/>
          </w:p>
        </w:tc>
        <w:tc>
          <w:tcPr>
            <w:tcW w:w="1829" w:type="dxa"/>
            <w:tcBorders>
              <w:top w:val="single" w:sz="4" w:space="0" w:color="000000"/>
              <w:left w:val="nil"/>
              <w:bottom w:val="nil"/>
              <w:right w:val="nil"/>
            </w:tcBorders>
            <w:tcMar>
              <w:top w:w="128" w:type="dxa"/>
              <w:left w:w="43" w:type="dxa"/>
              <w:bottom w:w="43" w:type="dxa"/>
              <w:right w:w="43" w:type="dxa"/>
            </w:tcMar>
          </w:tcPr>
          <w:p w14:paraId="7ECDC4AE" w14:textId="77777777" w:rsidR="00972395" w:rsidRPr="00E73D4B" w:rsidRDefault="00F120C7" w:rsidP="00681E28">
            <w:pPr>
              <w:jc w:val="right"/>
            </w:pPr>
            <w:r w:rsidRPr="00E73D4B">
              <w:t>Nei</w:t>
            </w:r>
          </w:p>
        </w:tc>
      </w:tr>
      <w:tr w:rsidR="00972395" w:rsidRPr="00E73D4B" w14:paraId="1C541814"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7A7D5E03"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368C9A1E" w14:textId="77777777" w:rsidR="00972395" w:rsidRPr="00E73D4B" w:rsidRDefault="00F120C7" w:rsidP="00681E28">
            <w:pPr>
              <w:jc w:val="right"/>
            </w:pPr>
            <w:r w:rsidRPr="00E73D4B">
              <w:t>35.56</w:t>
            </w:r>
          </w:p>
        </w:tc>
        <w:tc>
          <w:tcPr>
            <w:tcW w:w="4536" w:type="dxa"/>
            <w:tcBorders>
              <w:top w:val="nil"/>
              <w:left w:val="nil"/>
              <w:bottom w:val="nil"/>
              <w:right w:val="nil"/>
            </w:tcBorders>
            <w:tcMar>
              <w:top w:w="128" w:type="dxa"/>
              <w:left w:w="43" w:type="dxa"/>
              <w:bottom w:w="43" w:type="dxa"/>
              <w:right w:w="43" w:type="dxa"/>
            </w:tcMar>
          </w:tcPr>
          <w:p w14:paraId="4B0142A5" w14:textId="77777777" w:rsidR="00972395" w:rsidRPr="00E73D4B" w:rsidRDefault="00F120C7" w:rsidP="00681E28">
            <w:r w:rsidRPr="00E73D4B">
              <w:t xml:space="preserve">Pilotprosjekt for </w:t>
            </w:r>
            <w:proofErr w:type="spellStart"/>
            <w:r w:rsidRPr="00E73D4B">
              <w:t>notoritet</w:t>
            </w:r>
            <w:proofErr w:type="spellEnd"/>
            <w:r w:rsidRPr="00E73D4B">
              <w:t xml:space="preserve"> i </w:t>
            </w:r>
            <w:proofErr w:type="spellStart"/>
            <w:r w:rsidRPr="00E73D4B">
              <w:t>personkontrollar</w:t>
            </w:r>
            <w:proofErr w:type="spellEnd"/>
          </w:p>
        </w:tc>
        <w:tc>
          <w:tcPr>
            <w:tcW w:w="1829" w:type="dxa"/>
            <w:tcBorders>
              <w:top w:val="nil"/>
              <w:left w:val="nil"/>
              <w:bottom w:val="nil"/>
              <w:right w:val="nil"/>
            </w:tcBorders>
            <w:tcMar>
              <w:top w:w="128" w:type="dxa"/>
              <w:left w:w="43" w:type="dxa"/>
              <w:bottom w:w="43" w:type="dxa"/>
              <w:right w:w="43" w:type="dxa"/>
            </w:tcMar>
          </w:tcPr>
          <w:p w14:paraId="0A66944E" w14:textId="77777777" w:rsidR="00972395" w:rsidRPr="00E73D4B" w:rsidRDefault="00F120C7" w:rsidP="00681E28">
            <w:pPr>
              <w:jc w:val="right"/>
            </w:pPr>
            <w:r w:rsidRPr="00E73D4B">
              <w:t>Ja</w:t>
            </w:r>
          </w:p>
        </w:tc>
      </w:tr>
      <w:tr w:rsidR="00972395" w:rsidRPr="00E73D4B" w14:paraId="5FFEAE4A"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612C8364"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03B98227" w14:textId="77777777" w:rsidR="00972395" w:rsidRPr="00E73D4B" w:rsidRDefault="00F120C7" w:rsidP="00681E28">
            <w:pPr>
              <w:jc w:val="right"/>
            </w:pPr>
            <w:r w:rsidRPr="00E73D4B">
              <w:t>372</w:t>
            </w:r>
          </w:p>
        </w:tc>
        <w:tc>
          <w:tcPr>
            <w:tcW w:w="4536" w:type="dxa"/>
            <w:tcBorders>
              <w:top w:val="nil"/>
              <w:left w:val="nil"/>
              <w:bottom w:val="nil"/>
              <w:right w:val="nil"/>
            </w:tcBorders>
            <w:tcMar>
              <w:top w:w="128" w:type="dxa"/>
              <w:left w:w="43" w:type="dxa"/>
              <w:bottom w:w="43" w:type="dxa"/>
              <w:right w:w="43" w:type="dxa"/>
            </w:tcMar>
          </w:tcPr>
          <w:p w14:paraId="7EC2B814" w14:textId="77777777" w:rsidR="00972395" w:rsidRPr="00E73D4B" w:rsidRDefault="00F120C7" w:rsidP="00681E28">
            <w:r w:rsidRPr="00E73D4B">
              <w:t xml:space="preserve">Utgreiing av </w:t>
            </w:r>
            <w:proofErr w:type="spellStart"/>
            <w:r w:rsidRPr="00E73D4B">
              <w:t>fråvikelege</w:t>
            </w:r>
            <w:proofErr w:type="spellEnd"/>
            <w:r w:rsidRPr="00E73D4B">
              <w:t xml:space="preserve"> </w:t>
            </w:r>
            <w:proofErr w:type="spellStart"/>
            <w:r w:rsidRPr="00E73D4B">
              <w:t>lovreglar</w:t>
            </w:r>
            <w:proofErr w:type="spellEnd"/>
            <w:r w:rsidRPr="00E73D4B">
              <w:t xml:space="preserve"> om </w:t>
            </w:r>
            <w:proofErr w:type="spellStart"/>
            <w:r w:rsidRPr="00E73D4B">
              <w:t>sambuarskap</w:t>
            </w:r>
            <w:proofErr w:type="spellEnd"/>
            <w:r w:rsidRPr="00E73D4B">
              <w:t xml:space="preserve"> </w:t>
            </w:r>
          </w:p>
        </w:tc>
        <w:tc>
          <w:tcPr>
            <w:tcW w:w="1829" w:type="dxa"/>
            <w:tcBorders>
              <w:top w:val="nil"/>
              <w:left w:val="nil"/>
              <w:bottom w:val="nil"/>
              <w:right w:val="nil"/>
            </w:tcBorders>
            <w:tcMar>
              <w:top w:w="128" w:type="dxa"/>
              <w:left w:w="43" w:type="dxa"/>
              <w:bottom w:w="43" w:type="dxa"/>
              <w:right w:w="43" w:type="dxa"/>
            </w:tcMar>
          </w:tcPr>
          <w:p w14:paraId="0F1CD406" w14:textId="77777777" w:rsidR="00972395" w:rsidRPr="00E73D4B" w:rsidRDefault="00F120C7" w:rsidP="00681E28">
            <w:pPr>
              <w:jc w:val="right"/>
            </w:pPr>
            <w:r w:rsidRPr="00E73D4B">
              <w:t xml:space="preserve">Nei </w:t>
            </w:r>
          </w:p>
        </w:tc>
      </w:tr>
      <w:tr w:rsidR="00972395" w:rsidRPr="00E73D4B" w14:paraId="50B94EC4"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48712AFE"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388B3182" w14:textId="77777777" w:rsidR="00972395" w:rsidRPr="00E73D4B" w:rsidRDefault="00F120C7" w:rsidP="00681E28">
            <w:pPr>
              <w:jc w:val="right"/>
            </w:pPr>
            <w:r w:rsidRPr="00E73D4B">
              <w:t>419</w:t>
            </w:r>
          </w:p>
        </w:tc>
        <w:tc>
          <w:tcPr>
            <w:tcW w:w="4536" w:type="dxa"/>
            <w:tcBorders>
              <w:top w:val="nil"/>
              <w:left w:val="nil"/>
              <w:bottom w:val="nil"/>
              <w:right w:val="nil"/>
            </w:tcBorders>
            <w:tcMar>
              <w:top w:w="128" w:type="dxa"/>
              <w:left w:w="43" w:type="dxa"/>
              <w:bottom w:w="43" w:type="dxa"/>
              <w:right w:w="43" w:type="dxa"/>
            </w:tcMar>
          </w:tcPr>
          <w:p w14:paraId="4EF71CE5" w14:textId="77777777" w:rsidR="00972395" w:rsidRPr="00E73D4B" w:rsidRDefault="00F120C7" w:rsidP="00681E28">
            <w:r w:rsidRPr="00E73D4B">
              <w:t xml:space="preserve">Stønad til </w:t>
            </w:r>
            <w:proofErr w:type="spellStart"/>
            <w:r w:rsidRPr="00E73D4B">
              <w:t>livsopphald</w:t>
            </w:r>
            <w:proofErr w:type="spellEnd"/>
            <w:r w:rsidRPr="00E73D4B">
              <w:t xml:space="preserve"> til </w:t>
            </w:r>
            <w:proofErr w:type="spellStart"/>
            <w:r w:rsidRPr="00E73D4B">
              <w:t>flyktningar</w:t>
            </w:r>
            <w:proofErr w:type="spellEnd"/>
            <w:r w:rsidRPr="00E73D4B">
              <w:t xml:space="preserve"> som bur </w:t>
            </w:r>
            <w:proofErr w:type="spellStart"/>
            <w:r w:rsidRPr="00E73D4B">
              <w:t>utanfor</w:t>
            </w:r>
            <w:proofErr w:type="spellEnd"/>
            <w:r w:rsidRPr="00E73D4B">
              <w:t xml:space="preserve"> asylmottak</w:t>
            </w:r>
          </w:p>
        </w:tc>
        <w:tc>
          <w:tcPr>
            <w:tcW w:w="1829" w:type="dxa"/>
            <w:tcBorders>
              <w:top w:val="nil"/>
              <w:left w:val="nil"/>
              <w:bottom w:val="nil"/>
              <w:right w:val="nil"/>
            </w:tcBorders>
            <w:tcMar>
              <w:top w:w="128" w:type="dxa"/>
              <w:left w:w="43" w:type="dxa"/>
              <w:bottom w:w="43" w:type="dxa"/>
              <w:right w:w="43" w:type="dxa"/>
            </w:tcMar>
          </w:tcPr>
          <w:p w14:paraId="791C60C5" w14:textId="77777777" w:rsidR="00972395" w:rsidRPr="00E73D4B" w:rsidRDefault="00F120C7" w:rsidP="00681E28">
            <w:pPr>
              <w:jc w:val="right"/>
            </w:pPr>
            <w:r w:rsidRPr="00E73D4B">
              <w:t>Ja</w:t>
            </w:r>
          </w:p>
        </w:tc>
      </w:tr>
      <w:tr w:rsidR="00972395" w:rsidRPr="00E73D4B" w14:paraId="7A8C6FE2"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700F8FF0"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2011E91E" w14:textId="77777777" w:rsidR="00972395" w:rsidRPr="00E73D4B" w:rsidRDefault="00F120C7" w:rsidP="00681E28">
            <w:pPr>
              <w:jc w:val="right"/>
            </w:pPr>
            <w:r w:rsidRPr="00E73D4B">
              <w:t>420</w:t>
            </w:r>
          </w:p>
        </w:tc>
        <w:tc>
          <w:tcPr>
            <w:tcW w:w="4536" w:type="dxa"/>
            <w:tcBorders>
              <w:top w:val="nil"/>
              <w:left w:val="nil"/>
              <w:bottom w:val="nil"/>
              <w:right w:val="nil"/>
            </w:tcBorders>
            <w:tcMar>
              <w:top w:w="128" w:type="dxa"/>
              <w:left w:w="43" w:type="dxa"/>
              <w:bottom w:w="43" w:type="dxa"/>
              <w:right w:w="43" w:type="dxa"/>
            </w:tcMar>
          </w:tcPr>
          <w:p w14:paraId="6A28F259" w14:textId="77777777" w:rsidR="00972395" w:rsidRPr="00E73D4B" w:rsidRDefault="00F120C7" w:rsidP="00681E28">
            <w:r w:rsidRPr="00E73D4B">
              <w:t>Straffebestemming om seksuell utnytting av barn</w:t>
            </w:r>
          </w:p>
        </w:tc>
        <w:tc>
          <w:tcPr>
            <w:tcW w:w="1829" w:type="dxa"/>
            <w:tcBorders>
              <w:top w:val="nil"/>
              <w:left w:val="nil"/>
              <w:bottom w:val="nil"/>
              <w:right w:val="nil"/>
            </w:tcBorders>
            <w:tcMar>
              <w:top w:w="128" w:type="dxa"/>
              <w:left w:w="43" w:type="dxa"/>
              <w:bottom w:w="43" w:type="dxa"/>
              <w:right w:w="43" w:type="dxa"/>
            </w:tcMar>
          </w:tcPr>
          <w:p w14:paraId="3FE620FD" w14:textId="77777777" w:rsidR="00972395" w:rsidRPr="00E73D4B" w:rsidRDefault="00F120C7" w:rsidP="00681E28">
            <w:pPr>
              <w:jc w:val="right"/>
            </w:pPr>
            <w:r w:rsidRPr="00E73D4B">
              <w:t>Nei</w:t>
            </w:r>
          </w:p>
        </w:tc>
      </w:tr>
      <w:tr w:rsidR="00972395" w:rsidRPr="00E73D4B" w14:paraId="36120E7D"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78AD3978"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2882A0EA" w14:textId="77777777" w:rsidR="00972395" w:rsidRPr="00E73D4B" w:rsidRDefault="00F120C7" w:rsidP="00681E28">
            <w:pPr>
              <w:jc w:val="right"/>
            </w:pPr>
            <w:r w:rsidRPr="00E73D4B">
              <w:t>462</w:t>
            </w:r>
          </w:p>
        </w:tc>
        <w:tc>
          <w:tcPr>
            <w:tcW w:w="4536" w:type="dxa"/>
            <w:tcBorders>
              <w:top w:val="nil"/>
              <w:left w:val="nil"/>
              <w:bottom w:val="nil"/>
              <w:right w:val="nil"/>
            </w:tcBorders>
            <w:tcMar>
              <w:top w:w="128" w:type="dxa"/>
              <w:left w:w="43" w:type="dxa"/>
              <w:bottom w:w="43" w:type="dxa"/>
              <w:right w:w="43" w:type="dxa"/>
            </w:tcMar>
          </w:tcPr>
          <w:p w14:paraId="3663EF46" w14:textId="77777777" w:rsidR="00972395" w:rsidRPr="00E73D4B" w:rsidRDefault="00F120C7" w:rsidP="00681E28">
            <w:r w:rsidRPr="00E73D4B">
              <w:t>Innføring av våpenamnesti</w:t>
            </w:r>
          </w:p>
        </w:tc>
        <w:tc>
          <w:tcPr>
            <w:tcW w:w="1829" w:type="dxa"/>
            <w:tcBorders>
              <w:top w:val="nil"/>
              <w:left w:val="nil"/>
              <w:bottom w:val="nil"/>
              <w:right w:val="nil"/>
            </w:tcBorders>
            <w:tcMar>
              <w:top w:w="128" w:type="dxa"/>
              <w:left w:w="43" w:type="dxa"/>
              <w:bottom w:w="43" w:type="dxa"/>
              <w:right w:w="43" w:type="dxa"/>
            </w:tcMar>
          </w:tcPr>
          <w:p w14:paraId="32DF2819" w14:textId="77777777" w:rsidR="00972395" w:rsidRPr="00E73D4B" w:rsidRDefault="00F120C7" w:rsidP="00681E28">
            <w:pPr>
              <w:jc w:val="right"/>
            </w:pPr>
            <w:r w:rsidRPr="00E73D4B">
              <w:t>Ja</w:t>
            </w:r>
          </w:p>
        </w:tc>
      </w:tr>
      <w:tr w:rsidR="00972395" w:rsidRPr="00E73D4B" w14:paraId="64BBDE65"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6DC2AF38"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60C8E111" w14:textId="77777777" w:rsidR="00972395" w:rsidRPr="00E73D4B" w:rsidRDefault="00F120C7" w:rsidP="00681E28">
            <w:pPr>
              <w:jc w:val="right"/>
            </w:pPr>
            <w:r w:rsidRPr="00E73D4B">
              <w:t>504</w:t>
            </w:r>
          </w:p>
        </w:tc>
        <w:tc>
          <w:tcPr>
            <w:tcW w:w="4536" w:type="dxa"/>
            <w:tcBorders>
              <w:top w:val="nil"/>
              <w:left w:val="nil"/>
              <w:bottom w:val="nil"/>
              <w:right w:val="nil"/>
            </w:tcBorders>
            <w:tcMar>
              <w:top w:w="128" w:type="dxa"/>
              <w:left w:w="43" w:type="dxa"/>
              <w:bottom w:w="43" w:type="dxa"/>
              <w:right w:w="43" w:type="dxa"/>
            </w:tcMar>
          </w:tcPr>
          <w:p w14:paraId="156F2E68" w14:textId="77777777" w:rsidR="00972395" w:rsidRPr="00E73D4B" w:rsidRDefault="00F120C7" w:rsidP="00681E28">
            <w:r w:rsidRPr="00E73D4B">
              <w:rPr>
                <w:rStyle w:val="kursiv"/>
              </w:rPr>
              <w:t>Lov om advokater og andre som yter rettslig bistand</w:t>
            </w:r>
            <w:r w:rsidRPr="00E73D4B">
              <w:t xml:space="preserve"> (advokatlova)</w:t>
            </w:r>
          </w:p>
        </w:tc>
        <w:tc>
          <w:tcPr>
            <w:tcW w:w="1829" w:type="dxa"/>
            <w:tcBorders>
              <w:top w:val="nil"/>
              <w:left w:val="nil"/>
              <w:bottom w:val="nil"/>
              <w:right w:val="nil"/>
            </w:tcBorders>
            <w:tcMar>
              <w:top w:w="128" w:type="dxa"/>
              <w:left w:w="43" w:type="dxa"/>
              <w:bottom w:w="43" w:type="dxa"/>
              <w:right w:w="43" w:type="dxa"/>
            </w:tcMar>
          </w:tcPr>
          <w:p w14:paraId="65540E77" w14:textId="77777777" w:rsidR="00972395" w:rsidRPr="00E73D4B" w:rsidRDefault="00F120C7" w:rsidP="00681E28">
            <w:pPr>
              <w:jc w:val="right"/>
            </w:pPr>
            <w:r w:rsidRPr="00E73D4B">
              <w:t>Nei</w:t>
            </w:r>
          </w:p>
        </w:tc>
      </w:tr>
      <w:tr w:rsidR="00972395" w:rsidRPr="00E73D4B" w14:paraId="1F2AF50C"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164FA980"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0926610E" w14:textId="77777777" w:rsidR="00972395" w:rsidRPr="00E73D4B" w:rsidRDefault="00F120C7" w:rsidP="00681E28">
            <w:pPr>
              <w:jc w:val="right"/>
            </w:pPr>
            <w:r w:rsidRPr="00E73D4B">
              <w:t>505</w:t>
            </w:r>
          </w:p>
        </w:tc>
        <w:tc>
          <w:tcPr>
            <w:tcW w:w="4536" w:type="dxa"/>
            <w:tcBorders>
              <w:top w:val="nil"/>
              <w:left w:val="nil"/>
              <w:bottom w:val="nil"/>
              <w:right w:val="nil"/>
            </w:tcBorders>
            <w:tcMar>
              <w:top w:w="128" w:type="dxa"/>
              <w:left w:w="43" w:type="dxa"/>
              <w:bottom w:w="43" w:type="dxa"/>
              <w:right w:w="43" w:type="dxa"/>
            </w:tcMar>
          </w:tcPr>
          <w:p w14:paraId="2066097D" w14:textId="77777777" w:rsidR="00972395" w:rsidRPr="00E73D4B" w:rsidRDefault="00F120C7" w:rsidP="00681E28">
            <w:r w:rsidRPr="00E73D4B">
              <w:rPr>
                <w:rStyle w:val="kursiv"/>
              </w:rPr>
              <w:t>Lov om advokater og andre som yter rettslig bistand</w:t>
            </w:r>
            <w:r w:rsidRPr="00E73D4B">
              <w:t xml:space="preserve"> (advokatlova)</w:t>
            </w:r>
          </w:p>
        </w:tc>
        <w:tc>
          <w:tcPr>
            <w:tcW w:w="1829" w:type="dxa"/>
            <w:tcBorders>
              <w:top w:val="nil"/>
              <w:left w:val="nil"/>
              <w:bottom w:val="nil"/>
              <w:right w:val="nil"/>
            </w:tcBorders>
            <w:tcMar>
              <w:top w:w="128" w:type="dxa"/>
              <w:left w:w="43" w:type="dxa"/>
              <w:bottom w:w="43" w:type="dxa"/>
              <w:right w:w="43" w:type="dxa"/>
            </w:tcMar>
          </w:tcPr>
          <w:p w14:paraId="0586CB1E" w14:textId="77777777" w:rsidR="00972395" w:rsidRPr="00E73D4B" w:rsidRDefault="00F120C7" w:rsidP="00681E28">
            <w:pPr>
              <w:jc w:val="right"/>
            </w:pPr>
            <w:r w:rsidRPr="00E73D4B">
              <w:t>Nei</w:t>
            </w:r>
          </w:p>
        </w:tc>
      </w:tr>
      <w:tr w:rsidR="00972395" w:rsidRPr="00E73D4B" w14:paraId="0C32B94C"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4E079B36"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14DA35E5" w14:textId="77777777" w:rsidR="00972395" w:rsidRPr="00E73D4B" w:rsidRDefault="00F120C7" w:rsidP="00681E28">
            <w:pPr>
              <w:jc w:val="right"/>
            </w:pPr>
            <w:r w:rsidRPr="00E73D4B">
              <w:t>506</w:t>
            </w:r>
          </w:p>
        </w:tc>
        <w:tc>
          <w:tcPr>
            <w:tcW w:w="4536" w:type="dxa"/>
            <w:tcBorders>
              <w:top w:val="nil"/>
              <w:left w:val="nil"/>
              <w:bottom w:val="nil"/>
              <w:right w:val="nil"/>
            </w:tcBorders>
            <w:tcMar>
              <w:top w:w="128" w:type="dxa"/>
              <w:left w:w="43" w:type="dxa"/>
              <w:bottom w:w="43" w:type="dxa"/>
              <w:right w:w="43" w:type="dxa"/>
            </w:tcMar>
          </w:tcPr>
          <w:p w14:paraId="12524C6A" w14:textId="77777777" w:rsidR="00972395" w:rsidRPr="00E73D4B" w:rsidRDefault="00F120C7" w:rsidP="00681E28">
            <w:r w:rsidRPr="00E73D4B">
              <w:rPr>
                <w:rStyle w:val="kursiv"/>
              </w:rPr>
              <w:t>Lov om advokater og andre som yter rettslig bistand</w:t>
            </w:r>
            <w:r w:rsidRPr="00E73D4B">
              <w:t xml:space="preserve"> (advokatlova)</w:t>
            </w:r>
          </w:p>
        </w:tc>
        <w:tc>
          <w:tcPr>
            <w:tcW w:w="1829" w:type="dxa"/>
            <w:tcBorders>
              <w:top w:val="nil"/>
              <w:left w:val="nil"/>
              <w:bottom w:val="nil"/>
              <w:right w:val="nil"/>
            </w:tcBorders>
            <w:tcMar>
              <w:top w:w="128" w:type="dxa"/>
              <w:left w:w="43" w:type="dxa"/>
              <w:bottom w:w="43" w:type="dxa"/>
              <w:right w:w="43" w:type="dxa"/>
            </w:tcMar>
          </w:tcPr>
          <w:p w14:paraId="7A4A3726" w14:textId="77777777" w:rsidR="00972395" w:rsidRPr="00E73D4B" w:rsidRDefault="00F120C7" w:rsidP="00681E28">
            <w:pPr>
              <w:jc w:val="right"/>
            </w:pPr>
            <w:r w:rsidRPr="00E73D4B">
              <w:t>Nei</w:t>
            </w:r>
          </w:p>
        </w:tc>
      </w:tr>
      <w:tr w:rsidR="00972395" w:rsidRPr="00E73D4B" w14:paraId="60D34BE1"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0FB6244"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16F59363" w14:textId="77777777" w:rsidR="00972395" w:rsidRPr="00E73D4B" w:rsidRDefault="00F120C7" w:rsidP="00681E28">
            <w:pPr>
              <w:jc w:val="right"/>
            </w:pPr>
            <w:r w:rsidRPr="00E73D4B">
              <w:t>507</w:t>
            </w:r>
          </w:p>
        </w:tc>
        <w:tc>
          <w:tcPr>
            <w:tcW w:w="4536" w:type="dxa"/>
            <w:tcBorders>
              <w:top w:val="nil"/>
              <w:left w:val="nil"/>
              <w:bottom w:val="nil"/>
              <w:right w:val="nil"/>
            </w:tcBorders>
            <w:tcMar>
              <w:top w:w="128" w:type="dxa"/>
              <w:left w:w="43" w:type="dxa"/>
              <w:bottom w:w="43" w:type="dxa"/>
              <w:right w:w="43" w:type="dxa"/>
            </w:tcMar>
          </w:tcPr>
          <w:p w14:paraId="6623F7C8" w14:textId="77777777" w:rsidR="00972395" w:rsidRPr="00E73D4B" w:rsidRDefault="00F120C7" w:rsidP="00681E28">
            <w:r w:rsidRPr="00E73D4B">
              <w:t>Nytt Oslo fengsel</w:t>
            </w:r>
          </w:p>
        </w:tc>
        <w:tc>
          <w:tcPr>
            <w:tcW w:w="1829" w:type="dxa"/>
            <w:tcBorders>
              <w:top w:val="nil"/>
              <w:left w:val="nil"/>
              <w:bottom w:val="nil"/>
              <w:right w:val="nil"/>
            </w:tcBorders>
            <w:tcMar>
              <w:top w:w="128" w:type="dxa"/>
              <w:left w:w="43" w:type="dxa"/>
              <w:bottom w:w="43" w:type="dxa"/>
              <w:right w:w="43" w:type="dxa"/>
            </w:tcMar>
          </w:tcPr>
          <w:p w14:paraId="0CE5A40D" w14:textId="77777777" w:rsidR="00972395" w:rsidRPr="00E73D4B" w:rsidRDefault="00F120C7" w:rsidP="00681E28">
            <w:pPr>
              <w:jc w:val="right"/>
            </w:pPr>
            <w:r w:rsidRPr="00E73D4B">
              <w:t>Nei</w:t>
            </w:r>
          </w:p>
        </w:tc>
      </w:tr>
      <w:tr w:rsidR="00972395" w:rsidRPr="00E73D4B" w14:paraId="5F95F823"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512E9AE"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619B841D" w14:textId="77777777" w:rsidR="00972395" w:rsidRPr="00E73D4B" w:rsidRDefault="00F120C7" w:rsidP="00681E28">
            <w:pPr>
              <w:jc w:val="right"/>
            </w:pPr>
            <w:r w:rsidRPr="00E73D4B">
              <w:t>569</w:t>
            </w:r>
          </w:p>
        </w:tc>
        <w:tc>
          <w:tcPr>
            <w:tcW w:w="4536" w:type="dxa"/>
            <w:tcBorders>
              <w:top w:val="nil"/>
              <w:left w:val="nil"/>
              <w:bottom w:val="nil"/>
              <w:right w:val="nil"/>
            </w:tcBorders>
            <w:tcMar>
              <w:top w:w="128" w:type="dxa"/>
              <w:left w:w="43" w:type="dxa"/>
              <w:bottom w:w="43" w:type="dxa"/>
              <w:right w:w="43" w:type="dxa"/>
            </w:tcMar>
          </w:tcPr>
          <w:p w14:paraId="26282673" w14:textId="77777777" w:rsidR="00972395" w:rsidRPr="00E73D4B" w:rsidRDefault="00F120C7" w:rsidP="00681E28">
            <w:proofErr w:type="spellStart"/>
            <w:r w:rsidRPr="00E73D4B">
              <w:t>Flyktningar</w:t>
            </w:r>
            <w:proofErr w:type="spellEnd"/>
            <w:r w:rsidRPr="00E73D4B">
              <w:t xml:space="preserve"> </w:t>
            </w:r>
            <w:proofErr w:type="spellStart"/>
            <w:r w:rsidRPr="00E73D4B">
              <w:t>frå</w:t>
            </w:r>
            <w:proofErr w:type="spellEnd"/>
            <w:r w:rsidRPr="00E73D4B">
              <w:t xml:space="preserve"> Ukrainas naboland </w:t>
            </w:r>
          </w:p>
        </w:tc>
        <w:tc>
          <w:tcPr>
            <w:tcW w:w="1829" w:type="dxa"/>
            <w:tcBorders>
              <w:top w:val="nil"/>
              <w:left w:val="nil"/>
              <w:bottom w:val="nil"/>
              <w:right w:val="nil"/>
            </w:tcBorders>
            <w:tcMar>
              <w:top w:w="128" w:type="dxa"/>
              <w:left w:w="43" w:type="dxa"/>
              <w:bottom w:w="43" w:type="dxa"/>
              <w:right w:w="43" w:type="dxa"/>
            </w:tcMar>
          </w:tcPr>
          <w:p w14:paraId="6D57E26A" w14:textId="77777777" w:rsidR="00972395" w:rsidRPr="00E73D4B" w:rsidRDefault="00F120C7" w:rsidP="00681E28">
            <w:pPr>
              <w:jc w:val="right"/>
            </w:pPr>
            <w:r w:rsidRPr="00E73D4B">
              <w:t>Ja</w:t>
            </w:r>
          </w:p>
        </w:tc>
      </w:tr>
      <w:tr w:rsidR="00972395" w:rsidRPr="00E73D4B" w14:paraId="47672ED0"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75D4BD5"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7132DA2E" w14:textId="77777777" w:rsidR="00972395" w:rsidRPr="00E73D4B" w:rsidRDefault="00F120C7" w:rsidP="00681E28">
            <w:pPr>
              <w:jc w:val="right"/>
            </w:pPr>
            <w:r w:rsidRPr="00E73D4B">
              <w:t>571</w:t>
            </w:r>
          </w:p>
        </w:tc>
        <w:tc>
          <w:tcPr>
            <w:tcW w:w="4536" w:type="dxa"/>
            <w:tcBorders>
              <w:top w:val="nil"/>
              <w:left w:val="nil"/>
              <w:bottom w:val="nil"/>
              <w:right w:val="nil"/>
            </w:tcBorders>
            <w:tcMar>
              <w:top w:w="128" w:type="dxa"/>
              <w:left w:w="43" w:type="dxa"/>
              <w:bottom w:w="43" w:type="dxa"/>
              <w:right w:w="43" w:type="dxa"/>
            </w:tcMar>
          </w:tcPr>
          <w:p w14:paraId="46E91291" w14:textId="77777777" w:rsidR="00972395" w:rsidRPr="00E73D4B" w:rsidRDefault="00F120C7" w:rsidP="00681E28">
            <w:r w:rsidRPr="00E73D4B">
              <w:t>Mottaksplan for ukrainske barn og unge</w:t>
            </w:r>
          </w:p>
        </w:tc>
        <w:tc>
          <w:tcPr>
            <w:tcW w:w="1829" w:type="dxa"/>
            <w:tcBorders>
              <w:top w:val="nil"/>
              <w:left w:val="nil"/>
              <w:bottom w:val="nil"/>
              <w:right w:val="nil"/>
            </w:tcBorders>
            <w:tcMar>
              <w:top w:w="128" w:type="dxa"/>
              <w:left w:w="43" w:type="dxa"/>
              <w:bottom w:w="43" w:type="dxa"/>
              <w:right w:w="43" w:type="dxa"/>
            </w:tcMar>
          </w:tcPr>
          <w:p w14:paraId="767A2841" w14:textId="77777777" w:rsidR="00972395" w:rsidRPr="00E73D4B" w:rsidRDefault="00F120C7" w:rsidP="00681E28">
            <w:pPr>
              <w:jc w:val="right"/>
            </w:pPr>
            <w:r w:rsidRPr="00E73D4B">
              <w:t>Ja</w:t>
            </w:r>
          </w:p>
        </w:tc>
      </w:tr>
      <w:tr w:rsidR="00972395" w:rsidRPr="00E73D4B" w14:paraId="01A8D73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C7BBC4D"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11F3AE8B" w14:textId="77777777" w:rsidR="00972395" w:rsidRPr="00E73D4B" w:rsidRDefault="00F120C7" w:rsidP="00681E28">
            <w:pPr>
              <w:jc w:val="right"/>
            </w:pPr>
            <w:r w:rsidRPr="00E73D4B">
              <w:t>572</w:t>
            </w:r>
          </w:p>
        </w:tc>
        <w:tc>
          <w:tcPr>
            <w:tcW w:w="4536" w:type="dxa"/>
            <w:tcBorders>
              <w:top w:val="nil"/>
              <w:left w:val="nil"/>
              <w:bottom w:val="nil"/>
              <w:right w:val="nil"/>
            </w:tcBorders>
            <w:tcMar>
              <w:top w:w="128" w:type="dxa"/>
              <w:left w:w="43" w:type="dxa"/>
              <w:bottom w:w="43" w:type="dxa"/>
              <w:right w:w="43" w:type="dxa"/>
            </w:tcMar>
          </w:tcPr>
          <w:p w14:paraId="4C7BB26F" w14:textId="77777777" w:rsidR="00972395" w:rsidRPr="00E73D4B" w:rsidRDefault="00F120C7" w:rsidP="00681E28">
            <w:r w:rsidRPr="00E73D4B">
              <w:t xml:space="preserve">Automatisk arbeidsløyve til ukrainske </w:t>
            </w:r>
            <w:proofErr w:type="spellStart"/>
            <w:r w:rsidRPr="00E73D4B">
              <w:t>flyktningar</w:t>
            </w:r>
            <w:proofErr w:type="spellEnd"/>
          </w:p>
        </w:tc>
        <w:tc>
          <w:tcPr>
            <w:tcW w:w="1829" w:type="dxa"/>
            <w:tcBorders>
              <w:top w:val="nil"/>
              <w:left w:val="nil"/>
              <w:bottom w:val="nil"/>
              <w:right w:val="nil"/>
            </w:tcBorders>
            <w:tcMar>
              <w:top w:w="128" w:type="dxa"/>
              <w:left w:w="43" w:type="dxa"/>
              <w:bottom w:w="43" w:type="dxa"/>
              <w:right w:w="43" w:type="dxa"/>
            </w:tcMar>
          </w:tcPr>
          <w:p w14:paraId="40791F0C" w14:textId="77777777" w:rsidR="00972395" w:rsidRPr="00E73D4B" w:rsidRDefault="00F120C7" w:rsidP="00681E28">
            <w:pPr>
              <w:jc w:val="right"/>
            </w:pPr>
            <w:r w:rsidRPr="00E73D4B">
              <w:t>Ja</w:t>
            </w:r>
          </w:p>
        </w:tc>
      </w:tr>
      <w:tr w:rsidR="00972395" w:rsidRPr="00E73D4B" w14:paraId="6DE0BCD0"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45553A3D"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71A80728" w14:textId="77777777" w:rsidR="00972395" w:rsidRPr="00E73D4B" w:rsidRDefault="00F120C7" w:rsidP="00681E28">
            <w:pPr>
              <w:jc w:val="right"/>
            </w:pPr>
            <w:r w:rsidRPr="00E73D4B">
              <w:t>573</w:t>
            </w:r>
          </w:p>
        </w:tc>
        <w:tc>
          <w:tcPr>
            <w:tcW w:w="4536" w:type="dxa"/>
            <w:tcBorders>
              <w:top w:val="nil"/>
              <w:left w:val="nil"/>
              <w:bottom w:val="nil"/>
              <w:right w:val="nil"/>
            </w:tcBorders>
            <w:tcMar>
              <w:top w:w="128" w:type="dxa"/>
              <w:left w:w="43" w:type="dxa"/>
              <w:bottom w:w="43" w:type="dxa"/>
              <w:right w:w="43" w:type="dxa"/>
            </w:tcMar>
          </w:tcPr>
          <w:p w14:paraId="56277C65" w14:textId="77777777" w:rsidR="00972395" w:rsidRPr="00E73D4B" w:rsidRDefault="00F120C7" w:rsidP="00681E28">
            <w:r w:rsidRPr="00E73D4B">
              <w:t xml:space="preserve">Informasjonsarbeid om </w:t>
            </w:r>
            <w:proofErr w:type="spellStart"/>
            <w:r w:rsidRPr="00E73D4B">
              <w:t>rettar</w:t>
            </w:r>
            <w:proofErr w:type="spellEnd"/>
            <w:r w:rsidRPr="00E73D4B">
              <w:t xml:space="preserve"> og </w:t>
            </w:r>
            <w:proofErr w:type="spellStart"/>
            <w:r w:rsidRPr="00E73D4B">
              <w:t>moglegheiter</w:t>
            </w:r>
            <w:proofErr w:type="spellEnd"/>
            <w:r w:rsidRPr="00E73D4B">
              <w:t xml:space="preserve"> for ukrainske </w:t>
            </w:r>
            <w:proofErr w:type="spellStart"/>
            <w:r w:rsidRPr="00E73D4B">
              <w:t>flyktningar</w:t>
            </w:r>
            <w:proofErr w:type="spellEnd"/>
          </w:p>
        </w:tc>
        <w:tc>
          <w:tcPr>
            <w:tcW w:w="1829" w:type="dxa"/>
            <w:tcBorders>
              <w:top w:val="nil"/>
              <w:left w:val="nil"/>
              <w:bottom w:val="nil"/>
              <w:right w:val="nil"/>
            </w:tcBorders>
            <w:tcMar>
              <w:top w:w="128" w:type="dxa"/>
              <w:left w:w="43" w:type="dxa"/>
              <w:bottom w:w="43" w:type="dxa"/>
              <w:right w:w="43" w:type="dxa"/>
            </w:tcMar>
          </w:tcPr>
          <w:p w14:paraId="43DC1A10" w14:textId="77777777" w:rsidR="00972395" w:rsidRPr="00E73D4B" w:rsidRDefault="00F120C7" w:rsidP="00681E28">
            <w:pPr>
              <w:jc w:val="right"/>
            </w:pPr>
            <w:r w:rsidRPr="00E73D4B">
              <w:t>Ja</w:t>
            </w:r>
          </w:p>
        </w:tc>
      </w:tr>
      <w:tr w:rsidR="00972395" w:rsidRPr="00E73D4B" w14:paraId="6630119D"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1B87212"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7BFCF5C6" w14:textId="77777777" w:rsidR="00972395" w:rsidRPr="00E73D4B" w:rsidRDefault="00F120C7" w:rsidP="00681E28">
            <w:pPr>
              <w:jc w:val="right"/>
            </w:pPr>
            <w:r w:rsidRPr="00E73D4B">
              <w:t>579</w:t>
            </w:r>
          </w:p>
        </w:tc>
        <w:tc>
          <w:tcPr>
            <w:tcW w:w="4536" w:type="dxa"/>
            <w:tcBorders>
              <w:top w:val="nil"/>
              <w:left w:val="nil"/>
              <w:bottom w:val="nil"/>
              <w:right w:val="nil"/>
            </w:tcBorders>
            <w:tcMar>
              <w:top w:w="128" w:type="dxa"/>
              <w:left w:w="43" w:type="dxa"/>
              <w:bottom w:w="43" w:type="dxa"/>
              <w:right w:w="43" w:type="dxa"/>
            </w:tcMar>
          </w:tcPr>
          <w:p w14:paraId="326DB9F2" w14:textId="77777777" w:rsidR="00972395" w:rsidRPr="00E73D4B" w:rsidRDefault="00F120C7" w:rsidP="00681E28">
            <w:r w:rsidRPr="00E73D4B">
              <w:t>Vurdering av naturskadeforsikringsordningen</w:t>
            </w:r>
          </w:p>
        </w:tc>
        <w:tc>
          <w:tcPr>
            <w:tcW w:w="1829" w:type="dxa"/>
            <w:tcBorders>
              <w:top w:val="nil"/>
              <w:left w:val="nil"/>
              <w:bottom w:val="nil"/>
              <w:right w:val="nil"/>
            </w:tcBorders>
            <w:tcMar>
              <w:top w:w="128" w:type="dxa"/>
              <w:left w:w="43" w:type="dxa"/>
              <w:bottom w:w="43" w:type="dxa"/>
              <w:right w:w="43" w:type="dxa"/>
            </w:tcMar>
          </w:tcPr>
          <w:p w14:paraId="36834D0F" w14:textId="77777777" w:rsidR="00972395" w:rsidRPr="00E73D4B" w:rsidRDefault="00F120C7" w:rsidP="00681E28">
            <w:pPr>
              <w:jc w:val="right"/>
            </w:pPr>
            <w:r w:rsidRPr="00E73D4B">
              <w:t>Nei</w:t>
            </w:r>
          </w:p>
        </w:tc>
      </w:tr>
      <w:tr w:rsidR="00972395" w:rsidRPr="00E73D4B" w14:paraId="71FEE15A"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5D2093B8"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45CFD1F6" w14:textId="77777777" w:rsidR="00972395" w:rsidRPr="00E73D4B" w:rsidRDefault="00F120C7" w:rsidP="00681E28">
            <w:pPr>
              <w:jc w:val="right"/>
            </w:pPr>
            <w:r w:rsidRPr="00E73D4B">
              <w:t>580</w:t>
            </w:r>
          </w:p>
        </w:tc>
        <w:tc>
          <w:tcPr>
            <w:tcW w:w="4536" w:type="dxa"/>
            <w:tcBorders>
              <w:top w:val="nil"/>
              <w:left w:val="nil"/>
              <w:bottom w:val="nil"/>
              <w:right w:val="nil"/>
            </w:tcBorders>
            <w:tcMar>
              <w:top w:w="128" w:type="dxa"/>
              <w:left w:w="43" w:type="dxa"/>
              <w:bottom w:w="43" w:type="dxa"/>
              <w:right w:w="43" w:type="dxa"/>
            </w:tcMar>
          </w:tcPr>
          <w:p w14:paraId="50B69538" w14:textId="77777777" w:rsidR="00972395" w:rsidRPr="00E73D4B" w:rsidRDefault="00F120C7" w:rsidP="00681E28">
            <w:r w:rsidRPr="00E73D4B">
              <w:t xml:space="preserve">Dialog om digitale </w:t>
            </w:r>
            <w:proofErr w:type="spellStart"/>
            <w:r w:rsidRPr="00E73D4B">
              <w:t>betalingstenester</w:t>
            </w:r>
            <w:proofErr w:type="spellEnd"/>
            <w:r w:rsidRPr="00E73D4B">
              <w:t xml:space="preserve"> og foreldrekontroll</w:t>
            </w:r>
          </w:p>
        </w:tc>
        <w:tc>
          <w:tcPr>
            <w:tcW w:w="1829" w:type="dxa"/>
            <w:tcBorders>
              <w:top w:val="nil"/>
              <w:left w:val="nil"/>
              <w:bottom w:val="nil"/>
              <w:right w:val="nil"/>
            </w:tcBorders>
            <w:tcMar>
              <w:top w:w="128" w:type="dxa"/>
              <w:left w:w="43" w:type="dxa"/>
              <w:bottom w:w="43" w:type="dxa"/>
              <w:right w:w="43" w:type="dxa"/>
            </w:tcMar>
          </w:tcPr>
          <w:p w14:paraId="078770CB" w14:textId="77777777" w:rsidR="00972395" w:rsidRPr="00E73D4B" w:rsidRDefault="00F120C7" w:rsidP="00681E28">
            <w:pPr>
              <w:jc w:val="right"/>
            </w:pPr>
            <w:r w:rsidRPr="00E73D4B">
              <w:t>Nei</w:t>
            </w:r>
          </w:p>
        </w:tc>
      </w:tr>
      <w:tr w:rsidR="00972395" w:rsidRPr="00E73D4B" w14:paraId="48DEA7E0"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5A183015"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6CF96F2A" w14:textId="77777777" w:rsidR="00972395" w:rsidRPr="00E73D4B" w:rsidRDefault="00F120C7" w:rsidP="00681E28">
            <w:pPr>
              <w:jc w:val="right"/>
            </w:pPr>
            <w:r w:rsidRPr="00E73D4B">
              <w:t>581</w:t>
            </w:r>
          </w:p>
        </w:tc>
        <w:tc>
          <w:tcPr>
            <w:tcW w:w="4536" w:type="dxa"/>
            <w:tcBorders>
              <w:top w:val="nil"/>
              <w:left w:val="nil"/>
              <w:bottom w:val="nil"/>
              <w:right w:val="nil"/>
            </w:tcBorders>
            <w:tcMar>
              <w:top w:w="128" w:type="dxa"/>
              <w:left w:w="43" w:type="dxa"/>
              <w:bottom w:w="43" w:type="dxa"/>
              <w:right w:w="43" w:type="dxa"/>
            </w:tcMar>
          </w:tcPr>
          <w:p w14:paraId="382AA0C9" w14:textId="77777777" w:rsidR="00972395" w:rsidRPr="00E73D4B" w:rsidRDefault="00F120C7" w:rsidP="00681E28">
            <w:r w:rsidRPr="00E73D4B">
              <w:t xml:space="preserve">Utgreiing av meldeplikt for norske </w:t>
            </w:r>
            <w:proofErr w:type="spellStart"/>
            <w:r w:rsidRPr="00E73D4B">
              <w:t>tenesteleverandørar</w:t>
            </w:r>
            <w:proofErr w:type="spellEnd"/>
          </w:p>
        </w:tc>
        <w:tc>
          <w:tcPr>
            <w:tcW w:w="1829" w:type="dxa"/>
            <w:tcBorders>
              <w:top w:val="nil"/>
              <w:left w:val="nil"/>
              <w:bottom w:val="nil"/>
              <w:right w:val="nil"/>
            </w:tcBorders>
            <w:tcMar>
              <w:top w:w="128" w:type="dxa"/>
              <w:left w:w="43" w:type="dxa"/>
              <w:bottom w:w="43" w:type="dxa"/>
              <w:right w:w="43" w:type="dxa"/>
            </w:tcMar>
          </w:tcPr>
          <w:p w14:paraId="566702AE" w14:textId="77777777" w:rsidR="00972395" w:rsidRPr="00E73D4B" w:rsidRDefault="00F120C7" w:rsidP="00681E28">
            <w:pPr>
              <w:jc w:val="right"/>
            </w:pPr>
            <w:r w:rsidRPr="00E73D4B">
              <w:t>Nei</w:t>
            </w:r>
          </w:p>
        </w:tc>
      </w:tr>
      <w:tr w:rsidR="00972395" w:rsidRPr="00E73D4B" w14:paraId="4A650803"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0DB0DF9"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0EB3DBE2" w14:textId="77777777" w:rsidR="00972395" w:rsidRPr="00E73D4B" w:rsidRDefault="00F120C7" w:rsidP="00681E28">
            <w:pPr>
              <w:jc w:val="right"/>
            </w:pPr>
            <w:r w:rsidRPr="00E73D4B">
              <w:t>582</w:t>
            </w:r>
          </w:p>
        </w:tc>
        <w:tc>
          <w:tcPr>
            <w:tcW w:w="4536" w:type="dxa"/>
            <w:tcBorders>
              <w:top w:val="nil"/>
              <w:left w:val="nil"/>
              <w:bottom w:val="nil"/>
              <w:right w:val="nil"/>
            </w:tcBorders>
            <w:tcMar>
              <w:top w:w="128" w:type="dxa"/>
              <w:left w:w="43" w:type="dxa"/>
              <w:bottom w:w="43" w:type="dxa"/>
              <w:right w:w="43" w:type="dxa"/>
            </w:tcMar>
          </w:tcPr>
          <w:p w14:paraId="25071916" w14:textId="77777777" w:rsidR="00972395" w:rsidRPr="00E73D4B" w:rsidRDefault="00F120C7" w:rsidP="00681E28">
            <w:r w:rsidRPr="00E73D4B">
              <w:t xml:space="preserve">Regelverk om varsling </w:t>
            </w:r>
            <w:proofErr w:type="spellStart"/>
            <w:r w:rsidRPr="00E73D4B">
              <w:t>frå</w:t>
            </w:r>
            <w:proofErr w:type="spellEnd"/>
            <w:r w:rsidRPr="00E73D4B">
              <w:t xml:space="preserve"> kriminalomsorga</w:t>
            </w:r>
          </w:p>
        </w:tc>
        <w:tc>
          <w:tcPr>
            <w:tcW w:w="1829" w:type="dxa"/>
            <w:tcBorders>
              <w:top w:val="nil"/>
              <w:left w:val="nil"/>
              <w:bottom w:val="nil"/>
              <w:right w:val="nil"/>
            </w:tcBorders>
            <w:tcMar>
              <w:top w:w="128" w:type="dxa"/>
              <w:left w:w="43" w:type="dxa"/>
              <w:bottom w:w="43" w:type="dxa"/>
              <w:right w:w="43" w:type="dxa"/>
            </w:tcMar>
          </w:tcPr>
          <w:p w14:paraId="1C5A2C5F" w14:textId="77777777" w:rsidR="00972395" w:rsidRPr="00E73D4B" w:rsidRDefault="00F120C7" w:rsidP="00681E28">
            <w:pPr>
              <w:jc w:val="right"/>
            </w:pPr>
            <w:r w:rsidRPr="00E73D4B">
              <w:t>Nei</w:t>
            </w:r>
          </w:p>
        </w:tc>
      </w:tr>
      <w:tr w:rsidR="00972395" w:rsidRPr="00E73D4B" w14:paraId="4273F93C"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0F12A37"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5EED52A0" w14:textId="77777777" w:rsidR="00972395" w:rsidRPr="00E73D4B" w:rsidRDefault="00F120C7" w:rsidP="00681E28">
            <w:pPr>
              <w:jc w:val="right"/>
            </w:pPr>
            <w:r w:rsidRPr="00E73D4B">
              <w:t>583</w:t>
            </w:r>
          </w:p>
        </w:tc>
        <w:tc>
          <w:tcPr>
            <w:tcW w:w="4536" w:type="dxa"/>
            <w:tcBorders>
              <w:top w:val="nil"/>
              <w:left w:val="nil"/>
              <w:bottom w:val="nil"/>
              <w:right w:val="nil"/>
            </w:tcBorders>
            <w:tcMar>
              <w:top w:w="128" w:type="dxa"/>
              <w:left w:w="43" w:type="dxa"/>
              <w:bottom w:w="43" w:type="dxa"/>
              <w:right w:w="43" w:type="dxa"/>
            </w:tcMar>
          </w:tcPr>
          <w:p w14:paraId="5187AB60" w14:textId="77777777" w:rsidR="00972395" w:rsidRPr="00E73D4B" w:rsidRDefault="00F120C7" w:rsidP="00681E28">
            <w:r w:rsidRPr="00E73D4B">
              <w:t xml:space="preserve">Elektronisk kontroll ved </w:t>
            </w:r>
            <w:proofErr w:type="spellStart"/>
            <w:r w:rsidRPr="00E73D4B">
              <w:t>brot</w:t>
            </w:r>
            <w:proofErr w:type="spellEnd"/>
            <w:r w:rsidRPr="00E73D4B">
              <w:t xml:space="preserve"> på </w:t>
            </w:r>
            <w:proofErr w:type="spellStart"/>
            <w:r w:rsidRPr="00E73D4B">
              <w:t>besøksforbod</w:t>
            </w:r>
            <w:proofErr w:type="spellEnd"/>
          </w:p>
        </w:tc>
        <w:tc>
          <w:tcPr>
            <w:tcW w:w="1829" w:type="dxa"/>
            <w:tcBorders>
              <w:top w:val="nil"/>
              <w:left w:val="nil"/>
              <w:bottom w:val="nil"/>
              <w:right w:val="nil"/>
            </w:tcBorders>
            <w:tcMar>
              <w:top w:w="128" w:type="dxa"/>
              <w:left w:w="43" w:type="dxa"/>
              <w:bottom w:w="43" w:type="dxa"/>
              <w:right w:w="43" w:type="dxa"/>
            </w:tcMar>
          </w:tcPr>
          <w:p w14:paraId="5CC66740" w14:textId="77777777" w:rsidR="00972395" w:rsidRPr="00E73D4B" w:rsidRDefault="00F120C7" w:rsidP="00681E28">
            <w:pPr>
              <w:jc w:val="right"/>
            </w:pPr>
            <w:r w:rsidRPr="00E73D4B">
              <w:t>Nei</w:t>
            </w:r>
          </w:p>
        </w:tc>
      </w:tr>
      <w:tr w:rsidR="00972395" w:rsidRPr="00E73D4B" w14:paraId="46D218AF"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762D5DB7"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45713D67" w14:textId="77777777" w:rsidR="00972395" w:rsidRPr="00E73D4B" w:rsidRDefault="00F120C7" w:rsidP="00681E28">
            <w:pPr>
              <w:jc w:val="right"/>
            </w:pPr>
            <w:r w:rsidRPr="00E73D4B">
              <w:t>584</w:t>
            </w:r>
          </w:p>
        </w:tc>
        <w:tc>
          <w:tcPr>
            <w:tcW w:w="4536" w:type="dxa"/>
            <w:tcBorders>
              <w:top w:val="nil"/>
              <w:left w:val="nil"/>
              <w:bottom w:val="nil"/>
              <w:right w:val="nil"/>
            </w:tcBorders>
            <w:tcMar>
              <w:top w:w="128" w:type="dxa"/>
              <w:left w:w="43" w:type="dxa"/>
              <w:bottom w:w="43" w:type="dxa"/>
              <w:right w:w="43" w:type="dxa"/>
            </w:tcMar>
          </w:tcPr>
          <w:p w14:paraId="244D5F14" w14:textId="77777777" w:rsidR="00972395" w:rsidRPr="00E73D4B" w:rsidRDefault="00F120C7" w:rsidP="00681E28">
            <w:r w:rsidRPr="00E73D4B">
              <w:t xml:space="preserve">Straffenivåa for </w:t>
            </w:r>
            <w:proofErr w:type="spellStart"/>
            <w:r w:rsidRPr="00E73D4B">
              <w:t>seksuallovbrot</w:t>
            </w:r>
            <w:proofErr w:type="spellEnd"/>
          </w:p>
        </w:tc>
        <w:tc>
          <w:tcPr>
            <w:tcW w:w="1829" w:type="dxa"/>
            <w:tcBorders>
              <w:top w:val="nil"/>
              <w:left w:val="nil"/>
              <w:bottom w:val="nil"/>
              <w:right w:val="nil"/>
            </w:tcBorders>
            <w:tcMar>
              <w:top w:w="128" w:type="dxa"/>
              <w:left w:w="43" w:type="dxa"/>
              <w:bottom w:w="43" w:type="dxa"/>
              <w:right w:w="43" w:type="dxa"/>
            </w:tcMar>
          </w:tcPr>
          <w:p w14:paraId="474540C1" w14:textId="77777777" w:rsidR="00972395" w:rsidRPr="00E73D4B" w:rsidRDefault="00F120C7" w:rsidP="00681E28">
            <w:pPr>
              <w:jc w:val="right"/>
            </w:pPr>
            <w:r w:rsidRPr="00E73D4B">
              <w:t>Nei</w:t>
            </w:r>
          </w:p>
        </w:tc>
      </w:tr>
      <w:tr w:rsidR="00972395" w:rsidRPr="00E73D4B" w14:paraId="5DDFFE81"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509D2FC"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64EFC61E" w14:textId="77777777" w:rsidR="00972395" w:rsidRPr="00E73D4B" w:rsidRDefault="00F120C7" w:rsidP="00681E28">
            <w:pPr>
              <w:jc w:val="right"/>
            </w:pPr>
            <w:r w:rsidRPr="00E73D4B">
              <w:t>585</w:t>
            </w:r>
          </w:p>
        </w:tc>
        <w:tc>
          <w:tcPr>
            <w:tcW w:w="4536" w:type="dxa"/>
            <w:tcBorders>
              <w:top w:val="nil"/>
              <w:left w:val="nil"/>
              <w:bottom w:val="nil"/>
              <w:right w:val="nil"/>
            </w:tcBorders>
            <w:tcMar>
              <w:top w:w="128" w:type="dxa"/>
              <w:left w:w="43" w:type="dxa"/>
              <w:bottom w:w="43" w:type="dxa"/>
              <w:right w:w="43" w:type="dxa"/>
            </w:tcMar>
          </w:tcPr>
          <w:p w14:paraId="5D904C0E" w14:textId="77777777" w:rsidR="00972395" w:rsidRPr="00E73D4B" w:rsidRDefault="00F120C7" w:rsidP="00681E28">
            <w:proofErr w:type="spellStart"/>
            <w:r w:rsidRPr="00E73D4B">
              <w:t>Nedsetjing</w:t>
            </w:r>
            <w:proofErr w:type="spellEnd"/>
            <w:r w:rsidRPr="00E73D4B">
              <w:t xml:space="preserve"> av </w:t>
            </w:r>
            <w:proofErr w:type="spellStart"/>
            <w:r w:rsidRPr="00E73D4B">
              <w:t>valdtektskommisjon</w:t>
            </w:r>
            <w:proofErr w:type="spellEnd"/>
          </w:p>
        </w:tc>
        <w:tc>
          <w:tcPr>
            <w:tcW w:w="1829" w:type="dxa"/>
            <w:tcBorders>
              <w:top w:val="nil"/>
              <w:left w:val="nil"/>
              <w:bottom w:val="nil"/>
              <w:right w:val="nil"/>
            </w:tcBorders>
            <w:tcMar>
              <w:top w:w="128" w:type="dxa"/>
              <w:left w:w="43" w:type="dxa"/>
              <w:bottom w:w="43" w:type="dxa"/>
              <w:right w:w="43" w:type="dxa"/>
            </w:tcMar>
          </w:tcPr>
          <w:p w14:paraId="03C2A927" w14:textId="77777777" w:rsidR="00972395" w:rsidRPr="00E73D4B" w:rsidRDefault="00F120C7" w:rsidP="00681E28">
            <w:pPr>
              <w:jc w:val="right"/>
            </w:pPr>
            <w:r w:rsidRPr="00E73D4B">
              <w:t>Nei</w:t>
            </w:r>
          </w:p>
        </w:tc>
      </w:tr>
      <w:tr w:rsidR="00972395" w:rsidRPr="00E73D4B" w14:paraId="5E00173B"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753383AF"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544FD532" w14:textId="77777777" w:rsidR="00972395" w:rsidRPr="00E73D4B" w:rsidRDefault="00F120C7" w:rsidP="00681E28">
            <w:pPr>
              <w:jc w:val="right"/>
            </w:pPr>
            <w:r w:rsidRPr="00E73D4B">
              <w:t>587</w:t>
            </w:r>
          </w:p>
        </w:tc>
        <w:tc>
          <w:tcPr>
            <w:tcW w:w="4536" w:type="dxa"/>
            <w:tcBorders>
              <w:top w:val="nil"/>
              <w:left w:val="nil"/>
              <w:bottom w:val="nil"/>
              <w:right w:val="nil"/>
            </w:tcBorders>
            <w:tcMar>
              <w:top w:w="128" w:type="dxa"/>
              <w:left w:w="43" w:type="dxa"/>
              <w:bottom w:w="43" w:type="dxa"/>
              <w:right w:w="43" w:type="dxa"/>
            </w:tcMar>
          </w:tcPr>
          <w:p w14:paraId="15B2CC7D" w14:textId="77777777" w:rsidR="00972395" w:rsidRPr="00E73D4B" w:rsidRDefault="00F120C7" w:rsidP="00681E28">
            <w:r w:rsidRPr="00E73D4B">
              <w:t xml:space="preserve">Budsjettmessige </w:t>
            </w:r>
            <w:proofErr w:type="spellStart"/>
            <w:r w:rsidRPr="00E73D4B">
              <w:t>konsekvensar</w:t>
            </w:r>
            <w:proofErr w:type="spellEnd"/>
            <w:r w:rsidRPr="00E73D4B">
              <w:t xml:space="preserve"> av ny valdserstatningslov</w:t>
            </w:r>
          </w:p>
        </w:tc>
        <w:tc>
          <w:tcPr>
            <w:tcW w:w="1829" w:type="dxa"/>
            <w:tcBorders>
              <w:top w:val="nil"/>
              <w:left w:val="nil"/>
              <w:bottom w:val="nil"/>
              <w:right w:val="nil"/>
            </w:tcBorders>
            <w:tcMar>
              <w:top w:w="128" w:type="dxa"/>
              <w:left w:w="43" w:type="dxa"/>
              <w:bottom w:w="43" w:type="dxa"/>
              <w:right w:w="43" w:type="dxa"/>
            </w:tcMar>
          </w:tcPr>
          <w:p w14:paraId="075B8B6A" w14:textId="77777777" w:rsidR="00972395" w:rsidRPr="00E73D4B" w:rsidRDefault="00F120C7" w:rsidP="00681E28">
            <w:pPr>
              <w:jc w:val="right"/>
            </w:pPr>
            <w:r w:rsidRPr="00E73D4B">
              <w:t>Nei</w:t>
            </w:r>
          </w:p>
        </w:tc>
      </w:tr>
      <w:tr w:rsidR="00972395" w:rsidRPr="00E73D4B" w14:paraId="2E1C497F"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44881557"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33A77B74" w14:textId="77777777" w:rsidR="00972395" w:rsidRPr="00E73D4B" w:rsidRDefault="00F120C7" w:rsidP="00681E28">
            <w:pPr>
              <w:jc w:val="right"/>
            </w:pPr>
            <w:r w:rsidRPr="00E73D4B">
              <w:t>588</w:t>
            </w:r>
          </w:p>
        </w:tc>
        <w:tc>
          <w:tcPr>
            <w:tcW w:w="4536" w:type="dxa"/>
            <w:tcBorders>
              <w:top w:val="nil"/>
              <w:left w:val="nil"/>
              <w:bottom w:val="nil"/>
              <w:right w:val="nil"/>
            </w:tcBorders>
            <w:tcMar>
              <w:top w:w="128" w:type="dxa"/>
              <w:left w:w="43" w:type="dxa"/>
              <w:bottom w:w="43" w:type="dxa"/>
              <w:right w:w="43" w:type="dxa"/>
            </w:tcMar>
          </w:tcPr>
          <w:p w14:paraId="3B37EA9B" w14:textId="77777777" w:rsidR="00972395" w:rsidRPr="00E73D4B" w:rsidRDefault="00F120C7" w:rsidP="00681E28">
            <w:r w:rsidRPr="00E73D4B">
              <w:t xml:space="preserve">Sikre bemanning ved </w:t>
            </w:r>
            <w:proofErr w:type="gramStart"/>
            <w:r w:rsidRPr="00E73D4B">
              <w:t>og vurdere</w:t>
            </w:r>
            <w:proofErr w:type="gramEnd"/>
            <w:r w:rsidRPr="00E73D4B">
              <w:t xml:space="preserve"> tiltak for å styrke Kontoret for voldsoffererstatning </w:t>
            </w:r>
          </w:p>
        </w:tc>
        <w:tc>
          <w:tcPr>
            <w:tcW w:w="1829" w:type="dxa"/>
            <w:tcBorders>
              <w:top w:val="nil"/>
              <w:left w:val="nil"/>
              <w:bottom w:val="nil"/>
              <w:right w:val="nil"/>
            </w:tcBorders>
            <w:tcMar>
              <w:top w:w="128" w:type="dxa"/>
              <w:left w:w="43" w:type="dxa"/>
              <w:bottom w:w="43" w:type="dxa"/>
              <w:right w:w="43" w:type="dxa"/>
            </w:tcMar>
          </w:tcPr>
          <w:p w14:paraId="6B301180" w14:textId="77777777" w:rsidR="00972395" w:rsidRPr="00E73D4B" w:rsidRDefault="00F120C7" w:rsidP="00681E28">
            <w:pPr>
              <w:jc w:val="right"/>
            </w:pPr>
            <w:r w:rsidRPr="00E73D4B">
              <w:t>Ja</w:t>
            </w:r>
          </w:p>
        </w:tc>
      </w:tr>
      <w:tr w:rsidR="00972395" w:rsidRPr="00E73D4B" w14:paraId="303B8862"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0E3C597E"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3C41EDC5" w14:textId="77777777" w:rsidR="00972395" w:rsidRPr="00E73D4B" w:rsidRDefault="00F120C7" w:rsidP="00681E28">
            <w:pPr>
              <w:jc w:val="right"/>
            </w:pPr>
            <w:r w:rsidRPr="00E73D4B">
              <w:t>589</w:t>
            </w:r>
          </w:p>
        </w:tc>
        <w:tc>
          <w:tcPr>
            <w:tcW w:w="4536" w:type="dxa"/>
            <w:tcBorders>
              <w:top w:val="nil"/>
              <w:left w:val="nil"/>
              <w:bottom w:val="nil"/>
              <w:right w:val="nil"/>
            </w:tcBorders>
            <w:tcMar>
              <w:top w:w="128" w:type="dxa"/>
              <w:left w:w="43" w:type="dxa"/>
              <w:bottom w:w="43" w:type="dxa"/>
              <w:right w:w="43" w:type="dxa"/>
            </w:tcMar>
          </w:tcPr>
          <w:p w14:paraId="484B84D8" w14:textId="77777777" w:rsidR="00972395" w:rsidRPr="00E73D4B" w:rsidRDefault="00F120C7" w:rsidP="00681E28">
            <w:r w:rsidRPr="00E73D4B">
              <w:t xml:space="preserve">Forseinkingsrente på statens regresskrav mot </w:t>
            </w:r>
            <w:proofErr w:type="spellStart"/>
            <w:r w:rsidRPr="00E73D4B">
              <w:t>skadevaldar</w:t>
            </w:r>
            <w:proofErr w:type="spellEnd"/>
            <w:r w:rsidRPr="00E73D4B">
              <w:t xml:space="preserve"> i valdserstatningssaker</w:t>
            </w:r>
          </w:p>
        </w:tc>
        <w:tc>
          <w:tcPr>
            <w:tcW w:w="1829" w:type="dxa"/>
            <w:tcBorders>
              <w:top w:val="nil"/>
              <w:left w:val="nil"/>
              <w:bottom w:val="nil"/>
              <w:right w:val="nil"/>
            </w:tcBorders>
            <w:tcMar>
              <w:top w:w="128" w:type="dxa"/>
              <w:left w:w="43" w:type="dxa"/>
              <w:bottom w:w="43" w:type="dxa"/>
              <w:right w:w="43" w:type="dxa"/>
            </w:tcMar>
          </w:tcPr>
          <w:p w14:paraId="143429FD" w14:textId="77777777" w:rsidR="00972395" w:rsidRPr="00E73D4B" w:rsidRDefault="00F120C7" w:rsidP="00681E28">
            <w:pPr>
              <w:jc w:val="right"/>
            </w:pPr>
            <w:r w:rsidRPr="00E73D4B">
              <w:t>Nei</w:t>
            </w:r>
          </w:p>
        </w:tc>
      </w:tr>
      <w:tr w:rsidR="00972395" w:rsidRPr="00E73D4B" w14:paraId="08B9B111"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76EBD74A"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50AF1ADB" w14:textId="77777777" w:rsidR="00972395" w:rsidRPr="00E73D4B" w:rsidRDefault="00F120C7" w:rsidP="00681E28">
            <w:pPr>
              <w:jc w:val="right"/>
            </w:pPr>
            <w:r w:rsidRPr="00E73D4B">
              <w:t>647</w:t>
            </w:r>
          </w:p>
        </w:tc>
        <w:tc>
          <w:tcPr>
            <w:tcW w:w="4536" w:type="dxa"/>
            <w:tcBorders>
              <w:top w:val="nil"/>
              <w:left w:val="nil"/>
              <w:bottom w:val="nil"/>
              <w:right w:val="nil"/>
            </w:tcBorders>
            <w:tcMar>
              <w:top w:w="128" w:type="dxa"/>
              <w:left w:w="43" w:type="dxa"/>
              <w:bottom w:w="43" w:type="dxa"/>
              <w:right w:w="43" w:type="dxa"/>
            </w:tcMar>
          </w:tcPr>
          <w:p w14:paraId="68A62FD4" w14:textId="77777777" w:rsidR="00972395" w:rsidRPr="00E73D4B" w:rsidRDefault="00F120C7" w:rsidP="00681E28">
            <w:r w:rsidRPr="00E73D4B">
              <w:t xml:space="preserve">Oversikt over land </w:t>
            </w:r>
            <w:proofErr w:type="spellStart"/>
            <w:r w:rsidRPr="00E73D4B">
              <w:t>utan</w:t>
            </w:r>
            <w:proofErr w:type="spellEnd"/>
            <w:r w:rsidRPr="00E73D4B">
              <w:t xml:space="preserve"> krav til pass eller </w:t>
            </w:r>
            <w:proofErr w:type="spellStart"/>
            <w:r w:rsidRPr="00E73D4B">
              <w:t>id-kort</w:t>
            </w:r>
            <w:proofErr w:type="spellEnd"/>
          </w:p>
        </w:tc>
        <w:tc>
          <w:tcPr>
            <w:tcW w:w="1829" w:type="dxa"/>
            <w:tcBorders>
              <w:top w:val="nil"/>
              <w:left w:val="nil"/>
              <w:bottom w:val="nil"/>
              <w:right w:val="nil"/>
            </w:tcBorders>
            <w:tcMar>
              <w:top w:w="128" w:type="dxa"/>
              <w:left w:w="43" w:type="dxa"/>
              <w:bottom w:w="43" w:type="dxa"/>
              <w:right w:w="43" w:type="dxa"/>
            </w:tcMar>
          </w:tcPr>
          <w:p w14:paraId="4A85C3E9" w14:textId="77777777" w:rsidR="00972395" w:rsidRPr="00E73D4B" w:rsidRDefault="00F120C7" w:rsidP="00681E28">
            <w:pPr>
              <w:jc w:val="right"/>
            </w:pPr>
            <w:r w:rsidRPr="00E73D4B">
              <w:t>Ja</w:t>
            </w:r>
          </w:p>
        </w:tc>
      </w:tr>
      <w:tr w:rsidR="00972395" w:rsidRPr="00E73D4B" w14:paraId="5CB33BDB"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6CA9079"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34154DBF" w14:textId="77777777" w:rsidR="00972395" w:rsidRPr="00E73D4B" w:rsidRDefault="00F120C7" w:rsidP="00681E28">
            <w:pPr>
              <w:jc w:val="right"/>
            </w:pPr>
            <w:r w:rsidRPr="00E73D4B">
              <w:t>648</w:t>
            </w:r>
          </w:p>
        </w:tc>
        <w:tc>
          <w:tcPr>
            <w:tcW w:w="4536" w:type="dxa"/>
            <w:tcBorders>
              <w:top w:val="nil"/>
              <w:left w:val="nil"/>
              <w:bottom w:val="nil"/>
              <w:right w:val="nil"/>
            </w:tcBorders>
            <w:tcMar>
              <w:top w:w="128" w:type="dxa"/>
              <w:left w:w="43" w:type="dxa"/>
              <w:bottom w:w="43" w:type="dxa"/>
              <w:right w:w="43" w:type="dxa"/>
            </w:tcMar>
          </w:tcPr>
          <w:p w14:paraId="30545F6C" w14:textId="77777777" w:rsidR="00972395" w:rsidRPr="00E73D4B" w:rsidRDefault="00F120C7" w:rsidP="00681E28">
            <w:r w:rsidRPr="00E73D4B">
              <w:t xml:space="preserve">Høve for utvida </w:t>
            </w:r>
            <w:proofErr w:type="spellStart"/>
            <w:r w:rsidRPr="00E73D4B">
              <w:t>gyldigheit</w:t>
            </w:r>
            <w:proofErr w:type="spellEnd"/>
            <w:r w:rsidRPr="00E73D4B">
              <w:t xml:space="preserve"> på utgåtte pass</w:t>
            </w:r>
          </w:p>
        </w:tc>
        <w:tc>
          <w:tcPr>
            <w:tcW w:w="1829" w:type="dxa"/>
            <w:tcBorders>
              <w:top w:val="nil"/>
              <w:left w:val="nil"/>
              <w:bottom w:val="nil"/>
              <w:right w:val="nil"/>
            </w:tcBorders>
            <w:tcMar>
              <w:top w:w="128" w:type="dxa"/>
              <w:left w:w="43" w:type="dxa"/>
              <w:bottom w:w="43" w:type="dxa"/>
              <w:right w:w="43" w:type="dxa"/>
            </w:tcMar>
          </w:tcPr>
          <w:p w14:paraId="2FDD6D34" w14:textId="77777777" w:rsidR="00972395" w:rsidRPr="00E73D4B" w:rsidRDefault="00F120C7" w:rsidP="00681E28">
            <w:pPr>
              <w:jc w:val="right"/>
            </w:pPr>
            <w:r w:rsidRPr="00E73D4B">
              <w:t>Ja</w:t>
            </w:r>
          </w:p>
        </w:tc>
      </w:tr>
      <w:tr w:rsidR="00972395" w:rsidRPr="00E73D4B" w14:paraId="2EBEE67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30C23D6"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63C7BC6E" w14:textId="77777777" w:rsidR="00972395" w:rsidRPr="00E73D4B" w:rsidRDefault="00F120C7" w:rsidP="00681E28">
            <w:pPr>
              <w:jc w:val="right"/>
            </w:pPr>
            <w:r w:rsidRPr="00E73D4B">
              <w:t>649</w:t>
            </w:r>
          </w:p>
        </w:tc>
        <w:tc>
          <w:tcPr>
            <w:tcW w:w="4536" w:type="dxa"/>
            <w:tcBorders>
              <w:top w:val="nil"/>
              <w:left w:val="nil"/>
              <w:bottom w:val="nil"/>
              <w:right w:val="nil"/>
            </w:tcBorders>
            <w:tcMar>
              <w:top w:w="128" w:type="dxa"/>
              <w:left w:w="43" w:type="dxa"/>
              <w:bottom w:w="43" w:type="dxa"/>
              <w:right w:w="43" w:type="dxa"/>
            </w:tcMar>
          </w:tcPr>
          <w:p w14:paraId="0094B330" w14:textId="77777777" w:rsidR="00972395" w:rsidRPr="00E73D4B" w:rsidRDefault="00F120C7" w:rsidP="00681E28">
            <w:r w:rsidRPr="00E73D4B">
              <w:t>Reduksjon av passkø</w:t>
            </w:r>
          </w:p>
        </w:tc>
        <w:tc>
          <w:tcPr>
            <w:tcW w:w="1829" w:type="dxa"/>
            <w:tcBorders>
              <w:top w:val="nil"/>
              <w:left w:val="nil"/>
              <w:bottom w:val="nil"/>
              <w:right w:val="nil"/>
            </w:tcBorders>
            <w:tcMar>
              <w:top w:w="128" w:type="dxa"/>
              <w:left w:w="43" w:type="dxa"/>
              <w:bottom w:w="43" w:type="dxa"/>
              <w:right w:w="43" w:type="dxa"/>
            </w:tcMar>
          </w:tcPr>
          <w:p w14:paraId="63AAE924" w14:textId="77777777" w:rsidR="00972395" w:rsidRPr="00E73D4B" w:rsidRDefault="00F120C7" w:rsidP="00681E28">
            <w:pPr>
              <w:jc w:val="right"/>
            </w:pPr>
            <w:r w:rsidRPr="00E73D4B">
              <w:t>Ja</w:t>
            </w:r>
          </w:p>
        </w:tc>
      </w:tr>
      <w:tr w:rsidR="00972395" w:rsidRPr="00E73D4B" w14:paraId="7BE523D6"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C9C471C"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4260DBE2" w14:textId="77777777" w:rsidR="00972395" w:rsidRPr="00E73D4B" w:rsidRDefault="00F120C7" w:rsidP="00681E28">
            <w:pPr>
              <w:jc w:val="right"/>
            </w:pPr>
            <w:r w:rsidRPr="00E73D4B">
              <w:t>650</w:t>
            </w:r>
          </w:p>
        </w:tc>
        <w:tc>
          <w:tcPr>
            <w:tcW w:w="4536" w:type="dxa"/>
            <w:tcBorders>
              <w:top w:val="nil"/>
              <w:left w:val="nil"/>
              <w:bottom w:val="nil"/>
              <w:right w:val="nil"/>
            </w:tcBorders>
            <w:tcMar>
              <w:top w:w="128" w:type="dxa"/>
              <w:left w:w="43" w:type="dxa"/>
              <w:bottom w:w="43" w:type="dxa"/>
              <w:right w:w="43" w:type="dxa"/>
            </w:tcMar>
          </w:tcPr>
          <w:p w14:paraId="18E0375C" w14:textId="77777777" w:rsidR="00972395" w:rsidRPr="00E73D4B" w:rsidRDefault="00F120C7" w:rsidP="00681E28">
            <w:r w:rsidRPr="00E73D4B">
              <w:t xml:space="preserve">Henting av pass hos </w:t>
            </w:r>
            <w:proofErr w:type="spellStart"/>
            <w:r w:rsidRPr="00E73D4B">
              <w:t>passutferdar</w:t>
            </w:r>
            <w:proofErr w:type="spellEnd"/>
          </w:p>
        </w:tc>
        <w:tc>
          <w:tcPr>
            <w:tcW w:w="1829" w:type="dxa"/>
            <w:tcBorders>
              <w:top w:val="nil"/>
              <w:left w:val="nil"/>
              <w:bottom w:val="nil"/>
              <w:right w:val="nil"/>
            </w:tcBorders>
            <w:tcMar>
              <w:top w:w="128" w:type="dxa"/>
              <w:left w:w="43" w:type="dxa"/>
              <w:bottom w:w="43" w:type="dxa"/>
              <w:right w:w="43" w:type="dxa"/>
            </w:tcMar>
          </w:tcPr>
          <w:p w14:paraId="6CB8781F" w14:textId="77777777" w:rsidR="00972395" w:rsidRPr="00E73D4B" w:rsidRDefault="00F120C7" w:rsidP="00681E28">
            <w:pPr>
              <w:jc w:val="right"/>
            </w:pPr>
            <w:r w:rsidRPr="00E73D4B">
              <w:t>Ja</w:t>
            </w:r>
          </w:p>
        </w:tc>
      </w:tr>
      <w:tr w:rsidR="00972395" w:rsidRPr="00E73D4B" w14:paraId="38EB05BE"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09CBC35"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37ED13A6" w14:textId="77777777" w:rsidR="00972395" w:rsidRPr="00E73D4B" w:rsidRDefault="00F120C7" w:rsidP="00681E28">
            <w:pPr>
              <w:jc w:val="right"/>
            </w:pPr>
            <w:r w:rsidRPr="00E73D4B">
              <w:t>651</w:t>
            </w:r>
          </w:p>
        </w:tc>
        <w:tc>
          <w:tcPr>
            <w:tcW w:w="4536" w:type="dxa"/>
            <w:tcBorders>
              <w:top w:val="nil"/>
              <w:left w:val="nil"/>
              <w:bottom w:val="nil"/>
              <w:right w:val="nil"/>
            </w:tcBorders>
            <w:tcMar>
              <w:top w:w="128" w:type="dxa"/>
              <w:left w:w="43" w:type="dxa"/>
              <w:bottom w:w="43" w:type="dxa"/>
              <w:right w:w="43" w:type="dxa"/>
            </w:tcMar>
          </w:tcPr>
          <w:p w14:paraId="1D178B58" w14:textId="77777777" w:rsidR="00972395" w:rsidRPr="00E73D4B" w:rsidRDefault="00F120C7" w:rsidP="00681E28">
            <w:r w:rsidRPr="00E73D4B">
              <w:t xml:space="preserve">Sikring av </w:t>
            </w:r>
            <w:proofErr w:type="spellStart"/>
            <w:r w:rsidRPr="00E73D4B">
              <w:t>komponentar</w:t>
            </w:r>
            <w:proofErr w:type="spellEnd"/>
            <w:r w:rsidRPr="00E73D4B">
              <w:t xml:space="preserve"> til pass</w:t>
            </w:r>
          </w:p>
        </w:tc>
        <w:tc>
          <w:tcPr>
            <w:tcW w:w="1829" w:type="dxa"/>
            <w:tcBorders>
              <w:top w:val="nil"/>
              <w:left w:val="nil"/>
              <w:bottom w:val="nil"/>
              <w:right w:val="nil"/>
            </w:tcBorders>
            <w:tcMar>
              <w:top w:w="128" w:type="dxa"/>
              <w:left w:w="43" w:type="dxa"/>
              <w:bottom w:w="43" w:type="dxa"/>
              <w:right w:w="43" w:type="dxa"/>
            </w:tcMar>
          </w:tcPr>
          <w:p w14:paraId="2B495FC0" w14:textId="77777777" w:rsidR="00972395" w:rsidRPr="00E73D4B" w:rsidRDefault="00F120C7" w:rsidP="00681E28">
            <w:pPr>
              <w:jc w:val="right"/>
            </w:pPr>
            <w:r w:rsidRPr="00E73D4B">
              <w:t>Ja</w:t>
            </w:r>
          </w:p>
        </w:tc>
      </w:tr>
      <w:tr w:rsidR="00972395" w:rsidRPr="00E73D4B" w14:paraId="34493FD2"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B481E52"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08BFF088" w14:textId="77777777" w:rsidR="00972395" w:rsidRPr="00E73D4B" w:rsidRDefault="00F120C7" w:rsidP="00681E28">
            <w:pPr>
              <w:jc w:val="right"/>
            </w:pPr>
            <w:r w:rsidRPr="00E73D4B">
              <w:t>652</w:t>
            </w:r>
          </w:p>
        </w:tc>
        <w:tc>
          <w:tcPr>
            <w:tcW w:w="4536" w:type="dxa"/>
            <w:tcBorders>
              <w:top w:val="nil"/>
              <w:left w:val="nil"/>
              <w:bottom w:val="nil"/>
              <w:right w:val="nil"/>
            </w:tcBorders>
            <w:tcMar>
              <w:top w:w="128" w:type="dxa"/>
              <w:left w:w="43" w:type="dxa"/>
              <w:bottom w:w="43" w:type="dxa"/>
              <w:right w:w="43" w:type="dxa"/>
            </w:tcMar>
          </w:tcPr>
          <w:p w14:paraId="467B427C" w14:textId="77777777" w:rsidR="00972395" w:rsidRPr="00E73D4B" w:rsidRDefault="00F120C7" w:rsidP="00681E28">
            <w:r w:rsidRPr="00E73D4B">
              <w:t xml:space="preserve">Strakstiltak for å </w:t>
            </w:r>
            <w:proofErr w:type="spellStart"/>
            <w:r w:rsidRPr="00E73D4B">
              <w:t>redusera</w:t>
            </w:r>
            <w:proofErr w:type="spellEnd"/>
            <w:r w:rsidRPr="00E73D4B">
              <w:t xml:space="preserve"> ventetid på nye pass</w:t>
            </w:r>
          </w:p>
        </w:tc>
        <w:tc>
          <w:tcPr>
            <w:tcW w:w="1829" w:type="dxa"/>
            <w:tcBorders>
              <w:top w:val="nil"/>
              <w:left w:val="nil"/>
              <w:bottom w:val="nil"/>
              <w:right w:val="nil"/>
            </w:tcBorders>
            <w:tcMar>
              <w:top w:w="128" w:type="dxa"/>
              <w:left w:w="43" w:type="dxa"/>
              <w:bottom w:w="43" w:type="dxa"/>
              <w:right w:w="43" w:type="dxa"/>
            </w:tcMar>
          </w:tcPr>
          <w:p w14:paraId="01B267EA" w14:textId="77777777" w:rsidR="00972395" w:rsidRPr="00E73D4B" w:rsidRDefault="00F120C7" w:rsidP="00681E28">
            <w:pPr>
              <w:jc w:val="right"/>
            </w:pPr>
            <w:r w:rsidRPr="00E73D4B">
              <w:t>Ja</w:t>
            </w:r>
          </w:p>
        </w:tc>
      </w:tr>
      <w:tr w:rsidR="00972395" w:rsidRPr="00E73D4B" w14:paraId="3E69F670"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79221D86"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2CD3A467" w14:textId="77777777" w:rsidR="00972395" w:rsidRPr="00E73D4B" w:rsidRDefault="00F120C7" w:rsidP="00681E28">
            <w:pPr>
              <w:jc w:val="right"/>
            </w:pPr>
            <w:r w:rsidRPr="00E73D4B">
              <w:t>654</w:t>
            </w:r>
          </w:p>
        </w:tc>
        <w:tc>
          <w:tcPr>
            <w:tcW w:w="4536" w:type="dxa"/>
            <w:tcBorders>
              <w:top w:val="nil"/>
              <w:left w:val="nil"/>
              <w:bottom w:val="nil"/>
              <w:right w:val="nil"/>
            </w:tcBorders>
            <w:tcMar>
              <w:top w:w="128" w:type="dxa"/>
              <w:left w:w="43" w:type="dxa"/>
              <w:bottom w:w="43" w:type="dxa"/>
              <w:right w:w="43" w:type="dxa"/>
            </w:tcMar>
          </w:tcPr>
          <w:p w14:paraId="4E56CDAC" w14:textId="77777777" w:rsidR="00972395" w:rsidRPr="00E73D4B" w:rsidRDefault="00F120C7" w:rsidP="00681E28">
            <w:r w:rsidRPr="00E73D4B">
              <w:t xml:space="preserve">Tryggleik for funksjonshindra </w:t>
            </w:r>
          </w:p>
        </w:tc>
        <w:tc>
          <w:tcPr>
            <w:tcW w:w="1829" w:type="dxa"/>
            <w:tcBorders>
              <w:top w:val="nil"/>
              <w:left w:val="nil"/>
              <w:bottom w:val="nil"/>
              <w:right w:val="nil"/>
            </w:tcBorders>
            <w:tcMar>
              <w:top w:w="128" w:type="dxa"/>
              <w:left w:w="43" w:type="dxa"/>
              <w:bottom w:w="43" w:type="dxa"/>
              <w:right w:w="43" w:type="dxa"/>
            </w:tcMar>
          </w:tcPr>
          <w:p w14:paraId="731D198C" w14:textId="77777777" w:rsidR="00972395" w:rsidRPr="00E73D4B" w:rsidRDefault="00F120C7" w:rsidP="00681E28">
            <w:pPr>
              <w:jc w:val="right"/>
            </w:pPr>
            <w:r w:rsidRPr="00E73D4B">
              <w:t>Nei</w:t>
            </w:r>
          </w:p>
        </w:tc>
      </w:tr>
      <w:tr w:rsidR="00972395" w:rsidRPr="00E73D4B" w14:paraId="55AE818E"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21FF3CB"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1ED862B4" w14:textId="77777777" w:rsidR="00972395" w:rsidRPr="00E73D4B" w:rsidRDefault="00F120C7" w:rsidP="00681E28">
            <w:pPr>
              <w:jc w:val="right"/>
            </w:pPr>
            <w:r w:rsidRPr="00E73D4B">
              <w:t>795</w:t>
            </w:r>
          </w:p>
        </w:tc>
        <w:tc>
          <w:tcPr>
            <w:tcW w:w="4536" w:type="dxa"/>
            <w:tcBorders>
              <w:top w:val="nil"/>
              <w:left w:val="nil"/>
              <w:bottom w:val="nil"/>
              <w:right w:val="nil"/>
            </w:tcBorders>
            <w:tcMar>
              <w:top w:w="128" w:type="dxa"/>
              <w:left w:w="43" w:type="dxa"/>
              <w:bottom w:w="43" w:type="dxa"/>
              <w:right w:w="43" w:type="dxa"/>
            </w:tcMar>
          </w:tcPr>
          <w:p w14:paraId="6E4F5075" w14:textId="77777777" w:rsidR="00972395" w:rsidRPr="00E73D4B" w:rsidRDefault="00F120C7" w:rsidP="00681E28">
            <w:proofErr w:type="spellStart"/>
            <w:r w:rsidRPr="00E73D4B">
              <w:t>Forbod</w:t>
            </w:r>
            <w:proofErr w:type="spellEnd"/>
            <w:r w:rsidRPr="00E73D4B">
              <w:t xml:space="preserve"> mot sal av forfalne </w:t>
            </w:r>
            <w:proofErr w:type="spellStart"/>
            <w:r w:rsidRPr="00E73D4B">
              <w:t>fordringar</w:t>
            </w:r>
            <w:proofErr w:type="spellEnd"/>
          </w:p>
        </w:tc>
        <w:tc>
          <w:tcPr>
            <w:tcW w:w="1829" w:type="dxa"/>
            <w:tcBorders>
              <w:top w:val="nil"/>
              <w:left w:val="nil"/>
              <w:bottom w:val="nil"/>
              <w:right w:val="nil"/>
            </w:tcBorders>
            <w:tcMar>
              <w:top w:w="128" w:type="dxa"/>
              <w:left w:w="43" w:type="dxa"/>
              <w:bottom w:w="43" w:type="dxa"/>
              <w:right w:w="43" w:type="dxa"/>
            </w:tcMar>
          </w:tcPr>
          <w:p w14:paraId="73CE8AC4" w14:textId="77777777" w:rsidR="00972395" w:rsidRPr="00E73D4B" w:rsidRDefault="00F120C7" w:rsidP="00681E28">
            <w:pPr>
              <w:jc w:val="right"/>
            </w:pPr>
            <w:r w:rsidRPr="00E73D4B">
              <w:t>Nei</w:t>
            </w:r>
          </w:p>
        </w:tc>
      </w:tr>
      <w:tr w:rsidR="00972395" w:rsidRPr="00E73D4B" w14:paraId="4B0F7F78"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22AD0445" w14:textId="77777777" w:rsidR="00972395" w:rsidRPr="00E73D4B" w:rsidRDefault="00F120C7" w:rsidP="00681E28">
            <w:r w:rsidRPr="00E73D4B">
              <w:t>2021–2022</w:t>
            </w:r>
          </w:p>
        </w:tc>
        <w:tc>
          <w:tcPr>
            <w:tcW w:w="1275" w:type="dxa"/>
            <w:tcBorders>
              <w:top w:val="nil"/>
              <w:left w:val="nil"/>
              <w:bottom w:val="nil"/>
              <w:right w:val="nil"/>
            </w:tcBorders>
            <w:tcMar>
              <w:top w:w="128" w:type="dxa"/>
              <w:left w:w="43" w:type="dxa"/>
              <w:bottom w:w="43" w:type="dxa"/>
              <w:right w:w="43" w:type="dxa"/>
            </w:tcMar>
          </w:tcPr>
          <w:p w14:paraId="6289A32E" w14:textId="77777777" w:rsidR="00972395" w:rsidRPr="00E73D4B" w:rsidRDefault="00F120C7" w:rsidP="00681E28">
            <w:pPr>
              <w:jc w:val="right"/>
            </w:pPr>
            <w:r w:rsidRPr="00E73D4B">
              <w:t>831</w:t>
            </w:r>
          </w:p>
        </w:tc>
        <w:tc>
          <w:tcPr>
            <w:tcW w:w="4536" w:type="dxa"/>
            <w:tcBorders>
              <w:top w:val="nil"/>
              <w:left w:val="nil"/>
              <w:bottom w:val="nil"/>
              <w:right w:val="nil"/>
            </w:tcBorders>
            <w:tcMar>
              <w:top w:w="128" w:type="dxa"/>
              <w:left w:w="43" w:type="dxa"/>
              <w:bottom w:w="43" w:type="dxa"/>
              <w:right w:w="43" w:type="dxa"/>
            </w:tcMar>
          </w:tcPr>
          <w:p w14:paraId="55460CED" w14:textId="77777777" w:rsidR="00972395" w:rsidRPr="00E73D4B" w:rsidRDefault="00F120C7" w:rsidP="00681E28">
            <w:proofErr w:type="spellStart"/>
            <w:r w:rsidRPr="00E73D4B">
              <w:t>Offentleg</w:t>
            </w:r>
            <w:proofErr w:type="spellEnd"/>
            <w:r w:rsidRPr="00E73D4B">
              <w:t xml:space="preserve"> </w:t>
            </w:r>
            <w:proofErr w:type="spellStart"/>
            <w:r w:rsidRPr="00E73D4B">
              <w:t>helsetilbod</w:t>
            </w:r>
            <w:proofErr w:type="spellEnd"/>
            <w:r w:rsidRPr="00E73D4B">
              <w:t xml:space="preserve"> ved Politiets utlendingsinternat på Trandum</w:t>
            </w:r>
          </w:p>
        </w:tc>
        <w:tc>
          <w:tcPr>
            <w:tcW w:w="1829" w:type="dxa"/>
            <w:tcBorders>
              <w:top w:val="nil"/>
              <w:left w:val="nil"/>
              <w:bottom w:val="nil"/>
              <w:right w:val="nil"/>
            </w:tcBorders>
            <w:tcMar>
              <w:top w:w="128" w:type="dxa"/>
              <w:left w:w="43" w:type="dxa"/>
              <w:bottom w:w="43" w:type="dxa"/>
              <w:right w:w="43" w:type="dxa"/>
            </w:tcMar>
          </w:tcPr>
          <w:p w14:paraId="7B6ACB8B" w14:textId="77777777" w:rsidR="00972395" w:rsidRPr="00E73D4B" w:rsidRDefault="00F120C7" w:rsidP="00681E28">
            <w:pPr>
              <w:jc w:val="right"/>
            </w:pPr>
            <w:r w:rsidRPr="00E73D4B">
              <w:t>Nei</w:t>
            </w:r>
          </w:p>
        </w:tc>
      </w:tr>
      <w:tr w:rsidR="00972395" w:rsidRPr="00E73D4B" w14:paraId="4CAF6C59"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C99EEB2"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866DCCF" w14:textId="77777777" w:rsidR="00972395" w:rsidRPr="00E73D4B" w:rsidRDefault="00F120C7" w:rsidP="00681E28">
            <w:pPr>
              <w:jc w:val="right"/>
            </w:pPr>
            <w:r w:rsidRPr="00E73D4B">
              <w:t>47</w:t>
            </w:r>
          </w:p>
        </w:tc>
        <w:tc>
          <w:tcPr>
            <w:tcW w:w="4536" w:type="dxa"/>
            <w:tcBorders>
              <w:top w:val="nil"/>
              <w:left w:val="nil"/>
              <w:bottom w:val="nil"/>
              <w:right w:val="nil"/>
            </w:tcBorders>
            <w:tcMar>
              <w:top w:w="128" w:type="dxa"/>
              <w:left w:w="43" w:type="dxa"/>
              <w:bottom w:w="43" w:type="dxa"/>
              <w:right w:w="43" w:type="dxa"/>
            </w:tcMar>
          </w:tcPr>
          <w:p w14:paraId="0D31C93E" w14:textId="77777777" w:rsidR="00972395" w:rsidRPr="00E73D4B" w:rsidRDefault="00F120C7" w:rsidP="00681E28">
            <w:r w:rsidRPr="00E73D4B">
              <w:t xml:space="preserve">Utviding av </w:t>
            </w:r>
            <w:proofErr w:type="spellStart"/>
            <w:r w:rsidRPr="00E73D4B">
              <w:t>avverjingsplikta</w:t>
            </w:r>
            <w:proofErr w:type="spellEnd"/>
          </w:p>
        </w:tc>
        <w:tc>
          <w:tcPr>
            <w:tcW w:w="1829" w:type="dxa"/>
            <w:tcBorders>
              <w:top w:val="nil"/>
              <w:left w:val="nil"/>
              <w:bottom w:val="nil"/>
              <w:right w:val="nil"/>
            </w:tcBorders>
            <w:tcMar>
              <w:top w:w="128" w:type="dxa"/>
              <w:left w:w="43" w:type="dxa"/>
              <w:bottom w:w="43" w:type="dxa"/>
              <w:right w:w="43" w:type="dxa"/>
            </w:tcMar>
          </w:tcPr>
          <w:p w14:paraId="4A021368" w14:textId="77777777" w:rsidR="00972395" w:rsidRPr="00E73D4B" w:rsidRDefault="00F120C7" w:rsidP="00681E28">
            <w:pPr>
              <w:jc w:val="right"/>
            </w:pPr>
            <w:r w:rsidRPr="00E73D4B">
              <w:t>Nei</w:t>
            </w:r>
          </w:p>
        </w:tc>
      </w:tr>
      <w:tr w:rsidR="00972395" w:rsidRPr="00E73D4B" w14:paraId="63EEF141"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0DC7DE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5D7E702" w14:textId="77777777" w:rsidR="00972395" w:rsidRPr="00E73D4B" w:rsidRDefault="00F120C7" w:rsidP="00681E28">
            <w:pPr>
              <w:jc w:val="right"/>
            </w:pPr>
            <w:r w:rsidRPr="00E73D4B">
              <w:t>50</w:t>
            </w:r>
          </w:p>
        </w:tc>
        <w:tc>
          <w:tcPr>
            <w:tcW w:w="4536" w:type="dxa"/>
            <w:tcBorders>
              <w:top w:val="nil"/>
              <w:left w:val="nil"/>
              <w:bottom w:val="nil"/>
              <w:right w:val="nil"/>
            </w:tcBorders>
            <w:tcMar>
              <w:top w:w="128" w:type="dxa"/>
              <w:left w:w="43" w:type="dxa"/>
              <w:bottom w:w="43" w:type="dxa"/>
              <w:right w:w="43" w:type="dxa"/>
            </w:tcMar>
          </w:tcPr>
          <w:p w14:paraId="66C5FF82" w14:textId="77777777" w:rsidR="00972395" w:rsidRPr="00E73D4B" w:rsidRDefault="00F120C7" w:rsidP="00681E28">
            <w:proofErr w:type="spellStart"/>
            <w:r w:rsidRPr="00E73D4B">
              <w:t>Forelding</w:t>
            </w:r>
            <w:proofErr w:type="spellEnd"/>
            <w:r w:rsidRPr="00E73D4B">
              <w:t xml:space="preserve"> av </w:t>
            </w:r>
            <w:proofErr w:type="spellStart"/>
            <w:r w:rsidRPr="00E73D4B">
              <w:t>lovbrot</w:t>
            </w:r>
            <w:proofErr w:type="spellEnd"/>
            <w:r w:rsidRPr="00E73D4B">
              <w:t xml:space="preserve"> mot mindreårige</w:t>
            </w:r>
          </w:p>
        </w:tc>
        <w:tc>
          <w:tcPr>
            <w:tcW w:w="1829" w:type="dxa"/>
            <w:tcBorders>
              <w:top w:val="nil"/>
              <w:left w:val="nil"/>
              <w:bottom w:val="nil"/>
              <w:right w:val="nil"/>
            </w:tcBorders>
            <w:tcMar>
              <w:top w:w="128" w:type="dxa"/>
              <w:left w:w="43" w:type="dxa"/>
              <w:bottom w:w="43" w:type="dxa"/>
              <w:right w:w="43" w:type="dxa"/>
            </w:tcMar>
          </w:tcPr>
          <w:p w14:paraId="54E80404" w14:textId="77777777" w:rsidR="00972395" w:rsidRPr="00E73D4B" w:rsidRDefault="00F120C7" w:rsidP="00681E28">
            <w:pPr>
              <w:jc w:val="right"/>
            </w:pPr>
            <w:r w:rsidRPr="00E73D4B">
              <w:t>Nei</w:t>
            </w:r>
          </w:p>
        </w:tc>
      </w:tr>
      <w:tr w:rsidR="00972395" w:rsidRPr="00E73D4B" w14:paraId="3080CBDE"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0AA48B7"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7FB48937" w14:textId="77777777" w:rsidR="00972395" w:rsidRPr="00E73D4B" w:rsidRDefault="00F120C7" w:rsidP="00681E28">
            <w:pPr>
              <w:jc w:val="right"/>
            </w:pPr>
            <w:r w:rsidRPr="00E73D4B">
              <w:t>64</w:t>
            </w:r>
          </w:p>
        </w:tc>
        <w:tc>
          <w:tcPr>
            <w:tcW w:w="4536" w:type="dxa"/>
            <w:tcBorders>
              <w:top w:val="nil"/>
              <w:left w:val="nil"/>
              <w:bottom w:val="nil"/>
              <w:right w:val="nil"/>
            </w:tcBorders>
            <w:tcMar>
              <w:top w:w="128" w:type="dxa"/>
              <w:left w:w="43" w:type="dxa"/>
              <w:bottom w:w="43" w:type="dxa"/>
              <w:right w:w="43" w:type="dxa"/>
            </w:tcMar>
          </w:tcPr>
          <w:p w14:paraId="4C010308" w14:textId="77777777" w:rsidR="00972395" w:rsidRPr="00E73D4B" w:rsidRDefault="00F120C7" w:rsidP="00681E28">
            <w:proofErr w:type="spellStart"/>
            <w:r w:rsidRPr="00E73D4B">
              <w:t>Tilgjengelege</w:t>
            </w:r>
            <w:proofErr w:type="spellEnd"/>
            <w:r w:rsidRPr="00E73D4B">
              <w:t xml:space="preserve"> </w:t>
            </w:r>
            <w:proofErr w:type="spellStart"/>
            <w:r w:rsidRPr="00E73D4B">
              <w:t>dopingopplysningar</w:t>
            </w:r>
            <w:proofErr w:type="spellEnd"/>
            <w:r w:rsidRPr="00E73D4B">
              <w:t xml:space="preserve"> </w:t>
            </w:r>
          </w:p>
        </w:tc>
        <w:tc>
          <w:tcPr>
            <w:tcW w:w="1829" w:type="dxa"/>
            <w:tcBorders>
              <w:top w:val="nil"/>
              <w:left w:val="nil"/>
              <w:bottom w:val="nil"/>
              <w:right w:val="nil"/>
            </w:tcBorders>
            <w:tcMar>
              <w:top w:w="128" w:type="dxa"/>
              <w:left w:w="43" w:type="dxa"/>
              <w:bottom w:w="43" w:type="dxa"/>
              <w:right w:w="43" w:type="dxa"/>
            </w:tcMar>
          </w:tcPr>
          <w:p w14:paraId="5DDE3414" w14:textId="77777777" w:rsidR="00972395" w:rsidRPr="00E73D4B" w:rsidRDefault="00F120C7" w:rsidP="00681E28">
            <w:pPr>
              <w:jc w:val="right"/>
            </w:pPr>
            <w:r w:rsidRPr="00E73D4B">
              <w:t>Nei</w:t>
            </w:r>
          </w:p>
        </w:tc>
      </w:tr>
      <w:tr w:rsidR="00972395" w:rsidRPr="00E73D4B" w14:paraId="69793770"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5819CD01"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70DA7288" w14:textId="77777777" w:rsidR="00972395" w:rsidRPr="00E73D4B" w:rsidRDefault="00F120C7" w:rsidP="00681E28">
            <w:pPr>
              <w:jc w:val="right"/>
            </w:pPr>
            <w:r w:rsidRPr="00E73D4B">
              <w:t>65</w:t>
            </w:r>
          </w:p>
        </w:tc>
        <w:tc>
          <w:tcPr>
            <w:tcW w:w="4536" w:type="dxa"/>
            <w:tcBorders>
              <w:top w:val="nil"/>
              <w:left w:val="nil"/>
              <w:bottom w:val="nil"/>
              <w:right w:val="nil"/>
            </w:tcBorders>
            <w:tcMar>
              <w:top w:w="128" w:type="dxa"/>
              <w:left w:w="43" w:type="dxa"/>
              <w:bottom w:w="43" w:type="dxa"/>
              <w:right w:w="43" w:type="dxa"/>
            </w:tcMar>
          </w:tcPr>
          <w:p w14:paraId="0768BD14" w14:textId="77777777" w:rsidR="00972395" w:rsidRPr="00E73D4B" w:rsidRDefault="00F120C7" w:rsidP="00681E28">
            <w:r w:rsidRPr="00E73D4B">
              <w:t xml:space="preserve">Straff for den som </w:t>
            </w:r>
            <w:proofErr w:type="spellStart"/>
            <w:r w:rsidRPr="00E73D4B">
              <w:t>tener</w:t>
            </w:r>
            <w:proofErr w:type="spellEnd"/>
            <w:r w:rsidRPr="00E73D4B">
              <w:t xml:space="preserve"> </w:t>
            </w:r>
            <w:proofErr w:type="spellStart"/>
            <w:r w:rsidRPr="00E73D4B">
              <w:t>pengar</w:t>
            </w:r>
            <w:proofErr w:type="spellEnd"/>
            <w:r w:rsidRPr="00E73D4B">
              <w:t xml:space="preserve"> på </w:t>
            </w:r>
            <w:proofErr w:type="spellStart"/>
            <w:r w:rsidRPr="00E73D4B">
              <w:t>idrettsprestasjonar</w:t>
            </w:r>
            <w:proofErr w:type="spellEnd"/>
            <w:r w:rsidRPr="00E73D4B">
              <w:t xml:space="preserve"> som </w:t>
            </w:r>
            <w:proofErr w:type="spellStart"/>
            <w:r w:rsidRPr="00E73D4B">
              <w:t>følgje</w:t>
            </w:r>
            <w:proofErr w:type="spellEnd"/>
            <w:r w:rsidRPr="00E73D4B">
              <w:t xml:space="preserve"> av doping</w:t>
            </w:r>
          </w:p>
        </w:tc>
        <w:tc>
          <w:tcPr>
            <w:tcW w:w="1829" w:type="dxa"/>
            <w:tcBorders>
              <w:top w:val="nil"/>
              <w:left w:val="nil"/>
              <w:bottom w:val="nil"/>
              <w:right w:val="nil"/>
            </w:tcBorders>
            <w:tcMar>
              <w:top w:w="128" w:type="dxa"/>
              <w:left w:w="43" w:type="dxa"/>
              <w:bottom w:w="43" w:type="dxa"/>
              <w:right w:w="43" w:type="dxa"/>
            </w:tcMar>
          </w:tcPr>
          <w:p w14:paraId="582A4A82" w14:textId="77777777" w:rsidR="00972395" w:rsidRPr="00E73D4B" w:rsidRDefault="00F120C7" w:rsidP="00681E28">
            <w:pPr>
              <w:jc w:val="right"/>
            </w:pPr>
            <w:r w:rsidRPr="00E73D4B">
              <w:t>Nei</w:t>
            </w:r>
          </w:p>
        </w:tc>
      </w:tr>
      <w:tr w:rsidR="00972395" w:rsidRPr="00E73D4B" w14:paraId="2F91BA47"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A50B833"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35B767AD" w14:textId="77777777" w:rsidR="00972395" w:rsidRPr="00E73D4B" w:rsidRDefault="00F120C7" w:rsidP="00681E28">
            <w:pPr>
              <w:jc w:val="right"/>
            </w:pPr>
            <w:r w:rsidRPr="00E73D4B">
              <w:t>140</w:t>
            </w:r>
          </w:p>
        </w:tc>
        <w:tc>
          <w:tcPr>
            <w:tcW w:w="4536" w:type="dxa"/>
            <w:tcBorders>
              <w:top w:val="nil"/>
              <w:left w:val="nil"/>
              <w:bottom w:val="nil"/>
              <w:right w:val="nil"/>
            </w:tcBorders>
            <w:tcMar>
              <w:top w:w="128" w:type="dxa"/>
              <w:left w:w="43" w:type="dxa"/>
              <w:bottom w:w="43" w:type="dxa"/>
              <w:right w:w="43" w:type="dxa"/>
            </w:tcMar>
          </w:tcPr>
          <w:p w14:paraId="581127F2" w14:textId="77777777" w:rsidR="00972395" w:rsidRPr="00E73D4B" w:rsidRDefault="00F120C7" w:rsidP="00681E28">
            <w:proofErr w:type="spellStart"/>
            <w:r w:rsidRPr="00E73D4B">
              <w:t>Eigendelar</w:t>
            </w:r>
            <w:proofErr w:type="spellEnd"/>
            <w:r w:rsidRPr="00E73D4B">
              <w:t xml:space="preserve"> etter finansavtalelova</w:t>
            </w:r>
          </w:p>
        </w:tc>
        <w:tc>
          <w:tcPr>
            <w:tcW w:w="1829" w:type="dxa"/>
            <w:tcBorders>
              <w:top w:val="nil"/>
              <w:left w:val="nil"/>
              <w:bottom w:val="nil"/>
              <w:right w:val="nil"/>
            </w:tcBorders>
            <w:tcMar>
              <w:top w:w="128" w:type="dxa"/>
              <w:left w:w="43" w:type="dxa"/>
              <w:bottom w:w="43" w:type="dxa"/>
              <w:right w:w="43" w:type="dxa"/>
            </w:tcMar>
          </w:tcPr>
          <w:p w14:paraId="25364F6C" w14:textId="77777777" w:rsidR="00972395" w:rsidRPr="00E73D4B" w:rsidRDefault="00F120C7" w:rsidP="00681E28">
            <w:pPr>
              <w:jc w:val="right"/>
            </w:pPr>
            <w:r w:rsidRPr="00E73D4B">
              <w:t>Ja</w:t>
            </w:r>
          </w:p>
        </w:tc>
      </w:tr>
      <w:tr w:rsidR="00972395" w:rsidRPr="00E73D4B" w14:paraId="4BB8C0D7"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04A3F9A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1AE516B" w14:textId="77777777" w:rsidR="00972395" w:rsidRPr="00E73D4B" w:rsidRDefault="00F120C7" w:rsidP="00681E28">
            <w:pPr>
              <w:jc w:val="right"/>
            </w:pPr>
            <w:r w:rsidRPr="00E73D4B">
              <w:t>206</w:t>
            </w:r>
          </w:p>
        </w:tc>
        <w:tc>
          <w:tcPr>
            <w:tcW w:w="4536" w:type="dxa"/>
            <w:tcBorders>
              <w:top w:val="nil"/>
              <w:left w:val="nil"/>
              <w:bottom w:val="nil"/>
              <w:right w:val="nil"/>
            </w:tcBorders>
            <w:tcMar>
              <w:top w:w="128" w:type="dxa"/>
              <w:left w:w="43" w:type="dxa"/>
              <w:bottom w:w="43" w:type="dxa"/>
              <w:right w:w="43" w:type="dxa"/>
            </w:tcMar>
          </w:tcPr>
          <w:p w14:paraId="37763B1B" w14:textId="77777777" w:rsidR="00972395" w:rsidRPr="00E73D4B" w:rsidRDefault="00F120C7" w:rsidP="00681E28">
            <w:proofErr w:type="spellStart"/>
            <w:r w:rsidRPr="00E73D4B">
              <w:t>Klarare</w:t>
            </w:r>
            <w:proofErr w:type="spellEnd"/>
            <w:r w:rsidRPr="00E73D4B">
              <w:t xml:space="preserve"> </w:t>
            </w:r>
            <w:proofErr w:type="spellStart"/>
            <w:r w:rsidRPr="00E73D4B">
              <w:t>skilje</w:t>
            </w:r>
            <w:proofErr w:type="spellEnd"/>
            <w:r w:rsidRPr="00E73D4B">
              <w:t xml:space="preserve"> mellom </w:t>
            </w:r>
            <w:proofErr w:type="spellStart"/>
            <w:r w:rsidRPr="00E73D4B">
              <w:t>konvensjonsstatus</w:t>
            </w:r>
            <w:proofErr w:type="spellEnd"/>
            <w:r w:rsidRPr="00E73D4B">
              <w:t xml:space="preserve"> (asyl) og subsidiært vern</w:t>
            </w:r>
          </w:p>
        </w:tc>
        <w:tc>
          <w:tcPr>
            <w:tcW w:w="1829" w:type="dxa"/>
            <w:tcBorders>
              <w:top w:val="nil"/>
              <w:left w:val="nil"/>
              <w:bottom w:val="nil"/>
              <w:right w:val="nil"/>
            </w:tcBorders>
            <w:tcMar>
              <w:top w:w="128" w:type="dxa"/>
              <w:left w:w="43" w:type="dxa"/>
              <w:bottom w:w="43" w:type="dxa"/>
              <w:right w:w="43" w:type="dxa"/>
            </w:tcMar>
          </w:tcPr>
          <w:p w14:paraId="4DC64E5A" w14:textId="77777777" w:rsidR="00972395" w:rsidRPr="00E73D4B" w:rsidRDefault="00F120C7" w:rsidP="00681E28">
            <w:pPr>
              <w:jc w:val="right"/>
            </w:pPr>
            <w:r w:rsidRPr="00E73D4B">
              <w:t>Nei</w:t>
            </w:r>
          </w:p>
        </w:tc>
      </w:tr>
      <w:tr w:rsidR="00972395" w:rsidRPr="00E73D4B" w14:paraId="48671F7B"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09CAD266"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4F641CF" w14:textId="77777777" w:rsidR="00972395" w:rsidRPr="00E73D4B" w:rsidRDefault="00F120C7" w:rsidP="00681E28">
            <w:pPr>
              <w:jc w:val="right"/>
            </w:pPr>
            <w:r w:rsidRPr="00E73D4B">
              <w:t>207</w:t>
            </w:r>
          </w:p>
        </w:tc>
        <w:tc>
          <w:tcPr>
            <w:tcW w:w="4536" w:type="dxa"/>
            <w:tcBorders>
              <w:top w:val="nil"/>
              <w:left w:val="nil"/>
              <w:bottom w:val="nil"/>
              <w:right w:val="nil"/>
            </w:tcBorders>
            <w:tcMar>
              <w:top w:w="128" w:type="dxa"/>
              <w:left w:w="43" w:type="dxa"/>
              <w:bottom w:w="43" w:type="dxa"/>
              <w:right w:w="43" w:type="dxa"/>
            </w:tcMar>
          </w:tcPr>
          <w:p w14:paraId="3647893A" w14:textId="77777777" w:rsidR="00972395" w:rsidRPr="00E73D4B" w:rsidRDefault="00F120C7" w:rsidP="00681E28">
            <w:r w:rsidRPr="00E73D4B">
              <w:t>Plan for effektiv motarbeiding av irregulær migrasjon</w:t>
            </w:r>
          </w:p>
        </w:tc>
        <w:tc>
          <w:tcPr>
            <w:tcW w:w="1829" w:type="dxa"/>
            <w:tcBorders>
              <w:top w:val="nil"/>
              <w:left w:val="nil"/>
              <w:bottom w:val="nil"/>
              <w:right w:val="nil"/>
            </w:tcBorders>
            <w:tcMar>
              <w:top w:w="128" w:type="dxa"/>
              <w:left w:w="43" w:type="dxa"/>
              <w:bottom w:w="43" w:type="dxa"/>
              <w:right w:w="43" w:type="dxa"/>
            </w:tcMar>
          </w:tcPr>
          <w:p w14:paraId="7168468A" w14:textId="77777777" w:rsidR="00972395" w:rsidRPr="00E73D4B" w:rsidRDefault="00F120C7" w:rsidP="00681E28">
            <w:pPr>
              <w:jc w:val="right"/>
            </w:pPr>
            <w:r w:rsidRPr="00E73D4B">
              <w:t>Nei</w:t>
            </w:r>
          </w:p>
        </w:tc>
      </w:tr>
      <w:tr w:rsidR="00972395" w:rsidRPr="00E73D4B" w14:paraId="1D7C2A10"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72F9B8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386F89AD" w14:textId="77777777" w:rsidR="00972395" w:rsidRPr="00E73D4B" w:rsidRDefault="00F120C7" w:rsidP="00681E28">
            <w:pPr>
              <w:jc w:val="right"/>
            </w:pPr>
            <w:r w:rsidRPr="00E73D4B">
              <w:t>208</w:t>
            </w:r>
          </w:p>
        </w:tc>
        <w:tc>
          <w:tcPr>
            <w:tcW w:w="4536" w:type="dxa"/>
            <w:tcBorders>
              <w:top w:val="nil"/>
              <w:left w:val="nil"/>
              <w:bottom w:val="nil"/>
              <w:right w:val="nil"/>
            </w:tcBorders>
            <w:tcMar>
              <w:top w:w="128" w:type="dxa"/>
              <w:left w:w="43" w:type="dxa"/>
              <w:bottom w:w="43" w:type="dxa"/>
              <w:right w:w="43" w:type="dxa"/>
            </w:tcMar>
          </w:tcPr>
          <w:p w14:paraId="2A018BB0" w14:textId="77777777" w:rsidR="00972395" w:rsidRPr="00E73D4B" w:rsidRDefault="00F120C7" w:rsidP="00681E28">
            <w:r w:rsidRPr="00E73D4B">
              <w:t>Klarlegging av identitet</w:t>
            </w:r>
          </w:p>
        </w:tc>
        <w:tc>
          <w:tcPr>
            <w:tcW w:w="1829" w:type="dxa"/>
            <w:tcBorders>
              <w:top w:val="nil"/>
              <w:left w:val="nil"/>
              <w:bottom w:val="nil"/>
              <w:right w:val="nil"/>
            </w:tcBorders>
            <w:tcMar>
              <w:top w:w="128" w:type="dxa"/>
              <w:left w:w="43" w:type="dxa"/>
              <w:bottom w:w="43" w:type="dxa"/>
              <w:right w:w="43" w:type="dxa"/>
            </w:tcMar>
          </w:tcPr>
          <w:p w14:paraId="1858B09D" w14:textId="77777777" w:rsidR="00972395" w:rsidRPr="00E73D4B" w:rsidRDefault="00F120C7" w:rsidP="00681E28">
            <w:pPr>
              <w:jc w:val="right"/>
            </w:pPr>
            <w:r w:rsidRPr="00E73D4B">
              <w:t>Nei</w:t>
            </w:r>
          </w:p>
        </w:tc>
      </w:tr>
      <w:tr w:rsidR="00972395" w:rsidRPr="00E73D4B" w14:paraId="4E2BF2D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F66760A"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58CB2962" w14:textId="77777777" w:rsidR="00972395" w:rsidRPr="00E73D4B" w:rsidRDefault="00F120C7" w:rsidP="00681E28">
            <w:pPr>
              <w:jc w:val="right"/>
            </w:pPr>
            <w:r w:rsidRPr="00E73D4B">
              <w:t>209</w:t>
            </w:r>
          </w:p>
        </w:tc>
        <w:tc>
          <w:tcPr>
            <w:tcW w:w="4536" w:type="dxa"/>
            <w:tcBorders>
              <w:top w:val="nil"/>
              <w:left w:val="nil"/>
              <w:bottom w:val="nil"/>
              <w:right w:val="nil"/>
            </w:tcBorders>
            <w:tcMar>
              <w:top w:w="128" w:type="dxa"/>
              <w:left w:w="43" w:type="dxa"/>
              <w:bottom w:w="43" w:type="dxa"/>
              <w:right w:w="43" w:type="dxa"/>
            </w:tcMar>
          </w:tcPr>
          <w:p w14:paraId="04FF86F2" w14:textId="77777777" w:rsidR="00972395" w:rsidRPr="00E73D4B" w:rsidRDefault="00F120C7" w:rsidP="00681E28">
            <w:r w:rsidRPr="00E73D4B">
              <w:t>Skjerping av underhaldskravet</w:t>
            </w:r>
          </w:p>
        </w:tc>
        <w:tc>
          <w:tcPr>
            <w:tcW w:w="1829" w:type="dxa"/>
            <w:tcBorders>
              <w:top w:val="nil"/>
              <w:left w:val="nil"/>
              <w:bottom w:val="nil"/>
              <w:right w:val="nil"/>
            </w:tcBorders>
            <w:tcMar>
              <w:top w:w="128" w:type="dxa"/>
              <w:left w:w="43" w:type="dxa"/>
              <w:bottom w:w="43" w:type="dxa"/>
              <w:right w:w="43" w:type="dxa"/>
            </w:tcMar>
          </w:tcPr>
          <w:p w14:paraId="59E8AC6F" w14:textId="77777777" w:rsidR="00972395" w:rsidRPr="00E73D4B" w:rsidRDefault="00F120C7" w:rsidP="00681E28">
            <w:pPr>
              <w:jc w:val="right"/>
            </w:pPr>
            <w:r w:rsidRPr="00E73D4B">
              <w:t>Ja</w:t>
            </w:r>
          </w:p>
        </w:tc>
      </w:tr>
      <w:tr w:rsidR="00972395" w:rsidRPr="00E73D4B" w14:paraId="487EFD88"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07101E1E"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060099E" w14:textId="77777777" w:rsidR="00972395" w:rsidRPr="00E73D4B" w:rsidRDefault="00F120C7" w:rsidP="00681E28">
            <w:pPr>
              <w:jc w:val="right"/>
            </w:pPr>
            <w:r w:rsidRPr="00E73D4B">
              <w:t>443</w:t>
            </w:r>
          </w:p>
        </w:tc>
        <w:tc>
          <w:tcPr>
            <w:tcW w:w="4536" w:type="dxa"/>
            <w:tcBorders>
              <w:top w:val="nil"/>
              <w:left w:val="nil"/>
              <w:bottom w:val="nil"/>
              <w:right w:val="nil"/>
            </w:tcBorders>
            <w:tcMar>
              <w:top w:w="128" w:type="dxa"/>
              <w:left w:w="43" w:type="dxa"/>
              <w:bottom w:w="43" w:type="dxa"/>
              <w:right w:w="43" w:type="dxa"/>
            </w:tcMar>
          </w:tcPr>
          <w:p w14:paraId="4F5DA606" w14:textId="77777777" w:rsidR="00972395" w:rsidRPr="00E73D4B" w:rsidRDefault="00F120C7" w:rsidP="00681E28">
            <w:proofErr w:type="spellStart"/>
            <w:r w:rsidRPr="00E73D4B">
              <w:t>Høgare</w:t>
            </w:r>
            <w:proofErr w:type="spellEnd"/>
            <w:r w:rsidRPr="00E73D4B">
              <w:t xml:space="preserve"> straff for barn som </w:t>
            </w:r>
            <w:proofErr w:type="spellStart"/>
            <w:r w:rsidRPr="00E73D4B">
              <w:t>gjer</w:t>
            </w:r>
            <w:proofErr w:type="spellEnd"/>
            <w:r w:rsidRPr="00E73D4B">
              <w:t xml:space="preserve"> gjenteken kriminalitet</w:t>
            </w:r>
          </w:p>
        </w:tc>
        <w:tc>
          <w:tcPr>
            <w:tcW w:w="1829" w:type="dxa"/>
            <w:tcBorders>
              <w:top w:val="nil"/>
              <w:left w:val="nil"/>
              <w:bottom w:val="nil"/>
              <w:right w:val="nil"/>
            </w:tcBorders>
            <w:tcMar>
              <w:top w:w="128" w:type="dxa"/>
              <w:left w:w="43" w:type="dxa"/>
              <w:bottom w:w="43" w:type="dxa"/>
              <w:right w:w="43" w:type="dxa"/>
            </w:tcMar>
          </w:tcPr>
          <w:p w14:paraId="56B713CA" w14:textId="77777777" w:rsidR="00972395" w:rsidRPr="00E73D4B" w:rsidRDefault="00F120C7" w:rsidP="00681E28">
            <w:pPr>
              <w:jc w:val="right"/>
            </w:pPr>
            <w:r w:rsidRPr="00E73D4B">
              <w:t xml:space="preserve">Nei </w:t>
            </w:r>
          </w:p>
        </w:tc>
      </w:tr>
      <w:tr w:rsidR="00972395" w:rsidRPr="00E73D4B" w14:paraId="28EE42A1"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4AD11961"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52C7894F" w14:textId="77777777" w:rsidR="00972395" w:rsidRPr="00E73D4B" w:rsidRDefault="00F120C7" w:rsidP="00681E28">
            <w:pPr>
              <w:jc w:val="right"/>
            </w:pPr>
            <w:r w:rsidRPr="00E73D4B">
              <w:t>446</w:t>
            </w:r>
          </w:p>
        </w:tc>
        <w:tc>
          <w:tcPr>
            <w:tcW w:w="4536" w:type="dxa"/>
            <w:tcBorders>
              <w:top w:val="nil"/>
              <w:left w:val="nil"/>
              <w:bottom w:val="nil"/>
              <w:right w:val="nil"/>
            </w:tcBorders>
            <w:tcMar>
              <w:top w:w="128" w:type="dxa"/>
              <w:left w:w="43" w:type="dxa"/>
              <w:bottom w:w="43" w:type="dxa"/>
              <w:right w:w="43" w:type="dxa"/>
            </w:tcMar>
          </w:tcPr>
          <w:p w14:paraId="4BEB8B31" w14:textId="77777777" w:rsidR="00972395" w:rsidRPr="00E73D4B" w:rsidRDefault="00F120C7" w:rsidP="00681E28">
            <w:r w:rsidRPr="00E73D4B">
              <w:t xml:space="preserve">Tiltak for å </w:t>
            </w:r>
            <w:proofErr w:type="spellStart"/>
            <w:r w:rsidRPr="00E73D4B">
              <w:t>auke</w:t>
            </w:r>
            <w:proofErr w:type="spellEnd"/>
            <w:r w:rsidRPr="00E73D4B">
              <w:t xml:space="preserve"> </w:t>
            </w:r>
            <w:proofErr w:type="spellStart"/>
            <w:r w:rsidRPr="00E73D4B">
              <w:t>talet</w:t>
            </w:r>
            <w:proofErr w:type="spellEnd"/>
            <w:r w:rsidRPr="00E73D4B">
              <w:t xml:space="preserve"> på </w:t>
            </w:r>
            <w:proofErr w:type="spellStart"/>
            <w:r w:rsidRPr="00E73D4B">
              <w:t>inndragingar</w:t>
            </w:r>
            <w:proofErr w:type="spellEnd"/>
          </w:p>
        </w:tc>
        <w:tc>
          <w:tcPr>
            <w:tcW w:w="1829" w:type="dxa"/>
            <w:tcBorders>
              <w:top w:val="nil"/>
              <w:left w:val="nil"/>
              <w:bottom w:val="nil"/>
              <w:right w:val="nil"/>
            </w:tcBorders>
            <w:tcMar>
              <w:top w:w="128" w:type="dxa"/>
              <w:left w:w="43" w:type="dxa"/>
              <w:bottom w:w="43" w:type="dxa"/>
              <w:right w:w="43" w:type="dxa"/>
            </w:tcMar>
          </w:tcPr>
          <w:p w14:paraId="2647BB6E" w14:textId="77777777" w:rsidR="00972395" w:rsidRPr="00E73D4B" w:rsidRDefault="00F120C7" w:rsidP="00681E28">
            <w:pPr>
              <w:jc w:val="right"/>
            </w:pPr>
            <w:r w:rsidRPr="00E73D4B">
              <w:t>Nei</w:t>
            </w:r>
          </w:p>
        </w:tc>
      </w:tr>
      <w:tr w:rsidR="00972395" w:rsidRPr="00E73D4B" w14:paraId="59389E80"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77EE1E5"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39ACEC01" w14:textId="77777777" w:rsidR="00972395" w:rsidRPr="00E73D4B" w:rsidRDefault="00F120C7" w:rsidP="00681E28">
            <w:pPr>
              <w:jc w:val="right"/>
            </w:pPr>
            <w:r w:rsidRPr="00E73D4B">
              <w:t>447</w:t>
            </w:r>
          </w:p>
        </w:tc>
        <w:tc>
          <w:tcPr>
            <w:tcW w:w="4536" w:type="dxa"/>
            <w:tcBorders>
              <w:top w:val="nil"/>
              <w:left w:val="nil"/>
              <w:bottom w:val="nil"/>
              <w:right w:val="nil"/>
            </w:tcBorders>
            <w:tcMar>
              <w:top w:w="128" w:type="dxa"/>
              <w:left w:w="43" w:type="dxa"/>
              <w:bottom w:w="43" w:type="dxa"/>
              <w:right w:w="43" w:type="dxa"/>
            </w:tcMar>
          </w:tcPr>
          <w:p w14:paraId="39E6A5B9" w14:textId="77777777" w:rsidR="00972395" w:rsidRPr="00E73D4B" w:rsidRDefault="00F120C7" w:rsidP="00681E28">
            <w:r w:rsidRPr="00E73D4B">
              <w:t xml:space="preserve">Besøks- og </w:t>
            </w:r>
            <w:proofErr w:type="spellStart"/>
            <w:r w:rsidRPr="00E73D4B">
              <w:t>opphaldsforbod</w:t>
            </w:r>
            <w:proofErr w:type="spellEnd"/>
          </w:p>
        </w:tc>
        <w:tc>
          <w:tcPr>
            <w:tcW w:w="1829" w:type="dxa"/>
            <w:tcBorders>
              <w:top w:val="nil"/>
              <w:left w:val="nil"/>
              <w:bottom w:val="nil"/>
              <w:right w:val="nil"/>
            </w:tcBorders>
            <w:tcMar>
              <w:top w:w="128" w:type="dxa"/>
              <w:left w:w="43" w:type="dxa"/>
              <w:bottom w:w="43" w:type="dxa"/>
              <w:right w:w="43" w:type="dxa"/>
            </w:tcMar>
          </w:tcPr>
          <w:p w14:paraId="60708F5C" w14:textId="77777777" w:rsidR="00972395" w:rsidRPr="00E73D4B" w:rsidRDefault="00F120C7" w:rsidP="00681E28">
            <w:pPr>
              <w:jc w:val="right"/>
            </w:pPr>
            <w:r w:rsidRPr="00E73D4B">
              <w:t>Nei</w:t>
            </w:r>
          </w:p>
        </w:tc>
      </w:tr>
      <w:tr w:rsidR="00972395" w:rsidRPr="00E73D4B" w14:paraId="33DC4E81"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6C258BC9"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77707E73" w14:textId="77777777" w:rsidR="00972395" w:rsidRPr="00E73D4B" w:rsidRDefault="00F120C7" w:rsidP="00681E28">
            <w:pPr>
              <w:jc w:val="right"/>
            </w:pPr>
            <w:r w:rsidRPr="00E73D4B">
              <w:t>452</w:t>
            </w:r>
          </w:p>
        </w:tc>
        <w:tc>
          <w:tcPr>
            <w:tcW w:w="4536" w:type="dxa"/>
            <w:tcBorders>
              <w:top w:val="nil"/>
              <w:left w:val="nil"/>
              <w:bottom w:val="nil"/>
              <w:right w:val="nil"/>
            </w:tcBorders>
            <w:tcMar>
              <w:top w:w="128" w:type="dxa"/>
              <w:left w:w="43" w:type="dxa"/>
              <w:bottom w:w="43" w:type="dxa"/>
              <w:right w:w="43" w:type="dxa"/>
            </w:tcMar>
          </w:tcPr>
          <w:p w14:paraId="31AFF94A" w14:textId="77777777" w:rsidR="00972395" w:rsidRPr="00E73D4B" w:rsidRDefault="00F120C7" w:rsidP="00681E28">
            <w:r w:rsidRPr="00E73D4B">
              <w:t xml:space="preserve">Straff for å la </w:t>
            </w:r>
            <w:proofErr w:type="spellStart"/>
            <w:r w:rsidRPr="00E73D4B">
              <w:t>verdiane</w:t>
            </w:r>
            <w:proofErr w:type="spellEnd"/>
            <w:r w:rsidRPr="00E73D4B">
              <w:t xml:space="preserve"> til gjengkriminelle stå i eige </w:t>
            </w:r>
            <w:proofErr w:type="spellStart"/>
            <w:r w:rsidRPr="00E73D4B">
              <w:t>namn</w:t>
            </w:r>
            <w:proofErr w:type="spellEnd"/>
          </w:p>
        </w:tc>
        <w:tc>
          <w:tcPr>
            <w:tcW w:w="1829" w:type="dxa"/>
            <w:tcBorders>
              <w:top w:val="nil"/>
              <w:left w:val="nil"/>
              <w:bottom w:val="nil"/>
              <w:right w:val="nil"/>
            </w:tcBorders>
            <w:tcMar>
              <w:top w:w="128" w:type="dxa"/>
              <w:left w:w="43" w:type="dxa"/>
              <w:bottom w:w="43" w:type="dxa"/>
              <w:right w:w="43" w:type="dxa"/>
            </w:tcMar>
          </w:tcPr>
          <w:p w14:paraId="46FB5AEF" w14:textId="77777777" w:rsidR="00972395" w:rsidRPr="00E73D4B" w:rsidRDefault="00F120C7" w:rsidP="00681E28">
            <w:pPr>
              <w:jc w:val="right"/>
            </w:pPr>
            <w:r w:rsidRPr="00E73D4B">
              <w:t>Ja</w:t>
            </w:r>
          </w:p>
        </w:tc>
      </w:tr>
      <w:tr w:rsidR="00972395" w:rsidRPr="00E73D4B" w14:paraId="66773111"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5BC6FE0"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91CA304" w14:textId="77777777" w:rsidR="00972395" w:rsidRPr="00E73D4B" w:rsidRDefault="00F120C7" w:rsidP="00681E28">
            <w:pPr>
              <w:jc w:val="right"/>
            </w:pPr>
            <w:r w:rsidRPr="00E73D4B">
              <w:t>627</w:t>
            </w:r>
          </w:p>
        </w:tc>
        <w:tc>
          <w:tcPr>
            <w:tcW w:w="4536" w:type="dxa"/>
            <w:tcBorders>
              <w:top w:val="nil"/>
              <w:left w:val="nil"/>
              <w:bottom w:val="nil"/>
              <w:right w:val="nil"/>
            </w:tcBorders>
            <w:tcMar>
              <w:top w:w="128" w:type="dxa"/>
              <w:left w:w="43" w:type="dxa"/>
              <w:bottom w:w="43" w:type="dxa"/>
              <w:right w:w="43" w:type="dxa"/>
            </w:tcMar>
          </w:tcPr>
          <w:p w14:paraId="6AA6A498" w14:textId="77777777" w:rsidR="00972395" w:rsidRPr="00E73D4B" w:rsidRDefault="00F120C7" w:rsidP="00681E28">
            <w:r w:rsidRPr="00E73D4B">
              <w:t>Fornyingsordning for barneomsorgsattest</w:t>
            </w:r>
          </w:p>
        </w:tc>
        <w:tc>
          <w:tcPr>
            <w:tcW w:w="1829" w:type="dxa"/>
            <w:tcBorders>
              <w:top w:val="nil"/>
              <w:left w:val="nil"/>
              <w:bottom w:val="nil"/>
              <w:right w:val="nil"/>
            </w:tcBorders>
            <w:tcMar>
              <w:top w:w="128" w:type="dxa"/>
              <w:left w:w="43" w:type="dxa"/>
              <w:bottom w:w="43" w:type="dxa"/>
              <w:right w:w="43" w:type="dxa"/>
            </w:tcMar>
          </w:tcPr>
          <w:p w14:paraId="16055AC0" w14:textId="77777777" w:rsidR="00972395" w:rsidRPr="00E73D4B" w:rsidRDefault="00F120C7" w:rsidP="00681E28">
            <w:pPr>
              <w:jc w:val="right"/>
            </w:pPr>
            <w:r w:rsidRPr="00E73D4B">
              <w:t>Nei</w:t>
            </w:r>
          </w:p>
        </w:tc>
      </w:tr>
      <w:tr w:rsidR="00972395" w:rsidRPr="00E73D4B" w14:paraId="6801F466"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5A257A9"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00992E3" w14:textId="77777777" w:rsidR="00972395" w:rsidRPr="00E73D4B" w:rsidRDefault="00F120C7" w:rsidP="00681E28">
            <w:pPr>
              <w:jc w:val="right"/>
            </w:pPr>
            <w:r w:rsidRPr="00E73D4B">
              <w:t>628</w:t>
            </w:r>
          </w:p>
        </w:tc>
        <w:tc>
          <w:tcPr>
            <w:tcW w:w="4536" w:type="dxa"/>
            <w:tcBorders>
              <w:top w:val="nil"/>
              <w:left w:val="nil"/>
              <w:bottom w:val="nil"/>
              <w:right w:val="nil"/>
            </w:tcBorders>
            <w:tcMar>
              <w:top w:w="128" w:type="dxa"/>
              <w:left w:w="43" w:type="dxa"/>
              <w:bottom w:w="43" w:type="dxa"/>
              <w:right w:w="43" w:type="dxa"/>
            </w:tcMar>
          </w:tcPr>
          <w:p w14:paraId="4A54D38C" w14:textId="77777777" w:rsidR="00972395" w:rsidRPr="00E73D4B" w:rsidRDefault="00F120C7" w:rsidP="00681E28">
            <w:r w:rsidRPr="00E73D4B">
              <w:t xml:space="preserve">Gjennomgang av barneomsorgsattestordninga </w:t>
            </w:r>
          </w:p>
        </w:tc>
        <w:tc>
          <w:tcPr>
            <w:tcW w:w="1829" w:type="dxa"/>
            <w:tcBorders>
              <w:top w:val="nil"/>
              <w:left w:val="nil"/>
              <w:bottom w:val="nil"/>
              <w:right w:val="nil"/>
            </w:tcBorders>
            <w:tcMar>
              <w:top w:w="128" w:type="dxa"/>
              <w:left w:w="43" w:type="dxa"/>
              <w:bottom w:w="43" w:type="dxa"/>
              <w:right w:w="43" w:type="dxa"/>
            </w:tcMar>
          </w:tcPr>
          <w:p w14:paraId="33448DD5" w14:textId="77777777" w:rsidR="00972395" w:rsidRPr="00E73D4B" w:rsidRDefault="00F120C7" w:rsidP="00681E28">
            <w:pPr>
              <w:jc w:val="right"/>
            </w:pPr>
            <w:r w:rsidRPr="00E73D4B">
              <w:t>Nei</w:t>
            </w:r>
          </w:p>
        </w:tc>
      </w:tr>
      <w:tr w:rsidR="00972395" w:rsidRPr="00E73D4B" w14:paraId="13A1321C"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E09ECF5"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DD44F2A" w14:textId="77777777" w:rsidR="00972395" w:rsidRPr="00E73D4B" w:rsidRDefault="00F120C7" w:rsidP="00681E28">
            <w:pPr>
              <w:jc w:val="right"/>
            </w:pPr>
            <w:r w:rsidRPr="00E73D4B">
              <w:t>676</w:t>
            </w:r>
          </w:p>
        </w:tc>
        <w:tc>
          <w:tcPr>
            <w:tcW w:w="4536" w:type="dxa"/>
            <w:tcBorders>
              <w:top w:val="nil"/>
              <w:left w:val="nil"/>
              <w:bottom w:val="nil"/>
              <w:right w:val="nil"/>
            </w:tcBorders>
            <w:tcMar>
              <w:top w:w="128" w:type="dxa"/>
              <w:left w:w="43" w:type="dxa"/>
              <w:bottom w:w="43" w:type="dxa"/>
              <w:right w:w="43" w:type="dxa"/>
            </w:tcMar>
          </w:tcPr>
          <w:p w14:paraId="64EDE821" w14:textId="77777777" w:rsidR="00972395" w:rsidRPr="00E73D4B" w:rsidRDefault="00F120C7" w:rsidP="00681E28">
            <w:r w:rsidRPr="00E73D4B">
              <w:t xml:space="preserve">Ny </w:t>
            </w:r>
            <w:proofErr w:type="spellStart"/>
            <w:r w:rsidRPr="00E73D4B">
              <w:t>politihøgskule</w:t>
            </w:r>
            <w:proofErr w:type="spellEnd"/>
          </w:p>
        </w:tc>
        <w:tc>
          <w:tcPr>
            <w:tcW w:w="1829" w:type="dxa"/>
            <w:tcBorders>
              <w:top w:val="nil"/>
              <w:left w:val="nil"/>
              <w:bottom w:val="nil"/>
              <w:right w:val="nil"/>
            </w:tcBorders>
            <w:tcMar>
              <w:top w:w="128" w:type="dxa"/>
              <w:left w:w="43" w:type="dxa"/>
              <w:bottom w:w="43" w:type="dxa"/>
              <w:right w:w="43" w:type="dxa"/>
            </w:tcMar>
          </w:tcPr>
          <w:p w14:paraId="15EF2D15" w14:textId="77777777" w:rsidR="00972395" w:rsidRPr="00E73D4B" w:rsidRDefault="00F120C7" w:rsidP="00681E28">
            <w:pPr>
              <w:jc w:val="right"/>
            </w:pPr>
            <w:r w:rsidRPr="00E73D4B">
              <w:t>Ja</w:t>
            </w:r>
          </w:p>
        </w:tc>
      </w:tr>
      <w:tr w:rsidR="00972395" w:rsidRPr="00E73D4B" w14:paraId="53BD2C00"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A0C077B"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A87D313" w14:textId="77777777" w:rsidR="00972395" w:rsidRPr="00E73D4B" w:rsidRDefault="00F120C7" w:rsidP="00681E28">
            <w:pPr>
              <w:jc w:val="right"/>
            </w:pPr>
            <w:r w:rsidRPr="00E73D4B">
              <w:t>680</w:t>
            </w:r>
          </w:p>
        </w:tc>
        <w:tc>
          <w:tcPr>
            <w:tcW w:w="4536" w:type="dxa"/>
            <w:tcBorders>
              <w:top w:val="nil"/>
              <w:left w:val="nil"/>
              <w:bottom w:val="nil"/>
              <w:right w:val="nil"/>
            </w:tcBorders>
            <w:tcMar>
              <w:top w:w="128" w:type="dxa"/>
              <w:left w:w="43" w:type="dxa"/>
              <w:bottom w:w="43" w:type="dxa"/>
              <w:right w:w="43" w:type="dxa"/>
            </w:tcMar>
          </w:tcPr>
          <w:p w14:paraId="37B94E21" w14:textId="77777777" w:rsidR="00972395" w:rsidRPr="00E73D4B" w:rsidRDefault="00F120C7" w:rsidP="00681E28">
            <w:proofErr w:type="spellStart"/>
            <w:r w:rsidRPr="00E73D4B">
              <w:t>Gjenopning</w:t>
            </w:r>
            <w:proofErr w:type="spellEnd"/>
            <w:r w:rsidRPr="00E73D4B">
              <w:t xml:space="preserve"> av </w:t>
            </w:r>
            <w:proofErr w:type="spellStart"/>
            <w:r w:rsidRPr="00E73D4B">
              <w:t>arrestar</w:t>
            </w:r>
            <w:proofErr w:type="spellEnd"/>
          </w:p>
        </w:tc>
        <w:tc>
          <w:tcPr>
            <w:tcW w:w="1829" w:type="dxa"/>
            <w:tcBorders>
              <w:top w:val="nil"/>
              <w:left w:val="nil"/>
              <w:bottom w:val="nil"/>
              <w:right w:val="nil"/>
            </w:tcBorders>
            <w:tcMar>
              <w:top w:w="128" w:type="dxa"/>
              <w:left w:w="43" w:type="dxa"/>
              <w:bottom w:w="43" w:type="dxa"/>
              <w:right w:w="43" w:type="dxa"/>
            </w:tcMar>
          </w:tcPr>
          <w:p w14:paraId="5AF713BD" w14:textId="77777777" w:rsidR="00972395" w:rsidRPr="00E73D4B" w:rsidRDefault="00F120C7" w:rsidP="00681E28">
            <w:pPr>
              <w:jc w:val="right"/>
            </w:pPr>
            <w:r w:rsidRPr="00E73D4B">
              <w:t>Ja</w:t>
            </w:r>
          </w:p>
        </w:tc>
      </w:tr>
      <w:tr w:rsidR="00972395" w:rsidRPr="00E73D4B" w14:paraId="7958790F"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B4DDCE3"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51F9EA0" w14:textId="77777777" w:rsidR="00972395" w:rsidRPr="00E73D4B" w:rsidRDefault="00F120C7" w:rsidP="00681E28">
            <w:pPr>
              <w:jc w:val="right"/>
            </w:pPr>
            <w:r w:rsidRPr="00E73D4B">
              <w:t>681</w:t>
            </w:r>
          </w:p>
        </w:tc>
        <w:tc>
          <w:tcPr>
            <w:tcW w:w="4536" w:type="dxa"/>
            <w:tcBorders>
              <w:top w:val="nil"/>
              <w:left w:val="nil"/>
              <w:bottom w:val="nil"/>
              <w:right w:val="nil"/>
            </w:tcBorders>
            <w:tcMar>
              <w:top w:w="128" w:type="dxa"/>
              <w:left w:w="43" w:type="dxa"/>
              <w:bottom w:w="43" w:type="dxa"/>
              <w:right w:w="43" w:type="dxa"/>
            </w:tcMar>
          </w:tcPr>
          <w:p w14:paraId="79150F67" w14:textId="77777777" w:rsidR="00972395" w:rsidRPr="00E73D4B" w:rsidRDefault="00F120C7" w:rsidP="00681E28">
            <w:r w:rsidRPr="00E73D4B">
              <w:t xml:space="preserve">Oppretting av </w:t>
            </w:r>
            <w:proofErr w:type="spellStart"/>
            <w:r w:rsidRPr="00E73D4B">
              <w:t>eit</w:t>
            </w:r>
            <w:proofErr w:type="spellEnd"/>
            <w:r w:rsidRPr="00E73D4B">
              <w:t xml:space="preserve"> nasjonalt våpenregister</w:t>
            </w:r>
          </w:p>
        </w:tc>
        <w:tc>
          <w:tcPr>
            <w:tcW w:w="1829" w:type="dxa"/>
            <w:tcBorders>
              <w:top w:val="nil"/>
              <w:left w:val="nil"/>
              <w:bottom w:val="nil"/>
              <w:right w:val="nil"/>
            </w:tcBorders>
            <w:tcMar>
              <w:top w:w="128" w:type="dxa"/>
              <w:left w:w="43" w:type="dxa"/>
              <w:bottom w:w="43" w:type="dxa"/>
              <w:right w:w="43" w:type="dxa"/>
            </w:tcMar>
          </w:tcPr>
          <w:p w14:paraId="37FCD3DC" w14:textId="77777777" w:rsidR="00972395" w:rsidRPr="00E73D4B" w:rsidRDefault="00F120C7" w:rsidP="00681E28">
            <w:pPr>
              <w:jc w:val="right"/>
            </w:pPr>
            <w:r w:rsidRPr="00E73D4B">
              <w:t>Nei</w:t>
            </w:r>
          </w:p>
        </w:tc>
      </w:tr>
      <w:tr w:rsidR="00972395" w:rsidRPr="00E73D4B" w14:paraId="6CAEA190"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22921FE"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0F09FCB2" w14:textId="77777777" w:rsidR="00972395" w:rsidRPr="00E73D4B" w:rsidRDefault="00F120C7" w:rsidP="00681E28">
            <w:pPr>
              <w:jc w:val="right"/>
            </w:pPr>
            <w:r w:rsidRPr="00E73D4B">
              <w:t>682</w:t>
            </w:r>
          </w:p>
        </w:tc>
        <w:tc>
          <w:tcPr>
            <w:tcW w:w="4536" w:type="dxa"/>
            <w:tcBorders>
              <w:top w:val="nil"/>
              <w:left w:val="nil"/>
              <w:bottom w:val="nil"/>
              <w:right w:val="nil"/>
            </w:tcBorders>
            <w:tcMar>
              <w:top w:w="128" w:type="dxa"/>
              <w:left w:w="43" w:type="dxa"/>
              <w:bottom w:w="43" w:type="dxa"/>
              <w:right w:w="43" w:type="dxa"/>
            </w:tcMar>
          </w:tcPr>
          <w:p w14:paraId="0D2FEFF7" w14:textId="77777777" w:rsidR="00972395" w:rsidRPr="00E73D4B" w:rsidRDefault="00F120C7" w:rsidP="00681E28">
            <w:r w:rsidRPr="00E73D4B">
              <w:t xml:space="preserve">Identitetsskjerming for </w:t>
            </w:r>
            <w:proofErr w:type="spellStart"/>
            <w:r w:rsidRPr="00E73D4B">
              <w:t>polititilsette</w:t>
            </w:r>
            <w:proofErr w:type="spellEnd"/>
          </w:p>
        </w:tc>
        <w:tc>
          <w:tcPr>
            <w:tcW w:w="1829" w:type="dxa"/>
            <w:tcBorders>
              <w:top w:val="nil"/>
              <w:left w:val="nil"/>
              <w:bottom w:val="nil"/>
              <w:right w:val="nil"/>
            </w:tcBorders>
            <w:tcMar>
              <w:top w:w="128" w:type="dxa"/>
              <w:left w:w="43" w:type="dxa"/>
              <w:bottom w:w="43" w:type="dxa"/>
              <w:right w:w="43" w:type="dxa"/>
            </w:tcMar>
          </w:tcPr>
          <w:p w14:paraId="03158C29" w14:textId="77777777" w:rsidR="00972395" w:rsidRPr="00E73D4B" w:rsidRDefault="00F120C7" w:rsidP="00681E28">
            <w:pPr>
              <w:jc w:val="right"/>
            </w:pPr>
            <w:r w:rsidRPr="00E73D4B">
              <w:t>Nei</w:t>
            </w:r>
          </w:p>
        </w:tc>
      </w:tr>
      <w:tr w:rsidR="00972395" w:rsidRPr="00E73D4B" w14:paraId="7AD6A1DA"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278F2A7"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750192E8" w14:textId="77777777" w:rsidR="00972395" w:rsidRPr="00E73D4B" w:rsidRDefault="00F120C7" w:rsidP="00681E28">
            <w:pPr>
              <w:jc w:val="right"/>
            </w:pPr>
            <w:r w:rsidRPr="00E73D4B">
              <w:t>712</w:t>
            </w:r>
          </w:p>
        </w:tc>
        <w:tc>
          <w:tcPr>
            <w:tcW w:w="4536" w:type="dxa"/>
            <w:tcBorders>
              <w:top w:val="nil"/>
              <w:left w:val="nil"/>
              <w:bottom w:val="nil"/>
              <w:right w:val="nil"/>
            </w:tcBorders>
            <w:tcMar>
              <w:top w:w="128" w:type="dxa"/>
              <w:left w:w="43" w:type="dxa"/>
              <w:bottom w:w="43" w:type="dxa"/>
              <w:right w:w="43" w:type="dxa"/>
            </w:tcMar>
          </w:tcPr>
          <w:p w14:paraId="586DCEDC" w14:textId="77777777" w:rsidR="00972395" w:rsidRPr="00E73D4B" w:rsidRDefault="00F120C7" w:rsidP="00681E28">
            <w:r w:rsidRPr="00E73D4B">
              <w:t>Straff for å tvinge barn til utlandet</w:t>
            </w:r>
          </w:p>
        </w:tc>
        <w:tc>
          <w:tcPr>
            <w:tcW w:w="1829" w:type="dxa"/>
            <w:tcBorders>
              <w:top w:val="nil"/>
              <w:left w:val="nil"/>
              <w:bottom w:val="nil"/>
              <w:right w:val="nil"/>
            </w:tcBorders>
            <w:tcMar>
              <w:top w:w="128" w:type="dxa"/>
              <w:left w:w="43" w:type="dxa"/>
              <w:bottom w:w="43" w:type="dxa"/>
              <w:right w:w="43" w:type="dxa"/>
            </w:tcMar>
          </w:tcPr>
          <w:p w14:paraId="07A5B327" w14:textId="77777777" w:rsidR="00972395" w:rsidRPr="00E73D4B" w:rsidRDefault="00F120C7" w:rsidP="00681E28">
            <w:pPr>
              <w:jc w:val="right"/>
            </w:pPr>
            <w:r w:rsidRPr="00E73D4B">
              <w:t>Nei</w:t>
            </w:r>
          </w:p>
        </w:tc>
      </w:tr>
      <w:tr w:rsidR="00972395" w:rsidRPr="00E73D4B" w14:paraId="273C41F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70C1B5D"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682794E" w14:textId="77777777" w:rsidR="00972395" w:rsidRPr="00E73D4B" w:rsidRDefault="00F120C7" w:rsidP="00681E28">
            <w:pPr>
              <w:jc w:val="right"/>
            </w:pPr>
            <w:r w:rsidRPr="00E73D4B">
              <w:t>729</w:t>
            </w:r>
          </w:p>
        </w:tc>
        <w:tc>
          <w:tcPr>
            <w:tcW w:w="4536" w:type="dxa"/>
            <w:tcBorders>
              <w:top w:val="nil"/>
              <w:left w:val="nil"/>
              <w:bottom w:val="nil"/>
              <w:right w:val="nil"/>
            </w:tcBorders>
            <w:tcMar>
              <w:top w:w="128" w:type="dxa"/>
              <w:left w:w="43" w:type="dxa"/>
              <w:bottom w:w="43" w:type="dxa"/>
              <w:right w:w="43" w:type="dxa"/>
            </w:tcMar>
          </w:tcPr>
          <w:p w14:paraId="167479DC" w14:textId="77777777" w:rsidR="00972395" w:rsidRPr="00E73D4B" w:rsidRDefault="00F120C7" w:rsidP="00681E28">
            <w:r w:rsidRPr="00E73D4B">
              <w:t>Nasjonal langtidsplan for beredskap</w:t>
            </w:r>
          </w:p>
        </w:tc>
        <w:tc>
          <w:tcPr>
            <w:tcW w:w="1829" w:type="dxa"/>
            <w:tcBorders>
              <w:top w:val="nil"/>
              <w:left w:val="nil"/>
              <w:bottom w:val="nil"/>
              <w:right w:val="nil"/>
            </w:tcBorders>
            <w:tcMar>
              <w:top w:w="128" w:type="dxa"/>
              <w:left w:w="43" w:type="dxa"/>
              <w:bottom w:w="43" w:type="dxa"/>
              <w:right w:w="43" w:type="dxa"/>
            </w:tcMar>
          </w:tcPr>
          <w:p w14:paraId="0D739C34" w14:textId="77777777" w:rsidR="00972395" w:rsidRPr="00E73D4B" w:rsidRDefault="00F120C7" w:rsidP="00681E28">
            <w:pPr>
              <w:jc w:val="right"/>
            </w:pPr>
            <w:r w:rsidRPr="00E73D4B">
              <w:t>Nei</w:t>
            </w:r>
          </w:p>
        </w:tc>
      </w:tr>
      <w:tr w:rsidR="00972395" w:rsidRPr="00E73D4B" w14:paraId="1EE489B6"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4DBBA115"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321F823D" w14:textId="77777777" w:rsidR="00972395" w:rsidRPr="00E73D4B" w:rsidRDefault="00F120C7" w:rsidP="00681E28">
            <w:pPr>
              <w:jc w:val="right"/>
            </w:pPr>
            <w:r w:rsidRPr="00E73D4B">
              <w:t>730</w:t>
            </w:r>
          </w:p>
        </w:tc>
        <w:tc>
          <w:tcPr>
            <w:tcW w:w="4536" w:type="dxa"/>
            <w:tcBorders>
              <w:top w:val="nil"/>
              <w:left w:val="nil"/>
              <w:bottom w:val="nil"/>
              <w:right w:val="nil"/>
            </w:tcBorders>
            <w:tcMar>
              <w:top w:w="128" w:type="dxa"/>
              <w:left w:w="43" w:type="dxa"/>
              <w:bottom w:w="43" w:type="dxa"/>
              <w:right w:w="43" w:type="dxa"/>
            </w:tcMar>
          </w:tcPr>
          <w:p w14:paraId="7DD42F4E" w14:textId="77777777" w:rsidR="00972395" w:rsidRPr="00E73D4B" w:rsidRDefault="00F120C7" w:rsidP="00681E28">
            <w:proofErr w:type="spellStart"/>
            <w:r w:rsidRPr="00E73D4B">
              <w:t>Totalberedskapsutval</w:t>
            </w:r>
            <w:proofErr w:type="spellEnd"/>
          </w:p>
        </w:tc>
        <w:tc>
          <w:tcPr>
            <w:tcW w:w="1829" w:type="dxa"/>
            <w:tcBorders>
              <w:top w:val="nil"/>
              <w:left w:val="nil"/>
              <w:bottom w:val="nil"/>
              <w:right w:val="nil"/>
            </w:tcBorders>
            <w:tcMar>
              <w:top w:w="128" w:type="dxa"/>
              <w:left w:w="43" w:type="dxa"/>
              <w:bottom w:w="43" w:type="dxa"/>
              <w:right w:w="43" w:type="dxa"/>
            </w:tcMar>
          </w:tcPr>
          <w:p w14:paraId="5027B8AC" w14:textId="77777777" w:rsidR="00972395" w:rsidRPr="00E73D4B" w:rsidRDefault="00F120C7" w:rsidP="00681E28">
            <w:pPr>
              <w:jc w:val="right"/>
            </w:pPr>
            <w:r w:rsidRPr="00E73D4B">
              <w:t>Nei</w:t>
            </w:r>
          </w:p>
        </w:tc>
      </w:tr>
      <w:tr w:rsidR="00972395" w:rsidRPr="00E73D4B" w14:paraId="3752F037"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4083BBD2"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8C943AE" w14:textId="77777777" w:rsidR="00972395" w:rsidRPr="00E73D4B" w:rsidRDefault="00F120C7" w:rsidP="00681E28">
            <w:pPr>
              <w:jc w:val="right"/>
            </w:pPr>
            <w:r w:rsidRPr="00E73D4B">
              <w:t>739</w:t>
            </w:r>
          </w:p>
        </w:tc>
        <w:tc>
          <w:tcPr>
            <w:tcW w:w="4536" w:type="dxa"/>
            <w:tcBorders>
              <w:top w:val="nil"/>
              <w:left w:val="nil"/>
              <w:bottom w:val="nil"/>
              <w:right w:val="nil"/>
            </w:tcBorders>
            <w:tcMar>
              <w:top w:w="128" w:type="dxa"/>
              <w:left w:w="43" w:type="dxa"/>
              <w:bottom w:w="43" w:type="dxa"/>
              <w:right w:w="43" w:type="dxa"/>
            </w:tcMar>
          </w:tcPr>
          <w:p w14:paraId="7C361C42" w14:textId="77777777" w:rsidR="00972395" w:rsidRPr="00E73D4B" w:rsidRDefault="00F120C7" w:rsidP="00681E28">
            <w:r w:rsidRPr="00E73D4B">
              <w:t xml:space="preserve">Nordisk samarbeid </w:t>
            </w:r>
            <w:proofErr w:type="spellStart"/>
            <w:r w:rsidRPr="00E73D4B">
              <w:t>innan</w:t>
            </w:r>
            <w:proofErr w:type="spellEnd"/>
            <w:r w:rsidRPr="00E73D4B">
              <w:t xml:space="preserve"> samfunnstryggleik</w:t>
            </w:r>
          </w:p>
        </w:tc>
        <w:tc>
          <w:tcPr>
            <w:tcW w:w="1829" w:type="dxa"/>
            <w:tcBorders>
              <w:top w:val="nil"/>
              <w:left w:val="nil"/>
              <w:bottom w:val="nil"/>
              <w:right w:val="nil"/>
            </w:tcBorders>
            <w:tcMar>
              <w:top w:w="128" w:type="dxa"/>
              <w:left w:w="43" w:type="dxa"/>
              <w:bottom w:w="43" w:type="dxa"/>
              <w:right w:w="43" w:type="dxa"/>
            </w:tcMar>
          </w:tcPr>
          <w:p w14:paraId="42E71D11" w14:textId="77777777" w:rsidR="00972395" w:rsidRPr="00E73D4B" w:rsidRDefault="00F120C7" w:rsidP="00681E28">
            <w:pPr>
              <w:jc w:val="right"/>
            </w:pPr>
            <w:r w:rsidRPr="00E73D4B">
              <w:t>Nei</w:t>
            </w:r>
          </w:p>
        </w:tc>
      </w:tr>
      <w:tr w:rsidR="00972395" w:rsidRPr="00E73D4B" w14:paraId="7BC65A35"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3D63C0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CCAC944" w14:textId="77777777" w:rsidR="00972395" w:rsidRPr="00E73D4B" w:rsidRDefault="00F120C7" w:rsidP="00681E28">
            <w:pPr>
              <w:jc w:val="right"/>
            </w:pPr>
            <w:r w:rsidRPr="00E73D4B">
              <w:t>740</w:t>
            </w:r>
          </w:p>
        </w:tc>
        <w:tc>
          <w:tcPr>
            <w:tcW w:w="4536" w:type="dxa"/>
            <w:tcBorders>
              <w:top w:val="nil"/>
              <w:left w:val="nil"/>
              <w:bottom w:val="nil"/>
              <w:right w:val="nil"/>
            </w:tcBorders>
            <w:tcMar>
              <w:top w:w="128" w:type="dxa"/>
              <w:left w:w="43" w:type="dxa"/>
              <w:bottom w:w="43" w:type="dxa"/>
              <w:right w:w="43" w:type="dxa"/>
            </w:tcMar>
          </w:tcPr>
          <w:p w14:paraId="1A9809ED" w14:textId="77777777" w:rsidR="00972395" w:rsidRPr="00E73D4B" w:rsidRDefault="00F120C7" w:rsidP="00681E28">
            <w:r w:rsidRPr="00E73D4B">
              <w:t>Sivilforsvaret</w:t>
            </w:r>
          </w:p>
        </w:tc>
        <w:tc>
          <w:tcPr>
            <w:tcW w:w="1829" w:type="dxa"/>
            <w:tcBorders>
              <w:top w:val="nil"/>
              <w:left w:val="nil"/>
              <w:bottom w:val="nil"/>
              <w:right w:val="nil"/>
            </w:tcBorders>
            <w:tcMar>
              <w:top w:w="128" w:type="dxa"/>
              <w:left w:w="43" w:type="dxa"/>
              <w:bottom w:w="43" w:type="dxa"/>
              <w:right w:w="43" w:type="dxa"/>
            </w:tcMar>
          </w:tcPr>
          <w:p w14:paraId="55C182DE" w14:textId="77777777" w:rsidR="00972395" w:rsidRPr="00E73D4B" w:rsidRDefault="00F120C7" w:rsidP="00681E28">
            <w:pPr>
              <w:jc w:val="right"/>
            </w:pPr>
            <w:r w:rsidRPr="00E73D4B">
              <w:t>Ja</w:t>
            </w:r>
          </w:p>
        </w:tc>
      </w:tr>
      <w:tr w:rsidR="00972395" w:rsidRPr="00E73D4B" w14:paraId="0369FFC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37FA21D"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527AD394" w14:textId="77777777" w:rsidR="00972395" w:rsidRPr="00E73D4B" w:rsidRDefault="00F120C7" w:rsidP="00681E28">
            <w:pPr>
              <w:jc w:val="right"/>
            </w:pPr>
            <w:r w:rsidRPr="00E73D4B">
              <w:t>741</w:t>
            </w:r>
          </w:p>
        </w:tc>
        <w:tc>
          <w:tcPr>
            <w:tcW w:w="4536" w:type="dxa"/>
            <w:tcBorders>
              <w:top w:val="nil"/>
              <w:left w:val="nil"/>
              <w:bottom w:val="nil"/>
              <w:right w:val="nil"/>
            </w:tcBorders>
            <w:tcMar>
              <w:top w:w="128" w:type="dxa"/>
              <w:left w:w="43" w:type="dxa"/>
              <w:bottom w:w="43" w:type="dxa"/>
              <w:right w:w="43" w:type="dxa"/>
            </w:tcMar>
          </w:tcPr>
          <w:p w14:paraId="4D13B293" w14:textId="77777777" w:rsidR="00972395" w:rsidRPr="00E73D4B" w:rsidRDefault="00F120C7" w:rsidP="00681E28">
            <w:r w:rsidRPr="00E73D4B">
              <w:t xml:space="preserve">Frivillige </w:t>
            </w:r>
            <w:proofErr w:type="spellStart"/>
            <w:r w:rsidRPr="00E73D4B">
              <w:t>organisasjonar</w:t>
            </w:r>
            <w:proofErr w:type="spellEnd"/>
          </w:p>
        </w:tc>
        <w:tc>
          <w:tcPr>
            <w:tcW w:w="1829" w:type="dxa"/>
            <w:tcBorders>
              <w:top w:val="nil"/>
              <w:left w:val="nil"/>
              <w:bottom w:val="nil"/>
              <w:right w:val="nil"/>
            </w:tcBorders>
            <w:tcMar>
              <w:top w:w="128" w:type="dxa"/>
              <w:left w:w="43" w:type="dxa"/>
              <w:bottom w:w="43" w:type="dxa"/>
              <w:right w:w="43" w:type="dxa"/>
            </w:tcMar>
          </w:tcPr>
          <w:p w14:paraId="07B69B21" w14:textId="77777777" w:rsidR="00972395" w:rsidRPr="00E73D4B" w:rsidRDefault="00F120C7" w:rsidP="00681E28">
            <w:pPr>
              <w:jc w:val="right"/>
            </w:pPr>
            <w:r w:rsidRPr="00E73D4B">
              <w:t>Ja</w:t>
            </w:r>
          </w:p>
        </w:tc>
      </w:tr>
      <w:tr w:rsidR="00972395" w:rsidRPr="00E73D4B" w14:paraId="6A2E2D8B"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4865761"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00D2CECD" w14:textId="77777777" w:rsidR="00972395" w:rsidRPr="00E73D4B" w:rsidRDefault="00F120C7" w:rsidP="00681E28">
            <w:pPr>
              <w:jc w:val="right"/>
            </w:pPr>
            <w:r w:rsidRPr="00E73D4B">
              <w:t>742</w:t>
            </w:r>
          </w:p>
        </w:tc>
        <w:tc>
          <w:tcPr>
            <w:tcW w:w="4536" w:type="dxa"/>
            <w:tcBorders>
              <w:top w:val="nil"/>
              <w:left w:val="nil"/>
              <w:bottom w:val="nil"/>
              <w:right w:val="nil"/>
            </w:tcBorders>
            <w:tcMar>
              <w:top w:w="128" w:type="dxa"/>
              <w:left w:w="43" w:type="dxa"/>
              <w:bottom w:w="43" w:type="dxa"/>
              <w:right w:w="43" w:type="dxa"/>
            </w:tcMar>
          </w:tcPr>
          <w:p w14:paraId="3254488B" w14:textId="77777777" w:rsidR="00972395" w:rsidRPr="00E73D4B" w:rsidRDefault="00F120C7" w:rsidP="00681E28">
            <w:r w:rsidRPr="00E73D4B">
              <w:t>Brann til sjøs</w:t>
            </w:r>
          </w:p>
        </w:tc>
        <w:tc>
          <w:tcPr>
            <w:tcW w:w="1829" w:type="dxa"/>
            <w:tcBorders>
              <w:top w:val="nil"/>
              <w:left w:val="nil"/>
              <w:bottom w:val="nil"/>
              <w:right w:val="nil"/>
            </w:tcBorders>
            <w:tcMar>
              <w:top w:w="128" w:type="dxa"/>
              <w:left w:w="43" w:type="dxa"/>
              <w:bottom w:w="43" w:type="dxa"/>
              <w:right w:w="43" w:type="dxa"/>
            </w:tcMar>
          </w:tcPr>
          <w:p w14:paraId="666FCD91" w14:textId="77777777" w:rsidR="00972395" w:rsidRPr="00E73D4B" w:rsidRDefault="00F120C7" w:rsidP="00681E28">
            <w:pPr>
              <w:jc w:val="right"/>
            </w:pPr>
            <w:r w:rsidRPr="00E73D4B">
              <w:t>Nei</w:t>
            </w:r>
          </w:p>
        </w:tc>
      </w:tr>
      <w:tr w:rsidR="00972395" w:rsidRPr="00E73D4B" w14:paraId="19B88E66"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8962B61"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040AE1B6" w14:textId="77777777" w:rsidR="00972395" w:rsidRPr="00E73D4B" w:rsidRDefault="00F120C7" w:rsidP="00681E28">
            <w:pPr>
              <w:jc w:val="right"/>
            </w:pPr>
            <w:r w:rsidRPr="00E73D4B">
              <w:t>743</w:t>
            </w:r>
          </w:p>
        </w:tc>
        <w:tc>
          <w:tcPr>
            <w:tcW w:w="4536" w:type="dxa"/>
            <w:tcBorders>
              <w:top w:val="nil"/>
              <w:left w:val="nil"/>
              <w:bottom w:val="nil"/>
              <w:right w:val="nil"/>
            </w:tcBorders>
            <w:tcMar>
              <w:top w:w="128" w:type="dxa"/>
              <w:left w:w="43" w:type="dxa"/>
              <w:bottom w:w="43" w:type="dxa"/>
              <w:right w:w="43" w:type="dxa"/>
            </w:tcMar>
          </w:tcPr>
          <w:p w14:paraId="3081C2CF" w14:textId="77777777" w:rsidR="00972395" w:rsidRPr="00E73D4B" w:rsidRDefault="00F120C7" w:rsidP="00681E28">
            <w:r w:rsidRPr="00E73D4B">
              <w:t>Tilfluktsrom</w:t>
            </w:r>
          </w:p>
        </w:tc>
        <w:tc>
          <w:tcPr>
            <w:tcW w:w="1829" w:type="dxa"/>
            <w:tcBorders>
              <w:top w:val="nil"/>
              <w:left w:val="nil"/>
              <w:bottom w:val="nil"/>
              <w:right w:val="nil"/>
            </w:tcBorders>
            <w:tcMar>
              <w:top w:w="128" w:type="dxa"/>
              <w:left w:w="43" w:type="dxa"/>
              <w:bottom w:w="43" w:type="dxa"/>
              <w:right w:w="43" w:type="dxa"/>
            </w:tcMar>
          </w:tcPr>
          <w:p w14:paraId="7D1B41CF" w14:textId="77777777" w:rsidR="00972395" w:rsidRPr="00E73D4B" w:rsidRDefault="00F120C7" w:rsidP="00681E28">
            <w:pPr>
              <w:jc w:val="right"/>
            </w:pPr>
            <w:r w:rsidRPr="00E73D4B">
              <w:t>Nei</w:t>
            </w:r>
          </w:p>
        </w:tc>
      </w:tr>
      <w:tr w:rsidR="00972395" w:rsidRPr="00E73D4B" w14:paraId="4AE84158"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83B9D9E"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021AA9F1" w14:textId="77777777" w:rsidR="00972395" w:rsidRPr="00E73D4B" w:rsidRDefault="00F120C7" w:rsidP="00681E28">
            <w:pPr>
              <w:jc w:val="right"/>
            </w:pPr>
            <w:r w:rsidRPr="00E73D4B">
              <w:t>745</w:t>
            </w:r>
          </w:p>
        </w:tc>
        <w:tc>
          <w:tcPr>
            <w:tcW w:w="4536" w:type="dxa"/>
            <w:tcBorders>
              <w:top w:val="nil"/>
              <w:left w:val="nil"/>
              <w:bottom w:val="nil"/>
              <w:right w:val="nil"/>
            </w:tcBorders>
            <w:tcMar>
              <w:top w:w="128" w:type="dxa"/>
              <w:left w:w="43" w:type="dxa"/>
              <w:bottom w:w="43" w:type="dxa"/>
              <w:right w:w="43" w:type="dxa"/>
            </w:tcMar>
          </w:tcPr>
          <w:p w14:paraId="53F63979" w14:textId="77777777" w:rsidR="00972395" w:rsidRPr="00E73D4B" w:rsidRDefault="00F120C7" w:rsidP="00681E28">
            <w:r w:rsidRPr="00E73D4B">
              <w:t>Objektsikring</w:t>
            </w:r>
          </w:p>
        </w:tc>
        <w:tc>
          <w:tcPr>
            <w:tcW w:w="1829" w:type="dxa"/>
            <w:tcBorders>
              <w:top w:val="nil"/>
              <w:left w:val="nil"/>
              <w:bottom w:val="nil"/>
              <w:right w:val="nil"/>
            </w:tcBorders>
            <w:tcMar>
              <w:top w:w="128" w:type="dxa"/>
              <w:left w:w="43" w:type="dxa"/>
              <w:bottom w:w="43" w:type="dxa"/>
              <w:right w:w="43" w:type="dxa"/>
            </w:tcMar>
          </w:tcPr>
          <w:p w14:paraId="2807B645" w14:textId="77777777" w:rsidR="00972395" w:rsidRPr="00E73D4B" w:rsidRDefault="00F120C7" w:rsidP="00681E28">
            <w:pPr>
              <w:jc w:val="right"/>
            </w:pPr>
            <w:r w:rsidRPr="00E73D4B">
              <w:t>Ja</w:t>
            </w:r>
          </w:p>
        </w:tc>
      </w:tr>
      <w:tr w:rsidR="00972395" w:rsidRPr="00E73D4B" w14:paraId="29C213B9"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4B1FA35C"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7CAEAD3" w14:textId="77777777" w:rsidR="00972395" w:rsidRPr="00E73D4B" w:rsidRDefault="00F120C7" w:rsidP="00681E28">
            <w:pPr>
              <w:jc w:val="right"/>
            </w:pPr>
            <w:r w:rsidRPr="00E73D4B">
              <w:t>746</w:t>
            </w:r>
          </w:p>
        </w:tc>
        <w:tc>
          <w:tcPr>
            <w:tcW w:w="4536" w:type="dxa"/>
            <w:tcBorders>
              <w:top w:val="nil"/>
              <w:left w:val="nil"/>
              <w:bottom w:val="nil"/>
              <w:right w:val="nil"/>
            </w:tcBorders>
            <w:tcMar>
              <w:top w:w="128" w:type="dxa"/>
              <w:left w:w="43" w:type="dxa"/>
              <w:bottom w:w="43" w:type="dxa"/>
              <w:right w:w="43" w:type="dxa"/>
            </w:tcMar>
          </w:tcPr>
          <w:p w14:paraId="5E9F516E" w14:textId="77777777" w:rsidR="00972395" w:rsidRPr="00E73D4B" w:rsidRDefault="00F120C7" w:rsidP="00681E28">
            <w:r w:rsidRPr="00E73D4B">
              <w:t xml:space="preserve">Kompetanseheving </w:t>
            </w:r>
            <w:proofErr w:type="spellStart"/>
            <w:r w:rsidRPr="00E73D4B">
              <w:t>innanfor</w:t>
            </w:r>
            <w:proofErr w:type="spellEnd"/>
            <w:r w:rsidRPr="00E73D4B">
              <w:t xml:space="preserve"> IKT-tryggleik</w:t>
            </w:r>
          </w:p>
        </w:tc>
        <w:tc>
          <w:tcPr>
            <w:tcW w:w="1829" w:type="dxa"/>
            <w:tcBorders>
              <w:top w:val="nil"/>
              <w:left w:val="nil"/>
              <w:bottom w:val="nil"/>
              <w:right w:val="nil"/>
            </w:tcBorders>
            <w:tcMar>
              <w:top w:w="128" w:type="dxa"/>
              <w:left w:w="43" w:type="dxa"/>
              <w:bottom w:w="43" w:type="dxa"/>
              <w:right w:w="43" w:type="dxa"/>
            </w:tcMar>
          </w:tcPr>
          <w:p w14:paraId="2103CC51" w14:textId="77777777" w:rsidR="00972395" w:rsidRPr="00E73D4B" w:rsidRDefault="00F120C7" w:rsidP="00681E28">
            <w:pPr>
              <w:jc w:val="right"/>
            </w:pPr>
            <w:r w:rsidRPr="00E73D4B">
              <w:t>Ja</w:t>
            </w:r>
          </w:p>
        </w:tc>
      </w:tr>
      <w:tr w:rsidR="00972395" w:rsidRPr="00E73D4B" w14:paraId="1343F1E2"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157B60F3"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3942FB5B" w14:textId="77777777" w:rsidR="00972395" w:rsidRPr="00E73D4B" w:rsidRDefault="00F120C7" w:rsidP="00681E28">
            <w:pPr>
              <w:jc w:val="right"/>
            </w:pPr>
            <w:r w:rsidRPr="00E73D4B">
              <w:t>748</w:t>
            </w:r>
          </w:p>
        </w:tc>
        <w:tc>
          <w:tcPr>
            <w:tcW w:w="4536" w:type="dxa"/>
            <w:tcBorders>
              <w:top w:val="nil"/>
              <w:left w:val="nil"/>
              <w:bottom w:val="nil"/>
              <w:right w:val="nil"/>
            </w:tcBorders>
            <w:tcMar>
              <w:top w:w="128" w:type="dxa"/>
              <w:left w:w="43" w:type="dxa"/>
              <w:bottom w:w="43" w:type="dxa"/>
              <w:right w:w="43" w:type="dxa"/>
            </w:tcMar>
          </w:tcPr>
          <w:p w14:paraId="59B1AAEC" w14:textId="77777777" w:rsidR="00972395" w:rsidRPr="00E73D4B" w:rsidRDefault="00F120C7" w:rsidP="00681E28">
            <w:r w:rsidRPr="00E73D4B">
              <w:t xml:space="preserve">Inkludering av frivillige </w:t>
            </w:r>
            <w:proofErr w:type="spellStart"/>
            <w:r w:rsidRPr="00E73D4B">
              <w:t>organisasjonar</w:t>
            </w:r>
            <w:proofErr w:type="spellEnd"/>
            <w:r w:rsidRPr="00E73D4B">
              <w:t xml:space="preserve"> i </w:t>
            </w:r>
            <w:proofErr w:type="spellStart"/>
            <w:r w:rsidRPr="00E73D4B">
              <w:t>beredskapsplanar</w:t>
            </w:r>
            <w:proofErr w:type="spellEnd"/>
          </w:p>
        </w:tc>
        <w:tc>
          <w:tcPr>
            <w:tcW w:w="1829" w:type="dxa"/>
            <w:tcBorders>
              <w:top w:val="nil"/>
              <w:left w:val="nil"/>
              <w:bottom w:val="nil"/>
              <w:right w:val="nil"/>
            </w:tcBorders>
            <w:tcMar>
              <w:top w:w="128" w:type="dxa"/>
              <w:left w:w="43" w:type="dxa"/>
              <w:bottom w:w="43" w:type="dxa"/>
              <w:right w:w="43" w:type="dxa"/>
            </w:tcMar>
          </w:tcPr>
          <w:p w14:paraId="0FF709E9" w14:textId="77777777" w:rsidR="00972395" w:rsidRPr="00E73D4B" w:rsidRDefault="00F120C7" w:rsidP="00681E28">
            <w:pPr>
              <w:jc w:val="right"/>
            </w:pPr>
            <w:r w:rsidRPr="00E73D4B">
              <w:t>Ja</w:t>
            </w:r>
          </w:p>
        </w:tc>
      </w:tr>
      <w:tr w:rsidR="00972395" w:rsidRPr="00E73D4B" w14:paraId="02C387AA"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0A33475"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00203FAE" w14:textId="77777777" w:rsidR="00972395" w:rsidRPr="00E73D4B" w:rsidRDefault="00F120C7" w:rsidP="00681E28">
            <w:pPr>
              <w:jc w:val="right"/>
            </w:pPr>
            <w:r w:rsidRPr="00E73D4B">
              <w:t>799</w:t>
            </w:r>
          </w:p>
        </w:tc>
        <w:tc>
          <w:tcPr>
            <w:tcW w:w="4536" w:type="dxa"/>
            <w:tcBorders>
              <w:top w:val="nil"/>
              <w:left w:val="nil"/>
              <w:bottom w:val="nil"/>
              <w:right w:val="nil"/>
            </w:tcBorders>
            <w:tcMar>
              <w:top w:w="128" w:type="dxa"/>
              <w:left w:w="43" w:type="dxa"/>
              <w:bottom w:w="43" w:type="dxa"/>
              <w:right w:w="43" w:type="dxa"/>
            </w:tcMar>
          </w:tcPr>
          <w:p w14:paraId="70379B26" w14:textId="77777777" w:rsidR="00972395" w:rsidRPr="00E73D4B" w:rsidRDefault="00F120C7" w:rsidP="00681E28">
            <w:r w:rsidRPr="00E73D4B">
              <w:t>ADR-kontroll</w:t>
            </w:r>
          </w:p>
        </w:tc>
        <w:tc>
          <w:tcPr>
            <w:tcW w:w="1829" w:type="dxa"/>
            <w:tcBorders>
              <w:top w:val="nil"/>
              <w:left w:val="nil"/>
              <w:bottom w:val="nil"/>
              <w:right w:val="nil"/>
            </w:tcBorders>
            <w:tcMar>
              <w:top w:w="128" w:type="dxa"/>
              <w:left w:w="43" w:type="dxa"/>
              <w:bottom w:w="43" w:type="dxa"/>
              <w:right w:w="43" w:type="dxa"/>
            </w:tcMar>
          </w:tcPr>
          <w:p w14:paraId="2047EFB4" w14:textId="77777777" w:rsidR="00972395" w:rsidRPr="00E73D4B" w:rsidRDefault="00F120C7" w:rsidP="00681E28">
            <w:pPr>
              <w:jc w:val="right"/>
            </w:pPr>
            <w:r w:rsidRPr="00E73D4B">
              <w:t>Nei</w:t>
            </w:r>
          </w:p>
        </w:tc>
      </w:tr>
      <w:tr w:rsidR="00972395" w:rsidRPr="00E73D4B" w14:paraId="6D20883B"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2382BD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5FF7DCCF" w14:textId="77777777" w:rsidR="00972395" w:rsidRPr="00E73D4B" w:rsidRDefault="00F120C7" w:rsidP="00681E28">
            <w:pPr>
              <w:jc w:val="right"/>
            </w:pPr>
            <w:r w:rsidRPr="00E73D4B">
              <w:t>814</w:t>
            </w:r>
          </w:p>
        </w:tc>
        <w:tc>
          <w:tcPr>
            <w:tcW w:w="4536" w:type="dxa"/>
            <w:tcBorders>
              <w:top w:val="nil"/>
              <w:left w:val="nil"/>
              <w:bottom w:val="nil"/>
              <w:right w:val="nil"/>
            </w:tcBorders>
            <w:tcMar>
              <w:top w:w="128" w:type="dxa"/>
              <w:left w:w="43" w:type="dxa"/>
              <w:bottom w:w="43" w:type="dxa"/>
              <w:right w:w="43" w:type="dxa"/>
            </w:tcMar>
          </w:tcPr>
          <w:p w14:paraId="42DED707" w14:textId="77777777" w:rsidR="00972395" w:rsidRPr="00E73D4B" w:rsidRDefault="00F120C7" w:rsidP="00681E28">
            <w:r w:rsidRPr="00E73D4B">
              <w:t xml:space="preserve">Nasjonalt </w:t>
            </w:r>
            <w:proofErr w:type="spellStart"/>
            <w:r w:rsidRPr="00E73D4B">
              <w:t>eigarskap</w:t>
            </w:r>
            <w:proofErr w:type="spellEnd"/>
            <w:r w:rsidRPr="00E73D4B">
              <w:t xml:space="preserve"> og kontroll</w:t>
            </w:r>
          </w:p>
        </w:tc>
        <w:tc>
          <w:tcPr>
            <w:tcW w:w="1829" w:type="dxa"/>
            <w:tcBorders>
              <w:top w:val="nil"/>
              <w:left w:val="nil"/>
              <w:bottom w:val="nil"/>
              <w:right w:val="nil"/>
            </w:tcBorders>
            <w:tcMar>
              <w:top w:w="128" w:type="dxa"/>
              <w:left w:w="43" w:type="dxa"/>
              <w:bottom w:w="43" w:type="dxa"/>
              <w:right w:w="43" w:type="dxa"/>
            </w:tcMar>
          </w:tcPr>
          <w:p w14:paraId="79EBFB9C" w14:textId="77777777" w:rsidR="00972395" w:rsidRPr="00E73D4B" w:rsidRDefault="00F120C7" w:rsidP="00681E28">
            <w:pPr>
              <w:jc w:val="right"/>
            </w:pPr>
            <w:r w:rsidRPr="00E73D4B">
              <w:t>Nei</w:t>
            </w:r>
          </w:p>
        </w:tc>
      </w:tr>
      <w:tr w:rsidR="00972395" w:rsidRPr="00E73D4B" w14:paraId="2998267F"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4172351"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56B292D9" w14:textId="77777777" w:rsidR="00972395" w:rsidRPr="00E73D4B" w:rsidRDefault="00F120C7" w:rsidP="00681E28">
            <w:pPr>
              <w:jc w:val="right"/>
            </w:pPr>
            <w:r w:rsidRPr="00E73D4B">
              <w:t>848</w:t>
            </w:r>
          </w:p>
        </w:tc>
        <w:tc>
          <w:tcPr>
            <w:tcW w:w="4536" w:type="dxa"/>
            <w:tcBorders>
              <w:top w:val="nil"/>
              <w:left w:val="nil"/>
              <w:bottom w:val="nil"/>
              <w:right w:val="nil"/>
            </w:tcBorders>
            <w:tcMar>
              <w:top w:w="128" w:type="dxa"/>
              <w:left w:w="43" w:type="dxa"/>
              <w:bottom w:w="43" w:type="dxa"/>
              <w:right w:w="43" w:type="dxa"/>
            </w:tcMar>
          </w:tcPr>
          <w:p w14:paraId="1BB8600F" w14:textId="77777777" w:rsidR="00972395" w:rsidRPr="00E73D4B" w:rsidRDefault="00F120C7" w:rsidP="00681E28">
            <w:proofErr w:type="spellStart"/>
            <w:r w:rsidRPr="00E73D4B">
              <w:t>Heilskapleg</w:t>
            </w:r>
            <w:proofErr w:type="spellEnd"/>
            <w:r w:rsidRPr="00E73D4B">
              <w:t xml:space="preserve"> gjennomgang av </w:t>
            </w:r>
            <w:proofErr w:type="spellStart"/>
            <w:r w:rsidRPr="00E73D4B">
              <w:t>verjemålsordninga</w:t>
            </w:r>
            <w:proofErr w:type="spellEnd"/>
          </w:p>
        </w:tc>
        <w:tc>
          <w:tcPr>
            <w:tcW w:w="1829" w:type="dxa"/>
            <w:tcBorders>
              <w:top w:val="nil"/>
              <w:left w:val="nil"/>
              <w:bottom w:val="nil"/>
              <w:right w:val="nil"/>
            </w:tcBorders>
            <w:tcMar>
              <w:top w:w="128" w:type="dxa"/>
              <w:left w:w="43" w:type="dxa"/>
              <w:bottom w:w="43" w:type="dxa"/>
              <w:right w:w="43" w:type="dxa"/>
            </w:tcMar>
          </w:tcPr>
          <w:p w14:paraId="0B49CF08" w14:textId="77777777" w:rsidR="00972395" w:rsidRPr="00E73D4B" w:rsidRDefault="00F120C7" w:rsidP="00681E28">
            <w:pPr>
              <w:jc w:val="right"/>
            </w:pPr>
            <w:r w:rsidRPr="00E73D4B">
              <w:t>Nei</w:t>
            </w:r>
          </w:p>
        </w:tc>
      </w:tr>
      <w:tr w:rsidR="00972395" w:rsidRPr="00E73D4B" w14:paraId="3253295C"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4D099FA4"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053E37B0" w14:textId="77777777" w:rsidR="00972395" w:rsidRPr="00E73D4B" w:rsidRDefault="00F120C7" w:rsidP="00681E28">
            <w:pPr>
              <w:jc w:val="right"/>
            </w:pPr>
            <w:r w:rsidRPr="00E73D4B">
              <w:t>883</w:t>
            </w:r>
          </w:p>
        </w:tc>
        <w:tc>
          <w:tcPr>
            <w:tcW w:w="4536" w:type="dxa"/>
            <w:tcBorders>
              <w:top w:val="nil"/>
              <w:left w:val="nil"/>
              <w:bottom w:val="nil"/>
              <w:right w:val="nil"/>
            </w:tcBorders>
            <w:tcMar>
              <w:top w:w="128" w:type="dxa"/>
              <w:left w:w="43" w:type="dxa"/>
              <w:bottom w:w="43" w:type="dxa"/>
              <w:right w:w="43" w:type="dxa"/>
            </w:tcMar>
          </w:tcPr>
          <w:p w14:paraId="3EEB1E00" w14:textId="77777777" w:rsidR="00972395" w:rsidRPr="00E73D4B" w:rsidRDefault="00F120C7" w:rsidP="00681E28">
            <w:r w:rsidRPr="00E73D4B">
              <w:t xml:space="preserve">Økonomisk kompensasjonsordning for </w:t>
            </w:r>
            <w:proofErr w:type="spellStart"/>
            <w:r w:rsidRPr="00E73D4B">
              <w:t>våpeneigarar</w:t>
            </w:r>
            <w:proofErr w:type="spellEnd"/>
          </w:p>
        </w:tc>
        <w:tc>
          <w:tcPr>
            <w:tcW w:w="1829" w:type="dxa"/>
            <w:tcBorders>
              <w:top w:val="nil"/>
              <w:left w:val="nil"/>
              <w:bottom w:val="nil"/>
              <w:right w:val="nil"/>
            </w:tcBorders>
            <w:tcMar>
              <w:top w:w="128" w:type="dxa"/>
              <w:left w:w="43" w:type="dxa"/>
              <w:bottom w:w="43" w:type="dxa"/>
              <w:right w:w="43" w:type="dxa"/>
            </w:tcMar>
          </w:tcPr>
          <w:p w14:paraId="5CEAAF47" w14:textId="77777777" w:rsidR="00972395" w:rsidRPr="00E73D4B" w:rsidRDefault="00F120C7" w:rsidP="00681E28">
            <w:pPr>
              <w:jc w:val="right"/>
            </w:pPr>
            <w:r w:rsidRPr="00E73D4B">
              <w:t>Ja</w:t>
            </w:r>
          </w:p>
        </w:tc>
      </w:tr>
      <w:tr w:rsidR="00972395" w:rsidRPr="00E73D4B" w14:paraId="3867921C"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B667DD9"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65F6B5FC" w14:textId="77777777" w:rsidR="00972395" w:rsidRPr="00E73D4B" w:rsidRDefault="00F120C7" w:rsidP="00681E28">
            <w:pPr>
              <w:jc w:val="right"/>
            </w:pPr>
            <w:r w:rsidRPr="00E73D4B">
              <w:t>928</w:t>
            </w:r>
          </w:p>
        </w:tc>
        <w:tc>
          <w:tcPr>
            <w:tcW w:w="4536" w:type="dxa"/>
            <w:tcBorders>
              <w:top w:val="nil"/>
              <w:left w:val="nil"/>
              <w:bottom w:val="nil"/>
              <w:right w:val="nil"/>
            </w:tcBorders>
            <w:tcMar>
              <w:top w:w="128" w:type="dxa"/>
              <w:left w:w="43" w:type="dxa"/>
              <w:bottom w:w="43" w:type="dxa"/>
              <w:right w:w="43" w:type="dxa"/>
            </w:tcMar>
          </w:tcPr>
          <w:p w14:paraId="44B081AD" w14:textId="77777777" w:rsidR="00972395" w:rsidRPr="00E73D4B" w:rsidRDefault="00F120C7" w:rsidP="00681E28">
            <w:proofErr w:type="spellStart"/>
            <w:r w:rsidRPr="00E73D4B">
              <w:t>Lovendringar</w:t>
            </w:r>
            <w:proofErr w:type="spellEnd"/>
            <w:r w:rsidRPr="00E73D4B">
              <w:t xml:space="preserve"> som </w:t>
            </w:r>
            <w:proofErr w:type="spellStart"/>
            <w:r w:rsidRPr="00E73D4B">
              <w:t>følgje</w:t>
            </w:r>
            <w:proofErr w:type="spellEnd"/>
            <w:r w:rsidRPr="00E73D4B">
              <w:t xml:space="preserve"> av ny </w:t>
            </w:r>
            <w:proofErr w:type="spellStart"/>
            <w:r w:rsidRPr="00E73D4B">
              <w:t>sivilombodslov</w:t>
            </w:r>
            <w:proofErr w:type="spellEnd"/>
          </w:p>
        </w:tc>
        <w:tc>
          <w:tcPr>
            <w:tcW w:w="1829" w:type="dxa"/>
            <w:tcBorders>
              <w:top w:val="nil"/>
              <w:left w:val="nil"/>
              <w:bottom w:val="nil"/>
              <w:right w:val="nil"/>
            </w:tcBorders>
            <w:tcMar>
              <w:top w:w="128" w:type="dxa"/>
              <w:left w:w="43" w:type="dxa"/>
              <w:bottom w:w="43" w:type="dxa"/>
              <w:right w:w="43" w:type="dxa"/>
            </w:tcMar>
          </w:tcPr>
          <w:p w14:paraId="426BB0B9" w14:textId="77777777" w:rsidR="00972395" w:rsidRPr="00E73D4B" w:rsidRDefault="00F120C7" w:rsidP="00681E28">
            <w:pPr>
              <w:jc w:val="right"/>
            </w:pPr>
            <w:r w:rsidRPr="00E73D4B">
              <w:t>Nei</w:t>
            </w:r>
          </w:p>
        </w:tc>
      </w:tr>
      <w:tr w:rsidR="00972395" w:rsidRPr="00E73D4B" w14:paraId="6C6C733D" w14:textId="77777777" w:rsidTr="00681E28">
        <w:trPr>
          <w:trHeight w:val="880"/>
        </w:trPr>
        <w:tc>
          <w:tcPr>
            <w:tcW w:w="1560" w:type="dxa"/>
            <w:tcBorders>
              <w:top w:val="nil"/>
              <w:left w:val="nil"/>
              <w:bottom w:val="nil"/>
              <w:right w:val="nil"/>
            </w:tcBorders>
            <w:tcMar>
              <w:top w:w="128" w:type="dxa"/>
              <w:left w:w="43" w:type="dxa"/>
              <w:bottom w:w="43" w:type="dxa"/>
              <w:right w:w="43" w:type="dxa"/>
            </w:tcMar>
          </w:tcPr>
          <w:p w14:paraId="785CFB09"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2177152" w14:textId="77777777" w:rsidR="00972395" w:rsidRPr="00E73D4B" w:rsidRDefault="00F120C7" w:rsidP="00681E28">
            <w:pPr>
              <w:jc w:val="right"/>
            </w:pPr>
            <w:r w:rsidRPr="00E73D4B">
              <w:t>983</w:t>
            </w:r>
          </w:p>
        </w:tc>
        <w:tc>
          <w:tcPr>
            <w:tcW w:w="4536" w:type="dxa"/>
            <w:tcBorders>
              <w:top w:val="nil"/>
              <w:left w:val="nil"/>
              <w:bottom w:val="nil"/>
              <w:right w:val="nil"/>
            </w:tcBorders>
            <w:tcMar>
              <w:top w:w="128" w:type="dxa"/>
              <w:left w:w="43" w:type="dxa"/>
              <w:bottom w:w="43" w:type="dxa"/>
              <w:right w:w="43" w:type="dxa"/>
            </w:tcMar>
          </w:tcPr>
          <w:p w14:paraId="786323BD" w14:textId="77777777" w:rsidR="00972395" w:rsidRPr="00E73D4B" w:rsidRDefault="00F120C7" w:rsidP="00681E28">
            <w:r w:rsidRPr="00E73D4B">
              <w:t xml:space="preserve">Etablering av ny redningshelikopterbase i Tromsø og felles operasjon med </w:t>
            </w:r>
            <w:proofErr w:type="spellStart"/>
            <w:r w:rsidRPr="00E73D4B">
              <w:t>helikoptertenesta</w:t>
            </w:r>
            <w:proofErr w:type="spellEnd"/>
            <w:r w:rsidRPr="00E73D4B">
              <w:t xml:space="preserve"> til </w:t>
            </w:r>
            <w:proofErr w:type="spellStart"/>
            <w:r w:rsidRPr="00E73D4B">
              <w:t>Sysselmeisteren</w:t>
            </w:r>
            <w:proofErr w:type="spellEnd"/>
          </w:p>
        </w:tc>
        <w:tc>
          <w:tcPr>
            <w:tcW w:w="1829" w:type="dxa"/>
            <w:tcBorders>
              <w:top w:val="nil"/>
              <w:left w:val="nil"/>
              <w:bottom w:val="nil"/>
              <w:right w:val="nil"/>
            </w:tcBorders>
            <w:tcMar>
              <w:top w:w="128" w:type="dxa"/>
              <w:left w:w="43" w:type="dxa"/>
              <w:bottom w:w="43" w:type="dxa"/>
              <w:right w:w="43" w:type="dxa"/>
            </w:tcMar>
          </w:tcPr>
          <w:p w14:paraId="0E5EF868" w14:textId="77777777" w:rsidR="00972395" w:rsidRPr="00E73D4B" w:rsidRDefault="00F120C7" w:rsidP="00681E28">
            <w:pPr>
              <w:jc w:val="right"/>
            </w:pPr>
            <w:r w:rsidRPr="00E73D4B">
              <w:t>Nei</w:t>
            </w:r>
          </w:p>
        </w:tc>
      </w:tr>
      <w:tr w:rsidR="00972395" w:rsidRPr="00E73D4B" w14:paraId="1871D123" w14:textId="77777777" w:rsidTr="00681E28">
        <w:trPr>
          <w:trHeight w:val="880"/>
        </w:trPr>
        <w:tc>
          <w:tcPr>
            <w:tcW w:w="1560" w:type="dxa"/>
            <w:tcBorders>
              <w:top w:val="nil"/>
              <w:left w:val="nil"/>
              <w:bottom w:val="nil"/>
              <w:right w:val="nil"/>
            </w:tcBorders>
            <w:tcMar>
              <w:top w:w="128" w:type="dxa"/>
              <w:left w:w="43" w:type="dxa"/>
              <w:bottom w:w="43" w:type="dxa"/>
              <w:right w:w="43" w:type="dxa"/>
            </w:tcMar>
          </w:tcPr>
          <w:p w14:paraId="178DD39D"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36FBE99B" w14:textId="77777777" w:rsidR="00972395" w:rsidRPr="00E73D4B" w:rsidRDefault="00F120C7" w:rsidP="00681E28">
            <w:pPr>
              <w:jc w:val="right"/>
            </w:pPr>
            <w:r w:rsidRPr="00E73D4B">
              <w:t>1038</w:t>
            </w:r>
          </w:p>
        </w:tc>
        <w:tc>
          <w:tcPr>
            <w:tcW w:w="4536" w:type="dxa"/>
            <w:tcBorders>
              <w:top w:val="nil"/>
              <w:left w:val="nil"/>
              <w:bottom w:val="nil"/>
              <w:right w:val="nil"/>
            </w:tcBorders>
            <w:tcMar>
              <w:top w:w="128" w:type="dxa"/>
              <w:left w:w="43" w:type="dxa"/>
              <w:bottom w:w="43" w:type="dxa"/>
              <w:right w:w="43" w:type="dxa"/>
            </w:tcMar>
          </w:tcPr>
          <w:p w14:paraId="793DA24B" w14:textId="77777777" w:rsidR="00972395" w:rsidRPr="00E73D4B" w:rsidRDefault="00F120C7" w:rsidP="00681E28">
            <w:r w:rsidRPr="00E73D4B">
              <w:t xml:space="preserve">Kartlegging av </w:t>
            </w:r>
            <w:proofErr w:type="spellStart"/>
            <w:r w:rsidRPr="00E73D4B">
              <w:t>tryggleikskompetanse</w:t>
            </w:r>
            <w:proofErr w:type="spellEnd"/>
            <w:r w:rsidRPr="00E73D4B">
              <w:t xml:space="preserve">, gjennomgang av bruken av tryggingslova og evaluering av </w:t>
            </w:r>
            <w:proofErr w:type="spellStart"/>
            <w:r w:rsidRPr="00E73D4B">
              <w:t>tryggleiksforståing</w:t>
            </w:r>
            <w:proofErr w:type="spellEnd"/>
          </w:p>
        </w:tc>
        <w:tc>
          <w:tcPr>
            <w:tcW w:w="1829" w:type="dxa"/>
            <w:tcBorders>
              <w:top w:val="nil"/>
              <w:left w:val="nil"/>
              <w:bottom w:val="nil"/>
              <w:right w:val="nil"/>
            </w:tcBorders>
            <w:tcMar>
              <w:top w:w="128" w:type="dxa"/>
              <w:left w:w="43" w:type="dxa"/>
              <w:bottom w:w="43" w:type="dxa"/>
              <w:right w:w="43" w:type="dxa"/>
            </w:tcMar>
          </w:tcPr>
          <w:p w14:paraId="4C87FFEC" w14:textId="77777777" w:rsidR="00972395" w:rsidRPr="00E73D4B" w:rsidRDefault="00F120C7" w:rsidP="00681E28">
            <w:pPr>
              <w:jc w:val="right"/>
            </w:pPr>
            <w:r w:rsidRPr="00E73D4B">
              <w:t>Nei</w:t>
            </w:r>
          </w:p>
        </w:tc>
      </w:tr>
      <w:tr w:rsidR="00972395" w:rsidRPr="00E73D4B" w14:paraId="5BDC54E2" w14:textId="77777777" w:rsidTr="00681E28">
        <w:trPr>
          <w:trHeight w:val="880"/>
        </w:trPr>
        <w:tc>
          <w:tcPr>
            <w:tcW w:w="1560" w:type="dxa"/>
            <w:tcBorders>
              <w:top w:val="nil"/>
              <w:left w:val="nil"/>
              <w:bottom w:val="nil"/>
              <w:right w:val="nil"/>
            </w:tcBorders>
            <w:tcMar>
              <w:top w:w="128" w:type="dxa"/>
              <w:left w:w="43" w:type="dxa"/>
              <w:bottom w:w="43" w:type="dxa"/>
              <w:right w:w="43" w:type="dxa"/>
            </w:tcMar>
          </w:tcPr>
          <w:p w14:paraId="6170DB5E"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19C9312" w14:textId="77777777" w:rsidR="00972395" w:rsidRPr="00E73D4B" w:rsidRDefault="00F120C7" w:rsidP="00681E28">
            <w:pPr>
              <w:jc w:val="right"/>
            </w:pPr>
            <w:r w:rsidRPr="00E73D4B">
              <w:t>1040</w:t>
            </w:r>
          </w:p>
        </w:tc>
        <w:tc>
          <w:tcPr>
            <w:tcW w:w="4536" w:type="dxa"/>
            <w:tcBorders>
              <w:top w:val="nil"/>
              <w:left w:val="nil"/>
              <w:bottom w:val="nil"/>
              <w:right w:val="nil"/>
            </w:tcBorders>
            <w:tcMar>
              <w:top w:w="128" w:type="dxa"/>
              <w:left w:w="43" w:type="dxa"/>
              <w:bottom w:w="43" w:type="dxa"/>
              <w:right w:w="43" w:type="dxa"/>
            </w:tcMar>
          </w:tcPr>
          <w:p w14:paraId="2EC2DEED" w14:textId="77777777" w:rsidR="00972395" w:rsidRPr="00E73D4B" w:rsidRDefault="00F120C7" w:rsidP="00681E28">
            <w:r w:rsidRPr="00E73D4B">
              <w:t xml:space="preserve">Stortingsmelding om nasjonalt </w:t>
            </w:r>
            <w:proofErr w:type="spellStart"/>
            <w:r w:rsidRPr="00E73D4B">
              <w:t>eigarskap</w:t>
            </w:r>
            <w:proofErr w:type="spellEnd"/>
            <w:r w:rsidRPr="00E73D4B">
              <w:t xml:space="preserve"> og kontroll over strategisk viktige </w:t>
            </w:r>
            <w:proofErr w:type="spellStart"/>
            <w:r w:rsidRPr="00E73D4B">
              <w:t>naturressursar</w:t>
            </w:r>
            <w:proofErr w:type="spellEnd"/>
            <w:r w:rsidRPr="00E73D4B">
              <w:t xml:space="preserve">, bedrifter, </w:t>
            </w:r>
            <w:proofErr w:type="spellStart"/>
            <w:r w:rsidRPr="00E73D4B">
              <w:t>infrastrukturar</w:t>
            </w:r>
            <w:proofErr w:type="spellEnd"/>
            <w:r w:rsidRPr="00E73D4B">
              <w:t xml:space="preserve"> og </w:t>
            </w:r>
            <w:proofErr w:type="spellStart"/>
            <w:r w:rsidRPr="00E73D4B">
              <w:t>teknologiar</w:t>
            </w:r>
            <w:proofErr w:type="spellEnd"/>
          </w:p>
        </w:tc>
        <w:tc>
          <w:tcPr>
            <w:tcW w:w="1829" w:type="dxa"/>
            <w:tcBorders>
              <w:top w:val="nil"/>
              <w:left w:val="nil"/>
              <w:bottom w:val="nil"/>
              <w:right w:val="nil"/>
            </w:tcBorders>
            <w:tcMar>
              <w:top w:w="128" w:type="dxa"/>
              <w:left w:w="43" w:type="dxa"/>
              <w:bottom w:w="43" w:type="dxa"/>
              <w:right w:w="43" w:type="dxa"/>
            </w:tcMar>
          </w:tcPr>
          <w:p w14:paraId="04EEE538" w14:textId="77777777" w:rsidR="00972395" w:rsidRPr="00E73D4B" w:rsidRDefault="00F120C7" w:rsidP="00681E28">
            <w:pPr>
              <w:jc w:val="right"/>
            </w:pPr>
            <w:r w:rsidRPr="00E73D4B">
              <w:t>Nei</w:t>
            </w:r>
          </w:p>
        </w:tc>
      </w:tr>
      <w:tr w:rsidR="00972395" w:rsidRPr="00E73D4B" w14:paraId="06D1AB5C"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EB13D24"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60835C27" w14:textId="77777777" w:rsidR="00972395" w:rsidRPr="00E73D4B" w:rsidRDefault="00F120C7" w:rsidP="00681E28">
            <w:pPr>
              <w:jc w:val="right"/>
            </w:pPr>
            <w:r w:rsidRPr="00E73D4B">
              <w:t>1041</w:t>
            </w:r>
          </w:p>
        </w:tc>
        <w:tc>
          <w:tcPr>
            <w:tcW w:w="4536" w:type="dxa"/>
            <w:tcBorders>
              <w:top w:val="nil"/>
              <w:left w:val="nil"/>
              <w:bottom w:val="nil"/>
              <w:right w:val="nil"/>
            </w:tcBorders>
            <w:tcMar>
              <w:top w:w="128" w:type="dxa"/>
              <w:left w:w="43" w:type="dxa"/>
              <w:bottom w:w="43" w:type="dxa"/>
              <w:right w:w="43" w:type="dxa"/>
            </w:tcMar>
          </w:tcPr>
          <w:p w14:paraId="2A732859" w14:textId="77777777" w:rsidR="00972395" w:rsidRPr="00E73D4B" w:rsidRDefault="00F120C7" w:rsidP="00681E28">
            <w:r w:rsidRPr="00E73D4B">
              <w:t>Nytt Oslo fengsel</w:t>
            </w:r>
          </w:p>
        </w:tc>
        <w:tc>
          <w:tcPr>
            <w:tcW w:w="1829" w:type="dxa"/>
            <w:tcBorders>
              <w:top w:val="nil"/>
              <w:left w:val="nil"/>
              <w:bottom w:val="nil"/>
              <w:right w:val="nil"/>
            </w:tcBorders>
            <w:tcMar>
              <w:top w:w="128" w:type="dxa"/>
              <w:left w:w="43" w:type="dxa"/>
              <w:bottom w:w="43" w:type="dxa"/>
              <w:right w:w="43" w:type="dxa"/>
            </w:tcMar>
          </w:tcPr>
          <w:p w14:paraId="1EDFB28E" w14:textId="77777777" w:rsidR="00972395" w:rsidRPr="00E73D4B" w:rsidRDefault="00F120C7" w:rsidP="00681E28">
            <w:pPr>
              <w:jc w:val="right"/>
            </w:pPr>
            <w:r w:rsidRPr="00E73D4B">
              <w:t>Nei</w:t>
            </w:r>
          </w:p>
        </w:tc>
      </w:tr>
      <w:tr w:rsidR="00972395" w:rsidRPr="00E73D4B" w14:paraId="251778F6"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4A79D9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D56B541" w14:textId="77777777" w:rsidR="00972395" w:rsidRPr="00E73D4B" w:rsidRDefault="00F120C7" w:rsidP="00681E28">
            <w:pPr>
              <w:jc w:val="right"/>
            </w:pPr>
            <w:r w:rsidRPr="00E73D4B">
              <w:t>1115</w:t>
            </w:r>
          </w:p>
        </w:tc>
        <w:tc>
          <w:tcPr>
            <w:tcW w:w="4536" w:type="dxa"/>
            <w:tcBorders>
              <w:top w:val="nil"/>
              <w:left w:val="nil"/>
              <w:bottom w:val="nil"/>
              <w:right w:val="nil"/>
            </w:tcBorders>
            <w:tcMar>
              <w:top w:w="128" w:type="dxa"/>
              <w:left w:w="43" w:type="dxa"/>
              <w:bottom w:w="43" w:type="dxa"/>
              <w:right w:w="43" w:type="dxa"/>
            </w:tcMar>
          </w:tcPr>
          <w:p w14:paraId="227445F2" w14:textId="77777777" w:rsidR="00972395" w:rsidRPr="00E73D4B" w:rsidRDefault="00F120C7" w:rsidP="00681E28">
            <w:r w:rsidRPr="00E73D4B">
              <w:t xml:space="preserve">Forfølging av </w:t>
            </w:r>
            <w:proofErr w:type="spellStart"/>
            <w:r w:rsidRPr="00E73D4B">
              <w:t>narkotikalovbrot</w:t>
            </w:r>
            <w:proofErr w:type="spellEnd"/>
            <w:r w:rsidRPr="00E73D4B">
              <w:t xml:space="preserve"> i </w:t>
            </w:r>
            <w:proofErr w:type="spellStart"/>
            <w:r w:rsidRPr="00E73D4B">
              <w:t>nødssituasjonar</w:t>
            </w:r>
            <w:proofErr w:type="spellEnd"/>
          </w:p>
        </w:tc>
        <w:tc>
          <w:tcPr>
            <w:tcW w:w="1829" w:type="dxa"/>
            <w:tcBorders>
              <w:top w:val="nil"/>
              <w:left w:val="nil"/>
              <w:bottom w:val="nil"/>
              <w:right w:val="nil"/>
            </w:tcBorders>
            <w:tcMar>
              <w:top w:w="128" w:type="dxa"/>
              <w:left w:w="43" w:type="dxa"/>
              <w:bottom w:w="43" w:type="dxa"/>
              <w:right w:w="43" w:type="dxa"/>
            </w:tcMar>
          </w:tcPr>
          <w:p w14:paraId="61AC2BC1" w14:textId="77777777" w:rsidR="00972395" w:rsidRPr="00E73D4B" w:rsidRDefault="00F120C7" w:rsidP="00681E28">
            <w:pPr>
              <w:jc w:val="right"/>
            </w:pPr>
            <w:r w:rsidRPr="00E73D4B">
              <w:t>Ja</w:t>
            </w:r>
          </w:p>
        </w:tc>
      </w:tr>
      <w:tr w:rsidR="00972395" w:rsidRPr="00E73D4B" w14:paraId="76A76310"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08833C9"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54376542" w14:textId="77777777" w:rsidR="00972395" w:rsidRPr="00E73D4B" w:rsidRDefault="00F120C7" w:rsidP="00681E28">
            <w:pPr>
              <w:jc w:val="right"/>
            </w:pPr>
            <w:r w:rsidRPr="00E73D4B">
              <w:t>1116</w:t>
            </w:r>
          </w:p>
        </w:tc>
        <w:tc>
          <w:tcPr>
            <w:tcW w:w="4536" w:type="dxa"/>
            <w:tcBorders>
              <w:top w:val="nil"/>
              <w:left w:val="nil"/>
              <w:bottom w:val="nil"/>
              <w:right w:val="nil"/>
            </w:tcBorders>
            <w:tcMar>
              <w:top w:w="128" w:type="dxa"/>
              <w:left w:w="43" w:type="dxa"/>
              <w:bottom w:w="43" w:type="dxa"/>
              <w:right w:w="43" w:type="dxa"/>
            </w:tcMar>
          </w:tcPr>
          <w:p w14:paraId="6C347A81" w14:textId="77777777" w:rsidR="00972395" w:rsidRPr="00E73D4B" w:rsidRDefault="00F120C7" w:rsidP="00681E28">
            <w:r w:rsidRPr="00E73D4B">
              <w:t xml:space="preserve">Sperring av </w:t>
            </w:r>
            <w:proofErr w:type="spellStart"/>
            <w:r w:rsidRPr="00E73D4B">
              <w:t>opplysningar</w:t>
            </w:r>
            <w:proofErr w:type="spellEnd"/>
            <w:r w:rsidRPr="00E73D4B">
              <w:t xml:space="preserve"> i reaksjonsregisteret</w:t>
            </w:r>
          </w:p>
        </w:tc>
        <w:tc>
          <w:tcPr>
            <w:tcW w:w="1829" w:type="dxa"/>
            <w:tcBorders>
              <w:top w:val="nil"/>
              <w:left w:val="nil"/>
              <w:bottom w:val="nil"/>
              <w:right w:val="nil"/>
            </w:tcBorders>
            <w:tcMar>
              <w:top w:w="128" w:type="dxa"/>
              <w:left w:w="43" w:type="dxa"/>
              <w:bottom w:w="43" w:type="dxa"/>
              <w:right w:w="43" w:type="dxa"/>
            </w:tcMar>
          </w:tcPr>
          <w:p w14:paraId="344C856D" w14:textId="77777777" w:rsidR="00972395" w:rsidRPr="00E73D4B" w:rsidRDefault="00F120C7" w:rsidP="00681E28">
            <w:pPr>
              <w:jc w:val="right"/>
            </w:pPr>
            <w:r w:rsidRPr="00E73D4B">
              <w:t>Nei</w:t>
            </w:r>
          </w:p>
        </w:tc>
      </w:tr>
      <w:tr w:rsidR="00972395" w:rsidRPr="00E73D4B" w14:paraId="1EE249C6"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E904D0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50E8EFD2" w14:textId="77777777" w:rsidR="00972395" w:rsidRPr="00E73D4B" w:rsidRDefault="00F120C7" w:rsidP="00681E28">
            <w:pPr>
              <w:jc w:val="right"/>
            </w:pPr>
            <w:r w:rsidRPr="00E73D4B">
              <w:t>1117</w:t>
            </w:r>
          </w:p>
        </w:tc>
        <w:tc>
          <w:tcPr>
            <w:tcW w:w="4536" w:type="dxa"/>
            <w:tcBorders>
              <w:top w:val="nil"/>
              <w:left w:val="nil"/>
              <w:bottom w:val="nil"/>
              <w:right w:val="nil"/>
            </w:tcBorders>
            <w:tcMar>
              <w:top w:w="128" w:type="dxa"/>
              <w:left w:w="43" w:type="dxa"/>
              <w:bottom w:w="43" w:type="dxa"/>
              <w:right w:w="43" w:type="dxa"/>
            </w:tcMar>
          </w:tcPr>
          <w:p w14:paraId="13452E0C" w14:textId="77777777" w:rsidR="00972395" w:rsidRPr="00E73D4B" w:rsidRDefault="00F120C7" w:rsidP="00681E28">
            <w:r w:rsidRPr="00E73D4B">
              <w:t xml:space="preserve">Gjennomgang av praksis for tilbakekall av </w:t>
            </w:r>
            <w:proofErr w:type="spellStart"/>
            <w:r w:rsidRPr="00E73D4B">
              <w:t>førarrett</w:t>
            </w:r>
            <w:proofErr w:type="spellEnd"/>
          </w:p>
        </w:tc>
        <w:tc>
          <w:tcPr>
            <w:tcW w:w="1829" w:type="dxa"/>
            <w:tcBorders>
              <w:top w:val="nil"/>
              <w:left w:val="nil"/>
              <w:bottom w:val="nil"/>
              <w:right w:val="nil"/>
            </w:tcBorders>
            <w:tcMar>
              <w:top w:w="128" w:type="dxa"/>
              <w:left w:w="43" w:type="dxa"/>
              <w:bottom w:w="43" w:type="dxa"/>
              <w:right w:w="43" w:type="dxa"/>
            </w:tcMar>
          </w:tcPr>
          <w:p w14:paraId="60044545" w14:textId="77777777" w:rsidR="00972395" w:rsidRPr="00E73D4B" w:rsidRDefault="00F120C7" w:rsidP="00681E28">
            <w:pPr>
              <w:jc w:val="right"/>
            </w:pPr>
            <w:r w:rsidRPr="00E73D4B">
              <w:t>Nei</w:t>
            </w:r>
          </w:p>
        </w:tc>
      </w:tr>
      <w:tr w:rsidR="00972395" w:rsidRPr="00E73D4B" w14:paraId="02DAC9F7"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A35055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0F1C028E" w14:textId="77777777" w:rsidR="00972395" w:rsidRPr="00E73D4B" w:rsidRDefault="00F120C7" w:rsidP="00681E28">
            <w:pPr>
              <w:jc w:val="right"/>
            </w:pPr>
            <w:r w:rsidRPr="00E73D4B">
              <w:t>1159</w:t>
            </w:r>
          </w:p>
        </w:tc>
        <w:tc>
          <w:tcPr>
            <w:tcW w:w="4536" w:type="dxa"/>
            <w:tcBorders>
              <w:top w:val="nil"/>
              <w:left w:val="nil"/>
              <w:bottom w:val="nil"/>
              <w:right w:val="nil"/>
            </w:tcBorders>
            <w:tcMar>
              <w:top w:w="128" w:type="dxa"/>
              <w:left w:w="43" w:type="dxa"/>
              <w:bottom w:w="43" w:type="dxa"/>
              <w:right w:w="43" w:type="dxa"/>
            </w:tcMar>
          </w:tcPr>
          <w:p w14:paraId="409AAA6C" w14:textId="77777777" w:rsidR="00972395" w:rsidRPr="00E73D4B" w:rsidRDefault="00F120C7" w:rsidP="00681E28">
            <w:r w:rsidRPr="00E73D4B">
              <w:t xml:space="preserve">Unntak </w:t>
            </w:r>
            <w:proofErr w:type="spellStart"/>
            <w:r w:rsidRPr="00E73D4B">
              <w:t>frå</w:t>
            </w:r>
            <w:proofErr w:type="spellEnd"/>
            <w:r w:rsidRPr="00E73D4B">
              <w:t xml:space="preserve"> </w:t>
            </w:r>
            <w:proofErr w:type="spellStart"/>
            <w:r w:rsidRPr="00E73D4B">
              <w:t>forelding</w:t>
            </w:r>
            <w:proofErr w:type="spellEnd"/>
            <w:r w:rsidRPr="00E73D4B">
              <w:t xml:space="preserve"> for </w:t>
            </w:r>
            <w:proofErr w:type="spellStart"/>
            <w:r w:rsidRPr="00E73D4B">
              <w:t>seksuallovbrot</w:t>
            </w:r>
            <w:proofErr w:type="spellEnd"/>
            <w:r w:rsidRPr="00E73D4B">
              <w:t xml:space="preserve"> mot barn</w:t>
            </w:r>
          </w:p>
        </w:tc>
        <w:tc>
          <w:tcPr>
            <w:tcW w:w="1829" w:type="dxa"/>
            <w:tcBorders>
              <w:top w:val="nil"/>
              <w:left w:val="nil"/>
              <w:bottom w:val="nil"/>
              <w:right w:val="nil"/>
            </w:tcBorders>
            <w:tcMar>
              <w:top w:w="128" w:type="dxa"/>
              <w:left w:w="43" w:type="dxa"/>
              <w:bottom w:w="43" w:type="dxa"/>
              <w:right w:w="43" w:type="dxa"/>
            </w:tcMar>
          </w:tcPr>
          <w:p w14:paraId="0888CADA" w14:textId="77777777" w:rsidR="00972395" w:rsidRPr="00E73D4B" w:rsidRDefault="00F120C7" w:rsidP="00681E28">
            <w:pPr>
              <w:jc w:val="right"/>
            </w:pPr>
            <w:r w:rsidRPr="00E73D4B">
              <w:t>Nei</w:t>
            </w:r>
          </w:p>
        </w:tc>
      </w:tr>
      <w:tr w:rsidR="00972395" w:rsidRPr="00E73D4B" w14:paraId="18400913"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E82C81F"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1A441A5E" w14:textId="77777777" w:rsidR="00972395" w:rsidRPr="00E73D4B" w:rsidRDefault="00F120C7" w:rsidP="00681E28">
            <w:pPr>
              <w:jc w:val="right"/>
            </w:pPr>
            <w:r w:rsidRPr="00E73D4B">
              <w:t>1161</w:t>
            </w:r>
          </w:p>
        </w:tc>
        <w:tc>
          <w:tcPr>
            <w:tcW w:w="4536" w:type="dxa"/>
            <w:tcBorders>
              <w:top w:val="nil"/>
              <w:left w:val="nil"/>
              <w:bottom w:val="nil"/>
              <w:right w:val="nil"/>
            </w:tcBorders>
            <w:tcMar>
              <w:top w:w="128" w:type="dxa"/>
              <w:left w:w="43" w:type="dxa"/>
              <w:bottom w:w="43" w:type="dxa"/>
              <w:right w:w="43" w:type="dxa"/>
            </w:tcMar>
          </w:tcPr>
          <w:p w14:paraId="41B44F1B" w14:textId="77777777" w:rsidR="00972395" w:rsidRPr="00E73D4B" w:rsidRDefault="00F120C7" w:rsidP="00681E28">
            <w:r w:rsidRPr="00E73D4B">
              <w:t xml:space="preserve">Internasjonale kriminelle </w:t>
            </w:r>
            <w:proofErr w:type="spellStart"/>
            <w:r w:rsidRPr="00E73D4B">
              <w:t>organisasjonar</w:t>
            </w:r>
            <w:proofErr w:type="spellEnd"/>
          </w:p>
        </w:tc>
        <w:tc>
          <w:tcPr>
            <w:tcW w:w="1829" w:type="dxa"/>
            <w:tcBorders>
              <w:top w:val="nil"/>
              <w:left w:val="nil"/>
              <w:bottom w:val="nil"/>
              <w:right w:val="nil"/>
            </w:tcBorders>
            <w:tcMar>
              <w:top w:w="128" w:type="dxa"/>
              <w:left w:w="43" w:type="dxa"/>
              <w:bottom w:w="43" w:type="dxa"/>
              <w:right w:w="43" w:type="dxa"/>
            </w:tcMar>
          </w:tcPr>
          <w:p w14:paraId="3D4B992C" w14:textId="77777777" w:rsidR="00972395" w:rsidRPr="00E73D4B" w:rsidRDefault="00F120C7" w:rsidP="00681E28">
            <w:pPr>
              <w:jc w:val="right"/>
            </w:pPr>
            <w:r w:rsidRPr="00E73D4B">
              <w:t>Nei</w:t>
            </w:r>
          </w:p>
        </w:tc>
      </w:tr>
      <w:tr w:rsidR="00972395" w:rsidRPr="00E73D4B" w14:paraId="76517B6D"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6BA8DA71"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47D11843" w14:textId="77777777" w:rsidR="00972395" w:rsidRPr="00E73D4B" w:rsidRDefault="00F120C7" w:rsidP="00681E28">
            <w:pPr>
              <w:jc w:val="right"/>
            </w:pPr>
            <w:r w:rsidRPr="00E73D4B">
              <w:t>1162</w:t>
            </w:r>
          </w:p>
        </w:tc>
        <w:tc>
          <w:tcPr>
            <w:tcW w:w="4536" w:type="dxa"/>
            <w:tcBorders>
              <w:top w:val="nil"/>
              <w:left w:val="nil"/>
              <w:bottom w:val="nil"/>
              <w:right w:val="nil"/>
            </w:tcBorders>
            <w:tcMar>
              <w:top w:w="128" w:type="dxa"/>
              <w:left w:w="43" w:type="dxa"/>
              <w:bottom w:w="43" w:type="dxa"/>
              <w:right w:w="43" w:type="dxa"/>
            </w:tcMar>
          </w:tcPr>
          <w:p w14:paraId="3B9C9BE1" w14:textId="77777777" w:rsidR="00972395" w:rsidRPr="00E73D4B" w:rsidRDefault="00F120C7" w:rsidP="00681E28">
            <w:r w:rsidRPr="00E73D4B">
              <w:t>Tilgang på straffeprosessuelle tvangsmiddel</w:t>
            </w:r>
          </w:p>
        </w:tc>
        <w:tc>
          <w:tcPr>
            <w:tcW w:w="1829" w:type="dxa"/>
            <w:tcBorders>
              <w:top w:val="nil"/>
              <w:left w:val="nil"/>
              <w:bottom w:val="nil"/>
              <w:right w:val="nil"/>
            </w:tcBorders>
            <w:tcMar>
              <w:top w:w="128" w:type="dxa"/>
              <w:left w:w="43" w:type="dxa"/>
              <w:bottom w:w="43" w:type="dxa"/>
              <w:right w:w="43" w:type="dxa"/>
            </w:tcMar>
          </w:tcPr>
          <w:p w14:paraId="0214E2E7" w14:textId="77777777" w:rsidR="00972395" w:rsidRPr="00E73D4B" w:rsidRDefault="00F120C7" w:rsidP="00681E28">
            <w:pPr>
              <w:jc w:val="right"/>
            </w:pPr>
            <w:r w:rsidRPr="00E73D4B">
              <w:t>Nei</w:t>
            </w:r>
          </w:p>
        </w:tc>
      </w:tr>
      <w:tr w:rsidR="00972395" w:rsidRPr="00E73D4B" w14:paraId="528CF9F0"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2EF8F7B1" w14:textId="77777777" w:rsidR="00972395" w:rsidRPr="00E73D4B" w:rsidRDefault="00F120C7" w:rsidP="00681E28">
            <w:r w:rsidRPr="00E73D4B">
              <w:t>2020–2021</w:t>
            </w:r>
          </w:p>
        </w:tc>
        <w:tc>
          <w:tcPr>
            <w:tcW w:w="1275" w:type="dxa"/>
            <w:tcBorders>
              <w:top w:val="nil"/>
              <w:left w:val="nil"/>
              <w:bottom w:val="nil"/>
              <w:right w:val="nil"/>
            </w:tcBorders>
            <w:tcMar>
              <w:top w:w="128" w:type="dxa"/>
              <w:left w:w="43" w:type="dxa"/>
              <w:bottom w:w="43" w:type="dxa"/>
              <w:right w:w="43" w:type="dxa"/>
            </w:tcMar>
          </w:tcPr>
          <w:p w14:paraId="20430BDB" w14:textId="77777777" w:rsidR="00972395" w:rsidRPr="00E73D4B" w:rsidRDefault="00F120C7" w:rsidP="00681E28">
            <w:pPr>
              <w:jc w:val="right"/>
            </w:pPr>
            <w:r w:rsidRPr="00E73D4B">
              <w:t>1343</w:t>
            </w:r>
          </w:p>
        </w:tc>
        <w:tc>
          <w:tcPr>
            <w:tcW w:w="4536" w:type="dxa"/>
            <w:tcBorders>
              <w:top w:val="nil"/>
              <w:left w:val="nil"/>
              <w:bottom w:val="nil"/>
              <w:right w:val="nil"/>
            </w:tcBorders>
            <w:tcMar>
              <w:top w:w="128" w:type="dxa"/>
              <w:left w:w="43" w:type="dxa"/>
              <w:bottom w:w="43" w:type="dxa"/>
              <w:right w:w="43" w:type="dxa"/>
            </w:tcMar>
          </w:tcPr>
          <w:p w14:paraId="472AA022" w14:textId="77777777" w:rsidR="00972395" w:rsidRPr="00E73D4B" w:rsidRDefault="00F120C7" w:rsidP="00681E28">
            <w:r w:rsidRPr="00E73D4B">
              <w:t xml:space="preserve">Kompensasjonsordning for tapt </w:t>
            </w:r>
            <w:proofErr w:type="spellStart"/>
            <w:r w:rsidRPr="00E73D4B">
              <w:t>arbeidsforteneste</w:t>
            </w:r>
            <w:proofErr w:type="spellEnd"/>
            <w:r w:rsidRPr="00E73D4B">
              <w:t xml:space="preserve"> for frivillige i </w:t>
            </w:r>
            <w:proofErr w:type="spellStart"/>
            <w:r w:rsidRPr="00E73D4B">
              <w:t>redningstenesta</w:t>
            </w:r>
            <w:proofErr w:type="spellEnd"/>
          </w:p>
        </w:tc>
        <w:tc>
          <w:tcPr>
            <w:tcW w:w="1829" w:type="dxa"/>
            <w:tcBorders>
              <w:top w:val="nil"/>
              <w:left w:val="nil"/>
              <w:bottom w:val="nil"/>
              <w:right w:val="nil"/>
            </w:tcBorders>
            <w:tcMar>
              <w:top w:w="128" w:type="dxa"/>
              <w:left w:w="43" w:type="dxa"/>
              <w:bottom w:w="43" w:type="dxa"/>
              <w:right w:w="43" w:type="dxa"/>
            </w:tcMar>
          </w:tcPr>
          <w:p w14:paraId="494E0E72" w14:textId="77777777" w:rsidR="00972395" w:rsidRPr="00E73D4B" w:rsidRDefault="00F120C7" w:rsidP="00681E28">
            <w:pPr>
              <w:jc w:val="right"/>
            </w:pPr>
            <w:r w:rsidRPr="00E73D4B">
              <w:t>Nei</w:t>
            </w:r>
          </w:p>
        </w:tc>
      </w:tr>
      <w:tr w:rsidR="00972395" w:rsidRPr="00E73D4B" w14:paraId="38A2174F"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055D53D1" w14:textId="77777777" w:rsidR="00972395" w:rsidRPr="00E73D4B" w:rsidRDefault="00F120C7" w:rsidP="00681E28">
            <w:r w:rsidRPr="00E73D4B">
              <w:t>2019–2020</w:t>
            </w:r>
          </w:p>
        </w:tc>
        <w:tc>
          <w:tcPr>
            <w:tcW w:w="1275" w:type="dxa"/>
            <w:tcBorders>
              <w:top w:val="nil"/>
              <w:left w:val="nil"/>
              <w:bottom w:val="nil"/>
              <w:right w:val="nil"/>
            </w:tcBorders>
            <w:tcMar>
              <w:top w:w="128" w:type="dxa"/>
              <w:left w:w="43" w:type="dxa"/>
              <w:bottom w:w="43" w:type="dxa"/>
              <w:right w:w="43" w:type="dxa"/>
            </w:tcMar>
          </w:tcPr>
          <w:p w14:paraId="6865346B" w14:textId="77777777" w:rsidR="00972395" w:rsidRPr="00E73D4B" w:rsidRDefault="00F120C7" w:rsidP="00681E28">
            <w:pPr>
              <w:jc w:val="right"/>
            </w:pPr>
            <w:r w:rsidRPr="00E73D4B">
              <w:t>436</w:t>
            </w:r>
          </w:p>
        </w:tc>
        <w:tc>
          <w:tcPr>
            <w:tcW w:w="4536" w:type="dxa"/>
            <w:tcBorders>
              <w:top w:val="nil"/>
              <w:left w:val="nil"/>
              <w:bottom w:val="nil"/>
              <w:right w:val="nil"/>
            </w:tcBorders>
            <w:tcMar>
              <w:top w:w="128" w:type="dxa"/>
              <w:left w:w="43" w:type="dxa"/>
              <w:bottom w:w="43" w:type="dxa"/>
              <w:right w:w="43" w:type="dxa"/>
            </w:tcMar>
          </w:tcPr>
          <w:p w14:paraId="0D98CF41" w14:textId="77777777" w:rsidR="00972395" w:rsidRPr="00E73D4B" w:rsidRDefault="00F120C7" w:rsidP="00681E28">
            <w:r w:rsidRPr="00E73D4B">
              <w:t>Elektroniske fraktbrev</w:t>
            </w:r>
          </w:p>
        </w:tc>
        <w:tc>
          <w:tcPr>
            <w:tcW w:w="1829" w:type="dxa"/>
            <w:tcBorders>
              <w:top w:val="nil"/>
              <w:left w:val="nil"/>
              <w:bottom w:val="nil"/>
              <w:right w:val="nil"/>
            </w:tcBorders>
            <w:tcMar>
              <w:top w:w="128" w:type="dxa"/>
              <w:left w:w="43" w:type="dxa"/>
              <w:bottom w:w="43" w:type="dxa"/>
              <w:right w:w="43" w:type="dxa"/>
            </w:tcMar>
          </w:tcPr>
          <w:p w14:paraId="3A53B70C" w14:textId="77777777" w:rsidR="00972395" w:rsidRPr="00E73D4B" w:rsidRDefault="00F120C7" w:rsidP="00681E28">
            <w:pPr>
              <w:jc w:val="right"/>
            </w:pPr>
            <w:r w:rsidRPr="00E73D4B">
              <w:t>Nei</w:t>
            </w:r>
          </w:p>
        </w:tc>
      </w:tr>
      <w:tr w:rsidR="00972395" w:rsidRPr="00E73D4B" w14:paraId="0AC5A593"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D650445" w14:textId="77777777" w:rsidR="00972395" w:rsidRPr="00E73D4B" w:rsidRDefault="00F120C7" w:rsidP="00681E28">
            <w:r w:rsidRPr="00E73D4B">
              <w:t>2019–2020</w:t>
            </w:r>
          </w:p>
        </w:tc>
        <w:tc>
          <w:tcPr>
            <w:tcW w:w="1275" w:type="dxa"/>
            <w:tcBorders>
              <w:top w:val="nil"/>
              <w:left w:val="nil"/>
              <w:bottom w:val="nil"/>
              <w:right w:val="nil"/>
            </w:tcBorders>
            <w:tcMar>
              <w:top w:w="128" w:type="dxa"/>
              <w:left w:w="43" w:type="dxa"/>
              <w:bottom w:w="43" w:type="dxa"/>
              <w:right w:w="43" w:type="dxa"/>
            </w:tcMar>
          </w:tcPr>
          <w:p w14:paraId="6761AB59" w14:textId="77777777" w:rsidR="00972395" w:rsidRPr="00E73D4B" w:rsidRDefault="00F120C7" w:rsidP="00681E28">
            <w:pPr>
              <w:jc w:val="right"/>
            </w:pPr>
            <w:r w:rsidRPr="00E73D4B">
              <w:t>515</w:t>
            </w:r>
          </w:p>
        </w:tc>
        <w:tc>
          <w:tcPr>
            <w:tcW w:w="4536" w:type="dxa"/>
            <w:tcBorders>
              <w:top w:val="nil"/>
              <w:left w:val="nil"/>
              <w:bottom w:val="nil"/>
              <w:right w:val="nil"/>
            </w:tcBorders>
            <w:tcMar>
              <w:top w:w="128" w:type="dxa"/>
              <w:left w:w="43" w:type="dxa"/>
              <w:bottom w:w="43" w:type="dxa"/>
              <w:right w:w="43" w:type="dxa"/>
            </w:tcMar>
          </w:tcPr>
          <w:p w14:paraId="28F75ED5" w14:textId="77777777" w:rsidR="00972395" w:rsidRPr="00E73D4B" w:rsidRDefault="00F120C7" w:rsidP="00681E28">
            <w:r w:rsidRPr="00E73D4B">
              <w:t xml:space="preserve">Reklamasjonsfrist på </w:t>
            </w:r>
            <w:proofErr w:type="spellStart"/>
            <w:r w:rsidRPr="00E73D4B">
              <w:t>bustader</w:t>
            </w:r>
            <w:proofErr w:type="spellEnd"/>
          </w:p>
        </w:tc>
        <w:tc>
          <w:tcPr>
            <w:tcW w:w="1829" w:type="dxa"/>
            <w:tcBorders>
              <w:top w:val="nil"/>
              <w:left w:val="nil"/>
              <w:bottom w:val="nil"/>
              <w:right w:val="nil"/>
            </w:tcBorders>
            <w:tcMar>
              <w:top w:w="128" w:type="dxa"/>
              <w:left w:w="43" w:type="dxa"/>
              <w:bottom w:w="43" w:type="dxa"/>
              <w:right w:w="43" w:type="dxa"/>
            </w:tcMar>
          </w:tcPr>
          <w:p w14:paraId="34FDE1A1" w14:textId="77777777" w:rsidR="00972395" w:rsidRPr="00E73D4B" w:rsidRDefault="00F120C7" w:rsidP="00681E28">
            <w:pPr>
              <w:jc w:val="right"/>
            </w:pPr>
            <w:r w:rsidRPr="00E73D4B">
              <w:t>Nei</w:t>
            </w:r>
          </w:p>
        </w:tc>
      </w:tr>
      <w:tr w:rsidR="00972395" w:rsidRPr="00E73D4B" w14:paraId="71746D17"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B6DA1D6" w14:textId="77777777" w:rsidR="00972395" w:rsidRPr="00E73D4B" w:rsidRDefault="00F120C7" w:rsidP="00681E28">
            <w:r w:rsidRPr="00E73D4B">
              <w:t>2019–2020</w:t>
            </w:r>
          </w:p>
        </w:tc>
        <w:tc>
          <w:tcPr>
            <w:tcW w:w="1275" w:type="dxa"/>
            <w:tcBorders>
              <w:top w:val="nil"/>
              <w:left w:val="nil"/>
              <w:bottom w:val="nil"/>
              <w:right w:val="nil"/>
            </w:tcBorders>
            <w:tcMar>
              <w:top w:w="128" w:type="dxa"/>
              <w:left w:w="43" w:type="dxa"/>
              <w:bottom w:w="43" w:type="dxa"/>
              <w:right w:w="43" w:type="dxa"/>
            </w:tcMar>
          </w:tcPr>
          <w:p w14:paraId="17E679BE" w14:textId="77777777" w:rsidR="00972395" w:rsidRPr="00E73D4B" w:rsidRDefault="00F120C7" w:rsidP="00681E28">
            <w:pPr>
              <w:jc w:val="right"/>
            </w:pPr>
            <w:r w:rsidRPr="00E73D4B">
              <w:t>669</w:t>
            </w:r>
          </w:p>
        </w:tc>
        <w:tc>
          <w:tcPr>
            <w:tcW w:w="4536" w:type="dxa"/>
            <w:tcBorders>
              <w:top w:val="nil"/>
              <w:left w:val="nil"/>
              <w:bottom w:val="nil"/>
              <w:right w:val="nil"/>
            </w:tcBorders>
            <w:tcMar>
              <w:top w:w="128" w:type="dxa"/>
              <w:left w:w="43" w:type="dxa"/>
              <w:bottom w:w="43" w:type="dxa"/>
              <w:right w:w="43" w:type="dxa"/>
            </w:tcMar>
          </w:tcPr>
          <w:p w14:paraId="7FD9302E" w14:textId="77777777" w:rsidR="00972395" w:rsidRPr="00E73D4B" w:rsidRDefault="00F120C7" w:rsidP="00681E28">
            <w:r w:rsidRPr="00E73D4B">
              <w:t>Deling av registerinformasjon</w:t>
            </w:r>
          </w:p>
        </w:tc>
        <w:tc>
          <w:tcPr>
            <w:tcW w:w="1829" w:type="dxa"/>
            <w:tcBorders>
              <w:top w:val="nil"/>
              <w:left w:val="nil"/>
              <w:bottom w:val="nil"/>
              <w:right w:val="nil"/>
            </w:tcBorders>
            <w:tcMar>
              <w:top w:w="128" w:type="dxa"/>
              <w:left w:w="43" w:type="dxa"/>
              <w:bottom w:w="43" w:type="dxa"/>
              <w:right w:w="43" w:type="dxa"/>
            </w:tcMar>
          </w:tcPr>
          <w:p w14:paraId="4A1A63D3" w14:textId="77777777" w:rsidR="00972395" w:rsidRPr="00E73D4B" w:rsidRDefault="00F120C7" w:rsidP="00681E28">
            <w:pPr>
              <w:jc w:val="right"/>
            </w:pPr>
            <w:r w:rsidRPr="00E73D4B">
              <w:t>Nei</w:t>
            </w:r>
          </w:p>
        </w:tc>
      </w:tr>
      <w:tr w:rsidR="00972395" w:rsidRPr="00E73D4B" w14:paraId="277BF80E"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A8A0A96" w14:textId="77777777" w:rsidR="00972395" w:rsidRPr="00E73D4B" w:rsidRDefault="00F120C7" w:rsidP="00681E28">
            <w:r w:rsidRPr="00E73D4B">
              <w:t>2018–2019</w:t>
            </w:r>
          </w:p>
        </w:tc>
        <w:tc>
          <w:tcPr>
            <w:tcW w:w="1275" w:type="dxa"/>
            <w:tcBorders>
              <w:top w:val="nil"/>
              <w:left w:val="nil"/>
              <w:bottom w:val="nil"/>
              <w:right w:val="nil"/>
            </w:tcBorders>
            <w:tcMar>
              <w:top w:w="128" w:type="dxa"/>
              <w:left w:w="43" w:type="dxa"/>
              <w:bottom w:w="43" w:type="dxa"/>
              <w:right w:w="43" w:type="dxa"/>
            </w:tcMar>
          </w:tcPr>
          <w:p w14:paraId="3CC4E074" w14:textId="77777777" w:rsidR="00972395" w:rsidRPr="00E73D4B" w:rsidRDefault="00F120C7" w:rsidP="00681E28">
            <w:pPr>
              <w:jc w:val="right"/>
            </w:pPr>
            <w:r w:rsidRPr="00E73D4B">
              <w:t>98</w:t>
            </w:r>
          </w:p>
        </w:tc>
        <w:tc>
          <w:tcPr>
            <w:tcW w:w="4536" w:type="dxa"/>
            <w:tcBorders>
              <w:top w:val="nil"/>
              <w:left w:val="nil"/>
              <w:bottom w:val="nil"/>
              <w:right w:val="nil"/>
            </w:tcBorders>
            <w:tcMar>
              <w:top w:w="128" w:type="dxa"/>
              <w:left w:w="43" w:type="dxa"/>
              <w:bottom w:w="43" w:type="dxa"/>
              <w:right w:w="43" w:type="dxa"/>
            </w:tcMar>
          </w:tcPr>
          <w:p w14:paraId="67E39250" w14:textId="77777777" w:rsidR="00972395" w:rsidRPr="00E73D4B" w:rsidRDefault="00F120C7" w:rsidP="00681E28">
            <w:r w:rsidRPr="00E73D4B">
              <w:t>Rettshjelpsordninga</w:t>
            </w:r>
          </w:p>
        </w:tc>
        <w:tc>
          <w:tcPr>
            <w:tcW w:w="1829" w:type="dxa"/>
            <w:tcBorders>
              <w:top w:val="nil"/>
              <w:left w:val="nil"/>
              <w:bottom w:val="nil"/>
              <w:right w:val="nil"/>
            </w:tcBorders>
            <w:tcMar>
              <w:top w:w="128" w:type="dxa"/>
              <w:left w:w="43" w:type="dxa"/>
              <w:bottom w:w="43" w:type="dxa"/>
              <w:right w:w="43" w:type="dxa"/>
            </w:tcMar>
          </w:tcPr>
          <w:p w14:paraId="2070EE8A" w14:textId="77777777" w:rsidR="00972395" w:rsidRPr="00E73D4B" w:rsidRDefault="00F120C7" w:rsidP="00681E28">
            <w:pPr>
              <w:jc w:val="right"/>
            </w:pPr>
            <w:r w:rsidRPr="00E73D4B">
              <w:t>Nei</w:t>
            </w:r>
          </w:p>
        </w:tc>
      </w:tr>
      <w:tr w:rsidR="00972395" w:rsidRPr="00E73D4B" w14:paraId="7A584AEA"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9E7F558" w14:textId="77777777" w:rsidR="00972395" w:rsidRPr="00E73D4B" w:rsidRDefault="00F120C7" w:rsidP="00681E28">
            <w:r w:rsidRPr="00E73D4B">
              <w:t>2017–2018</w:t>
            </w:r>
          </w:p>
        </w:tc>
        <w:tc>
          <w:tcPr>
            <w:tcW w:w="1275" w:type="dxa"/>
            <w:tcBorders>
              <w:top w:val="nil"/>
              <w:left w:val="nil"/>
              <w:bottom w:val="nil"/>
              <w:right w:val="nil"/>
            </w:tcBorders>
            <w:tcMar>
              <w:top w:w="128" w:type="dxa"/>
              <w:left w:w="43" w:type="dxa"/>
              <w:bottom w:w="43" w:type="dxa"/>
              <w:right w:w="43" w:type="dxa"/>
            </w:tcMar>
          </w:tcPr>
          <w:p w14:paraId="32BC1D04" w14:textId="77777777" w:rsidR="00972395" w:rsidRPr="00E73D4B" w:rsidRDefault="00F120C7" w:rsidP="00681E28">
            <w:pPr>
              <w:jc w:val="right"/>
            </w:pPr>
            <w:r w:rsidRPr="00E73D4B">
              <w:t>539</w:t>
            </w:r>
          </w:p>
        </w:tc>
        <w:tc>
          <w:tcPr>
            <w:tcW w:w="4536" w:type="dxa"/>
            <w:tcBorders>
              <w:top w:val="nil"/>
              <w:left w:val="nil"/>
              <w:bottom w:val="nil"/>
              <w:right w:val="nil"/>
            </w:tcBorders>
            <w:tcMar>
              <w:top w:w="128" w:type="dxa"/>
              <w:left w:w="43" w:type="dxa"/>
              <w:bottom w:w="43" w:type="dxa"/>
              <w:right w:w="43" w:type="dxa"/>
            </w:tcMar>
          </w:tcPr>
          <w:p w14:paraId="75B1F971" w14:textId="77777777" w:rsidR="00972395" w:rsidRPr="00E73D4B" w:rsidRDefault="00F120C7" w:rsidP="00681E28">
            <w:r w:rsidRPr="00E73D4B">
              <w:t>Alternativ til fengsling av barn</w:t>
            </w:r>
          </w:p>
        </w:tc>
        <w:tc>
          <w:tcPr>
            <w:tcW w:w="1829" w:type="dxa"/>
            <w:tcBorders>
              <w:top w:val="nil"/>
              <w:left w:val="nil"/>
              <w:bottom w:val="nil"/>
              <w:right w:val="nil"/>
            </w:tcBorders>
            <w:tcMar>
              <w:top w:w="128" w:type="dxa"/>
              <w:left w:w="43" w:type="dxa"/>
              <w:bottom w:w="43" w:type="dxa"/>
              <w:right w:w="43" w:type="dxa"/>
            </w:tcMar>
          </w:tcPr>
          <w:p w14:paraId="47BB5FD5" w14:textId="77777777" w:rsidR="00972395" w:rsidRPr="00E73D4B" w:rsidRDefault="00F120C7" w:rsidP="00681E28">
            <w:pPr>
              <w:jc w:val="right"/>
            </w:pPr>
            <w:r w:rsidRPr="00E73D4B">
              <w:t xml:space="preserve">Ja </w:t>
            </w:r>
          </w:p>
        </w:tc>
      </w:tr>
      <w:tr w:rsidR="00972395" w:rsidRPr="00E73D4B" w14:paraId="7929F9E2"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283ED95D" w14:textId="77777777" w:rsidR="00972395" w:rsidRPr="00E73D4B" w:rsidRDefault="00F120C7" w:rsidP="00681E28">
            <w:r w:rsidRPr="00E73D4B">
              <w:t>2017–2018</w:t>
            </w:r>
          </w:p>
        </w:tc>
        <w:tc>
          <w:tcPr>
            <w:tcW w:w="1275" w:type="dxa"/>
            <w:tcBorders>
              <w:top w:val="nil"/>
              <w:left w:val="nil"/>
              <w:bottom w:val="nil"/>
              <w:right w:val="nil"/>
            </w:tcBorders>
            <w:tcMar>
              <w:top w:w="128" w:type="dxa"/>
              <w:left w:w="43" w:type="dxa"/>
              <w:bottom w:w="43" w:type="dxa"/>
              <w:right w:w="43" w:type="dxa"/>
            </w:tcMar>
          </w:tcPr>
          <w:p w14:paraId="0E257D0F" w14:textId="77777777" w:rsidR="00972395" w:rsidRPr="00E73D4B" w:rsidRDefault="00F120C7" w:rsidP="00681E28">
            <w:pPr>
              <w:jc w:val="right"/>
            </w:pPr>
            <w:r w:rsidRPr="00E73D4B">
              <w:t>540</w:t>
            </w:r>
          </w:p>
        </w:tc>
        <w:tc>
          <w:tcPr>
            <w:tcW w:w="4536" w:type="dxa"/>
            <w:tcBorders>
              <w:top w:val="nil"/>
              <w:left w:val="nil"/>
              <w:bottom w:val="nil"/>
              <w:right w:val="nil"/>
            </w:tcBorders>
            <w:tcMar>
              <w:top w:w="128" w:type="dxa"/>
              <w:left w:w="43" w:type="dxa"/>
              <w:bottom w:w="43" w:type="dxa"/>
              <w:right w:w="43" w:type="dxa"/>
            </w:tcMar>
          </w:tcPr>
          <w:p w14:paraId="4F3B6BBC" w14:textId="77777777" w:rsidR="00972395" w:rsidRPr="00E73D4B" w:rsidRDefault="00F120C7" w:rsidP="00681E28">
            <w:proofErr w:type="spellStart"/>
            <w:r w:rsidRPr="00E73D4B">
              <w:t>Einslege</w:t>
            </w:r>
            <w:proofErr w:type="spellEnd"/>
            <w:r w:rsidRPr="00E73D4B">
              <w:t xml:space="preserve"> mindreårige </w:t>
            </w:r>
            <w:proofErr w:type="spellStart"/>
            <w:r w:rsidRPr="00E73D4B">
              <w:t>asylsøkarar</w:t>
            </w:r>
            <w:proofErr w:type="spellEnd"/>
          </w:p>
        </w:tc>
        <w:tc>
          <w:tcPr>
            <w:tcW w:w="1829" w:type="dxa"/>
            <w:tcBorders>
              <w:top w:val="nil"/>
              <w:left w:val="nil"/>
              <w:bottom w:val="nil"/>
              <w:right w:val="nil"/>
            </w:tcBorders>
            <w:tcMar>
              <w:top w:w="128" w:type="dxa"/>
              <w:left w:w="43" w:type="dxa"/>
              <w:bottom w:w="43" w:type="dxa"/>
              <w:right w:w="43" w:type="dxa"/>
            </w:tcMar>
          </w:tcPr>
          <w:p w14:paraId="35A0E97C" w14:textId="77777777" w:rsidR="00972395" w:rsidRPr="00E73D4B" w:rsidRDefault="00F120C7" w:rsidP="00681E28">
            <w:pPr>
              <w:jc w:val="right"/>
            </w:pPr>
            <w:r w:rsidRPr="00E73D4B">
              <w:t>Ja</w:t>
            </w:r>
          </w:p>
        </w:tc>
      </w:tr>
      <w:tr w:rsidR="00972395" w:rsidRPr="00E73D4B" w14:paraId="77E4B1D2"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A644A03" w14:textId="77777777" w:rsidR="00972395" w:rsidRPr="00E73D4B" w:rsidRDefault="00F120C7" w:rsidP="00681E28">
            <w:r w:rsidRPr="00E73D4B">
              <w:t>2017–2018</w:t>
            </w:r>
          </w:p>
        </w:tc>
        <w:tc>
          <w:tcPr>
            <w:tcW w:w="1275" w:type="dxa"/>
            <w:tcBorders>
              <w:top w:val="nil"/>
              <w:left w:val="nil"/>
              <w:bottom w:val="nil"/>
              <w:right w:val="nil"/>
            </w:tcBorders>
            <w:tcMar>
              <w:top w:w="128" w:type="dxa"/>
              <w:left w:w="43" w:type="dxa"/>
              <w:bottom w:w="43" w:type="dxa"/>
              <w:right w:w="43" w:type="dxa"/>
            </w:tcMar>
          </w:tcPr>
          <w:p w14:paraId="5478391E" w14:textId="77777777" w:rsidR="00972395" w:rsidRPr="00E73D4B" w:rsidRDefault="00F120C7" w:rsidP="00681E28">
            <w:pPr>
              <w:jc w:val="right"/>
            </w:pPr>
            <w:r w:rsidRPr="00E73D4B">
              <w:t>541</w:t>
            </w:r>
          </w:p>
        </w:tc>
        <w:tc>
          <w:tcPr>
            <w:tcW w:w="4536" w:type="dxa"/>
            <w:tcBorders>
              <w:top w:val="nil"/>
              <w:left w:val="nil"/>
              <w:bottom w:val="nil"/>
              <w:right w:val="nil"/>
            </w:tcBorders>
            <w:tcMar>
              <w:top w:w="128" w:type="dxa"/>
              <w:left w:w="43" w:type="dxa"/>
              <w:bottom w:w="43" w:type="dxa"/>
              <w:right w:w="43" w:type="dxa"/>
            </w:tcMar>
          </w:tcPr>
          <w:p w14:paraId="2334208C" w14:textId="77777777" w:rsidR="00972395" w:rsidRPr="00E73D4B" w:rsidRDefault="00F120C7" w:rsidP="00681E28">
            <w:r w:rsidRPr="00E73D4B">
              <w:t xml:space="preserve">Tvangsreturnering av </w:t>
            </w:r>
            <w:proofErr w:type="spellStart"/>
            <w:r w:rsidRPr="00E73D4B">
              <w:t>barnefamiliar</w:t>
            </w:r>
            <w:proofErr w:type="spellEnd"/>
          </w:p>
        </w:tc>
        <w:tc>
          <w:tcPr>
            <w:tcW w:w="1829" w:type="dxa"/>
            <w:tcBorders>
              <w:top w:val="nil"/>
              <w:left w:val="nil"/>
              <w:bottom w:val="nil"/>
              <w:right w:val="nil"/>
            </w:tcBorders>
            <w:tcMar>
              <w:top w:w="128" w:type="dxa"/>
              <w:left w:w="43" w:type="dxa"/>
              <w:bottom w:w="43" w:type="dxa"/>
              <w:right w:w="43" w:type="dxa"/>
            </w:tcMar>
          </w:tcPr>
          <w:p w14:paraId="21D15CE0" w14:textId="77777777" w:rsidR="00972395" w:rsidRPr="00E73D4B" w:rsidRDefault="00F120C7" w:rsidP="00681E28">
            <w:pPr>
              <w:jc w:val="right"/>
            </w:pPr>
            <w:r w:rsidRPr="00E73D4B">
              <w:t xml:space="preserve">Ja </w:t>
            </w:r>
          </w:p>
        </w:tc>
      </w:tr>
      <w:tr w:rsidR="00972395" w:rsidRPr="00E73D4B" w14:paraId="0C9D7CE4"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B86CB30" w14:textId="77777777" w:rsidR="00972395" w:rsidRPr="00E73D4B" w:rsidRDefault="00F120C7" w:rsidP="00681E28">
            <w:r w:rsidRPr="00E73D4B">
              <w:t>2017–2018</w:t>
            </w:r>
          </w:p>
        </w:tc>
        <w:tc>
          <w:tcPr>
            <w:tcW w:w="1275" w:type="dxa"/>
            <w:tcBorders>
              <w:top w:val="nil"/>
              <w:left w:val="nil"/>
              <w:bottom w:val="nil"/>
              <w:right w:val="nil"/>
            </w:tcBorders>
            <w:tcMar>
              <w:top w:w="128" w:type="dxa"/>
              <w:left w:w="43" w:type="dxa"/>
              <w:bottom w:w="43" w:type="dxa"/>
              <w:right w:w="43" w:type="dxa"/>
            </w:tcMar>
          </w:tcPr>
          <w:p w14:paraId="1D2DBAB2" w14:textId="77777777" w:rsidR="00972395" w:rsidRPr="00E73D4B" w:rsidRDefault="00F120C7" w:rsidP="00681E28">
            <w:pPr>
              <w:jc w:val="right"/>
            </w:pPr>
            <w:r w:rsidRPr="00E73D4B">
              <w:t>788</w:t>
            </w:r>
          </w:p>
        </w:tc>
        <w:tc>
          <w:tcPr>
            <w:tcW w:w="4536" w:type="dxa"/>
            <w:tcBorders>
              <w:top w:val="nil"/>
              <w:left w:val="nil"/>
              <w:bottom w:val="nil"/>
              <w:right w:val="nil"/>
            </w:tcBorders>
            <w:tcMar>
              <w:top w:w="128" w:type="dxa"/>
              <w:left w:w="43" w:type="dxa"/>
              <w:bottom w:w="43" w:type="dxa"/>
              <w:right w:w="43" w:type="dxa"/>
            </w:tcMar>
          </w:tcPr>
          <w:p w14:paraId="7E5FF25C" w14:textId="77777777" w:rsidR="00972395" w:rsidRPr="00E73D4B" w:rsidRDefault="00F120C7" w:rsidP="00681E28">
            <w:proofErr w:type="spellStart"/>
            <w:r w:rsidRPr="00E73D4B">
              <w:t>Utanlandsopphald</w:t>
            </w:r>
            <w:proofErr w:type="spellEnd"/>
          </w:p>
        </w:tc>
        <w:tc>
          <w:tcPr>
            <w:tcW w:w="1829" w:type="dxa"/>
            <w:tcBorders>
              <w:top w:val="nil"/>
              <w:left w:val="nil"/>
              <w:bottom w:val="nil"/>
              <w:right w:val="nil"/>
            </w:tcBorders>
            <w:tcMar>
              <w:top w:w="128" w:type="dxa"/>
              <w:left w:w="43" w:type="dxa"/>
              <w:bottom w:w="43" w:type="dxa"/>
              <w:right w:w="43" w:type="dxa"/>
            </w:tcMar>
          </w:tcPr>
          <w:p w14:paraId="41E1C05D" w14:textId="77777777" w:rsidR="00972395" w:rsidRPr="00E73D4B" w:rsidRDefault="00F120C7" w:rsidP="00681E28">
            <w:pPr>
              <w:jc w:val="right"/>
            </w:pPr>
            <w:r w:rsidRPr="00E73D4B">
              <w:t>Nei</w:t>
            </w:r>
          </w:p>
        </w:tc>
      </w:tr>
      <w:tr w:rsidR="00972395" w:rsidRPr="00E73D4B" w14:paraId="531D7009"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10CCE6C9" w14:textId="77777777" w:rsidR="00972395" w:rsidRPr="00E73D4B" w:rsidRDefault="00F120C7" w:rsidP="00681E28">
            <w:r w:rsidRPr="00E73D4B">
              <w:t>2017–2018</w:t>
            </w:r>
          </w:p>
        </w:tc>
        <w:tc>
          <w:tcPr>
            <w:tcW w:w="1275" w:type="dxa"/>
            <w:tcBorders>
              <w:top w:val="nil"/>
              <w:left w:val="nil"/>
              <w:bottom w:val="nil"/>
              <w:right w:val="nil"/>
            </w:tcBorders>
            <w:tcMar>
              <w:top w:w="128" w:type="dxa"/>
              <w:left w:w="43" w:type="dxa"/>
              <w:bottom w:w="43" w:type="dxa"/>
              <w:right w:w="43" w:type="dxa"/>
            </w:tcMar>
          </w:tcPr>
          <w:p w14:paraId="1FBE6A17" w14:textId="77777777" w:rsidR="00972395" w:rsidRPr="00E73D4B" w:rsidRDefault="00F120C7" w:rsidP="00681E28">
            <w:pPr>
              <w:jc w:val="right"/>
            </w:pPr>
            <w:r w:rsidRPr="00E73D4B">
              <w:t>795</w:t>
            </w:r>
          </w:p>
        </w:tc>
        <w:tc>
          <w:tcPr>
            <w:tcW w:w="4536" w:type="dxa"/>
            <w:tcBorders>
              <w:top w:val="nil"/>
              <w:left w:val="nil"/>
              <w:bottom w:val="nil"/>
              <w:right w:val="nil"/>
            </w:tcBorders>
            <w:tcMar>
              <w:top w:w="128" w:type="dxa"/>
              <w:left w:w="43" w:type="dxa"/>
              <w:bottom w:w="43" w:type="dxa"/>
              <w:right w:w="43" w:type="dxa"/>
            </w:tcMar>
          </w:tcPr>
          <w:p w14:paraId="66F8A941" w14:textId="77777777" w:rsidR="00972395" w:rsidRPr="00E73D4B" w:rsidRDefault="00F120C7" w:rsidP="00681E28">
            <w:r w:rsidRPr="00E73D4B">
              <w:t>Eige lovverk for Statens barnehus</w:t>
            </w:r>
          </w:p>
        </w:tc>
        <w:tc>
          <w:tcPr>
            <w:tcW w:w="1829" w:type="dxa"/>
            <w:tcBorders>
              <w:top w:val="nil"/>
              <w:left w:val="nil"/>
              <w:bottom w:val="nil"/>
              <w:right w:val="nil"/>
            </w:tcBorders>
            <w:tcMar>
              <w:top w:w="128" w:type="dxa"/>
              <w:left w:w="43" w:type="dxa"/>
              <w:bottom w:w="43" w:type="dxa"/>
              <w:right w:w="43" w:type="dxa"/>
            </w:tcMar>
          </w:tcPr>
          <w:p w14:paraId="6C820597" w14:textId="77777777" w:rsidR="00972395" w:rsidRPr="00E73D4B" w:rsidRDefault="00F120C7" w:rsidP="00681E28">
            <w:pPr>
              <w:jc w:val="right"/>
            </w:pPr>
            <w:r w:rsidRPr="00E73D4B">
              <w:t>Nei</w:t>
            </w:r>
          </w:p>
        </w:tc>
      </w:tr>
      <w:tr w:rsidR="00972395" w:rsidRPr="00E73D4B" w14:paraId="21CA826B" w14:textId="77777777" w:rsidTr="00681E28">
        <w:trPr>
          <w:trHeight w:val="640"/>
        </w:trPr>
        <w:tc>
          <w:tcPr>
            <w:tcW w:w="1560" w:type="dxa"/>
            <w:tcBorders>
              <w:top w:val="nil"/>
              <w:left w:val="nil"/>
              <w:bottom w:val="nil"/>
              <w:right w:val="nil"/>
            </w:tcBorders>
            <w:tcMar>
              <w:top w:w="128" w:type="dxa"/>
              <w:left w:w="43" w:type="dxa"/>
              <w:bottom w:w="43" w:type="dxa"/>
              <w:right w:w="43" w:type="dxa"/>
            </w:tcMar>
          </w:tcPr>
          <w:p w14:paraId="2B5FDE9D" w14:textId="77777777" w:rsidR="00972395" w:rsidRPr="00E73D4B" w:rsidRDefault="00F120C7" w:rsidP="00681E28">
            <w:r w:rsidRPr="00E73D4B">
              <w:t>2017–2018</w:t>
            </w:r>
          </w:p>
        </w:tc>
        <w:tc>
          <w:tcPr>
            <w:tcW w:w="1275" w:type="dxa"/>
            <w:tcBorders>
              <w:top w:val="nil"/>
              <w:left w:val="nil"/>
              <w:bottom w:val="nil"/>
              <w:right w:val="nil"/>
            </w:tcBorders>
            <w:tcMar>
              <w:top w:w="128" w:type="dxa"/>
              <w:left w:w="43" w:type="dxa"/>
              <w:bottom w:w="43" w:type="dxa"/>
              <w:right w:w="43" w:type="dxa"/>
            </w:tcMar>
          </w:tcPr>
          <w:p w14:paraId="17EC029B" w14:textId="77777777" w:rsidR="00972395" w:rsidRPr="00E73D4B" w:rsidRDefault="00F120C7" w:rsidP="00681E28">
            <w:pPr>
              <w:jc w:val="right"/>
            </w:pPr>
            <w:r w:rsidRPr="00E73D4B">
              <w:t>798</w:t>
            </w:r>
          </w:p>
        </w:tc>
        <w:tc>
          <w:tcPr>
            <w:tcW w:w="4536" w:type="dxa"/>
            <w:tcBorders>
              <w:top w:val="nil"/>
              <w:left w:val="nil"/>
              <w:bottom w:val="nil"/>
              <w:right w:val="nil"/>
            </w:tcBorders>
            <w:tcMar>
              <w:top w:w="128" w:type="dxa"/>
              <w:left w:w="43" w:type="dxa"/>
              <w:bottom w:w="43" w:type="dxa"/>
              <w:right w:w="43" w:type="dxa"/>
            </w:tcMar>
          </w:tcPr>
          <w:p w14:paraId="542CB86B" w14:textId="77777777" w:rsidR="00972395" w:rsidRPr="00E73D4B" w:rsidRDefault="00F120C7" w:rsidP="00681E28">
            <w:r w:rsidRPr="00E73D4B">
              <w:t>Regelverk for teieplikt, opplysningsplikt og opplysningsrett – vald og overgrep</w:t>
            </w:r>
          </w:p>
        </w:tc>
        <w:tc>
          <w:tcPr>
            <w:tcW w:w="1829" w:type="dxa"/>
            <w:tcBorders>
              <w:top w:val="nil"/>
              <w:left w:val="nil"/>
              <w:bottom w:val="nil"/>
              <w:right w:val="nil"/>
            </w:tcBorders>
            <w:tcMar>
              <w:top w:w="128" w:type="dxa"/>
              <w:left w:w="43" w:type="dxa"/>
              <w:bottom w:w="43" w:type="dxa"/>
              <w:right w:w="43" w:type="dxa"/>
            </w:tcMar>
          </w:tcPr>
          <w:p w14:paraId="52ABBEFB" w14:textId="77777777" w:rsidR="00972395" w:rsidRPr="00E73D4B" w:rsidRDefault="00F120C7" w:rsidP="00681E28">
            <w:pPr>
              <w:jc w:val="right"/>
            </w:pPr>
            <w:r w:rsidRPr="00E73D4B">
              <w:t>Nei</w:t>
            </w:r>
          </w:p>
        </w:tc>
      </w:tr>
      <w:tr w:rsidR="00972395" w:rsidRPr="00E73D4B" w14:paraId="24BF56B7"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70FA178A" w14:textId="77777777" w:rsidR="00972395" w:rsidRPr="00E73D4B" w:rsidRDefault="00F120C7" w:rsidP="00681E28">
            <w:r w:rsidRPr="00E73D4B">
              <w:t>2017–2018</w:t>
            </w:r>
          </w:p>
        </w:tc>
        <w:tc>
          <w:tcPr>
            <w:tcW w:w="1275" w:type="dxa"/>
            <w:tcBorders>
              <w:top w:val="nil"/>
              <w:left w:val="nil"/>
              <w:bottom w:val="nil"/>
              <w:right w:val="nil"/>
            </w:tcBorders>
            <w:tcMar>
              <w:top w:w="128" w:type="dxa"/>
              <w:left w:w="43" w:type="dxa"/>
              <w:bottom w:w="43" w:type="dxa"/>
              <w:right w:w="43" w:type="dxa"/>
            </w:tcMar>
          </w:tcPr>
          <w:p w14:paraId="4565ECB6" w14:textId="77777777" w:rsidR="00972395" w:rsidRPr="00E73D4B" w:rsidRDefault="00F120C7" w:rsidP="00681E28">
            <w:pPr>
              <w:jc w:val="right"/>
            </w:pPr>
            <w:r w:rsidRPr="00E73D4B">
              <w:t>899</w:t>
            </w:r>
          </w:p>
        </w:tc>
        <w:tc>
          <w:tcPr>
            <w:tcW w:w="4536" w:type="dxa"/>
            <w:tcBorders>
              <w:top w:val="nil"/>
              <w:left w:val="nil"/>
              <w:bottom w:val="nil"/>
              <w:right w:val="nil"/>
            </w:tcBorders>
            <w:tcMar>
              <w:top w:w="128" w:type="dxa"/>
              <w:left w:w="43" w:type="dxa"/>
              <w:bottom w:w="43" w:type="dxa"/>
              <w:right w:w="43" w:type="dxa"/>
            </w:tcMar>
          </w:tcPr>
          <w:p w14:paraId="7236EB64" w14:textId="77777777" w:rsidR="00972395" w:rsidRPr="00E73D4B" w:rsidRDefault="00F120C7" w:rsidP="00681E28">
            <w:proofErr w:type="spellStart"/>
            <w:r w:rsidRPr="00E73D4B">
              <w:t>Menneskerettane</w:t>
            </w:r>
            <w:proofErr w:type="spellEnd"/>
            <w:r w:rsidRPr="00E73D4B">
              <w:t xml:space="preserve"> til utviklingshemma – </w:t>
            </w:r>
            <w:proofErr w:type="spellStart"/>
            <w:r w:rsidRPr="00E73D4B">
              <w:t>verjemål</w:t>
            </w:r>
            <w:proofErr w:type="spellEnd"/>
          </w:p>
        </w:tc>
        <w:tc>
          <w:tcPr>
            <w:tcW w:w="1829" w:type="dxa"/>
            <w:tcBorders>
              <w:top w:val="nil"/>
              <w:left w:val="nil"/>
              <w:bottom w:val="nil"/>
              <w:right w:val="nil"/>
            </w:tcBorders>
            <w:tcMar>
              <w:top w:w="128" w:type="dxa"/>
              <w:left w:w="43" w:type="dxa"/>
              <w:bottom w:w="43" w:type="dxa"/>
              <w:right w:w="43" w:type="dxa"/>
            </w:tcMar>
          </w:tcPr>
          <w:p w14:paraId="3FF13D09" w14:textId="77777777" w:rsidR="00972395" w:rsidRPr="00E73D4B" w:rsidRDefault="00F120C7" w:rsidP="00681E28">
            <w:pPr>
              <w:jc w:val="right"/>
            </w:pPr>
            <w:r w:rsidRPr="00E73D4B">
              <w:t>Nei</w:t>
            </w:r>
          </w:p>
        </w:tc>
      </w:tr>
      <w:tr w:rsidR="00972395" w:rsidRPr="00E73D4B" w14:paraId="446DF9AA"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5B6E7927" w14:textId="77777777" w:rsidR="00972395" w:rsidRPr="00E73D4B" w:rsidRDefault="00F120C7" w:rsidP="00681E28">
            <w:r w:rsidRPr="00E73D4B">
              <w:t>2016–2017</w:t>
            </w:r>
          </w:p>
        </w:tc>
        <w:tc>
          <w:tcPr>
            <w:tcW w:w="1275" w:type="dxa"/>
            <w:tcBorders>
              <w:top w:val="nil"/>
              <w:left w:val="nil"/>
              <w:bottom w:val="nil"/>
              <w:right w:val="nil"/>
            </w:tcBorders>
            <w:tcMar>
              <w:top w:w="128" w:type="dxa"/>
              <w:left w:w="43" w:type="dxa"/>
              <w:bottom w:w="43" w:type="dxa"/>
              <w:right w:w="43" w:type="dxa"/>
            </w:tcMar>
          </w:tcPr>
          <w:p w14:paraId="382AC2BB" w14:textId="77777777" w:rsidR="00972395" w:rsidRPr="00E73D4B" w:rsidRDefault="00F120C7" w:rsidP="00681E28">
            <w:pPr>
              <w:jc w:val="right"/>
            </w:pPr>
            <w:r w:rsidRPr="00E73D4B">
              <w:t>523</w:t>
            </w:r>
          </w:p>
        </w:tc>
        <w:tc>
          <w:tcPr>
            <w:tcW w:w="4536" w:type="dxa"/>
            <w:tcBorders>
              <w:top w:val="nil"/>
              <w:left w:val="nil"/>
              <w:bottom w:val="nil"/>
              <w:right w:val="nil"/>
            </w:tcBorders>
            <w:tcMar>
              <w:top w:w="128" w:type="dxa"/>
              <w:left w:w="43" w:type="dxa"/>
              <w:bottom w:w="43" w:type="dxa"/>
              <w:right w:w="43" w:type="dxa"/>
            </w:tcMar>
          </w:tcPr>
          <w:p w14:paraId="5B7D598C" w14:textId="77777777" w:rsidR="00972395" w:rsidRPr="00E73D4B" w:rsidRDefault="00F120C7" w:rsidP="00681E28">
            <w:r w:rsidRPr="00E73D4B">
              <w:t>Korrupsjonsføresegnene i straffelova</w:t>
            </w:r>
          </w:p>
        </w:tc>
        <w:tc>
          <w:tcPr>
            <w:tcW w:w="1829" w:type="dxa"/>
            <w:tcBorders>
              <w:top w:val="nil"/>
              <w:left w:val="nil"/>
              <w:bottom w:val="nil"/>
              <w:right w:val="nil"/>
            </w:tcBorders>
            <w:tcMar>
              <w:top w:w="128" w:type="dxa"/>
              <w:left w:w="43" w:type="dxa"/>
              <w:bottom w:w="43" w:type="dxa"/>
              <w:right w:w="43" w:type="dxa"/>
            </w:tcMar>
          </w:tcPr>
          <w:p w14:paraId="72E132FD" w14:textId="77777777" w:rsidR="00972395" w:rsidRPr="00E73D4B" w:rsidRDefault="00F120C7" w:rsidP="00681E28">
            <w:pPr>
              <w:jc w:val="right"/>
            </w:pPr>
            <w:r w:rsidRPr="00E73D4B">
              <w:t>Nei</w:t>
            </w:r>
          </w:p>
        </w:tc>
      </w:tr>
      <w:tr w:rsidR="00972395" w:rsidRPr="00E73D4B" w14:paraId="4EFF4C9E"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4A0FBC02" w14:textId="77777777" w:rsidR="00972395" w:rsidRPr="00E73D4B" w:rsidRDefault="00F120C7" w:rsidP="00681E28">
            <w:r w:rsidRPr="00E73D4B">
              <w:t>2016–2017</w:t>
            </w:r>
          </w:p>
        </w:tc>
        <w:tc>
          <w:tcPr>
            <w:tcW w:w="1275" w:type="dxa"/>
            <w:tcBorders>
              <w:top w:val="nil"/>
              <w:left w:val="nil"/>
              <w:bottom w:val="nil"/>
              <w:right w:val="nil"/>
            </w:tcBorders>
            <w:tcMar>
              <w:top w:w="128" w:type="dxa"/>
              <w:left w:w="43" w:type="dxa"/>
              <w:bottom w:w="43" w:type="dxa"/>
              <w:right w:w="43" w:type="dxa"/>
            </w:tcMar>
          </w:tcPr>
          <w:p w14:paraId="58AC7CFB" w14:textId="77777777" w:rsidR="00972395" w:rsidRPr="00E73D4B" w:rsidRDefault="00F120C7" w:rsidP="00681E28">
            <w:pPr>
              <w:jc w:val="right"/>
            </w:pPr>
            <w:r w:rsidRPr="00E73D4B">
              <w:t>630</w:t>
            </w:r>
          </w:p>
        </w:tc>
        <w:tc>
          <w:tcPr>
            <w:tcW w:w="4536" w:type="dxa"/>
            <w:tcBorders>
              <w:top w:val="nil"/>
              <w:left w:val="nil"/>
              <w:bottom w:val="nil"/>
              <w:right w:val="nil"/>
            </w:tcBorders>
            <w:tcMar>
              <w:top w:w="128" w:type="dxa"/>
              <w:left w:w="43" w:type="dxa"/>
              <w:bottom w:w="43" w:type="dxa"/>
              <w:right w:w="43" w:type="dxa"/>
            </w:tcMar>
          </w:tcPr>
          <w:p w14:paraId="6C43845E" w14:textId="77777777" w:rsidR="00972395" w:rsidRPr="00E73D4B" w:rsidRDefault="00F120C7" w:rsidP="00681E28">
            <w:r w:rsidRPr="00E73D4B">
              <w:t xml:space="preserve">Omvend </w:t>
            </w:r>
            <w:proofErr w:type="spellStart"/>
            <w:r w:rsidRPr="00E73D4B">
              <w:t>valdsalarm</w:t>
            </w:r>
            <w:proofErr w:type="spellEnd"/>
            <w:r w:rsidRPr="00E73D4B">
              <w:t xml:space="preserve"> ved </w:t>
            </w:r>
            <w:proofErr w:type="spellStart"/>
            <w:r w:rsidRPr="00E73D4B">
              <w:t>brot</w:t>
            </w:r>
            <w:proofErr w:type="spellEnd"/>
            <w:r w:rsidRPr="00E73D4B">
              <w:t xml:space="preserve"> på </w:t>
            </w:r>
            <w:proofErr w:type="spellStart"/>
            <w:r w:rsidRPr="00E73D4B">
              <w:t>besøksforbod</w:t>
            </w:r>
            <w:proofErr w:type="spellEnd"/>
          </w:p>
        </w:tc>
        <w:tc>
          <w:tcPr>
            <w:tcW w:w="1829" w:type="dxa"/>
            <w:tcBorders>
              <w:top w:val="nil"/>
              <w:left w:val="nil"/>
              <w:bottom w:val="nil"/>
              <w:right w:val="nil"/>
            </w:tcBorders>
            <w:tcMar>
              <w:top w:w="128" w:type="dxa"/>
              <w:left w:w="43" w:type="dxa"/>
              <w:bottom w:w="43" w:type="dxa"/>
              <w:right w:w="43" w:type="dxa"/>
            </w:tcMar>
          </w:tcPr>
          <w:p w14:paraId="753A0C85" w14:textId="77777777" w:rsidR="00972395" w:rsidRPr="00E73D4B" w:rsidRDefault="00F120C7" w:rsidP="00681E28">
            <w:pPr>
              <w:jc w:val="right"/>
            </w:pPr>
            <w:r w:rsidRPr="00E73D4B">
              <w:t>Nei</w:t>
            </w:r>
          </w:p>
        </w:tc>
      </w:tr>
      <w:tr w:rsidR="00972395" w:rsidRPr="00E73D4B" w14:paraId="57A3C6E2" w14:textId="77777777" w:rsidTr="00681E28">
        <w:trPr>
          <w:trHeight w:val="380"/>
        </w:trPr>
        <w:tc>
          <w:tcPr>
            <w:tcW w:w="1560" w:type="dxa"/>
            <w:tcBorders>
              <w:top w:val="nil"/>
              <w:left w:val="nil"/>
              <w:bottom w:val="nil"/>
              <w:right w:val="nil"/>
            </w:tcBorders>
            <w:tcMar>
              <w:top w:w="128" w:type="dxa"/>
              <w:left w:w="43" w:type="dxa"/>
              <w:bottom w:w="43" w:type="dxa"/>
              <w:right w:w="43" w:type="dxa"/>
            </w:tcMar>
          </w:tcPr>
          <w:p w14:paraId="332B1E71" w14:textId="77777777" w:rsidR="00972395" w:rsidRPr="00E73D4B" w:rsidRDefault="00F120C7" w:rsidP="00681E28">
            <w:r w:rsidRPr="00E73D4B">
              <w:t>2016–2017</w:t>
            </w:r>
          </w:p>
        </w:tc>
        <w:tc>
          <w:tcPr>
            <w:tcW w:w="1275" w:type="dxa"/>
            <w:tcBorders>
              <w:top w:val="nil"/>
              <w:left w:val="nil"/>
              <w:bottom w:val="nil"/>
              <w:right w:val="nil"/>
            </w:tcBorders>
            <w:tcMar>
              <w:top w:w="128" w:type="dxa"/>
              <w:left w:w="43" w:type="dxa"/>
              <w:bottom w:w="43" w:type="dxa"/>
              <w:right w:w="43" w:type="dxa"/>
            </w:tcMar>
          </w:tcPr>
          <w:p w14:paraId="183BB51D" w14:textId="77777777" w:rsidR="00972395" w:rsidRPr="00E73D4B" w:rsidRDefault="00F120C7" w:rsidP="00681E28">
            <w:pPr>
              <w:jc w:val="right"/>
            </w:pPr>
            <w:r w:rsidRPr="00E73D4B">
              <w:t>631</w:t>
            </w:r>
          </w:p>
        </w:tc>
        <w:tc>
          <w:tcPr>
            <w:tcW w:w="4536" w:type="dxa"/>
            <w:tcBorders>
              <w:top w:val="nil"/>
              <w:left w:val="nil"/>
              <w:bottom w:val="nil"/>
              <w:right w:val="nil"/>
            </w:tcBorders>
            <w:tcMar>
              <w:top w:w="128" w:type="dxa"/>
              <w:left w:w="43" w:type="dxa"/>
              <w:bottom w:w="43" w:type="dxa"/>
              <w:right w:w="43" w:type="dxa"/>
            </w:tcMar>
          </w:tcPr>
          <w:p w14:paraId="459FC7C4" w14:textId="77777777" w:rsidR="00972395" w:rsidRPr="00E73D4B" w:rsidRDefault="00F120C7" w:rsidP="00681E28">
            <w:proofErr w:type="spellStart"/>
            <w:r w:rsidRPr="00E73D4B">
              <w:t>Besøksforbod</w:t>
            </w:r>
            <w:proofErr w:type="spellEnd"/>
          </w:p>
        </w:tc>
        <w:tc>
          <w:tcPr>
            <w:tcW w:w="1829" w:type="dxa"/>
            <w:tcBorders>
              <w:top w:val="nil"/>
              <w:left w:val="nil"/>
              <w:bottom w:val="nil"/>
              <w:right w:val="nil"/>
            </w:tcBorders>
            <w:tcMar>
              <w:top w:w="128" w:type="dxa"/>
              <w:left w:w="43" w:type="dxa"/>
              <w:bottom w:w="43" w:type="dxa"/>
              <w:right w:w="43" w:type="dxa"/>
            </w:tcMar>
          </w:tcPr>
          <w:p w14:paraId="1DBF86D1" w14:textId="77777777" w:rsidR="00972395" w:rsidRPr="00E73D4B" w:rsidRDefault="00F120C7" w:rsidP="00681E28">
            <w:pPr>
              <w:jc w:val="right"/>
            </w:pPr>
            <w:r w:rsidRPr="00E73D4B">
              <w:t>Nei</w:t>
            </w:r>
          </w:p>
        </w:tc>
      </w:tr>
      <w:tr w:rsidR="00972395" w:rsidRPr="00E73D4B" w14:paraId="5686A31C" w14:textId="77777777" w:rsidTr="00681E28">
        <w:trPr>
          <w:trHeight w:val="380"/>
        </w:trPr>
        <w:tc>
          <w:tcPr>
            <w:tcW w:w="1560" w:type="dxa"/>
            <w:tcBorders>
              <w:top w:val="nil"/>
              <w:left w:val="nil"/>
              <w:right w:val="nil"/>
            </w:tcBorders>
            <w:tcMar>
              <w:top w:w="128" w:type="dxa"/>
              <w:left w:w="43" w:type="dxa"/>
              <w:bottom w:w="43" w:type="dxa"/>
              <w:right w:w="43" w:type="dxa"/>
            </w:tcMar>
          </w:tcPr>
          <w:p w14:paraId="4111A677" w14:textId="77777777" w:rsidR="00972395" w:rsidRPr="00E73D4B" w:rsidRDefault="00F120C7" w:rsidP="00681E28">
            <w:r w:rsidRPr="00E73D4B">
              <w:t>2016–2017</w:t>
            </w:r>
          </w:p>
        </w:tc>
        <w:tc>
          <w:tcPr>
            <w:tcW w:w="1275" w:type="dxa"/>
            <w:tcBorders>
              <w:top w:val="nil"/>
              <w:left w:val="nil"/>
              <w:right w:val="nil"/>
            </w:tcBorders>
            <w:tcMar>
              <w:top w:w="128" w:type="dxa"/>
              <w:left w:w="43" w:type="dxa"/>
              <w:bottom w:w="43" w:type="dxa"/>
              <w:right w:w="43" w:type="dxa"/>
            </w:tcMar>
          </w:tcPr>
          <w:p w14:paraId="5D2BFF51" w14:textId="77777777" w:rsidR="00972395" w:rsidRPr="00E73D4B" w:rsidRDefault="00F120C7" w:rsidP="00681E28">
            <w:pPr>
              <w:jc w:val="right"/>
            </w:pPr>
            <w:r w:rsidRPr="00E73D4B">
              <w:t>1043</w:t>
            </w:r>
          </w:p>
        </w:tc>
        <w:tc>
          <w:tcPr>
            <w:tcW w:w="4536" w:type="dxa"/>
            <w:tcBorders>
              <w:top w:val="nil"/>
              <w:left w:val="nil"/>
              <w:right w:val="nil"/>
            </w:tcBorders>
            <w:tcMar>
              <w:top w:w="128" w:type="dxa"/>
              <w:left w:w="43" w:type="dxa"/>
              <w:bottom w:w="43" w:type="dxa"/>
              <w:right w:w="43" w:type="dxa"/>
            </w:tcMar>
          </w:tcPr>
          <w:p w14:paraId="7BEEA954" w14:textId="77777777" w:rsidR="00972395" w:rsidRPr="00E73D4B" w:rsidRDefault="00F120C7" w:rsidP="00681E28">
            <w:r w:rsidRPr="00E73D4B">
              <w:t xml:space="preserve">Omvend </w:t>
            </w:r>
            <w:proofErr w:type="spellStart"/>
            <w:r w:rsidRPr="00E73D4B">
              <w:t>valdsalarm</w:t>
            </w:r>
            <w:proofErr w:type="spellEnd"/>
          </w:p>
        </w:tc>
        <w:tc>
          <w:tcPr>
            <w:tcW w:w="1829" w:type="dxa"/>
            <w:tcBorders>
              <w:top w:val="nil"/>
              <w:left w:val="nil"/>
              <w:right w:val="nil"/>
            </w:tcBorders>
            <w:tcMar>
              <w:top w:w="128" w:type="dxa"/>
              <w:left w:w="43" w:type="dxa"/>
              <w:bottom w:w="43" w:type="dxa"/>
              <w:right w:w="43" w:type="dxa"/>
            </w:tcMar>
          </w:tcPr>
          <w:p w14:paraId="0DE2F2BB" w14:textId="77777777" w:rsidR="00972395" w:rsidRPr="00E73D4B" w:rsidRDefault="00F120C7" w:rsidP="00681E28">
            <w:pPr>
              <w:jc w:val="right"/>
            </w:pPr>
            <w:r w:rsidRPr="00E73D4B">
              <w:t>Nei</w:t>
            </w:r>
          </w:p>
        </w:tc>
      </w:tr>
      <w:tr w:rsidR="00972395" w:rsidRPr="00E73D4B" w14:paraId="70C74D95" w14:textId="77777777" w:rsidTr="00681E28">
        <w:trPr>
          <w:trHeight w:val="380"/>
        </w:trPr>
        <w:tc>
          <w:tcPr>
            <w:tcW w:w="1560" w:type="dxa"/>
            <w:tcBorders>
              <w:top w:val="nil"/>
              <w:left w:val="nil"/>
              <w:bottom w:val="single" w:sz="4" w:space="0" w:color="000000"/>
              <w:right w:val="nil"/>
            </w:tcBorders>
            <w:shd w:val="clear" w:color="auto" w:fill="auto"/>
            <w:tcMar>
              <w:top w:w="128" w:type="dxa"/>
              <w:left w:w="43" w:type="dxa"/>
              <w:bottom w:w="43" w:type="dxa"/>
              <w:right w:w="43" w:type="dxa"/>
            </w:tcMar>
          </w:tcPr>
          <w:p w14:paraId="062C4556" w14:textId="77777777" w:rsidR="00972395" w:rsidRPr="00E73D4B" w:rsidRDefault="00F120C7" w:rsidP="00681E28">
            <w:r w:rsidRPr="00E73D4B">
              <w:t>2015–2016</w:t>
            </w:r>
          </w:p>
        </w:tc>
        <w:tc>
          <w:tcPr>
            <w:tcW w:w="1275" w:type="dxa"/>
            <w:tcBorders>
              <w:top w:val="nil"/>
              <w:left w:val="nil"/>
              <w:bottom w:val="single" w:sz="4" w:space="0" w:color="000000"/>
              <w:right w:val="nil"/>
            </w:tcBorders>
            <w:shd w:val="clear" w:color="auto" w:fill="auto"/>
            <w:tcMar>
              <w:top w:w="128" w:type="dxa"/>
              <w:left w:w="43" w:type="dxa"/>
              <w:bottom w:w="43" w:type="dxa"/>
              <w:right w:w="43" w:type="dxa"/>
            </w:tcMar>
          </w:tcPr>
          <w:p w14:paraId="6B6CB7C0" w14:textId="77777777" w:rsidR="00972395" w:rsidRPr="00E73D4B" w:rsidRDefault="00F120C7" w:rsidP="00681E28">
            <w:pPr>
              <w:jc w:val="right"/>
            </w:pPr>
            <w:r w:rsidRPr="00E73D4B">
              <w:t>921</w:t>
            </w:r>
          </w:p>
        </w:tc>
        <w:tc>
          <w:tcPr>
            <w:tcW w:w="4536" w:type="dxa"/>
            <w:tcBorders>
              <w:top w:val="nil"/>
              <w:left w:val="nil"/>
              <w:bottom w:val="single" w:sz="4" w:space="0" w:color="000000"/>
              <w:right w:val="nil"/>
            </w:tcBorders>
            <w:shd w:val="clear" w:color="auto" w:fill="auto"/>
            <w:tcMar>
              <w:top w:w="128" w:type="dxa"/>
              <w:left w:w="43" w:type="dxa"/>
              <w:bottom w:w="43" w:type="dxa"/>
              <w:right w:w="43" w:type="dxa"/>
            </w:tcMar>
          </w:tcPr>
          <w:p w14:paraId="44D233D7" w14:textId="77777777" w:rsidR="00972395" w:rsidRPr="00E73D4B" w:rsidRDefault="00F120C7" w:rsidP="00681E28">
            <w:r w:rsidRPr="00E73D4B">
              <w:t>Tilsyn med drift av asylmottak</w:t>
            </w:r>
          </w:p>
        </w:tc>
        <w:tc>
          <w:tcPr>
            <w:tcW w:w="1829" w:type="dxa"/>
            <w:tcBorders>
              <w:top w:val="nil"/>
              <w:left w:val="nil"/>
              <w:bottom w:val="single" w:sz="4" w:space="0" w:color="000000"/>
              <w:right w:val="nil"/>
            </w:tcBorders>
            <w:shd w:val="clear" w:color="auto" w:fill="auto"/>
            <w:tcMar>
              <w:top w:w="128" w:type="dxa"/>
              <w:left w:w="43" w:type="dxa"/>
              <w:bottom w:w="43" w:type="dxa"/>
              <w:right w:w="43" w:type="dxa"/>
            </w:tcMar>
          </w:tcPr>
          <w:p w14:paraId="4F1B98F2" w14:textId="77777777" w:rsidR="00972395" w:rsidRPr="00E73D4B" w:rsidRDefault="00F120C7" w:rsidP="00681E28">
            <w:pPr>
              <w:jc w:val="right"/>
            </w:pPr>
            <w:r w:rsidRPr="00E73D4B">
              <w:t>Ja</w:t>
            </w:r>
          </w:p>
        </w:tc>
      </w:tr>
    </w:tbl>
    <w:p w14:paraId="58AA4867" w14:textId="77777777" w:rsidR="00972395" w:rsidRPr="00E73D4B" w:rsidRDefault="00F120C7" w:rsidP="001C4219">
      <w:pPr>
        <w:pStyle w:val="Overskrift2"/>
        <w:numPr>
          <w:ilvl w:val="1"/>
          <w:numId w:val="32"/>
        </w:numPr>
      </w:pPr>
      <w:r w:rsidRPr="00E73D4B">
        <w:t>Stortingssesjon 2021–2022</w:t>
      </w:r>
    </w:p>
    <w:p w14:paraId="17A86A24" w14:textId="77777777" w:rsidR="00972395" w:rsidRPr="00E73D4B" w:rsidRDefault="00F120C7" w:rsidP="00E73D4B">
      <w:pPr>
        <w:pStyle w:val="avsnitt-tittel"/>
      </w:pPr>
      <w:r w:rsidRPr="00E73D4B">
        <w:t>Ny rettshjelpsordning</w:t>
      </w:r>
    </w:p>
    <w:p w14:paraId="32FCAEEF" w14:textId="77777777" w:rsidR="00972395" w:rsidRPr="00E73D4B" w:rsidRDefault="00F120C7" w:rsidP="00E73D4B">
      <w:pPr>
        <w:pStyle w:val="avsnitt-undertittel"/>
      </w:pPr>
      <w:r w:rsidRPr="00E73D4B">
        <w:t>Vedtak nr. 35.49, 2. desember 2021</w:t>
      </w:r>
    </w:p>
    <w:p w14:paraId="22CFE815" w14:textId="77777777" w:rsidR="00972395" w:rsidRPr="00E73D4B" w:rsidRDefault="00F120C7" w:rsidP="00E73D4B">
      <w:pPr>
        <w:pStyle w:val="blokksit"/>
        <w:rPr>
          <w:rStyle w:val="kursiv"/>
        </w:rPr>
      </w:pPr>
      <w:r w:rsidRPr="00E73D4B">
        <w:rPr>
          <w:rStyle w:val="kursiv"/>
        </w:rPr>
        <w:t>«Stortinget ber regjeringen om å legge frem forslag til ny lov om støtte til rettshjelp i løpet av våren 2023, og vurdere ulike tiltak som kan forsterke rettshjelpsordningen for befolkningen, herunder forslagene i NOU 2020:5»</w:t>
      </w:r>
    </w:p>
    <w:p w14:paraId="1D073EA1" w14:textId="77777777" w:rsidR="00972395" w:rsidRPr="00E73D4B" w:rsidRDefault="00F120C7" w:rsidP="00E73D4B">
      <w:r w:rsidRPr="00E73D4B">
        <w:t xml:space="preserve">Dokumenta som ligg til grunn for vedtaket, er Meld. St. 1 (2021–2022), </w:t>
      </w:r>
      <w:proofErr w:type="spellStart"/>
      <w:r w:rsidRPr="00E73D4B">
        <w:t>Prop</w:t>
      </w:r>
      <w:proofErr w:type="spellEnd"/>
      <w:r w:rsidRPr="00E73D4B">
        <w:t xml:space="preserve">. 1 S (2021–2022), </w:t>
      </w:r>
      <w:proofErr w:type="spellStart"/>
      <w:r w:rsidRPr="00E73D4B">
        <w:t>Prop</w:t>
      </w:r>
      <w:proofErr w:type="spellEnd"/>
      <w:r w:rsidRPr="00E73D4B">
        <w:t xml:space="preserve">. 1 S Tillegg 1 (2021–2022) og </w:t>
      </w:r>
      <w:proofErr w:type="spellStart"/>
      <w:r w:rsidRPr="00E73D4B">
        <w:t>Innst</w:t>
      </w:r>
      <w:proofErr w:type="spellEnd"/>
      <w:r w:rsidRPr="00E73D4B">
        <w:t>. 2 S (2021–2022).</w:t>
      </w:r>
    </w:p>
    <w:p w14:paraId="39FA6787" w14:textId="77777777" w:rsidR="00972395" w:rsidRPr="00E73D4B" w:rsidRDefault="00F120C7" w:rsidP="00E73D4B">
      <w:r w:rsidRPr="00E73D4B">
        <w:t>Vedtaket er under behandling</w:t>
      </w:r>
      <w:r w:rsidRPr="00E73D4B">
        <w:rPr>
          <w:rStyle w:val="kursiv"/>
        </w:rPr>
        <w:t>.</w:t>
      </w:r>
    </w:p>
    <w:p w14:paraId="566272FE" w14:textId="77777777" w:rsidR="00972395" w:rsidRPr="00E73D4B" w:rsidRDefault="00F120C7" w:rsidP="00E73D4B">
      <w:pPr>
        <w:pStyle w:val="avsnitt-tittel"/>
      </w:pPr>
      <w:r w:rsidRPr="00E73D4B">
        <w:t xml:space="preserve">Pilotprosjekt for </w:t>
      </w:r>
      <w:proofErr w:type="spellStart"/>
      <w:r w:rsidRPr="00E73D4B">
        <w:t>notoritet</w:t>
      </w:r>
      <w:proofErr w:type="spellEnd"/>
      <w:r w:rsidRPr="00E73D4B">
        <w:t xml:space="preserve"> i </w:t>
      </w:r>
      <w:proofErr w:type="spellStart"/>
      <w:r w:rsidRPr="00E73D4B">
        <w:t>personkontrollar</w:t>
      </w:r>
      <w:proofErr w:type="spellEnd"/>
    </w:p>
    <w:p w14:paraId="19E26905" w14:textId="77777777" w:rsidR="00972395" w:rsidRPr="00E73D4B" w:rsidRDefault="00F120C7" w:rsidP="00E73D4B">
      <w:pPr>
        <w:pStyle w:val="avsnitt-undertittel"/>
      </w:pPr>
      <w:r w:rsidRPr="00E73D4B">
        <w:t>Vedtak nr. 35.56, 2. desember 2021</w:t>
      </w:r>
    </w:p>
    <w:p w14:paraId="1DE3AA21" w14:textId="77777777" w:rsidR="00972395" w:rsidRPr="00E73D4B" w:rsidRDefault="00F120C7" w:rsidP="00E73D4B">
      <w:pPr>
        <w:pStyle w:val="blokksit"/>
        <w:rPr>
          <w:rStyle w:val="kursiv"/>
        </w:rPr>
      </w:pPr>
      <w:r w:rsidRPr="00E73D4B">
        <w:rPr>
          <w:rStyle w:val="kursiv"/>
        </w:rPr>
        <w:t xml:space="preserve">«Stortinget ber regjeringen om å gjennomføre en pilotordning i Oslo med teknisk løsning for sikring av </w:t>
      </w:r>
      <w:proofErr w:type="spellStart"/>
      <w:r w:rsidRPr="00E73D4B">
        <w:rPr>
          <w:rStyle w:val="kursiv"/>
        </w:rPr>
        <w:t>notoritet</w:t>
      </w:r>
      <w:proofErr w:type="spellEnd"/>
      <w:r w:rsidRPr="00E73D4B">
        <w:rPr>
          <w:rStyle w:val="kursiv"/>
        </w:rPr>
        <w:t xml:space="preserve"> for personkontroller som politiet foretar dersom den som blir kontrollert vil la seg registrere. Ordningen skal innebære at den som blir stoppet kan motta en bekreftelse på kontrollen.»</w:t>
      </w:r>
    </w:p>
    <w:p w14:paraId="42026823" w14:textId="77777777" w:rsidR="00972395" w:rsidRPr="00E73D4B" w:rsidRDefault="00F120C7" w:rsidP="00E73D4B">
      <w:r w:rsidRPr="00E73D4B">
        <w:t xml:space="preserve">Dokumenta som ligg til grunn for vedtaket, er Meld. St. 1 (2021–2022) og </w:t>
      </w:r>
      <w:proofErr w:type="spellStart"/>
      <w:r w:rsidRPr="00E73D4B">
        <w:t>Innst</w:t>
      </w:r>
      <w:proofErr w:type="spellEnd"/>
      <w:r w:rsidRPr="00E73D4B">
        <w:t>. 2 S (2021–2022).</w:t>
      </w:r>
    </w:p>
    <w:p w14:paraId="7161F0BC" w14:textId="77777777" w:rsidR="00972395" w:rsidRPr="00E73D4B" w:rsidRDefault="00F120C7" w:rsidP="00E73D4B">
      <w:r w:rsidRPr="00E73D4B">
        <w:t xml:space="preserve">Vedtaket er </w:t>
      </w:r>
      <w:proofErr w:type="spellStart"/>
      <w:r w:rsidRPr="00E73D4B">
        <w:t>følgt</w:t>
      </w:r>
      <w:proofErr w:type="spellEnd"/>
      <w:r w:rsidRPr="00E73D4B">
        <w:t xml:space="preserve"> opp. Oppfølging er igangsett med oppdraget som blei gitt til Politidirektoratet og det </w:t>
      </w:r>
      <w:proofErr w:type="spellStart"/>
      <w:r w:rsidRPr="00E73D4B">
        <w:t>pågåande</w:t>
      </w:r>
      <w:proofErr w:type="spellEnd"/>
      <w:r w:rsidRPr="00E73D4B">
        <w:t xml:space="preserve"> arbeidet i Oslo politidistrikt med </w:t>
      </w:r>
      <w:proofErr w:type="spellStart"/>
      <w:r w:rsidRPr="00E73D4B">
        <w:t>planleggjing</w:t>
      </w:r>
      <w:proofErr w:type="spellEnd"/>
      <w:r w:rsidRPr="00E73D4B">
        <w:t xml:space="preserve"> og oppstart av </w:t>
      </w:r>
      <w:proofErr w:type="spellStart"/>
      <w:r w:rsidRPr="00E73D4B">
        <w:t>eit</w:t>
      </w:r>
      <w:proofErr w:type="spellEnd"/>
      <w:r w:rsidRPr="00E73D4B">
        <w:t xml:space="preserve"> pilotprosjekt med utprøving av teknisk løysing for </w:t>
      </w:r>
      <w:proofErr w:type="spellStart"/>
      <w:r w:rsidRPr="00E73D4B">
        <w:t>tilbod</w:t>
      </w:r>
      <w:proofErr w:type="spellEnd"/>
      <w:r w:rsidRPr="00E73D4B">
        <w:t xml:space="preserve"> om og </w:t>
      </w:r>
      <w:proofErr w:type="spellStart"/>
      <w:r w:rsidRPr="00E73D4B">
        <w:t>utferding</w:t>
      </w:r>
      <w:proofErr w:type="spellEnd"/>
      <w:r w:rsidRPr="00E73D4B">
        <w:t xml:space="preserve"> av stadfesting på gjennomført personkontroll.</w:t>
      </w:r>
    </w:p>
    <w:p w14:paraId="555D5D53" w14:textId="77777777" w:rsidR="00972395" w:rsidRPr="00E73D4B" w:rsidRDefault="00F120C7" w:rsidP="00E73D4B">
      <w:pPr>
        <w:pStyle w:val="avsnitt-tittel"/>
      </w:pPr>
      <w:r w:rsidRPr="00E73D4B">
        <w:t xml:space="preserve">Utgreiing av </w:t>
      </w:r>
      <w:proofErr w:type="spellStart"/>
      <w:r w:rsidRPr="00E73D4B">
        <w:t>fråvikelege</w:t>
      </w:r>
      <w:proofErr w:type="spellEnd"/>
      <w:r w:rsidRPr="00E73D4B">
        <w:t xml:space="preserve"> </w:t>
      </w:r>
      <w:proofErr w:type="spellStart"/>
      <w:r w:rsidRPr="00E73D4B">
        <w:t>lovreglar</w:t>
      </w:r>
      <w:proofErr w:type="spellEnd"/>
      <w:r w:rsidRPr="00E73D4B">
        <w:t xml:space="preserve"> om </w:t>
      </w:r>
      <w:proofErr w:type="spellStart"/>
      <w:r w:rsidRPr="00E73D4B">
        <w:t>sambuarskap</w:t>
      </w:r>
      <w:proofErr w:type="spellEnd"/>
    </w:p>
    <w:p w14:paraId="79D20AE5" w14:textId="77777777" w:rsidR="00972395" w:rsidRPr="00E73D4B" w:rsidRDefault="00F120C7" w:rsidP="00E73D4B">
      <w:pPr>
        <w:pStyle w:val="avsnitt-undertittel"/>
      </w:pPr>
      <w:r w:rsidRPr="00E73D4B">
        <w:t>Vedtak nr. 372, 3. februar 2022</w:t>
      </w:r>
    </w:p>
    <w:p w14:paraId="09F8F9EB" w14:textId="77777777" w:rsidR="00972395" w:rsidRPr="00E73D4B" w:rsidRDefault="00F120C7" w:rsidP="00E73D4B">
      <w:pPr>
        <w:pStyle w:val="blokksit"/>
        <w:rPr>
          <w:rStyle w:val="kursiv"/>
        </w:rPr>
      </w:pPr>
      <w:r w:rsidRPr="00E73D4B">
        <w:rPr>
          <w:rStyle w:val="kursiv"/>
        </w:rPr>
        <w:t xml:space="preserve">«Stortinget ber regjeringen utrede en fravikelig </w:t>
      </w:r>
      <w:proofErr w:type="spellStart"/>
      <w:r w:rsidRPr="00E73D4B">
        <w:rPr>
          <w:rStyle w:val="kursiv"/>
        </w:rPr>
        <w:t>samboerlov</w:t>
      </w:r>
      <w:proofErr w:type="spellEnd"/>
      <w:r w:rsidRPr="00E73D4B">
        <w:rPr>
          <w:rStyle w:val="kursiv"/>
        </w:rPr>
        <w:t>.»</w:t>
      </w:r>
    </w:p>
    <w:p w14:paraId="2F985043" w14:textId="77777777" w:rsidR="00972395" w:rsidRPr="00E73D4B" w:rsidRDefault="00F120C7" w:rsidP="00E73D4B">
      <w:r w:rsidRPr="00E73D4B">
        <w:t xml:space="preserve">Dokumenta som ligg til grunn for vedtaket, er Dokument 8:5 S (2021–2022) og </w:t>
      </w:r>
      <w:proofErr w:type="spellStart"/>
      <w:r w:rsidRPr="00E73D4B">
        <w:t>Innst</w:t>
      </w:r>
      <w:proofErr w:type="spellEnd"/>
      <w:r w:rsidRPr="00E73D4B">
        <w:t xml:space="preserve">. 121 S (2021–2022) </w:t>
      </w:r>
      <w:proofErr w:type="spellStart"/>
      <w:r w:rsidRPr="00E73D4B">
        <w:t>frå</w:t>
      </w:r>
      <w:proofErr w:type="spellEnd"/>
      <w:r w:rsidRPr="00E73D4B">
        <w:t xml:space="preserve"> familie- og kulturkomiteen.</w:t>
      </w:r>
    </w:p>
    <w:p w14:paraId="014BF468" w14:textId="77777777" w:rsidR="00972395" w:rsidRPr="00E73D4B" w:rsidRDefault="00F120C7" w:rsidP="00E73D4B">
      <w:r w:rsidRPr="00E73D4B">
        <w:t>Vedtaket er under behandling.</w:t>
      </w:r>
    </w:p>
    <w:p w14:paraId="59EBF9FE" w14:textId="77777777" w:rsidR="00972395" w:rsidRPr="00E73D4B" w:rsidRDefault="00F120C7" w:rsidP="00E73D4B">
      <w:pPr>
        <w:pStyle w:val="avsnitt-tittel"/>
      </w:pPr>
      <w:r w:rsidRPr="00E73D4B">
        <w:t xml:space="preserve">Stønad til </w:t>
      </w:r>
      <w:proofErr w:type="spellStart"/>
      <w:r w:rsidRPr="00E73D4B">
        <w:t>livsopphald</w:t>
      </w:r>
      <w:proofErr w:type="spellEnd"/>
      <w:r w:rsidRPr="00E73D4B">
        <w:t xml:space="preserve"> til </w:t>
      </w:r>
      <w:proofErr w:type="spellStart"/>
      <w:r w:rsidRPr="00E73D4B">
        <w:t>flyktningar</w:t>
      </w:r>
      <w:proofErr w:type="spellEnd"/>
      <w:r w:rsidRPr="00E73D4B">
        <w:t xml:space="preserve"> som bur </w:t>
      </w:r>
      <w:proofErr w:type="spellStart"/>
      <w:r w:rsidRPr="00E73D4B">
        <w:t>utanfor</w:t>
      </w:r>
      <w:proofErr w:type="spellEnd"/>
      <w:r w:rsidRPr="00E73D4B">
        <w:t xml:space="preserve"> asylmottak</w:t>
      </w:r>
    </w:p>
    <w:p w14:paraId="4CE278AA" w14:textId="77777777" w:rsidR="00972395" w:rsidRPr="00E73D4B" w:rsidRDefault="00F120C7" w:rsidP="00E73D4B">
      <w:pPr>
        <w:pStyle w:val="avsnitt-undertittel"/>
      </w:pPr>
      <w:r w:rsidRPr="00E73D4B">
        <w:t>Vedtak nr. 419, 8. mars 2022</w:t>
      </w:r>
    </w:p>
    <w:p w14:paraId="273BEC93" w14:textId="77777777" w:rsidR="00972395" w:rsidRPr="00E73D4B" w:rsidRDefault="00F120C7" w:rsidP="00E73D4B">
      <w:pPr>
        <w:pStyle w:val="blokksit"/>
        <w:rPr>
          <w:rStyle w:val="kursiv"/>
        </w:rPr>
      </w:pPr>
      <w:r w:rsidRPr="00E73D4B">
        <w:rPr>
          <w:rStyle w:val="kursiv"/>
        </w:rPr>
        <w:t>«Stortinget ber regjeringen raskt vurdere hvordan flyktninger med midlertidig kollektivt opphold som bor utenfor asylmottak midlertidig kan sikres stønad til livsopphold.»</w:t>
      </w:r>
    </w:p>
    <w:p w14:paraId="40EF7C93" w14:textId="77777777" w:rsidR="00972395" w:rsidRPr="00E73D4B" w:rsidRDefault="00F120C7" w:rsidP="00E73D4B">
      <w:r w:rsidRPr="00E73D4B">
        <w:t xml:space="preserve">Dokumenta som ligg til grunn for forslaget, er </w:t>
      </w:r>
      <w:proofErr w:type="spellStart"/>
      <w:r w:rsidRPr="00E73D4B">
        <w:t>Prop</w:t>
      </w:r>
      <w:proofErr w:type="spellEnd"/>
      <w:r w:rsidRPr="00E73D4B">
        <w:t xml:space="preserve">. 14 L (2021–2022) og </w:t>
      </w:r>
      <w:proofErr w:type="spellStart"/>
      <w:r w:rsidRPr="00E73D4B">
        <w:t>Innst</w:t>
      </w:r>
      <w:proofErr w:type="spellEnd"/>
      <w:r w:rsidRPr="00E73D4B">
        <w:t>. 175 L (2021–2022).</w:t>
      </w:r>
    </w:p>
    <w:p w14:paraId="3E8ADD95" w14:textId="77777777" w:rsidR="00972395" w:rsidRPr="00E73D4B" w:rsidRDefault="00F120C7" w:rsidP="00E73D4B">
      <w:r w:rsidRPr="00E73D4B">
        <w:t xml:space="preserve">Vedtaket er </w:t>
      </w:r>
      <w:proofErr w:type="spellStart"/>
      <w:r w:rsidRPr="00E73D4B">
        <w:t>følgt</w:t>
      </w:r>
      <w:proofErr w:type="spellEnd"/>
      <w:r w:rsidRPr="00E73D4B">
        <w:t xml:space="preserve"> opp. Justis- og beredskapsdepartementet gav 16. mars UDI instruks GI-4/2022 – </w:t>
      </w:r>
      <w:r w:rsidRPr="00E73D4B">
        <w:rPr>
          <w:rStyle w:val="kursiv"/>
        </w:rPr>
        <w:t xml:space="preserve">Instruks om alternativ mottaksplass for </w:t>
      </w:r>
      <w:proofErr w:type="spellStart"/>
      <w:r w:rsidRPr="00E73D4B">
        <w:rPr>
          <w:rStyle w:val="kursiv"/>
        </w:rPr>
        <w:t>personar</w:t>
      </w:r>
      <w:proofErr w:type="spellEnd"/>
      <w:r w:rsidRPr="00E73D4B">
        <w:rPr>
          <w:rStyle w:val="kursiv"/>
        </w:rPr>
        <w:t xml:space="preserve"> </w:t>
      </w:r>
      <w:proofErr w:type="spellStart"/>
      <w:r w:rsidRPr="00E73D4B">
        <w:rPr>
          <w:rStyle w:val="kursiv"/>
        </w:rPr>
        <w:t>fordrivne</w:t>
      </w:r>
      <w:proofErr w:type="spellEnd"/>
      <w:r w:rsidRPr="00E73D4B">
        <w:rPr>
          <w:rStyle w:val="kursiv"/>
        </w:rPr>
        <w:t xml:space="preserve"> </w:t>
      </w:r>
      <w:proofErr w:type="spellStart"/>
      <w:r w:rsidRPr="00E73D4B">
        <w:rPr>
          <w:rStyle w:val="kursiv"/>
        </w:rPr>
        <w:t>frå</w:t>
      </w:r>
      <w:proofErr w:type="spellEnd"/>
      <w:r w:rsidRPr="00E73D4B">
        <w:rPr>
          <w:rStyle w:val="kursiv"/>
        </w:rPr>
        <w:t xml:space="preserve"> Ukraina som får midlertidig kollektiv beskyttelse, jf. utlendingsforskriften § 7-5 a, jf. utlendingsloven § 34</w:t>
      </w:r>
      <w:r w:rsidRPr="00E73D4B">
        <w:t xml:space="preserve">. UDI </w:t>
      </w:r>
      <w:proofErr w:type="spellStart"/>
      <w:r w:rsidRPr="00E73D4B">
        <w:t>fekk</w:t>
      </w:r>
      <w:proofErr w:type="spellEnd"/>
      <w:r w:rsidRPr="00E73D4B">
        <w:t xml:space="preserve"> med denne instruksen fullmakt til å utvide målgruppa for ordninga med alternativ mottaksplass (AMOT) under kap. 490, post 60.</w:t>
      </w:r>
    </w:p>
    <w:p w14:paraId="70637039" w14:textId="77777777" w:rsidR="00972395" w:rsidRPr="00E73D4B" w:rsidRDefault="00F120C7" w:rsidP="00E73D4B">
      <w:pPr>
        <w:pStyle w:val="avsnitt-tittel"/>
      </w:pPr>
      <w:r w:rsidRPr="00E73D4B">
        <w:t>Straffebestemming om seksuell utnytting av barn</w:t>
      </w:r>
    </w:p>
    <w:p w14:paraId="31D52568" w14:textId="77777777" w:rsidR="00972395" w:rsidRPr="00E73D4B" w:rsidRDefault="00F120C7" w:rsidP="00E73D4B">
      <w:pPr>
        <w:pStyle w:val="avsnitt-undertittel"/>
      </w:pPr>
      <w:r w:rsidRPr="00E73D4B">
        <w:t>Vedtak nr. 420, 8. mars 2022</w:t>
      </w:r>
    </w:p>
    <w:p w14:paraId="5908D36F" w14:textId="77777777" w:rsidR="00972395" w:rsidRPr="00E73D4B" w:rsidRDefault="00F120C7" w:rsidP="00E73D4B">
      <w:pPr>
        <w:pStyle w:val="blokksit"/>
        <w:rPr>
          <w:rStyle w:val="kursiv"/>
        </w:rPr>
      </w:pPr>
      <w:r w:rsidRPr="00E73D4B">
        <w:rPr>
          <w:rStyle w:val="kursiv"/>
        </w:rPr>
        <w:t>«Stortinget ber regjeringen vurdere om ordet «livssituasjon» i straffeloven § 295 første ledd bokstav c bør endres til «situasjon», slik at bestemmelsen rammer det «å utnytte en person under 18 år i en særlig sårbar situasjon.»</w:t>
      </w:r>
    </w:p>
    <w:p w14:paraId="42A41C32" w14:textId="77777777" w:rsidR="00972395" w:rsidRPr="00E73D4B" w:rsidRDefault="00F120C7" w:rsidP="00E73D4B">
      <w:r w:rsidRPr="00E73D4B">
        <w:t xml:space="preserve">Dokumenta som ligg til grunn for vedtaket, er Dokument 8:26 S (2021–2022) og </w:t>
      </w:r>
      <w:proofErr w:type="spellStart"/>
      <w:r w:rsidRPr="00E73D4B">
        <w:t>Innst</w:t>
      </w:r>
      <w:proofErr w:type="spellEnd"/>
      <w:r w:rsidRPr="00E73D4B">
        <w:t xml:space="preserve">. 177 S (2021–2022) </w:t>
      </w:r>
      <w:proofErr w:type="spellStart"/>
      <w:r w:rsidRPr="00E73D4B">
        <w:t>frå</w:t>
      </w:r>
      <w:proofErr w:type="spellEnd"/>
      <w:r w:rsidRPr="00E73D4B">
        <w:t xml:space="preserve"> justiskomiteen.</w:t>
      </w:r>
    </w:p>
    <w:p w14:paraId="2CDA7FF5" w14:textId="77777777" w:rsidR="00972395" w:rsidRPr="00E73D4B" w:rsidRDefault="00F120C7" w:rsidP="00E73D4B">
      <w:r w:rsidRPr="00E73D4B">
        <w:t xml:space="preserve">Vedtaket er under behandling. Som ledd i Straffelovrådets </w:t>
      </w:r>
      <w:proofErr w:type="spellStart"/>
      <w:r w:rsidRPr="00E73D4B">
        <w:t>pågåande</w:t>
      </w:r>
      <w:proofErr w:type="spellEnd"/>
      <w:r w:rsidRPr="00E73D4B">
        <w:t xml:space="preserve"> gjennomgang av straffelova kapittel 26 om </w:t>
      </w:r>
      <w:proofErr w:type="spellStart"/>
      <w:r w:rsidRPr="00E73D4B">
        <w:t>seksuallovbrot</w:t>
      </w:r>
      <w:proofErr w:type="spellEnd"/>
      <w:r w:rsidRPr="00E73D4B">
        <w:t xml:space="preserve">, </w:t>
      </w:r>
      <w:proofErr w:type="spellStart"/>
      <w:r w:rsidRPr="00E73D4B">
        <w:t>vurderar</w:t>
      </w:r>
      <w:proofErr w:type="spellEnd"/>
      <w:r w:rsidRPr="00E73D4B">
        <w:t xml:space="preserve"> rådet òg behovet for </w:t>
      </w:r>
      <w:proofErr w:type="spellStart"/>
      <w:r w:rsidRPr="00E73D4B">
        <w:t>endringar</w:t>
      </w:r>
      <w:proofErr w:type="spellEnd"/>
      <w:r w:rsidRPr="00E73D4B">
        <w:t xml:space="preserve"> i føresegna som </w:t>
      </w:r>
      <w:proofErr w:type="spellStart"/>
      <w:r w:rsidRPr="00E73D4B">
        <w:t>rammar</w:t>
      </w:r>
      <w:proofErr w:type="spellEnd"/>
      <w:r w:rsidRPr="00E73D4B">
        <w:t xml:space="preserve"> den som </w:t>
      </w:r>
      <w:proofErr w:type="spellStart"/>
      <w:r w:rsidRPr="00E73D4B">
        <w:t>skaffar</w:t>
      </w:r>
      <w:proofErr w:type="spellEnd"/>
      <w:r w:rsidRPr="00E73D4B">
        <w:t xml:space="preserve"> seg eller </w:t>
      </w:r>
      <w:proofErr w:type="spellStart"/>
      <w:r w:rsidRPr="00E73D4B">
        <w:t>ein</w:t>
      </w:r>
      <w:proofErr w:type="spellEnd"/>
      <w:r w:rsidRPr="00E73D4B">
        <w:t xml:space="preserve"> </w:t>
      </w:r>
      <w:proofErr w:type="spellStart"/>
      <w:r w:rsidRPr="00E73D4B">
        <w:t>annan</w:t>
      </w:r>
      <w:proofErr w:type="spellEnd"/>
      <w:r w:rsidRPr="00E73D4B">
        <w:t xml:space="preserve"> seksuell omgang ved </w:t>
      </w:r>
      <w:proofErr w:type="gramStart"/>
      <w:r w:rsidRPr="00E73D4B">
        <w:t>å utnytta</w:t>
      </w:r>
      <w:proofErr w:type="gramEnd"/>
      <w:r w:rsidRPr="00E73D4B">
        <w:t xml:space="preserve"> </w:t>
      </w:r>
      <w:proofErr w:type="spellStart"/>
      <w:r w:rsidRPr="00E73D4B">
        <w:t>ein</w:t>
      </w:r>
      <w:proofErr w:type="spellEnd"/>
      <w:r w:rsidRPr="00E73D4B">
        <w:t xml:space="preserve"> person under 18 år i </w:t>
      </w:r>
      <w:proofErr w:type="spellStart"/>
      <w:r w:rsidRPr="00E73D4B">
        <w:t>ein</w:t>
      </w:r>
      <w:proofErr w:type="spellEnd"/>
      <w:r w:rsidRPr="00E73D4B">
        <w:t xml:space="preserve"> </w:t>
      </w:r>
      <w:proofErr w:type="spellStart"/>
      <w:r w:rsidRPr="00E73D4B">
        <w:t>særleg</w:t>
      </w:r>
      <w:proofErr w:type="spellEnd"/>
      <w:r w:rsidRPr="00E73D4B">
        <w:t xml:space="preserve"> sårbar livssituasjon.</w:t>
      </w:r>
    </w:p>
    <w:p w14:paraId="556BB305" w14:textId="77777777" w:rsidR="00972395" w:rsidRPr="00E73D4B" w:rsidRDefault="00F120C7" w:rsidP="00E73D4B">
      <w:pPr>
        <w:pStyle w:val="avsnitt-tittel"/>
      </w:pPr>
      <w:r w:rsidRPr="00E73D4B">
        <w:t>Innføring av våpenamnesti</w:t>
      </w:r>
    </w:p>
    <w:p w14:paraId="1FBF9891" w14:textId="77777777" w:rsidR="00972395" w:rsidRPr="00E73D4B" w:rsidRDefault="00F120C7" w:rsidP="00E73D4B">
      <w:pPr>
        <w:pStyle w:val="avsnitt-undertittel"/>
      </w:pPr>
      <w:r w:rsidRPr="00E73D4B">
        <w:t>Vedtak nr. 462, 31. mars 2022</w:t>
      </w:r>
    </w:p>
    <w:p w14:paraId="144CACAC" w14:textId="77777777" w:rsidR="00972395" w:rsidRPr="00E73D4B" w:rsidRDefault="00F120C7" w:rsidP="00E73D4B">
      <w:pPr>
        <w:pStyle w:val="blokksit"/>
        <w:rPr>
          <w:rStyle w:val="kursiv"/>
        </w:rPr>
      </w:pPr>
      <w:r w:rsidRPr="00E73D4B">
        <w:rPr>
          <w:rStyle w:val="kursiv"/>
        </w:rPr>
        <w:t>«Stortinget ber regjeringen innføre våpenamnesti, der det gis fritak for straff ved besittelse av ulovlige våpen dersom disse leveres inn til relevante myndigheter i løpet av en fastsatt periode.»</w:t>
      </w:r>
    </w:p>
    <w:p w14:paraId="5C890C96" w14:textId="77777777" w:rsidR="00972395" w:rsidRPr="00E73D4B" w:rsidRDefault="00F120C7" w:rsidP="00E73D4B">
      <w:r w:rsidRPr="00E73D4B">
        <w:t xml:space="preserve">Dokumenta som ligg til grunn for vedtaket, er Dokument 8:54 S (2021–2022) og </w:t>
      </w:r>
      <w:proofErr w:type="spellStart"/>
      <w:r w:rsidRPr="00E73D4B">
        <w:t>Innst</w:t>
      </w:r>
      <w:proofErr w:type="spellEnd"/>
      <w:r w:rsidRPr="00E73D4B">
        <w:t xml:space="preserve">. 208 S (2021–2022) </w:t>
      </w:r>
      <w:proofErr w:type="spellStart"/>
      <w:r w:rsidRPr="00E73D4B">
        <w:t>frå</w:t>
      </w:r>
      <w:proofErr w:type="spellEnd"/>
      <w:r w:rsidRPr="00E73D4B">
        <w:t xml:space="preserve"> justiskomiteen.</w:t>
      </w:r>
    </w:p>
    <w:p w14:paraId="10B4C8FC" w14:textId="77777777" w:rsidR="00972395" w:rsidRPr="00E73D4B" w:rsidRDefault="00F120C7" w:rsidP="00E73D4B">
      <w:r w:rsidRPr="00E73D4B">
        <w:t xml:space="preserve">Vedtaket er </w:t>
      </w:r>
      <w:proofErr w:type="spellStart"/>
      <w:r w:rsidRPr="00E73D4B">
        <w:t>følgt</w:t>
      </w:r>
      <w:proofErr w:type="spellEnd"/>
      <w:r w:rsidRPr="00E73D4B">
        <w:t xml:space="preserve"> opp. Det vil bli innført </w:t>
      </w:r>
      <w:proofErr w:type="spellStart"/>
      <w:r w:rsidRPr="00E73D4B">
        <w:t>eit</w:t>
      </w:r>
      <w:proofErr w:type="spellEnd"/>
      <w:r w:rsidRPr="00E73D4B">
        <w:t xml:space="preserve"> tidsavgrensa våpenamnesti </w:t>
      </w:r>
      <w:proofErr w:type="spellStart"/>
      <w:r w:rsidRPr="00E73D4B">
        <w:t>frå</w:t>
      </w:r>
      <w:proofErr w:type="spellEnd"/>
      <w:r w:rsidRPr="00E73D4B">
        <w:t xml:space="preserve"> 1. november 2022 til 1. april 2023.</w:t>
      </w:r>
    </w:p>
    <w:p w14:paraId="028F3402" w14:textId="77777777" w:rsidR="00972395" w:rsidRPr="00E73D4B" w:rsidRDefault="00F120C7" w:rsidP="00E73D4B">
      <w:pPr>
        <w:pStyle w:val="avsnitt-tittel"/>
      </w:pPr>
      <w:r w:rsidRPr="00E73D4B">
        <w:t>Advokatlova</w:t>
      </w:r>
    </w:p>
    <w:p w14:paraId="4ACAD6A4" w14:textId="77777777" w:rsidR="00972395" w:rsidRPr="00E73D4B" w:rsidRDefault="00F120C7" w:rsidP="00E73D4B">
      <w:pPr>
        <w:pStyle w:val="avsnitt-undertittel"/>
      </w:pPr>
      <w:r w:rsidRPr="00E73D4B">
        <w:t>Vedtak nr. 504, 28. april 2022</w:t>
      </w:r>
    </w:p>
    <w:p w14:paraId="629927F9" w14:textId="77777777" w:rsidR="00972395" w:rsidRPr="00E73D4B" w:rsidRDefault="00F120C7" w:rsidP="00E73D4B">
      <w:pPr>
        <w:pStyle w:val="blokksit"/>
        <w:rPr>
          <w:rStyle w:val="kursiv"/>
        </w:rPr>
      </w:pPr>
      <w:r w:rsidRPr="00E73D4B">
        <w:rPr>
          <w:rStyle w:val="kursiv"/>
        </w:rPr>
        <w:t xml:space="preserve">«Stortinget ber regjeringen utarbeide forskrift etter § 19 andre ledd, hvor forsikringsselskap kan tilby advokatbistand gjennom </w:t>
      </w:r>
      <w:proofErr w:type="spellStart"/>
      <w:r w:rsidRPr="00E73D4B">
        <w:rPr>
          <w:rStyle w:val="kursiv"/>
        </w:rPr>
        <w:t>rettshjelpforsikring</w:t>
      </w:r>
      <w:proofErr w:type="spellEnd"/>
      <w:r w:rsidRPr="00E73D4B">
        <w:rPr>
          <w:rStyle w:val="kursiv"/>
        </w:rPr>
        <w:t>.»</w:t>
      </w:r>
    </w:p>
    <w:p w14:paraId="289F567F"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214 L (2020–2021) </w:t>
      </w:r>
      <w:r w:rsidRPr="00E73D4B">
        <w:rPr>
          <w:rStyle w:val="kursiv"/>
        </w:rPr>
        <w:t>Lov om advokater og andre som yter rettslig bistand (advokatloven)</w:t>
      </w:r>
      <w:r w:rsidRPr="00E73D4B">
        <w:t xml:space="preserve">, </w:t>
      </w:r>
      <w:proofErr w:type="spellStart"/>
      <w:r w:rsidRPr="00E73D4B">
        <w:t>Innst</w:t>
      </w:r>
      <w:proofErr w:type="spellEnd"/>
      <w:r w:rsidRPr="00E73D4B">
        <w:t>. 234 L (2021–2022) og Lovvedtak 61 (2021–2022).</w:t>
      </w:r>
    </w:p>
    <w:p w14:paraId="03C61437" w14:textId="77777777" w:rsidR="00972395" w:rsidRPr="00E73D4B" w:rsidRDefault="00F120C7" w:rsidP="00E73D4B">
      <w:r w:rsidRPr="00E73D4B">
        <w:t>Vedtaket er under behandling.</w:t>
      </w:r>
    </w:p>
    <w:p w14:paraId="61023FCB" w14:textId="77777777" w:rsidR="00972395" w:rsidRPr="00E73D4B" w:rsidRDefault="00F120C7" w:rsidP="00E73D4B">
      <w:pPr>
        <w:pStyle w:val="avsnitt-tittel"/>
      </w:pPr>
      <w:r w:rsidRPr="00E73D4B">
        <w:t>Advokatlova</w:t>
      </w:r>
    </w:p>
    <w:p w14:paraId="2E564955" w14:textId="77777777" w:rsidR="00972395" w:rsidRPr="00E73D4B" w:rsidRDefault="00F120C7" w:rsidP="00E73D4B">
      <w:pPr>
        <w:pStyle w:val="avsnitt-undertittel"/>
      </w:pPr>
      <w:r w:rsidRPr="00E73D4B">
        <w:t>Vedtak nr. 505, 28. april 2022</w:t>
      </w:r>
    </w:p>
    <w:p w14:paraId="3F47FBA6" w14:textId="77777777" w:rsidR="00972395" w:rsidRPr="00E73D4B" w:rsidRDefault="00F120C7" w:rsidP="00E73D4B">
      <w:pPr>
        <w:pStyle w:val="blokksit"/>
        <w:rPr>
          <w:rStyle w:val="kursiv"/>
        </w:rPr>
      </w:pPr>
      <w:r w:rsidRPr="00E73D4B">
        <w:rPr>
          <w:rStyle w:val="kursiv"/>
        </w:rPr>
        <w:t xml:space="preserve">«Stortinget ber regjeringen sikre klare overgangsordninger for foretak som blir berørt av endringer i ny </w:t>
      </w:r>
      <w:proofErr w:type="spellStart"/>
      <w:r w:rsidRPr="00E73D4B">
        <w:rPr>
          <w:rStyle w:val="kursiv"/>
        </w:rPr>
        <w:t>advokatlov</w:t>
      </w:r>
      <w:proofErr w:type="spellEnd"/>
      <w:r w:rsidRPr="00E73D4B">
        <w:rPr>
          <w:rStyle w:val="kursiv"/>
        </w:rPr>
        <w:t xml:space="preserve">, som må gi slike god nok tid til å omorganisere seg, slik det åpnes for i </w:t>
      </w:r>
      <w:proofErr w:type="spellStart"/>
      <w:r w:rsidRPr="00E73D4B">
        <w:rPr>
          <w:rStyle w:val="kursiv"/>
        </w:rPr>
        <w:t>Prop</w:t>
      </w:r>
      <w:proofErr w:type="spellEnd"/>
      <w:r w:rsidRPr="00E73D4B">
        <w:rPr>
          <w:rStyle w:val="kursiv"/>
        </w:rPr>
        <w:t>. 214 L (2020–2021) kapittel 22.»</w:t>
      </w:r>
    </w:p>
    <w:p w14:paraId="478DEADE"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214 L (2020–2021) </w:t>
      </w:r>
      <w:r w:rsidRPr="00E73D4B">
        <w:rPr>
          <w:rStyle w:val="kursiv"/>
        </w:rPr>
        <w:t>Lov om advokater og andre som yter rettslig bistand (advokatloven)</w:t>
      </w:r>
      <w:r w:rsidRPr="00E73D4B">
        <w:t xml:space="preserve">, </w:t>
      </w:r>
      <w:proofErr w:type="spellStart"/>
      <w:r w:rsidRPr="00E73D4B">
        <w:t>Innst</w:t>
      </w:r>
      <w:proofErr w:type="spellEnd"/>
      <w:r w:rsidRPr="00E73D4B">
        <w:t>. 234 L (2021–2022) og Lovvedtak 61 (2021–2022).</w:t>
      </w:r>
    </w:p>
    <w:p w14:paraId="2A781F24" w14:textId="77777777" w:rsidR="00972395" w:rsidRPr="00E73D4B" w:rsidRDefault="00F120C7" w:rsidP="00E73D4B">
      <w:r w:rsidRPr="00E73D4B">
        <w:t>Vedtaket er under behandling.</w:t>
      </w:r>
    </w:p>
    <w:p w14:paraId="5D4F6F69" w14:textId="77777777" w:rsidR="00972395" w:rsidRPr="00E73D4B" w:rsidRDefault="00F120C7" w:rsidP="00E73D4B">
      <w:pPr>
        <w:pStyle w:val="avsnitt-tittel"/>
      </w:pPr>
      <w:r w:rsidRPr="00E73D4B">
        <w:t>Advokatlova</w:t>
      </w:r>
    </w:p>
    <w:p w14:paraId="4B71E5FC" w14:textId="77777777" w:rsidR="00972395" w:rsidRPr="00E73D4B" w:rsidRDefault="00F120C7" w:rsidP="00E73D4B">
      <w:pPr>
        <w:pStyle w:val="avsnitt-undertittel"/>
      </w:pPr>
      <w:r w:rsidRPr="00E73D4B">
        <w:t>Vedtak nr. 506, 28. april 2022</w:t>
      </w:r>
    </w:p>
    <w:p w14:paraId="6B90E264" w14:textId="77777777" w:rsidR="00972395" w:rsidRPr="00E73D4B" w:rsidRDefault="00F120C7" w:rsidP="00E73D4B">
      <w:pPr>
        <w:pStyle w:val="blokksit"/>
        <w:rPr>
          <w:rStyle w:val="kursiv"/>
        </w:rPr>
      </w:pPr>
      <w:r w:rsidRPr="00E73D4B">
        <w:rPr>
          <w:rStyle w:val="kursiv"/>
        </w:rPr>
        <w:t>«Stortinget ber regjeringen iverksette forskrift for berørte forsikringsselskap i god tid før overgangsreglene som vil bli fremmet i forbindelse med ikraftsettingen av advokatloven, utløper i tid.»</w:t>
      </w:r>
    </w:p>
    <w:p w14:paraId="3049FB1C"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214 L (2020–2021) </w:t>
      </w:r>
      <w:r w:rsidRPr="00E73D4B">
        <w:rPr>
          <w:rStyle w:val="kursiv"/>
        </w:rPr>
        <w:t>Lov om advokater og andre som yter rettslig bistand (advokatloven)</w:t>
      </w:r>
      <w:r w:rsidRPr="00E73D4B">
        <w:t xml:space="preserve">, </w:t>
      </w:r>
      <w:proofErr w:type="spellStart"/>
      <w:r w:rsidRPr="00E73D4B">
        <w:t>Innst</w:t>
      </w:r>
      <w:proofErr w:type="spellEnd"/>
      <w:r w:rsidRPr="00E73D4B">
        <w:t>. 234 L (2021–2022) og Lovvedtak 61 (2021–2022).</w:t>
      </w:r>
    </w:p>
    <w:p w14:paraId="2133207D" w14:textId="77777777" w:rsidR="00972395" w:rsidRPr="00E73D4B" w:rsidRDefault="00F120C7" w:rsidP="00E73D4B">
      <w:r w:rsidRPr="00E73D4B">
        <w:t>Vedtaket er under behandling.</w:t>
      </w:r>
    </w:p>
    <w:p w14:paraId="4172218B" w14:textId="77777777" w:rsidR="00972395" w:rsidRPr="00E73D4B" w:rsidRDefault="00F120C7" w:rsidP="00E73D4B">
      <w:pPr>
        <w:pStyle w:val="avsnitt-tittel"/>
      </w:pPr>
      <w:r w:rsidRPr="00E73D4B">
        <w:t>Nytt Oslo fengsel</w:t>
      </w:r>
    </w:p>
    <w:p w14:paraId="527DABEF" w14:textId="77777777" w:rsidR="00972395" w:rsidRPr="00E73D4B" w:rsidRDefault="00F120C7" w:rsidP="00E73D4B">
      <w:pPr>
        <w:pStyle w:val="avsnitt-undertittel"/>
      </w:pPr>
      <w:r w:rsidRPr="00E73D4B">
        <w:t>Vedtak nr. 507, 28. april 2022</w:t>
      </w:r>
    </w:p>
    <w:p w14:paraId="3A39D2E1" w14:textId="77777777" w:rsidR="00972395" w:rsidRPr="00E73D4B" w:rsidRDefault="00F120C7" w:rsidP="00E73D4B">
      <w:pPr>
        <w:pStyle w:val="blokksit"/>
        <w:rPr>
          <w:rStyle w:val="kursiv"/>
        </w:rPr>
      </w:pPr>
      <w:r w:rsidRPr="00E73D4B">
        <w:rPr>
          <w:rStyle w:val="kursiv"/>
        </w:rPr>
        <w:t>«Stortinget ber regjeringen komme tilbake til Stortinget med egen sak om plassering av nytt Oslo fengsel før endelig beslutning fattes.</w:t>
      </w:r>
    </w:p>
    <w:p w14:paraId="575BE085" w14:textId="77777777" w:rsidR="00972395" w:rsidRPr="00E73D4B" w:rsidRDefault="00F120C7" w:rsidP="00E73D4B">
      <w:r w:rsidRPr="00E73D4B">
        <w:t xml:space="preserve">Dokumenta som ligg til grunn for vedtaket, er Dokument 8:88 S, og </w:t>
      </w:r>
      <w:proofErr w:type="spellStart"/>
      <w:r w:rsidRPr="00E73D4B">
        <w:t>Innst</w:t>
      </w:r>
      <w:proofErr w:type="spellEnd"/>
      <w:r w:rsidRPr="00E73D4B">
        <w:t>. 241 S (2021– 2022).</w:t>
      </w:r>
    </w:p>
    <w:p w14:paraId="7AC145E6" w14:textId="77777777" w:rsidR="00972395" w:rsidRPr="00E73D4B" w:rsidRDefault="00F120C7" w:rsidP="00E73D4B">
      <w:r w:rsidRPr="00E73D4B">
        <w:t xml:space="preserve">Vedtaket er under behandling. For å sikre </w:t>
      </w:r>
      <w:proofErr w:type="spellStart"/>
      <w:r w:rsidRPr="00E73D4B">
        <w:t>snarleg</w:t>
      </w:r>
      <w:proofErr w:type="spellEnd"/>
      <w:r w:rsidRPr="00E73D4B">
        <w:t xml:space="preserve"> erstatningskapasitet for </w:t>
      </w:r>
      <w:proofErr w:type="spellStart"/>
      <w:r w:rsidRPr="00E73D4B">
        <w:t>nokre</w:t>
      </w:r>
      <w:proofErr w:type="spellEnd"/>
      <w:r w:rsidRPr="00E73D4B">
        <w:t xml:space="preserve"> av </w:t>
      </w:r>
      <w:proofErr w:type="spellStart"/>
      <w:r w:rsidRPr="00E73D4B">
        <w:t>plassane</w:t>
      </w:r>
      <w:proofErr w:type="spellEnd"/>
      <w:r w:rsidRPr="00E73D4B">
        <w:t xml:space="preserve"> for Oslo fengsel foreslår regjeringa å utvide Romerike fengsel, Ullersmo avdeling med netto 76 </w:t>
      </w:r>
      <w:proofErr w:type="spellStart"/>
      <w:r w:rsidRPr="00E73D4B">
        <w:t>plassar</w:t>
      </w:r>
      <w:proofErr w:type="spellEnd"/>
      <w:r w:rsidRPr="00E73D4B">
        <w:t xml:space="preserve">. Departementet vil komme tilbake med forslag for lokalisering av nye fengselsplasser til erstatning for </w:t>
      </w:r>
      <w:proofErr w:type="spellStart"/>
      <w:r w:rsidRPr="00E73D4B">
        <w:t>fengselsplassane</w:t>
      </w:r>
      <w:proofErr w:type="spellEnd"/>
      <w:r w:rsidRPr="00E73D4B">
        <w:t xml:space="preserve"> ved Oslo fengsel.</w:t>
      </w:r>
    </w:p>
    <w:p w14:paraId="63A384DC" w14:textId="77777777" w:rsidR="00972395" w:rsidRPr="00E73D4B" w:rsidRDefault="00F120C7" w:rsidP="00E73D4B">
      <w:pPr>
        <w:pStyle w:val="avsnitt-tittel"/>
      </w:pPr>
      <w:proofErr w:type="spellStart"/>
      <w:r w:rsidRPr="00E73D4B">
        <w:t>Flyktningar</w:t>
      </w:r>
      <w:proofErr w:type="spellEnd"/>
      <w:r w:rsidRPr="00E73D4B">
        <w:t xml:space="preserve"> </w:t>
      </w:r>
      <w:proofErr w:type="spellStart"/>
      <w:r w:rsidRPr="00E73D4B">
        <w:t>frå</w:t>
      </w:r>
      <w:proofErr w:type="spellEnd"/>
      <w:r w:rsidRPr="00E73D4B">
        <w:t xml:space="preserve"> Ukrainas naboland</w:t>
      </w:r>
    </w:p>
    <w:p w14:paraId="132CD2F4" w14:textId="77777777" w:rsidR="00972395" w:rsidRPr="00E73D4B" w:rsidRDefault="00F120C7" w:rsidP="00E73D4B">
      <w:pPr>
        <w:pStyle w:val="avsnitt-undertittel"/>
      </w:pPr>
      <w:r w:rsidRPr="00E73D4B">
        <w:t>Vedtak nr. 569, 24. mai 2022</w:t>
      </w:r>
    </w:p>
    <w:p w14:paraId="39A584C0" w14:textId="77777777" w:rsidR="00972395" w:rsidRPr="00E73D4B" w:rsidRDefault="00F120C7" w:rsidP="00E73D4B">
      <w:pPr>
        <w:pStyle w:val="blokksit"/>
        <w:rPr>
          <w:rStyle w:val="kursiv"/>
        </w:rPr>
      </w:pPr>
      <w:r w:rsidRPr="00E73D4B">
        <w:rPr>
          <w:rStyle w:val="kursiv"/>
        </w:rPr>
        <w:t>«Stortinget ber regjeringen utarbeide en plan for raskt å respondere på anmodninger dersom Ukrainas naboland ber om bistand til å håndtere flyktninger med kollektiv beskyttelse. Planen bør inneholde en avtale om uttransport.»</w:t>
      </w:r>
    </w:p>
    <w:p w14:paraId="1DE296BD" w14:textId="77777777" w:rsidR="00972395" w:rsidRPr="00E73D4B" w:rsidRDefault="00F120C7" w:rsidP="00E73D4B">
      <w:r w:rsidRPr="00E73D4B">
        <w:t xml:space="preserve">Dokumenta som ligg til grunn for vedtaket er Dokument 8:152 S (2021–2022) og </w:t>
      </w:r>
      <w:proofErr w:type="spellStart"/>
      <w:r w:rsidRPr="00E73D4B">
        <w:t>Innst</w:t>
      </w:r>
      <w:proofErr w:type="spellEnd"/>
      <w:r w:rsidRPr="00E73D4B">
        <w:t>. 292 S (2021–2022).</w:t>
      </w:r>
    </w:p>
    <w:p w14:paraId="18BD9419" w14:textId="77777777" w:rsidR="00972395" w:rsidRPr="00E73D4B" w:rsidRDefault="00F120C7" w:rsidP="00E73D4B">
      <w:r w:rsidRPr="00E73D4B">
        <w:t xml:space="preserve">Dokumenta som ligg til grunn for vedtaket er </w:t>
      </w:r>
      <w:proofErr w:type="spellStart"/>
      <w:r w:rsidRPr="00E73D4B">
        <w:t>Dok</w:t>
      </w:r>
      <w:proofErr w:type="spellEnd"/>
      <w:r w:rsidRPr="00E73D4B">
        <w:t xml:space="preserve">. 8:152 S (2021–2022) og </w:t>
      </w:r>
      <w:proofErr w:type="spellStart"/>
      <w:r w:rsidRPr="00E73D4B">
        <w:t>Innst</w:t>
      </w:r>
      <w:proofErr w:type="spellEnd"/>
      <w:r w:rsidRPr="00E73D4B">
        <w:t>. 292 S (2021–2022).</w:t>
      </w:r>
    </w:p>
    <w:p w14:paraId="3BE748D7" w14:textId="77777777" w:rsidR="00972395" w:rsidRPr="00E73D4B" w:rsidRDefault="00F120C7" w:rsidP="00E73D4B">
      <w:r w:rsidRPr="00E73D4B">
        <w:t xml:space="preserve">Vedtaket er </w:t>
      </w:r>
      <w:proofErr w:type="spellStart"/>
      <w:r w:rsidRPr="00E73D4B">
        <w:t>følgt</w:t>
      </w:r>
      <w:proofErr w:type="spellEnd"/>
      <w:r w:rsidRPr="00E73D4B">
        <w:t xml:space="preserve"> opp. Regjeringa meiner </w:t>
      </w:r>
      <w:proofErr w:type="spellStart"/>
      <w:r w:rsidRPr="00E73D4B">
        <w:t>oppmodingar</w:t>
      </w:r>
      <w:proofErr w:type="spellEnd"/>
      <w:r w:rsidRPr="00E73D4B">
        <w:t xml:space="preserve"> </w:t>
      </w:r>
      <w:proofErr w:type="spellStart"/>
      <w:r w:rsidRPr="00E73D4B">
        <w:t>frå</w:t>
      </w:r>
      <w:proofErr w:type="spellEnd"/>
      <w:r w:rsidRPr="00E73D4B">
        <w:t xml:space="preserve"> nabolanda til Ukraina om bistand til å handtere </w:t>
      </w:r>
      <w:proofErr w:type="spellStart"/>
      <w:r w:rsidRPr="00E73D4B">
        <w:t>flyktningar</w:t>
      </w:r>
      <w:proofErr w:type="spellEnd"/>
      <w:r w:rsidRPr="00E73D4B">
        <w:t xml:space="preserve"> er </w:t>
      </w:r>
      <w:proofErr w:type="spellStart"/>
      <w:r w:rsidRPr="00E73D4B">
        <w:t>tilfredsstillande</w:t>
      </w:r>
      <w:proofErr w:type="spellEnd"/>
      <w:r w:rsidRPr="00E73D4B">
        <w:t xml:space="preserve"> varetatt med </w:t>
      </w:r>
      <w:proofErr w:type="spellStart"/>
      <w:r w:rsidRPr="00E73D4B">
        <w:t>gjeldande</w:t>
      </w:r>
      <w:proofErr w:type="spellEnd"/>
      <w:r w:rsidRPr="00E73D4B">
        <w:t xml:space="preserve"> </w:t>
      </w:r>
      <w:proofErr w:type="spellStart"/>
      <w:r w:rsidRPr="00E73D4B">
        <w:t>rutinar</w:t>
      </w:r>
      <w:proofErr w:type="spellEnd"/>
      <w:r w:rsidRPr="00E73D4B">
        <w:t xml:space="preserve"> og etablerte samarbeid. </w:t>
      </w:r>
      <w:proofErr w:type="spellStart"/>
      <w:r w:rsidRPr="00E73D4B">
        <w:t>Noreg</w:t>
      </w:r>
      <w:proofErr w:type="spellEnd"/>
      <w:r w:rsidRPr="00E73D4B">
        <w:t xml:space="preserve"> </w:t>
      </w:r>
      <w:proofErr w:type="spellStart"/>
      <w:r w:rsidRPr="00E73D4B">
        <w:t>deltek</w:t>
      </w:r>
      <w:proofErr w:type="spellEnd"/>
      <w:r w:rsidRPr="00E73D4B">
        <w:t xml:space="preserve"> i dialog og samarbeid med styresmaktene i nabolanda til Ukraina, EU og </w:t>
      </w:r>
      <w:proofErr w:type="spellStart"/>
      <w:r w:rsidRPr="00E73D4B">
        <w:t>mellomstatlege</w:t>
      </w:r>
      <w:proofErr w:type="spellEnd"/>
      <w:r w:rsidRPr="00E73D4B">
        <w:t xml:space="preserve"> </w:t>
      </w:r>
      <w:proofErr w:type="spellStart"/>
      <w:r w:rsidRPr="00E73D4B">
        <w:t>organisasjonar</w:t>
      </w:r>
      <w:proofErr w:type="spellEnd"/>
      <w:r w:rsidRPr="00E73D4B">
        <w:t xml:space="preserve"> om humanitær bistand og tilrettelegging av </w:t>
      </w:r>
      <w:proofErr w:type="spellStart"/>
      <w:r w:rsidRPr="00E73D4B">
        <w:t>annan</w:t>
      </w:r>
      <w:proofErr w:type="spellEnd"/>
      <w:r w:rsidRPr="00E73D4B">
        <w:t xml:space="preserve"> bistand til </w:t>
      </w:r>
      <w:proofErr w:type="spellStart"/>
      <w:r w:rsidRPr="00E73D4B">
        <w:t>flyktningar</w:t>
      </w:r>
      <w:proofErr w:type="spellEnd"/>
      <w:r w:rsidRPr="00E73D4B">
        <w:t xml:space="preserve">. </w:t>
      </w:r>
      <w:proofErr w:type="spellStart"/>
      <w:r w:rsidRPr="00E73D4B">
        <w:t>Noreg</w:t>
      </w:r>
      <w:proofErr w:type="spellEnd"/>
      <w:r w:rsidRPr="00E73D4B">
        <w:t xml:space="preserve"> har </w:t>
      </w:r>
      <w:proofErr w:type="spellStart"/>
      <w:r w:rsidRPr="00E73D4B">
        <w:t>ein</w:t>
      </w:r>
      <w:proofErr w:type="spellEnd"/>
      <w:r w:rsidRPr="00E73D4B">
        <w:t xml:space="preserve"> tilbaketakingsavtale (returavtale) med Ukraina som </w:t>
      </w:r>
      <w:proofErr w:type="spellStart"/>
      <w:r w:rsidRPr="00E73D4B">
        <w:t>vart</w:t>
      </w:r>
      <w:proofErr w:type="spellEnd"/>
      <w:r w:rsidRPr="00E73D4B">
        <w:t xml:space="preserve"> inngått 1. september 2011 som </w:t>
      </w:r>
      <w:proofErr w:type="spellStart"/>
      <w:r w:rsidRPr="00E73D4B">
        <w:t>framleis</w:t>
      </w:r>
      <w:proofErr w:type="spellEnd"/>
      <w:r w:rsidRPr="00E73D4B">
        <w:t xml:space="preserve"> gjeld.</w:t>
      </w:r>
    </w:p>
    <w:p w14:paraId="32E23E11" w14:textId="77777777" w:rsidR="00972395" w:rsidRPr="00E73D4B" w:rsidRDefault="00F120C7" w:rsidP="00E73D4B">
      <w:r w:rsidRPr="00E73D4B">
        <w:t xml:space="preserve">Sjå </w:t>
      </w:r>
      <w:proofErr w:type="spellStart"/>
      <w:r w:rsidRPr="00E73D4B">
        <w:t>nærmare</w:t>
      </w:r>
      <w:proofErr w:type="spellEnd"/>
      <w:r w:rsidRPr="00E73D4B">
        <w:t xml:space="preserve"> omtale under programkategori 06.90.</w:t>
      </w:r>
    </w:p>
    <w:p w14:paraId="2C73E379" w14:textId="77777777" w:rsidR="00972395" w:rsidRPr="00E73D4B" w:rsidRDefault="00F120C7" w:rsidP="00E73D4B">
      <w:pPr>
        <w:pStyle w:val="avsnitt-tittel"/>
      </w:pPr>
      <w:r w:rsidRPr="00E73D4B">
        <w:t>Mottaksplan for ukrainske barn og unge</w:t>
      </w:r>
    </w:p>
    <w:p w14:paraId="74EA75DD" w14:textId="77777777" w:rsidR="00972395" w:rsidRPr="00E73D4B" w:rsidRDefault="00F120C7" w:rsidP="00E73D4B">
      <w:pPr>
        <w:pStyle w:val="avsnitt-undertittel"/>
      </w:pPr>
      <w:r w:rsidRPr="00E73D4B">
        <w:t>Vedtak nr. 571, 24. mai 2022</w:t>
      </w:r>
    </w:p>
    <w:p w14:paraId="61B8A87A" w14:textId="77777777" w:rsidR="00972395" w:rsidRPr="00E73D4B" w:rsidRDefault="00F120C7" w:rsidP="00E73D4B">
      <w:pPr>
        <w:pStyle w:val="blokksit"/>
        <w:rPr>
          <w:rStyle w:val="kursiv"/>
        </w:rPr>
      </w:pPr>
      <w:r w:rsidRPr="00E73D4B">
        <w:rPr>
          <w:rStyle w:val="kursiv"/>
        </w:rPr>
        <w:t>«Stortinget ber regjeringen umiddelbart utarbeide en mottaksplan for å sikre at ukrainske barn og unge blir tatt godt imot ved ankomst, herunder for mottak i skole og barnehage.»</w:t>
      </w:r>
    </w:p>
    <w:p w14:paraId="042440A4" w14:textId="77777777" w:rsidR="00972395" w:rsidRPr="00E73D4B" w:rsidRDefault="00F120C7" w:rsidP="00E73D4B">
      <w:r w:rsidRPr="00E73D4B">
        <w:t xml:space="preserve">Dokumenta som ligg til grunn for vedtaket er Dokument 8:147 S (2021–2022) og </w:t>
      </w:r>
      <w:proofErr w:type="spellStart"/>
      <w:r w:rsidRPr="00E73D4B">
        <w:t>Innst</w:t>
      </w:r>
      <w:proofErr w:type="spellEnd"/>
      <w:r w:rsidRPr="00E73D4B">
        <w:t>. 292 S (2021–2022).</w:t>
      </w:r>
    </w:p>
    <w:p w14:paraId="7DD091C4" w14:textId="77777777" w:rsidR="00972395" w:rsidRPr="00E73D4B" w:rsidRDefault="00F120C7" w:rsidP="00E73D4B">
      <w:r w:rsidRPr="00E73D4B">
        <w:t xml:space="preserve">Vedtaket er </w:t>
      </w:r>
      <w:proofErr w:type="spellStart"/>
      <w:r w:rsidRPr="00E73D4B">
        <w:t>følgt</w:t>
      </w:r>
      <w:proofErr w:type="spellEnd"/>
      <w:r w:rsidRPr="00E73D4B">
        <w:t xml:space="preserve"> opp. </w:t>
      </w:r>
      <w:proofErr w:type="spellStart"/>
      <w:r w:rsidRPr="00E73D4B">
        <w:t>Statlege</w:t>
      </w:r>
      <w:proofErr w:type="spellEnd"/>
      <w:r w:rsidRPr="00E73D4B">
        <w:t xml:space="preserve"> styresmakter har planar for å ta </w:t>
      </w:r>
      <w:proofErr w:type="spellStart"/>
      <w:proofErr w:type="gramStart"/>
      <w:r w:rsidRPr="00E73D4B">
        <w:t>i mot</w:t>
      </w:r>
      <w:proofErr w:type="spellEnd"/>
      <w:proofErr w:type="gramEnd"/>
      <w:r w:rsidRPr="00E73D4B">
        <w:t xml:space="preserve"> barn og unge som søker vern i </w:t>
      </w:r>
      <w:proofErr w:type="spellStart"/>
      <w:r w:rsidRPr="00E73D4B">
        <w:t>Noreg</w:t>
      </w:r>
      <w:proofErr w:type="spellEnd"/>
      <w:r w:rsidRPr="00E73D4B">
        <w:t xml:space="preserve"> på en god måte. Utlendingsdirektoratet (UDI) har det operative ansvaret for å tilby et </w:t>
      </w:r>
      <w:proofErr w:type="spellStart"/>
      <w:r w:rsidRPr="00E73D4B">
        <w:t>innkvarteringstilbod</w:t>
      </w:r>
      <w:proofErr w:type="spellEnd"/>
      <w:r w:rsidRPr="00E73D4B">
        <w:t xml:space="preserve">, og har planverk for å ta </w:t>
      </w:r>
      <w:proofErr w:type="spellStart"/>
      <w:proofErr w:type="gramStart"/>
      <w:r w:rsidRPr="00E73D4B">
        <w:t>i mot</w:t>
      </w:r>
      <w:proofErr w:type="spellEnd"/>
      <w:proofErr w:type="gramEnd"/>
      <w:r w:rsidRPr="00E73D4B">
        <w:t xml:space="preserve"> barn. Barn som </w:t>
      </w:r>
      <w:proofErr w:type="spellStart"/>
      <w:r w:rsidRPr="00E73D4B">
        <w:t>sannsynlegvis</w:t>
      </w:r>
      <w:proofErr w:type="spellEnd"/>
      <w:r w:rsidRPr="00E73D4B">
        <w:t xml:space="preserve"> skal </w:t>
      </w:r>
      <w:proofErr w:type="spellStart"/>
      <w:r w:rsidRPr="00E73D4B">
        <w:t>vere</w:t>
      </w:r>
      <w:proofErr w:type="spellEnd"/>
      <w:r w:rsidRPr="00E73D4B">
        <w:t xml:space="preserve"> i landet i </w:t>
      </w:r>
      <w:proofErr w:type="spellStart"/>
      <w:r w:rsidRPr="00E73D4B">
        <w:t>meir</w:t>
      </w:r>
      <w:proofErr w:type="spellEnd"/>
      <w:r w:rsidRPr="00E73D4B">
        <w:t xml:space="preserve"> enn tre </w:t>
      </w:r>
      <w:proofErr w:type="spellStart"/>
      <w:r w:rsidRPr="00E73D4B">
        <w:t>månader</w:t>
      </w:r>
      <w:proofErr w:type="spellEnd"/>
      <w:r w:rsidRPr="00E73D4B">
        <w:t xml:space="preserve">, har rett til </w:t>
      </w:r>
      <w:proofErr w:type="spellStart"/>
      <w:r w:rsidRPr="00E73D4B">
        <w:t>grunnskuleopplæring</w:t>
      </w:r>
      <w:proofErr w:type="spellEnd"/>
      <w:r w:rsidRPr="00E73D4B">
        <w:t xml:space="preserve">. </w:t>
      </w:r>
      <w:proofErr w:type="spellStart"/>
      <w:r w:rsidRPr="00E73D4B">
        <w:t>Kommunane</w:t>
      </w:r>
      <w:proofErr w:type="spellEnd"/>
      <w:r w:rsidRPr="00E73D4B">
        <w:t xml:space="preserve"> kan gi </w:t>
      </w:r>
      <w:proofErr w:type="spellStart"/>
      <w:r w:rsidRPr="00E73D4B">
        <w:t>tilbod</w:t>
      </w:r>
      <w:proofErr w:type="spellEnd"/>
      <w:r w:rsidRPr="00E73D4B">
        <w:t xml:space="preserve"> om barnehageplass til barn i mottak, og barn som er busette har rett til barnehageplass. Arbeids- og inkluderingsdepartementet jobbar for at barn </w:t>
      </w:r>
      <w:proofErr w:type="spellStart"/>
      <w:r w:rsidRPr="00E73D4B">
        <w:t>frå</w:t>
      </w:r>
      <w:proofErr w:type="spellEnd"/>
      <w:r w:rsidRPr="00E73D4B">
        <w:t xml:space="preserve"> Ukraina så raskt som </w:t>
      </w:r>
      <w:proofErr w:type="spellStart"/>
      <w:r w:rsidRPr="00E73D4B">
        <w:t>mogleg</w:t>
      </w:r>
      <w:proofErr w:type="spellEnd"/>
      <w:r w:rsidRPr="00E73D4B">
        <w:t xml:space="preserve"> skal bli busett i </w:t>
      </w:r>
      <w:proofErr w:type="spellStart"/>
      <w:r w:rsidRPr="00E73D4B">
        <w:t>ein</w:t>
      </w:r>
      <w:proofErr w:type="spellEnd"/>
      <w:r w:rsidRPr="00E73D4B">
        <w:t xml:space="preserve"> kommune, og etter dette har kommunen ansvar for oppfølginga. Regjeringa har initiert ei rekke tiltak for å støtte </w:t>
      </w:r>
      <w:proofErr w:type="spellStart"/>
      <w:r w:rsidRPr="00E73D4B">
        <w:t>kommunane</w:t>
      </w:r>
      <w:proofErr w:type="spellEnd"/>
      <w:r w:rsidRPr="00E73D4B">
        <w:t xml:space="preserve"> og </w:t>
      </w:r>
      <w:proofErr w:type="spellStart"/>
      <w:r w:rsidRPr="00E73D4B">
        <w:t>fylkeskommunane</w:t>
      </w:r>
      <w:proofErr w:type="spellEnd"/>
      <w:r w:rsidRPr="00E73D4B">
        <w:t xml:space="preserve">, bl.a. ei </w:t>
      </w:r>
      <w:proofErr w:type="spellStart"/>
      <w:r w:rsidRPr="00E73D4B">
        <w:t>tilskotsordning</w:t>
      </w:r>
      <w:proofErr w:type="spellEnd"/>
      <w:r w:rsidRPr="00E73D4B">
        <w:t xml:space="preserve"> for </w:t>
      </w:r>
      <w:proofErr w:type="spellStart"/>
      <w:r w:rsidRPr="00E73D4B">
        <w:t>omsetjing</w:t>
      </w:r>
      <w:proofErr w:type="spellEnd"/>
      <w:r w:rsidRPr="00E73D4B">
        <w:t xml:space="preserve"> og utvikling av læremiddel, utvikling av digitale </w:t>
      </w:r>
      <w:proofErr w:type="spellStart"/>
      <w:r w:rsidRPr="00E73D4B">
        <w:t>ressursar</w:t>
      </w:r>
      <w:proofErr w:type="spellEnd"/>
      <w:r w:rsidRPr="00E73D4B">
        <w:t xml:space="preserve"> og fjernundervisning, samt </w:t>
      </w:r>
      <w:proofErr w:type="spellStart"/>
      <w:r w:rsidRPr="00E73D4B">
        <w:t>mellombelse</w:t>
      </w:r>
      <w:proofErr w:type="spellEnd"/>
      <w:r w:rsidRPr="00E73D4B">
        <w:t xml:space="preserve"> </w:t>
      </w:r>
      <w:proofErr w:type="spellStart"/>
      <w:r w:rsidRPr="00E73D4B">
        <w:t>regelendringar</w:t>
      </w:r>
      <w:proofErr w:type="spellEnd"/>
      <w:r w:rsidRPr="00E73D4B">
        <w:t>.</w:t>
      </w:r>
    </w:p>
    <w:p w14:paraId="45750344" w14:textId="77777777" w:rsidR="00972395" w:rsidRPr="00E73D4B" w:rsidRDefault="00F120C7" w:rsidP="00E73D4B">
      <w:pPr>
        <w:pStyle w:val="avsnitt-tittel"/>
      </w:pPr>
      <w:r w:rsidRPr="00E73D4B">
        <w:t xml:space="preserve">Automatisk arbeidsløyve til ukrainske </w:t>
      </w:r>
      <w:proofErr w:type="spellStart"/>
      <w:r w:rsidRPr="00E73D4B">
        <w:t>flyktningar</w:t>
      </w:r>
      <w:proofErr w:type="spellEnd"/>
    </w:p>
    <w:p w14:paraId="350B134F" w14:textId="77777777" w:rsidR="00972395" w:rsidRPr="00E73D4B" w:rsidRDefault="00F120C7" w:rsidP="00E73D4B">
      <w:pPr>
        <w:pStyle w:val="avsnitt-undertittel"/>
      </w:pPr>
      <w:r w:rsidRPr="00E73D4B">
        <w:t>Vedtak nr. 572, 24. mai 2022</w:t>
      </w:r>
    </w:p>
    <w:p w14:paraId="04F07BBE" w14:textId="77777777" w:rsidR="00972395" w:rsidRPr="00E73D4B" w:rsidRDefault="00F120C7" w:rsidP="00E73D4B">
      <w:pPr>
        <w:pStyle w:val="blokksit"/>
        <w:rPr>
          <w:rStyle w:val="kursiv"/>
        </w:rPr>
      </w:pPr>
      <w:r w:rsidRPr="00E73D4B">
        <w:rPr>
          <w:rStyle w:val="kursiv"/>
        </w:rPr>
        <w:t>«Stortinget ber regjeringen vurdere å automatisk innvilge arbeidstillatelse for registrerte ukrainske flyktninger hvor det ikke er identitetstvil, for eksempel ved at søkeren har biometrisk pass.»</w:t>
      </w:r>
    </w:p>
    <w:p w14:paraId="18C7EACA" w14:textId="77777777" w:rsidR="00972395" w:rsidRPr="00E73D4B" w:rsidRDefault="00F120C7" w:rsidP="00E73D4B">
      <w:r w:rsidRPr="00E73D4B">
        <w:t xml:space="preserve">Dokumenta som ligg til grunn for forslaget, er Dokument 8:177 S (2021–2022) og </w:t>
      </w:r>
      <w:proofErr w:type="spellStart"/>
      <w:r w:rsidRPr="00E73D4B">
        <w:t>Innst</w:t>
      </w:r>
      <w:proofErr w:type="spellEnd"/>
      <w:r w:rsidRPr="00E73D4B">
        <w:t>. 288 S (2021–2022).</w:t>
      </w:r>
    </w:p>
    <w:p w14:paraId="4886F4CA" w14:textId="77777777" w:rsidR="00972395" w:rsidRPr="00E73D4B" w:rsidRDefault="00F120C7" w:rsidP="00E73D4B">
      <w:r w:rsidRPr="00E73D4B">
        <w:t xml:space="preserve">Vedtaket er </w:t>
      </w:r>
      <w:proofErr w:type="spellStart"/>
      <w:r w:rsidRPr="00E73D4B">
        <w:t>følgt</w:t>
      </w:r>
      <w:proofErr w:type="spellEnd"/>
      <w:r w:rsidRPr="00E73D4B">
        <w:t xml:space="preserve"> opp. Justis- og beredskapsdepartementet har vurdert om utlendingsregelverket bør </w:t>
      </w:r>
      <w:proofErr w:type="spellStart"/>
      <w:r w:rsidRPr="00E73D4B">
        <w:t>endrast</w:t>
      </w:r>
      <w:proofErr w:type="spellEnd"/>
      <w:r w:rsidRPr="00E73D4B">
        <w:t xml:space="preserve"> for å </w:t>
      </w:r>
      <w:proofErr w:type="spellStart"/>
      <w:r w:rsidRPr="00E73D4B">
        <w:t>gje</w:t>
      </w:r>
      <w:proofErr w:type="spellEnd"/>
      <w:r w:rsidRPr="00E73D4B">
        <w:t xml:space="preserve"> </w:t>
      </w:r>
      <w:proofErr w:type="spellStart"/>
      <w:r w:rsidRPr="00E73D4B">
        <w:t>fordrivne</w:t>
      </w:r>
      <w:proofErr w:type="spellEnd"/>
      <w:r w:rsidRPr="00E73D4B">
        <w:t xml:space="preserve"> </w:t>
      </w:r>
      <w:proofErr w:type="spellStart"/>
      <w:r w:rsidRPr="00E73D4B">
        <w:t>frå</w:t>
      </w:r>
      <w:proofErr w:type="spellEnd"/>
      <w:r w:rsidRPr="00E73D4B">
        <w:t xml:space="preserve"> Ukraina rett til å arbeide </w:t>
      </w:r>
      <w:proofErr w:type="spellStart"/>
      <w:r w:rsidRPr="00E73D4B">
        <w:t>frå</w:t>
      </w:r>
      <w:proofErr w:type="spellEnd"/>
      <w:r w:rsidRPr="00E73D4B">
        <w:t xml:space="preserve"> søknadsdato, og </w:t>
      </w:r>
      <w:proofErr w:type="spellStart"/>
      <w:r w:rsidRPr="00E73D4B">
        <w:t>ikkje</w:t>
      </w:r>
      <w:proofErr w:type="spellEnd"/>
      <w:r w:rsidRPr="00E73D4B">
        <w:t xml:space="preserve"> først </w:t>
      </w:r>
      <w:proofErr w:type="spellStart"/>
      <w:r w:rsidRPr="00E73D4B">
        <w:t>frå</w:t>
      </w:r>
      <w:proofErr w:type="spellEnd"/>
      <w:r w:rsidRPr="00E73D4B">
        <w:t xml:space="preserve"> vedtaksdatoen, som i dag. Departementet vil </w:t>
      </w:r>
      <w:proofErr w:type="spellStart"/>
      <w:r w:rsidRPr="00E73D4B">
        <w:t>ikkje</w:t>
      </w:r>
      <w:proofErr w:type="spellEnd"/>
      <w:r w:rsidRPr="00E73D4B">
        <w:t xml:space="preserve"> foreslå ei slik endring. Det er lagt </w:t>
      </w:r>
      <w:proofErr w:type="spellStart"/>
      <w:r w:rsidRPr="00E73D4B">
        <w:t>særleg</w:t>
      </w:r>
      <w:proofErr w:type="spellEnd"/>
      <w:r w:rsidRPr="00E73D4B">
        <w:t xml:space="preserve"> vekt på at saksbehandlingstida for kollektivt vern </w:t>
      </w:r>
      <w:proofErr w:type="spellStart"/>
      <w:r w:rsidRPr="00E73D4B">
        <w:t>no</w:t>
      </w:r>
      <w:proofErr w:type="spellEnd"/>
      <w:r w:rsidRPr="00E73D4B">
        <w:t xml:space="preserve"> er kort. </w:t>
      </w:r>
      <w:proofErr w:type="spellStart"/>
      <w:r w:rsidRPr="00E73D4B">
        <w:t>Gjennomsnittleg</w:t>
      </w:r>
      <w:proofErr w:type="spellEnd"/>
      <w:r w:rsidRPr="00E73D4B">
        <w:t xml:space="preserve"> saksbehandlingstid, </w:t>
      </w:r>
      <w:proofErr w:type="spellStart"/>
      <w:r w:rsidRPr="00E73D4B">
        <w:t>frå</w:t>
      </w:r>
      <w:proofErr w:type="spellEnd"/>
      <w:r w:rsidRPr="00E73D4B">
        <w:t xml:space="preserve"> søknadsdato til vedtak i UDI, for </w:t>
      </w:r>
      <w:proofErr w:type="spellStart"/>
      <w:r w:rsidRPr="00E73D4B">
        <w:t>personar</w:t>
      </w:r>
      <w:proofErr w:type="spellEnd"/>
      <w:r w:rsidRPr="00E73D4B">
        <w:t xml:space="preserve"> som søkte asyl i august, var i august </w:t>
      </w:r>
      <w:proofErr w:type="spellStart"/>
      <w:r w:rsidRPr="00E73D4B">
        <w:t>månad</w:t>
      </w:r>
      <w:proofErr w:type="spellEnd"/>
      <w:r w:rsidRPr="00E73D4B">
        <w:t xml:space="preserve"> 8 </w:t>
      </w:r>
      <w:proofErr w:type="spellStart"/>
      <w:r w:rsidRPr="00E73D4B">
        <w:t>dagar</w:t>
      </w:r>
      <w:proofErr w:type="spellEnd"/>
      <w:r w:rsidRPr="00E73D4B">
        <w:t xml:space="preserve"> (median 6 </w:t>
      </w:r>
      <w:proofErr w:type="spellStart"/>
      <w:r w:rsidRPr="00E73D4B">
        <w:t>dagar</w:t>
      </w:r>
      <w:proofErr w:type="spellEnd"/>
      <w:r w:rsidRPr="00E73D4B">
        <w:t xml:space="preserve">). Det er derfor liten eller ingen gevinst å hente på å knytte retten til å arbeide til søknadstidspunktet. På dette tidspunktet veit </w:t>
      </w:r>
      <w:proofErr w:type="spellStart"/>
      <w:r w:rsidRPr="00E73D4B">
        <w:t>ein</w:t>
      </w:r>
      <w:proofErr w:type="spellEnd"/>
      <w:r w:rsidRPr="00E73D4B">
        <w:t xml:space="preserve"> heller </w:t>
      </w:r>
      <w:proofErr w:type="spellStart"/>
      <w:r w:rsidRPr="00E73D4B">
        <w:t>ikkje</w:t>
      </w:r>
      <w:proofErr w:type="spellEnd"/>
      <w:r w:rsidRPr="00E73D4B">
        <w:t xml:space="preserve"> om </w:t>
      </w:r>
      <w:proofErr w:type="spellStart"/>
      <w:r w:rsidRPr="00E73D4B">
        <w:t>søkaren</w:t>
      </w:r>
      <w:proofErr w:type="spellEnd"/>
      <w:r w:rsidRPr="00E73D4B">
        <w:t xml:space="preserve"> fyller vilkåra for mellombels kollektivt vern. Det er </w:t>
      </w:r>
      <w:proofErr w:type="spellStart"/>
      <w:r w:rsidRPr="00E73D4B">
        <w:t>vanskeleg</w:t>
      </w:r>
      <w:proofErr w:type="spellEnd"/>
      <w:r w:rsidRPr="00E73D4B">
        <w:t xml:space="preserve"> å </w:t>
      </w:r>
      <w:proofErr w:type="spellStart"/>
      <w:r w:rsidRPr="00E73D4B">
        <w:t>grunngje</w:t>
      </w:r>
      <w:proofErr w:type="spellEnd"/>
      <w:r w:rsidRPr="00E73D4B">
        <w:t xml:space="preserve"> </w:t>
      </w:r>
      <w:proofErr w:type="spellStart"/>
      <w:r w:rsidRPr="00E73D4B">
        <w:t>kvifor</w:t>
      </w:r>
      <w:proofErr w:type="spellEnd"/>
      <w:r w:rsidRPr="00E73D4B">
        <w:t xml:space="preserve"> alle ukrainske </w:t>
      </w:r>
      <w:proofErr w:type="spellStart"/>
      <w:r w:rsidRPr="00E73D4B">
        <w:t>asylsøkarar</w:t>
      </w:r>
      <w:proofErr w:type="spellEnd"/>
      <w:r w:rsidRPr="00E73D4B">
        <w:t xml:space="preserve">, også </w:t>
      </w:r>
      <w:proofErr w:type="spellStart"/>
      <w:r w:rsidRPr="00E73D4B">
        <w:t>dei</w:t>
      </w:r>
      <w:proofErr w:type="spellEnd"/>
      <w:r w:rsidRPr="00E73D4B">
        <w:t xml:space="preserve"> som kan hende </w:t>
      </w:r>
      <w:proofErr w:type="spellStart"/>
      <w:r w:rsidRPr="00E73D4B">
        <w:t>ikkje</w:t>
      </w:r>
      <w:proofErr w:type="spellEnd"/>
      <w:r w:rsidRPr="00E73D4B">
        <w:t xml:space="preserve"> fyller vilkåra for mellombels kollektivt vern, skal få ei </w:t>
      </w:r>
      <w:proofErr w:type="gramStart"/>
      <w:r w:rsidRPr="00E73D4B">
        <w:t>betre rett</w:t>
      </w:r>
      <w:proofErr w:type="gramEnd"/>
      <w:r w:rsidRPr="00E73D4B">
        <w:t xml:space="preserve"> til å arbeide enn andre </w:t>
      </w:r>
      <w:proofErr w:type="spellStart"/>
      <w:r w:rsidRPr="00E73D4B">
        <w:t>asylsøkarar</w:t>
      </w:r>
      <w:proofErr w:type="spellEnd"/>
      <w:r w:rsidRPr="00E73D4B">
        <w:t xml:space="preserve">. Ei slik ordning vil kunne </w:t>
      </w:r>
      <w:proofErr w:type="spellStart"/>
      <w:r w:rsidRPr="00E73D4B">
        <w:t>innebere</w:t>
      </w:r>
      <w:proofErr w:type="spellEnd"/>
      <w:r w:rsidRPr="00E73D4B">
        <w:t xml:space="preserve"> </w:t>
      </w:r>
      <w:proofErr w:type="spellStart"/>
      <w:r w:rsidRPr="00E73D4B">
        <w:t>usakleg</w:t>
      </w:r>
      <w:proofErr w:type="spellEnd"/>
      <w:r w:rsidRPr="00E73D4B">
        <w:t xml:space="preserve"> forskjellsbehandling.</w:t>
      </w:r>
    </w:p>
    <w:p w14:paraId="7C69C611" w14:textId="77777777" w:rsidR="00972395" w:rsidRPr="00E73D4B" w:rsidRDefault="00F120C7" w:rsidP="00E73D4B">
      <w:pPr>
        <w:pStyle w:val="avsnitt-tittel"/>
      </w:pPr>
      <w:r w:rsidRPr="00E73D4B">
        <w:t xml:space="preserve">Informasjonsarbeid om </w:t>
      </w:r>
      <w:proofErr w:type="spellStart"/>
      <w:r w:rsidRPr="00E73D4B">
        <w:t>rettar</w:t>
      </w:r>
      <w:proofErr w:type="spellEnd"/>
      <w:r w:rsidRPr="00E73D4B">
        <w:t xml:space="preserve"> og </w:t>
      </w:r>
      <w:proofErr w:type="spellStart"/>
      <w:r w:rsidRPr="00E73D4B">
        <w:t>moglegheiter</w:t>
      </w:r>
      <w:proofErr w:type="spellEnd"/>
      <w:r w:rsidRPr="00E73D4B">
        <w:t xml:space="preserve"> for ukrainske </w:t>
      </w:r>
      <w:proofErr w:type="spellStart"/>
      <w:r w:rsidRPr="00E73D4B">
        <w:t>flyktningar</w:t>
      </w:r>
      <w:proofErr w:type="spellEnd"/>
    </w:p>
    <w:p w14:paraId="00E06E78" w14:textId="77777777" w:rsidR="00972395" w:rsidRPr="00E73D4B" w:rsidRDefault="00F120C7" w:rsidP="00E73D4B">
      <w:pPr>
        <w:pStyle w:val="avsnitt-undertittel"/>
      </w:pPr>
      <w:r w:rsidRPr="00E73D4B">
        <w:t>Vedtak 573, 24. mai 2022</w:t>
      </w:r>
    </w:p>
    <w:p w14:paraId="3CFAA179" w14:textId="77777777" w:rsidR="00972395" w:rsidRPr="00E73D4B" w:rsidRDefault="00F120C7" w:rsidP="00E73D4B">
      <w:pPr>
        <w:pStyle w:val="blokksit"/>
        <w:rPr>
          <w:rStyle w:val="kursiv"/>
        </w:rPr>
      </w:pPr>
      <w:r w:rsidRPr="00E73D4B">
        <w:rPr>
          <w:rStyle w:val="kursiv"/>
        </w:rPr>
        <w:t>«Stortinget ber regjeringen sikre at ukrainske flyktninger og deres barn får tilgang til informasjon om sine rettigheter og muligheter i Norge i en tidlig fase i ankomsten, uavhengig av om de bor på mottak eller er innlosjert privat. Informasjonen må tilpasses barn i ulike aldre.»</w:t>
      </w:r>
    </w:p>
    <w:p w14:paraId="76117B6B" w14:textId="77777777" w:rsidR="00972395" w:rsidRPr="00E73D4B" w:rsidRDefault="00F120C7" w:rsidP="00E73D4B">
      <w:r w:rsidRPr="00E73D4B">
        <w:t xml:space="preserve">Dokumenta som ligg til grunn for vedtaket, er Dokument 8:177 S (2021–2022) og </w:t>
      </w:r>
      <w:proofErr w:type="spellStart"/>
      <w:r w:rsidRPr="00E73D4B">
        <w:t>Innst</w:t>
      </w:r>
      <w:proofErr w:type="spellEnd"/>
      <w:r w:rsidRPr="00E73D4B">
        <w:t>. 288 S (2021–2022).</w:t>
      </w:r>
    </w:p>
    <w:p w14:paraId="17B8A2B9" w14:textId="77777777" w:rsidR="00972395" w:rsidRPr="00E73D4B" w:rsidRDefault="00F120C7" w:rsidP="00E73D4B">
      <w:r w:rsidRPr="00E73D4B">
        <w:t xml:space="preserve">Vedtaket er </w:t>
      </w:r>
      <w:proofErr w:type="spellStart"/>
      <w:r w:rsidRPr="00E73D4B">
        <w:t>følgt</w:t>
      </w:r>
      <w:proofErr w:type="spellEnd"/>
      <w:r w:rsidRPr="00E73D4B">
        <w:t xml:space="preserve"> opp. Departementet har bede Utlendingsdirektoratet (UDI) om status for informasjonsarbeid retta mot barn og unge, og </w:t>
      </w:r>
      <w:proofErr w:type="spellStart"/>
      <w:r w:rsidRPr="00E73D4B">
        <w:t>særleg</w:t>
      </w:r>
      <w:proofErr w:type="spellEnd"/>
      <w:r w:rsidRPr="00E73D4B">
        <w:t xml:space="preserve"> </w:t>
      </w:r>
      <w:proofErr w:type="spellStart"/>
      <w:r w:rsidRPr="00E73D4B">
        <w:t>fordrivne</w:t>
      </w:r>
      <w:proofErr w:type="spellEnd"/>
      <w:r w:rsidRPr="00E73D4B">
        <w:t xml:space="preserve"> </w:t>
      </w:r>
      <w:proofErr w:type="spellStart"/>
      <w:r w:rsidRPr="00E73D4B">
        <w:t>frå</w:t>
      </w:r>
      <w:proofErr w:type="spellEnd"/>
      <w:r w:rsidRPr="00E73D4B">
        <w:t xml:space="preserve"> Ukraina. UDI, politiet og andre </w:t>
      </w:r>
      <w:proofErr w:type="spellStart"/>
      <w:r w:rsidRPr="00E73D4B">
        <w:t>instansar</w:t>
      </w:r>
      <w:proofErr w:type="spellEnd"/>
      <w:r w:rsidRPr="00E73D4B">
        <w:t xml:space="preserve"> har etablert </w:t>
      </w:r>
      <w:proofErr w:type="spellStart"/>
      <w:r w:rsidRPr="00E73D4B">
        <w:t>rutinar</w:t>
      </w:r>
      <w:proofErr w:type="spellEnd"/>
      <w:r w:rsidRPr="00E73D4B">
        <w:t xml:space="preserve"> for å gi relevant og tilpassa informasjon etter at </w:t>
      </w:r>
      <w:proofErr w:type="spellStart"/>
      <w:r w:rsidRPr="00E73D4B">
        <w:t>søkaren</w:t>
      </w:r>
      <w:proofErr w:type="spellEnd"/>
      <w:r w:rsidRPr="00E73D4B">
        <w:t xml:space="preserve"> er kommen til </w:t>
      </w:r>
      <w:proofErr w:type="spellStart"/>
      <w:r w:rsidRPr="00E73D4B">
        <w:t>Noreg</w:t>
      </w:r>
      <w:proofErr w:type="spellEnd"/>
      <w:r w:rsidRPr="00E73D4B">
        <w:t xml:space="preserve">. Det blir òg gitt </w:t>
      </w:r>
      <w:proofErr w:type="spellStart"/>
      <w:r w:rsidRPr="00E73D4B">
        <w:t>utfyllande</w:t>
      </w:r>
      <w:proofErr w:type="spellEnd"/>
      <w:r w:rsidRPr="00E73D4B">
        <w:t xml:space="preserve"> informasjon på nettsidene til </w:t>
      </w:r>
      <w:proofErr w:type="spellStart"/>
      <w:r w:rsidRPr="00E73D4B">
        <w:t>statlege</w:t>
      </w:r>
      <w:proofErr w:type="spellEnd"/>
      <w:r w:rsidRPr="00E73D4B">
        <w:t xml:space="preserve"> styresmakter om innreise, om registrering, om innkvartering og om </w:t>
      </w:r>
      <w:proofErr w:type="spellStart"/>
      <w:r w:rsidRPr="00E73D4B">
        <w:t>rettar</w:t>
      </w:r>
      <w:proofErr w:type="spellEnd"/>
      <w:r w:rsidRPr="00E73D4B">
        <w:t xml:space="preserve"> i </w:t>
      </w:r>
      <w:proofErr w:type="spellStart"/>
      <w:r w:rsidRPr="00E73D4B">
        <w:t>Noreg</w:t>
      </w:r>
      <w:proofErr w:type="spellEnd"/>
      <w:r w:rsidRPr="00E73D4B">
        <w:t xml:space="preserve">. Utlendingsstyresmaktene har utarbeidd ei eiga nettside for barn: asylbarn.no. UDI har sett i verk alternative informasjonstiltak retta mot ukrainske </w:t>
      </w:r>
      <w:proofErr w:type="spellStart"/>
      <w:r w:rsidRPr="00E73D4B">
        <w:t>asylsøkarar</w:t>
      </w:r>
      <w:proofErr w:type="spellEnd"/>
      <w:r w:rsidRPr="00E73D4B">
        <w:t xml:space="preserve">. </w:t>
      </w:r>
      <w:proofErr w:type="spellStart"/>
      <w:r w:rsidRPr="00E73D4B">
        <w:t>Fleire</w:t>
      </w:r>
      <w:proofErr w:type="spellEnd"/>
      <w:r w:rsidRPr="00E73D4B">
        <w:t xml:space="preserve"> direktorat samarbeider om informasjonstiltak retta mot </w:t>
      </w:r>
      <w:proofErr w:type="spellStart"/>
      <w:r w:rsidRPr="00E73D4B">
        <w:t>ukrainarar</w:t>
      </w:r>
      <w:proofErr w:type="spellEnd"/>
      <w:r w:rsidRPr="00E73D4B">
        <w:t xml:space="preserve"> med formål om å identifisere og </w:t>
      </w:r>
      <w:proofErr w:type="spellStart"/>
      <w:r w:rsidRPr="00E73D4B">
        <w:t>førebyggje</w:t>
      </w:r>
      <w:proofErr w:type="spellEnd"/>
      <w:r w:rsidRPr="00E73D4B">
        <w:t xml:space="preserve"> menneskehandel, inkludert tilpassa informasjon for barn.</w:t>
      </w:r>
    </w:p>
    <w:p w14:paraId="21474796" w14:textId="77777777" w:rsidR="00972395" w:rsidRPr="00E73D4B" w:rsidRDefault="00F120C7" w:rsidP="00E73D4B">
      <w:pPr>
        <w:pStyle w:val="avsnitt-tittel"/>
      </w:pPr>
      <w:r w:rsidRPr="00E73D4B">
        <w:t>Naturskadeforsikring</w:t>
      </w:r>
    </w:p>
    <w:p w14:paraId="4691F7B2" w14:textId="77777777" w:rsidR="00972395" w:rsidRPr="00E73D4B" w:rsidRDefault="00F120C7" w:rsidP="00E73D4B">
      <w:pPr>
        <w:pStyle w:val="avsnitt-undertittel"/>
      </w:pPr>
      <w:r w:rsidRPr="00E73D4B">
        <w:t>Vedtak nr. 579, 24. mai 2022</w:t>
      </w:r>
    </w:p>
    <w:p w14:paraId="68D835F6" w14:textId="77777777" w:rsidR="00972395" w:rsidRPr="00E73D4B" w:rsidRDefault="00F120C7" w:rsidP="00E73D4B">
      <w:pPr>
        <w:rPr>
          <w:rStyle w:val="kursiv"/>
        </w:rPr>
      </w:pPr>
      <w:r w:rsidRPr="00E73D4B">
        <w:rPr>
          <w:rStyle w:val="kursiv"/>
        </w:rPr>
        <w:t>«Stortinget ber regjeringen vurdere mulighetene for å innrette naturskadeforsikringsordningen slik at den bedre ivaretar hensynet til forebygging, men likevel slik at dette ikke går på bekostning av prinsippet om</w:t>
      </w:r>
      <w:r w:rsidRPr="00E73D4B">
        <w:t xml:space="preserve"> </w:t>
      </w:r>
      <w:r w:rsidRPr="00E73D4B">
        <w:rPr>
          <w:rStyle w:val="kursiv"/>
        </w:rPr>
        <w:t>en solidarisk og lik premiefastsettelse for forsikringskunder i hele landet.»</w:t>
      </w:r>
    </w:p>
    <w:p w14:paraId="499B1773" w14:textId="77777777" w:rsidR="00972395" w:rsidRPr="00E73D4B" w:rsidRDefault="00F120C7" w:rsidP="00E73D4B">
      <w:r w:rsidRPr="00E73D4B">
        <w:t xml:space="preserve">Dokumenta som ligg til grunn for forslaget, er </w:t>
      </w:r>
      <w:proofErr w:type="spellStart"/>
      <w:r w:rsidRPr="00E73D4B">
        <w:t>Prop</w:t>
      </w:r>
      <w:proofErr w:type="spellEnd"/>
      <w:r w:rsidRPr="00E73D4B">
        <w:t xml:space="preserve">. 62 L (2021–2022) og </w:t>
      </w:r>
      <w:proofErr w:type="spellStart"/>
      <w:r w:rsidRPr="00E73D4B">
        <w:t>Innst</w:t>
      </w:r>
      <w:proofErr w:type="spellEnd"/>
      <w:r w:rsidRPr="00E73D4B">
        <w:t>. 308 L (2021–2022).</w:t>
      </w:r>
    </w:p>
    <w:p w14:paraId="5DDF84FF" w14:textId="77777777" w:rsidR="00972395" w:rsidRPr="00E73D4B" w:rsidRDefault="00F120C7" w:rsidP="00E73D4B">
      <w:r w:rsidRPr="00E73D4B">
        <w:t>Vedtaket er under behandling.</w:t>
      </w:r>
    </w:p>
    <w:p w14:paraId="62FE0BE4" w14:textId="77777777" w:rsidR="00972395" w:rsidRPr="00E73D4B" w:rsidRDefault="00F120C7" w:rsidP="00E73D4B">
      <w:pPr>
        <w:pStyle w:val="avsnitt-tittel"/>
      </w:pPr>
      <w:r w:rsidRPr="00E73D4B">
        <w:t xml:space="preserve">Dialog om digitale </w:t>
      </w:r>
      <w:proofErr w:type="spellStart"/>
      <w:r w:rsidRPr="00E73D4B">
        <w:t>betalingstenester</w:t>
      </w:r>
      <w:proofErr w:type="spellEnd"/>
      <w:r w:rsidRPr="00E73D4B">
        <w:t xml:space="preserve"> og foreldrekontroll</w:t>
      </w:r>
    </w:p>
    <w:p w14:paraId="471B2130" w14:textId="77777777" w:rsidR="00972395" w:rsidRPr="00E73D4B" w:rsidRDefault="00F120C7" w:rsidP="00E73D4B">
      <w:pPr>
        <w:pStyle w:val="avsnitt-undertittel"/>
      </w:pPr>
      <w:r w:rsidRPr="00E73D4B">
        <w:t>Vedtak nr. 580, 30. mai 2022</w:t>
      </w:r>
    </w:p>
    <w:p w14:paraId="76D515D6" w14:textId="77777777" w:rsidR="00972395" w:rsidRPr="00E73D4B" w:rsidRDefault="00F120C7" w:rsidP="00E73D4B">
      <w:pPr>
        <w:pStyle w:val="blokksit"/>
        <w:rPr>
          <w:rStyle w:val="kursiv"/>
        </w:rPr>
      </w:pPr>
      <w:r w:rsidRPr="00E73D4B">
        <w:rPr>
          <w:rStyle w:val="kursiv"/>
        </w:rPr>
        <w:t>«Stortinget ber regjeringen gå i dialog med aktuelle leverandører av digitale betalingstjenester for å øke bevisstheten rundt foreldre og foresattes mulighet til å kontrollere transaksjoner inn og ut av betalingskontoen til deres barn samt for å finne løsninger for å styrke foreldrekontrollen.»</w:t>
      </w:r>
    </w:p>
    <w:p w14:paraId="67B3A60E" w14:textId="77777777" w:rsidR="00972395" w:rsidRPr="00E73D4B" w:rsidRDefault="00F120C7" w:rsidP="00E73D4B">
      <w:r w:rsidRPr="00E73D4B">
        <w:t xml:space="preserve">Dokumenta som ligg til grunn for vedtaket, er Dokument 8:126 S (2021– 2022) og </w:t>
      </w:r>
      <w:proofErr w:type="spellStart"/>
      <w:r w:rsidRPr="00E73D4B">
        <w:t>Innst</w:t>
      </w:r>
      <w:proofErr w:type="spellEnd"/>
      <w:r w:rsidRPr="00E73D4B">
        <w:t xml:space="preserve">. 309 S (2021–2022) </w:t>
      </w:r>
      <w:proofErr w:type="spellStart"/>
      <w:r w:rsidRPr="00E73D4B">
        <w:t>frå</w:t>
      </w:r>
      <w:proofErr w:type="spellEnd"/>
      <w:r w:rsidRPr="00E73D4B">
        <w:t xml:space="preserve"> justiskomiteen.</w:t>
      </w:r>
    </w:p>
    <w:p w14:paraId="71F655E7" w14:textId="77777777" w:rsidR="00972395" w:rsidRPr="00E73D4B" w:rsidRDefault="00F120C7" w:rsidP="00E73D4B">
      <w:r w:rsidRPr="00E73D4B">
        <w:t>Vedtaket er under behandling.</w:t>
      </w:r>
    </w:p>
    <w:p w14:paraId="124A7190" w14:textId="77777777" w:rsidR="00972395" w:rsidRPr="00E73D4B" w:rsidRDefault="00F120C7" w:rsidP="00E73D4B">
      <w:pPr>
        <w:pStyle w:val="avsnitt-tittel"/>
      </w:pPr>
      <w:r w:rsidRPr="00E73D4B">
        <w:t xml:space="preserve">Utgreiing av meldeplikt for norske </w:t>
      </w:r>
      <w:proofErr w:type="spellStart"/>
      <w:r w:rsidRPr="00E73D4B">
        <w:t>tenesteleverandørar</w:t>
      </w:r>
      <w:proofErr w:type="spellEnd"/>
    </w:p>
    <w:p w14:paraId="4CF3517E" w14:textId="77777777" w:rsidR="00972395" w:rsidRPr="00E73D4B" w:rsidRDefault="00F120C7" w:rsidP="00E73D4B">
      <w:pPr>
        <w:pStyle w:val="avsnitt-undertittel"/>
      </w:pPr>
      <w:r w:rsidRPr="00E73D4B">
        <w:t>Vedtak nr. 581, 30. mai 2022</w:t>
      </w:r>
    </w:p>
    <w:p w14:paraId="2D8A20BF" w14:textId="77777777" w:rsidR="00972395" w:rsidRPr="00E73D4B" w:rsidRDefault="00F120C7" w:rsidP="00E73D4B">
      <w:pPr>
        <w:pStyle w:val="blokksit"/>
        <w:rPr>
          <w:rStyle w:val="kursiv"/>
        </w:rPr>
      </w:pPr>
      <w:r w:rsidRPr="00E73D4B">
        <w:rPr>
          <w:rStyle w:val="kursiv"/>
        </w:rPr>
        <w:t>«Stortinget ber regjeringen utrede innføring av en plikt for norske tjenesteleverandører til å melde fra dersom de oppdager at deres tjenester brukes til straffbar oppbevaring eller distribusjon av overgrepsmateriale.»</w:t>
      </w:r>
    </w:p>
    <w:p w14:paraId="27170E4A" w14:textId="77777777" w:rsidR="00972395" w:rsidRPr="00E73D4B" w:rsidRDefault="00F120C7" w:rsidP="00E73D4B">
      <w:r w:rsidRPr="00E73D4B">
        <w:t xml:space="preserve">Dokumenta som ligg til grunn for vedtaket, er Dokument 8: 126 S (2021–2022) og </w:t>
      </w:r>
      <w:proofErr w:type="spellStart"/>
      <w:r w:rsidRPr="00E73D4B">
        <w:t>Innst</w:t>
      </w:r>
      <w:proofErr w:type="spellEnd"/>
      <w:r w:rsidRPr="00E73D4B">
        <w:t xml:space="preserve">. 309 S (2021–2022) </w:t>
      </w:r>
      <w:proofErr w:type="spellStart"/>
      <w:r w:rsidRPr="00E73D4B">
        <w:t>frå</w:t>
      </w:r>
      <w:proofErr w:type="spellEnd"/>
      <w:r w:rsidRPr="00E73D4B">
        <w:t xml:space="preserve"> justiskomiteen.</w:t>
      </w:r>
    </w:p>
    <w:p w14:paraId="3A8BEAA0" w14:textId="77777777" w:rsidR="00972395" w:rsidRPr="00E73D4B" w:rsidRDefault="00F120C7" w:rsidP="00E73D4B">
      <w:r w:rsidRPr="00E73D4B">
        <w:t>Vedtaket er under behandling.</w:t>
      </w:r>
    </w:p>
    <w:p w14:paraId="24B4C961" w14:textId="77777777" w:rsidR="00972395" w:rsidRPr="00E73D4B" w:rsidRDefault="00F120C7" w:rsidP="00E73D4B">
      <w:pPr>
        <w:pStyle w:val="avsnitt-tittel"/>
      </w:pPr>
      <w:r w:rsidRPr="00E73D4B">
        <w:t xml:space="preserve">Regelverk om varsling </w:t>
      </w:r>
      <w:proofErr w:type="spellStart"/>
      <w:r w:rsidRPr="00E73D4B">
        <w:t>frå</w:t>
      </w:r>
      <w:proofErr w:type="spellEnd"/>
      <w:r w:rsidRPr="00E73D4B">
        <w:t xml:space="preserve"> kriminalomsorga</w:t>
      </w:r>
    </w:p>
    <w:p w14:paraId="469E4C21" w14:textId="77777777" w:rsidR="00972395" w:rsidRPr="00E73D4B" w:rsidRDefault="00F120C7" w:rsidP="00E73D4B">
      <w:pPr>
        <w:pStyle w:val="avsnitt-undertittel"/>
      </w:pPr>
      <w:r w:rsidRPr="00E73D4B">
        <w:t>Vedtak nr. 582, 30. mai 2022</w:t>
      </w:r>
    </w:p>
    <w:p w14:paraId="41DB692D" w14:textId="77777777" w:rsidR="00972395" w:rsidRPr="00E73D4B" w:rsidRDefault="00F120C7" w:rsidP="00E73D4B">
      <w:pPr>
        <w:pStyle w:val="blokksit"/>
        <w:rPr>
          <w:rStyle w:val="kursiv"/>
        </w:rPr>
      </w:pPr>
      <w:r w:rsidRPr="00E73D4B">
        <w:rPr>
          <w:rStyle w:val="kursiv"/>
        </w:rPr>
        <w:t>«Stortinget ber regjeringen gjennomføre et regelverksarbeid om varsling fra kriminalomsorgen, der hensynet til fornærmede og etterlatte vektlegges sterkere enn det som ligger i dagens regler.»</w:t>
      </w:r>
    </w:p>
    <w:p w14:paraId="195EBF5D" w14:textId="77777777" w:rsidR="00972395" w:rsidRPr="00E73D4B" w:rsidRDefault="00F120C7" w:rsidP="00E73D4B">
      <w:r w:rsidRPr="00E73D4B">
        <w:t xml:space="preserve">Dokumenta som ligg til grunn for vedtaket, er Dokument 8: 133 S (2021–2022) og </w:t>
      </w:r>
      <w:proofErr w:type="spellStart"/>
      <w:r w:rsidRPr="00E73D4B">
        <w:t>Innst</w:t>
      </w:r>
      <w:proofErr w:type="spellEnd"/>
      <w:r w:rsidRPr="00E73D4B">
        <w:t xml:space="preserve">. 311 S (2021–2022) </w:t>
      </w:r>
      <w:proofErr w:type="spellStart"/>
      <w:r w:rsidRPr="00E73D4B">
        <w:t>frå</w:t>
      </w:r>
      <w:proofErr w:type="spellEnd"/>
      <w:r w:rsidRPr="00E73D4B">
        <w:t xml:space="preserve"> justiskomiteen.</w:t>
      </w:r>
    </w:p>
    <w:p w14:paraId="62E0085B" w14:textId="77777777" w:rsidR="00972395" w:rsidRPr="00E73D4B" w:rsidRDefault="00F120C7" w:rsidP="00E73D4B">
      <w:r w:rsidRPr="00E73D4B">
        <w:t>Vedtaket er under behandling.</w:t>
      </w:r>
    </w:p>
    <w:p w14:paraId="47AD8664" w14:textId="77777777" w:rsidR="00972395" w:rsidRPr="00E73D4B" w:rsidRDefault="00F120C7" w:rsidP="00E73D4B">
      <w:pPr>
        <w:pStyle w:val="avsnitt-tittel"/>
      </w:pPr>
      <w:r w:rsidRPr="00E73D4B">
        <w:t xml:space="preserve">Elektronisk kontroll ved </w:t>
      </w:r>
      <w:proofErr w:type="spellStart"/>
      <w:r w:rsidRPr="00E73D4B">
        <w:t>brot</w:t>
      </w:r>
      <w:proofErr w:type="spellEnd"/>
      <w:r w:rsidRPr="00E73D4B">
        <w:t xml:space="preserve"> på </w:t>
      </w:r>
      <w:proofErr w:type="spellStart"/>
      <w:r w:rsidRPr="00E73D4B">
        <w:t>besøksforbod</w:t>
      </w:r>
      <w:proofErr w:type="spellEnd"/>
    </w:p>
    <w:p w14:paraId="6709836A" w14:textId="77777777" w:rsidR="00972395" w:rsidRPr="00E73D4B" w:rsidRDefault="00F120C7" w:rsidP="00E73D4B">
      <w:pPr>
        <w:pStyle w:val="avsnitt-undertittel"/>
      </w:pPr>
      <w:r w:rsidRPr="00E73D4B">
        <w:t>Vedtak nr. 583, 30. mai 2022</w:t>
      </w:r>
    </w:p>
    <w:p w14:paraId="73037895" w14:textId="77777777" w:rsidR="00972395" w:rsidRPr="00E73D4B" w:rsidRDefault="00F120C7" w:rsidP="00E73D4B">
      <w:pPr>
        <w:pStyle w:val="blokksit"/>
        <w:rPr>
          <w:rStyle w:val="kursiv"/>
        </w:rPr>
      </w:pPr>
      <w:r w:rsidRPr="00E73D4B">
        <w:rPr>
          <w:rStyle w:val="kursiv"/>
        </w:rPr>
        <w:t>«Stortinget ber regjeringen fremme forslag om innføring av en ordning med elektronisk kontroll (såkalt omvendt voldsalarm) ved brudd på besøksforbud.»</w:t>
      </w:r>
    </w:p>
    <w:p w14:paraId="6735EEBA" w14:textId="77777777" w:rsidR="00972395" w:rsidRPr="00E73D4B" w:rsidRDefault="00F120C7" w:rsidP="00E73D4B">
      <w:r w:rsidRPr="00E73D4B">
        <w:t xml:space="preserve">Dokumenta som ligg til grunn for vedtaket, er Dokument 8: 133 S (2021–2022) og </w:t>
      </w:r>
      <w:proofErr w:type="spellStart"/>
      <w:r w:rsidRPr="00E73D4B">
        <w:t>Innst</w:t>
      </w:r>
      <w:proofErr w:type="spellEnd"/>
      <w:r w:rsidRPr="00E73D4B">
        <w:t xml:space="preserve">. 311 S (2021–2022) </w:t>
      </w:r>
      <w:proofErr w:type="spellStart"/>
      <w:r w:rsidRPr="00E73D4B">
        <w:t>frå</w:t>
      </w:r>
      <w:proofErr w:type="spellEnd"/>
      <w:r w:rsidRPr="00E73D4B">
        <w:t xml:space="preserve"> justiskomiteen.</w:t>
      </w:r>
    </w:p>
    <w:p w14:paraId="1B14467D" w14:textId="77777777" w:rsidR="00972395" w:rsidRPr="00E73D4B" w:rsidRDefault="00F120C7" w:rsidP="00E73D4B">
      <w:r w:rsidRPr="00E73D4B">
        <w:t xml:space="preserve">Vedtaket er under behandling. Departementet har vurdert behovet for </w:t>
      </w:r>
      <w:proofErr w:type="spellStart"/>
      <w:r w:rsidRPr="00E73D4B">
        <w:t>lovendringar</w:t>
      </w:r>
      <w:proofErr w:type="spellEnd"/>
      <w:r w:rsidRPr="00E73D4B">
        <w:t xml:space="preserve"> og sendt forslag på </w:t>
      </w:r>
      <w:proofErr w:type="spellStart"/>
      <w:r w:rsidRPr="00E73D4B">
        <w:t>høyring</w:t>
      </w:r>
      <w:proofErr w:type="spellEnd"/>
      <w:r w:rsidRPr="00E73D4B">
        <w:t xml:space="preserve"> 6. september 2021 om </w:t>
      </w:r>
      <w:proofErr w:type="spellStart"/>
      <w:r w:rsidRPr="00E73D4B">
        <w:t>endringar</w:t>
      </w:r>
      <w:proofErr w:type="spellEnd"/>
      <w:r w:rsidRPr="00E73D4B">
        <w:t xml:space="preserve"> i straffeprosesslova og straffelova. I </w:t>
      </w:r>
      <w:proofErr w:type="spellStart"/>
      <w:r w:rsidRPr="00E73D4B">
        <w:t>høyringsnotatet</w:t>
      </w:r>
      <w:proofErr w:type="spellEnd"/>
      <w:r w:rsidRPr="00E73D4B">
        <w:t xml:space="preserve"> er det foreslått at påtalemakta skal kunne </w:t>
      </w:r>
      <w:proofErr w:type="spellStart"/>
      <w:r w:rsidRPr="00E73D4B">
        <w:t>påleggje</w:t>
      </w:r>
      <w:proofErr w:type="spellEnd"/>
      <w:r w:rsidRPr="00E73D4B">
        <w:t xml:space="preserve"> elektronisk kontroll (</w:t>
      </w:r>
      <w:proofErr w:type="spellStart"/>
      <w:r w:rsidRPr="00E73D4B">
        <w:t>såkalla</w:t>
      </w:r>
      <w:proofErr w:type="spellEnd"/>
      <w:r w:rsidRPr="00E73D4B">
        <w:t xml:space="preserve"> omvend </w:t>
      </w:r>
      <w:proofErr w:type="spellStart"/>
      <w:r w:rsidRPr="00E73D4B">
        <w:t>valdsalarm</w:t>
      </w:r>
      <w:proofErr w:type="spellEnd"/>
      <w:r w:rsidRPr="00E73D4B">
        <w:t xml:space="preserve">) ved </w:t>
      </w:r>
      <w:proofErr w:type="spellStart"/>
      <w:r w:rsidRPr="00E73D4B">
        <w:t>brot</w:t>
      </w:r>
      <w:proofErr w:type="spellEnd"/>
      <w:r w:rsidRPr="00E73D4B">
        <w:t xml:space="preserve"> på </w:t>
      </w:r>
      <w:proofErr w:type="spellStart"/>
      <w:r w:rsidRPr="00E73D4B">
        <w:t>besøksforbod</w:t>
      </w:r>
      <w:proofErr w:type="spellEnd"/>
      <w:r w:rsidRPr="00E73D4B">
        <w:t xml:space="preserve">. Det er òg vurdert visse andre </w:t>
      </w:r>
      <w:proofErr w:type="spellStart"/>
      <w:r w:rsidRPr="00E73D4B">
        <w:t>justeringar</w:t>
      </w:r>
      <w:proofErr w:type="spellEnd"/>
      <w:r w:rsidRPr="00E73D4B">
        <w:t xml:space="preserve"> i </w:t>
      </w:r>
      <w:proofErr w:type="spellStart"/>
      <w:r w:rsidRPr="00E73D4B">
        <w:t>reglane</w:t>
      </w:r>
      <w:proofErr w:type="spellEnd"/>
      <w:r w:rsidRPr="00E73D4B">
        <w:t xml:space="preserve"> for både </w:t>
      </w:r>
      <w:proofErr w:type="spellStart"/>
      <w:r w:rsidRPr="00E73D4B">
        <w:t>besøksforbod</w:t>
      </w:r>
      <w:proofErr w:type="spellEnd"/>
      <w:r w:rsidRPr="00E73D4B">
        <w:t xml:space="preserve"> etter straffeprosesslova og </w:t>
      </w:r>
      <w:proofErr w:type="spellStart"/>
      <w:r w:rsidRPr="00E73D4B">
        <w:t>kontaktforbod</w:t>
      </w:r>
      <w:proofErr w:type="spellEnd"/>
      <w:r w:rsidRPr="00E73D4B">
        <w:t xml:space="preserve"> etter straffelova. Sjå òg omtale under vedtak nr. 630 og 631, 25. april 2017, vedtak nr. 1043, 20. juni 2017 og vedtak nr. 447, 18. desember 2020.</w:t>
      </w:r>
    </w:p>
    <w:p w14:paraId="73E0F8FB" w14:textId="77777777" w:rsidR="00972395" w:rsidRPr="00E73D4B" w:rsidRDefault="00F120C7" w:rsidP="00E73D4B">
      <w:pPr>
        <w:pStyle w:val="avsnitt-tittel"/>
      </w:pPr>
      <w:r w:rsidRPr="00E73D4B">
        <w:t xml:space="preserve">Straffenivåa for </w:t>
      </w:r>
      <w:proofErr w:type="spellStart"/>
      <w:r w:rsidRPr="00E73D4B">
        <w:t>seksuallovbrot</w:t>
      </w:r>
      <w:proofErr w:type="spellEnd"/>
    </w:p>
    <w:p w14:paraId="18BCB1A4" w14:textId="77777777" w:rsidR="00972395" w:rsidRPr="00E73D4B" w:rsidRDefault="00F120C7" w:rsidP="00E73D4B">
      <w:pPr>
        <w:pStyle w:val="avsnitt-undertittel"/>
      </w:pPr>
      <w:r w:rsidRPr="00E73D4B">
        <w:t>Vedtak nr. 584, 30. mai 2022</w:t>
      </w:r>
    </w:p>
    <w:p w14:paraId="19F7AF2E" w14:textId="77777777" w:rsidR="00972395" w:rsidRPr="00E73D4B" w:rsidRDefault="00F120C7" w:rsidP="00E73D4B">
      <w:pPr>
        <w:pStyle w:val="blokksit"/>
        <w:rPr>
          <w:rStyle w:val="kursiv"/>
        </w:rPr>
      </w:pPr>
      <w:r w:rsidRPr="00E73D4B">
        <w:rPr>
          <w:rStyle w:val="kursiv"/>
        </w:rPr>
        <w:t>«Stortinget ber regjeringen gi Straffelovrådet i oppdrag å foreta en tilleggsutredning av straffenivåene for straffelovens bestemmelser om seksuallovbrudd. Tilleggsutredningen bes ferdigstilles før sommeren 2023.»</w:t>
      </w:r>
    </w:p>
    <w:p w14:paraId="4E083FF1" w14:textId="77777777" w:rsidR="00972395" w:rsidRPr="00E73D4B" w:rsidRDefault="00F120C7" w:rsidP="00E73D4B">
      <w:r w:rsidRPr="00E73D4B">
        <w:t xml:space="preserve">Dokumenta som ligg til grunn for vedtaket, er Dokument 8:134 S (2021–2022) og </w:t>
      </w:r>
      <w:proofErr w:type="spellStart"/>
      <w:r w:rsidRPr="00E73D4B">
        <w:t>Innst</w:t>
      </w:r>
      <w:proofErr w:type="spellEnd"/>
      <w:r w:rsidRPr="00E73D4B">
        <w:t xml:space="preserve">. 307S (2021–2022) </w:t>
      </w:r>
      <w:proofErr w:type="spellStart"/>
      <w:r w:rsidRPr="00E73D4B">
        <w:t>frå</w:t>
      </w:r>
      <w:proofErr w:type="spellEnd"/>
      <w:r w:rsidRPr="00E73D4B">
        <w:t xml:space="preserve"> justiskomiteen.</w:t>
      </w:r>
    </w:p>
    <w:p w14:paraId="2D89DE4A" w14:textId="77777777" w:rsidR="00972395" w:rsidRPr="00E73D4B" w:rsidRDefault="00F120C7" w:rsidP="00E73D4B">
      <w:r w:rsidRPr="00E73D4B">
        <w:t xml:space="preserve">Vedtaket er under behandling. Som ledd i Straffelovrådets </w:t>
      </w:r>
      <w:proofErr w:type="spellStart"/>
      <w:r w:rsidRPr="00E73D4B">
        <w:t>pågåande</w:t>
      </w:r>
      <w:proofErr w:type="spellEnd"/>
      <w:r w:rsidRPr="00E73D4B">
        <w:t xml:space="preserve"> gjennomgang av straffelova kapittel 26 om </w:t>
      </w:r>
      <w:proofErr w:type="spellStart"/>
      <w:r w:rsidRPr="00E73D4B">
        <w:t>seksuallovbrot</w:t>
      </w:r>
      <w:proofErr w:type="spellEnd"/>
      <w:r w:rsidRPr="00E73D4B">
        <w:t xml:space="preserve">, </w:t>
      </w:r>
      <w:proofErr w:type="spellStart"/>
      <w:r w:rsidRPr="00E73D4B">
        <w:t>vurderar</w:t>
      </w:r>
      <w:proofErr w:type="spellEnd"/>
      <w:r w:rsidRPr="00E73D4B">
        <w:t xml:space="preserve"> rådet òg straffenivåa. Regjeringa vil </w:t>
      </w:r>
      <w:proofErr w:type="spellStart"/>
      <w:r w:rsidRPr="00E73D4B">
        <w:t>vurdera</w:t>
      </w:r>
      <w:proofErr w:type="spellEnd"/>
      <w:r w:rsidRPr="00E73D4B">
        <w:t xml:space="preserve"> om det blir behov for </w:t>
      </w:r>
      <w:proofErr w:type="spellStart"/>
      <w:r w:rsidRPr="00E73D4B">
        <w:t>ein</w:t>
      </w:r>
      <w:proofErr w:type="spellEnd"/>
      <w:r w:rsidRPr="00E73D4B">
        <w:t xml:space="preserve"> </w:t>
      </w:r>
      <w:proofErr w:type="spellStart"/>
      <w:r w:rsidRPr="00E73D4B">
        <w:t>meir</w:t>
      </w:r>
      <w:proofErr w:type="spellEnd"/>
      <w:r w:rsidRPr="00E73D4B">
        <w:t xml:space="preserve"> </w:t>
      </w:r>
      <w:proofErr w:type="spellStart"/>
      <w:r w:rsidRPr="00E73D4B">
        <w:t>inngåande</w:t>
      </w:r>
      <w:proofErr w:type="spellEnd"/>
      <w:r w:rsidRPr="00E73D4B">
        <w:t xml:space="preserve"> utgreiing av straffenivåa for </w:t>
      </w:r>
      <w:proofErr w:type="spellStart"/>
      <w:r w:rsidRPr="00E73D4B">
        <w:t>seksuallovbrot</w:t>
      </w:r>
      <w:proofErr w:type="spellEnd"/>
      <w:r w:rsidRPr="00E73D4B">
        <w:t xml:space="preserve"> etter at rådet har levert utgreiinga si, </w:t>
      </w:r>
      <w:proofErr w:type="spellStart"/>
      <w:r w:rsidRPr="00E73D4B">
        <w:t>noko</w:t>
      </w:r>
      <w:proofErr w:type="spellEnd"/>
      <w:r w:rsidRPr="00E73D4B">
        <w:t xml:space="preserve"> som skal skje </w:t>
      </w:r>
      <w:proofErr w:type="spellStart"/>
      <w:r w:rsidRPr="00E73D4B">
        <w:t>seinast</w:t>
      </w:r>
      <w:proofErr w:type="spellEnd"/>
      <w:r w:rsidRPr="00E73D4B">
        <w:t xml:space="preserve"> 15. desember.</w:t>
      </w:r>
    </w:p>
    <w:p w14:paraId="1D217947" w14:textId="77777777" w:rsidR="00972395" w:rsidRPr="00E73D4B" w:rsidRDefault="00F120C7" w:rsidP="00E73D4B">
      <w:pPr>
        <w:pStyle w:val="avsnitt-tittel"/>
      </w:pPr>
      <w:proofErr w:type="spellStart"/>
      <w:r w:rsidRPr="00E73D4B">
        <w:t>Nedsetjing</w:t>
      </w:r>
      <w:proofErr w:type="spellEnd"/>
      <w:r w:rsidRPr="00E73D4B">
        <w:t xml:space="preserve"> av </w:t>
      </w:r>
      <w:proofErr w:type="spellStart"/>
      <w:r w:rsidRPr="00E73D4B">
        <w:t>valdtektskommisjon</w:t>
      </w:r>
      <w:proofErr w:type="spellEnd"/>
    </w:p>
    <w:p w14:paraId="28365BB5" w14:textId="77777777" w:rsidR="00972395" w:rsidRPr="00E73D4B" w:rsidRDefault="00F120C7" w:rsidP="00E73D4B">
      <w:pPr>
        <w:pStyle w:val="avsnitt-undertittel"/>
      </w:pPr>
      <w:r w:rsidRPr="00E73D4B">
        <w:t>Vedtak nr. 585, 30. mai 2022</w:t>
      </w:r>
    </w:p>
    <w:p w14:paraId="4868EA19" w14:textId="77777777" w:rsidR="00972395" w:rsidRPr="00E73D4B" w:rsidRDefault="00F120C7" w:rsidP="00E73D4B">
      <w:pPr>
        <w:pStyle w:val="blokksit"/>
        <w:rPr>
          <w:rStyle w:val="kursiv"/>
        </w:rPr>
      </w:pPr>
      <w:r w:rsidRPr="00E73D4B">
        <w:rPr>
          <w:rStyle w:val="kursiv"/>
        </w:rPr>
        <w:t xml:space="preserve">«Stortinget ber regjeringen nedsette en </w:t>
      </w:r>
      <w:proofErr w:type="spellStart"/>
      <w:r w:rsidRPr="00E73D4B">
        <w:rPr>
          <w:rStyle w:val="kursiv"/>
        </w:rPr>
        <w:t>voldtektskommisjon</w:t>
      </w:r>
      <w:proofErr w:type="spellEnd"/>
      <w:r w:rsidRPr="00E73D4B">
        <w:rPr>
          <w:rStyle w:val="kursiv"/>
        </w:rPr>
        <w:t xml:space="preserve">, som skal levere sin utredning innen september 2023. Kommisjonen bør være bredt sammensatt av ulike typer kompetanse innenfor pedagogikk, psykologi, sosialfag, </w:t>
      </w:r>
      <w:proofErr w:type="spellStart"/>
      <w:r w:rsidRPr="00E73D4B">
        <w:rPr>
          <w:rStyle w:val="kursiv"/>
        </w:rPr>
        <w:t>politifag</w:t>
      </w:r>
      <w:proofErr w:type="spellEnd"/>
      <w:r w:rsidRPr="00E73D4B">
        <w:rPr>
          <w:rStyle w:val="kursiv"/>
        </w:rPr>
        <w:t xml:space="preserve"> og juss.»</w:t>
      </w:r>
    </w:p>
    <w:p w14:paraId="7BE99586" w14:textId="77777777" w:rsidR="00972395" w:rsidRPr="00E73D4B" w:rsidRDefault="00F120C7" w:rsidP="00E73D4B">
      <w:r w:rsidRPr="00E73D4B">
        <w:t xml:space="preserve">Dokumenta som ligg til grunn for vedtaket, er Dokument 8:134 S (2021–2022) og </w:t>
      </w:r>
      <w:proofErr w:type="spellStart"/>
      <w:r w:rsidRPr="00E73D4B">
        <w:t>Innst</w:t>
      </w:r>
      <w:proofErr w:type="spellEnd"/>
      <w:r w:rsidRPr="00E73D4B">
        <w:t xml:space="preserve">. 307 S (2021–2022) </w:t>
      </w:r>
      <w:proofErr w:type="spellStart"/>
      <w:r w:rsidRPr="00E73D4B">
        <w:t>frå</w:t>
      </w:r>
      <w:proofErr w:type="spellEnd"/>
      <w:r w:rsidRPr="00E73D4B">
        <w:t xml:space="preserve"> justiskomiteen.</w:t>
      </w:r>
    </w:p>
    <w:p w14:paraId="4B1A2AB8" w14:textId="77777777" w:rsidR="00972395" w:rsidRPr="00E73D4B" w:rsidRDefault="00F120C7" w:rsidP="00E73D4B">
      <w:r w:rsidRPr="00E73D4B">
        <w:t>Vedtaket er under behandling.</w:t>
      </w:r>
    </w:p>
    <w:p w14:paraId="45E5A431" w14:textId="77777777" w:rsidR="00972395" w:rsidRPr="00E73D4B" w:rsidRDefault="00F120C7" w:rsidP="00E73D4B">
      <w:pPr>
        <w:pStyle w:val="avsnitt-tittel"/>
      </w:pPr>
      <w:r w:rsidRPr="00E73D4B">
        <w:t>Valdserstatningslov</w:t>
      </w:r>
    </w:p>
    <w:p w14:paraId="15D8D35B" w14:textId="77777777" w:rsidR="00972395" w:rsidRPr="00E73D4B" w:rsidRDefault="00F120C7" w:rsidP="00E73D4B">
      <w:pPr>
        <w:pStyle w:val="avsnitt-undertittel"/>
      </w:pPr>
      <w:r w:rsidRPr="00E73D4B">
        <w:t>Vedtak nr. 587, 30. mai 2022</w:t>
      </w:r>
    </w:p>
    <w:p w14:paraId="3A30FE96" w14:textId="77777777" w:rsidR="00972395" w:rsidRPr="00E73D4B" w:rsidRDefault="00F120C7" w:rsidP="00E73D4B">
      <w:pPr>
        <w:pStyle w:val="blokksit"/>
        <w:rPr>
          <w:rStyle w:val="kursiv"/>
        </w:rPr>
      </w:pPr>
      <w:r w:rsidRPr="00E73D4B">
        <w:rPr>
          <w:rStyle w:val="kursiv"/>
        </w:rPr>
        <w:t>«Stortinget ber regjeringen komme tilbake til de budsjettmessige konsekvensene av ny voldserstatningslov i forbindelse med nysalderingen av budsjettet for 2022.»</w:t>
      </w:r>
    </w:p>
    <w:p w14:paraId="04A380A2"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238 L (2020–2021), </w:t>
      </w:r>
      <w:proofErr w:type="spellStart"/>
      <w:r w:rsidRPr="00E73D4B">
        <w:t>Innst</w:t>
      </w:r>
      <w:proofErr w:type="spellEnd"/>
      <w:r w:rsidRPr="00E73D4B">
        <w:t xml:space="preserve">. 310 L (2021–2022) </w:t>
      </w:r>
      <w:proofErr w:type="spellStart"/>
      <w:r w:rsidRPr="00E73D4B">
        <w:t>frå</w:t>
      </w:r>
      <w:proofErr w:type="spellEnd"/>
      <w:r w:rsidRPr="00E73D4B">
        <w:t xml:space="preserve"> justiskomiteen og Lovvedtak 70 (2021–2022).</w:t>
      </w:r>
    </w:p>
    <w:p w14:paraId="0F8A8CEA" w14:textId="77777777" w:rsidR="00972395" w:rsidRPr="00E73D4B" w:rsidRDefault="00F120C7" w:rsidP="00E73D4B">
      <w:r w:rsidRPr="00E73D4B">
        <w:t>Vedtaket er under behandling.</w:t>
      </w:r>
    </w:p>
    <w:p w14:paraId="514C9A1D" w14:textId="77777777" w:rsidR="00972395" w:rsidRPr="00E73D4B" w:rsidRDefault="00F120C7" w:rsidP="00E73D4B">
      <w:pPr>
        <w:pStyle w:val="avsnitt-tittel"/>
      </w:pPr>
      <w:r w:rsidRPr="00E73D4B">
        <w:t xml:space="preserve">Kontoret for </w:t>
      </w:r>
      <w:proofErr w:type="spellStart"/>
      <w:r w:rsidRPr="00E73D4B">
        <w:t>valdsoffererstatning</w:t>
      </w:r>
      <w:proofErr w:type="spellEnd"/>
    </w:p>
    <w:p w14:paraId="02C131B7" w14:textId="77777777" w:rsidR="00972395" w:rsidRPr="00E73D4B" w:rsidRDefault="00F120C7" w:rsidP="00E73D4B">
      <w:pPr>
        <w:pStyle w:val="avsnitt-undertittel"/>
      </w:pPr>
      <w:r w:rsidRPr="00E73D4B">
        <w:t>Vedtak nr. 588, 30. mai 2022</w:t>
      </w:r>
    </w:p>
    <w:p w14:paraId="489CF187" w14:textId="77777777" w:rsidR="00972395" w:rsidRPr="00E73D4B" w:rsidRDefault="00F120C7" w:rsidP="00E73D4B">
      <w:pPr>
        <w:pStyle w:val="blokksit"/>
        <w:rPr>
          <w:rStyle w:val="kursiv"/>
        </w:rPr>
      </w:pPr>
      <w:r w:rsidRPr="00E73D4B">
        <w:rPr>
          <w:rStyle w:val="kursiv"/>
        </w:rPr>
        <w:t>«Stortinget ber regjeringen sørge for at Kontoret for voldsoffererstatning i Vardø blir tilført andre oppgaver slik at bemanningen ved kontoret ikke reduseres. Stortinget ber også regjeringen vurdere tiltak for å styrke Kontoret for voldsoffererstatning.»</w:t>
      </w:r>
    </w:p>
    <w:p w14:paraId="47EA9CCA"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238 L (2020–2021), </w:t>
      </w:r>
      <w:proofErr w:type="spellStart"/>
      <w:r w:rsidRPr="00E73D4B">
        <w:t>Innst</w:t>
      </w:r>
      <w:proofErr w:type="spellEnd"/>
      <w:r w:rsidRPr="00E73D4B">
        <w:t xml:space="preserve">. 310 L (2021–2022) </w:t>
      </w:r>
      <w:proofErr w:type="spellStart"/>
      <w:r w:rsidRPr="00E73D4B">
        <w:t>frå</w:t>
      </w:r>
      <w:proofErr w:type="spellEnd"/>
      <w:r w:rsidRPr="00E73D4B">
        <w:t xml:space="preserve"> justiskomiteen og Lovvedtak 70 (2021–2022).</w:t>
      </w:r>
    </w:p>
    <w:p w14:paraId="0E8DCC93" w14:textId="77777777" w:rsidR="00972395" w:rsidRPr="00E73D4B" w:rsidRDefault="00F120C7" w:rsidP="00E73D4B">
      <w:r w:rsidRPr="00E73D4B">
        <w:t xml:space="preserve">Vedtaket er </w:t>
      </w:r>
      <w:proofErr w:type="spellStart"/>
      <w:r w:rsidRPr="00E73D4B">
        <w:t>følgt</w:t>
      </w:r>
      <w:proofErr w:type="spellEnd"/>
      <w:r w:rsidRPr="00E73D4B">
        <w:t xml:space="preserve"> opp. Departementet arbeider med </w:t>
      </w:r>
      <w:proofErr w:type="spellStart"/>
      <w:r w:rsidRPr="00E73D4B">
        <w:t>ikraftsetjing</w:t>
      </w:r>
      <w:proofErr w:type="spellEnd"/>
      <w:r w:rsidRPr="00E73D4B">
        <w:t xml:space="preserve"> og implementering av ny valdserstatningslov, jf. </w:t>
      </w:r>
      <w:proofErr w:type="spellStart"/>
      <w:r w:rsidRPr="00E73D4B">
        <w:t>Prop</w:t>
      </w:r>
      <w:proofErr w:type="spellEnd"/>
      <w:r w:rsidRPr="00E73D4B">
        <w:t xml:space="preserve">. 238 L (2020–2021), </w:t>
      </w:r>
      <w:proofErr w:type="spellStart"/>
      <w:r w:rsidRPr="00E73D4B">
        <w:t>Innst</w:t>
      </w:r>
      <w:proofErr w:type="spellEnd"/>
      <w:r w:rsidRPr="00E73D4B">
        <w:t xml:space="preserve">. 310 L (2021–2022) og Lovvedtak 70 (2021–2022). Arbeidet med å </w:t>
      </w:r>
      <w:proofErr w:type="spellStart"/>
      <w:r w:rsidRPr="00E73D4B">
        <w:t>tilføra</w:t>
      </w:r>
      <w:proofErr w:type="spellEnd"/>
      <w:r w:rsidRPr="00E73D4B">
        <w:t xml:space="preserve"> andre </w:t>
      </w:r>
      <w:proofErr w:type="spellStart"/>
      <w:r w:rsidRPr="00E73D4B">
        <w:t>oppgåver</w:t>
      </w:r>
      <w:proofErr w:type="spellEnd"/>
      <w:r w:rsidRPr="00E73D4B">
        <w:t xml:space="preserve"> til Kontoret for </w:t>
      </w:r>
      <w:proofErr w:type="spellStart"/>
      <w:r w:rsidRPr="00E73D4B">
        <w:t>valdsoffererstatning</w:t>
      </w:r>
      <w:proofErr w:type="spellEnd"/>
      <w:r w:rsidRPr="00E73D4B">
        <w:t xml:space="preserve"> og å </w:t>
      </w:r>
      <w:proofErr w:type="spellStart"/>
      <w:r w:rsidRPr="00E73D4B">
        <w:t>vurdera</w:t>
      </w:r>
      <w:proofErr w:type="spellEnd"/>
      <w:r w:rsidRPr="00E73D4B">
        <w:t xml:space="preserve"> tiltak for å styrke kontoret, </w:t>
      </w:r>
      <w:proofErr w:type="spellStart"/>
      <w:r w:rsidRPr="00E73D4B">
        <w:t>følgjast</w:t>
      </w:r>
      <w:proofErr w:type="spellEnd"/>
      <w:r w:rsidRPr="00E73D4B">
        <w:t xml:space="preserve"> opp i styringsdialogen mellom departementet og Statens sivilrettsforvaltning og mellom Statens sivilrettforvaltning og Kontoret for </w:t>
      </w:r>
      <w:proofErr w:type="spellStart"/>
      <w:r w:rsidRPr="00E73D4B">
        <w:t>valdsoffererstatning</w:t>
      </w:r>
      <w:proofErr w:type="spellEnd"/>
      <w:r w:rsidRPr="00E73D4B">
        <w:t>.</w:t>
      </w:r>
    </w:p>
    <w:p w14:paraId="70EDD90C" w14:textId="77777777" w:rsidR="00972395" w:rsidRPr="00E73D4B" w:rsidRDefault="00F120C7" w:rsidP="00E73D4B">
      <w:pPr>
        <w:pStyle w:val="avsnitt-tittel"/>
      </w:pPr>
      <w:r w:rsidRPr="00E73D4B">
        <w:t xml:space="preserve">Forseinkingsrente på statens regresskrav mot </w:t>
      </w:r>
      <w:proofErr w:type="spellStart"/>
      <w:r w:rsidRPr="00E73D4B">
        <w:t>skadevaldar</w:t>
      </w:r>
      <w:proofErr w:type="spellEnd"/>
      <w:r w:rsidRPr="00E73D4B">
        <w:t xml:space="preserve"> i valdserstatningssaker</w:t>
      </w:r>
    </w:p>
    <w:p w14:paraId="6FACA3A8" w14:textId="77777777" w:rsidR="00972395" w:rsidRPr="00E73D4B" w:rsidRDefault="00F120C7" w:rsidP="00E73D4B">
      <w:pPr>
        <w:pStyle w:val="avsnitt-undertittel"/>
      </w:pPr>
      <w:r w:rsidRPr="00E73D4B">
        <w:t>Vedtak nr. 589, 30. mai 2022</w:t>
      </w:r>
    </w:p>
    <w:p w14:paraId="4D0F5F70" w14:textId="77777777" w:rsidR="00972395" w:rsidRPr="00E73D4B" w:rsidRDefault="00F120C7" w:rsidP="00E73D4B">
      <w:pPr>
        <w:pStyle w:val="blokksit"/>
        <w:rPr>
          <w:rStyle w:val="kursiv"/>
        </w:rPr>
      </w:pPr>
      <w:r w:rsidRPr="00E73D4B">
        <w:rPr>
          <w:rStyle w:val="kursiv"/>
        </w:rPr>
        <w:t>«Stortinget ber regjeringen fastsette i forskrift at det ikke skal løpe forsinkelsesrenter på statens regresskrav mot skadevolderen i voldserstatningssaker mens skadevolderen soner alminnelig fengselsstraff.»</w:t>
      </w:r>
    </w:p>
    <w:p w14:paraId="61CD2BD2"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238 L (2020–2021), </w:t>
      </w:r>
      <w:proofErr w:type="spellStart"/>
      <w:r w:rsidRPr="00E73D4B">
        <w:t>Innst</w:t>
      </w:r>
      <w:proofErr w:type="spellEnd"/>
      <w:r w:rsidRPr="00E73D4B">
        <w:t xml:space="preserve">. 310 L (2021–2022) </w:t>
      </w:r>
      <w:proofErr w:type="spellStart"/>
      <w:r w:rsidRPr="00E73D4B">
        <w:t>frå</w:t>
      </w:r>
      <w:proofErr w:type="spellEnd"/>
      <w:r w:rsidRPr="00E73D4B">
        <w:t xml:space="preserve"> justiskomiteen og Lovvedtak 70 (2021–2022).</w:t>
      </w:r>
    </w:p>
    <w:p w14:paraId="1716F2DB" w14:textId="77777777" w:rsidR="00972395" w:rsidRPr="00E73D4B" w:rsidRDefault="00F120C7" w:rsidP="00E73D4B">
      <w:r w:rsidRPr="00E73D4B">
        <w:t xml:space="preserve">Vedtaket er under behandling. Departementet arbeider med </w:t>
      </w:r>
      <w:proofErr w:type="spellStart"/>
      <w:r w:rsidRPr="00E73D4B">
        <w:t>ikraftsetjing</w:t>
      </w:r>
      <w:proofErr w:type="spellEnd"/>
      <w:r w:rsidRPr="00E73D4B">
        <w:t xml:space="preserve"> og implementering av ny valdserstatningslov, jf. </w:t>
      </w:r>
      <w:proofErr w:type="spellStart"/>
      <w:r w:rsidRPr="00E73D4B">
        <w:t>Prop</w:t>
      </w:r>
      <w:proofErr w:type="spellEnd"/>
      <w:r w:rsidRPr="00E73D4B">
        <w:t xml:space="preserve">. 238 L (2020–2021), </w:t>
      </w:r>
      <w:proofErr w:type="spellStart"/>
      <w:r w:rsidRPr="00E73D4B">
        <w:t>Innst</w:t>
      </w:r>
      <w:proofErr w:type="spellEnd"/>
      <w:r w:rsidRPr="00E73D4B">
        <w:t xml:space="preserve">. 310 L (2021–2022) og Lovvedtak 70 (2021–2022). Departementet ser på aktuelle </w:t>
      </w:r>
      <w:proofErr w:type="spellStart"/>
      <w:r w:rsidRPr="00E73D4B">
        <w:t>løysingar</w:t>
      </w:r>
      <w:proofErr w:type="spellEnd"/>
      <w:r w:rsidRPr="00E73D4B">
        <w:t xml:space="preserve"> og vil koma tilbake til Stortinget på eigna måte.</w:t>
      </w:r>
    </w:p>
    <w:p w14:paraId="666F6DAF" w14:textId="77777777" w:rsidR="00972395" w:rsidRPr="00E73D4B" w:rsidRDefault="00F120C7" w:rsidP="00E73D4B">
      <w:pPr>
        <w:pStyle w:val="avsnitt-tittel"/>
      </w:pPr>
      <w:r w:rsidRPr="00E73D4B">
        <w:t xml:space="preserve">Oversikt over land </w:t>
      </w:r>
      <w:proofErr w:type="spellStart"/>
      <w:r w:rsidRPr="00E73D4B">
        <w:t>utan</w:t>
      </w:r>
      <w:proofErr w:type="spellEnd"/>
      <w:r w:rsidRPr="00E73D4B">
        <w:t xml:space="preserve"> krav til pass eller ID-kort</w:t>
      </w:r>
    </w:p>
    <w:p w14:paraId="5BCFC045" w14:textId="77777777" w:rsidR="00972395" w:rsidRPr="00E73D4B" w:rsidRDefault="00F120C7" w:rsidP="00E73D4B">
      <w:pPr>
        <w:pStyle w:val="avsnitt-undertittel"/>
      </w:pPr>
      <w:r w:rsidRPr="00E73D4B">
        <w:t>Vedtak nr. 647, 3. juni 2022</w:t>
      </w:r>
    </w:p>
    <w:p w14:paraId="4C0FEDE8" w14:textId="77777777" w:rsidR="00972395" w:rsidRPr="00E73D4B" w:rsidRDefault="00F120C7" w:rsidP="00E73D4B">
      <w:pPr>
        <w:pStyle w:val="blokksit"/>
        <w:rPr>
          <w:rStyle w:val="kursiv"/>
        </w:rPr>
      </w:pPr>
      <w:r w:rsidRPr="00E73D4B">
        <w:rPr>
          <w:rStyle w:val="kursiv"/>
        </w:rPr>
        <w:t>«Stortinget ber regjeringen lage en lett tilgjengelig og oppdatert oversikt over hvilke Schengen-</w:t>
      </w:r>
      <w:proofErr w:type="gramStart"/>
      <w:r w:rsidRPr="00E73D4B">
        <w:rPr>
          <w:rStyle w:val="kursiv"/>
        </w:rPr>
        <w:t>land nordmenn</w:t>
      </w:r>
      <w:proofErr w:type="gramEnd"/>
      <w:r w:rsidRPr="00E73D4B">
        <w:rPr>
          <w:rStyle w:val="kursiv"/>
        </w:rPr>
        <w:t xml:space="preserve"> kan reise til uten pass eller ID-kort, og hvilke land som fortsatt krever slike dokumenter ved innreise.»</w:t>
      </w:r>
    </w:p>
    <w:p w14:paraId="1A26CB21" w14:textId="77777777" w:rsidR="00972395" w:rsidRPr="00E73D4B" w:rsidRDefault="00F120C7" w:rsidP="00E73D4B">
      <w:r w:rsidRPr="00E73D4B">
        <w:t xml:space="preserve">Dokumenta som ligg til grunn for vedtaket, er Dokument 8:160 S (2021–2022) og </w:t>
      </w:r>
      <w:proofErr w:type="spellStart"/>
      <w:r w:rsidRPr="00E73D4B">
        <w:t>Innst</w:t>
      </w:r>
      <w:proofErr w:type="spellEnd"/>
      <w:r w:rsidRPr="00E73D4B">
        <w:t xml:space="preserve">. 431 S (2021–2022) </w:t>
      </w:r>
      <w:proofErr w:type="spellStart"/>
      <w:r w:rsidRPr="00E73D4B">
        <w:t>frå</w:t>
      </w:r>
      <w:proofErr w:type="spellEnd"/>
      <w:r w:rsidRPr="00E73D4B">
        <w:t xml:space="preserve"> justiskomiteen.</w:t>
      </w:r>
    </w:p>
    <w:p w14:paraId="5D4B6F67" w14:textId="77777777" w:rsidR="00972395" w:rsidRPr="00E73D4B" w:rsidRDefault="00F120C7" w:rsidP="00E73D4B">
      <w:r w:rsidRPr="00E73D4B">
        <w:t xml:space="preserve">Vedtaket er </w:t>
      </w:r>
      <w:proofErr w:type="spellStart"/>
      <w:r w:rsidRPr="00E73D4B">
        <w:t>følgt</w:t>
      </w:r>
      <w:proofErr w:type="spellEnd"/>
      <w:r w:rsidRPr="00E73D4B">
        <w:t xml:space="preserve"> opp. Oppdatert oversikt følgjer av </w:t>
      </w:r>
      <w:proofErr w:type="spellStart"/>
      <w:r w:rsidRPr="00E73D4B">
        <w:t>Utanriksdepartementet</w:t>
      </w:r>
      <w:proofErr w:type="spellEnd"/>
      <w:r w:rsidRPr="00E73D4B">
        <w:t xml:space="preserve"> sin reiseinformasjon og politiet sine nettsider om pass og nasjonalt ID-kort.</w:t>
      </w:r>
    </w:p>
    <w:p w14:paraId="31FDA806" w14:textId="77777777" w:rsidR="00972395" w:rsidRPr="00E73D4B" w:rsidRDefault="00F120C7" w:rsidP="00E73D4B">
      <w:pPr>
        <w:pStyle w:val="avsnitt-tittel"/>
      </w:pPr>
      <w:r w:rsidRPr="00E73D4B">
        <w:t xml:space="preserve">Høve til utvida </w:t>
      </w:r>
      <w:proofErr w:type="spellStart"/>
      <w:r w:rsidRPr="00E73D4B">
        <w:t>varigheit</w:t>
      </w:r>
      <w:proofErr w:type="spellEnd"/>
      <w:r w:rsidRPr="00E73D4B">
        <w:t xml:space="preserve"> på utgåtte pass</w:t>
      </w:r>
    </w:p>
    <w:p w14:paraId="6B23AD58" w14:textId="77777777" w:rsidR="00972395" w:rsidRPr="00E73D4B" w:rsidRDefault="00F120C7" w:rsidP="00E73D4B">
      <w:pPr>
        <w:pStyle w:val="avsnitt-undertittel"/>
      </w:pPr>
      <w:r w:rsidRPr="00E73D4B">
        <w:t>Vedtak nr. 648, 3. juni 2022</w:t>
      </w:r>
    </w:p>
    <w:p w14:paraId="52BDE787" w14:textId="77777777" w:rsidR="00972395" w:rsidRPr="00E73D4B" w:rsidRDefault="00F120C7" w:rsidP="00E73D4B">
      <w:pPr>
        <w:pStyle w:val="blokksit"/>
        <w:rPr>
          <w:rStyle w:val="kursiv"/>
        </w:rPr>
      </w:pPr>
      <w:r w:rsidRPr="00E73D4B">
        <w:rPr>
          <w:rStyle w:val="kursiv"/>
        </w:rPr>
        <w:t>«Stortinget ber regjeringen se på mulighetene for å midlertidig utvide gyldigheten på utgåtte pass, etter dialog med andre land.»</w:t>
      </w:r>
    </w:p>
    <w:p w14:paraId="5A6808DF" w14:textId="77777777" w:rsidR="00972395" w:rsidRPr="00E73D4B" w:rsidRDefault="00F120C7" w:rsidP="00E73D4B">
      <w:r w:rsidRPr="00E73D4B">
        <w:t xml:space="preserve">Dokumenta som ligg til grunn for vedtaket, er Dokument 8:160 S (2021–2022) og </w:t>
      </w:r>
      <w:proofErr w:type="spellStart"/>
      <w:r w:rsidRPr="00E73D4B">
        <w:t>Innst</w:t>
      </w:r>
      <w:proofErr w:type="spellEnd"/>
      <w:r w:rsidRPr="00E73D4B">
        <w:t xml:space="preserve">. 431 S (2021–2022) </w:t>
      </w:r>
      <w:proofErr w:type="spellStart"/>
      <w:r w:rsidRPr="00E73D4B">
        <w:t>frå</w:t>
      </w:r>
      <w:proofErr w:type="spellEnd"/>
      <w:r w:rsidRPr="00E73D4B">
        <w:t xml:space="preserve"> justiskomiteen.</w:t>
      </w:r>
    </w:p>
    <w:p w14:paraId="64294341" w14:textId="77777777" w:rsidR="00972395" w:rsidRPr="00E73D4B" w:rsidRDefault="00F120C7" w:rsidP="00E73D4B">
      <w:r w:rsidRPr="00E73D4B">
        <w:t xml:space="preserve">Vedtaket er </w:t>
      </w:r>
      <w:proofErr w:type="spellStart"/>
      <w:r w:rsidRPr="00E73D4B">
        <w:t>følgt</w:t>
      </w:r>
      <w:proofErr w:type="spellEnd"/>
      <w:r w:rsidRPr="00E73D4B">
        <w:t xml:space="preserve"> opp med </w:t>
      </w:r>
      <w:proofErr w:type="spellStart"/>
      <w:r w:rsidRPr="00E73D4B">
        <w:t>vurderingar</w:t>
      </w:r>
      <w:proofErr w:type="spellEnd"/>
      <w:r w:rsidRPr="00E73D4B">
        <w:t xml:space="preserve"> som vart gjorde i samband med dialogen med andre land om mellombels bruk av pass som har gått ut på dato.</w:t>
      </w:r>
    </w:p>
    <w:p w14:paraId="1E05F233" w14:textId="77777777" w:rsidR="00972395" w:rsidRPr="00E73D4B" w:rsidRDefault="00F120C7" w:rsidP="00E73D4B">
      <w:pPr>
        <w:pStyle w:val="avsnitt-tittel"/>
      </w:pPr>
      <w:r w:rsidRPr="00E73D4B">
        <w:t>Reduksjon av passkø</w:t>
      </w:r>
    </w:p>
    <w:p w14:paraId="65296358" w14:textId="77777777" w:rsidR="00972395" w:rsidRPr="00E73D4B" w:rsidRDefault="00F120C7" w:rsidP="00E73D4B">
      <w:pPr>
        <w:pStyle w:val="avsnitt-undertittel"/>
      </w:pPr>
      <w:r w:rsidRPr="00E73D4B">
        <w:t>Vedtak nr. 649, 3. juni 2022</w:t>
      </w:r>
    </w:p>
    <w:p w14:paraId="7FD5187B" w14:textId="77777777" w:rsidR="00972395" w:rsidRPr="00E73D4B" w:rsidRDefault="00F120C7" w:rsidP="00E73D4B">
      <w:pPr>
        <w:pStyle w:val="blokksit"/>
        <w:rPr>
          <w:rStyle w:val="kursiv"/>
        </w:rPr>
      </w:pPr>
      <w:r w:rsidRPr="00E73D4B">
        <w:rPr>
          <w:rStyle w:val="kursiv"/>
        </w:rPr>
        <w:t>«Stortinget ber regjeringen sørge for at de lange køene for å få hentet ut pass blir redusert ved at man lager egne køer eller midlertidige kontorer for folk som kun skal hente ut pass.»</w:t>
      </w:r>
    </w:p>
    <w:p w14:paraId="2D192E01" w14:textId="77777777" w:rsidR="00972395" w:rsidRPr="00E73D4B" w:rsidRDefault="00F120C7" w:rsidP="00E73D4B">
      <w:r w:rsidRPr="00E73D4B">
        <w:t xml:space="preserve">Dokumenta som ligg til grunn for vedtaket, er Dokument 8:160 S (2021–2022) og </w:t>
      </w:r>
      <w:proofErr w:type="spellStart"/>
      <w:r w:rsidRPr="00E73D4B">
        <w:t>Innst</w:t>
      </w:r>
      <w:proofErr w:type="spellEnd"/>
      <w:r w:rsidRPr="00E73D4B">
        <w:t xml:space="preserve">. 431 S (2021–2022) </w:t>
      </w:r>
      <w:proofErr w:type="spellStart"/>
      <w:r w:rsidRPr="00E73D4B">
        <w:t>frå</w:t>
      </w:r>
      <w:proofErr w:type="spellEnd"/>
      <w:r w:rsidRPr="00E73D4B">
        <w:t xml:space="preserve"> justiskomiteen.</w:t>
      </w:r>
    </w:p>
    <w:p w14:paraId="3A06B800" w14:textId="77777777" w:rsidR="00972395" w:rsidRPr="00E73D4B" w:rsidRDefault="00F120C7" w:rsidP="00E73D4B">
      <w:r w:rsidRPr="00E73D4B">
        <w:t xml:space="preserve">Vedtaket er </w:t>
      </w:r>
      <w:proofErr w:type="spellStart"/>
      <w:r w:rsidRPr="00E73D4B">
        <w:t>følgt</w:t>
      </w:r>
      <w:proofErr w:type="spellEnd"/>
      <w:r w:rsidRPr="00E73D4B">
        <w:t xml:space="preserve"> opp med tiltaka som vart sette i verk i politidistrikta før </w:t>
      </w:r>
      <w:proofErr w:type="spellStart"/>
      <w:r w:rsidRPr="00E73D4B">
        <w:t>sommaren</w:t>
      </w:r>
      <w:proofErr w:type="spellEnd"/>
      <w:r w:rsidRPr="00E73D4B">
        <w:t xml:space="preserve"> 2022.</w:t>
      </w:r>
    </w:p>
    <w:p w14:paraId="2ECDB776" w14:textId="77777777" w:rsidR="00972395" w:rsidRPr="00E73D4B" w:rsidRDefault="00F120C7" w:rsidP="00E73D4B">
      <w:pPr>
        <w:pStyle w:val="avsnitt-tittel"/>
      </w:pPr>
      <w:r w:rsidRPr="00E73D4B">
        <w:t xml:space="preserve">Henting av pass hos </w:t>
      </w:r>
      <w:proofErr w:type="spellStart"/>
      <w:r w:rsidRPr="00E73D4B">
        <w:t>passutferdar</w:t>
      </w:r>
      <w:proofErr w:type="spellEnd"/>
    </w:p>
    <w:p w14:paraId="2503ED14" w14:textId="77777777" w:rsidR="00972395" w:rsidRPr="00E73D4B" w:rsidRDefault="00F120C7" w:rsidP="00E73D4B">
      <w:pPr>
        <w:pStyle w:val="avsnitt-undertittel"/>
      </w:pPr>
      <w:r w:rsidRPr="00E73D4B">
        <w:t>Vedtak nr. 650, 3. juni 2022</w:t>
      </w:r>
    </w:p>
    <w:p w14:paraId="22AAEF7C" w14:textId="77777777" w:rsidR="00972395" w:rsidRPr="00E73D4B" w:rsidRDefault="00F120C7" w:rsidP="00E73D4B">
      <w:pPr>
        <w:pStyle w:val="blokksit"/>
        <w:rPr>
          <w:rStyle w:val="kursiv"/>
        </w:rPr>
      </w:pPr>
      <w:r w:rsidRPr="00E73D4B">
        <w:rPr>
          <w:rStyle w:val="kursiv"/>
        </w:rPr>
        <w:t>«Stortinget ber regjeringen legge til rette for at alle får mulighet til å hente ut nye pass hos passutsteder, slik at man ikke må vente på å få passet i posten.»</w:t>
      </w:r>
    </w:p>
    <w:p w14:paraId="12B22C03" w14:textId="77777777" w:rsidR="00972395" w:rsidRPr="00E73D4B" w:rsidRDefault="00F120C7" w:rsidP="00E73D4B">
      <w:r w:rsidRPr="00E73D4B">
        <w:t xml:space="preserve">Dokumenta som ligg til grunn for vedtaket, er Dokument 8:160 S (2021–2022) og </w:t>
      </w:r>
      <w:proofErr w:type="spellStart"/>
      <w:r w:rsidRPr="00E73D4B">
        <w:t>Innst</w:t>
      </w:r>
      <w:proofErr w:type="spellEnd"/>
      <w:r w:rsidRPr="00E73D4B">
        <w:t xml:space="preserve">. 431 S (2021–2022) </w:t>
      </w:r>
      <w:proofErr w:type="spellStart"/>
      <w:r w:rsidRPr="00E73D4B">
        <w:t>frå</w:t>
      </w:r>
      <w:proofErr w:type="spellEnd"/>
      <w:r w:rsidRPr="00E73D4B">
        <w:t xml:space="preserve"> justiskomiteen.</w:t>
      </w:r>
    </w:p>
    <w:p w14:paraId="584F18E6" w14:textId="77777777" w:rsidR="00972395" w:rsidRPr="00E73D4B" w:rsidRDefault="00F120C7" w:rsidP="00E73D4B">
      <w:r w:rsidRPr="00E73D4B">
        <w:t xml:space="preserve">Vedtaket er </w:t>
      </w:r>
      <w:proofErr w:type="spellStart"/>
      <w:r w:rsidRPr="00E73D4B">
        <w:t>følgt</w:t>
      </w:r>
      <w:proofErr w:type="spellEnd"/>
      <w:r w:rsidRPr="00E73D4B">
        <w:t xml:space="preserve"> opp med tiltaka som vart sette i verk i politidistrikta før </w:t>
      </w:r>
      <w:proofErr w:type="spellStart"/>
      <w:r w:rsidRPr="00E73D4B">
        <w:t>sommaren</w:t>
      </w:r>
      <w:proofErr w:type="spellEnd"/>
      <w:r w:rsidRPr="00E73D4B">
        <w:t xml:space="preserve"> 2022.</w:t>
      </w:r>
    </w:p>
    <w:p w14:paraId="6D7B1707" w14:textId="77777777" w:rsidR="00972395" w:rsidRPr="00E73D4B" w:rsidRDefault="00F120C7" w:rsidP="00E73D4B">
      <w:pPr>
        <w:pStyle w:val="avsnitt-tittel"/>
      </w:pPr>
      <w:r w:rsidRPr="00E73D4B">
        <w:t xml:space="preserve">Sikring av </w:t>
      </w:r>
      <w:proofErr w:type="spellStart"/>
      <w:r w:rsidRPr="00E73D4B">
        <w:t>komponentar</w:t>
      </w:r>
      <w:proofErr w:type="spellEnd"/>
      <w:r w:rsidRPr="00E73D4B">
        <w:t xml:space="preserve"> til pass</w:t>
      </w:r>
    </w:p>
    <w:p w14:paraId="262F61D4" w14:textId="77777777" w:rsidR="00972395" w:rsidRPr="00E73D4B" w:rsidRDefault="00F120C7" w:rsidP="00E73D4B">
      <w:pPr>
        <w:pStyle w:val="avsnitt-undertittel"/>
      </w:pPr>
      <w:r w:rsidRPr="00E73D4B">
        <w:t>Vedtak nr. 651, 3. juni 2022</w:t>
      </w:r>
    </w:p>
    <w:p w14:paraId="02C8C648" w14:textId="77777777" w:rsidR="00972395" w:rsidRPr="00E73D4B" w:rsidRDefault="00F120C7" w:rsidP="00E73D4B">
      <w:pPr>
        <w:pStyle w:val="blokksit"/>
        <w:rPr>
          <w:rStyle w:val="kursiv"/>
        </w:rPr>
      </w:pPr>
      <w:r w:rsidRPr="00E73D4B">
        <w:rPr>
          <w:rStyle w:val="kursiv"/>
        </w:rPr>
        <w:t>«Stortinget ber regjeringen utforske mulighetene for å sikre seg nødvendig råstoff og komponenter til å produsere pass via EU eller andre kanaler, slik Solberg-regjeringen gjorde under covid-19-pandemien.»</w:t>
      </w:r>
    </w:p>
    <w:p w14:paraId="6B6B5779" w14:textId="77777777" w:rsidR="00972395" w:rsidRPr="00E73D4B" w:rsidRDefault="00F120C7" w:rsidP="00E73D4B">
      <w:r w:rsidRPr="00E73D4B">
        <w:t xml:space="preserve">Dokumenta som ligg til grunn for vedtaket, er Dokument 8:160 S (2021–2022) og </w:t>
      </w:r>
      <w:proofErr w:type="spellStart"/>
      <w:r w:rsidRPr="00E73D4B">
        <w:t>Innst</w:t>
      </w:r>
      <w:proofErr w:type="spellEnd"/>
      <w:r w:rsidRPr="00E73D4B">
        <w:t xml:space="preserve">. 431 S (2021–2022) </w:t>
      </w:r>
      <w:proofErr w:type="spellStart"/>
      <w:r w:rsidRPr="00E73D4B">
        <w:t>frå</w:t>
      </w:r>
      <w:proofErr w:type="spellEnd"/>
      <w:r w:rsidRPr="00E73D4B">
        <w:t xml:space="preserve"> justiskomiteen.</w:t>
      </w:r>
    </w:p>
    <w:p w14:paraId="1007BA51" w14:textId="77777777" w:rsidR="00972395" w:rsidRPr="00E73D4B" w:rsidRDefault="00F120C7" w:rsidP="00E73D4B">
      <w:r w:rsidRPr="00E73D4B">
        <w:t xml:space="preserve">Vedtaket er </w:t>
      </w:r>
      <w:proofErr w:type="spellStart"/>
      <w:r w:rsidRPr="00E73D4B">
        <w:t>følgt</w:t>
      </w:r>
      <w:proofErr w:type="spellEnd"/>
      <w:r w:rsidRPr="00E73D4B">
        <w:t xml:space="preserve"> opp. Departementet har bede Politidirektoratet om å starte </w:t>
      </w:r>
      <w:proofErr w:type="spellStart"/>
      <w:r w:rsidRPr="00E73D4B">
        <w:t>eit</w:t>
      </w:r>
      <w:proofErr w:type="spellEnd"/>
      <w:r w:rsidRPr="00E73D4B">
        <w:t xml:space="preserve"> arbeid for å sjå på tiltak som kan </w:t>
      </w:r>
      <w:proofErr w:type="spellStart"/>
      <w:r w:rsidRPr="00E73D4B">
        <w:t>gjere</w:t>
      </w:r>
      <w:proofErr w:type="spellEnd"/>
      <w:r w:rsidRPr="00E73D4B">
        <w:t xml:space="preserve"> i </w:t>
      </w:r>
      <w:proofErr w:type="spellStart"/>
      <w:r w:rsidRPr="00E73D4B">
        <w:t>leveransekjeda</w:t>
      </w:r>
      <w:proofErr w:type="spellEnd"/>
      <w:r w:rsidRPr="00E73D4B">
        <w:t xml:space="preserve"> for pass og ID-kort </w:t>
      </w:r>
      <w:proofErr w:type="spellStart"/>
      <w:r w:rsidRPr="00E73D4B">
        <w:t>meir</w:t>
      </w:r>
      <w:proofErr w:type="spellEnd"/>
      <w:r w:rsidRPr="00E73D4B">
        <w:t xml:space="preserve"> </w:t>
      </w:r>
      <w:proofErr w:type="gramStart"/>
      <w:r w:rsidRPr="00E73D4B">
        <w:t>robust</w:t>
      </w:r>
      <w:proofErr w:type="gramEnd"/>
      <w:r w:rsidRPr="00E73D4B">
        <w:t xml:space="preserve">, bl.a. for å </w:t>
      </w:r>
      <w:proofErr w:type="spellStart"/>
      <w:r w:rsidRPr="00E73D4B">
        <w:t>auke</w:t>
      </w:r>
      <w:proofErr w:type="spellEnd"/>
      <w:r w:rsidRPr="00E73D4B">
        <w:t xml:space="preserve"> den nasjonale beredskapen.</w:t>
      </w:r>
    </w:p>
    <w:p w14:paraId="13837B7D" w14:textId="77777777" w:rsidR="00972395" w:rsidRPr="00E73D4B" w:rsidRDefault="00F120C7" w:rsidP="00E73D4B">
      <w:pPr>
        <w:pStyle w:val="avsnitt-tittel"/>
      </w:pPr>
      <w:r w:rsidRPr="00E73D4B">
        <w:t>Redusere ventetid på nye pass</w:t>
      </w:r>
    </w:p>
    <w:p w14:paraId="36251785" w14:textId="77777777" w:rsidR="00972395" w:rsidRPr="00E73D4B" w:rsidRDefault="00F120C7" w:rsidP="00E73D4B">
      <w:pPr>
        <w:pStyle w:val="avsnitt-undertittel"/>
      </w:pPr>
      <w:r w:rsidRPr="00E73D4B">
        <w:t>Vedtak nr. 652, 3. juni 2022</w:t>
      </w:r>
    </w:p>
    <w:p w14:paraId="48040A21" w14:textId="77777777" w:rsidR="00972395" w:rsidRPr="00E73D4B" w:rsidRDefault="00F120C7" w:rsidP="00E73D4B">
      <w:pPr>
        <w:pStyle w:val="blokksit"/>
        <w:rPr>
          <w:rStyle w:val="kursiv"/>
        </w:rPr>
      </w:pPr>
      <w:r w:rsidRPr="00E73D4B">
        <w:rPr>
          <w:rStyle w:val="kursiv"/>
        </w:rPr>
        <w:t>«Stortinget ber regjeringen gjennomføre strakstiltak med sikte på å redusere ventetid for å få nytt pass, eksempelvis gjennom å utvide åpningstider på kveldstid og i helgene, samt å øke bemanningen på passkontor med stor pågang.»</w:t>
      </w:r>
    </w:p>
    <w:p w14:paraId="5E057265" w14:textId="77777777" w:rsidR="00972395" w:rsidRPr="00E73D4B" w:rsidRDefault="00F120C7" w:rsidP="00E73D4B">
      <w:r w:rsidRPr="00E73D4B">
        <w:t xml:space="preserve">Dokumenta som ligg til grunn for vedtaket, er Dokument 8:160 S (2021–2022) og </w:t>
      </w:r>
      <w:proofErr w:type="spellStart"/>
      <w:r w:rsidRPr="00E73D4B">
        <w:t>Innst</w:t>
      </w:r>
      <w:proofErr w:type="spellEnd"/>
      <w:r w:rsidRPr="00E73D4B">
        <w:t xml:space="preserve">. 431 S (2021–2022) </w:t>
      </w:r>
      <w:proofErr w:type="spellStart"/>
      <w:r w:rsidRPr="00E73D4B">
        <w:t>frå</w:t>
      </w:r>
      <w:proofErr w:type="spellEnd"/>
      <w:r w:rsidRPr="00E73D4B">
        <w:t xml:space="preserve"> justiskomiteen.</w:t>
      </w:r>
    </w:p>
    <w:p w14:paraId="120287CD" w14:textId="77777777" w:rsidR="00972395" w:rsidRPr="00E73D4B" w:rsidRDefault="00F120C7" w:rsidP="00E73D4B">
      <w:r w:rsidRPr="00E73D4B">
        <w:t xml:space="preserve">Vedtaket er </w:t>
      </w:r>
      <w:proofErr w:type="spellStart"/>
      <w:r w:rsidRPr="00E73D4B">
        <w:t>følgt</w:t>
      </w:r>
      <w:proofErr w:type="spellEnd"/>
      <w:r w:rsidRPr="00E73D4B">
        <w:t xml:space="preserve"> opp med tiltaka som </w:t>
      </w:r>
      <w:proofErr w:type="spellStart"/>
      <w:r w:rsidRPr="00E73D4B">
        <w:t>vartsette</w:t>
      </w:r>
      <w:proofErr w:type="spellEnd"/>
      <w:r w:rsidRPr="00E73D4B">
        <w:t xml:space="preserve"> i verk i politidistrikta før </w:t>
      </w:r>
      <w:proofErr w:type="spellStart"/>
      <w:r w:rsidRPr="00E73D4B">
        <w:t>sommaren</w:t>
      </w:r>
      <w:proofErr w:type="spellEnd"/>
      <w:r w:rsidRPr="00E73D4B">
        <w:t xml:space="preserve"> 2022.</w:t>
      </w:r>
    </w:p>
    <w:p w14:paraId="062087A9" w14:textId="77777777" w:rsidR="00972395" w:rsidRPr="00E73D4B" w:rsidRDefault="00F120C7" w:rsidP="00E73D4B">
      <w:pPr>
        <w:pStyle w:val="avsnitt-tittel"/>
      </w:pPr>
      <w:r w:rsidRPr="00E73D4B">
        <w:t xml:space="preserve">Tryggleik for </w:t>
      </w:r>
      <w:proofErr w:type="spellStart"/>
      <w:r w:rsidRPr="00E73D4B">
        <w:t>personar</w:t>
      </w:r>
      <w:proofErr w:type="spellEnd"/>
      <w:r w:rsidRPr="00E73D4B">
        <w:t xml:space="preserve"> med funksjonshindring</w:t>
      </w:r>
    </w:p>
    <w:p w14:paraId="29011D1C" w14:textId="77777777" w:rsidR="00972395" w:rsidRPr="00E73D4B" w:rsidRDefault="00F120C7" w:rsidP="00E73D4B">
      <w:pPr>
        <w:pStyle w:val="avsnitt-undertittel"/>
      </w:pPr>
      <w:r w:rsidRPr="00E73D4B">
        <w:t>Vedtak nr. 654, 3. juni 2022</w:t>
      </w:r>
    </w:p>
    <w:p w14:paraId="2AC69649" w14:textId="77777777" w:rsidR="00972395" w:rsidRPr="00E73D4B" w:rsidRDefault="00F120C7" w:rsidP="00E73D4B">
      <w:pPr>
        <w:pStyle w:val="blokksit"/>
        <w:rPr>
          <w:rStyle w:val="kursiv"/>
        </w:rPr>
      </w:pPr>
      <w:r w:rsidRPr="00E73D4B">
        <w:rPr>
          <w:rStyle w:val="kursiv"/>
        </w:rPr>
        <w:t>«Stortinget ber regjeringen se på hvordan myndighetene kan treffe nødvendige tiltak for å sikre funksjonshindrede beskyttelse og sikkerhet i risikosituasjoner i hele krisespekteret, og sikre at funksjonshindredes organisasjoner høres i forbindelse med dette.»</w:t>
      </w:r>
    </w:p>
    <w:p w14:paraId="1F804391" w14:textId="77777777" w:rsidR="00972395" w:rsidRPr="00E73D4B" w:rsidRDefault="00F120C7" w:rsidP="00E73D4B">
      <w:r w:rsidRPr="00E73D4B">
        <w:t xml:space="preserve">Dokumenta som ligg til grunn for vedtaket, er Dokument 8:213 S (2021–2022), </w:t>
      </w:r>
      <w:proofErr w:type="spellStart"/>
      <w:r w:rsidRPr="00E73D4B">
        <w:t>Innst</w:t>
      </w:r>
      <w:proofErr w:type="spellEnd"/>
      <w:r w:rsidRPr="00E73D4B">
        <w:t xml:space="preserve">. 367 S (2021–2022) </w:t>
      </w:r>
      <w:proofErr w:type="spellStart"/>
      <w:r w:rsidRPr="00E73D4B">
        <w:t>frå</w:t>
      </w:r>
      <w:proofErr w:type="spellEnd"/>
      <w:r w:rsidRPr="00E73D4B">
        <w:t xml:space="preserve"> justiskomiteen.</w:t>
      </w:r>
    </w:p>
    <w:p w14:paraId="16ACCB60" w14:textId="77777777" w:rsidR="00972395" w:rsidRPr="00E73D4B" w:rsidRDefault="00F120C7" w:rsidP="00E73D4B">
      <w:r w:rsidRPr="00E73D4B">
        <w:t xml:space="preserve">Vedtaket er under behandling. Departementet har bede Direktoratet for samfunnstryggleik og beredskap (DSB) i samband med arbeidet med forprosjekt om sivile vernetiltak å vurdere behovet til funksjonshindra særskilt i utforminga av framtidig </w:t>
      </w:r>
      <w:proofErr w:type="spellStart"/>
      <w:r w:rsidRPr="00E73D4B">
        <w:t>tilrådingar</w:t>
      </w:r>
      <w:proofErr w:type="spellEnd"/>
      <w:r w:rsidRPr="00E73D4B">
        <w:t xml:space="preserve"> om sivile vernetiltak.</w:t>
      </w:r>
    </w:p>
    <w:p w14:paraId="7E02D01A" w14:textId="77777777" w:rsidR="00972395" w:rsidRPr="00E73D4B" w:rsidRDefault="00F120C7" w:rsidP="00E73D4B">
      <w:pPr>
        <w:pStyle w:val="avsnitt-tittel"/>
      </w:pPr>
      <w:proofErr w:type="spellStart"/>
      <w:r w:rsidRPr="00E73D4B">
        <w:t>Forbod</w:t>
      </w:r>
      <w:proofErr w:type="spellEnd"/>
      <w:r w:rsidRPr="00E73D4B">
        <w:t xml:space="preserve"> mot sal av forfalte </w:t>
      </w:r>
      <w:proofErr w:type="spellStart"/>
      <w:r w:rsidRPr="00E73D4B">
        <w:t>fordringar</w:t>
      </w:r>
      <w:proofErr w:type="spellEnd"/>
    </w:p>
    <w:p w14:paraId="4CF6786B" w14:textId="77777777" w:rsidR="00972395" w:rsidRPr="00E73D4B" w:rsidRDefault="00F120C7" w:rsidP="00E73D4B">
      <w:pPr>
        <w:pStyle w:val="avsnitt-undertittel"/>
      </w:pPr>
      <w:r w:rsidRPr="00E73D4B">
        <w:t>Vedtak nr. 795, 15. juni 2022</w:t>
      </w:r>
    </w:p>
    <w:p w14:paraId="26768E31" w14:textId="77777777" w:rsidR="00972395" w:rsidRPr="00E73D4B" w:rsidRDefault="00F120C7" w:rsidP="00E73D4B">
      <w:pPr>
        <w:pStyle w:val="blokksit"/>
        <w:rPr>
          <w:rStyle w:val="kursiv"/>
        </w:rPr>
      </w:pPr>
      <w:r w:rsidRPr="00E73D4B">
        <w:rPr>
          <w:rStyle w:val="kursiv"/>
        </w:rPr>
        <w:t>«Stortinget ber regjeringen utrede muligheten for å forby salg av forfalte fordringer hvor forbruker er debitor.»</w:t>
      </w:r>
    </w:p>
    <w:p w14:paraId="2D39C82A" w14:textId="77777777" w:rsidR="00972395" w:rsidRPr="00E73D4B" w:rsidRDefault="00F120C7" w:rsidP="00E73D4B">
      <w:r w:rsidRPr="00E73D4B">
        <w:t xml:space="preserve">Dokumenta som ligg til grunn for vedtaket, er Dokument 8:200 S (2021–2022) og </w:t>
      </w:r>
      <w:proofErr w:type="spellStart"/>
      <w:r w:rsidRPr="00E73D4B">
        <w:t>Innst</w:t>
      </w:r>
      <w:proofErr w:type="spellEnd"/>
      <w:r w:rsidRPr="00E73D4B">
        <w:t>. 373 S (2021–2022).</w:t>
      </w:r>
    </w:p>
    <w:p w14:paraId="1CC0CF59" w14:textId="77777777" w:rsidR="00972395" w:rsidRPr="00E73D4B" w:rsidRDefault="00F120C7" w:rsidP="00E73D4B">
      <w:r w:rsidRPr="00E73D4B">
        <w:t>Vedtaket er under behandling.</w:t>
      </w:r>
    </w:p>
    <w:p w14:paraId="2BDF45E0" w14:textId="77777777" w:rsidR="00972395" w:rsidRPr="00E73D4B" w:rsidRDefault="00F120C7" w:rsidP="00E73D4B">
      <w:pPr>
        <w:pStyle w:val="avsnitt-tittel"/>
      </w:pPr>
      <w:proofErr w:type="spellStart"/>
      <w:r w:rsidRPr="00E73D4B">
        <w:t>Offentleg</w:t>
      </w:r>
      <w:proofErr w:type="spellEnd"/>
      <w:r w:rsidRPr="00E73D4B">
        <w:t xml:space="preserve"> </w:t>
      </w:r>
      <w:proofErr w:type="spellStart"/>
      <w:r w:rsidRPr="00E73D4B">
        <w:t>helsetilbod</w:t>
      </w:r>
      <w:proofErr w:type="spellEnd"/>
      <w:r w:rsidRPr="00E73D4B">
        <w:t xml:space="preserve"> ved Politiets utlendingsinternat på Trandum</w:t>
      </w:r>
    </w:p>
    <w:p w14:paraId="2F887339" w14:textId="77777777" w:rsidR="00972395" w:rsidRPr="00E73D4B" w:rsidRDefault="00F120C7" w:rsidP="00E73D4B">
      <w:pPr>
        <w:pStyle w:val="avsnitt-undertittel"/>
      </w:pPr>
      <w:r w:rsidRPr="00E73D4B">
        <w:t>Vedtak nr. 831, 17. juni 2022</w:t>
      </w:r>
    </w:p>
    <w:p w14:paraId="20B92B2C" w14:textId="77777777" w:rsidR="00972395" w:rsidRPr="00E73D4B" w:rsidRDefault="00F120C7" w:rsidP="00E73D4B">
      <w:pPr>
        <w:pStyle w:val="blokksit"/>
        <w:rPr>
          <w:rStyle w:val="kursiv"/>
        </w:rPr>
      </w:pPr>
      <w:r w:rsidRPr="00E73D4B">
        <w:rPr>
          <w:rStyle w:val="kursiv"/>
        </w:rPr>
        <w:t>«Stortinget ber regjeringen sikre at helsetjenesten på Politiets utlendingsinternat, Trandum, legges under den offentlige helsetjenesten og at beslutningen om dette tas i løpet av 2022 slik at overføringen kan gjennomføres senest 1. juli 2023.»</w:t>
      </w:r>
    </w:p>
    <w:p w14:paraId="7ABA0C2D" w14:textId="77777777" w:rsidR="00972395" w:rsidRPr="00E73D4B" w:rsidRDefault="00F120C7" w:rsidP="00E73D4B">
      <w:r w:rsidRPr="00E73D4B">
        <w:t xml:space="preserve">Dokumenta som ligg til grunn for vedtaket, er Meld. St. 2 (2021–2022) og </w:t>
      </w:r>
      <w:proofErr w:type="spellStart"/>
      <w:r w:rsidRPr="00E73D4B">
        <w:t>Innst</w:t>
      </w:r>
      <w:proofErr w:type="spellEnd"/>
      <w:r w:rsidRPr="00E73D4B">
        <w:t>. 450 S (2021–2022).</w:t>
      </w:r>
    </w:p>
    <w:p w14:paraId="4E720858" w14:textId="77777777" w:rsidR="00972395" w:rsidRPr="00E73D4B" w:rsidRDefault="00F120C7" w:rsidP="00E73D4B">
      <w:r w:rsidRPr="00E73D4B">
        <w:t>Vedtaket er under behandling.</w:t>
      </w:r>
    </w:p>
    <w:p w14:paraId="07B6E453" w14:textId="77777777" w:rsidR="00972395" w:rsidRPr="00E73D4B" w:rsidRDefault="00F120C7" w:rsidP="00E73D4B">
      <w:pPr>
        <w:pStyle w:val="Overskrift2"/>
      </w:pPr>
      <w:r w:rsidRPr="00E73D4B">
        <w:t>Stortingssesjon 2020–2021</w:t>
      </w:r>
    </w:p>
    <w:p w14:paraId="0E61FB27" w14:textId="77777777" w:rsidR="00972395" w:rsidRPr="00E73D4B" w:rsidRDefault="00F120C7" w:rsidP="00E73D4B">
      <w:pPr>
        <w:pStyle w:val="avsnitt-tittel"/>
      </w:pPr>
      <w:r w:rsidRPr="00E73D4B">
        <w:t xml:space="preserve">Utviding av </w:t>
      </w:r>
      <w:proofErr w:type="spellStart"/>
      <w:r w:rsidRPr="00E73D4B">
        <w:t>avverjingsplikta</w:t>
      </w:r>
      <w:proofErr w:type="spellEnd"/>
    </w:p>
    <w:p w14:paraId="5FECC715" w14:textId="77777777" w:rsidR="00972395" w:rsidRPr="00E73D4B" w:rsidRDefault="00F120C7" w:rsidP="00E73D4B">
      <w:pPr>
        <w:pStyle w:val="avsnitt-undertittel"/>
      </w:pPr>
      <w:r w:rsidRPr="00E73D4B">
        <w:t>Vedtak nr. 47, 3. november 2020</w:t>
      </w:r>
    </w:p>
    <w:p w14:paraId="199E4826" w14:textId="77777777" w:rsidR="00972395" w:rsidRPr="00E73D4B" w:rsidRDefault="00F120C7" w:rsidP="00E73D4B">
      <w:pPr>
        <w:pStyle w:val="blokksit"/>
        <w:rPr>
          <w:rStyle w:val="kursiv"/>
        </w:rPr>
      </w:pPr>
      <w:r w:rsidRPr="00E73D4B">
        <w:rPr>
          <w:rStyle w:val="kursiv"/>
        </w:rPr>
        <w:t>«Stortinget ber regjeringen utrede om avvergingsplikten i straffeloven § 196 bør utvides til også å omfatte flere straffbare handlinger, særlig straffeloven §§ 257, 260, 261, 272 b, 292, 293, 294, 300, 301, 302, 304 og 305.»</w:t>
      </w:r>
    </w:p>
    <w:p w14:paraId="68429346"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66 L (2019–2020) og </w:t>
      </w:r>
      <w:proofErr w:type="spellStart"/>
      <w:r w:rsidRPr="00E73D4B">
        <w:t>Innst</w:t>
      </w:r>
      <w:proofErr w:type="spellEnd"/>
      <w:r w:rsidRPr="00E73D4B">
        <w:t>. 41 L (2020–2021).</w:t>
      </w:r>
    </w:p>
    <w:p w14:paraId="5D18CA7B" w14:textId="77777777" w:rsidR="00972395" w:rsidRPr="00E73D4B" w:rsidRDefault="00F120C7" w:rsidP="00E73D4B">
      <w:r w:rsidRPr="00E73D4B">
        <w:t>Vedtaket er under behandling.</w:t>
      </w:r>
    </w:p>
    <w:p w14:paraId="1B1CB9A9" w14:textId="77777777" w:rsidR="00972395" w:rsidRPr="00E73D4B" w:rsidRDefault="00F120C7" w:rsidP="00E73D4B">
      <w:pPr>
        <w:pStyle w:val="avsnitt-tittel"/>
      </w:pPr>
      <w:proofErr w:type="spellStart"/>
      <w:r w:rsidRPr="00E73D4B">
        <w:t>Forelding</w:t>
      </w:r>
      <w:proofErr w:type="spellEnd"/>
      <w:r w:rsidRPr="00E73D4B">
        <w:t xml:space="preserve"> av </w:t>
      </w:r>
      <w:proofErr w:type="spellStart"/>
      <w:r w:rsidRPr="00E73D4B">
        <w:t>lovbrot</w:t>
      </w:r>
      <w:proofErr w:type="spellEnd"/>
      <w:r w:rsidRPr="00E73D4B">
        <w:t xml:space="preserve"> mot mindreårige</w:t>
      </w:r>
    </w:p>
    <w:p w14:paraId="380B4E3A" w14:textId="77777777" w:rsidR="00972395" w:rsidRPr="00E73D4B" w:rsidRDefault="00F120C7" w:rsidP="00E73D4B">
      <w:pPr>
        <w:pStyle w:val="avsnitt-undertittel"/>
      </w:pPr>
      <w:r w:rsidRPr="00E73D4B">
        <w:t>Vedtak nr. 50, 3. november 2020</w:t>
      </w:r>
    </w:p>
    <w:p w14:paraId="24C4EC00" w14:textId="77777777" w:rsidR="00972395" w:rsidRPr="00E73D4B" w:rsidRDefault="00F120C7" w:rsidP="00E73D4B">
      <w:pPr>
        <w:pStyle w:val="blokksit"/>
        <w:rPr>
          <w:rStyle w:val="kursiv"/>
        </w:rPr>
      </w:pPr>
      <w:r w:rsidRPr="00E73D4B">
        <w:rPr>
          <w:rStyle w:val="kursiv"/>
        </w:rPr>
        <w:t>«Stortinget ber regjeringen foreta en helhetlig gjennomgang av foreldelsesreglene for seksuallovbrudd og voldsforbrytelser mot mindreårige, og komme tilbake til Stortinget med forslag til lovendringer som hever det generelle nivået på foreldelsesfrister for denne typen lovbrudd.»</w:t>
      </w:r>
    </w:p>
    <w:p w14:paraId="319E892D"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66 L (2019–2020) og </w:t>
      </w:r>
      <w:proofErr w:type="spellStart"/>
      <w:r w:rsidRPr="00E73D4B">
        <w:t>Innst</w:t>
      </w:r>
      <w:proofErr w:type="spellEnd"/>
      <w:r w:rsidRPr="00E73D4B">
        <w:t>. 41 L (2020–2021).</w:t>
      </w:r>
    </w:p>
    <w:p w14:paraId="2A0160A3" w14:textId="77777777" w:rsidR="00972395" w:rsidRPr="00E73D4B" w:rsidRDefault="00F120C7" w:rsidP="00E73D4B">
      <w:r w:rsidRPr="00E73D4B">
        <w:t>Vedtaket er under behandling. Sjå òg vedtak nr. 1159, 7. juni 2021.</w:t>
      </w:r>
    </w:p>
    <w:p w14:paraId="11E5062A" w14:textId="77777777" w:rsidR="00972395" w:rsidRPr="00E73D4B" w:rsidRDefault="00F120C7" w:rsidP="00E73D4B">
      <w:pPr>
        <w:pStyle w:val="avsnitt-tittel"/>
      </w:pPr>
      <w:proofErr w:type="spellStart"/>
      <w:r w:rsidRPr="00E73D4B">
        <w:t>Tilgjengelege</w:t>
      </w:r>
      <w:proofErr w:type="spellEnd"/>
      <w:r w:rsidRPr="00E73D4B">
        <w:t xml:space="preserve"> </w:t>
      </w:r>
      <w:proofErr w:type="spellStart"/>
      <w:r w:rsidRPr="00E73D4B">
        <w:t>dopingopplysningar</w:t>
      </w:r>
      <w:proofErr w:type="spellEnd"/>
    </w:p>
    <w:p w14:paraId="1A2A2E89" w14:textId="77777777" w:rsidR="00972395" w:rsidRPr="00E73D4B" w:rsidRDefault="00F120C7" w:rsidP="00E73D4B">
      <w:pPr>
        <w:pStyle w:val="avsnitt-undertittel"/>
      </w:pPr>
      <w:r w:rsidRPr="00E73D4B">
        <w:t>Vedtak nr. 64, 10. november 2020</w:t>
      </w:r>
    </w:p>
    <w:p w14:paraId="5F47F6DD" w14:textId="77777777" w:rsidR="00972395" w:rsidRPr="00E73D4B" w:rsidRDefault="00F120C7" w:rsidP="00E73D4B">
      <w:pPr>
        <w:pStyle w:val="blokksit"/>
        <w:rPr>
          <w:rStyle w:val="kursiv"/>
        </w:rPr>
      </w:pPr>
      <w:r w:rsidRPr="00E73D4B">
        <w:rPr>
          <w:rStyle w:val="kursiv"/>
        </w:rPr>
        <w:t xml:space="preserve">«Stortinget ber regjeringen vurdere hvordan opplysninger om idrettsutøvere og støtteapparat som straffes for </w:t>
      </w:r>
      <w:proofErr w:type="spellStart"/>
      <w:r w:rsidRPr="00E73D4B">
        <w:rPr>
          <w:rStyle w:val="kursiv"/>
        </w:rPr>
        <w:t>dopingkriminalitet</w:t>
      </w:r>
      <w:proofErr w:type="spellEnd"/>
      <w:r w:rsidRPr="00E73D4B">
        <w:rPr>
          <w:rStyle w:val="kursiv"/>
        </w:rPr>
        <w:t>, også kan gjøres tilgjengelig for antidopingorganisasjonene, herunder eventuelle behov for endring av lovgivning.»</w:t>
      </w:r>
    </w:p>
    <w:p w14:paraId="66D665DB" w14:textId="77777777" w:rsidR="00972395" w:rsidRPr="00E73D4B" w:rsidRDefault="00F120C7" w:rsidP="00E73D4B">
      <w:r w:rsidRPr="00E73D4B">
        <w:t xml:space="preserve">Dokumenta som ligg til grunn for vedtaket, er Dokument 8:95 S (2018–2019) og </w:t>
      </w:r>
      <w:proofErr w:type="spellStart"/>
      <w:r w:rsidRPr="00E73D4B">
        <w:t>Innst</w:t>
      </w:r>
      <w:proofErr w:type="spellEnd"/>
      <w:r w:rsidRPr="00E73D4B">
        <w:t xml:space="preserve">. 48 S (2020–2021) </w:t>
      </w:r>
      <w:proofErr w:type="spellStart"/>
      <w:r w:rsidRPr="00E73D4B">
        <w:t>frå</w:t>
      </w:r>
      <w:proofErr w:type="spellEnd"/>
      <w:r w:rsidRPr="00E73D4B">
        <w:t xml:space="preserve"> justiskomiteen.</w:t>
      </w:r>
    </w:p>
    <w:p w14:paraId="4A0E8023" w14:textId="77777777" w:rsidR="00972395" w:rsidRPr="00E73D4B" w:rsidRDefault="00F120C7" w:rsidP="00E73D4B">
      <w:r w:rsidRPr="00E73D4B">
        <w:t xml:space="preserve">Vedtaket er under behandling. Departementet vurderer behovet for </w:t>
      </w:r>
      <w:proofErr w:type="spellStart"/>
      <w:r w:rsidRPr="00E73D4B">
        <w:t>regelendringar</w:t>
      </w:r>
      <w:proofErr w:type="spellEnd"/>
      <w:r w:rsidRPr="00E73D4B">
        <w:t xml:space="preserve"> og eventuelle andre tiltak.</w:t>
      </w:r>
    </w:p>
    <w:p w14:paraId="2956A90A" w14:textId="77777777" w:rsidR="00972395" w:rsidRPr="00E73D4B" w:rsidRDefault="00F120C7" w:rsidP="00E73D4B">
      <w:pPr>
        <w:pStyle w:val="avsnitt-tittel"/>
      </w:pPr>
      <w:r w:rsidRPr="00E73D4B">
        <w:t xml:space="preserve">Straff for den som </w:t>
      </w:r>
      <w:proofErr w:type="spellStart"/>
      <w:r w:rsidRPr="00E73D4B">
        <w:t>tener</w:t>
      </w:r>
      <w:proofErr w:type="spellEnd"/>
      <w:r w:rsidRPr="00E73D4B">
        <w:t xml:space="preserve"> </w:t>
      </w:r>
      <w:proofErr w:type="spellStart"/>
      <w:r w:rsidRPr="00E73D4B">
        <w:t>pengar</w:t>
      </w:r>
      <w:proofErr w:type="spellEnd"/>
      <w:r w:rsidRPr="00E73D4B">
        <w:t xml:space="preserve"> på </w:t>
      </w:r>
      <w:proofErr w:type="spellStart"/>
      <w:r w:rsidRPr="00E73D4B">
        <w:t>idrettsprestasjonar</w:t>
      </w:r>
      <w:proofErr w:type="spellEnd"/>
      <w:r w:rsidRPr="00E73D4B">
        <w:t xml:space="preserve"> som </w:t>
      </w:r>
      <w:proofErr w:type="spellStart"/>
      <w:r w:rsidRPr="00E73D4B">
        <w:t>følgje</w:t>
      </w:r>
      <w:proofErr w:type="spellEnd"/>
      <w:r w:rsidRPr="00E73D4B">
        <w:t xml:space="preserve"> av doping</w:t>
      </w:r>
    </w:p>
    <w:p w14:paraId="7C9FB4CD" w14:textId="77777777" w:rsidR="00972395" w:rsidRPr="00E73D4B" w:rsidRDefault="00F120C7" w:rsidP="00E73D4B">
      <w:pPr>
        <w:pStyle w:val="avsnitt-undertittel"/>
      </w:pPr>
      <w:r w:rsidRPr="00E73D4B">
        <w:t>Vedtak nr. 65, 10. november 2020</w:t>
      </w:r>
    </w:p>
    <w:p w14:paraId="15E82A51" w14:textId="77777777" w:rsidR="00972395" w:rsidRPr="00E73D4B" w:rsidRDefault="00F120C7" w:rsidP="00E73D4B">
      <w:pPr>
        <w:pStyle w:val="blokksit"/>
        <w:rPr>
          <w:rStyle w:val="kursiv"/>
        </w:rPr>
      </w:pPr>
      <w:r w:rsidRPr="00E73D4B">
        <w:rPr>
          <w:rStyle w:val="kursiv"/>
        </w:rPr>
        <w:t>«Stortinget ber regjeringen vurdere muligheter for nye bestemmelser i straffeloven for å kunne straffeforfølge de som tjener penger på idrettsprestasjoner som følge av doping, og mulighet for inndragning.»</w:t>
      </w:r>
    </w:p>
    <w:p w14:paraId="06AC1310" w14:textId="77777777" w:rsidR="00972395" w:rsidRPr="00E73D4B" w:rsidRDefault="00F120C7" w:rsidP="00E73D4B">
      <w:r w:rsidRPr="00E73D4B">
        <w:t xml:space="preserve">Dokumenta som ligg til grunn for vedtaket, er Dokument 8:95 S (2018–2019) og </w:t>
      </w:r>
      <w:proofErr w:type="spellStart"/>
      <w:r w:rsidRPr="00E73D4B">
        <w:t>Innst</w:t>
      </w:r>
      <w:proofErr w:type="spellEnd"/>
      <w:r w:rsidRPr="00E73D4B">
        <w:t xml:space="preserve">. 48 S (2020–2021) </w:t>
      </w:r>
      <w:proofErr w:type="spellStart"/>
      <w:r w:rsidRPr="00E73D4B">
        <w:t>frå</w:t>
      </w:r>
      <w:proofErr w:type="spellEnd"/>
      <w:r w:rsidRPr="00E73D4B">
        <w:t xml:space="preserve"> justiskomiteen.</w:t>
      </w:r>
    </w:p>
    <w:p w14:paraId="1263F1AE" w14:textId="77777777" w:rsidR="00972395" w:rsidRPr="00E73D4B" w:rsidRDefault="00F120C7" w:rsidP="00E73D4B">
      <w:r w:rsidRPr="00E73D4B">
        <w:t>Vedtaket er under behandling.</w:t>
      </w:r>
    </w:p>
    <w:p w14:paraId="1F3B61C7" w14:textId="77777777" w:rsidR="00972395" w:rsidRPr="00E73D4B" w:rsidRDefault="00F120C7" w:rsidP="00E73D4B">
      <w:pPr>
        <w:pStyle w:val="avsnitt-tittel"/>
      </w:pPr>
      <w:proofErr w:type="spellStart"/>
      <w:r w:rsidRPr="00E73D4B">
        <w:t>Eigendelar</w:t>
      </w:r>
      <w:proofErr w:type="spellEnd"/>
      <w:r w:rsidRPr="00E73D4B">
        <w:t xml:space="preserve"> etter finansavtalelova</w:t>
      </w:r>
    </w:p>
    <w:p w14:paraId="4422C04C" w14:textId="77777777" w:rsidR="00972395" w:rsidRPr="00E73D4B" w:rsidRDefault="00F120C7" w:rsidP="00E73D4B">
      <w:pPr>
        <w:pStyle w:val="avsnitt-undertittel"/>
      </w:pPr>
      <w:r w:rsidRPr="00E73D4B">
        <w:t>Vedtak nr. 140, 1. desember 2020</w:t>
      </w:r>
    </w:p>
    <w:p w14:paraId="0437F583" w14:textId="77777777" w:rsidR="00972395" w:rsidRPr="00E73D4B" w:rsidRDefault="00F120C7" w:rsidP="00E73D4B">
      <w:pPr>
        <w:pStyle w:val="blokksit"/>
        <w:rPr>
          <w:rStyle w:val="kursiv"/>
        </w:rPr>
      </w:pPr>
      <w:r w:rsidRPr="00E73D4B">
        <w:rPr>
          <w:rStyle w:val="kursiv"/>
        </w:rPr>
        <w:t>«Stortinget ber regjeringen vurdere om egenandelen i finansavtaleloven § 3-20 tredje ledd bør oppjusteres for å ta hensyn til prisstigningen de siste årene og for å sørge for at beløpet gir et godt nok initiativ til at rettighetshaverne bruker sin elektroniske signatur på en forsvarlig måte. Regjeringen bes også vurdere om beløpet bør knyttes til grunnbeløpet i folketrygden slik at det automatisk justeres for prisendringer. Disse vurderingene bør også gjøres for beløpet i § 4-30 tredje ledd.»</w:t>
      </w:r>
    </w:p>
    <w:p w14:paraId="71D24428"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LS 92 (2019–2020) og </w:t>
      </w:r>
      <w:proofErr w:type="spellStart"/>
      <w:r w:rsidRPr="00E73D4B">
        <w:t>Innst</w:t>
      </w:r>
      <w:proofErr w:type="spellEnd"/>
      <w:r w:rsidRPr="00E73D4B">
        <w:t xml:space="preserve">. 104 L (2019–2020) </w:t>
      </w:r>
      <w:proofErr w:type="spellStart"/>
      <w:r w:rsidRPr="00E73D4B">
        <w:t>frå</w:t>
      </w:r>
      <w:proofErr w:type="spellEnd"/>
      <w:r w:rsidRPr="00E73D4B">
        <w:t xml:space="preserve"> justiskomiteen.</w:t>
      </w:r>
    </w:p>
    <w:p w14:paraId="2A8D9AC2" w14:textId="77777777" w:rsidR="00972395" w:rsidRPr="00E73D4B" w:rsidRDefault="00F120C7" w:rsidP="00E73D4B">
      <w:r w:rsidRPr="00E73D4B">
        <w:t xml:space="preserve">Vedtaket er </w:t>
      </w:r>
      <w:proofErr w:type="spellStart"/>
      <w:r w:rsidRPr="00E73D4B">
        <w:t>følgt</w:t>
      </w:r>
      <w:proofErr w:type="spellEnd"/>
      <w:r w:rsidRPr="00E73D4B">
        <w:t xml:space="preserve"> opp. Justis- og beredskapsdepartementet sende 20. mai 2022 på </w:t>
      </w:r>
      <w:proofErr w:type="spellStart"/>
      <w:r w:rsidRPr="00E73D4B">
        <w:t>høyring</w:t>
      </w:r>
      <w:proofErr w:type="spellEnd"/>
      <w:r w:rsidRPr="00E73D4B">
        <w:t xml:space="preserve"> </w:t>
      </w:r>
      <w:proofErr w:type="spellStart"/>
      <w:r w:rsidRPr="00E73D4B">
        <w:t>eit</w:t>
      </w:r>
      <w:proofErr w:type="spellEnd"/>
      <w:r w:rsidRPr="00E73D4B">
        <w:t xml:space="preserve"> forslag til ei ny forskrift om finansavtaler. I </w:t>
      </w:r>
      <w:proofErr w:type="spellStart"/>
      <w:r w:rsidRPr="00E73D4B">
        <w:t>høyringsnotatet</w:t>
      </w:r>
      <w:proofErr w:type="spellEnd"/>
      <w:r w:rsidRPr="00E73D4B">
        <w:t xml:space="preserve"> ba departementet også om </w:t>
      </w:r>
      <w:proofErr w:type="spellStart"/>
      <w:r w:rsidRPr="00E73D4B">
        <w:t>innspel</w:t>
      </w:r>
      <w:proofErr w:type="spellEnd"/>
      <w:r w:rsidRPr="00E73D4B">
        <w:t xml:space="preserve"> </w:t>
      </w:r>
      <w:proofErr w:type="spellStart"/>
      <w:r w:rsidRPr="00E73D4B">
        <w:t>frå</w:t>
      </w:r>
      <w:proofErr w:type="spellEnd"/>
      <w:r w:rsidRPr="00E73D4B">
        <w:t xml:space="preserve"> </w:t>
      </w:r>
      <w:proofErr w:type="spellStart"/>
      <w:r w:rsidRPr="00E73D4B">
        <w:t>høyringsinstansane</w:t>
      </w:r>
      <w:proofErr w:type="spellEnd"/>
      <w:r w:rsidRPr="00E73D4B">
        <w:t xml:space="preserve"> om forslaget i oppmodingsvedtaket. I samband med dette viste departementet til at </w:t>
      </w:r>
      <w:proofErr w:type="spellStart"/>
      <w:r w:rsidRPr="00E73D4B">
        <w:t>ein</w:t>
      </w:r>
      <w:proofErr w:type="spellEnd"/>
      <w:r w:rsidRPr="00E73D4B">
        <w:t xml:space="preserve"> eigenandel på 12 000 kroner for folk flest er </w:t>
      </w:r>
      <w:proofErr w:type="spellStart"/>
      <w:r w:rsidRPr="00E73D4B">
        <w:t>ein</w:t>
      </w:r>
      <w:proofErr w:type="spellEnd"/>
      <w:r w:rsidRPr="00E73D4B">
        <w:t xml:space="preserve"> stor sum med </w:t>
      </w:r>
      <w:proofErr w:type="spellStart"/>
      <w:r w:rsidRPr="00E73D4B">
        <w:t>pengar</w:t>
      </w:r>
      <w:proofErr w:type="spellEnd"/>
      <w:r w:rsidRPr="00E73D4B">
        <w:t xml:space="preserve">. Departementet viste også til at når </w:t>
      </w:r>
      <w:proofErr w:type="spellStart"/>
      <w:r w:rsidRPr="00E73D4B">
        <w:t>ein</w:t>
      </w:r>
      <w:proofErr w:type="spellEnd"/>
      <w:r w:rsidRPr="00E73D4B">
        <w:t xml:space="preserve"> nå innfører </w:t>
      </w:r>
      <w:proofErr w:type="spellStart"/>
      <w:r w:rsidRPr="00E73D4B">
        <w:t>lovfastsette</w:t>
      </w:r>
      <w:proofErr w:type="spellEnd"/>
      <w:r w:rsidRPr="00E73D4B">
        <w:t xml:space="preserve"> </w:t>
      </w:r>
      <w:proofErr w:type="spellStart"/>
      <w:r w:rsidRPr="00E73D4B">
        <w:t>eigenandelar</w:t>
      </w:r>
      <w:proofErr w:type="spellEnd"/>
      <w:r w:rsidRPr="00E73D4B">
        <w:t xml:space="preserve">, kan det </w:t>
      </w:r>
      <w:proofErr w:type="spellStart"/>
      <w:r w:rsidRPr="00E73D4B">
        <w:t>vere</w:t>
      </w:r>
      <w:proofErr w:type="spellEnd"/>
      <w:r w:rsidRPr="00E73D4B">
        <w:t xml:space="preserve"> </w:t>
      </w:r>
      <w:proofErr w:type="spellStart"/>
      <w:r w:rsidRPr="00E73D4B">
        <w:t>føremålstenleg</w:t>
      </w:r>
      <w:proofErr w:type="spellEnd"/>
      <w:r w:rsidRPr="00E73D4B">
        <w:t xml:space="preserve"> å sjå på verknadene av </w:t>
      </w:r>
      <w:proofErr w:type="spellStart"/>
      <w:r w:rsidRPr="00E73D4B">
        <w:t>reglane</w:t>
      </w:r>
      <w:proofErr w:type="spellEnd"/>
      <w:r w:rsidRPr="00E73D4B">
        <w:t xml:space="preserve"> i </w:t>
      </w:r>
      <w:proofErr w:type="spellStart"/>
      <w:r w:rsidRPr="00E73D4B">
        <w:t>marknaden</w:t>
      </w:r>
      <w:proofErr w:type="spellEnd"/>
      <w:r w:rsidRPr="00E73D4B">
        <w:t xml:space="preserve"> før </w:t>
      </w:r>
      <w:proofErr w:type="spellStart"/>
      <w:r w:rsidRPr="00E73D4B">
        <w:t>ein</w:t>
      </w:r>
      <w:proofErr w:type="spellEnd"/>
      <w:r w:rsidRPr="00E73D4B">
        <w:t xml:space="preserve"> eventuelt vurderer å regulere eigenandelen. Departementet </w:t>
      </w:r>
      <w:proofErr w:type="spellStart"/>
      <w:r w:rsidRPr="00E73D4B">
        <w:t>peikte</w:t>
      </w:r>
      <w:proofErr w:type="spellEnd"/>
      <w:r w:rsidRPr="00E73D4B">
        <w:t xml:space="preserve"> </w:t>
      </w:r>
      <w:proofErr w:type="spellStart"/>
      <w:r w:rsidRPr="00E73D4B">
        <w:t>dessutan</w:t>
      </w:r>
      <w:proofErr w:type="spellEnd"/>
      <w:r w:rsidRPr="00E73D4B">
        <w:t xml:space="preserve"> på at ei regulering av </w:t>
      </w:r>
      <w:proofErr w:type="spellStart"/>
      <w:r w:rsidRPr="00E73D4B">
        <w:t>eigenandelane</w:t>
      </w:r>
      <w:proofErr w:type="spellEnd"/>
      <w:r w:rsidRPr="00E73D4B">
        <w:t xml:space="preserve"> etter grunnbeløpet, slik oppmodingsvedtaket går ut på, vil komplisere </w:t>
      </w:r>
      <w:proofErr w:type="spellStart"/>
      <w:r w:rsidRPr="00E73D4B">
        <w:t>reglane</w:t>
      </w:r>
      <w:proofErr w:type="spellEnd"/>
      <w:r w:rsidRPr="00E73D4B">
        <w:t xml:space="preserve"> fordi </w:t>
      </w:r>
      <w:proofErr w:type="spellStart"/>
      <w:r w:rsidRPr="00E73D4B">
        <w:t>ein</w:t>
      </w:r>
      <w:proofErr w:type="spellEnd"/>
      <w:r w:rsidRPr="00E73D4B">
        <w:t xml:space="preserve"> da også må ha </w:t>
      </w:r>
      <w:proofErr w:type="spellStart"/>
      <w:r w:rsidRPr="00E73D4B">
        <w:t>reglar</w:t>
      </w:r>
      <w:proofErr w:type="spellEnd"/>
      <w:r w:rsidRPr="00E73D4B">
        <w:t xml:space="preserve"> om </w:t>
      </w:r>
      <w:proofErr w:type="spellStart"/>
      <w:r w:rsidRPr="00E73D4B">
        <w:t>skjeringstidspunktet</w:t>
      </w:r>
      <w:proofErr w:type="spellEnd"/>
      <w:r w:rsidRPr="00E73D4B">
        <w:t xml:space="preserve"> for kva for eigenandel som skal gjelde. Dei av </w:t>
      </w:r>
      <w:proofErr w:type="spellStart"/>
      <w:r w:rsidRPr="00E73D4B">
        <w:t>høyringsinstansane</w:t>
      </w:r>
      <w:proofErr w:type="spellEnd"/>
      <w:r w:rsidRPr="00E73D4B">
        <w:t xml:space="preserve"> som uttaler seg om forslaget, </w:t>
      </w:r>
      <w:proofErr w:type="spellStart"/>
      <w:r w:rsidRPr="00E73D4B">
        <w:t>sluttar</w:t>
      </w:r>
      <w:proofErr w:type="spellEnd"/>
      <w:r w:rsidRPr="00E73D4B">
        <w:t xml:space="preserve"> seg alle til </w:t>
      </w:r>
      <w:proofErr w:type="spellStart"/>
      <w:r w:rsidRPr="00E73D4B">
        <w:t>vurderingane</w:t>
      </w:r>
      <w:proofErr w:type="spellEnd"/>
      <w:r w:rsidRPr="00E73D4B">
        <w:t xml:space="preserve"> i </w:t>
      </w:r>
      <w:proofErr w:type="spellStart"/>
      <w:r w:rsidRPr="00E73D4B">
        <w:t>høyringsnotatet</w:t>
      </w:r>
      <w:proofErr w:type="spellEnd"/>
      <w:r w:rsidRPr="00E73D4B">
        <w:t xml:space="preserve">. Dette </w:t>
      </w:r>
      <w:proofErr w:type="spellStart"/>
      <w:r w:rsidRPr="00E73D4B">
        <w:t>gjeld</w:t>
      </w:r>
      <w:proofErr w:type="spellEnd"/>
      <w:r w:rsidRPr="00E73D4B">
        <w:t xml:space="preserve"> Finanstilsynet, </w:t>
      </w:r>
      <w:proofErr w:type="spellStart"/>
      <w:r w:rsidRPr="00E73D4B">
        <w:t>Forbrukarrådet</w:t>
      </w:r>
      <w:proofErr w:type="spellEnd"/>
      <w:r w:rsidRPr="00E73D4B">
        <w:t xml:space="preserve">, Forbrukartilsynet og </w:t>
      </w:r>
      <w:proofErr w:type="spellStart"/>
      <w:r w:rsidRPr="00E73D4B">
        <w:t>Jussbuss</w:t>
      </w:r>
      <w:proofErr w:type="spellEnd"/>
      <w:r w:rsidRPr="00E73D4B">
        <w:t xml:space="preserve">. I lys av omsyna det er vist til i </w:t>
      </w:r>
      <w:proofErr w:type="spellStart"/>
      <w:r w:rsidRPr="00E73D4B">
        <w:t>høyringsnotatet</w:t>
      </w:r>
      <w:proofErr w:type="spellEnd"/>
      <w:r w:rsidRPr="00E73D4B">
        <w:t xml:space="preserve">, og </w:t>
      </w:r>
      <w:proofErr w:type="spellStart"/>
      <w:r w:rsidRPr="00E73D4B">
        <w:t>høyringa</w:t>
      </w:r>
      <w:proofErr w:type="spellEnd"/>
      <w:r w:rsidRPr="00E73D4B">
        <w:t xml:space="preserve">, er det departementet sitt syn at eigenandelen i finansavtaleloven § 3-20 tredje ledd og § 4-30 tredje ledd for tida </w:t>
      </w:r>
      <w:proofErr w:type="spellStart"/>
      <w:r w:rsidRPr="00E73D4B">
        <w:t>ikkje</w:t>
      </w:r>
      <w:proofErr w:type="spellEnd"/>
      <w:r w:rsidRPr="00E73D4B">
        <w:t xml:space="preserve"> bør bli justert opp eller </w:t>
      </w:r>
      <w:proofErr w:type="spellStart"/>
      <w:r w:rsidRPr="00E73D4B">
        <w:t>knyttast</w:t>
      </w:r>
      <w:proofErr w:type="spellEnd"/>
      <w:r w:rsidRPr="00E73D4B">
        <w:t xml:space="preserve"> til grunnbeløpet.</w:t>
      </w:r>
    </w:p>
    <w:p w14:paraId="1576D16E" w14:textId="77777777" w:rsidR="00972395" w:rsidRPr="00E73D4B" w:rsidRDefault="00F120C7" w:rsidP="00E73D4B">
      <w:pPr>
        <w:pStyle w:val="avsnitt-tittel"/>
      </w:pPr>
      <w:proofErr w:type="spellStart"/>
      <w:r w:rsidRPr="00E73D4B">
        <w:t>Klarare</w:t>
      </w:r>
      <w:proofErr w:type="spellEnd"/>
      <w:r w:rsidRPr="00E73D4B">
        <w:t xml:space="preserve"> </w:t>
      </w:r>
      <w:proofErr w:type="spellStart"/>
      <w:r w:rsidRPr="00E73D4B">
        <w:t>skilje</w:t>
      </w:r>
      <w:proofErr w:type="spellEnd"/>
      <w:r w:rsidRPr="00E73D4B">
        <w:t xml:space="preserve"> mellom </w:t>
      </w:r>
      <w:proofErr w:type="spellStart"/>
      <w:r w:rsidRPr="00E73D4B">
        <w:t>konvensjonsstatus</w:t>
      </w:r>
      <w:proofErr w:type="spellEnd"/>
      <w:r w:rsidRPr="00E73D4B">
        <w:t xml:space="preserve"> (asyl) og subsidiært vern</w:t>
      </w:r>
    </w:p>
    <w:p w14:paraId="0A4D3158" w14:textId="77777777" w:rsidR="00972395" w:rsidRPr="00E73D4B" w:rsidRDefault="00F120C7" w:rsidP="00E73D4B">
      <w:pPr>
        <w:pStyle w:val="avsnitt-undertittel"/>
      </w:pPr>
      <w:r w:rsidRPr="00E73D4B">
        <w:t>Vedtak nr. 206, 7. desember 2020</w:t>
      </w:r>
    </w:p>
    <w:p w14:paraId="4E6AC247" w14:textId="77777777" w:rsidR="00972395" w:rsidRPr="00E73D4B" w:rsidRDefault="00F120C7" w:rsidP="00E73D4B">
      <w:pPr>
        <w:pStyle w:val="blokksit"/>
        <w:rPr>
          <w:rStyle w:val="kursiv"/>
        </w:rPr>
      </w:pPr>
      <w:r w:rsidRPr="00E73D4B">
        <w:rPr>
          <w:rStyle w:val="kursiv"/>
        </w:rPr>
        <w:t xml:space="preserve">«Stortinget ber regjeringen komme tilbake med forslag til lovendringer som innenfor rammen av internasjonale forpliktelser gir et klarere skille mellom </w:t>
      </w:r>
      <w:proofErr w:type="spellStart"/>
      <w:r w:rsidRPr="00E73D4B">
        <w:rPr>
          <w:rStyle w:val="kursiv"/>
        </w:rPr>
        <w:t>konvensjonstatus</w:t>
      </w:r>
      <w:proofErr w:type="spellEnd"/>
      <w:r w:rsidRPr="00E73D4B">
        <w:rPr>
          <w:rStyle w:val="kursiv"/>
        </w:rPr>
        <w:t xml:space="preserve"> (asyl) og subsidiær beskyttelse, gjennom å begrense retten til familiegjenforening samt utvide bruken av midlertidige tillatelser ved subsidiær beskyttelse.»</w:t>
      </w:r>
    </w:p>
    <w:p w14:paraId="70ABF84E" w14:textId="77777777" w:rsidR="00972395" w:rsidRPr="00E73D4B" w:rsidRDefault="00F120C7" w:rsidP="00E73D4B">
      <w:r w:rsidRPr="00E73D4B">
        <w:t>Dokumentet som ligg til grunn for vedtaket, er Dokument 8:71 L (2020–2021).</w:t>
      </w:r>
    </w:p>
    <w:p w14:paraId="1061B25D" w14:textId="77777777" w:rsidR="00972395" w:rsidRPr="00E73D4B" w:rsidRDefault="00F120C7" w:rsidP="00E73D4B">
      <w:r w:rsidRPr="00E73D4B">
        <w:t xml:space="preserve">Vedtaket er under behandling. Departementet vil bl.a. sjå </w:t>
      </w:r>
      <w:proofErr w:type="spellStart"/>
      <w:r w:rsidRPr="00E73D4B">
        <w:t>nærmare</w:t>
      </w:r>
      <w:proofErr w:type="spellEnd"/>
      <w:r w:rsidRPr="00E73D4B">
        <w:t xml:space="preserve"> på korleis andre land i Europa har regulert dette, og kva for </w:t>
      </w:r>
      <w:proofErr w:type="spellStart"/>
      <w:r w:rsidRPr="00E73D4B">
        <w:t>erfaringar</w:t>
      </w:r>
      <w:proofErr w:type="spellEnd"/>
      <w:r w:rsidRPr="00E73D4B">
        <w:t xml:space="preserve"> </w:t>
      </w:r>
      <w:proofErr w:type="spellStart"/>
      <w:r w:rsidRPr="00E73D4B">
        <w:t>dei</w:t>
      </w:r>
      <w:proofErr w:type="spellEnd"/>
      <w:r w:rsidRPr="00E73D4B">
        <w:t xml:space="preserve"> har gjort.</w:t>
      </w:r>
    </w:p>
    <w:p w14:paraId="0F044E2A" w14:textId="77777777" w:rsidR="00972395" w:rsidRPr="00E73D4B" w:rsidRDefault="00F120C7" w:rsidP="00E73D4B">
      <w:pPr>
        <w:pStyle w:val="avsnitt-tittel"/>
      </w:pPr>
      <w:r w:rsidRPr="00E73D4B">
        <w:t>Plan for effektiv motarbeiding av irregulær migrasjon</w:t>
      </w:r>
    </w:p>
    <w:p w14:paraId="33375376" w14:textId="77777777" w:rsidR="00972395" w:rsidRPr="00E73D4B" w:rsidRDefault="00F120C7" w:rsidP="00E73D4B">
      <w:pPr>
        <w:pStyle w:val="avsnitt-undertittel"/>
      </w:pPr>
      <w:r w:rsidRPr="00E73D4B">
        <w:t>Vedtak nr. 207, 7. desember 2020</w:t>
      </w:r>
    </w:p>
    <w:p w14:paraId="6C89A42A" w14:textId="77777777" w:rsidR="00972395" w:rsidRPr="00E73D4B" w:rsidRDefault="00F120C7" w:rsidP="00E73D4B">
      <w:pPr>
        <w:pStyle w:val="blokksit"/>
        <w:rPr>
          <w:rStyle w:val="kursiv"/>
        </w:rPr>
      </w:pPr>
      <w:r w:rsidRPr="00E73D4B">
        <w:rPr>
          <w:rStyle w:val="kursiv"/>
        </w:rPr>
        <w:t>«Stortinget ber regjeringen utarbeide en plan for hvordan Norge kan bidra til mer effektiv bekjempelse av irregulær migrasjon, herunder sørge for at dagens hjemmel for å henvise asylsøkere til trygge tredjeland utenfor EU brukes aktivt. Dette forutsetter samarbeidsavtaler med tredjeland som sikrer at asylsøkere behov for beskyttelse blir ivaretatt.»</w:t>
      </w:r>
    </w:p>
    <w:p w14:paraId="776BD857" w14:textId="77777777" w:rsidR="00972395" w:rsidRPr="00E73D4B" w:rsidRDefault="00F120C7" w:rsidP="00E73D4B">
      <w:r w:rsidRPr="00E73D4B">
        <w:t>Dokumenta som ligg til grunn for vedtaket, er Dokument 8:71 L (2020–2021) og Lovvedtak 25 (2020–2021).</w:t>
      </w:r>
    </w:p>
    <w:p w14:paraId="7F576FD2" w14:textId="77777777" w:rsidR="00972395" w:rsidRPr="00E73D4B" w:rsidRDefault="00F120C7" w:rsidP="00E73D4B">
      <w:r w:rsidRPr="00E73D4B">
        <w:t>Vedtaket er under behandling.</w:t>
      </w:r>
    </w:p>
    <w:p w14:paraId="5869D2FC" w14:textId="77777777" w:rsidR="00972395" w:rsidRPr="00E73D4B" w:rsidRDefault="00F120C7" w:rsidP="00E73D4B">
      <w:pPr>
        <w:pStyle w:val="avsnitt-tittel"/>
      </w:pPr>
      <w:r w:rsidRPr="00E73D4B">
        <w:t>Klarlegging av identitet</w:t>
      </w:r>
    </w:p>
    <w:p w14:paraId="6ECFE596" w14:textId="77777777" w:rsidR="00972395" w:rsidRPr="00E73D4B" w:rsidRDefault="00F120C7" w:rsidP="00E73D4B">
      <w:pPr>
        <w:pStyle w:val="avsnitt-undertittel"/>
      </w:pPr>
      <w:r w:rsidRPr="00E73D4B">
        <w:t>Vedtak nr. 208, 7. desember 2020</w:t>
      </w:r>
    </w:p>
    <w:p w14:paraId="38A795BE" w14:textId="77777777" w:rsidR="00972395" w:rsidRPr="00E73D4B" w:rsidRDefault="00F120C7" w:rsidP="00E73D4B">
      <w:pPr>
        <w:pStyle w:val="blokksit"/>
        <w:rPr>
          <w:rStyle w:val="kursiv"/>
        </w:rPr>
      </w:pPr>
      <w:r w:rsidRPr="00E73D4B">
        <w:rPr>
          <w:rStyle w:val="kursiv"/>
        </w:rPr>
        <w:t>«Stortinget ber regjeringen stille de samme krav til klarlegging av identitet for permanent oppholdstillatelse og familieetablering som for statsborgerskap.»</w:t>
      </w:r>
    </w:p>
    <w:p w14:paraId="10286362" w14:textId="77777777" w:rsidR="00972395" w:rsidRPr="00E73D4B" w:rsidRDefault="00F120C7" w:rsidP="00E73D4B">
      <w:r w:rsidRPr="00E73D4B">
        <w:t>Dokumentet som ligg til grunn for vedtaket, er Dokument 8:71 L (2020–2021).</w:t>
      </w:r>
    </w:p>
    <w:p w14:paraId="78795368" w14:textId="77777777" w:rsidR="00972395" w:rsidRPr="00E73D4B" w:rsidRDefault="00F120C7" w:rsidP="00E73D4B">
      <w:r w:rsidRPr="00E73D4B">
        <w:t xml:space="preserve">Vedtaket er under behandling. Vedtaket </w:t>
      </w:r>
      <w:proofErr w:type="spellStart"/>
      <w:r w:rsidRPr="00E73D4B">
        <w:t>inneber</w:t>
      </w:r>
      <w:proofErr w:type="spellEnd"/>
      <w:r w:rsidRPr="00E73D4B">
        <w:t xml:space="preserve"> at </w:t>
      </w:r>
      <w:proofErr w:type="spellStart"/>
      <w:r w:rsidRPr="00E73D4B">
        <w:t>søkaren</w:t>
      </w:r>
      <w:proofErr w:type="spellEnd"/>
      <w:r w:rsidRPr="00E73D4B">
        <w:t xml:space="preserve"> som </w:t>
      </w:r>
      <w:proofErr w:type="spellStart"/>
      <w:r w:rsidRPr="00E73D4B">
        <w:t>hovudregel</w:t>
      </w:r>
      <w:proofErr w:type="spellEnd"/>
      <w:r w:rsidRPr="00E73D4B">
        <w:t xml:space="preserve"> må </w:t>
      </w:r>
      <w:proofErr w:type="spellStart"/>
      <w:r w:rsidRPr="00E73D4B">
        <w:t>leggje</w:t>
      </w:r>
      <w:proofErr w:type="spellEnd"/>
      <w:r w:rsidRPr="00E73D4B">
        <w:t xml:space="preserve"> fram originalt pass eller </w:t>
      </w:r>
      <w:proofErr w:type="spellStart"/>
      <w:r w:rsidRPr="00E73D4B">
        <w:t>eit</w:t>
      </w:r>
      <w:proofErr w:type="spellEnd"/>
      <w:r w:rsidRPr="00E73D4B">
        <w:t xml:space="preserve"> anna identitetsdokument med </w:t>
      </w:r>
      <w:proofErr w:type="spellStart"/>
      <w:r w:rsidRPr="00E73D4B">
        <w:t>tilstrekkeleg</w:t>
      </w:r>
      <w:proofErr w:type="spellEnd"/>
      <w:r w:rsidRPr="00E73D4B">
        <w:t xml:space="preserve"> </w:t>
      </w:r>
      <w:proofErr w:type="spellStart"/>
      <w:r w:rsidRPr="00E73D4B">
        <w:t>notoritet</w:t>
      </w:r>
      <w:proofErr w:type="spellEnd"/>
      <w:r w:rsidRPr="00E73D4B">
        <w:t xml:space="preserve">. Dette krev </w:t>
      </w:r>
      <w:proofErr w:type="spellStart"/>
      <w:r w:rsidRPr="00E73D4B">
        <w:t>truleg</w:t>
      </w:r>
      <w:proofErr w:type="spellEnd"/>
      <w:r w:rsidRPr="00E73D4B">
        <w:t xml:space="preserve"> lovendring. Departementet er i gang med å greie ut </w:t>
      </w:r>
      <w:proofErr w:type="spellStart"/>
      <w:r w:rsidRPr="00E73D4B">
        <w:t>konsekvensane</w:t>
      </w:r>
      <w:proofErr w:type="spellEnd"/>
      <w:r w:rsidRPr="00E73D4B">
        <w:t xml:space="preserve">, med sikte på </w:t>
      </w:r>
      <w:proofErr w:type="spellStart"/>
      <w:r w:rsidRPr="00E73D4B">
        <w:t>høyring</w:t>
      </w:r>
      <w:proofErr w:type="spellEnd"/>
      <w:r w:rsidRPr="00E73D4B">
        <w:t xml:space="preserve"> i 2023.</w:t>
      </w:r>
    </w:p>
    <w:p w14:paraId="6181AE72" w14:textId="77777777" w:rsidR="00972395" w:rsidRPr="00E73D4B" w:rsidRDefault="00F120C7" w:rsidP="00E73D4B">
      <w:pPr>
        <w:pStyle w:val="avsnitt-tittel"/>
      </w:pPr>
      <w:r w:rsidRPr="00E73D4B">
        <w:t>Skjerping av underhaldskravet</w:t>
      </w:r>
    </w:p>
    <w:p w14:paraId="470E3A62" w14:textId="77777777" w:rsidR="00972395" w:rsidRPr="00E73D4B" w:rsidRDefault="00F120C7" w:rsidP="00E73D4B">
      <w:pPr>
        <w:pStyle w:val="avsnitt-undertittel"/>
      </w:pPr>
      <w:r w:rsidRPr="00E73D4B">
        <w:t>Vedtak nr. 209, 7. desember 2020</w:t>
      </w:r>
    </w:p>
    <w:p w14:paraId="07E29BD2" w14:textId="77777777" w:rsidR="00972395" w:rsidRPr="00E73D4B" w:rsidRDefault="00F120C7" w:rsidP="00E73D4B">
      <w:pPr>
        <w:pStyle w:val="blokksit"/>
        <w:rPr>
          <w:rStyle w:val="kursiv"/>
        </w:rPr>
      </w:pPr>
      <w:r w:rsidRPr="00E73D4B">
        <w:rPr>
          <w:rStyle w:val="kursiv"/>
        </w:rPr>
        <w:t>«Stortinget ber regjeringen legge frem forslag til endringer i forskrift som sikrer selvforsørgelse gjennom en skjerping av underholdkravet samt vurdere mulig skjerping av bestemmelsen om tilknytningskravet i familieetableringssaker.»</w:t>
      </w:r>
    </w:p>
    <w:p w14:paraId="1B806F14" w14:textId="77777777" w:rsidR="00972395" w:rsidRPr="00E73D4B" w:rsidRDefault="00F120C7" w:rsidP="00E73D4B">
      <w:r w:rsidRPr="00E73D4B">
        <w:t>Dokumentet som ligg til grunn for vedtaket, er Dokument 8:71 L (2020–2021).</w:t>
      </w:r>
    </w:p>
    <w:p w14:paraId="2932170D" w14:textId="77777777" w:rsidR="00972395" w:rsidRPr="00E73D4B" w:rsidRDefault="00F120C7" w:rsidP="00E73D4B">
      <w:r w:rsidRPr="00E73D4B">
        <w:t xml:space="preserve">Vedtaket er </w:t>
      </w:r>
      <w:proofErr w:type="spellStart"/>
      <w:r w:rsidRPr="00E73D4B">
        <w:t>følgt</w:t>
      </w:r>
      <w:proofErr w:type="spellEnd"/>
      <w:r w:rsidRPr="00E73D4B">
        <w:t xml:space="preserve"> opp gjennom forskriftsendring 28. juni 2021, ved at stønad etter integreringslova </w:t>
      </w:r>
      <w:proofErr w:type="spellStart"/>
      <w:r w:rsidRPr="00E73D4B">
        <w:t>ikkje</w:t>
      </w:r>
      <w:proofErr w:type="spellEnd"/>
      <w:r w:rsidRPr="00E73D4B">
        <w:t xml:space="preserve"> lenger kan </w:t>
      </w:r>
      <w:proofErr w:type="spellStart"/>
      <w:r w:rsidRPr="00E73D4B">
        <w:t>reknast</w:t>
      </w:r>
      <w:proofErr w:type="spellEnd"/>
      <w:r w:rsidRPr="00E73D4B">
        <w:t xml:space="preserve"> med som registrert inntekt ved </w:t>
      </w:r>
      <w:proofErr w:type="spellStart"/>
      <w:r w:rsidRPr="00E73D4B">
        <w:t>vurderinga</w:t>
      </w:r>
      <w:proofErr w:type="spellEnd"/>
      <w:r w:rsidRPr="00E73D4B">
        <w:t xml:space="preserve"> av om underhaldskravet er oppfylt.</w:t>
      </w:r>
    </w:p>
    <w:p w14:paraId="01AB1DD3" w14:textId="77777777" w:rsidR="00972395" w:rsidRPr="00E73D4B" w:rsidRDefault="00F120C7" w:rsidP="00E73D4B">
      <w:pPr>
        <w:pStyle w:val="avsnitt-tittel"/>
      </w:pPr>
      <w:proofErr w:type="spellStart"/>
      <w:r w:rsidRPr="00E73D4B">
        <w:t>Høgare</w:t>
      </w:r>
      <w:proofErr w:type="spellEnd"/>
      <w:r w:rsidRPr="00E73D4B">
        <w:t xml:space="preserve"> straff for barn som </w:t>
      </w:r>
      <w:proofErr w:type="spellStart"/>
      <w:r w:rsidRPr="00E73D4B">
        <w:t>gjer</w:t>
      </w:r>
      <w:proofErr w:type="spellEnd"/>
      <w:r w:rsidRPr="00E73D4B">
        <w:t xml:space="preserve"> gjenteken kriminalitet</w:t>
      </w:r>
    </w:p>
    <w:p w14:paraId="1CA3E1CD" w14:textId="77777777" w:rsidR="00972395" w:rsidRPr="00E73D4B" w:rsidRDefault="00F120C7" w:rsidP="00E73D4B">
      <w:pPr>
        <w:pStyle w:val="avsnitt-undertittel"/>
      </w:pPr>
      <w:r w:rsidRPr="00E73D4B">
        <w:t>Vedtak nr. 443, 18. desember 2020</w:t>
      </w:r>
    </w:p>
    <w:p w14:paraId="561A2727" w14:textId="77777777" w:rsidR="00972395" w:rsidRPr="00E73D4B" w:rsidRDefault="00F120C7" w:rsidP="00E73D4B">
      <w:pPr>
        <w:pStyle w:val="blokksit"/>
        <w:rPr>
          <w:rStyle w:val="kursiv"/>
        </w:rPr>
      </w:pPr>
      <w:r w:rsidRPr="00E73D4B">
        <w:rPr>
          <w:rStyle w:val="kursiv"/>
        </w:rPr>
        <w:t>«Stortinget ber regjeringen utrede om man i særlige tilfeller kan åpne for forhøyet straff ved nytt lovbrudd av samme art også for kriminelle gjengangere under 18 år.»</w:t>
      </w:r>
    </w:p>
    <w:p w14:paraId="445CDE0E" w14:textId="77777777" w:rsidR="00972395" w:rsidRPr="00E73D4B" w:rsidRDefault="00F120C7" w:rsidP="00E73D4B">
      <w:r w:rsidRPr="00E73D4B">
        <w:t xml:space="preserve">Dokumenta som ligg til grunn for vedtaket, er Dokument 8:115 S (2019–2020) og </w:t>
      </w:r>
      <w:proofErr w:type="spellStart"/>
      <w:r w:rsidRPr="00E73D4B">
        <w:t>Innst</w:t>
      </w:r>
      <w:proofErr w:type="spellEnd"/>
      <w:r w:rsidRPr="00E73D4B">
        <w:t xml:space="preserve">. 147 S (2020–2021) </w:t>
      </w:r>
      <w:proofErr w:type="spellStart"/>
      <w:r w:rsidRPr="00E73D4B">
        <w:t>frå</w:t>
      </w:r>
      <w:proofErr w:type="spellEnd"/>
      <w:r w:rsidRPr="00E73D4B">
        <w:t xml:space="preserve"> justiskomiteen.</w:t>
      </w:r>
    </w:p>
    <w:p w14:paraId="39BFA597" w14:textId="77777777" w:rsidR="00972395" w:rsidRPr="00E73D4B" w:rsidRDefault="00F120C7" w:rsidP="00E73D4B">
      <w:r w:rsidRPr="00E73D4B">
        <w:t>Vedtaket er under behandling.</w:t>
      </w:r>
    </w:p>
    <w:p w14:paraId="084057EB" w14:textId="77777777" w:rsidR="00972395" w:rsidRPr="00E73D4B" w:rsidRDefault="00F120C7" w:rsidP="00E73D4B">
      <w:pPr>
        <w:pStyle w:val="avsnitt-tittel"/>
      </w:pPr>
      <w:r w:rsidRPr="00E73D4B">
        <w:t xml:space="preserve">Tiltak for å </w:t>
      </w:r>
      <w:proofErr w:type="spellStart"/>
      <w:r w:rsidRPr="00E73D4B">
        <w:t>auke</w:t>
      </w:r>
      <w:proofErr w:type="spellEnd"/>
      <w:r w:rsidRPr="00E73D4B">
        <w:t xml:space="preserve"> </w:t>
      </w:r>
      <w:proofErr w:type="spellStart"/>
      <w:r w:rsidRPr="00E73D4B">
        <w:t>talet</w:t>
      </w:r>
      <w:proofErr w:type="spellEnd"/>
      <w:r w:rsidRPr="00E73D4B">
        <w:t xml:space="preserve"> på </w:t>
      </w:r>
      <w:proofErr w:type="spellStart"/>
      <w:r w:rsidRPr="00E73D4B">
        <w:t>inndragingar</w:t>
      </w:r>
      <w:proofErr w:type="spellEnd"/>
    </w:p>
    <w:p w14:paraId="27797F7B" w14:textId="77777777" w:rsidR="00972395" w:rsidRPr="00E73D4B" w:rsidRDefault="00F120C7" w:rsidP="00E73D4B">
      <w:pPr>
        <w:pStyle w:val="avsnitt-undertittel"/>
      </w:pPr>
      <w:r w:rsidRPr="00E73D4B">
        <w:t>Vedtak nr. 446, 18. desember 2020</w:t>
      </w:r>
    </w:p>
    <w:p w14:paraId="7B1C527E" w14:textId="77777777" w:rsidR="00972395" w:rsidRPr="00E73D4B" w:rsidRDefault="00F120C7" w:rsidP="00E73D4B">
      <w:pPr>
        <w:pStyle w:val="blokksit"/>
        <w:rPr>
          <w:rStyle w:val="kursiv"/>
        </w:rPr>
      </w:pPr>
      <w:r w:rsidRPr="00E73D4B">
        <w:rPr>
          <w:rStyle w:val="kursiv"/>
        </w:rPr>
        <w:t>«Stortinget ber regjeringen i inneværende stortingsperiode legge fram tiltak og forslag til lovendringer for å øke omfanget av antallet inndragninger og gjøre det enklere for politiet å inndra verdier som er tilegnet gjennom kriminelle handlinger, både gjennom sivilrettslig inndragning og i straffesaker.»</w:t>
      </w:r>
    </w:p>
    <w:p w14:paraId="0895B08D" w14:textId="77777777" w:rsidR="00972395" w:rsidRPr="00E73D4B" w:rsidRDefault="00F120C7" w:rsidP="00E73D4B">
      <w:r w:rsidRPr="00E73D4B">
        <w:t xml:space="preserve">Dokumenta som ligg til grunn for vedtaket, er Dokument 8:115 S (2019–2020) og </w:t>
      </w:r>
      <w:proofErr w:type="spellStart"/>
      <w:r w:rsidRPr="00E73D4B">
        <w:t>Innst</w:t>
      </w:r>
      <w:proofErr w:type="spellEnd"/>
      <w:r w:rsidRPr="00E73D4B">
        <w:t xml:space="preserve">. 147 S (2020–2021) </w:t>
      </w:r>
      <w:proofErr w:type="spellStart"/>
      <w:r w:rsidRPr="00E73D4B">
        <w:t>frå</w:t>
      </w:r>
      <w:proofErr w:type="spellEnd"/>
      <w:r w:rsidRPr="00E73D4B">
        <w:t xml:space="preserve"> justiskomiteen.</w:t>
      </w:r>
    </w:p>
    <w:p w14:paraId="71A2BF9A" w14:textId="77777777" w:rsidR="00972395" w:rsidRPr="00E73D4B" w:rsidRDefault="00F120C7" w:rsidP="00E73D4B">
      <w:r w:rsidRPr="00E73D4B">
        <w:t xml:space="preserve">Vedtaket er under behandling. Regjeringa Solberg fremma 24. september 2021 ei </w:t>
      </w:r>
      <w:proofErr w:type="spellStart"/>
      <w:r w:rsidRPr="00E73D4B">
        <w:t>rekkje</w:t>
      </w:r>
      <w:proofErr w:type="spellEnd"/>
      <w:r w:rsidRPr="00E73D4B">
        <w:t xml:space="preserve"> forslag til </w:t>
      </w:r>
      <w:proofErr w:type="spellStart"/>
      <w:r w:rsidRPr="00E73D4B">
        <w:t>endringar</w:t>
      </w:r>
      <w:proofErr w:type="spellEnd"/>
      <w:r w:rsidRPr="00E73D4B">
        <w:t xml:space="preserve"> som bidrar til </w:t>
      </w:r>
      <w:proofErr w:type="spellStart"/>
      <w:r w:rsidRPr="00E73D4B">
        <w:t>eit</w:t>
      </w:r>
      <w:proofErr w:type="spellEnd"/>
      <w:r w:rsidRPr="00E73D4B">
        <w:t xml:space="preserve"> </w:t>
      </w:r>
      <w:proofErr w:type="spellStart"/>
      <w:r w:rsidRPr="00E73D4B">
        <w:t>meir</w:t>
      </w:r>
      <w:proofErr w:type="spellEnd"/>
      <w:r w:rsidRPr="00E73D4B">
        <w:t xml:space="preserve"> effektivt og pedagogisk regelverk om </w:t>
      </w:r>
      <w:proofErr w:type="spellStart"/>
      <w:r w:rsidRPr="00E73D4B">
        <w:t>inndraging</w:t>
      </w:r>
      <w:proofErr w:type="spellEnd"/>
      <w:r w:rsidRPr="00E73D4B">
        <w:t xml:space="preserve">, sjå </w:t>
      </w:r>
      <w:proofErr w:type="spellStart"/>
      <w:r w:rsidRPr="00E73D4B">
        <w:t>Prop</w:t>
      </w:r>
      <w:proofErr w:type="spellEnd"/>
      <w:r w:rsidRPr="00E73D4B">
        <w:t xml:space="preserve">. 241 L (2020–2021). Forslaga i </w:t>
      </w:r>
      <w:proofErr w:type="spellStart"/>
      <w:r w:rsidRPr="00E73D4B">
        <w:t>Prop</w:t>
      </w:r>
      <w:proofErr w:type="spellEnd"/>
      <w:r w:rsidRPr="00E73D4B">
        <w:t xml:space="preserve">. 241 L (2020–2021) vart </w:t>
      </w:r>
      <w:proofErr w:type="spellStart"/>
      <w:r w:rsidRPr="00E73D4B">
        <w:t>vedtekne</w:t>
      </w:r>
      <w:proofErr w:type="spellEnd"/>
      <w:r w:rsidRPr="00E73D4B">
        <w:t xml:space="preserve"> av Stortinget i april 2022, jf. lov 8. april 2022 nr. 22, og tredde i kraft 1. juli 2022. Forslaga følgjer opp </w:t>
      </w:r>
      <w:proofErr w:type="spellStart"/>
      <w:r w:rsidRPr="00E73D4B">
        <w:t>delar</w:t>
      </w:r>
      <w:proofErr w:type="spellEnd"/>
      <w:r w:rsidRPr="00E73D4B">
        <w:t xml:space="preserve"> av Straffelovrådet si utgreiing NOU 2020: 10, men </w:t>
      </w:r>
      <w:proofErr w:type="spellStart"/>
      <w:r w:rsidRPr="00E73D4B">
        <w:t>fleire</w:t>
      </w:r>
      <w:proofErr w:type="spellEnd"/>
      <w:r w:rsidRPr="00E73D4B">
        <w:t xml:space="preserve"> av forslaga i utgreiinga har det </w:t>
      </w:r>
      <w:proofErr w:type="spellStart"/>
      <w:r w:rsidRPr="00E73D4B">
        <w:t>ikkje</w:t>
      </w:r>
      <w:proofErr w:type="spellEnd"/>
      <w:r w:rsidRPr="00E73D4B">
        <w:t xml:space="preserve"> </w:t>
      </w:r>
      <w:proofErr w:type="spellStart"/>
      <w:r w:rsidRPr="00E73D4B">
        <w:t>vore</w:t>
      </w:r>
      <w:proofErr w:type="spellEnd"/>
      <w:r w:rsidRPr="00E73D4B">
        <w:t xml:space="preserve"> </w:t>
      </w:r>
      <w:proofErr w:type="spellStart"/>
      <w:r w:rsidRPr="00E73D4B">
        <w:t>mogleg</w:t>
      </w:r>
      <w:proofErr w:type="spellEnd"/>
      <w:r w:rsidRPr="00E73D4B">
        <w:t xml:space="preserve"> å </w:t>
      </w:r>
      <w:proofErr w:type="spellStart"/>
      <w:r w:rsidRPr="00E73D4B">
        <w:t>følgje</w:t>
      </w:r>
      <w:proofErr w:type="spellEnd"/>
      <w:r w:rsidRPr="00E73D4B">
        <w:t xml:space="preserve"> opp no. Årsaka er at </w:t>
      </w:r>
      <w:proofErr w:type="spellStart"/>
      <w:r w:rsidRPr="00E73D4B">
        <w:t>fleire</w:t>
      </w:r>
      <w:proofErr w:type="spellEnd"/>
      <w:r w:rsidRPr="00E73D4B">
        <w:t xml:space="preserve"> av forslaga har nær </w:t>
      </w:r>
      <w:proofErr w:type="spellStart"/>
      <w:r w:rsidRPr="00E73D4B">
        <w:t>samanheng</w:t>
      </w:r>
      <w:proofErr w:type="spellEnd"/>
      <w:r w:rsidRPr="00E73D4B">
        <w:t xml:space="preserve"> med ei tilleggsutgreiing som Straffelovrådet leverte 25. mai 2021, med </w:t>
      </w:r>
      <w:proofErr w:type="spellStart"/>
      <w:r w:rsidRPr="00E73D4B">
        <w:t>høyringsfrist</w:t>
      </w:r>
      <w:proofErr w:type="spellEnd"/>
      <w:r w:rsidRPr="00E73D4B">
        <w:t xml:space="preserve"> 25. oktober 2021. Regjeringa må derfor </w:t>
      </w:r>
      <w:proofErr w:type="spellStart"/>
      <w:r w:rsidRPr="00E73D4B">
        <w:t>følgje</w:t>
      </w:r>
      <w:proofErr w:type="spellEnd"/>
      <w:r w:rsidRPr="00E73D4B">
        <w:t xml:space="preserve"> opp </w:t>
      </w:r>
      <w:proofErr w:type="spellStart"/>
      <w:r w:rsidRPr="00E73D4B">
        <w:t>desse</w:t>
      </w:r>
      <w:proofErr w:type="spellEnd"/>
      <w:r w:rsidRPr="00E73D4B">
        <w:t xml:space="preserve"> forslaga i </w:t>
      </w:r>
      <w:proofErr w:type="spellStart"/>
      <w:r w:rsidRPr="00E73D4B">
        <w:t>ein</w:t>
      </w:r>
      <w:proofErr w:type="spellEnd"/>
      <w:r w:rsidRPr="00E73D4B">
        <w:t xml:space="preserve"> eigen lovproposisjon på </w:t>
      </w:r>
      <w:proofErr w:type="spellStart"/>
      <w:r w:rsidRPr="00E73D4B">
        <w:t>eit</w:t>
      </w:r>
      <w:proofErr w:type="spellEnd"/>
      <w:r w:rsidRPr="00E73D4B">
        <w:t xml:space="preserve"> </w:t>
      </w:r>
      <w:proofErr w:type="spellStart"/>
      <w:r w:rsidRPr="00E73D4B">
        <w:t>seinare</w:t>
      </w:r>
      <w:proofErr w:type="spellEnd"/>
      <w:r w:rsidRPr="00E73D4B">
        <w:t xml:space="preserve"> tidspunkt. Sjå </w:t>
      </w:r>
      <w:proofErr w:type="spellStart"/>
      <w:r w:rsidRPr="00E73D4B">
        <w:t>Prop</w:t>
      </w:r>
      <w:proofErr w:type="spellEnd"/>
      <w:r w:rsidRPr="00E73D4B">
        <w:t xml:space="preserve">. 241 L (2020–2021) kap. 2 og 3 for </w:t>
      </w:r>
      <w:proofErr w:type="spellStart"/>
      <w:r w:rsidRPr="00E73D4B">
        <w:t>nærmare</w:t>
      </w:r>
      <w:proofErr w:type="spellEnd"/>
      <w:r w:rsidRPr="00E73D4B">
        <w:t xml:space="preserve"> </w:t>
      </w:r>
      <w:proofErr w:type="spellStart"/>
      <w:r w:rsidRPr="00E73D4B">
        <w:t>detaljar</w:t>
      </w:r>
      <w:proofErr w:type="spellEnd"/>
      <w:r w:rsidRPr="00E73D4B">
        <w:t xml:space="preserve"> om det </w:t>
      </w:r>
      <w:proofErr w:type="spellStart"/>
      <w:r w:rsidRPr="00E73D4B">
        <w:t>vidare</w:t>
      </w:r>
      <w:proofErr w:type="spellEnd"/>
      <w:r w:rsidRPr="00E73D4B">
        <w:t xml:space="preserve"> arbeidet.</w:t>
      </w:r>
    </w:p>
    <w:p w14:paraId="0B9D617F" w14:textId="77777777" w:rsidR="00972395" w:rsidRPr="00E73D4B" w:rsidRDefault="00F120C7" w:rsidP="00E73D4B">
      <w:pPr>
        <w:pStyle w:val="avsnitt-tittel"/>
      </w:pPr>
      <w:r w:rsidRPr="00E73D4B">
        <w:t xml:space="preserve">Besøks- og </w:t>
      </w:r>
      <w:proofErr w:type="spellStart"/>
      <w:r w:rsidRPr="00E73D4B">
        <w:t>opphaldsforbod</w:t>
      </w:r>
      <w:proofErr w:type="spellEnd"/>
    </w:p>
    <w:p w14:paraId="2FB20401" w14:textId="77777777" w:rsidR="00972395" w:rsidRPr="00E73D4B" w:rsidRDefault="00F120C7" w:rsidP="00E73D4B">
      <w:pPr>
        <w:pStyle w:val="avsnitt-undertittel"/>
      </w:pPr>
      <w:r w:rsidRPr="00E73D4B">
        <w:t>Vedtak nr. 447, 18. desember 2020</w:t>
      </w:r>
    </w:p>
    <w:p w14:paraId="5B505D0C" w14:textId="77777777" w:rsidR="00972395" w:rsidRPr="00E73D4B" w:rsidRDefault="00F120C7" w:rsidP="00E73D4B">
      <w:pPr>
        <w:pStyle w:val="blokksit"/>
        <w:rPr>
          <w:rStyle w:val="kursiv"/>
        </w:rPr>
      </w:pPr>
      <w:r w:rsidRPr="00E73D4B">
        <w:rPr>
          <w:rStyle w:val="kursiv"/>
        </w:rPr>
        <w:t xml:space="preserve">«Stortinget ber regjeringen foreslå å endre straffeprosesslovens bestemmelser om besøks- og </w:t>
      </w:r>
      <w:proofErr w:type="spellStart"/>
      <w:r w:rsidRPr="00E73D4B">
        <w:rPr>
          <w:rStyle w:val="kursiv"/>
        </w:rPr>
        <w:t>oppholdsforbud</w:t>
      </w:r>
      <w:proofErr w:type="spellEnd"/>
      <w:r w:rsidRPr="00E73D4B">
        <w:rPr>
          <w:rStyle w:val="kursiv"/>
        </w:rPr>
        <w:t>, slik at de som begår kriminalitet i bestemte områder, kan nektes å oppholde seg i en større omkrets og i et betydelig tidsrom, samt vurdere bruk av elektronisk kontroll for å håndheve dette.»</w:t>
      </w:r>
    </w:p>
    <w:p w14:paraId="350E8886" w14:textId="77777777" w:rsidR="00972395" w:rsidRPr="00E73D4B" w:rsidRDefault="00F120C7" w:rsidP="00E73D4B">
      <w:r w:rsidRPr="00E73D4B">
        <w:t xml:space="preserve">Dokumenta som ligg til grunn for vedtaket, er Dokument 8:115 S (2019–2020) og </w:t>
      </w:r>
      <w:proofErr w:type="spellStart"/>
      <w:r w:rsidRPr="00E73D4B">
        <w:t>Innst</w:t>
      </w:r>
      <w:proofErr w:type="spellEnd"/>
      <w:r w:rsidRPr="00E73D4B">
        <w:t xml:space="preserve">. 147 S (2020–2021) </w:t>
      </w:r>
      <w:proofErr w:type="spellStart"/>
      <w:r w:rsidRPr="00E73D4B">
        <w:t>frå</w:t>
      </w:r>
      <w:proofErr w:type="spellEnd"/>
      <w:r w:rsidRPr="00E73D4B">
        <w:t xml:space="preserve"> justiskomiteen.</w:t>
      </w:r>
    </w:p>
    <w:p w14:paraId="09985D7E" w14:textId="77777777" w:rsidR="00972395" w:rsidRPr="00E73D4B" w:rsidRDefault="00F120C7" w:rsidP="00E73D4B">
      <w:r w:rsidRPr="00E73D4B">
        <w:t xml:space="preserve">Vedtaket er under behandling. Departementet har vurdert behovet for </w:t>
      </w:r>
      <w:proofErr w:type="spellStart"/>
      <w:r w:rsidRPr="00E73D4B">
        <w:t>lovendringar</w:t>
      </w:r>
      <w:proofErr w:type="spellEnd"/>
      <w:r w:rsidRPr="00E73D4B">
        <w:t xml:space="preserve"> og sendt forslag på </w:t>
      </w:r>
      <w:proofErr w:type="spellStart"/>
      <w:r w:rsidRPr="00E73D4B">
        <w:t>høyring</w:t>
      </w:r>
      <w:proofErr w:type="spellEnd"/>
      <w:r w:rsidRPr="00E73D4B">
        <w:t xml:space="preserve"> 6. september 2021 om </w:t>
      </w:r>
      <w:proofErr w:type="spellStart"/>
      <w:r w:rsidRPr="00E73D4B">
        <w:t>endringar</w:t>
      </w:r>
      <w:proofErr w:type="spellEnd"/>
      <w:r w:rsidRPr="00E73D4B">
        <w:t xml:space="preserve"> i straffeprosesslova og straffelova. I </w:t>
      </w:r>
      <w:proofErr w:type="spellStart"/>
      <w:r w:rsidRPr="00E73D4B">
        <w:t>høyringsnotatet</w:t>
      </w:r>
      <w:proofErr w:type="spellEnd"/>
      <w:r w:rsidRPr="00E73D4B">
        <w:t xml:space="preserve"> er det foreslått at påtalemakta skal kunne </w:t>
      </w:r>
      <w:proofErr w:type="spellStart"/>
      <w:r w:rsidRPr="00E73D4B">
        <w:t>påleggje</w:t>
      </w:r>
      <w:proofErr w:type="spellEnd"/>
      <w:r w:rsidRPr="00E73D4B">
        <w:t xml:space="preserve"> elektronisk kontroll (</w:t>
      </w:r>
      <w:proofErr w:type="spellStart"/>
      <w:r w:rsidRPr="00E73D4B">
        <w:t>såkalla</w:t>
      </w:r>
      <w:proofErr w:type="spellEnd"/>
      <w:r w:rsidRPr="00E73D4B">
        <w:t xml:space="preserve"> omvend </w:t>
      </w:r>
      <w:proofErr w:type="spellStart"/>
      <w:r w:rsidRPr="00E73D4B">
        <w:t>valdsalarm</w:t>
      </w:r>
      <w:proofErr w:type="spellEnd"/>
      <w:r w:rsidRPr="00E73D4B">
        <w:t xml:space="preserve">) ved </w:t>
      </w:r>
      <w:proofErr w:type="spellStart"/>
      <w:r w:rsidRPr="00E73D4B">
        <w:t>brot</w:t>
      </w:r>
      <w:proofErr w:type="spellEnd"/>
      <w:r w:rsidRPr="00E73D4B">
        <w:t xml:space="preserve"> på </w:t>
      </w:r>
      <w:proofErr w:type="spellStart"/>
      <w:r w:rsidRPr="00E73D4B">
        <w:t>besøksforbod</w:t>
      </w:r>
      <w:proofErr w:type="spellEnd"/>
      <w:r w:rsidRPr="00E73D4B">
        <w:t xml:space="preserve">. Det er òg vurdert visse andre </w:t>
      </w:r>
      <w:proofErr w:type="spellStart"/>
      <w:r w:rsidRPr="00E73D4B">
        <w:t>justeringar</w:t>
      </w:r>
      <w:proofErr w:type="spellEnd"/>
      <w:r w:rsidRPr="00E73D4B">
        <w:t xml:space="preserve"> i </w:t>
      </w:r>
      <w:proofErr w:type="spellStart"/>
      <w:r w:rsidRPr="00E73D4B">
        <w:t>reglane</w:t>
      </w:r>
      <w:proofErr w:type="spellEnd"/>
      <w:r w:rsidRPr="00E73D4B">
        <w:t xml:space="preserve"> for både </w:t>
      </w:r>
      <w:proofErr w:type="spellStart"/>
      <w:r w:rsidRPr="00E73D4B">
        <w:t>besøksforbod</w:t>
      </w:r>
      <w:proofErr w:type="spellEnd"/>
      <w:r w:rsidRPr="00E73D4B">
        <w:t xml:space="preserve"> etter straffeprosesslova og </w:t>
      </w:r>
      <w:proofErr w:type="spellStart"/>
      <w:r w:rsidRPr="00E73D4B">
        <w:t>kontaktforbod</w:t>
      </w:r>
      <w:proofErr w:type="spellEnd"/>
      <w:r w:rsidRPr="00E73D4B">
        <w:t xml:space="preserve"> etter straffelova. Sjå òg omtale av vedtak nr. 630 og 631, 25. april 2017, vedtak nr. 1043, 20. juni 2017 i tillegg til vedtak nr. 583, 30. mai 2022.</w:t>
      </w:r>
    </w:p>
    <w:p w14:paraId="354751F6" w14:textId="77777777" w:rsidR="00972395" w:rsidRPr="00E73D4B" w:rsidRDefault="00F120C7" w:rsidP="00E73D4B">
      <w:pPr>
        <w:pStyle w:val="avsnitt-tittel"/>
      </w:pPr>
      <w:r w:rsidRPr="00E73D4B">
        <w:t xml:space="preserve">Straff for å la </w:t>
      </w:r>
      <w:proofErr w:type="spellStart"/>
      <w:r w:rsidRPr="00E73D4B">
        <w:t>verdiane</w:t>
      </w:r>
      <w:proofErr w:type="spellEnd"/>
      <w:r w:rsidRPr="00E73D4B">
        <w:t xml:space="preserve"> til gjengkriminelle stå i eige </w:t>
      </w:r>
      <w:proofErr w:type="spellStart"/>
      <w:r w:rsidRPr="00E73D4B">
        <w:t>namn</w:t>
      </w:r>
      <w:proofErr w:type="spellEnd"/>
    </w:p>
    <w:p w14:paraId="0C202423" w14:textId="77777777" w:rsidR="00972395" w:rsidRPr="00E73D4B" w:rsidRDefault="00F120C7" w:rsidP="00E73D4B">
      <w:pPr>
        <w:pStyle w:val="avsnitt-undertittel"/>
      </w:pPr>
      <w:r w:rsidRPr="00E73D4B">
        <w:t>Vedtak nr. 452, 18. desember 2020</w:t>
      </w:r>
    </w:p>
    <w:p w14:paraId="4816F70E" w14:textId="77777777" w:rsidR="00972395" w:rsidRPr="00E73D4B" w:rsidRDefault="00F120C7" w:rsidP="00E73D4B">
      <w:pPr>
        <w:pStyle w:val="blokksit"/>
        <w:rPr>
          <w:rStyle w:val="kursiv"/>
        </w:rPr>
      </w:pPr>
      <w:r w:rsidRPr="00E73D4B">
        <w:rPr>
          <w:rStyle w:val="kursiv"/>
        </w:rPr>
        <w:t>«Stortinget ber regjeringen fremme forslag om tillegg til straffelovens bestemmelser om inndragning av økonomisk utbytte, slik at det innføres aktsomhetsplikt med straffansvar for dem som lar gjengkriminelles verdier, biler, leiligheter m.m. stå i sitt navn.»</w:t>
      </w:r>
    </w:p>
    <w:p w14:paraId="3410B199" w14:textId="77777777" w:rsidR="00972395" w:rsidRPr="00E73D4B" w:rsidRDefault="00F120C7" w:rsidP="00E73D4B">
      <w:r w:rsidRPr="00E73D4B">
        <w:t xml:space="preserve">Dokumenta som ligg til grunn for vedtaket, er Dokument 8:115 S (2019–2020) og </w:t>
      </w:r>
      <w:proofErr w:type="spellStart"/>
      <w:r w:rsidRPr="00E73D4B">
        <w:t>Innst</w:t>
      </w:r>
      <w:proofErr w:type="spellEnd"/>
      <w:r w:rsidRPr="00E73D4B">
        <w:t xml:space="preserve">. 147 S (2020–2021) </w:t>
      </w:r>
      <w:proofErr w:type="spellStart"/>
      <w:r w:rsidRPr="00E73D4B">
        <w:t>frå</w:t>
      </w:r>
      <w:proofErr w:type="spellEnd"/>
      <w:r w:rsidRPr="00E73D4B">
        <w:t xml:space="preserve"> justiskomiteen.</w:t>
      </w:r>
    </w:p>
    <w:p w14:paraId="7F7A086E" w14:textId="77777777" w:rsidR="00972395" w:rsidRPr="00E73D4B" w:rsidRDefault="00F120C7" w:rsidP="00E73D4B">
      <w:r w:rsidRPr="00E73D4B">
        <w:t xml:space="preserve">Vedtaket er </w:t>
      </w:r>
      <w:proofErr w:type="spellStart"/>
      <w:r w:rsidRPr="00E73D4B">
        <w:t>følgt</w:t>
      </w:r>
      <w:proofErr w:type="spellEnd"/>
      <w:r w:rsidRPr="00E73D4B">
        <w:t xml:space="preserve"> opp. Straffelovrådet </w:t>
      </w:r>
      <w:proofErr w:type="spellStart"/>
      <w:r w:rsidRPr="00E73D4B">
        <w:t>fekk</w:t>
      </w:r>
      <w:proofErr w:type="spellEnd"/>
      <w:r w:rsidRPr="00E73D4B">
        <w:t xml:space="preserve"> i oppdrag å undersøke behovet for </w:t>
      </w:r>
      <w:proofErr w:type="spellStart"/>
      <w:r w:rsidRPr="00E73D4B">
        <w:t>ein</w:t>
      </w:r>
      <w:proofErr w:type="spellEnd"/>
      <w:r w:rsidRPr="00E73D4B">
        <w:t xml:space="preserve"> slik regel og å gi forslag til korleis han ev. kan bli utforma. Frist for oppdraget var 1. november 2021. Straffelovrådet </w:t>
      </w:r>
      <w:proofErr w:type="spellStart"/>
      <w:r w:rsidRPr="00E73D4B">
        <w:t>påpeikar</w:t>
      </w:r>
      <w:proofErr w:type="spellEnd"/>
      <w:r w:rsidRPr="00E73D4B">
        <w:t xml:space="preserve"> at straffelova § 337 første ledd bokstav a om kvitvasking </w:t>
      </w:r>
      <w:proofErr w:type="spellStart"/>
      <w:r w:rsidRPr="00E73D4B">
        <w:t>rammar</w:t>
      </w:r>
      <w:proofErr w:type="spellEnd"/>
      <w:r w:rsidRPr="00E73D4B">
        <w:t xml:space="preserve"> bistand til å sikre </w:t>
      </w:r>
      <w:proofErr w:type="spellStart"/>
      <w:r w:rsidRPr="00E73D4B">
        <w:t>utbyte</w:t>
      </w:r>
      <w:proofErr w:type="spellEnd"/>
      <w:r w:rsidRPr="00E73D4B">
        <w:t xml:space="preserve"> av ei straffbar handling for </w:t>
      </w:r>
      <w:proofErr w:type="spellStart"/>
      <w:r w:rsidRPr="00E73D4B">
        <w:t>ein</w:t>
      </w:r>
      <w:proofErr w:type="spellEnd"/>
      <w:r w:rsidRPr="00E73D4B">
        <w:t xml:space="preserve"> </w:t>
      </w:r>
      <w:proofErr w:type="spellStart"/>
      <w:r w:rsidRPr="00E73D4B">
        <w:t>annan</w:t>
      </w:r>
      <w:proofErr w:type="spellEnd"/>
      <w:r w:rsidRPr="00E73D4B">
        <w:t xml:space="preserve">. Det å ta vare på </w:t>
      </w:r>
      <w:proofErr w:type="spellStart"/>
      <w:r w:rsidRPr="00E73D4B">
        <w:t>utbyte</w:t>
      </w:r>
      <w:proofErr w:type="spellEnd"/>
      <w:r w:rsidRPr="00E73D4B">
        <w:t xml:space="preserve"> for </w:t>
      </w:r>
      <w:proofErr w:type="spellStart"/>
      <w:r w:rsidRPr="00E73D4B">
        <w:t>ein</w:t>
      </w:r>
      <w:proofErr w:type="spellEnd"/>
      <w:r w:rsidRPr="00E73D4B">
        <w:t xml:space="preserve"> </w:t>
      </w:r>
      <w:proofErr w:type="spellStart"/>
      <w:r w:rsidRPr="00E73D4B">
        <w:t>annan</w:t>
      </w:r>
      <w:proofErr w:type="spellEnd"/>
      <w:r w:rsidRPr="00E73D4B">
        <w:t xml:space="preserve"> eller å la slikt </w:t>
      </w:r>
      <w:proofErr w:type="spellStart"/>
      <w:r w:rsidRPr="00E73D4B">
        <w:t>utbyte</w:t>
      </w:r>
      <w:proofErr w:type="spellEnd"/>
      <w:r w:rsidRPr="00E73D4B">
        <w:t xml:space="preserve"> stå i eige </w:t>
      </w:r>
      <w:proofErr w:type="spellStart"/>
      <w:r w:rsidRPr="00E73D4B">
        <w:t>namn</w:t>
      </w:r>
      <w:proofErr w:type="spellEnd"/>
      <w:r w:rsidRPr="00E73D4B">
        <w:t xml:space="preserve"> framfor </w:t>
      </w:r>
      <w:proofErr w:type="spellStart"/>
      <w:r w:rsidRPr="00E73D4B">
        <w:t>namnet</w:t>
      </w:r>
      <w:proofErr w:type="spellEnd"/>
      <w:r w:rsidRPr="00E73D4B">
        <w:t xml:space="preserve"> til </w:t>
      </w:r>
      <w:proofErr w:type="spellStart"/>
      <w:r w:rsidRPr="00E73D4B">
        <w:t>lovbrytaren</w:t>
      </w:r>
      <w:proofErr w:type="spellEnd"/>
      <w:r w:rsidRPr="00E73D4B">
        <w:t xml:space="preserve"> er altså </w:t>
      </w:r>
      <w:proofErr w:type="spellStart"/>
      <w:r w:rsidRPr="00E73D4B">
        <w:t>allereie</w:t>
      </w:r>
      <w:proofErr w:type="spellEnd"/>
      <w:r w:rsidRPr="00E73D4B">
        <w:t xml:space="preserve"> ramma av </w:t>
      </w:r>
      <w:proofErr w:type="spellStart"/>
      <w:r w:rsidRPr="00E73D4B">
        <w:t>straffelovgivinga</w:t>
      </w:r>
      <w:proofErr w:type="spellEnd"/>
      <w:r w:rsidRPr="00E73D4B">
        <w:t xml:space="preserve">, med simpel </w:t>
      </w:r>
      <w:proofErr w:type="spellStart"/>
      <w:r w:rsidRPr="00E73D4B">
        <w:t>aktløyse</w:t>
      </w:r>
      <w:proofErr w:type="spellEnd"/>
      <w:r w:rsidRPr="00E73D4B">
        <w:t xml:space="preserve"> som </w:t>
      </w:r>
      <w:proofErr w:type="spellStart"/>
      <w:r w:rsidRPr="00E73D4B">
        <w:t>skuldkrav</w:t>
      </w:r>
      <w:proofErr w:type="spellEnd"/>
      <w:r w:rsidRPr="00E73D4B">
        <w:t xml:space="preserve">, jf. straffelova § 340. Dette </w:t>
      </w:r>
      <w:proofErr w:type="spellStart"/>
      <w:r w:rsidRPr="00E73D4B">
        <w:t>utgjer</w:t>
      </w:r>
      <w:proofErr w:type="spellEnd"/>
      <w:r w:rsidRPr="00E73D4B">
        <w:t xml:space="preserve"> nettopp ei slik plikt til å vise </w:t>
      </w:r>
      <w:proofErr w:type="spellStart"/>
      <w:r w:rsidRPr="00E73D4B">
        <w:t>aktsemd</w:t>
      </w:r>
      <w:proofErr w:type="spellEnd"/>
      <w:r w:rsidRPr="00E73D4B">
        <w:t xml:space="preserve"> med straffeansvar som </w:t>
      </w:r>
      <w:proofErr w:type="spellStart"/>
      <w:r w:rsidRPr="00E73D4B">
        <w:t>oppmodningsvedtaket</w:t>
      </w:r>
      <w:proofErr w:type="spellEnd"/>
      <w:r w:rsidRPr="00E73D4B">
        <w:t xml:space="preserve"> spør etter. Plikta til å vise </w:t>
      </w:r>
      <w:proofErr w:type="spellStart"/>
      <w:r w:rsidRPr="00E73D4B">
        <w:t>aktsemd</w:t>
      </w:r>
      <w:proofErr w:type="spellEnd"/>
      <w:r w:rsidRPr="00E73D4B">
        <w:t xml:space="preserve"> gjeld generelt – også ved gjengtilknyting.</w:t>
      </w:r>
    </w:p>
    <w:p w14:paraId="07A2599A" w14:textId="77777777" w:rsidR="00972395" w:rsidRPr="00E73D4B" w:rsidRDefault="00F120C7" w:rsidP="00E73D4B">
      <w:pPr>
        <w:pStyle w:val="avsnitt-tittel"/>
      </w:pPr>
      <w:r w:rsidRPr="00E73D4B">
        <w:t>Fornyingsordning for barneomsorgsattest</w:t>
      </w:r>
    </w:p>
    <w:p w14:paraId="7A542350" w14:textId="77777777" w:rsidR="00972395" w:rsidRPr="00E73D4B" w:rsidRDefault="00F120C7" w:rsidP="00E73D4B">
      <w:pPr>
        <w:pStyle w:val="avsnitt-undertittel"/>
      </w:pPr>
      <w:r w:rsidRPr="00E73D4B">
        <w:t>Vedtak nr. 627, 18. februar 2021</w:t>
      </w:r>
    </w:p>
    <w:p w14:paraId="08DBA103" w14:textId="77777777" w:rsidR="00972395" w:rsidRPr="00E73D4B" w:rsidRDefault="00F120C7" w:rsidP="00E73D4B">
      <w:pPr>
        <w:pStyle w:val="blokksit"/>
        <w:rPr>
          <w:rStyle w:val="kursiv"/>
        </w:rPr>
      </w:pPr>
      <w:r w:rsidRPr="00E73D4B">
        <w:rPr>
          <w:rStyle w:val="kursiv"/>
        </w:rPr>
        <w:t>«Stortinget ber regjeringen komme tilbake til Stortinget med en sak om å gjeninnføre en fornyelsesordning for barneomsorgsattest.»</w:t>
      </w:r>
    </w:p>
    <w:p w14:paraId="6CBCA7C2" w14:textId="77777777" w:rsidR="00972395" w:rsidRPr="00E73D4B" w:rsidRDefault="00F120C7" w:rsidP="00E73D4B">
      <w:r w:rsidRPr="00E73D4B">
        <w:t xml:space="preserve">Dokumenta som ligg til grunn for vedtaket, er Dokument 8:136 (2019–2020) og </w:t>
      </w:r>
      <w:proofErr w:type="spellStart"/>
      <w:r w:rsidRPr="00E73D4B">
        <w:t>Innst</w:t>
      </w:r>
      <w:proofErr w:type="spellEnd"/>
      <w:r w:rsidRPr="00E73D4B">
        <w:t xml:space="preserve">. 210 S (2020–2021) </w:t>
      </w:r>
      <w:proofErr w:type="spellStart"/>
      <w:r w:rsidRPr="00E73D4B">
        <w:t>frå</w:t>
      </w:r>
      <w:proofErr w:type="spellEnd"/>
      <w:r w:rsidRPr="00E73D4B">
        <w:t xml:space="preserve"> justiskomiteen.</w:t>
      </w:r>
    </w:p>
    <w:p w14:paraId="1C7CBC1C" w14:textId="77777777" w:rsidR="00972395" w:rsidRPr="00E73D4B" w:rsidRDefault="00F120C7" w:rsidP="00E73D4B">
      <w:r w:rsidRPr="00E73D4B">
        <w:t xml:space="preserve">Vedtaket er under behandling. Departementet vurderer behovet for </w:t>
      </w:r>
      <w:proofErr w:type="spellStart"/>
      <w:r w:rsidRPr="00E73D4B">
        <w:t>regelendringar</w:t>
      </w:r>
      <w:proofErr w:type="spellEnd"/>
      <w:r w:rsidRPr="00E73D4B">
        <w:t xml:space="preserve"> og eventuelle andre tiltak.</w:t>
      </w:r>
    </w:p>
    <w:p w14:paraId="784930BF" w14:textId="77777777" w:rsidR="00972395" w:rsidRPr="00E73D4B" w:rsidRDefault="00F120C7" w:rsidP="00E73D4B">
      <w:pPr>
        <w:pStyle w:val="avsnitt-tittel"/>
      </w:pPr>
      <w:r w:rsidRPr="00E73D4B">
        <w:t>Gjennomgang av barneomsorgsattestordninga</w:t>
      </w:r>
    </w:p>
    <w:p w14:paraId="2AE00088" w14:textId="77777777" w:rsidR="00972395" w:rsidRPr="00E73D4B" w:rsidRDefault="00F120C7" w:rsidP="00E73D4B">
      <w:pPr>
        <w:pStyle w:val="avsnitt-undertittel"/>
      </w:pPr>
      <w:r w:rsidRPr="00E73D4B">
        <w:t>Vedtak nr. 628, 18. februar 2021</w:t>
      </w:r>
    </w:p>
    <w:p w14:paraId="6E811FAB" w14:textId="77777777" w:rsidR="00972395" w:rsidRPr="00E73D4B" w:rsidRDefault="00F120C7" w:rsidP="00E73D4B">
      <w:pPr>
        <w:pStyle w:val="blokksit"/>
        <w:rPr>
          <w:rStyle w:val="kursiv"/>
        </w:rPr>
      </w:pPr>
      <w:r w:rsidRPr="00E73D4B">
        <w:rPr>
          <w:rStyle w:val="kursiv"/>
        </w:rPr>
        <w:t>«Stortinget ber regjeringen foreta en gjennomgang av barneomsorgsattestordningen, som også innbefatter en utredning av digitale forenklingsmuligheter, en vurdering av muligheten for informasjonsdeling av gjeldende lovbrudd i andre land og en vurdering av om straffeloven § 272 og § 273 skal være en del av politiattesten.»</w:t>
      </w:r>
    </w:p>
    <w:p w14:paraId="6AA8E126" w14:textId="77777777" w:rsidR="00972395" w:rsidRPr="00E73D4B" w:rsidRDefault="00F120C7" w:rsidP="00E73D4B">
      <w:r w:rsidRPr="00E73D4B">
        <w:t xml:space="preserve">Dokumenta som ligg til grunn for vedtaket, er Dokument 8:136 (2019–2020) og </w:t>
      </w:r>
      <w:proofErr w:type="spellStart"/>
      <w:r w:rsidRPr="00E73D4B">
        <w:t>Innst</w:t>
      </w:r>
      <w:proofErr w:type="spellEnd"/>
      <w:r w:rsidRPr="00E73D4B">
        <w:t xml:space="preserve">. 210 S (2020–2021) </w:t>
      </w:r>
      <w:proofErr w:type="spellStart"/>
      <w:r w:rsidRPr="00E73D4B">
        <w:t>frå</w:t>
      </w:r>
      <w:proofErr w:type="spellEnd"/>
      <w:r w:rsidRPr="00E73D4B">
        <w:t xml:space="preserve"> justiskomiteen.</w:t>
      </w:r>
    </w:p>
    <w:p w14:paraId="6BD25CB9" w14:textId="77777777" w:rsidR="00972395" w:rsidRPr="00E73D4B" w:rsidRDefault="00F120C7" w:rsidP="00E73D4B">
      <w:r w:rsidRPr="00E73D4B">
        <w:t xml:space="preserve">Vedtaket er under behandling. Departementet vurderer behovet for </w:t>
      </w:r>
      <w:proofErr w:type="spellStart"/>
      <w:r w:rsidRPr="00E73D4B">
        <w:t>regelendringar</w:t>
      </w:r>
      <w:proofErr w:type="spellEnd"/>
      <w:r w:rsidRPr="00E73D4B">
        <w:t xml:space="preserve"> og eventuelle andre tiltak.</w:t>
      </w:r>
    </w:p>
    <w:p w14:paraId="003C10F5" w14:textId="77777777" w:rsidR="00972395" w:rsidRPr="00E73D4B" w:rsidRDefault="00F120C7" w:rsidP="00E73D4B">
      <w:pPr>
        <w:pStyle w:val="avsnitt-tittel"/>
      </w:pPr>
      <w:r w:rsidRPr="00E73D4B">
        <w:t xml:space="preserve">Ny </w:t>
      </w:r>
      <w:proofErr w:type="spellStart"/>
      <w:r w:rsidRPr="00E73D4B">
        <w:t>politihøgskule</w:t>
      </w:r>
      <w:proofErr w:type="spellEnd"/>
    </w:p>
    <w:p w14:paraId="1B634246" w14:textId="77777777" w:rsidR="00972395" w:rsidRPr="00E73D4B" w:rsidRDefault="00F120C7" w:rsidP="00E73D4B">
      <w:pPr>
        <w:pStyle w:val="avsnitt-undertittel"/>
      </w:pPr>
      <w:r w:rsidRPr="00E73D4B">
        <w:t>Vedtak nr. 676, 25. februar 2021</w:t>
      </w:r>
    </w:p>
    <w:p w14:paraId="49F244E8" w14:textId="77777777" w:rsidR="00972395" w:rsidRPr="00E73D4B" w:rsidRDefault="00F120C7" w:rsidP="00E73D4B">
      <w:pPr>
        <w:pStyle w:val="blokksit"/>
        <w:rPr>
          <w:rStyle w:val="kursiv"/>
        </w:rPr>
      </w:pPr>
      <w:r w:rsidRPr="00E73D4B">
        <w:rPr>
          <w:rStyle w:val="kursiv"/>
        </w:rPr>
        <w:t>«Stortinget ber regjeringen igangsette planleggingen av ny politihøgskole og komme tilbake til Stortinget på en egnet måte.»</w:t>
      </w:r>
    </w:p>
    <w:p w14:paraId="6E4A5976" w14:textId="77777777" w:rsidR="00972395" w:rsidRPr="00E73D4B" w:rsidRDefault="00F120C7" w:rsidP="00E73D4B">
      <w:r w:rsidRPr="00E73D4B">
        <w:t xml:space="preserve">Dokumenta som ligg til grunn for vedtaket, er Meld. St. 29. (2019–2020) og </w:t>
      </w:r>
      <w:proofErr w:type="spellStart"/>
      <w:r w:rsidRPr="00E73D4B">
        <w:t>Innst</w:t>
      </w:r>
      <w:proofErr w:type="spellEnd"/>
      <w:r w:rsidRPr="00E73D4B">
        <w:t xml:space="preserve">. 248 S (2020–2021) </w:t>
      </w:r>
      <w:proofErr w:type="spellStart"/>
      <w:r w:rsidRPr="00E73D4B">
        <w:t>frå</w:t>
      </w:r>
      <w:proofErr w:type="spellEnd"/>
      <w:r w:rsidRPr="00E73D4B">
        <w:t xml:space="preserve"> justiskomiteen.</w:t>
      </w:r>
    </w:p>
    <w:p w14:paraId="3556F443" w14:textId="77777777" w:rsidR="00972395" w:rsidRPr="00E73D4B" w:rsidRDefault="00F120C7" w:rsidP="00E73D4B">
      <w:r w:rsidRPr="00E73D4B">
        <w:t xml:space="preserve">Vedtaket er oppheva, jf. </w:t>
      </w:r>
      <w:proofErr w:type="spellStart"/>
      <w:r w:rsidRPr="00E73D4B">
        <w:t>Prop</w:t>
      </w:r>
      <w:proofErr w:type="spellEnd"/>
      <w:r w:rsidRPr="00E73D4B">
        <w:t xml:space="preserve">. 115 S (2021–2022) og </w:t>
      </w:r>
      <w:proofErr w:type="spellStart"/>
      <w:r w:rsidRPr="00E73D4B">
        <w:t>Innst</w:t>
      </w:r>
      <w:proofErr w:type="spellEnd"/>
      <w:r w:rsidRPr="00E73D4B">
        <w:t xml:space="preserve">. 450 S (2021–2022) </w:t>
      </w:r>
      <w:proofErr w:type="spellStart"/>
      <w:r w:rsidRPr="00E73D4B">
        <w:t>frå</w:t>
      </w:r>
      <w:proofErr w:type="spellEnd"/>
      <w:r w:rsidRPr="00E73D4B">
        <w:t xml:space="preserve"> finanskomiteen. Handlingsrommet i budsjetta framover er forventa å bli </w:t>
      </w:r>
      <w:proofErr w:type="spellStart"/>
      <w:r w:rsidRPr="00E73D4B">
        <w:t>vesentleg</w:t>
      </w:r>
      <w:proofErr w:type="spellEnd"/>
      <w:r w:rsidRPr="00E73D4B">
        <w:t xml:space="preserve"> redusert, </w:t>
      </w:r>
      <w:proofErr w:type="spellStart"/>
      <w:r w:rsidRPr="00E73D4B">
        <w:t>samanlikna</w:t>
      </w:r>
      <w:proofErr w:type="spellEnd"/>
      <w:r w:rsidRPr="00E73D4B">
        <w:t xml:space="preserve"> med kva </w:t>
      </w:r>
      <w:proofErr w:type="spellStart"/>
      <w:r w:rsidRPr="00E73D4B">
        <w:t>ein</w:t>
      </w:r>
      <w:proofErr w:type="spellEnd"/>
      <w:r w:rsidRPr="00E73D4B">
        <w:t xml:space="preserve"> er blitt vant til. Regjeringa har varsla at </w:t>
      </w:r>
      <w:proofErr w:type="spellStart"/>
      <w:r w:rsidRPr="00E73D4B">
        <w:t>fleire</w:t>
      </w:r>
      <w:proofErr w:type="spellEnd"/>
      <w:r w:rsidRPr="00E73D4B">
        <w:t xml:space="preserve"> store, </w:t>
      </w:r>
      <w:proofErr w:type="spellStart"/>
      <w:r w:rsidRPr="00E73D4B">
        <w:t>offentlege</w:t>
      </w:r>
      <w:proofErr w:type="spellEnd"/>
      <w:r w:rsidRPr="00E73D4B">
        <w:t xml:space="preserve"> </w:t>
      </w:r>
      <w:proofErr w:type="spellStart"/>
      <w:r w:rsidRPr="00E73D4B">
        <w:t>byggjeprosjekt</w:t>
      </w:r>
      <w:proofErr w:type="spellEnd"/>
      <w:r w:rsidRPr="00E73D4B">
        <w:t xml:space="preserve"> må </w:t>
      </w:r>
      <w:proofErr w:type="spellStart"/>
      <w:r w:rsidRPr="00E73D4B">
        <w:t>reduserast</w:t>
      </w:r>
      <w:proofErr w:type="spellEnd"/>
      <w:r w:rsidRPr="00E73D4B">
        <w:t xml:space="preserve"> i omfang eller </w:t>
      </w:r>
      <w:proofErr w:type="spellStart"/>
      <w:r w:rsidRPr="00E73D4B">
        <w:t>utsetjast</w:t>
      </w:r>
      <w:proofErr w:type="spellEnd"/>
      <w:r w:rsidRPr="00E73D4B">
        <w:t xml:space="preserve">. Det er samstundes nødvendig å prioritere andre </w:t>
      </w:r>
      <w:proofErr w:type="spellStart"/>
      <w:r w:rsidRPr="00E73D4B">
        <w:t>byggjeprosjekt</w:t>
      </w:r>
      <w:proofErr w:type="spellEnd"/>
      <w:r w:rsidRPr="00E73D4B">
        <w:t xml:space="preserve"> i justissektoren framover framfor ny </w:t>
      </w:r>
      <w:proofErr w:type="spellStart"/>
      <w:r w:rsidRPr="00E73D4B">
        <w:t>politihøgskule</w:t>
      </w:r>
      <w:proofErr w:type="spellEnd"/>
      <w:r w:rsidRPr="00E73D4B">
        <w:t>.</w:t>
      </w:r>
    </w:p>
    <w:p w14:paraId="63E5737F" w14:textId="77777777" w:rsidR="00972395" w:rsidRPr="00E73D4B" w:rsidRDefault="00F120C7" w:rsidP="00E73D4B">
      <w:pPr>
        <w:pStyle w:val="avsnitt-tittel"/>
      </w:pPr>
      <w:proofErr w:type="spellStart"/>
      <w:r w:rsidRPr="00E73D4B">
        <w:t>Gjenopning</w:t>
      </w:r>
      <w:proofErr w:type="spellEnd"/>
      <w:r w:rsidRPr="00E73D4B">
        <w:t xml:space="preserve"> av </w:t>
      </w:r>
      <w:proofErr w:type="spellStart"/>
      <w:r w:rsidRPr="00E73D4B">
        <w:t>arrestar</w:t>
      </w:r>
      <w:proofErr w:type="spellEnd"/>
    </w:p>
    <w:p w14:paraId="748CC213" w14:textId="77777777" w:rsidR="00972395" w:rsidRPr="00E73D4B" w:rsidRDefault="00F120C7" w:rsidP="00E73D4B">
      <w:pPr>
        <w:pStyle w:val="avsnitt-undertittel"/>
      </w:pPr>
      <w:r w:rsidRPr="00E73D4B">
        <w:t>Vedtak nr. 680, 25. februar 2021</w:t>
      </w:r>
    </w:p>
    <w:p w14:paraId="56FE452B" w14:textId="77777777" w:rsidR="00972395" w:rsidRPr="00E73D4B" w:rsidRDefault="00F120C7" w:rsidP="00E73D4B">
      <w:pPr>
        <w:pStyle w:val="blokksit"/>
        <w:rPr>
          <w:rStyle w:val="kursiv"/>
        </w:rPr>
      </w:pPr>
      <w:r w:rsidRPr="00E73D4B">
        <w:rPr>
          <w:rStyle w:val="kursiv"/>
        </w:rPr>
        <w:t>«Stortinget ber regjeringen gjenåpne de arrester der nedleggelser under politireformen har ført til at politiet i dag bruker uforholdsmessig mye tid på transport av fanger.»</w:t>
      </w:r>
    </w:p>
    <w:p w14:paraId="73B05C9B" w14:textId="77777777" w:rsidR="00972395" w:rsidRPr="00E73D4B" w:rsidRDefault="00F120C7" w:rsidP="00E73D4B">
      <w:r w:rsidRPr="00E73D4B">
        <w:t xml:space="preserve">Dokumenta som ligg til grunn for vedtaket, er Meld. St. 29. (2019–2020) og </w:t>
      </w:r>
      <w:proofErr w:type="spellStart"/>
      <w:r w:rsidRPr="00E73D4B">
        <w:t>Innst</w:t>
      </w:r>
      <w:proofErr w:type="spellEnd"/>
      <w:r w:rsidRPr="00E73D4B">
        <w:t xml:space="preserve">. 248 S (2020–2021) </w:t>
      </w:r>
      <w:proofErr w:type="spellStart"/>
      <w:r w:rsidRPr="00E73D4B">
        <w:t>frå</w:t>
      </w:r>
      <w:proofErr w:type="spellEnd"/>
      <w:r w:rsidRPr="00E73D4B">
        <w:t xml:space="preserve"> justiskomiteen. jf. òg Meld. St. 4 (2021–2022) og </w:t>
      </w:r>
      <w:proofErr w:type="spellStart"/>
      <w:r w:rsidRPr="00E73D4B">
        <w:t>Innst</w:t>
      </w:r>
      <w:proofErr w:type="spellEnd"/>
      <w:r w:rsidRPr="00E73D4B">
        <w:t>. 141 S (2021–2022).</w:t>
      </w:r>
    </w:p>
    <w:p w14:paraId="4FDDAC48" w14:textId="77777777" w:rsidR="00972395" w:rsidRPr="00E73D4B" w:rsidRDefault="00F120C7" w:rsidP="00E73D4B">
      <w:r w:rsidRPr="00E73D4B">
        <w:t xml:space="preserve">Vedtaket er </w:t>
      </w:r>
      <w:proofErr w:type="spellStart"/>
      <w:r w:rsidRPr="00E73D4B">
        <w:t>følgt</w:t>
      </w:r>
      <w:proofErr w:type="spellEnd"/>
      <w:r w:rsidRPr="00E73D4B">
        <w:t xml:space="preserve"> opp. Politidirektoratet har </w:t>
      </w:r>
      <w:proofErr w:type="spellStart"/>
      <w:r w:rsidRPr="00E73D4B">
        <w:t>ikkje</w:t>
      </w:r>
      <w:proofErr w:type="spellEnd"/>
      <w:r w:rsidRPr="00E73D4B">
        <w:t xml:space="preserve"> </w:t>
      </w:r>
      <w:proofErr w:type="spellStart"/>
      <w:r w:rsidRPr="00E73D4B">
        <w:t>gjenopna</w:t>
      </w:r>
      <w:proofErr w:type="spellEnd"/>
      <w:r w:rsidRPr="00E73D4B">
        <w:t xml:space="preserve"> </w:t>
      </w:r>
      <w:proofErr w:type="spellStart"/>
      <w:r w:rsidRPr="00E73D4B">
        <w:t>arrestar</w:t>
      </w:r>
      <w:proofErr w:type="spellEnd"/>
      <w:r w:rsidRPr="00E73D4B">
        <w:t xml:space="preserve"> som vart fasa ut i samband med </w:t>
      </w:r>
      <w:proofErr w:type="spellStart"/>
      <w:r w:rsidRPr="00E73D4B">
        <w:t>politireforma</w:t>
      </w:r>
      <w:proofErr w:type="spellEnd"/>
      <w:r w:rsidRPr="00E73D4B">
        <w:t xml:space="preserve">, og vurderer at politiet </w:t>
      </w:r>
      <w:proofErr w:type="spellStart"/>
      <w:r w:rsidRPr="00E73D4B">
        <w:t>ikkje</w:t>
      </w:r>
      <w:proofErr w:type="spellEnd"/>
      <w:r w:rsidRPr="00E73D4B">
        <w:t xml:space="preserve"> </w:t>
      </w:r>
      <w:proofErr w:type="spellStart"/>
      <w:r w:rsidRPr="00E73D4B">
        <w:t>nyttar</w:t>
      </w:r>
      <w:proofErr w:type="spellEnd"/>
      <w:r w:rsidRPr="00E73D4B">
        <w:t xml:space="preserve"> uforholdsmessig </w:t>
      </w:r>
      <w:proofErr w:type="spellStart"/>
      <w:r w:rsidRPr="00E73D4B">
        <w:t>mykje</w:t>
      </w:r>
      <w:proofErr w:type="spellEnd"/>
      <w:r w:rsidRPr="00E73D4B">
        <w:t xml:space="preserve"> tid på transport av innsette. Det er politimeistrane sitt ansvar å nytte </w:t>
      </w:r>
      <w:proofErr w:type="spellStart"/>
      <w:r w:rsidRPr="00E73D4B">
        <w:t>ressursane</w:t>
      </w:r>
      <w:proofErr w:type="spellEnd"/>
      <w:r w:rsidRPr="00E73D4B">
        <w:t xml:space="preserve"> på best </w:t>
      </w:r>
      <w:proofErr w:type="spellStart"/>
      <w:r w:rsidRPr="00E73D4B">
        <w:t>mogleg</w:t>
      </w:r>
      <w:proofErr w:type="spellEnd"/>
      <w:r w:rsidRPr="00E73D4B">
        <w:t xml:space="preserve"> måte. Bruken av </w:t>
      </w:r>
      <w:proofErr w:type="spellStart"/>
      <w:r w:rsidRPr="00E73D4B">
        <w:t>ressursane</w:t>
      </w:r>
      <w:proofErr w:type="spellEnd"/>
      <w:r w:rsidRPr="00E73D4B">
        <w:t xml:space="preserve"> skjer etter ei </w:t>
      </w:r>
      <w:proofErr w:type="spellStart"/>
      <w:r w:rsidRPr="00E73D4B">
        <w:t>heilskapleg</w:t>
      </w:r>
      <w:proofErr w:type="spellEnd"/>
      <w:r w:rsidRPr="00E73D4B">
        <w:t xml:space="preserve"> vurdering der mange omsyn og forhold blir omhandla. Å drifte </w:t>
      </w:r>
      <w:proofErr w:type="spellStart"/>
      <w:r w:rsidRPr="00E73D4B">
        <w:t>ein</w:t>
      </w:r>
      <w:proofErr w:type="spellEnd"/>
      <w:r w:rsidRPr="00E73D4B">
        <w:t xml:space="preserve"> politiarrest krev like stor bemanning som </w:t>
      </w:r>
      <w:proofErr w:type="spellStart"/>
      <w:r w:rsidRPr="00E73D4B">
        <w:t>døgnkontinuerleg</w:t>
      </w:r>
      <w:proofErr w:type="spellEnd"/>
      <w:r w:rsidRPr="00E73D4B">
        <w:t xml:space="preserve"> drift av </w:t>
      </w:r>
      <w:proofErr w:type="spellStart"/>
      <w:r w:rsidRPr="00E73D4B">
        <w:t>éin</w:t>
      </w:r>
      <w:proofErr w:type="spellEnd"/>
      <w:r w:rsidRPr="00E73D4B">
        <w:t xml:space="preserve"> heil politipatrulje. I samband med større </w:t>
      </w:r>
      <w:proofErr w:type="spellStart"/>
      <w:r w:rsidRPr="00E73D4B">
        <w:t>hendingar</w:t>
      </w:r>
      <w:proofErr w:type="spellEnd"/>
      <w:r w:rsidRPr="00E73D4B">
        <w:t xml:space="preserve"> eller arrangement kan gamle, lokale </w:t>
      </w:r>
      <w:proofErr w:type="spellStart"/>
      <w:r w:rsidRPr="00E73D4B">
        <w:t>arrestar</w:t>
      </w:r>
      <w:proofErr w:type="spellEnd"/>
      <w:r w:rsidRPr="00E73D4B">
        <w:t xml:space="preserve"> </w:t>
      </w:r>
      <w:proofErr w:type="spellStart"/>
      <w:r w:rsidRPr="00E73D4B">
        <w:t>opnast</w:t>
      </w:r>
      <w:proofErr w:type="spellEnd"/>
      <w:r w:rsidRPr="00E73D4B">
        <w:t xml:space="preserve"> mellombels i inntil fire </w:t>
      </w:r>
      <w:proofErr w:type="spellStart"/>
      <w:r w:rsidRPr="00E73D4B">
        <w:t>timar</w:t>
      </w:r>
      <w:proofErr w:type="spellEnd"/>
      <w:r w:rsidRPr="00E73D4B">
        <w:t xml:space="preserve"> ved behov.</w:t>
      </w:r>
    </w:p>
    <w:p w14:paraId="0627174F" w14:textId="77777777" w:rsidR="00972395" w:rsidRPr="00E73D4B" w:rsidRDefault="00F120C7" w:rsidP="00E73D4B">
      <w:pPr>
        <w:pStyle w:val="avsnitt-tittel"/>
      </w:pPr>
      <w:r w:rsidRPr="00E73D4B">
        <w:t>Nasjonalt våpenregister</w:t>
      </w:r>
    </w:p>
    <w:p w14:paraId="24B5DA50" w14:textId="77777777" w:rsidR="00972395" w:rsidRPr="00E73D4B" w:rsidRDefault="00F120C7" w:rsidP="00E73D4B">
      <w:pPr>
        <w:pStyle w:val="avsnitt-undertittel"/>
      </w:pPr>
      <w:r w:rsidRPr="00E73D4B">
        <w:t>Vedtak nr. 681, 25. februar 2021</w:t>
      </w:r>
    </w:p>
    <w:p w14:paraId="6F84F3C5" w14:textId="77777777" w:rsidR="00972395" w:rsidRPr="00E73D4B" w:rsidRDefault="00F120C7" w:rsidP="00E73D4B">
      <w:pPr>
        <w:pStyle w:val="blokksit"/>
        <w:rPr>
          <w:rStyle w:val="kursiv"/>
        </w:rPr>
      </w:pPr>
      <w:r w:rsidRPr="00E73D4B">
        <w:rPr>
          <w:rStyle w:val="kursiv"/>
        </w:rPr>
        <w:t>«Stortinget ber regjeringen opprette et nasjonalt våpenregister som legges til Brønnøysundregistrene og til Nordland politidistrikt med forvaltning i Mosjøen.»</w:t>
      </w:r>
    </w:p>
    <w:p w14:paraId="5A88BC0F" w14:textId="77777777" w:rsidR="00972395" w:rsidRPr="00E73D4B" w:rsidRDefault="00F120C7" w:rsidP="00E73D4B">
      <w:r w:rsidRPr="00E73D4B">
        <w:t xml:space="preserve">Dokumenta som ligg til grunn for vedtaket, er Meld. St. 29. (2019–2020) og </w:t>
      </w:r>
      <w:proofErr w:type="spellStart"/>
      <w:r w:rsidRPr="00E73D4B">
        <w:t>Innst</w:t>
      </w:r>
      <w:proofErr w:type="spellEnd"/>
      <w:r w:rsidRPr="00E73D4B">
        <w:t xml:space="preserve">. 248 S (2020–2021) </w:t>
      </w:r>
      <w:proofErr w:type="spellStart"/>
      <w:r w:rsidRPr="00E73D4B">
        <w:t>frå</w:t>
      </w:r>
      <w:proofErr w:type="spellEnd"/>
      <w:r w:rsidRPr="00E73D4B">
        <w:t xml:space="preserve"> justiskomiteen.</w:t>
      </w:r>
    </w:p>
    <w:p w14:paraId="4AA37014" w14:textId="77777777" w:rsidR="00972395" w:rsidRPr="00E73D4B" w:rsidRDefault="00F120C7" w:rsidP="00E73D4B">
      <w:r w:rsidRPr="00E73D4B">
        <w:t xml:space="preserve">Vedtaket er under behandling. Politidirektoratet har fått i oppdrag å </w:t>
      </w:r>
      <w:proofErr w:type="spellStart"/>
      <w:r w:rsidRPr="00E73D4B">
        <w:t>setje</w:t>
      </w:r>
      <w:proofErr w:type="spellEnd"/>
      <w:r w:rsidRPr="00E73D4B">
        <w:t xml:space="preserve"> i gang </w:t>
      </w:r>
      <w:proofErr w:type="spellStart"/>
      <w:r w:rsidRPr="00E73D4B">
        <w:t>eit</w:t>
      </w:r>
      <w:proofErr w:type="spellEnd"/>
      <w:r w:rsidRPr="00E73D4B">
        <w:t xml:space="preserve"> prosjekt for ny digital våpenforvaltning der dette oppmodingsvedtaket blir </w:t>
      </w:r>
      <w:proofErr w:type="spellStart"/>
      <w:r w:rsidRPr="00E73D4B">
        <w:t>teke</w:t>
      </w:r>
      <w:proofErr w:type="spellEnd"/>
      <w:r w:rsidRPr="00E73D4B">
        <w:t xml:space="preserve"> omsyn til. Det er inngått avtale mellom Politidirektoratet og </w:t>
      </w:r>
      <w:proofErr w:type="spellStart"/>
      <w:r w:rsidRPr="00E73D4B">
        <w:t>Brønnøysundregistera</w:t>
      </w:r>
      <w:proofErr w:type="spellEnd"/>
      <w:r w:rsidRPr="00E73D4B">
        <w:t xml:space="preserve"> for å utvikle ei digital løysing. </w:t>
      </w:r>
      <w:proofErr w:type="spellStart"/>
      <w:r w:rsidRPr="00E73D4B">
        <w:t>Brønnøysundregistera</w:t>
      </w:r>
      <w:proofErr w:type="spellEnd"/>
      <w:r w:rsidRPr="00E73D4B">
        <w:t xml:space="preserve"> har starta arbeidet nytt nasjonalt våpenregister. Politidirektoratet har starta arbeidet med å etablere nytt nasjonalt våpenkontor i Mosjøen.</w:t>
      </w:r>
    </w:p>
    <w:p w14:paraId="7B0F86EE" w14:textId="77777777" w:rsidR="00972395" w:rsidRPr="00E73D4B" w:rsidRDefault="00F120C7" w:rsidP="00E73D4B">
      <w:r w:rsidRPr="00E73D4B">
        <w:t>Jf. oppmodingsvedtak nr. 778, 23. mars 2021.</w:t>
      </w:r>
    </w:p>
    <w:p w14:paraId="1DB8463C" w14:textId="77777777" w:rsidR="00972395" w:rsidRPr="00E73D4B" w:rsidRDefault="00F120C7" w:rsidP="00E73D4B">
      <w:pPr>
        <w:pStyle w:val="avsnitt-tittel"/>
      </w:pPr>
      <w:r w:rsidRPr="00E73D4B">
        <w:t xml:space="preserve">Identitetsskjerming for </w:t>
      </w:r>
      <w:proofErr w:type="spellStart"/>
      <w:r w:rsidRPr="00E73D4B">
        <w:t>polititilsette</w:t>
      </w:r>
      <w:proofErr w:type="spellEnd"/>
    </w:p>
    <w:p w14:paraId="416B2352" w14:textId="77777777" w:rsidR="00972395" w:rsidRPr="00E73D4B" w:rsidRDefault="00F120C7" w:rsidP="00E73D4B">
      <w:pPr>
        <w:pStyle w:val="avsnitt-undertittel"/>
      </w:pPr>
      <w:r w:rsidRPr="00E73D4B">
        <w:t>Vedtak nr. 682, 25. februar 2021</w:t>
      </w:r>
    </w:p>
    <w:p w14:paraId="4636CB1E" w14:textId="77777777" w:rsidR="00972395" w:rsidRPr="00E73D4B" w:rsidRDefault="00F120C7" w:rsidP="00E73D4B">
      <w:pPr>
        <w:pStyle w:val="blokksit"/>
        <w:rPr>
          <w:rStyle w:val="kursiv"/>
        </w:rPr>
      </w:pPr>
      <w:r w:rsidRPr="00E73D4B">
        <w:rPr>
          <w:rStyle w:val="kursiv"/>
        </w:rPr>
        <w:t>«Stortinget ber regjeringen i forbindelse med forslag til ny straffeprosesslov sikre full identitetsskjerming for politiansatte.»</w:t>
      </w:r>
    </w:p>
    <w:p w14:paraId="3F1B1EEE" w14:textId="77777777" w:rsidR="00972395" w:rsidRPr="00E73D4B" w:rsidRDefault="00F120C7" w:rsidP="00E73D4B">
      <w:r w:rsidRPr="00E73D4B">
        <w:t xml:space="preserve">Dokumenta som ligg til grunn for vedtaket, er Meld. St. 29. (2019–2020) og </w:t>
      </w:r>
      <w:proofErr w:type="spellStart"/>
      <w:r w:rsidRPr="00E73D4B">
        <w:t>Innst</w:t>
      </w:r>
      <w:proofErr w:type="spellEnd"/>
      <w:r w:rsidRPr="00E73D4B">
        <w:t xml:space="preserve">. 248 S (2020–2021) </w:t>
      </w:r>
      <w:proofErr w:type="spellStart"/>
      <w:r w:rsidRPr="00E73D4B">
        <w:t>frå</w:t>
      </w:r>
      <w:proofErr w:type="spellEnd"/>
      <w:r w:rsidRPr="00E73D4B">
        <w:t xml:space="preserve"> justiskomiteen.</w:t>
      </w:r>
    </w:p>
    <w:p w14:paraId="0E7E72EC" w14:textId="77777777" w:rsidR="00972395" w:rsidRPr="00E73D4B" w:rsidRDefault="00F120C7" w:rsidP="00E73D4B">
      <w:r w:rsidRPr="00E73D4B">
        <w:t xml:space="preserve">Vedtaket er under behandling. Det er til vurdering om det bør </w:t>
      </w:r>
      <w:proofErr w:type="spellStart"/>
      <w:r w:rsidRPr="00E73D4B">
        <w:t>setjast</w:t>
      </w:r>
      <w:proofErr w:type="spellEnd"/>
      <w:r w:rsidRPr="00E73D4B">
        <w:t xml:space="preserve"> ned </w:t>
      </w:r>
      <w:proofErr w:type="spellStart"/>
      <w:r w:rsidRPr="00E73D4B">
        <w:t>eit</w:t>
      </w:r>
      <w:proofErr w:type="spellEnd"/>
      <w:r w:rsidRPr="00E73D4B">
        <w:t xml:space="preserve"> </w:t>
      </w:r>
      <w:proofErr w:type="spellStart"/>
      <w:r w:rsidRPr="00E73D4B">
        <w:t>utval</w:t>
      </w:r>
      <w:proofErr w:type="spellEnd"/>
      <w:r w:rsidRPr="00E73D4B">
        <w:t xml:space="preserve"> som skal vurdere identitetsskjerming av </w:t>
      </w:r>
      <w:proofErr w:type="spellStart"/>
      <w:r w:rsidRPr="00E73D4B">
        <w:t>polititilsette</w:t>
      </w:r>
      <w:proofErr w:type="spellEnd"/>
      <w:r w:rsidRPr="00E73D4B">
        <w:t>.</w:t>
      </w:r>
    </w:p>
    <w:p w14:paraId="240B6EC6" w14:textId="77777777" w:rsidR="00972395" w:rsidRPr="00E73D4B" w:rsidRDefault="00F120C7" w:rsidP="00E73D4B">
      <w:pPr>
        <w:pStyle w:val="avsnitt-tittel"/>
      </w:pPr>
      <w:r w:rsidRPr="00E73D4B">
        <w:t>Straff for å tvinge barn til utlandet</w:t>
      </w:r>
    </w:p>
    <w:p w14:paraId="65A56DC1" w14:textId="77777777" w:rsidR="00972395" w:rsidRPr="00E73D4B" w:rsidRDefault="00F120C7" w:rsidP="00E73D4B">
      <w:pPr>
        <w:pStyle w:val="avsnitt-undertittel"/>
      </w:pPr>
      <w:r w:rsidRPr="00E73D4B">
        <w:t>Vedtak nr. 712, 9. mars 2021</w:t>
      </w:r>
    </w:p>
    <w:p w14:paraId="16707E6D" w14:textId="77777777" w:rsidR="00972395" w:rsidRPr="00E73D4B" w:rsidRDefault="00F120C7" w:rsidP="00E73D4B">
      <w:pPr>
        <w:pStyle w:val="blokksit"/>
        <w:rPr>
          <w:rStyle w:val="kursiv"/>
        </w:rPr>
      </w:pPr>
      <w:r w:rsidRPr="00E73D4B">
        <w:rPr>
          <w:rStyle w:val="kursiv"/>
        </w:rPr>
        <w:t>«Stortinget ber regjeringen utrede straffeforbudet mot frihetsberøvelse i situasjoner hvor barn vil bli, eller allerede er, sendt til utlandet mot sin vilje, og fremme forslag til lovendringer som sikrer at påtvungne utenlandsopphold kan straffes.»</w:t>
      </w:r>
    </w:p>
    <w:p w14:paraId="74AED1FE" w14:textId="77777777" w:rsidR="00972395" w:rsidRPr="00E73D4B" w:rsidRDefault="00F120C7" w:rsidP="00E73D4B">
      <w:r w:rsidRPr="00E73D4B">
        <w:t xml:space="preserve">Dokumenta som ligg til grunn for vedtaket, er Dokument 8:137 S (2019–2020) og </w:t>
      </w:r>
      <w:proofErr w:type="spellStart"/>
      <w:r w:rsidRPr="00E73D4B">
        <w:t>Innst</w:t>
      </w:r>
      <w:proofErr w:type="spellEnd"/>
      <w:r w:rsidRPr="00E73D4B">
        <w:t xml:space="preserve">. 269 S (2020–2021) </w:t>
      </w:r>
      <w:proofErr w:type="spellStart"/>
      <w:r w:rsidRPr="00E73D4B">
        <w:t>frå</w:t>
      </w:r>
      <w:proofErr w:type="spellEnd"/>
      <w:r w:rsidRPr="00E73D4B">
        <w:t xml:space="preserve"> familie- og kulturkomiteen.</w:t>
      </w:r>
    </w:p>
    <w:p w14:paraId="71BAF887" w14:textId="77777777" w:rsidR="00972395" w:rsidRPr="00E73D4B" w:rsidRDefault="00F120C7" w:rsidP="00E73D4B">
      <w:r w:rsidRPr="00E73D4B">
        <w:t>Vedtaket er under behandling. Sjå òg omtale under vedtak nr. 788, 29. mai 2018.</w:t>
      </w:r>
    </w:p>
    <w:p w14:paraId="2CDD4B9B" w14:textId="77777777" w:rsidR="00972395" w:rsidRPr="00E73D4B" w:rsidRDefault="00F120C7" w:rsidP="00E73D4B">
      <w:pPr>
        <w:pStyle w:val="avsnitt-tittel"/>
      </w:pPr>
      <w:r w:rsidRPr="00E73D4B">
        <w:t>Nasjonal langtidsplan for beredskap</w:t>
      </w:r>
    </w:p>
    <w:p w14:paraId="40AA36D3" w14:textId="77777777" w:rsidR="00972395" w:rsidRPr="00E73D4B" w:rsidRDefault="00F120C7" w:rsidP="00E73D4B">
      <w:pPr>
        <w:pStyle w:val="avsnitt-undertittel"/>
      </w:pPr>
      <w:r w:rsidRPr="00E73D4B">
        <w:t>Vedtak nr. 729, 11. mars 2021</w:t>
      </w:r>
    </w:p>
    <w:p w14:paraId="5D061B5C" w14:textId="77777777" w:rsidR="00972395" w:rsidRPr="00E73D4B" w:rsidRDefault="00F120C7" w:rsidP="00E73D4B">
      <w:pPr>
        <w:pStyle w:val="blokksit"/>
        <w:rPr>
          <w:rStyle w:val="kursiv"/>
        </w:rPr>
      </w:pPr>
      <w:r w:rsidRPr="00E73D4B">
        <w:rPr>
          <w:rStyle w:val="kursiv"/>
        </w:rPr>
        <w:t>«Stortinget ber regjeringen innføre en nasjonal langtidsplan for beredskap, som ser beredskapsressursene nasjonalt og regionalt i en sammenheng og legger grunnlaget for konkrete planer for utbedringer.»</w:t>
      </w:r>
    </w:p>
    <w:p w14:paraId="4E54890A"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1C1A1EB3" w14:textId="77777777" w:rsidR="00972395" w:rsidRPr="00E73D4B" w:rsidRDefault="00F120C7" w:rsidP="00E73D4B">
      <w:r w:rsidRPr="00E73D4B">
        <w:t>Vedtaket er under behandling. Oppfølging av vedtaket vil bli vurdert i lys av arbeidet til totalberedskapskommisjonen. Kommisjonen vart nemnd opp i januar 2022, og skal levere arbeidet sitt våren 2023.</w:t>
      </w:r>
    </w:p>
    <w:p w14:paraId="3118793E" w14:textId="77777777" w:rsidR="00972395" w:rsidRPr="00E73D4B" w:rsidRDefault="00F120C7" w:rsidP="00E73D4B">
      <w:pPr>
        <w:pStyle w:val="avsnitt-tittel"/>
      </w:pPr>
      <w:proofErr w:type="spellStart"/>
      <w:r w:rsidRPr="00E73D4B">
        <w:t>Totalberedskapsutval</w:t>
      </w:r>
      <w:proofErr w:type="spellEnd"/>
    </w:p>
    <w:p w14:paraId="12F00C8E" w14:textId="77777777" w:rsidR="00972395" w:rsidRPr="00E73D4B" w:rsidRDefault="00F120C7" w:rsidP="00E73D4B">
      <w:pPr>
        <w:pStyle w:val="avsnitt-undertittel"/>
      </w:pPr>
      <w:r w:rsidRPr="00E73D4B">
        <w:t>Vedtak nr. 730, 11. mars 2021</w:t>
      </w:r>
    </w:p>
    <w:p w14:paraId="1E1E4C93" w14:textId="77777777" w:rsidR="00972395" w:rsidRPr="00E73D4B" w:rsidRDefault="00F120C7" w:rsidP="00E73D4B">
      <w:pPr>
        <w:pStyle w:val="blokksit"/>
        <w:rPr>
          <w:rStyle w:val="kursiv"/>
        </w:rPr>
      </w:pPr>
      <w:r w:rsidRPr="00E73D4B">
        <w:rPr>
          <w:rStyle w:val="kursiv"/>
        </w:rPr>
        <w:t>«Stortinget ber regjeringen etablere et fast totalberedskapsutvalg som rapporterer til regjeringen hvert år, slik at man sikrer koordinert ledelse overordnet og på tvers. Og helhetlige og koordinerte trusselvurderinger. Både beredskapsmyndigheter, samfunnets organisasjoner og næringsliv skal være representert i utvalget.»</w:t>
      </w:r>
    </w:p>
    <w:p w14:paraId="0B6C6498"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585BCFBE" w14:textId="77777777" w:rsidR="00972395" w:rsidRPr="00E73D4B" w:rsidRDefault="00F120C7" w:rsidP="00E73D4B">
      <w:r w:rsidRPr="00E73D4B">
        <w:t>Vedtaket er under behandling. Oppfølging av vedtaket vil bli vurdert i lys av arbeidet til totalberedskapskommisjonen. Kommisjonen vart nemnd opp i januar 2022, og skal levere arbeidet sitt våren 2023.</w:t>
      </w:r>
    </w:p>
    <w:p w14:paraId="553D9286" w14:textId="77777777" w:rsidR="00972395" w:rsidRPr="00E73D4B" w:rsidRDefault="00F120C7" w:rsidP="00E73D4B">
      <w:pPr>
        <w:pStyle w:val="avsnitt-tittel"/>
      </w:pPr>
      <w:r w:rsidRPr="00E73D4B">
        <w:t xml:space="preserve">Nordisk samarbeid </w:t>
      </w:r>
      <w:proofErr w:type="spellStart"/>
      <w:r w:rsidRPr="00E73D4B">
        <w:t>innan</w:t>
      </w:r>
      <w:proofErr w:type="spellEnd"/>
      <w:r w:rsidRPr="00E73D4B">
        <w:t xml:space="preserve"> samfunnstryggleik</w:t>
      </w:r>
    </w:p>
    <w:p w14:paraId="362B0B1A" w14:textId="77777777" w:rsidR="00972395" w:rsidRPr="00E73D4B" w:rsidRDefault="00F120C7" w:rsidP="00E73D4B">
      <w:pPr>
        <w:pStyle w:val="avsnitt-undertittel"/>
      </w:pPr>
      <w:r w:rsidRPr="00E73D4B">
        <w:t>Vedtak nr. 739, 11. mars 2021</w:t>
      </w:r>
    </w:p>
    <w:p w14:paraId="2C55B7EB" w14:textId="77777777" w:rsidR="00972395" w:rsidRPr="00E73D4B" w:rsidRDefault="00F120C7" w:rsidP="00E73D4B">
      <w:pPr>
        <w:pStyle w:val="blokksit"/>
        <w:rPr>
          <w:rStyle w:val="kursiv"/>
        </w:rPr>
      </w:pPr>
      <w:r w:rsidRPr="00E73D4B">
        <w:rPr>
          <w:rStyle w:val="kursiv"/>
        </w:rPr>
        <w:t>«Stortinget ber regjeringen komme tilbake til Stortinget med en vurdering av muligheten for tettere samarbeid med nordiske naboland knyttet til samfunnssikkerhet og beredskap, herunder felles sikkerhetsklarering, planverk på tvers av landegrensene og øvelser på tvers av landegrensene.»</w:t>
      </w:r>
    </w:p>
    <w:p w14:paraId="6F7D732E"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3AB8B07C" w14:textId="77777777" w:rsidR="00972395" w:rsidRPr="00E73D4B" w:rsidRDefault="00F120C7" w:rsidP="00E73D4B">
      <w:r w:rsidRPr="00E73D4B">
        <w:t xml:space="preserve">Vedtaket er under behandling. Oppfølginga av dette arbeidet bør </w:t>
      </w:r>
      <w:proofErr w:type="spellStart"/>
      <w:r w:rsidRPr="00E73D4B">
        <w:t>sjåast</w:t>
      </w:r>
      <w:proofErr w:type="spellEnd"/>
      <w:r w:rsidRPr="00E73D4B">
        <w:t xml:space="preserve"> i </w:t>
      </w:r>
      <w:proofErr w:type="spellStart"/>
      <w:r w:rsidRPr="00E73D4B">
        <w:t>samanheng</w:t>
      </w:r>
      <w:proofErr w:type="spellEnd"/>
      <w:r w:rsidRPr="00E73D4B">
        <w:t xml:space="preserve"> med det nordiske Haga-samarbeidet som er i gang </w:t>
      </w:r>
      <w:proofErr w:type="spellStart"/>
      <w:r w:rsidRPr="00E73D4B">
        <w:t>innan</w:t>
      </w:r>
      <w:proofErr w:type="spellEnd"/>
      <w:r w:rsidRPr="00E73D4B">
        <w:t xml:space="preserve"> samfunnstryggleik. Det blir òg vist til samarbeid mellom situasjonssentra i </w:t>
      </w:r>
      <w:proofErr w:type="spellStart"/>
      <w:r w:rsidRPr="00E73D4B">
        <w:t>dei</w:t>
      </w:r>
      <w:proofErr w:type="spellEnd"/>
      <w:r w:rsidRPr="00E73D4B">
        <w:t xml:space="preserve"> nordiske landa. I Haga-samarbeidet blir det bl.a. gjennomført fellesnordiske øvinga, sivilt-militært samarbeid gjennom Haga-NORDEFCO samarbeidet, samarbeid om skog-/</w:t>
      </w:r>
      <w:proofErr w:type="spellStart"/>
      <w:r w:rsidRPr="00E73D4B">
        <w:t>naturnaturbrannar</w:t>
      </w:r>
      <w:proofErr w:type="spellEnd"/>
      <w:r w:rsidRPr="00E73D4B">
        <w:t xml:space="preserve">, CBRNE og Nødkommunikasjon. Knytt til Haga utviklingsmål 2022 – 2024, er det i tillegg sett i verk </w:t>
      </w:r>
      <w:proofErr w:type="spellStart"/>
      <w:r w:rsidRPr="00E73D4B">
        <w:t>førebuande</w:t>
      </w:r>
      <w:proofErr w:type="spellEnd"/>
      <w:r w:rsidRPr="00E73D4B">
        <w:t xml:space="preserve"> samarbeid </w:t>
      </w:r>
      <w:proofErr w:type="spellStart"/>
      <w:r w:rsidRPr="00E73D4B">
        <w:t>innan</w:t>
      </w:r>
      <w:proofErr w:type="spellEnd"/>
      <w:r w:rsidRPr="00E73D4B">
        <w:t xml:space="preserve"> </w:t>
      </w:r>
      <w:proofErr w:type="spellStart"/>
      <w:r w:rsidRPr="00E73D4B">
        <w:t>klimaendringar</w:t>
      </w:r>
      <w:proofErr w:type="spellEnd"/>
      <w:r w:rsidRPr="00E73D4B">
        <w:t xml:space="preserve">, tiltak etter læring fra Covid-19 og Host </w:t>
      </w:r>
      <w:proofErr w:type="spellStart"/>
      <w:r w:rsidRPr="00E73D4B">
        <w:t>Nation</w:t>
      </w:r>
      <w:proofErr w:type="spellEnd"/>
      <w:r w:rsidRPr="00E73D4B">
        <w:t xml:space="preserve"> Support, i tillegg til </w:t>
      </w:r>
      <w:proofErr w:type="spellStart"/>
      <w:r w:rsidRPr="00E73D4B">
        <w:t>vidare</w:t>
      </w:r>
      <w:proofErr w:type="spellEnd"/>
      <w:r w:rsidRPr="00E73D4B">
        <w:t xml:space="preserve"> utvikling av det sivil-militære samarbeidet (Haga-NORDEFCO) som er i gang. I lys av utviklinga i </w:t>
      </w:r>
      <w:proofErr w:type="spellStart"/>
      <w:r w:rsidRPr="00E73D4B">
        <w:t>risikobiletet</w:t>
      </w:r>
      <w:proofErr w:type="spellEnd"/>
      <w:r w:rsidRPr="00E73D4B">
        <w:t xml:space="preserve"> og </w:t>
      </w:r>
      <w:proofErr w:type="spellStart"/>
      <w:r w:rsidRPr="00E73D4B">
        <w:t>erfaringane</w:t>
      </w:r>
      <w:proofErr w:type="spellEnd"/>
      <w:r w:rsidRPr="00E73D4B">
        <w:t xml:space="preserve"> </w:t>
      </w:r>
      <w:proofErr w:type="spellStart"/>
      <w:r w:rsidRPr="00E73D4B">
        <w:t>frå</w:t>
      </w:r>
      <w:proofErr w:type="spellEnd"/>
      <w:r w:rsidRPr="00E73D4B">
        <w:t xml:space="preserve"> korona-pandemien, er de nordiske beredskapsstyresmaktene </w:t>
      </w:r>
      <w:proofErr w:type="spellStart"/>
      <w:r w:rsidRPr="00E73D4B">
        <w:t>oppmoda</w:t>
      </w:r>
      <w:proofErr w:type="spellEnd"/>
      <w:r w:rsidRPr="00E73D4B">
        <w:t xml:space="preserve"> om å gjennomgå felles </w:t>
      </w:r>
      <w:proofErr w:type="spellStart"/>
      <w:r w:rsidRPr="00E73D4B">
        <w:t>avtalar</w:t>
      </w:r>
      <w:proofErr w:type="spellEnd"/>
      <w:r w:rsidRPr="00E73D4B">
        <w:t xml:space="preserve">, </w:t>
      </w:r>
      <w:proofErr w:type="spellStart"/>
      <w:r w:rsidRPr="00E73D4B">
        <w:t>prosedyrar</w:t>
      </w:r>
      <w:proofErr w:type="spellEnd"/>
      <w:r w:rsidRPr="00E73D4B">
        <w:t xml:space="preserve"> m.m., for å sikre at operativ støtte på tvers av grensene kan </w:t>
      </w:r>
      <w:proofErr w:type="spellStart"/>
      <w:r w:rsidRPr="00E73D4B">
        <w:t>gjennomførast</w:t>
      </w:r>
      <w:proofErr w:type="spellEnd"/>
      <w:r w:rsidRPr="00E73D4B">
        <w:t xml:space="preserve"> effektivt.</w:t>
      </w:r>
    </w:p>
    <w:p w14:paraId="5A5759CA" w14:textId="77777777" w:rsidR="00972395" w:rsidRPr="00E73D4B" w:rsidRDefault="00F120C7" w:rsidP="00E73D4B">
      <w:r w:rsidRPr="00E73D4B">
        <w:t xml:space="preserve">Når </w:t>
      </w:r>
      <w:proofErr w:type="gramStart"/>
      <w:r w:rsidRPr="00E73D4B">
        <w:t xml:space="preserve">det </w:t>
      </w:r>
      <w:proofErr w:type="spellStart"/>
      <w:r w:rsidRPr="00E73D4B">
        <w:t>gjeld</w:t>
      </w:r>
      <w:proofErr w:type="spellEnd"/>
      <w:r w:rsidRPr="00E73D4B">
        <w:t xml:space="preserve"> spørsmålet</w:t>
      </w:r>
      <w:proofErr w:type="gramEnd"/>
      <w:r w:rsidRPr="00E73D4B">
        <w:t xml:space="preserve"> om tryggingsklarering, </w:t>
      </w:r>
      <w:proofErr w:type="spellStart"/>
      <w:r w:rsidRPr="00E73D4B">
        <w:t>finst</w:t>
      </w:r>
      <w:proofErr w:type="spellEnd"/>
      <w:r w:rsidRPr="00E73D4B">
        <w:t xml:space="preserve"> det i dag </w:t>
      </w:r>
      <w:proofErr w:type="spellStart"/>
      <w:r w:rsidRPr="00E73D4B">
        <w:t>tryggingsavtalar</w:t>
      </w:r>
      <w:proofErr w:type="spellEnd"/>
      <w:r w:rsidRPr="00E73D4B">
        <w:t xml:space="preserve"> mellom </w:t>
      </w:r>
      <w:proofErr w:type="spellStart"/>
      <w:r w:rsidRPr="00E73D4B">
        <w:t>Noreg</w:t>
      </w:r>
      <w:proofErr w:type="spellEnd"/>
      <w:r w:rsidRPr="00E73D4B">
        <w:t xml:space="preserve"> og </w:t>
      </w:r>
      <w:proofErr w:type="spellStart"/>
      <w:r w:rsidRPr="00E73D4B">
        <w:t>dei</w:t>
      </w:r>
      <w:proofErr w:type="spellEnd"/>
      <w:r w:rsidRPr="00E73D4B">
        <w:t xml:space="preserve"> nordiske nabolanda som </w:t>
      </w:r>
      <w:proofErr w:type="spellStart"/>
      <w:r w:rsidRPr="00E73D4B">
        <w:t>gjer</w:t>
      </w:r>
      <w:proofErr w:type="spellEnd"/>
      <w:r w:rsidRPr="00E73D4B">
        <w:t xml:space="preserve"> det </w:t>
      </w:r>
      <w:proofErr w:type="spellStart"/>
      <w:r w:rsidRPr="00E73D4B">
        <w:t>mogleg</w:t>
      </w:r>
      <w:proofErr w:type="spellEnd"/>
      <w:r w:rsidRPr="00E73D4B">
        <w:t xml:space="preserve"> å utveksle gradert informasjon mellom landa, </w:t>
      </w:r>
      <w:proofErr w:type="spellStart"/>
      <w:r w:rsidRPr="00E73D4B">
        <w:t>irekna</w:t>
      </w:r>
      <w:proofErr w:type="spellEnd"/>
      <w:r w:rsidRPr="00E73D4B">
        <w:t xml:space="preserve"> å anerkjenne </w:t>
      </w:r>
      <w:proofErr w:type="spellStart"/>
      <w:r w:rsidRPr="00E73D4B">
        <w:t>kvarandre</w:t>
      </w:r>
      <w:proofErr w:type="spellEnd"/>
      <w:r w:rsidRPr="00E73D4B">
        <w:t xml:space="preserve"> sine </w:t>
      </w:r>
      <w:proofErr w:type="spellStart"/>
      <w:r w:rsidRPr="00E73D4B">
        <w:t>tryggingsklareringar</w:t>
      </w:r>
      <w:proofErr w:type="spellEnd"/>
      <w:r w:rsidRPr="00E73D4B">
        <w:t xml:space="preserve"> etter </w:t>
      </w:r>
      <w:proofErr w:type="spellStart"/>
      <w:r w:rsidRPr="00E73D4B">
        <w:t>nærmare</w:t>
      </w:r>
      <w:proofErr w:type="spellEnd"/>
      <w:r w:rsidRPr="00E73D4B">
        <w:t xml:space="preserve"> kriterium.</w:t>
      </w:r>
    </w:p>
    <w:p w14:paraId="641C84EE" w14:textId="77777777" w:rsidR="00972395" w:rsidRPr="00E73D4B" w:rsidRDefault="00F120C7" w:rsidP="00E73D4B">
      <w:pPr>
        <w:pStyle w:val="avsnitt-tittel"/>
      </w:pPr>
      <w:r w:rsidRPr="00E73D4B">
        <w:t>Sivilforsvaret</w:t>
      </w:r>
    </w:p>
    <w:p w14:paraId="3524838A" w14:textId="77777777" w:rsidR="00972395" w:rsidRPr="00E73D4B" w:rsidRDefault="00F120C7" w:rsidP="00E73D4B">
      <w:pPr>
        <w:pStyle w:val="avsnitt-undertittel"/>
      </w:pPr>
      <w:r w:rsidRPr="00E73D4B">
        <w:t>Vedtak nr. 740, 11. mars 2021</w:t>
      </w:r>
    </w:p>
    <w:p w14:paraId="54D7203F" w14:textId="77777777" w:rsidR="00972395" w:rsidRPr="00E73D4B" w:rsidRDefault="00F120C7" w:rsidP="00E73D4B">
      <w:pPr>
        <w:pStyle w:val="blokksit"/>
        <w:rPr>
          <w:rStyle w:val="kursiv"/>
        </w:rPr>
      </w:pPr>
      <w:r w:rsidRPr="00E73D4B">
        <w:rPr>
          <w:rStyle w:val="kursiv"/>
        </w:rPr>
        <w:t>«Stortinget ber regjeringen ruste Sivilforsvaret for fremtidens samfunnsbehov gjennom å utrede utvidet grunnutdanning og sette av midler over statsbudsjettet til oppdatert utstyr og flere øvelser.»</w:t>
      </w:r>
    </w:p>
    <w:p w14:paraId="5BFCE5EE"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100DBB86" w14:textId="77777777" w:rsidR="00972395" w:rsidRPr="00E73D4B" w:rsidRDefault="00F120C7" w:rsidP="00E73D4B">
      <w:r w:rsidRPr="00E73D4B">
        <w:t xml:space="preserve">Vedtaket er </w:t>
      </w:r>
      <w:proofErr w:type="spellStart"/>
      <w:r w:rsidRPr="00E73D4B">
        <w:t>følgt</w:t>
      </w:r>
      <w:proofErr w:type="spellEnd"/>
      <w:r w:rsidRPr="00E73D4B">
        <w:t xml:space="preserve"> opp. Sivilforsvaret er styrkt med til </w:t>
      </w:r>
      <w:proofErr w:type="spellStart"/>
      <w:r w:rsidRPr="00E73D4B">
        <w:t>saman</w:t>
      </w:r>
      <w:proofErr w:type="spellEnd"/>
      <w:r w:rsidRPr="00E73D4B">
        <w:t xml:space="preserve"> 89,8 mill. kroner i 2022, jf. </w:t>
      </w:r>
      <w:proofErr w:type="spellStart"/>
      <w:r w:rsidRPr="00E73D4B">
        <w:t>Prop</w:t>
      </w:r>
      <w:proofErr w:type="spellEnd"/>
      <w:r w:rsidRPr="00E73D4B">
        <w:t xml:space="preserve">. 78 S (2021–2022). Dette vil bidra til å </w:t>
      </w:r>
      <w:proofErr w:type="spellStart"/>
      <w:r w:rsidRPr="00E73D4B">
        <w:t>auke</w:t>
      </w:r>
      <w:proofErr w:type="spellEnd"/>
      <w:r w:rsidRPr="00E73D4B">
        <w:t xml:space="preserve"> den operative evna til Sivilforsvaret. I tillegg til at store </w:t>
      </w:r>
      <w:proofErr w:type="spellStart"/>
      <w:r w:rsidRPr="00E73D4B">
        <w:t>delar</w:t>
      </w:r>
      <w:proofErr w:type="spellEnd"/>
      <w:r w:rsidRPr="00E73D4B">
        <w:t xml:space="preserve"> av utstyrsetterslepet er </w:t>
      </w:r>
      <w:proofErr w:type="spellStart"/>
      <w:r w:rsidRPr="00E73D4B">
        <w:t>teke</w:t>
      </w:r>
      <w:proofErr w:type="spellEnd"/>
      <w:r w:rsidRPr="00E73D4B">
        <w:t xml:space="preserve"> unna i 2021 og 2022.</w:t>
      </w:r>
    </w:p>
    <w:p w14:paraId="79DFB1E8" w14:textId="77777777" w:rsidR="00972395" w:rsidRPr="00E73D4B" w:rsidRDefault="00F120C7" w:rsidP="00E73D4B">
      <w:pPr>
        <w:pStyle w:val="avsnitt-tittel"/>
      </w:pPr>
      <w:r w:rsidRPr="00E73D4B">
        <w:t xml:space="preserve">Frivillige </w:t>
      </w:r>
      <w:proofErr w:type="spellStart"/>
      <w:r w:rsidRPr="00E73D4B">
        <w:t>organisasjonar</w:t>
      </w:r>
      <w:proofErr w:type="spellEnd"/>
    </w:p>
    <w:p w14:paraId="15B91442" w14:textId="77777777" w:rsidR="00972395" w:rsidRPr="00E73D4B" w:rsidRDefault="00F120C7" w:rsidP="00E73D4B">
      <w:pPr>
        <w:pStyle w:val="avsnitt-undertittel"/>
      </w:pPr>
      <w:r w:rsidRPr="00E73D4B">
        <w:t>Vedtak nr. 741, 11. mars 2021</w:t>
      </w:r>
    </w:p>
    <w:p w14:paraId="784AEEEE" w14:textId="77777777" w:rsidR="00972395" w:rsidRPr="00E73D4B" w:rsidRDefault="00F120C7" w:rsidP="00E73D4B">
      <w:pPr>
        <w:pStyle w:val="blokksit"/>
        <w:rPr>
          <w:rStyle w:val="kursiv"/>
        </w:rPr>
      </w:pPr>
      <w:r w:rsidRPr="00E73D4B">
        <w:rPr>
          <w:rStyle w:val="kursiv"/>
        </w:rPr>
        <w:t xml:space="preserve">«Stortinget ber regjeringen sikre at frivillige organisasjoner får dekket utgifter til abonnementskostnader for </w:t>
      </w:r>
      <w:proofErr w:type="spellStart"/>
      <w:r w:rsidRPr="00E73D4B">
        <w:rPr>
          <w:rStyle w:val="kursiv"/>
        </w:rPr>
        <w:t>nødnetterminaler</w:t>
      </w:r>
      <w:proofErr w:type="spellEnd"/>
      <w:r w:rsidRPr="00E73D4B">
        <w:rPr>
          <w:rStyle w:val="kursiv"/>
        </w:rPr>
        <w:t>, og øke støtten til mer ressurser til utstyr og trening.»</w:t>
      </w:r>
    </w:p>
    <w:p w14:paraId="6DBD212F"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0BAF0AAE" w14:textId="77777777" w:rsidR="00972395" w:rsidRPr="00E73D4B" w:rsidRDefault="00F120C7" w:rsidP="00E73D4B">
      <w:r w:rsidRPr="00E73D4B">
        <w:t xml:space="preserve">Vedtaket er </w:t>
      </w:r>
      <w:proofErr w:type="spellStart"/>
      <w:r w:rsidRPr="00E73D4B">
        <w:t>følgt</w:t>
      </w:r>
      <w:proofErr w:type="spellEnd"/>
      <w:r w:rsidRPr="00E73D4B">
        <w:t xml:space="preserve"> opp. I </w:t>
      </w:r>
      <w:proofErr w:type="spellStart"/>
      <w:r w:rsidRPr="00E73D4B">
        <w:t>Prop</w:t>
      </w:r>
      <w:proofErr w:type="spellEnd"/>
      <w:r w:rsidRPr="00E73D4B">
        <w:t xml:space="preserve">. 78 S (2021–2022), jf. </w:t>
      </w:r>
      <w:proofErr w:type="spellStart"/>
      <w:r w:rsidRPr="00E73D4B">
        <w:t>Innst</w:t>
      </w:r>
      <w:proofErr w:type="spellEnd"/>
      <w:r w:rsidRPr="00E73D4B">
        <w:t xml:space="preserve">. 270 S (2021–2022) vart tilskottet til de frivillige </w:t>
      </w:r>
      <w:proofErr w:type="spellStart"/>
      <w:r w:rsidRPr="00E73D4B">
        <w:t>organisasjonane</w:t>
      </w:r>
      <w:proofErr w:type="spellEnd"/>
      <w:r w:rsidRPr="00E73D4B">
        <w:t xml:space="preserve"> i </w:t>
      </w:r>
      <w:proofErr w:type="spellStart"/>
      <w:r w:rsidRPr="00E73D4B">
        <w:t>redningstenesta</w:t>
      </w:r>
      <w:proofErr w:type="spellEnd"/>
      <w:r w:rsidRPr="00E73D4B">
        <w:t xml:space="preserve"> </w:t>
      </w:r>
      <w:proofErr w:type="spellStart"/>
      <w:r w:rsidRPr="00E73D4B">
        <w:t>auka</w:t>
      </w:r>
      <w:proofErr w:type="spellEnd"/>
      <w:r w:rsidRPr="00E73D4B">
        <w:t xml:space="preserve"> med 10,2 mill. kroner, for å dekke </w:t>
      </w:r>
      <w:proofErr w:type="spellStart"/>
      <w:r w:rsidRPr="00E73D4B">
        <w:t>årlege</w:t>
      </w:r>
      <w:proofErr w:type="spellEnd"/>
      <w:r w:rsidRPr="00E73D4B">
        <w:t xml:space="preserve"> drifts- og abonnementskostnader for 2 000 nye Nødnett-</w:t>
      </w:r>
      <w:proofErr w:type="spellStart"/>
      <w:r w:rsidRPr="00E73D4B">
        <w:t>terminalar</w:t>
      </w:r>
      <w:proofErr w:type="spellEnd"/>
      <w:r w:rsidRPr="00E73D4B">
        <w:t xml:space="preserve">. </w:t>
      </w:r>
      <w:proofErr w:type="spellStart"/>
      <w:r w:rsidRPr="00E73D4B">
        <w:t>Ein</w:t>
      </w:r>
      <w:proofErr w:type="spellEnd"/>
      <w:r w:rsidRPr="00E73D4B">
        <w:t xml:space="preserve"> </w:t>
      </w:r>
      <w:proofErr w:type="spellStart"/>
      <w:r w:rsidRPr="00E73D4B">
        <w:t>ytterlegare</w:t>
      </w:r>
      <w:proofErr w:type="spellEnd"/>
      <w:r w:rsidRPr="00E73D4B">
        <w:t xml:space="preserve"> </w:t>
      </w:r>
      <w:proofErr w:type="spellStart"/>
      <w:r w:rsidRPr="00E73D4B">
        <w:t>auke</w:t>
      </w:r>
      <w:proofErr w:type="spellEnd"/>
      <w:r w:rsidRPr="00E73D4B">
        <w:t xml:space="preserve"> i løyvinga til </w:t>
      </w:r>
      <w:proofErr w:type="spellStart"/>
      <w:r w:rsidRPr="00E73D4B">
        <w:t>meir</w:t>
      </w:r>
      <w:proofErr w:type="spellEnd"/>
      <w:r w:rsidRPr="00E73D4B">
        <w:t xml:space="preserve"> </w:t>
      </w:r>
      <w:proofErr w:type="spellStart"/>
      <w:r w:rsidRPr="00E73D4B">
        <w:t>ressursar</w:t>
      </w:r>
      <w:proofErr w:type="spellEnd"/>
      <w:r w:rsidRPr="00E73D4B">
        <w:t xml:space="preserve"> til utstyr og trening må eventuelt </w:t>
      </w:r>
      <w:proofErr w:type="spellStart"/>
      <w:r w:rsidRPr="00E73D4B">
        <w:t>vurderast</w:t>
      </w:r>
      <w:proofErr w:type="spellEnd"/>
      <w:r w:rsidRPr="00E73D4B">
        <w:t xml:space="preserve"> i forbindelse med </w:t>
      </w:r>
      <w:proofErr w:type="spellStart"/>
      <w:r w:rsidRPr="00E73D4B">
        <w:t>dei</w:t>
      </w:r>
      <w:proofErr w:type="spellEnd"/>
      <w:r w:rsidRPr="00E73D4B">
        <w:t xml:space="preserve"> </w:t>
      </w:r>
      <w:proofErr w:type="spellStart"/>
      <w:r w:rsidRPr="00E73D4B">
        <w:t>årlege</w:t>
      </w:r>
      <w:proofErr w:type="spellEnd"/>
      <w:r w:rsidRPr="00E73D4B">
        <w:t xml:space="preserve"> budsjettframlegga.</w:t>
      </w:r>
    </w:p>
    <w:p w14:paraId="55395966" w14:textId="77777777" w:rsidR="00972395" w:rsidRPr="00E73D4B" w:rsidRDefault="00F120C7" w:rsidP="00E73D4B">
      <w:pPr>
        <w:pStyle w:val="avsnitt-tittel"/>
      </w:pPr>
      <w:r w:rsidRPr="00E73D4B">
        <w:t>Brann til sjøs</w:t>
      </w:r>
    </w:p>
    <w:p w14:paraId="142793FF" w14:textId="77777777" w:rsidR="00972395" w:rsidRPr="00E73D4B" w:rsidRDefault="00F120C7" w:rsidP="00E73D4B">
      <w:pPr>
        <w:pStyle w:val="avsnitt-undertittel"/>
      </w:pPr>
      <w:r w:rsidRPr="00E73D4B">
        <w:t>Vedtak nr. 742, 11. mars 2021</w:t>
      </w:r>
    </w:p>
    <w:p w14:paraId="4D654D5E" w14:textId="77777777" w:rsidR="00972395" w:rsidRPr="00E73D4B" w:rsidRDefault="00F120C7" w:rsidP="00E73D4B">
      <w:pPr>
        <w:pStyle w:val="blokksit"/>
        <w:rPr>
          <w:rStyle w:val="kursiv"/>
        </w:rPr>
      </w:pPr>
      <w:r w:rsidRPr="00E73D4B">
        <w:rPr>
          <w:rStyle w:val="kursiv"/>
        </w:rPr>
        <w:t>«Stortinget ber regjeringen styrke Redningsselskapet og gjennomgå hvordan de kan bistå brann- og redningsetaten ved brann til sjøs.»</w:t>
      </w:r>
    </w:p>
    <w:p w14:paraId="4255DDAC"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7325F71B" w14:textId="77777777" w:rsidR="00972395" w:rsidRPr="00E73D4B" w:rsidRDefault="00F120C7" w:rsidP="00E73D4B">
      <w:r w:rsidRPr="00E73D4B">
        <w:t xml:space="preserve">Vedtaket er under behandling. </w:t>
      </w:r>
      <w:proofErr w:type="spellStart"/>
      <w:r w:rsidRPr="00E73D4B">
        <w:t>Tilskotet</w:t>
      </w:r>
      <w:proofErr w:type="spellEnd"/>
      <w:r w:rsidRPr="00E73D4B">
        <w:t xml:space="preserve"> til Redningsselskapet (RS) har hatt </w:t>
      </w:r>
      <w:proofErr w:type="spellStart"/>
      <w:r w:rsidRPr="00E73D4B">
        <w:t>ein</w:t>
      </w:r>
      <w:proofErr w:type="spellEnd"/>
      <w:r w:rsidRPr="00E73D4B">
        <w:t xml:space="preserve"> jamn og kraftig </w:t>
      </w:r>
      <w:proofErr w:type="spellStart"/>
      <w:r w:rsidRPr="00E73D4B">
        <w:t>auke</w:t>
      </w:r>
      <w:proofErr w:type="spellEnd"/>
      <w:r w:rsidRPr="00E73D4B">
        <w:t xml:space="preserve"> </w:t>
      </w:r>
      <w:proofErr w:type="spellStart"/>
      <w:r w:rsidRPr="00E73D4B">
        <w:t>dei</w:t>
      </w:r>
      <w:proofErr w:type="spellEnd"/>
      <w:r w:rsidRPr="00E73D4B">
        <w:t xml:space="preserve"> </w:t>
      </w:r>
      <w:proofErr w:type="spellStart"/>
      <w:r w:rsidRPr="00E73D4B">
        <w:t>seinare</w:t>
      </w:r>
      <w:proofErr w:type="spellEnd"/>
      <w:r w:rsidRPr="00E73D4B">
        <w:t xml:space="preserve"> åra, </w:t>
      </w:r>
      <w:proofErr w:type="spellStart"/>
      <w:r w:rsidRPr="00E73D4B">
        <w:t>frå</w:t>
      </w:r>
      <w:proofErr w:type="spellEnd"/>
      <w:r w:rsidRPr="00E73D4B">
        <w:t xml:space="preserve"> om lag 56 mill. kroner i 2013 til om lag 128 mill. kroner i 2021. </w:t>
      </w:r>
      <w:proofErr w:type="spellStart"/>
      <w:r w:rsidRPr="00E73D4B">
        <w:t>Ytterlegare</w:t>
      </w:r>
      <w:proofErr w:type="spellEnd"/>
      <w:r w:rsidRPr="00E73D4B">
        <w:t xml:space="preserve"> oppfølging av vedtaket blir vurdert.</w:t>
      </w:r>
    </w:p>
    <w:p w14:paraId="1285CF08" w14:textId="77777777" w:rsidR="00972395" w:rsidRPr="00E73D4B" w:rsidRDefault="00F120C7" w:rsidP="00E73D4B">
      <w:pPr>
        <w:pStyle w:val="avsnitt-tittel"/>
      </w:pPr>
      <w:r w:rsidRPr="00E73D4B">
        <w:t>Tilfluktsrom</w:t>
      </w:r>
    </w:p>
    <w:p w14:paraId="32642213" w14:textId="77777777" w:rsidR="00972395" w:rsidRPr="00E73D4B" w:rsidRDefault="00F120C7" w:rsidP="00E73D4B">
      <w:pPr>
        <w:pStyle w:val="avsnitt-undertittel"/>
      </w:pPr>
      <w:r w:rsidRPr="00E73D4B">
        <w:t>Vedtak nr. 743, 11. mars 2021</w:t>
      </w:r>
    </w:p>
    <w:p w14:paraId="467C0746" w14:textId="77777777" w:rsidR="00972395" w:rsidRPr="00E73D4B" w:rsidRDefault="00F120C7" w:rsidP="00E73D4B">
      <w:pPr>
        <w:pStyle w:val="blokksit"/>
        <w:rPr>
          <w:rStyle w:val="kursiv"/>
        </w:rPr>
      </w:pPr>
      <w:r w:rsidRPr="00E73D4B">
        <w:rPr>
          <w:rStyle w:val="kursiv"/>
        </w:rPr>
        <w:t>«Stortinget ber regjeringen komme tilbake til Stortinget med en vurdering av hvordan eksisterende tilfluktsrom i større grad kan benyttes slik at de holdes i stand samt inngår som en del av den nasjonale beredskapen i forbindelse med for eksempel migrasjon, pandemi eller forsyningskrise.»</w:t>
      </w:r>
    </w:p>
    <w:p w14:paraId="1F2FD023"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0850A20A" w14:textId="77777777" w:rsidR="00972395" w:rsidRPr="00E73D4B" w:rsidRDefault="00F120C7" w:rsidP="00E73D4B">
      <w:r w:rsidRPr="00E73D4B">
        <w:t xml:space="preserve">Vedtaket er under behandling. DSB har fått i oppdrag i tildelingsbrevet for 2022 å </w:t>
      </w:r>
      <w:proofErr w:type="spellStart"/>
      <w:r w:rsidRPr="00E73D4B">
        <w:t>gjennomføra</w:t>
      </w:r>
      <w:proofErr w:type="spellEnd"/>
      <w:r w:rsidRPr="00E73D4B">
        <w:t xml:space="preserve"> </w:t>
      </w:r>
      <w:proofErr w:type="spellStart"/>
      <w:r w:rsidRPr="00E73D4B">
        <w:t>eit</w:t>
      </w:r>
      <w:proofErr w:type="spellEnd"/>
      <w:r w:rsidRPr="00E73D4B">
        <w:t xml:space="preserve"> forprosjekt der </w:t>
      </w:r>
      <w:proofErr w:type="spellStart"/>
      <w:r w:rsidRPr="00E73D4B">
        <w:t>dei</w:t>
      </w:r>
      <w:proofErr w:type="spellEnd"/>
      <w:r w:rsidRPr="00E73D4B">
        <w:t xml:space="preserve"> ser på slike forhold. Forprosjektet skal ferdigstillast </w:t>
      </w:r>
      <w:proofErr w:type="spellStart"/>
      <w:r w:rsidRPr="00E73D4B">
        <w:t>innan</w:t>
      </w:r>
      <w:proofErr w:type="spellEnd"/>
      <w:r w:rsidRPr="00E73D4B">
        <w:t xml:space="preserve"> utgangen av 2022.</w:t>
      </w:r>
    </w:p>
    <w:p w14:paraId="18650C83" w14:textId="77777777" w:rsidR="00972395" w:rsidRPr="00E73D4B" w:rsidRDefault="00F120C7" w:rsidP="00E73D4B">
      <w:pPr>
        <w:pStyle w:val="avsnitt-tittel"/>
      </w:pPr>
      <w:r w:rsidRPr="00E73D4B">
        <w:t>Objektsikring</w:t>
      </w:r>
    </w:p>
    <w:p w14:paraId="779DBDE0" w14:textId="77777777" w:rsidR="00972395" w:rsidRPr="00E73D4B" w:rsidRDefault="00F120C7" w:rsidP="00E73D4B">
      <w:pPr>
        <w:pStyle w:val="avsnitt-undertittel"/>
      </w:pPr>
      <w:r w:rsidRPr="00E73D4B">
        <w:t>Vedtak nr. 745, 11. mars 2021</w:t>
      </w:r>
    </w:p>
    <w:p w14:paraId="798A34BB" w14:textId="77777777" w:rsidR="00972395" w:rsidRPr="00E73D4B" w:rsidRDefault="00F120C7" w:rsidP="00E73D4B">
      <w:pPr>
        <w:pStyle w:val="blokksit"/>
        <w:rPr>
          <w:rStyle w:val="kursiv"/>
        </w:rPr>
      </w:pPr>
      <w:r w:rsidRPr="00E73D4B">
        <w:rPr>
          <w:rStyle w:val="kursiv"/>
        </w:rPr>
        <w:t>«Stortinget ber regjeringen forsterke fysisk sikring av prioriterte objekter på grunnlag av trusselvurderinger og ROS-analyser.»</w:t>
      </w:r>
    </w:p>
    <w:p w14:paraId="4615DB9A"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4F966B8D" w14:textId="77777777" w:rsidR="00972395" w:rsidRPr="00E73D4B" w:rsidRDefault="00F120C7" w:rsidP="00E73D4B">
      <w:r w:rsidRPr="00E73D4B">
        <w:t xml:space="preserve">Vedtaket er </w:t>
      </w:r>
      <w:proofErr w:type="spellStart"/>
      <w:r w:rsidRPr="00E73D4B">
        <w:t>følgt</w:t>
      </w:r>
      <w:proofErr w:type="spellEnd"/>
      <w:r w:rsidRPr="00E73D4B">
        <w:t xml:space="preserve"> opp gjennom arbeidet som er i gang med </w:t>
      </w:r>
      <w:proofErr w:type="spellStart"/>
      <w:r w:rsidRPr="00E73D4B">
        <w:t>grunnleggjande</w:t>
      </w:r>
      <w:proofErr w:type="spellEnd"/>
      <w:r w:rsidRPr="00E73D4B">
        <w:t xml:space="preserve"> nasjonale </w:t>
      </w:r>
      <w:proofErr w:type="spellStart"/>
      <w:r w:rsidRPr="00E73D4B">
        <w:t>funksjonar</w:t>
      </w:r>
      <w:proofErr w:type="spellEnd"/>
      <w:r w:rsidRPr="00E73D4B">
        <w:t xml:space="preserve"> (GNF). Dette arbeidet inkluderer bl.a. at det blir </w:t>
      </w:r>
      <w:proofErr w:type="spellStart"/>
      <w:r w:rsidRPr="00E73D4B">
        <w:t>arbeidd</w:t>
      </w:r>
      <w:proofErr w:type="spellEnd"/>
      <w:r w:rsidRPr="00E73D4B">
        <w:t xml:space="preserve"> systematisk med å </w:t>
      </w:r>
      <w:proofErr w:type="spellStart"/>
      <w:r w:rsidRPr="00E73D4B">
        <w:t>leggje</w:t>
      </w:r>
      <w:proofErr w:type="spellEnd"/>
      <w:r w:rsidRPr="00E73D4B">
        <w:t xml:space="preserve"> grunnlag for å gjennomføre nødvendig sikring av skjermingsverdige </w:t>
      </w:r>
      <w:proofErr w:type="spellStart"/>
      <w:r w:rsidRPr="00E73D4B">
        <w:t>verdiar</w:t>
      </w:r>
      <w:proofErr w:type="spellEnd"/>
      <w:r w:rsidRPr="00E73D4B">
        <w:t xml:space="preserve">. I tillegg </w:t>
      </w:r>
      <w:proofErr w:type="spellStart"/>
      <w:r w:rsidRPr="00E73D4B">
        <w:t>lagar</w:t>
      </w:r>
      <w:proofErr w:type="spellEnd"/>
      <w:r w:rsidRPr="00E73D4B">
        <w:t xml:space="preserve"> DFØ og NSM i fellesskap </w:t>
      </w:r>
      <w:proofErr w:type="spellStart"/>
      <w:r w:rsidRPr="00E73D4B">
        <w:t>ein</w:t>
      </w:r>
      <w:proofErr w:type="spellEnd"/>
      <w:r w:rsidRPr="00E73D4B">
        <w:t xml:space="preserve"> </w:t>
      </w:r>
      <w:proofErr w:type="spellStart"/>
      <w:r w:rsidRPr="00E73D4B">
        <w:t>rettleiar</w:t>
      </w:r>
      <w:proofErr w:type="spellEnd"/>
      <w:r w:rsidRPr="00E73D4B">
        <w:t xml:space="preserve"> for utarbeiding av betre avgjerdsgrunnlag for objekt- og infrastruktursikring i investeringsprosjekt.</w:t>
      </w:r>
    </w:p>
    <w:p w14:paraId="58A8DA6F" w14:textId="77777777" w:rsidR="00972395" w:rsidRPr="00E73D4B" w:rsidRDefault="00F120C7" w:rsidP="00E73D4B">
      <w:pPr>
        <w:pStyle w:val="avsnitt-tittel"/>
      </w:pPr>
      <w:r w:rsidRPr="00E73D4B">
        <w:t xml:space="preserve">Kompetanseheving </w:t>
      </w:r>
      <w:proofErr w:type="spellStart"/>
      <w:r w:rsidRPr="00E73D4B">
        <w:t>innanfor</w:t>
      </w:r>
      <w:proofErr w:type="spellEnd"/>
      <w:r w:rsidRPr="00E73D4B">
        <w:t xml:space="preserve"> IKT-tryggleik</w:t>
      </w:r>
    </w:p>
    <w:p w14:paraId="60D0C8D6" w14:textId="77777777" w:rsidR="00972395" w:rsidRPr="00E73D4B" w:rsidRDefault="00F120C7" w:rsidP="00E73D4B">
      <w:pPr>
        <w:pStyle w:val="avsnitt-undertittel"/>
      </w:pPr>
      <w:r w:rsidRPr="00E73D4B">
        <w:t>Vedtak nr. 746, 11. mars 2021</w:t>
      </w:r>
    </w:p>
    <w:p w14:paraId="44B5A4E4" w14:textId="77777777" w:rsidR="00972395" w:rsidRPr="00E73D4B" w:rsidRDefault="00F120C7" w:rsidP="00E73D4B">
      <w:pPr>
        <w:pStyle w:val="blokksit"/>
        <w:rPr>
          <w:rStyle w:val="kursiv"/>
        </w:rPr>
      </w:pPr>
      <w:r w:rsidRPr="00E73D4B">
        <w:rPr>
          <w:rStyle w:val="kursiv"/>
        </w:rPr>
        <w:t>«Stortinget ber regjeringen sørge for økt kompetanseheving for ansatte i kommuner, stat og bedrifter innenfor IKT-sikkerhet.»</w:t>
      </w:r>
    </w:p>
    <w:p w14:paraId="07838EEE"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5D0EFA9B" w14:textId="77777777" w:rsidR="00972395" w:rsidRPr="00E73D4B" w:rsidRDefault="00F120C7" w:rsidP="00E73D4B">
      <w:r w:rsidRPr="00E73D4B">
        <w:t xml:space="preserve">Vedtaket er </w:t>
      </w:r>
      <w:proofErr w:type="spellStart"/>
      <w:r w:rsidRPr="00E73D4B">
        <w:t>følgt</w:t>
      </w:r>
      <w:proofErr w:type="spellEnd"/>
      <w:r w:rsidRPr="00E73D4B">
        <w:t xml:space="preserve"> opp gjennom </w:t>
      </w:r>
      <w:proofErr w:type="spellStart"/>
      <w:r w:rsidRPr="00E73D4B">
        <w:t>fleire</w:t>
      </w:r>
      <w:proofErr w:type="spellEnd"/>
      <w:r w:rsidRPr="00E73D4B">
        <w:t xml:space="preserve"> tiltak. I </w:t>
      </w:r>
      <w:proofErr w:type="spellStart"/>
      <w:r w:rsidRPr="00E73D4B">
        <w:t>Prop</w:t>
      </w:r>
      <w:proofErr w:type="spellEnd"/>
      <w:r w:rsidRPr="00E73D4B">
        <w:t xml:space="preserve">. 78 S (2021–2022) er det òg gitt løyving til en befolkningskampanje som </w:t>
      </w:r>
      <w:proofErr w:type="spellStart"/>
      <w:r w:rsidRPr="00E73D4B">
        <w:t>NorSIS</w:t>
      </w:r>
      <w:proofErr w:type="spellEnd"/>
      <w:r w:rsidRPr="00E73D4B">
        <w:t xml:space="preserve"> vil gjennomføre på vegne av Justis- og beredskapsdepartementet </w:t>
      </w:r>
      <w:proofErr w:type="spellStart"/>
      <w:r w:rsidRPr="00E73D4B">
        <w:t>hausten</w:t>
      </w:r>
      <w:proofErr w:type="spellEnd"/>
      <w:r w:rsidRPr="00E73D4B">
        <w:t xml:space="preserve"> 2022. Kampanjen vil mellom anna inngå i den </w:t>
      </w:r>
      <w:proofErr w:type="spellStart"/>
      <w:r w:rsidRPr="00E73D4B">
        <w:t>årlege</w:t>
      </w:r>
      <w:proofErr w:type="spellEnd"/>
      <w:r w:rsidRPr="00E73D4B">
        <w:t xml:space="preserve"> </w:t>
      </w:r>
      <w:proofErr w:type="spellStart"/>
      <w:r w:rsidRPr="00E73D4B">
        <w:t>tryggleiksmånaden</w:t>
      </w:r>
      <w:proofErr w:type="spellEnd"/>
      <w:r w:rsidRPr="00E73D4B">
        <w:t xml:space="preserve"> – Nasjonal sikkerhetsmåned, der formålet er </w:t>
      </w:r>
      <w:proofErr w:type="spellStart"/>
      <w:r w:rsidRPr="00E73D4B">
        <w:t>auka</w:t>
      </w:r>
      <w:proofErr w:type="spellEnd"/>
      <w:r w:rsidRPr="00E73D4B">
        <w:t xml:space="preserve"> engasjement, </w:t>
      </w:r>
      <w:proofErr w:type="spellStart"/>
      <w:r w:rsidRPr="00E73D4B">
        <w:t>medvit</w:t>
      </w:r>
      <w:proofErr w:type="spellEnd"/>
      <w:r w:rsidRPr="00E73D4B">
        <w:t xml:space="preserve"> og kunnskap om digital tryggleik, i befolkninga og i </w:t>
      </w:r>
      <w:proofErr w:type="spellStart"/>
      <w:r w:rsidRPr="00E73D4B">
        <w:t>verksemder</w:t>
      </w:r>
      <w:proofErr w:type="spellEnd"/>
      <w:r w:rsidRPr="00E73D4B">
        <w:t xml:space="preserve">. Justis- og beredskapsministeren og Kommunal- og </w:t>
      </w:r>
      <w:proofErr w:type="spellStart"/>
      <w:r w:rsidRPr="00E73D4B">
        <w:t>distriktsministeren</w:t>
      </w:r>
      <w:proofErr w:type="spellEnd"/>
      <w:r w:rsidRPr="00E73D4B">
        <w:t xml:space="preserve"> har møtt over 200 </w:t>
      </w:r>
      <w:proofErr w:type="spellStart"/>
      <w:r w:rsidRPr="00E73D4B">
        <w:t>kommunar</w:t>
      </w:r>
      <w:proofErr w:type="spellEnd"/>
      <w:r w:rsidRPr="00E73D4B">
        <w:t xml:space="preserve">, der </w:t>
      </w:r>
      <w:proofErr w:type="spellStart"/>
      <w:r w:rsidRPr="00E73D4B">
        <w:t>viktigheita</w:t>
      </w:r>
      <w:proofErr w:type="spellEnd"/>
      <w:r w:rsidRPr="00E73D4B">
        <w:t xml:space="preserve"> av digital tryggleik vart formidla, og hvor det blei vist til nasjonale </w:t>
      </w:r>
      <w:proofErr w:type="spellStart"/>
      <w:r w:rsidRPr="00E73D4B">
        <w:t>oppmodingar</w:t>
      </w:r>
      <w:proofErr w:type="spellEnd"/>
      <w:r w:rsidRPr="00E73D4B">
        <w:t xml:space="preserve"> og råd. </w:t>
      </w:r>
      <w:proofErr w:type="spellStart"/>
      <w:r w:rsidRPr="00E73D4B">
        <w:t>Samtlege</w:t>
      </w:r>
      <w:proofErr w:type="spellEnd"/>
      <w:r w:rsidRPr="00E73D4B">
        <w:t xml:space="preserve"> departement er bedt om å kartlegge sikkerhetsfaglig kompetanse. Det er </w:t>
      </w:r>
      <w:proofErr w:type="spellStart"/>
      <w:r w:rsidRPr="00E73D4B">
        <w:t>verksatt</w:t>
      </w:r>
      <w:proofErr w:type="spellEnd"/>
      <w:r w:rsidRPr="00E73D4B">
        <w:t xml:space="preserve"> </w:t>
      </w:r>
      <w:proofErr w:type="spellStart"/>
      <w:r w:rsidRPr="00E73D4B">
        <w:t>eit</w:t>
      </w:r>
      <w:proofErr w:type="spellEnd"/>
      <w:r w:rsidRPr="00E73D4B">
        <w:t xml:space="preserve"> stortingsmeldingsarbeid, hvor departementet vil sjå på oppfølginga av Nasjonal strategi for digital </w:t>
      </w:r>
      <w:proofErr w:type="spellStart"/>
      <w:r w:rsidRPr="00E73D4B">
        <w:t>trygleikskompetanse</w:t>
      </w:r>
      <w:proofErr w:type="spellEnd"/>
      <w:r w:rsidRPr="00E73D4B">
        <w:t xml:space="preserve"> som </w:t>
      </w:r>
      <w:proofErr w:type="spellStart"/>
      <w:r w:rsidRPr="00E73D4B">
        <w:t>vart</w:t>
      </w:r>
      <w:proofErr w:type="spellEnd"/>
      <w:r w:rsidRPr="00E73D4B">
        <w:t xml:space="preserve"> lansert i 2019 i tett samarbeid med Kunnskapsdepartementet. Som ei oppfølging av kommunearrangementet i februar er det gitt </w:t>
      </w:r>
      <w:proofErr w:type="spellStart"/>
      <w:r w:rsidRPr="00E73D4B">
        <w:t>midlar</w:t>
      </w:r>
      <w:proofErr w:type="spellEnd"/>
      <w:r w:rsidRPr="00E73D4B">
        <w:t xml:space="preserve"> til arbeidet med digital tryggleik i kommunesektoren, slik at </w:t>
      </w:r>
      <w:proofErr w:type="spellStart"/>
      <w:r w:rsidRPr="00E73D4B">
        <w:t>kommunane</w:t>
      </w:r>
      <w:proofErr w:type="spellEnd"/>
      <w:r w:rsidRPr="00E73D4B">
        <w:t xml:space="preserve"> skal bli i betre stand til </w:t>
      </w:r>
      <w:proofErr w:type="gramStart"/>
      <w:r w:rsidRPr="00E73D4B">
        <w:t>å oppdaga</w:t>
      </w:r>
      <w:proofErr w:type="gramEnd"/>
      <w:r w:rsidRPr="00E73D4B">
        <w:t xml:space="preserve">, </w:t>
      </w:r>
      <w:proofErr w:type="spellStart"/>
      <w:r w:rsidRPr="00E73D4B">
        <w:t>førebyggja</w:t>
      </w:r>
      <w:proofErr w:type="spellEnd"/>
      <w:r w:rsidRPr="00E73D4B">
        <w:t xml:space="preserve"> og </w:t>
      </w:r>
      <w:proofErr w:type="spellStart"/>
      <w:r w:rsidRPr="00E73D4B">
        <w:t>handtera</w:t>
      </w:r>
      <w:proofErr w:type="spellEnd"/>
      <w:r w:rsidRPr="00E73D4B">
        <w:t xml:space="preserve"> digitale angrep. Dette inkluderer å </w:t>
      </w:r>
      <w:proofErr w:type="spellStart"/>
      <w:r w:rsidRPr="00E73D4B">
        <w:t>leggja</w:t>
      </w:r>
      <w:proofErr w:type="spellEnd"/>
      <w:r w:rsidRPr="00E73D4B">
        <w:t xml:space="preserve"> til rette for at alle </w:t>
      </w:r>
      <w:proofErr w:type="spellStart"/>
      <w:r w:rsidRPr="00E73D4B">
        <w:t>kommunar</w:t>
      </w:r>
      <w:proofErr w:type="spellEnd"/>
      <w:r w:rsidRPr="00E73D4B">
        <w:t xml:space="preserve"> er tilknytta </w:t>
      </w:r>
      <w:proofErr w:type="spellStart"/>
      <w:r w:rsidRPr="00E73D4B">
        <w:t>eit</w:t>
      </w:r>
      <w:proofErr w:type="spellEnd"/>
      <w:r w:rsidRPr="00E73D4B">
        <w:t xml:space="preserve"> handterings-/responsmiljø.</w:t>
      </w:r>
    </w:p>
    <w:p w14:paraId="22B0E45A" w14:textId="77777777" w:rsidR="00972395" w:rsidRPr="00E73D4B" w:rsidRDefault="00F120C7" w:rsidP="00E73D4B">
      <w:pPr>
        <w:pStyle w:val="avsnitt-tittel"/>
      </w:pPr>
      <w:r w:rsidRPr="00E73D4B">
        <w:t xml:space="preserve">Inkludering av frivillige </w:t>
      </w:r>
      <w:proofErr w:type="spellStart"/>
      <w:r w:rsidRPr="00E73D4B">
        <w:t>organisasjonar</w:t>
      </w:r>
      <w:proofErr w:type="spellEnd"/>
      <w:r w:rsidRPr="00E73D4B">
        <w:t xml:space="preserve"> i </w:t>
      </w:r>
      <w:proofErr w:type="spellStart"/>
      <w:r w:rsidRPr="00E73D4B">
        <w:t>beredskapsplanar</w:t>
      </w:r>
      <w:proofErr w:type="spellEnd"/>
    </w:p>
    <w:p w14:paraId="77351494" w14:textId="77777777" w:rsidR="00972395" w:rsidRPr="00E73D4B" w:rsidRDefault="00F120C7" w:rsidP="00E73D4B">
      <w:pPr>
        <w:pStyle w:val="avsnitt-undertittel"/>
      </w:pPr>
      <w:r w:rsidRPr="00E73D4B">
        <w:t>Vedtak nr. 748, 11. mars 2021</w:t>
      </w:r>
    </w:p>
    <w:p w14:paraId="4A636155" w14:textId="77777777" w:rsidR="00972395" w:rsidRPr="00E73D4B" w:rsidRDefault="00F120C7" w:rsidP="00E73D4B">
      <w:pPr>
        <w:pStyle w:val="blokksit"/>
        <w:rPr>
          <w:rStyle w:val="kursiv"/>
        </w:rPr>
      </w:pPr>
      <w:r w:rsidRPr="00E73D4B">
        <w:rPr>
          <w:rStyle w:val="kursiv"/>
        </w:rPr>
        <w:t>«Stortinget ber regjeringen sikre at politi, statsforvalter og kommuner inkluderer frivillige organisasjoner i beredskapsplaner, at disse deltar på felles øvelser, samt at politiet forpliktes til å koordinere og ivareta samvirket mellom de ulike aktørene mellom hendelsene.»</w:t>
      </w:r>
    </w:p>
    <w:p w14:paraId="6199E58D" w14:textId="77777777" w:rsidR="00972395" w:rsidRPr="00E73D4B" w:rsidRDefault="00F120C7" w:rsidP="00E73D4B">
      <w:r w:rsidRPr="00E73D4B">
        <w:t xml:space="preserve">Dokumenta som ligg til grunn for vedtaket, er Meld. St. 5 (2020–2021) og </w:t>
      </w:r>
      <w:proofErr w:type="spellStart"/>
      <w:r w:rsidRPr="00E73D4B">
        <w:t>Innst</w:t>
      </w:r>
      <w:proofErr w:type="spellEnd"/>
      <w:r w:rsidRPr="00E73D4B">
        <w:t xml:space="preserve">. 275 S (2020–2021) </w:t>
      </w:r>
      <w:proofErr w:type="spellStart"/>
      <w:r w:rsidRPr="00E73D4B">
        <w:t>frå</w:t>
      </w:r>
      <w:proofErr w:type="spellEnd"/>
      <w:r w:rsidRPr="00E73D4B">
        <w:t xml:space="preserve"> justiskomiteen.</w:t>
      </w:r>
    </w:p>
    <w:p w14:paraId="68082CBC" w14:textId="77777777" w:rsidR="00972395" w:rsidRPr="00E73D4B" w:rsidRDefault="00F120C7" w:rsidP="00E73D4B">
      <w:r w:rsidRPr="00E73D4B">
        <w:t xml:space="preserve">Vedtaket er </w:t>
      </w:r>
      <w:proofErr w:type="spellStart"/>
      <w:r w:rsidRPr="00E73D4B">
        <w:t>følgt</w:t>
      </w:r>
      <w:proofErr w:type="spellEnd"/>
      <w:r w:rsidRPr="00E73D4B">
        <w:t xml:space="preserve"> opp. Frivillige organisasjoner er </w:t>
      </w:r>
      <w:proofErr w:type="spellStart"/>
      <w:r w:rsidRPr="00E73D4B">
        <w:t>ein</w:t>
      </w:r>
      <w:proofErr w:type="spellEnd"/>
      <w:r w:rsidRPr="00E73D4B">
        <w:t xml:space="preserve"> sentral del av beredskapen i Norge, og </w:t>
      </w:r>
      <w:proofErr w:type="spellStart"/>
      <w:r w:rsidRPr="00E73D4B">
        <w:t>dei</w:t>
      </w:r>
      <w:proofErr w:type="spellEnd"/>
      <w:r w:rsidRPr="00E73D4B">
        <w:t xml:space="preserve"> blir inkluderte i </w:t>
      </w:r>
      <w:proofErr w:type="spellStart"/>
      <w:r w:rsidRPr="00E73D4B">
        <w:t>beredskapsplanar</w:t>
      </w:r>
      <w:proofErr w:type="spellEnd"/>
      <w:r w:rsidRPr="00E73D4B">
        <w:t xml:space="preserve"> og i </w:t>
      </w:r>
      <w:proofErr w:type="spellStart"/>
      <w:r w:rsidRPr="00E73D4B">
        <w:t>øvingar</w:t>
      </w:r>
      <w:proofErr w:type="spellEnd"/>
      <w:r w:rsidRPr="00E73D4B">
        <w:t xml:space="preserve">. Dette blir bl.a. sikra annet gjennom </w:t>
      </w:r>
      <w:proofErr w:type="spellStart"/>
      <w:r w:rsidRPr="00E73D4B">
        <w:t>Hovudredningssentralen</w:t>
      </w:r>
      <w:proofErr w:type="spellEnd"/>
      <w:r w:rsidRPr="00E73D4B">
        <w:t xml:space="preserve"> sitt tilsyn med </w:t>
      </w:r>
      <w:proofErr w:type="spellStart"/>
      <w:r w:rsidRPr="00E73D4B">
        <w:t>dei</w:t>
      </w:r>
      <w:proofErr w:type="spellEnd"/>
      <w:r w:rsidRPr="00E73D4B">
        <w:t xml:space="preserve"> lokale </w:t>
      </w:r>
      <w:proofErr w:type="spellStart"/>
      <w:r w:rsidRPr="00E73D4B">
        <w:t>redningssentralane</w:t>
      </w:r>
      <w:proofErr w:type="spellEnd"/>
      <w:r w:rsidRPr="00E73D4B">
        <w:t xml:space="preserve"> i kvart politidistrikt, og gjennom </w:t>
      </w:r>
      <w:proofErr w:type="spellStart"/>
      <w:r w:rsidRPr="00E73D4B">
        <w:t>statsforvaltaren</w:t>
      </w:r>
      <w:proofErr w:type="spellEnd"/>
      <w:r w:rsidRPr="00E73D4B">
        <w:t xml:space="preserve"> sitt beredskapsansvar.</w:t>
      </w:r>
    </w:p>
    <w:p w14:paraId="1CA91253" w14:textId="77777777" w:rsidR="00972395" w:rsidRPr="00E73D4B" w:rsidRDefault="00F120C7" w:rsidP="00E73D4B">
      <w:pPr>
        <w:pStyle w:val="avsnitt-tittel"/>
      </w:pPr>
      <w:r w:rsidRPr="00E73D4B">
        <w:t>ADR-kontroll</w:t>
      </w:r>
    </w:p>
    <w:p w14:paraId="1D30AE74" w14:textId="77777777" w:rsidR="00972395" w:rsidRPr="00E73D4B" w:rsidRDefault="00F120C7" w:rsidP="00E73D4B">
      <w:pPr>
        <w:pStyle w:val="avsnitt-undertittel"/>
      </w:pPr>
      <w:r w:rsidRPr="00E73D4B">
        <w:t>Vedtak nr. 799, 13. april 2021</w:t>
      </w:r>
    </w:p>
    <w:p w14:paraId="6FA169BC" w14:textId="77777777" w:rsidR="00972395" w:rsidRPr="00E73D4B" w:rsidRDefault="00F120C7" w:rsidP="00E73D4B">
      <w:pPr>
        <w:pStyle w:val="blokksit"/>
        <w:rPr>
          <w:rStyle w:val="kursiv"/>
        </w:rPr>
      </w:pPr>
      <w:r w:rsidRPr="00E73D4B">
        <w:rPr>
          <w:rStyle w:val="kursiv"/>
        </w:rPr>
        <w:t>«Stortinget ber regjeringen utrede muligheten for å overføre myndighet til å gjennomføre ADR-kontroll til godkjente tungbilverksteder.»</w:t>
      </w:r>
    </w:p>
    <w:p w14:paraId="1E624A15" w14:textId="77777777" w:rsidR="00972395" w:rsidRPr="00E73D4B" w:rsidRDefault="00F120C7" w:rsidP="00E73D4B">
      <w:r w:rsidRPr="00E73D4B">
        <w:t xml:space="preserve">Dokumenta som ligg til grunn for vedtaket, er Dokument 8:106 S (2020–2021) og </w:t>
      </w:r>
      <w:proofErr w:type="spellStart"/>
      <w:r w:rsidRPr="00E73D4B">
        <w:t>Innst</w:t>
      </w:r>
      <w:proofErr w:type="spellEnd"/>
      <w:r w:rsidRPr="00E73D4B">
        <w:t xml:space="preserve">. 311 S (2020–2021) </w:t>
      </w:r>
      <w:proofErr w:type="spellStart"/>
      <w:r w:rsidRPr="00E73D4B">
        <w:t>frå</w:t>
      </w:r>
      <w:proofErr w:type="spellEnd"/>
      <w:r w:rsidRPr="00E73D4B">
        <w:t xml:space="preserve"> transport- og kommunikasjonskomiteen.</w:t>
      </w:r>
    </w:p>
    <w:p w14:paraId="3BC0D9FA" w14:textId="77777777" w:rsidR="00972395" w:rsidRPr="00E73D4B" w:rsidRDefault="00F120C7" w:rsidP="00E73D4B">
      <w:r w:rsidRPr="00E73D4B">
        <w:t>Vedtaket er under behandling.</w:t>
      </w:r>
    </w:p>
    <w:p w14:paraId="70771732" w14:textId="77777777" w:rsidR="00972395" w:rsidRPr="00E73D4B" w:rsidRDefault="00F120C7" w:rsidP="00E73D4B">
      <w:pPr>
        <w:pStyle w:val="avsnitt-tittel"/>
      </w:pPr>
      <w:r w:rsidRPr="00E73D4B">
        <w:t xml:space="preserve">Nasjonalt </w:t>
      </w:r>
      <w:proofErr w:type="spellStart"/>
      <w:r w:rsidRPr="00E73D4B">
        <w:t>eigarskap</w:t>
      </w:r>
      <w:proofErr w:type="spellEnd"/>
      <w:r w:rsidRPr="00E73D4B">
        <w:t xml:space="preserve"> og kontroll</w:t>
      </w:r>
    </w:p>
    <w:p w14:paraId="23C1CF07" w14:textId="77777777" w:rsidR="00972395" w:rsidRPr="00E73D4B" w:rsidRDefault="00F120C7" w:rsidP="00E73D4B">
      <w:pPr>
        <w:pStyle w:val="avsnitt-undertittel"/>
      </w:pPr>
      <w:r w:rsidRPr="00E73D4B">
        <w:t>Vedtak nr. 814, 20. april 2021</w:t>
      </w:r>
    </w:p>
    <w:p w14:paraId="5D300EBE" w14:textId="77777777" w:rsidR="00972395" w:rsidRPr="00E73D4B" w:rsidRDefault="00F120C7" w:rsidP="00E73D4B">
      <w:pPr>
        <w:pStyle w:val="blokksit"/>
        <w:rPr>
          <w:rStyle w:val="kursiv"/>
        </w:rPr>
      </w:pPr>
      <w:r w:rsidRPr="00E73D4B">
        <w:rPr>
          <w:rStyle w:val="kursiv"/>
        </w:rPr>
        <w:t xml:space="preserve">«Stortinget ber regjeringa sikre norsk </w:t>
      </w:r>
      <w:proofErr w:type="spellStart"/>
      <w:r w:rsidRPr="00E73D4B">
        <w:rPr>
          <w:rStyle w:val="kursiv"/>
        </w:rPr>
        <w:t>eigarskap</w:t>
      </w:r>
      <w:proofErr w:type="spellEnd"/>
      <w:r w:rsidRPr="00E73D4B">
        <w:rPr>
          <w:rStyle w:val="kursiv"/>
        </w:rPr>
        <w:t xml:space="preserve"> av kritisk infrastruktur og </w:t>
      </w:r>
      <w:proofErr w:type="spellStart"/>
      <w:r w:rsidRPr="00E73D4B">
        <w:rPr>
          <w:rStyle w:val="kursiv"/>
        </w:rPr>
        <w:t>eigedom</w:t>
      </w:r>
      <w:proofErr w:type="spellEnd"/>
      <w:r w:rsidRPr="00E73D4B">
        <w:rPr>
          <w:rStyle w:val="kursiv"/>
        </w:rPr>
        <w:t xml:space="preserve"> samt nasjonal kontroll over </w:t>
      </w:r>
      <w:proofErr w:type="spellStart"/>
      <w:r w:rsidRPr="00E73D4B">
        <w:rPr>
          <w:rStyle w:val="kursiv"/>
        </w:rPr>
        <w:t>naturressursar</w:t>
      </w:r>
      <w:proofErr w:type="spellEnd"/>
      <w:r w:rsidRPr="00E73D4B">
        <w:rPr>
          <w:rStyle w:val="kursiv"/>
        </w:rPr>
        <w:t xml:space="preserve"> i nordområda.»</w:t>
      </w:r>
    </w:p>
    <w:p w14:paraId="17B268A4" w14:textId="77777777" w:rsidR="00972395" w:rsidRPr="00E73D4B" w:rsidRDefault="00F120C7" w:rsidP="00E73D4B">
      <w:r w:rsidRPr="00E73D4B">
        <w:t xml:space="preserve">Dokumenta som ligg til grunn for vedtaket, er Meld. St. 9 (2020–2021) og </w:t>
      </w:r>
      <w:proofErr w:type="spellStart"/>
      <w:r w:rsidRPr="00E73D4B">
        <w:t>Innst</w:t>
      </w:r>
      <w:proofErr w:type="spellEnd"/>
      <w:r w:rsidRPr="00E73D4B">
        <w:t xml:space="preserve">. 289 S (2020–2021) </w:t>
      </w:r>
      <w:proofErr w:type="spellStart"/>
      <w:r w:rsidRPr="00E73D4B">
        <w:t>frå</w:t>
      </w:r>
      <w:proofErr w:type="spellEnd"/>
      <w:r w:rsidRPr="00E73D4B">
        <w:t xml:space="preserve"> </w:t>
      </w:r>
      <w:proofErr w:type="spellStart"/>
      <w:r w:rsidRPr="00E73D4B">
        <w:t>utanriks</w:t>
      </w:r>
      <w:proofErr w:type="spellEnd"/>
      <w:r w:rsidRPr="00E73D4B">
        <w:t>- og forsvarskomiteen.</w:t>
      </w:r>
    </w:p>
    <w:p w14:paraId="32651859" w14:textId="77777777" w:rsidR="00972395" w:rsidRPr="00E73D4B" w:rsidRDefault="00F120C7" w:rsidP="00E73D4B">
      <w:r w:rsidRPr="00E73D4B">
        <w:t xml:space="preserve">Vedtaket er under behandling. Det er under arbeid ei melding til Stortinget som </w:t>
      </w:r>
      <w:proofErr w:type="spellStart"/>
      <w:r w:rsidRPr="00E73D4B">
        <w:t>behandlar</w:t>
      </w:r>
      <w:proofErr w:type="spellEnd"/>
      <w:r w:rsidRPr="00E73D4B">
        <w:t xml:space="preserve"> </w:t>
      </w:r>
      <w:proofErr w:type="spellStart"/>
      <w:r w:rsidRPr="00E73D4B">
        <w:t>desse</w:t>
      </w:r>
      <w:proofErr w:type="spellEnd"/>
      <w:r w:rsidRPr="00E73D4B">
        <w:t xml:space="preserve"> </w:t>
      </w:r>
      <w:proofErr w:type="spellStart"/>
      <w:r w:rsidRPr="00E73D4B">
        <w:t>problemstillingane</w:t>
      </w:r>
      <w:proofErr w:type="spellEnd"/>
      <w:r w:rsidRPr="00E73D4B">
        <w:t>. Sjå òg vedtak 1040.</w:t>
      </w:r>
    </w:p>
    <w:p w14:paraId="6B63CDB8" w14:textId="77777777" w:rsidR="00972395" w:rsidRPr="00E73D4B" w:rsidRDefault="00F120C7" w:rsidP="00E73D4B">
      <w:pPr>
        <w:pStyle w:val="avsnitt-tittel"/>
      </w:pPr>
      <w:proofErr w:type="spellStart"/>
      <w:r w:rsidRPr="00E73D4B">
        <w:t>Heilskapleg</w:t>
      </w:r>
      <w:proofErr w:type="spellEnd"/>
      <w:r w:rsidRPr="00E73D4B">
        <w:t xml:space="preserve"> gjennomgang av </w:t>
      </w:r>
      <w:proofErr w:type="spellStart"/>
      <w:r w:rsidRPr="00E73D4B">
        <w:t>verjemålsordninga</w:t>
      </w:r>
      <w:proofErr w:type="spellEnd"/>
    </w:p>
    <w:p w14:paraId="6ED7FF4E" w14:textId="77777777" w:rsidR="00972395" w:rsidRPr="00E73D4B" w:rsidRDefault="00F120C7" w:rsidP="00E73D4B">
      <w:pPr>
        <w:pStyle w:val="avsnitt-undertittel"/>
      </w:pPr>
      <w:r w:rsidRPr="00E73D4B">
        <w:t>Vedtak nr. 848, 27. april 2021</w:t>
      </w:r>
    </w:p>
    <w:p w14:paraId="6F6A5017" w14:textId="77777777" w:rsidR="00972395" w:rsidRPr="00E73D4B" w:rsidRDefault="00F120C7" w:rsidP="00E73D4B">
      <w:pPr>
        <w:pStyle w:val="blokksit"/>
        <w:rPr>
          <w:rStyle w:val="kursiv"/>
        </w:rPr>
      </w:pPr>
      <w:r w:rsidRPr="00E73D4B">
        <w:rPr>
          <w:rStyle w:val="kursiv"/>
        </w:rPr>
        <w:t>«Stortinget ber regjeringen foreta en helhetlig gjennomgang av vergemålsordningen og legge frem forslag til lovendringer som styrker og forbedrer den.»</w:t>
      </w:r>
    </w:p>
    <w:p w14:paraId="5C8F6CD4" w14:textId="77777777" w:rsidR="00972395" w:rsidRPr="00E73D4B" w:rsidRDefault="00F120C7" w:rsidP="00E73D4B">
      <w:r w:rsidRPr="00E73D4B">
        <w:t xml:space="preserve">Dokumenta som ligg til grunn for vedtaket, er Dokument 8:77 (2020–2021) og </w:t>
      </w:r>
      <w:proofErr w:type="spellStart"/>
      <w:r w:rsidRPr="00E73D4B">
        <w:t>Innst</w:t>
      </w:r>
      <w:proofErr w:type="spellEnd"/>
      <w:r w:rsidRPr="00E73D4B">
        <w:t xml:space="preserve">. 285 S (2020–2021) </w:t>
      </w:r>
      <w:proofErr w:type="spellStart"/>
      <w:r w:rsidRPr="00E73D4B">
        <w:t>frå</w:t>
      </w:r>
      <w:proofErr w:type="spellEnd"/>
      <w:r w:rsidRPr="00E73D4B">
        <w:t xml:space="preserve"> justiskomiteen. Sjå elles omtalen av oppmodingsvedtak nr. 899 (2017–2018) </w:t>
      </w:r>
      <w:proofErr w:type="spellStart"/>
      <w:r w:rsidRPr="00E73D4B">
        <w:t>nedanfor</w:t>
      </w:r>
      <w:proofErr w:type="spellEnd"/>
      <w:r w:rsidRPr="00E73D4B">
        <w:t>.</w:t>
      </w:r>
    </w:p>
    <w:p w14:paraId="054EDF34" w14:textId="77777777" w:rsidR="00972395" w:rsidRPr="00E73D4B" w:rsidRDefault="00F120C7" w:rsidP="00E73D4B">
      <w:r w:rsidRPr="00E73D4B">
        <w:t>Vedtaket er under behandling.</w:t>
      </w:r>
    </w:p>
    <w:p w14:paraId="3DD58DBB" w14:textId="77777777" w:rsidR="00972395" w:rsidRPr="00E73D4B" w:rsidRDefault="00F120C7" w:rsidP="00E73D4B">
      <w:pPr>
        <w:pStyle w:val="avsnitt-tittel"/>
      </w:pPr>
      <w:r w:rsidRPr="00E73D4B">
        <w:t xml:space="preserve">Økonomisk kompensasjonsordning for </w:t>
      </w:r>
      <w:proofErr w:type="spellStart"/>
      <w:r w:rsidRPr="00E73D4B">
        <w:t>våpeneigarar</w:t>
      </w:r>
      <w:proofErr w:type="spellEnd"/>
    </w:p>
    <w:p w14:paraId="44AB0F7B" w14:textId="77777777" w:rsidR="00972395" w:rsidRPr="00E73D4B" w:rsidRDefault="00F120C7" w:rsidP="00E73D4B">
      <w:pPr>
        <w:rPr>
          <w:rStyle w:val="kursiv"/>
        </w:rPr>
      </w:pPr>
      <w:r w:rsidRPr="00E73D4B">
        <w:rPr>
          <w:rStyle w:val="kursiv"/>
        </w:rPr>
        <w:t>Vedtak 883, 6. mai 2021</w:t>
      </w:r>
    </w:p>
    <w:p w14:paraId="717DC5A3" w14:textId="77777777" w:rsidR="00972395" w:rsidRPr="00E73D4B" w:rsidRDefault="00F120C7" w:rsidP="00E73D4B">
      <w:pPr>
        <w:rPr>
          <w:rStyle w:val="kursiv"/>
        </w:rPr>
      </w:pPr>
      <w:r w:rsidRPr="00E73D4B">
        <w:rPr>
          <w:rStyle w:val="kursiv"/>
        </w:rPr>
        <w:t>«Stortinget ber regjeringa snarest utarbeide et forslag til ei økonomisk kompensasjonsordning for våpeneiere som blir ramma av et forbud med tilbakevirkende kraft mot enkelte våpentyper, og komme tilbake til Stortinget med dette.»</w:t>
      </w:r>
    </w:p>
    <w:p w14:paraId="0113E3E6" w14:textId="77777777" w:rsidR="00972395" w:rsidRPr="00E73D4B" w:rsidRDefault="00F120C7" w:rsidP="00E73D4B">
      <w:r w:rsidRPr="00E73D4B">
        <w:t xml:space="preserve">Dokumenta som ligg til grunn for vedtaket, er Dokument 8:103 S (2020–2021) og </w:t>
      </w:r>
      <w:proofErr w:type="spellStart"/>
      <w:r w:rsidRPr="00E73D4B">
        <w:t>Innst</w:t>
      </w:r>
      <w:proofErr w:type="spellEnd"/>
      <w:r w:rsidRPr="00E73D4B">
        <w:t xml:space="preserve">. 346 S (2020–2021) </w:t>
      </w:r>
      <w:proofErr w:type="spellStart"/>
      <w:r w:rsidRPr="00E73D4B">
        <w:t>frå</w:t>
      </w:r>
      <w:proofErr w:type="spellEnd"/>
      <w:r w:rsidRPr="00E73D4B">
        <w:t xml:space="preserve"> justiskomiteen.</w:t>
      </w:r>
    </w:p>
    <w:p w14:paraId="731A8E65" w14:textId="77777777" w:rsidR="00972395" w:rsidRPr="00E73D4B" w:rsidRDefault="00F120C7" w:rsidP="00E73D4B">
      <w:r w:rsidRPr="00E73D4B">
        <w:t xml:space="preserve">Vedtaket er </w:t>
      </w:r>
      <w:proofErr w:type="spellStart"/>
      <w:r w:rsidRPr="00E73D4B">
        <w:t>følgt</w:t>
      </w:r>
      <w:proofErr w:type="spellEnd"/>
      <w:r w:rsidRPr="00E73D4B">
        <w:t xml:space="preserve"> opp. Det er oppretta ei ordning for mellombels destruksjonspant i perioden 2022–2024, jf. </w:t>
      </w:r>
      <w:proofErr w:type="spellStart"/>
      <w:r w:rsidRPr="00E73D4B">
        <w:t>Prop</w:t>
      </w:r>
      <w:proofErr w:type="spellEnd"/>
      <w:r w:rsidRPr="00E73D4B">
        <w:t xml:space="preserve">. 1 S Tillegg 1 (2021–2022) og </w:t>
      </w:r>
      <w:proofErr w:type="spellStart"/>
      <w:r w:rsidRPr="00E73D4B">
        <w:t>Innst</w:t>
      </w:r>
      <w:proofErr w:type="spellEnd"/>
      <w:r w:rsidRPr="00E73D4B">
        <w:t xml:space="preserve">. 6 S (2021–2022). </w:t>
      </w:r>
      <w:proofErr w:type="spellStart"/>
      <w:r w:rsidRPr="00E73D4B">
        <w:t>Våpeneigarar</w:t>
      </w:r>
      <w:proofErr w:type="spellEnd"/>
      <w:r w:rsidRPr="00E73D4B">
        <w:t xml:space="preserve"> som er ramma av </w:t>
      </w:r>
      <w:proofErr w:type="spellStart"/>
      <w:r w:rsidRPr="00E73D4B">
        <w:t>forbodet</w:t>
      </w:r>
      <w:proofErr w:type="spellEnd"/>
      <w:r w:rsidRPr="00E73D4B">
        <w:t xml:space="preserve">, blir gitt </w:t>
      </w:r>
      <w:proofErr w:type="spellStart"/>
      <w:r w:rsidRPr="00E73D4B">
        <w:t>ein</w:t>
      </w:r>
      <w:proofErr w:type="spellEnd"/>
      <w:r w:rsidRPr="00E73D4B">
        <w:t xml:space="preserve"> </w:t>
      </w:r>
      <w:proofErr w:type="spellStart"/>
      <w:r w:rsidRPr="00E73D4B">
        <w:t>eingongssum</w:t>
      </w:r>
      <w:proofErr w:type="spellEnd"/>
      <w:r w:rsidRPr="00E73D4B">
        <w:t xml:space="preserve"> på 4 000 kroner per innlevert våpen, uavhengig av alder og tilstand på våpenet. </w:t>
      </w:r>
      <w:proofErr w:type="spellStart"/>
      <w:r w:rsidRPr="00E73D4B">
        <w:t>Frå</w:t>
      </w:r>
      <w:proofErr w:type="spellEnd"/>
      <w:r w:rsidRPr="00E73D4B">
        <w:t xml:space="preserve"> og med 1. juni 2024 vil det </w:t>
      </w:r>
      <w:proofErr w:type="spellStart"/>
      <w:r w:rsidRPr="00E73D4B">
        <w:t>vere</w:t>
      </w:r>
      <w:proofErr w:type="spellEnd"/>
      <w:r w:rsidRPr="00E73D4B">
        <w:t xml:space="preserve"> </w:t>
      </w:r>
      <w:proofErr w:type="spellStart"/>
      <w:r w:rsidRPr="00E73D4B">
        <w:t>forbode</w:t>
      </w:r>
      <w:proofErr w:type="spellEnd"/>
      <w:r w:rsidRPr="00E73D4B">
        <w:t xml:space="preserve"> å eige slike våpen, og ordninga fell bort.</w:t>
      </w:r>
    </w:p>
    <w:p w14:paraId="5CD5C076" w14:textId="77777777" w:rsidR="00972395" w:rsidRPr="00E73D4B" w:rsidRDefault="00F120C7" w:rsidP="00E73D4B">
      <w:pPr>
        <w:pStyle w:val="avsnitt-tittel"/>
      </w:pPr>
      <w:proofErr w:type="spellStart"/>
      <w:r w:rsidRPr="00E73D4B">
        <w:t>Lovendringar</w:t>
      </w:r>
      <w:proofErr w:type="spellEnd"/>
      <w:r w:rsidRPr="00E73D4B">
        <w:t xml:space="preserve"> som </w:t>
      </w:r>
      <w:proofErr w:type="spellStart"/>
      <w:r w:rsidRPr="00E73D4B">
        <w:t>følgje</w:t>
      </w:r>
      <w:proofErr w:type="spellEnd"/>
      <w:r w:rsidRPr="00E73D4B">
        <w:t xml:space="preserve"> av ny </w:t>
      </w:r>
      <w:proofErr w:type="spellStart"/>
      <w:r w:rsidRPr="00E73D4B">
        <w:t>sivilombodslov</w:t>
      </w:r>
      <w:proofErr w:type="spellEnd"/>
    </w:p>
    <w:p w14:paraId="0F455958" w14:textId="77777777" w:rsidR="00972395" w:rsidRPr="00E73D4B" w:rsidRDefault="00F120C7" w:rsidP="00E73D4B">
      <w:pPr>
        <w:pStyle w:val="avsnitt-undertittel"/>
      </w:pPr>
      <w:r w:rsidRPr="00E73D4B">
        <w:t>Vedtak nr. 928, 11. mai 2021</w:t>
      </w:r>
    </w:p>
    <w:p w14:paraId="72813CB6" w14:textId="77777777" w:rsidR="00972395" w:rsidRPr="00E73D4B" w:rsidRDefault="00F120C7" w:rsidP="00E73D4B">
      <w:pPr>
        <w:pStyle w:val="blokksit"/>
        <w:rPr>
          <w:rStyle w:val="kursiv"/>
        </w:rPr>
      </w:pPr>
      <w:r w:rsidRPr="00E73D4B">
        <w:rPr>
          <w:rStyle w:val="kursiv"/>
        </w:rPr>
        <w:t xml:space="preserve">«Stortinget ber regjeringen fremme forslag om nødvendige endringer i annen lovgivning som følge av ny </w:t>
      </w:r>
      <w:proofErr w:type="spellStart"/>
      <w:r w:rsidRPr="00E73D4B">
        <w:rPr>
          <w:rStyle w:val="kursiv"/>
        </w:rPr>
        <w:t>sivilombudslov</w:t>
      </w:r>
      <w:proofErr w:type="spellEnd"/>
      <w:r w:rsidRPr="00E73D4B">
        <w:rPr>
          <w:rStyle w:val="kursiv"/>
        </w:rPr>
        <w:t>.»</w:t>
      </w:r>
    </w:p>
    <w:p w14:paraId="630317B6" w14:textId="77777777" w:rsidR="00972395" w:rsidRPr="00E73D4B" w:rsidRDefault="00F120C7" w:rsidP="00E73D4B">
      <w:r w:rsidRPr="00E73D4B">
        <w:t xml:space="preserve">Dokumenta som ligg til grunn for vedtaket, er Dokument 21 (2020–2021), kap. 10 og </w:t>
      </w:r>
      <w:proofErr w:type="spellStart"/>
      <w:r w:rsidRPr="00E73D4B">
        <w:t>Innst</w:t>
      </w:r>
      <w:proofErr w:type="spellEnd"/>
      <w:r w:rsidRPr="00E73D4B">
        <w:t>. 409 L (2020–2021).</w:t>
      </w:r>
    </w:p>
    <w:p w14:paraId="08B19C3A" w14:textId="77777777" w:rsidR="00972395" w:rsidRPr="00E73D4B" w:rsidRDefault="00F120C7" w:rsidP="00E73D4B">
      <w:r w:rsidRPr="00E73D4B">
        <w:t xml:space="preserve">Vedtaket er </w:t>
      </w:r>
      <w:proofErr w:type="spellStart"/>
      <w:r w:rsidRPr="00E73D4B">
        <w:t>følgt</w:t>
      </w:r>
      <w:proofErr w:type="spellEnd"/>
      <w:r w:rsidRPr="00E73D4B">
        <w:t xml:space="preserve"> opp gjennom lovproposisjon i 2022.</w:t>
      </w:r>
    </w:p>
    <w:p w14:paraId="20C32142" w14:textId="77777777" w:rsidR="00972395" w:rsidRPr="00E73D4B" w:rsidRDefault="00F120C7" w:rsidP="00E73D4B">
      <w:pPr>
        <w:pStyle w:val="avsnitt-tittel"/>
      </w:pPr>
      <w:r w:rsidRPr="00E73D4B">
        <w:t xml:space="preserve">Etablering av ny redningshelikopterbase i Tromsø og felles operasjon med </w:t>
      </w:r>
      <w:proofErr w:type="spellStart"/>
      <w:r w:rsidRPr="00E73D4B">
        <w:t>helikoptertenesta</w:t>
      </w:r>
      <w:proofErr w:type="spellEnd"/>
      <w:r w:rsidRPr="00E73D4B">
        <w:t xml:space="preserve"> til </w:t>
      </w:r>
      <w:proofErr w:type="spellStart"/>
      <w:r w:rsidRPr="00E73D4B">
        <w:t>Sysselmeisteren</w:t>
      </w:r>
      <w:proofErr w:type="spellEnd"/>
    </w:p>
    <w:p w14:paraId="78DF9FB0" w14:textId="77777777" w:rsidR="00972395" w:rsidRPr="00E73D4B" w:rsidRDefault="00F120C7" w:rsidP="00E73D4B">
      <w:pPr>
        <w:pStyle w:val="avsnitt-undertittel"/>
      </w:pPr>
      <w:r w:rsidRPr="00E73D4B">
        <w:t>Vedtak nr. 983, 25. mai 2021</w:t>
      </w:r>
    </w:p>
    <w:p w14:paraId="35FE246A" w14:textId="77777777" w:rsidR="00972395" w:rsidRPr="00E73D4B" w:rsidRDefault="00F120C7" w:rsidP="00E73D4B">
      <w:pPr>
        <w:pStyle w:val="blokksit"/>
        <w:rPr>
          <w:rStyle w:val="kursiv"/>
        </w:rPr>
      </w:pPr>
      <w:r w:rsidRPr="00E73D4B">
        <w:rPr>
          <w:rStyle w:val="kursiv"/>
        </w:rPr>
        <w:t>«Stortinget ber regjeringen starte nødvendige forberedelser som sikrer at Forsvaret overtar som operatør av redningshelikopterbasen i Tromsø når kontrakten med sivil operatør går ut.»</w:t>
      </w:r>
    </w:p>
    <w:p w14:paraId="71C7CB8C"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85 S (2020–2021) og </w:t>
      </w:r>
      <w:proofErr w:type="spellStart"/>
      <w:r w:rsidRPr="00E73D4B">
        <w:t>Innst</w:t>
      </w:r>
      <w:proofErr w:type="spellEnd"/>
      <w:r w:rsidRPr="00E73D4B">
        <w:t xml:space="preserve">. 393 S (2020–2021) </w:t>
      </w:r>
      <w:proofErr w:type="spellStart"/>
      <w:r w:rsidRPr="00E73D4B">
        <w:t>frå</w:t>
      </w:r>
      <w:proofErr w:type="spellEnd"/>
      <w:r w:rsidRPr="00E73D4B">
        <w:t xml:space="preserve"> justiskomiteen.</w:t>
      </w:r>
    </w:p>
    <w:p w14:paraId="18D8C049" w14:textId="77777777" w:rsidR="00972395" w:rsidRPr="00E73D4B" w:rsidRDefault="00F120C7" w:rsidP="00E73D4B">
      <w:r w:rsidRPr="00E73D4B">
        <w:t>Vedtaket er under behandling.</w:t>
      </w:r>
    </w:p>
    <w:p w14:paraId="4E555EE6" w14:textId="77777777" w:rsidR="00972395" w:rsidRPr="00E73D4B" w:rsidRDefault="00F120C7" w:rsidP="00E73D4B">
      <w:pPr>
        <w:pStyle w:val="avsnitt-tittel"/>
      </w:pPr>
      <w:r w:rsidRPr="00E73D4B">
        <w:t xml:space="preserve">Kartlegging av </w:t>
      </w:r>
      <w:proofErr w:type="spellStart"/>
      <w:r w:rsidRPr="00E73D4B">
        <w:t>tryggleikskompetanse</w:t>
      </w:r>
      <w:proofErr w:type="spellEnd"/>
      <w:r w:rsidRPr="00E73D4B">
        <w:t xml:space="preserve">, gjennomgang av bruken av tryggingslova og evaluering av </w:t>
      </w:r>
      <w:proofErr w:type="spellStart"/>
      <w:r w:rsidRPr="00E73D4B">
        <w:t>tryggleiksforståing</w:t>
      </w:r>
      <w:proofErr w:type="spellEnd"/>
    </w:p>
    <w:p w14:paraId="3C26881A" w14:textId="77777777" w:rsidR="00972395" w:rsidRPr="00E73D4B" w:rsidRDefault="00F120C7" w:rsidP="00E73D4B">
      <w:pPr>
        <w:pStyle w:val="avsnitt-undertittel"/>
      </w:pPr>
      <w:r w:rsidRPr="00E73D4B">
        <w:t>Vedtak nr. 1038, 28. mai 2021</w:t>
      </w:r>
    </w:p>
    <w:p w14:paraId="2D403286" w14:textId="77777777" w:rsidR="00972395" w:rsidRPr="00E73D4B" w:rsidRDefault="00F120C7" w:rsidP="00E73D4B">
      <w:pPr>
        <w:pStyle w:val="blokksit"/>
        <w:rPr>
          <w:rStyle w:val="kursiv"/>
        </w:rPr>
      </w:pPr>
      <w:r w:rsidRPr="00E73D4B">
        <w:rPr>
          <w:rStyle w:val="kursiv"/>
        </w:rPr>
        <w:t>«Stortinget ber regjeringen gjennomføre og legge frem for Stortinget på egnet måte:</w:t>
      </w:r>
    </w:p>
    <w:p w14:paraId="12DF19CC" w14:textId="77777777" w:rsidR="00972395" w:rsidRPr="00E73D4B" w:rsidRDefault="00F120C7" w:rsidP="00E73D4B">
      <w:pPr>
        <w:pStyle w:val="blokksit"/>
        <w:rPr>
          <w:rStyle w:val="kursiv"/>
        </w:rPr>
      </w:pPr>
      <w:r w:rsidRPr="00E73D4B">
        <w:rPr>
          <w:rStyle w:val="kursiv"/>
        </w:rPr>
        <w:t>en kartlegging av sikkerhetskompetansen i alle departementer</w:t>
      </w:r>
    </w:p>
    <w:p w14:paraId="13ED55CB" w14:textId="77777777" w:rsidR="00972395" w:rsidRPr="00E73D4B" w:rsidRDefault="00F120C7" w:rsidP="00E73D4B">
      <w:pPr>
        <w:pStyle w:val="blokksit"/>
        <w:rPr>
          <w:rStyle w:val="kursiv"/>
        </w:rPr>
      </w:pPr>
      <w:r w:rsidRPr="00E73D4B">
        <w:rPr>
          <w:rStyle w:val="kursiv"/>
        </w:rPr>
        <w:t xml:space="preserve">en gjennomgang utført av et offentlig utnevnt ekspertutvalg av sikkerhetslovens </w:t>
      </w:r>
      <w:proofErr w:type="gramStart"/>
      <w:r w:rsidRPr="00E73D4B">
        <w:rPr>
          <w:rStyle w:val="kursiv"/>
        </w:rPr>
        <w:t>anvendelse</w:t>
      </w:r>
      <w:proofErr w:type="gramEnd"/>
      <w:r w:rsidRPr="00E73D4B">
        <w:rPr>
          <w:rStyle w:val="kursiv"/>
        </w:rPr>
        <w:t>, herunder mulige sårbarheter, ansvarsfordeling, status for departementenes listeføring av virksomheter som helt eller delvis skal omfattes av sikkerhetsloven</w:t>
      </w:r>
    </w:p>
    <w:p w14:paraId="13010672" w14:textId="77777777" w:rsidR="00972395" w:rsidRPr="00E73D4B" w:rsidRDefault="00F120C7" w:rsidP="00E73D4B">
      <w:pPr>
        <w:pStyle w:val="blokksit"/>
        <w:rPr>
          <w:rStyle w:val="kursiv"/>
        </w:rPr>
      </w:pPr>
      <w:r w:rsidRPr="00E73D4B">
        <w:rPr>
          <w:rStyle w:val="kursiv"/>
        </w:rPr>
        <w:t xml:space="preserve">en evaluering av hvordan sikkerhetsforståelse i departementene </w:t>
      </w:r>
      <w:proofErr w:type="gramStart"/>
      <w:r w:rsidRPr="00E73D4B">
        <w:rPr>
          <w:rStyle w:val="kursiv"/>
        </w:rPr>
        <w:t>etableres</w:t>
      </w:r>
      <w:proofErr w:type="gramEnd"/>
      <w:r w:rsidRPr="00E73D4B">
        <w:rPr>
          <w:rStyle w:val="kursiv"/>
        </w:rPr>
        <w:t xml:space="preserve"> og samarbeid mellom departementene blir sikret.»</w:t>
      </w:r>
    </w:p>
    <w:p w14:paraId="2960F1A6" w14:textId="77777777" w:rsidR="00972395" w:rsidRPr="00E73D4B" w:rsidRDefault="00F120C7" w:rsidP="00E73D4B">
      <w:r w:rsidRPr="00E73D4B">
        <w:t xml:space="preserve">Dokumenta som ligg til grunn for vedtaket, er behandlinga av innstillinga </w:t>
      </w:r>
      <w:proofErr w:type="spellStart"/>
      <w:r w:rsidRPr="00E73D4B">
        <w:t>frå</w:t>
      </w:r>
      <w:proofErr w:type="spellEnd"/>
      <w:r w:rsidRPr="00E73D4B">
        <w:t xml:space="preserve"> </w:t>
      </w:r>
      <w:proofErr w:type="spellStart"/>
      <w:r w:rsidRPr="00E73D4B">
        <w:t>utanriks</w:t>
      </w:r>
      <w:proofErr w:type="spellEnd"/>
      <w:r w:rsidRPr="00E73D4B">
        <w:t xml:space="preserve">- og forsvarskomiteen om </w:t>
      </w:r>
      <w:r w:rsidRPr="00E73D4B">
        <w:rPr>
          <w:rStyle w:val="kursiv"/>
        </w:rPr>
        <w:t>Redegjørelse av justis- og beredskapsministeren om planlagt salg av Bergen Engines AS,</w:t>
      </w:r>
      <w:r w:rsidRPr="00E73D4B">
        <w:t xml:space="preserve"> jf. </w:t>
      </w:r>
      <w:proofErr w:type="spellStart"/>
      <w:r w:rsidRPr="00E73D4B">
        <w:t>Innst</w:t>
      </w:r>
      <w:proofErr w:type="spellEnd"/>
      <w:r w:rsidRPr="00E73D4B">
        <w:t>. 503 S (2020–2021).</w:t>
      </w:r>
    </w:p>
    <w:p w14:paraId="0723238E" w14:textId="77777777" w:rsidR="00972395" w:rsidRPr="00E73D4B" w:rsidRDefault="00F120C7" w:rsidP="00E73D4B">
      <w:r w:rsidRPr="00E73D4B">
        <w:t>Vedtaket er under behandling.</w:t>
      </w:r>
    </w:p>
    <w:p w14:paraId="6A17C58A" w14:textId="77777777" w:rsidR="00972395" w:rsidRPr="00E73D4B" w:rsidRDefault="00F120C7" w:rsidP="00E73D4B">
      <w:pPr>
        <w:pStyle w:val="avsnitt-tittel"/>
      </w:pPr>
      <w:r w:rsidRPr="00E73D4B">
        <w:t xml:space="preserve">Stortingsmelding om nasjonalt </w:t>
      </w:r>
      <w:proofErr w:type="spellStart"/>
      <w:r w:rsidRPr="00E73D4B">
        <w:t>eigarskap</w:t>
      </w:r>
      <w:proofErr w:type="spellEnd"/>
      <w:r w:rsidRPr="00E73D4B">
        <w:t xml:space="preserve"> og kontroll over strategisk viktige </w:t>
      </w:r>
      <w:proofErr w:type="spellStart"/>
      <w:r w:rsidRPr="00E73D4B">
        <w:t>naturressursar</w:t>
      </w:r>
      <w:proofErr w:type="spellEnd"/>
      <w:r w:rsidRPr="00E73D4B">
        <w:t xml:space="preserve">, bedrifter, </w:t>
      </w:r>
      <w:proofErr w:type="spellStart"/>
      <w:r w:rsidRPr="00E73D4B">
        <w:t>infrastrukturar</w:t>
      </w:r>
      <w:proofErr w:type="spellEnd"/>
      <w:r w:rsidRPr="00E73D4B">
        <w:t xml:space="preserve"> og </w:t>
      </w:r>
      <w:proofErr w:type="spellStart"/>
      <w:r w:rsidRPr="00E73D4B">
        <w:t>teknologiar</w:t>
      </w:r>
      <w:proofErr w:type="spellEnd"/>
    </w:p>
    <w:p w14:paraId="2D023FDC" w14:textId="77777777" w:rsidR="00972395" w:rsidRPr="00E73D4B" w:rsidRDefault="00F120C7" w:rsidP="00E73D4B">
      <w:pPr>
        <w:pStyle w:val="avsnitt-undertittel"/>
      </w:pPr>
      <w:r w:rsidRPr="00E73D4B">
        <w:t>Vedtak nr. 1040, 28. mai 2021</w:t>
      </w:r>
    </w:p>
    <w:p w14:paraId="4A58B702" w14:textId="77777777" w:rsidR="00972395" w:rsidRPr="00E73D4B" w:rsidRDefault="00F120C7" w:rsidP="00E73D4B">
      <w:pPr>
        <w:pStyle w:val="blokksit"/>
        <w:rPr>
          <w:rStyle w:val="kursiv"/>
        </w:rPr>
      </w:pPr>
      <w:r w:rsidRPr="00E73D4B">
        <w:rPr>
          <w:rStyle w:val="kursiv"/>
        </w:rPr>
        <w:t>«Stortinget ber regjeringen legge fram en stortingsmelding om hvordan Norge kan sikre nasjonalt eierskap og kontroll over strategisk viktige bedrifter, naturressurser, infrastrukturer og teknologier.»</w:t>
      </w:r>
    </w:p>
    <w:p w14:paraId="4871AAA2" w14:textId="77777777" w:rsidR="00972395" w:rsidRPr="00E73D4B" w:rsidRDefault="00F120C7" w:rsidP="00E73D4B">
      <w:r w:rsidRPr="00E73D4B">
        <w:t xml:space="preserve">Dokumenta som ligg til grunn for vedtaket, er Dokument 8:153 S (2020–2021) og </w:t>
      </w:r>
      <w:proofErr w:type="spellStart"/>
      <w:r w:rsidRPr="00E73D4B">
        <w:t>Innst</w:t>
      </w:r>
      <w:proofErr w:type="spellEnd"/>
      <w:r w:rsidRPr="00E73D4B">
        <w:t xml:space="preserve">. 504 S (2020–2021) </w:t>
      </w:r>
      <w:proofErr w:type="spellStart"/>
      <w:r w:rsidRPr="00E73D4B">
        <w:t>frå</w:t>
      </w:r>
      <w:proofErr w:type="spellEnd"/>
      <w:r w:rsidRPr="00E73D4B">
        <w:t xml:space="preserve"> </w:t>
      </w:r>
      <w:proofErr w:type="spellStart"/>
      <w:r w:rsidRPr="00E73D4B">
        <w:t>utanriks</w:t>
      </w:r>
      <w:proofErr w:type="spellEnd"/>
      <w:r w:rsidRPr="00E73D4B">
        <w:t>- og forsvarskomiteen.</w:t>
      </w:r>
    </w:p>
    <w:p w14:paraId="4BABD9B3" w14:textId="77777777" w:rsidR="00972395" w:rsidRPr="00E73D4B" w:rsidRDefault="00F120C7" w:rsidP="00E73D4B">
      <w:r w:rsidRPr="00E73D4B">
        <w:t xml:space="preserve">Vedtaket er under behandling. Det er under arbeid ei melding til Stortinget som </w:t>
      </w:r>
      <w:proofErr w:type="spellStart"/>
      <w:r w:rsidRPr="00E73D4B">
        <w:t>behandlar</w:t>
      </w:r>
      <w:proofErr w:type="spellEnd"/>
      <w:r w:rsidRPr="00E73D4B">
        <w:t xml:space="preserve"> </w:t>
      </w:r>
      <w:proofErr w:type="spellStart"/>
      <w:r w:rsidRPr="00E73D4B">
        <w:t>desse</w:t>
      </w:r>
      <w:proofErr w:type="spellEnd"/>
      <w:r w:rsidRPr="00E73D4B">
        <w:t xml:space="preserve"> </w:t>
      </w:r>
      <w:proofErr w:type="spellStart"/>
      <w:r w:rsidRPr="00E73D4B">
        <w:t>problemstillingane</w:t>
      </w:r>
      <w:proofErr w:type="spellEnd"/>
      <w:r w:rsidRPr="00E73D4B">
        <w:t>. Sjå òg vedtak 814.</w:t>
      </w:r>
    </w:p>
    <w:p w14:paraId="1ACB817F" w14:textId="77777777" w:rsidR="00972395" w:rsidRPr="00E73D4B" w:rsidRDefault="00F120C7" w:rsidP="00E73D4B">
      <w:pPr>
        <w:pStyle w:val="avsnitt-tittel"/>
      </w:pPr>
      <w:r w:rsidRPr="00E73D4B">
        <w:t>Nytt Oslo fengsel</w:t>
      </w:r>
    </w:p>
    <w:p w14:paraId="0C3393F8" w14:textId="77777777" w:rsidR="00972395" w:rsidRPr="00E73D4B" w:rsidRDefault="00F120C7" w:rsidP="00E73D4B">
      <w:pPr>
        <w:pStyle w:val="avsnitt-undertittel"/>
      </w:pPr>
      <w:r w:rsidRPr="00E73D4B">
        <w:t>Vedtak nr. 1041, 28. mai 2021</w:t>
      </w:r>
    </w:p>
    <w:p w14:paraId="31C058BA" w14:textId="77777777" w:rsidR="00972395" w:rsidRPr="00E73D4B" w:rsidRDefault="00F120C7" w:rsidP="00E73D4B">
      <w:pPr>
        <w:pStyle w:val="blokksit"/>
        <w:rPr>
          <w:rStyle w:val="kursiv"/>
        </w:rPr>
      </w:pPr>
      <w:r w:rsidRPr="00E73D4B">
        <w:rPr>
          <w:rStyle w:val="kursiv"/>
        </w:rPr>
        <w:t xml:space="preserve">«Stortinget ber regjeringen på egnet måte komme tilbake til Stortinget med forslag </w:t>
      </w:r>
      <w:proofErr w:type="gramStart"/>
      <w:r w:rsidRPr="00E73D4B">
        <w:rPr>
          <w:rStyle w:val="kursiv"/>
        </w:rPr>
        <w:t>vedrørende</w:t>
      </w:r>
      <w:proofErr w:type="gramEnd"/>
      <w:r w:rsidRPr="00E73D4B">
        <w:rPr>
          <w:rStyle w:val="kursiv"/>
        </w:rPr>
        <w:t xml:space="preserve"> nytt Oslo fengsel.»</w:t>
      </w:r>
    </w:p>
    <w:p w14:paraId="3B18A3EC" w14:textId="77777777" w:rsidR="00972395" w:rsidRPr="00E73D4B" w:rsidRDefault="00F120C7" w:rsidP="00E73D4B">
      <w:r w:rsidRPr="00E73D4B">
        <w:t xml:space="preserve">Dokumenta som ligg til grunn for vedtaket, er Dokument 8:142 S (2020–2021) og </w:t>
      </w:r>
      <w:proofErr w:type="spellStart"/>
      <w:r w:rsidRPr="00E73D4B">
        <w:t>Innst</w:t>
      </w:r>
      <w:proofErr w:type="spellEnd"/>
      <w:r w:rsidRPr="00E73D4B">
        <w:t>. 470 S (2020–2021).</w:t>
      </w:r>
    </w:p>
    <w:p w14:paraId="3B557218" w14:textId="77777777" w:rsidR="00972395" w:rsidRPr="00E73D4B" w:rsidRDefault="00F120C7" w:rsidP="00E73D4B">
      <w:r w:rsidRPr="00E73D4B">
        <w:t xml:space="preserve">Vedtaket er under behandling. For å sikre </w:t>
      </w:r>
      <w:proofErr w:type="spellStart"/>
      <w:r w:rsidRPr="00E73D4B">
        <w:t>snarleg</w:t>
      </w:r>
      <w:proofErr w:type="spellEnd"/>
      <w:r w:rsidRPr="00E73D4B">
        <w:t xml:space="preserve"> erstatningskapasitet for </w:t>
      </w:r>
      <w:proofErr w:type="spellStart"/>
      <w:r w:rsidRPr="00E73D4B">
        <w:t>nokre</w:t>
      </w:r>
      <w:proofErr w:type="spellEnd"/>
      <w:r w:rsidRPr="00E73D4B">
        <w:t xml:space="preserve"> av </w:t>
      </w:r>
      <w:proofErr w:type="spellStart"/>
      <w:r w:rsidRPr="00E73D4B">
        <w:t>plassane</w:t>
      </w:r>
      <w:proofErr w:type="spellEnd"/>
      <w:r w:rsidRPr="00E73D4B">
        <w:t xml:space="preserve"> for Oslo fengsel foreslår regjeringa å utvide Romerike fengsel, Ullersmo avdeling med netto 76 </w:t>
      </w:r>
      <w:proofErr w:type="spellStart"/>
      <w:r w:rsidRPr="00E73D4B">
        <w:t>plassar</w:t>
      </w:r>
      <w:proofErr w:type="spellEnd"/>
      <w:r w:rsidRPr="00E73D4B">
        <w:t xml:space="preserve">. Departementet vil komme tilbake med forslag for lokalisering av nye </w:t>
      </w:r>
      <w:proofErr w:type="spellStart"/>
      <w:r w:rsidRPr="00E73D4B">
        <w:t>fengselsplassar</w:t>
      </w:r>
      <w:proofErr w:type="spellEnd"/>
      <w:r w:rsidRPr="00E73D4B">
        <w:t xml:space="preserve"> til erstatning for </w:t>
      </w:r>
      <w:proofErr w:type="spellStart"/>
      <w:r w:rsidRPr="00E73D4B">
        <w:t>fengselsplassane</w:t>
      </w:r>
      <w:proofErr w:type="spellEnd"/>
      <w:r w:rsidRPr="00E73D4B">
        <w:t xml:space="preserve"> ved Oslo fengsel.</w:t>
      </w:r>
    </w:p>
    <w:p w14:paraId="5806E8FF" w14:textId="77777777" w:rsidR="00972395" w:rsidRPr="00E73D4B" w:rsidRDefault="00F120C7" w:rsidP="00E73D4B">
      <w:pPr>
        <w:pStyle w:val="avsnitt-tittel"/>
      </w:pPr>
      <w:r w:rsidRPr="00E73D4B">
        <w:t xml:space="preserve">Forfølging av </w:t>
      </w:r>
      <w:proofErr w:type="spellStart"/>
      <w:r w:rsidRPr="00E73D4B">
        <w:t>narkotikalovbrot</w:t>
      </w:r>
      <w:proofErr w:type="spellEnd"/>
      <w:r w:rsidRPr="00E73D4B">
        <w:t xml:space="preserve"> i </w:t>
      </w:r>
      <w:proofErr w:type="spellStart"/>
      <w:r w:rsidRPr="00E73D4B">
        <w:t>nødssituasjonar</w:t>
      </w:r>
      <w:proofErr w:type="spellEnd"/>
    </w:p>
    <w:p w14:paraId="1C255628" w14:textId="77777777" w:rsidR="00972395" w:rsidRPr="00E73D4B" w:rsidRDefault="00F120C7" w:rsidP="00E73D4B">
      <w:pPr>
        <w:pStyle w:val="avsnitt-undertittel"/>
      </w:pPr>
      <w:r w:rsidRPr="00E73D4B">
        <w:t>Vedtak nr. 1115, 3. juni 2021</w:t>
      </w:r>
    </w:p>
    <w:p w14:paraId="5F66F600" w14:textId="77777777" w:rsidR="00972395" w:rsidRPr="00E73D4B" w:rsidRDefault="00F120C7" w:rsidP="00E73D4B">
      <w:pPr>
        <w:pStyle w:val="blokksit"/>
        <w:rPr>
          <w:rStyle w:val="kursiv"/>
        </w:rPr>
      </w:pPr>
      <w:r w:rsidRPr="00E73D4B">
        <w:rPr>
          <w:rStyle w:val="kursiv"/>
        </w:rPr>
        <w:t>«Stortinget ber regjeringen sørge for at politiet ikke straffeforfølger overtredelse av legemiddelloven § 24 første ledd, der overtreder yter assistanse eller tilkaller nødetater i akutte nødssituasjoner, eller der en slik overtredelse avdekkes hos fornærmede ved anmeldelse av andre straffbare forhold.»</w:t>
      </w:r>
    </w:p>
    <w:p w14:paraId="0BF8440E"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92 L (2020–2021) og </w:t>
      </w:r>
      <w:proofErr w:type="spellStart"/>
      <w:r w:rsidRPr="00E73D4B">
        <w:t>Innst</w:t>
      </w:r>
      <w:proofErr w:type="spellEnd"/>
      <w:r w:rsidRPr="00E73D4B">
        <w:t>. 612 L (2020–2021).</w:t>
      </w:r>
    </w:p>
    <w:p w14:paraId="4E578FB2" w14:textId="77777777" w:rsidR="00972395" w:rsidRPr="00E73D4B" w:rsidRDefault="00F120C7" w:rsidP="00E73D4B">
      <w:r w:rsidRPr="00E73D4B">
        <w:t xml:space="preserve">Vedtaket er </w:t>
      </w:r>
      <w:proofErr w:type="spellStart"/>
      <w:r w:rsidRPr="00E73D4B">
        <w:t>følgt</w:t>
      </w:r>
      <w:proofErr w:type="spellEnd"/>
      <w:r w:rsidRPr="00E73D4B">
        <w:t xml:space="preserve"> opp. Departementet har </w:t>
      </w:r>
      <w:proofErr w:type="spellStart"/>
      <w:r w:rsidRPr="00E73D4B">
        <w:t>vore</w:t>
      </w:r>
      <w:proofErr w:type="spellEnd"/>
      <w:r w:rsidRPr="00E73D4B">
        <w:t xml:space="preserve"> i dialog med Riksadvokaten, som </w:t>
      </w:r>
      <w:proofErr w:type="spellStart"/>
      <w:r w:rsidRPr="00E73D4B">
        <w:t>peikar</w:t>
      </w:r>
      <w:proofErr w:type="spellEnd"/>
      <w:r w:rsidRPr="00E73D4B">
        <w:t xml:space="preserve"> på at </w:t>
      </w:r>
      <w:proofErr w:type="spellStart"/>
      <w:r w:rsidRPr="00E73D4B">
        <w:t>dei</w:t>
      </w:r>
      <w:proofErr w:type="spellEnd"/>
      <w:r w:rsidRPr="00E73D4B">
        <w:t xml:space="preserve"> resultata Stortinget </w:t>
      </w:r>
      <w:proofErr w:type="spellStart"/>
      <w:r w:rsidRPr="00E73D4B">
        <w:t>ønskjer</w:t>
      </w:r>
      <w:proofErr w:type="spellEnd"/>
      <w:r w:rsidRPr="00E73D4B">
        <w:t xml:space="preserve">, langt på veg følgjer av </w:t>
      </w:r>
      <w:proofErr w:type="spellStart"/>
      <w:r w:rsidRPr="00E73D4B">
        <w:t>eksisterande</w:t>
      </w:r>
      <w:proofErr w:type="spellEnd"/>
      <w:r w:rsidRPr="00E73D4B">
        <w:t xml:space="preserve"> </w:t>
      </w:r>
      <w:proofErr w:type="spellStart"/>
      <w:r w:rsidRPr="00E73D4B">
        <w:t>reglar</w:t>
      </w:r>
      <w:proofErr w:type="spellEnd"/>
      <w:r w:rsidRPr="00E73D4B">
        <w:t xml:space="preserve">, </w:t>
      </w:r>
      <w:proofErr w:type="spellStart"/>
      <w:r w:rsidRPr="00E73D4B">
        <w:t>føringar</w:t>
      </w:r>
      <w:proofErr w:type="spellEnd"/>
      <w:r w:rsidRPr="00E73D4B">
        <w:t xml:space="preserve"> og praksis. Riksadvokaten vil </w:t>
      </w:r>
      <w:proofErr w:type="spellStart"/>
      <w:r w:rsidRPr="00E73D4B">
        <w:t>klargjere</w:t>
      </w:r>
      <w:proofErr w:type="spellEnd"/>
      <w:r w:rsidRPr="00E73D4B">
        <w:t xml:space="preserve"> dette for politiet på eigna måte.</w:t>
      </w:r>
    </w:p>
    <w:p w14:paraId="10308BDD" w14:textId="77777777" w:rsidR="00972395" w:rsidRPr="00E73D4B" w:rsidRDefault="00F120C7" w:rsidP="00E73D4B">
      <w:pPr>
        <w:pStyle w:val="avsnitt-tittel"/>
      </w:pPr>
      <w:r w:rsidRPr="00E73D4B">
        <w:t xml:space="preserve">Sperring av </w:t>
      </w:r>
      <w:proofErr w:type="spellStart"/>
      <w:r w:rsidRPr="00E73D4B">
        <w:t>opplysningar</w:t>
      </w:r>
      <w:proofErr w:type="spellEnd"/>
      <w:r w:rsidRPr="00E73D4B">
        <w:t xml:space="preserve"> i reaksjonsregisteret</w:t>
      </w:r>
    </w:p>
    <w:p w14:paraId="31725BDA" w14:textId="77777777" w:rsidR="00972395" w:rsidRPr="00E73D4B" w:rsidRDefault="00F120C7" w:rsidP="00E73D4B">
      <w:pPr>
        <w:pStyle w:val="avsnitt-undertittel"/>
      </w:pPr>
      <w:r w:rsidRPr="00E73D4B">
        <w:t>Vedtak nr. 1116, 3. juni 2021</w:t>
      </w:r>
    </w:p>
    <w:p w14:paraId="0B3A8760" w14:textId="77777777" w:rsidR="00972395" w:rsidRPr="00E73D4B" w:rsidRDefault="00F120C7" w:rsidP="00E73D4B">
      <w:pPr>
        <w:pStyle w:val="blokksit"/>
        <w:rPr>
          <w:rStyle w:val="kursiv"/>
        </w:rPr>
      </w:pPr>
      <w:r w:rsidRPr="00E73D4B">
        <w:rPr>
          <w:rStyle w:val="kursiv"/>
        </w:rPr>
        <w:t>«Stortinget ber regjeringen sørge for at opplysninger i reaksjonsregisteret om personer som er ilagt strafferettslige reaksjoner for bruk og besittelse av narkotika til eget bruk, sperres etter tre år. Sperring forutsetter at det ikke er registrert flere straffbare forhold i den aktuelle perioden.»</w:t>
      </w:r>
    </w:p>
    <w:p w14:paraId="5F6824CC"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92 L (2020–2021), </w:t>
      </w:r>
      <w:proofErr w:type="spellStart"/>
      <w:r w:rsidRPr="00E73D4B">
        <w:t>Innst</w:t>
      </w:r>
      <w:proofErr w:type="spellEnd"/>
      <w:r w:rsidRPr="00E73D4B">
        <w:t>. 612 L (2020–2021) og Lovvedtak 148 (2020–2021).</w:t>
      </w:r>
    </w:p>
    <w:p w14:paraId="3958856B" w14:textId="77777777" w:rsidR="00972395" w:rsidRPr="00E73D4B" w:rsidRDefault="00F120C7" w:rsidP="00E73D4B">
      <w:r w:rsidRPr="00E73D4B">
        <w:t xml:space="preserve">Vedtaket er under behandling. Forslag til nødvendige </w:t>
      </w:r>
      <w:proofErr w:type="spellStart"/>
      <w:r w:rsidRPr="00E73D4B">
        <w:t>regelverksendringar</w:t>
      </w:r>
      <w:proofErr w:type="spellEnd"/>
      <w:r w:rsidRPr="00E73D4B">
        <w:t xml:space="preserve"> (</w:t>
      </w:r>
      <w:proofErr w:type="spellStart"/>
      <w:r w:rsidRPr="00E73D4B">
        <w:t>endringar</w:t>
      </w:r>
      <w:proofErr w:type="spellEnd"/>
      <w:r w:rsidRPr="00E73D4B">
        <w:t xml:space="preserve"> i politiregisterforskrifta) har </w:t>
      </w:r>
      <w:proofErr w:type="spellStart"/>
      <w:r w:rsidRPr="00E73D4B">
        <w:t>vore</w:t>
      </w:r>
      <w:proofErr w:type="spellEnd"/>
      <w:r w:rsidRPr="00E73D4B">
        <w:t xml:space="preserve"> på </w:t>
      </w:r>
      <w:proofErr w:type="spellStart"/>
      <w:r w:rsidRPr="00E73D4B">
        <w:t>høyring</w:t>
      </w:r>
      <w:proofErr w:type="spellEnd"/>
      <w:r w:rsidRPr="00E73D4B">
        <w:t>.</w:t>
      </w:r>
    </w:p>
    <w:p w14:paraId="14033583" w14:textId="77777777" w:rsidR="00972395" w:rsidRPr="00E73D4B" w:rsidRDefault="00F120C7" w:rsidP="00E73D4B">
      <w:pPr>
        <w:pStyle w:val="avsnitt-tittel"/>
      </w:pPr>
      <w:r w:rsidRPr="00E73D4B">
        <w:t xml:space="preserve">Gjennomgang av praksis for tilbakekall av </w:t>
      </w:r>
      <w:proofErr w:type="spellStart"/>
      <w:r w:rsidRPr="00E73D4B">
        <w:t>førarrett</w:t>
      </w:r>
      <w:proofErr w:type="spellEnd"/>
    </w:p>
    <w:p w14:paraId="5A289BAF" w14:textId="77777777" w:rsidR="00972395" w:rsidRPr="00E73D4B" w:rsidRDefault="00F120C7" w:rsidP="00E73D4B">
      <w:pPr>
        <w:pStyle w:val="avsnitt-undertittel"/>
      </w:pPr>
      <w:r w:rsidRPr="00E73D4B">
        <w:t>Vedtak nr. 1117, 3. juni 2021</w:t>
      </w:r>
    </w:p>
    <w:p w14:paraId="62E97225" w14:textId="77777777" w:rsidR="00972395" w:rsidRPr="00E73D4B" w:rsidRDefault="00F120C7" w:rsidP="00E73D4B">
      <w:pPr>
        <w:pStyle w:val="blokksit"/>
        <w:rPr>
          <w:rStyle w:val="kursiv"/>
        </w:rPr>
      </w:pPr>
      <w:r w:rsidRPr="00E73D4B">
        <w:rPr>
          <w:rStyle w:val="kursiv"/>
        </w:rPr>
        <w:t>«Stortinget ber regjeringen sørge for at samfunnets reaksjoner i forbindelse med problematisk bruk av rusmidler er forholdsmessige, og kan knyttes til rusbruken. Stortinget ber regjeringen særlig gjennomgå praksis med tap av førerrett i tilfeller der man ikke ser noen sammenheng mellom personens bruk av rusmidler og føring av motorvogn.»</w:t>
      </w:r>
    </w:p>
    <w:p w14:paraId="30CCF306"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92 L (2020–2021), </w:t>
      </w:r>
      <w:proofErr w:type="spellStart"/>
      <w:r w:rsidRPr="00E73D4B">
        <w:t>Innst</w:t>
      </w:r>
      <w:proofErr w:type="spellEnd"/>
      <w:r w:rsidRPr="00E73D4B">
        <w:t>. 612 L (2020–2021) og Lovvedtak 148 (2020–2021).</w:t>
      </w:r>
    </w:p>
    <w:p w14:paraId="4193F124" w14:textId="77777777" w:rsidR="00972395" w:rsidRPr="00E73D4B" w:rsidRDefault="00F120C7" w:rsidP="00E73D4B">
      <w:r w:rsidRPr="00E73D4B">
        <w:t>Vedtaket er under behandling.</w:t>
      </w:r>
    </w:p>
    <w:p w14:paraId="6396C240" w14:textId="77777777" w:rsidR="00972395" w:rsidRPr="00E73D4B" w:rsidRDefault="00F120C7" w:rsidP="00E73D4B">
      <w:pPr>
        <w:pStyle w:val="avsnitt-tittel"/>
      </w:pPr>
      <w:r w:rsidRPr="00E73D4B">
        <w:t xml:space="preserve">Unntak </w:t>
      </w:r>
      <w:proofErr w:type="spellStart"/>
      <w:r w:rsidRPr="00E73D4B">
        <w:t>frå</w:t>
      </w:r>
      <w:proofErr w:type="spellEnd"/>
      <w:r w:rsidRPr="00E73D4B">
        <w:t xml:space="preserve"> </w:t>
      </w:r>
      <w:proofErr w:type="spellStart"/>
      <w:r w:rsidRPr="00E73D4B">
        <w:t>forelding</w:t>
      </w:r>
      <w:proofErr w:type="spellEnd"/>
      <w:r w:rsidRPr="00E73D4B">
        <w:t xml:space="preserve"> for </w:t>
      </w:r>
      <w:proofErr w:type="spellStart"/>
      <w:r w:rsidRPr="00E73D4B">
        <w:t>seksuallovbrot</w:t>
      </w:r>
      <w:proofErr w:type="spellEnd"/>
      <w:r w:rsidRPr="00E73D4B">
        <w:t xml:space="preserve"> mot barn</w:t>
      </w:r>
    </w:p>
    <w:p w14:paraId="29A6F8BA" w14:textId="77777777" w:rsidR="00972395" w:rsidRPr="00E73D4B" w:rsidRDefault="00F120C7" w:rsidP="00E73D4B">
      <w:pPr>
        <w:pStyle w:val="avsnitt-undertittel"/>
      </w:pPr>
      <w:r w:rsidRPr="00E73D4B">
        <w:t>Vedtak nr. 1159, 7. juni 2021</w:t>
      </w:r>
    </w:p>
    <w:p w14:paraId="05A0CB7E" w14:textId="77777777" w:rsidR="00972395" w:rsidRPr="00E73D4B" w:rsidRDefault="00F120C7" w:rsidP="00E73D4B">
      <w:pPr>
        <w:pStyle w:val="blokksit"/>
        <w:rPr>
          <w:rStyle w:val="kursiv"/>
        </w:rPr>
      </w:pPr>
      <w:r w:rsidRPr="00E73D4B">
        <w:rPr>
          <w:rStyle w:val="kursiv"/>
        </w:rPr>
        <w:t>«Stortinget ber regjeringen legge frem forslag til lovendringer som fjerner foreldelsesfristen for alle typer seksualforbrytelser mot barn.»</w:t>
      </w:r>
    </w:p>
    <w:p w14:paraId="04AB6509" w14:textId="77777777" w:rsidR="00972395" w:rsidRPr="00E73D4B" w:rsidRDefault="00F120C7" w:rsidP="00E73D4B">
      <w:r w:rsidRPr="00E73D4B">
        <w:t xml:space="preserve">Dokumenta som ligg til grunn for vedtaket, er Dokument 8:273 S (2020–2021) og </w:t>
      </w:r>
      <w:proofErr w:type="spellStart"/>
      <w:r w:rsidRPr="00E73D4B">
        <w:t>Innst</w:t>
      </w:r>
      <w:proofErr w:type="spellEnd"/>
      <w:r w:rsidRPr="00E73D4B">
        <w:t>. 634 S (2020–2021).</w:t>
      </w:r>
    </w:p>
    <w:p w14:paraId="3E4FCFF4" w14:textId="77777777" w:rsidR="00972395" w:rsidRPr="00E73D4B" w:rsidRDefault="00F120C7" w:rsidP="00E73D4B">
      <w:r w:rsidRPr="00E73D4B">
        <w:t>Vedtaket er under behandling. Sjå òg vedtak nr. 50, 3. november 2020.</w:t>
      </w:r>
    </w:p>
    <w:p w14:paraId="16E99AA3" w14:textId="77777777" w:rsidR="00972395" w:rsidRPr="00E73D4B" w:rsidRDefault="00F120C7" w:rsidP="00E73D4B">
      <w:pPr>
        <w:pStyle w:val="avsnitt-tittel"/>
      </w:pPr>
      <w:r w:rsidRPr="00E73D4B">
        <w:t xml:space="preserve">Internasjonale kriminelle </w:t>
      </w:r>
      <w:proofErr w:type="spellStart"/>
      <w:r w:rsidRPr="00E73D4B">
        <w:t>organisasjonar</w:t>
      </w:r>
      <w:proofErr w:type="spellEnd"/>
    </w:p>
    <w:p w14:paraId="1ADE0E46" w14:textId="77777777" w:rsidR="00972395" w:rsidRPr="00E73D4B" w:rsidRDefault="00F120C7" w:rsidP="00E73D4B">
      <w:pPr>
        <w:pStyle w:val="avsnitt-undertittel"/>
      </w:pPr>
      <w:r w:rsidRPr="00E73D4B">
        <w:t>Vedtak nr. 1161, 11. juni 2021</w:t>
      </w:r>
    </w:p>
    <w:p w14:paraId="53D6499A" w14:textId="77777777" w:rsidR="00972395" w:rsidRPr="00E73D4B" w:rsidRDefault="00F120C7" w:rsidP="00E73D4B">
      <w:pPr>
        <w:pStyle w:val="blokksit"/>
        <w:rPr>
          <w:rStyle w:val="kursiv"/>
        </w:rPr>
      </w:pPr>
      <w:r w:rsidRPr="00E73D4B">
        <w:rPr>
          <w:rStyle w:val="kursiv"/>
        </w:rPr>
        <w:t>«Stortinget ber regjeringen komme tilbake til Stortinget med strengere regler dersom det nye regelverket ikke i tilstrekkelig grad hindrer etableringer av internasjonale kriminelle gjenger og mafiaorganisasjoner.»</w:t>
      </w:r>
    </w:p>
    <w:p w14:paraId="5ED27F4C"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190 L (2020–2021) og </w:t>
      </w:r>
      <w:proofErr w:type="spellStart"/>
      <w:r w:rsidRPr="00E73D4B">
        <w:t>Innst</w:t>
      </w:r>
      <w:proofErr w:type="spellEnd"/>
      <w:r w:rsidRPr="00E73D4B">
        <w:t>. 629 L (2020–2021).</w:t>
      </w:r>
    </w:p>
    <w:p w14:paraId="4C6A6518" w14:textId="77777777" w:rsidR="00972395" w:rsidRPr="00E73D4B" w:rsidRDefault="00F120C7" w:rsidP="00E73D4B">
      <w:r w:rsidRPr="00E73D4B">
        <w:t>Vedtaket er under behandling.</w:t>
      </w:r>
    </w:p>
    <w:p w14:paraId="28B5256F" w14:textId="77777777" w:rsidR="00972395" w:rsidRPr="00E73D4B" w:rsidRDefault="00F120C7" w:rsidP="00E73D4B">
      <w:pPr>
        <w:pStyle w:val="avsnitt-tittel"/>
      </w:pPr>
      <w:r w:rsidRPr="00E73D4B">
        <w:t>Tilgang på straffeprosessuelle tvangsmiddel</w:t>
      </w:r>
    </w:p>
    <w:p w14:paraId="4869D363" w14:textId="77777777" w:rsidR="00972395" w:rsidRPr="00E73D4B" w:rsidRDefault="00F120C7" w:rsidP="00E73D4B">
      <w:pPr>
        <w:pStyle w:val="avsnitt-undertittel"/>
      </w:pPr>
      <w:r w:rsidRPr="00E73D4B">
        <w:t>Vedtak nr. 1162, 11. juni 2021</w:t>
      </w:r>
    </w:p>
    <w:p w14:paraId="1EDF626C" w14:textId="77777777" w:rsidR="00972395" w:rsidRPr="00E73D4B" w:rsidRDefault="00F120C7" w:rsidP="00E73D4B">
      <w:pPr>
        <w:pStyle w:val="blokksit"/>
        <w:rPr>
          <w:rStyle w:val="kursiv"/>
        </w:rPr>
      </w:pPr>
      <w:r w:rsidRPr="00E73D4B">
        <w:rPr>
          <w:rStyle w:val="kursiv"/>
        </w:rPr>
        <w:t>«Stortinget ber regjeringen utrede særskilt om politiet bør gis tilgang på straffeprosessuelle tvangsmidler ut over det den foreslåtte strafferammen på tre års fengsel for deltagelse, rekruttering eller videreføring av en kriminell sammenslutning, tilsier.»</w:t>
      </w:r>
    </w:p>
    <w:p w14:paraId="7ACF7A76"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190 L (2020–2021) og </w:t>
      </w:r>
      <w:proofErr w:type="spellStart"/>
      <w:r w:rsidRPr="00E73D4B">
        <w:t>Innst</w:t>
      </w:r>
      <w:proofErr w:type="spellEnd"/>
      <w:r w:rsidRPr="00E73D4B">
        <w:t>. 629 L (2020–2021).</w:t>
      </w:r>
    </w:p>
    <w:p w14:paraId="0499E7AC" w14:textId="77777777" w:rsidR="00972395" w:rsidRPr="00E73D4B" w:rsidRDefault="00F120C7" w:rsidP="00E73D4B">
      <w:r w:rsidRPr="00E73D4B">
        <w:t>Vedtaket er under behandling.</w:t>
      </w:r>
    </w:p>
    <w:p w14:paraId="1F596D0E" w14:textId="77777777" w:rsidR="00972395" w:rsidRPr="00E73D4B" w:rsidRDefault="00F120C7" w:rsidP="00E73D4B">
      <w:pPr>
        <w:pStyle w:val="avsnitt-tittel"/>
      </w:pPr>
      <w:r w:rsidRPr="00E73D4B">
        <w:t xml:space="preserve">Kompensasjonsordning for tapt </w:t>
      </w:r>
      <w:proofErr w:type="spellStart"/>
      <w:r w:rsidRPr="00E73D4B">
        <w:t>arbeidsforteneste</w:t>
      </w:r>
      <w:proofErr w:type="spellEnd"/>
      <w:r w:rsidRPr="00E73D4B">
        <w:t xml:space="preserve"> for frivillige i </w:t>
      </w:r>
      <w:proofErr w:type="spellStart"/>
      <w:r w:rsidRPr="00E73D4B">
        <w:t>redningstenesta</w:t>
      </w:r>
      <w:proofErr w:type="spellEnd"/>
    </w:p>
    <w:p w14:paraId="44B97512" w14:textId="77777777" w:rsidR="00972395" w:rsidRPr="00E73D4B" w:rsidRDefault="00F120C7" w:rsidP="00E73D4B">
      <w:pPr>
        <w:pStyle w:val="avsnitt-undertittel"/>
      </w:pPr>
      <w:r w:rsidRPr="00E73D4B">
        <w:t>Vedtak nr. 1343, 18. juni 2021</w:t>
      </w:r>
    </w:p>
    <w:p w14:paraId="19CD1C37" w14:textId="77777777" w:rsidR="00972395" w:rsidRPr="00E73D4B" w:rsidRDefault="00F120C7" w:rsidP="00E73D4B">
      <w:pPr>
        <w:pStyle w:val="blokksit"/>
        <w:rPr>
          <w:rStyle w:val="kursiv"/>
        </w:rPr>
      </w:pPr>
      <w:r w:rsidRPr="00E73D4B">
        <w:rPr>
          <w:rStyle w:val="kursiv"/>
        </w:rPr>
        <w:t>«Stortinget ber regjeringen i forbindelse med statsbudsjettet for 2022 legge frem en vurdering av om det bør innføres en kompensasjonsordning for tapt arbeidsfortjestene for frivillige som blir anmodet av nødetatene om å bistå i redningsoppdrag.»</w:t>
      </w:r>
    </w:p>
    <w:p w14:paraId="6CC03A4D"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195 S (2020–2021) og </w:t>
      </w:r>
      <w:proofErr w:type="spellStart"/>
      <w:r w:rsidRPr="00E73D4B">
        <w:t>Innst</w:t>
      </w:r>
      <w:proofErr w:type="spellEnd"/>
      <w:r w:rsidRPr="00E73D4B">
        <w:t>. 600 S (2020–2021).</w:t>
      </w:r>
    </w:p>
    <w:p w14:paraId="25899163" w14:textId="77777777" w:rsidR="00972395" w:rsidRPr="00E73D4B" w:rsidRDefault="00F120C7" w:rsidP="00E73D4B">
      <w:r w:rsidRPr="00E73D4B">
        <w:t xml:space="preserve">Vedtaket er under behandling. Det vil </w:t>
      </w:r>
      <w:proofErr w:type="spellStart"/>
      <w:r w:rsidRPr="00E73D4B">
        <w:t>krevje</w:t>
      </w:r>
      <w:proofErr w:type="spellEnd"/>
      <w:r w:rsidRPr="00E73D4B">
        <w:t xml:space="preserve"> ei utgreiing før </w:t>
      </w:r>
      <w:proofErr w:type="spellStart"/>
      <w:r w:rsidRPr="00E73D4B">
        <w:t>ein</w:t>
      </w:r>
      <w:proofErr w:type="spellEnd"/>
      <w:r w:rsidRPr="00E73D4B">
        <w:t xml:space="preserve"> får oversikt og kunnskap om kva </w:t>
      </w:r>
      <w:proofErr w:type="spellStart"/>
      <w:r w:rsidRPr="00E73D4B">
        <w:t>eit</w:t>
      </w:r>
      <w:proofErr w:type="spellEnd"/>
      <w:r w:rsidRPr="00E73D4B">
        <w:t xml:space="preserve"> slikt tiltak vil bety for </w:t>
      </w:r>
      <w:proofErr w:type="spellStart"/>
      <w:r w:rsidRPr="00E73D4B">
        <w:t>redningstenesta</w:t>
      </w:r>
      <w:proofErr w:type="spellEnd"/>
      <w:r w:rsidRPr="00E73D4B">
        <w:t xml:space="preserve">, og kva utgiftene vil </w:t>
      </w:r>
      <w:proofErr w:type="spellStart"/>
      <w:r w:rsidRPr="00E73D4B">
        <w:t>vere</w:t>
      </w:r>
      <w:proofErr w:type="spellEnd"/>
      <w:r w:rsidRPr="00E73D4B">
        <w:t xml:space="preserve"> for staten. Departementet har førebels </w:t>
      </w:r>
      <w:proofErr w:type="spellStart"/>
      <w:r w:rsidRPr="00E73D4B">
        <w:t>ikkje</w:t>
      </w:r>
      <w:proofErr w:type="spellEnd"/>
      <w:r w:rsidRPr="00E73D4B">
        <w:t xml:space="preserve"> </w:t>
      </w:r>
      <w:proofErr w:type="spellStart"/>
      <w:r w:rsidRPr="00E73D4B">
        <w:t>teke</w:t>
      </w:r>
      <w:proofErr w:type="spellEnd"/>
      <w:r w:rsidRPr="00E73D4B">
        <w:t xml:space="preserve"> stilling til om ei slik utgreiing skal </w:t>
      </w:r>
      <w:proofErr w:type="spellStart"/>
      <w:r w:rsidRPr="00E73D4B">
        <w:t>setjast</w:t>
      </w:r>
      <w:proofErr w:type="spellEnd"/>
      <w:r w:rsidRPr="00E73D4B">
        <w:t xml:space="preserve"> i verk. Det er både </w:t>
      </w:r>
      <w:proofErr w:type="spellStart"/>
      <w:r w:rsidRPr="00E73D4B">
        <w:t>fordelar</w:t>
      </w:r>
      <w:proofErr w:type="spellEnd"/>
      <w:r w:rsidRPr="00E73D4B">
        <w:t xml:space="preserve"> og ulemper med å innføre ei kompensasjonsordning for tapt </w:t>
      </w:r>
      <w:proofErr w:type="spellStart"/>
      <w:r w:rsidRPr="00E73D4B">
        <w:t>arbeidsforteneste</w:t>
      </w:r>
      <w:proofErr w:type="spellEnd"/>
      <w:r w:rsidRPr="00E73D4B">
        <w:t xml:space="preserve"> for frivillige. Regjeringa </w:t>
      </w:r>
      <w:proofErr w:type="spellStart"/>
      <w:r w:rsidRPr="00E73D4B">
        <w:t>ønskjer</w:t>
      </w:r>
      <w:proofErr w:type="spellEnd"/>
      <w:r w:rsidRPr="00E73D4B">
        <w:t xml:space="preserve"> å </w:t>
      </w:r>
      <w:proofErr w:type="spellStart"/>
      <w:r w:rsidRPr="00E73D4B">
        <w:t>leggje</w:t>
      </w:r>
      <w:proofErr w:type="spellEnd"/>
      <w:r w:rsidRPr="00E73D4B">
        <w:t xml:space="preserve"> til rette for at </w:t>
      </w:r>
      <w:proofErr w:type="spellStart"/>
      <w:r w:rsidRPr="00E73D4B">
        <w:t>dei</w:t>
      </w:r>
      <w:proofErr w:type="spellEnd"/>
      <w:r w:rsidRPr="00E73D4B">
        <w:t xml:space="preserve"> frivillige </w:t>
      </w:r>
      <w:proofErr w:type="spellStart"/>
      <w:r w:rsidRPr="00E73D4B">
        <w:t>organisasjonane</w:t>
      </w:r>
      <w:proofErr w:type="spellEnd"/>
      <w:r w:rsidRPr="00E73D4B">
        <w:t xml:space="preserve"> held oppe og styrker posisjonen sin </w:t>
      </w:r>
      <w:proofErr w:type="spellStart"/>
      <w:r w:rsidRPr="00E73D4B">
        <w:t>innanfor</w:t>
      </w:r>
      <w:proofErr w:type="spellEnd"/>
      <w:r w:rsidRPr="00E73D4B">
        <w:t xml:space="preserve"> norsk redningsberedskap (sjå òg Meld. St. 10 (2016–2017)). Samstundes bør det </w:t>
      </w:r>
      <w:proofErr w:type="spellStart"/>
      <w:r w:rsidRPr="00E73D4B">
        <w:t>vere</w:t>
      </w:r>
      <w:proofErr w:type="spellEnd"/>
      <w:r w:rsidRPr="00E73D4B">
        <w:t xml:space="preserve"> </w:t>
      </w:r>
      <w:proofErr w:type="spellStart"/>
      <w:r w:rsidRPr="00E73D4B">
        <w:t>eit</w:t>
      </w:r>
      <w:proofErr w:type="spellEnd"/>
      <w:r w:rsidRPr="00E73D4B">
        <w:t xml:space="preserve"> </w:t>
      </w:r>
      <w:proofErr w:type="spellStart"/>
      <w:r w:rsidRPr="00E73D4B">
        <w:t>tydeleg</w:t>
      </w:r>
      <w:proofErr w:type="spellEnd"/>
      <w:r w:rsidRPr="00E73D4B">
        <w:t xml:space="preserve"> </w:t>
      </w:r>
      <w:proofErr w:type="spellStart"/>
      <w:r w:rsidRPr="00E73D4B">
        <w:t>skilje</w:t>
      </w:r>
      <w:proofErr w:type="spellEnd"/>
      <w:r w:rsidRPr="00E73D4B">
        <w:t xml:space="preserve"> mellom </w:t>
      </w:r>
      <w:proofErr w:type="spellStart"/>
      <w:r w:rsidRPr="00E73D4B">
        <w:t>offentlege</w:t>
      </w:r>
      <w:proofErr w:type="spellEnd"/>
      <w:r w:rsidRPr="00E73D4B">
        <w:t xml:space="preserve"> og frivillige </w:t>
      </w:r>
      <w:proofErr w:type="spellStart"/>
      <w:r w:rsidRPr="00E73D4B">
        <w:t>ressursar</w:t>
      </w:r>
      <w:proofErr w:type="spellEnd"/>
      <w:r w:rsidRPr="00E73D4B">
        <w:t>.</w:t>
      </w:r>
    </w:p>
    <w:p w14:paraId="299B4EB8" w14:textId="77777777" w:rsidR="00972395" w:rsidRPr="00E73D4B" w:rsidRDefault="00F120C7" w:rsidP="00E73D4B">
      <w:pPr>
        <w:pStyle w:val="Overskrift2"/>
      </w:pPr>
      <w:r w:rsidRPr="00E73D4B">
        <w:t>Stortingssesjon 2019–2020</w:t>
      </w:r>
    </w:p>
    <w:p w14:paraId="4627B4D2" w14:textId="77777777" w:rsidR="00972395" w:rsidRPr="00E73D4B" w:rsidRDefault="00F120C7" w:rsidP="00E73D4B">
      <w:pPr>
        <w:pStyle w:val="avsnitt-tittel"/>
      </w:pPr>
      <w:r w:rsidRPr="00E73D4B">
        <w:t>Elektroniske fraktbrev</w:t>
      </w:r>
    </w:p>
    <w:p w14:paraId="7C50BD2B" w14:textId="77777777" w:rsidR="00972395" w:rsidRPr="00E73D4B" w:rsidRDefault="00F120C7" w:rsidP="00E73D4B">
      <w:pPr>
        <w:pStyle w:val="avsnitt-undertittel"/>
      </w:pPr>
      <w:r w:rsidRPr="00E73D4B">
        <w:t>Vedtak nr. 436, 31. mars 2020</w:t>
      </w:r>
    </w:p>
    <w:p w14:paraId="40761581" w14:textId="77777777" w:rsidR="00972395" w:rsidRPr="00E73D4B" w:rsidRDefault="00F120C7" w:rsidP="00E73D4B">
      <w:pPr>
        <w:pStyle w:val="blokksit"/>
        <w:rPr>
          <w:rStyle w:val="kursiv"/>
        </w:rPr>
      </w:pPr>
      <w:r w:rsidRPr="00E73D4B">
        <w:rPr>
          <w:rStyle w:val="kursiv"/>
        </w:rPr>
        <w:t>«Stortinget ber regjeringen sikre at nye elektroniske fraktbrev som er planlagt i CRM-direktivet, gjøres obligatoriske.»</w:t>
      </w:r>
    </w:p>
    <w:p w14:paraId="0D23CB82"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11 LS (2019–2020) og </w:t>
      </w:r>
      <w:proofErr w:type="spellStart"/>
      <w:r w:rsidRPr="00E73D4B">
        <w:t>Innst</w:t>
      </w:r>
      <w:proofErr w:type="spellEnd"/>
      <w:r w:rsidRPr="00E73D4B">
        <w:t>. 214 S (2019–2020).</w:t>
      </w:r>
    </w:p>
    <w:p w14:paraId="3143054E" w14:textId="77777777" w:rsidR="00972395" w:rsidRPr="00E73D4B" w:rsidRDefault="00F120C7" w:rsidP="00E73D4B">
      <w:r w:rsidRPr="00E73D4B">
        <w:t>Vedtaket er under behandling.</w:t>
      </w:r>
    </w:p>
    <w:p w14:paraId="732F5B52" w14:textId="77777777" w:rsidR="00972395" w:rsidRPr="00E73D4B" w:rsidRDefault="00F120C7" w:rsidP="00E73D4B">
      <w:pPr>
        <w:pStyle w:val="avsnitt-tittel"/>
      </w:pPr>
      <w:r w:rsidRPr="00E73D4B">
        <w:t xml:space="preserve">Reklamasjonsfrist </w:t>
      </w:r>
      <w:proofErr w:type="spellStart"/>
      <w:r w:rsidRPr="00E73D4B">
        <w:t>bustader</w:t>
      </w:r>
      <w:proofErr w:type="spellEnd"/>
    </w:p>
    <w:p w14:paraId="7ACF5EC2" w14:textId="77777777" w:rsidR="00972395" w:rsidRPr="00E73D4B" w:rsidRDefault="00F120C7" w:rsidP="00E73D4B">
      <w:pPr>
        <w:pStyle w:val="avsnitt-undertittel"/>
      </w:pPr>
      <w:r w:rsidRPr="00E73D4B">
        <w:t>Vedtak nr. 515, 21. april 2020</w:t>
      </w:r>
    </w:p>
    <w:p w14:paraId="00732FFE" w14:textId="77777777" w:rsidR="00972395" w:rsidRPr="00E73D4B" w:rsidRDefault="00F120C7" w:rsidP="00E73D4B">
      <w:pPr>
        <w:pStyle w:val="blokksit"/>
        <w:rPr>
          <w:rStyle w:val="kursiv"/>
        </w:rPr>
      </w:pPr>
      <w:r w:rsidRPr="00E73D4B">
        <w:rPr>
          <w:rStyle w:val="kursiv"/>
        </w:rPr>
        <w:t>«Stortinget ber regjeringen utrede om reklamasjonsfristen på nyoppførte boliger skal økes fra fem til ti år, samt konsekvensene av en eventuell utvidelse.»</w:t>
      </w:r>
    </w:p>
    <w:p w14:paraId="5E04CBF5" w14:textId="77777777" w:rsidR="00972395" w:rsidRPr="00E73D4B" w:rsidRDefault="00F120C7" w:rsidP="00E73D4B">
      <w:r w:rsidRPr="00E73D4B">
        <w:t xml:space="preserve">Dokumenta som ligg til grunn for vedtaket, er Meld. St. 25 (2018–2019), </w:t>
      </w:r>
      <w:proofErr w:type="spellStart"/>
      <w:r w:rsidRPr="00E73D4B">
        <w:t>Innst</w:t>
      </w:r>
      <w:proofErr w:type="spellEnd"/>
      <w:r w:rsidRPr="00E73D4B">
        <w:t>. 171 S (2019–2020).</w:t>
      </w:r>
    </w:p>
    <w:p w14:paraId="7911680B" w14:textId="77777777" w:rsidR="00972395" w:rsidRPr="00E73D4B" w:rsidRDefault="00F120C7" w:rsidP="00E73D4B">
      <w:r w:rsidRPr="00E73D4B">
        <w:t>Vedtaket er under behandling.</w:t>
      </w:r>
    </w:p>
    <w:p w14:paraId="2BD164D5" w14:textId="77777777" w:rsidR="00972395" w:rsidRPr="00E73D4B" w:rsidRDefault="00F120C7" w:rsidP="00E73D4B">
      <w:pPr>
        <w:pStyle w:val="avsnitt-tittel"/>
      </w:pPr>
      <w:r w:rsidRPr="00E73D4B">
        <w:t>Lovforslag for å sikre deling av registerinformasjon</w:t>
      </w:r>
    </w:p>
    <w:p w14:paraId="1B161C84" w14:textId="77777777" w:rsidR="00972395" w:rsidRPr="00E73D4B" w:rsidRDefault="00F120C7" w:rsidP="00E73D4B">
      <w:pPr>
        <w:pStyle w:val="avsnitt-undertittel"/>
      </w:pPr>
      <w:r w:rsidRPr="00E73D4B">
        <w:t>Vedtak nr. 669, 10. juni 2020</w:t>
      </w:r>
    </w:p>
    <w:p w14:paraId="3A50C553" w14:textId="77777777" w:rsidR="00972395" w:rsidRPr="00E73D4B" w:rsidRDefault="00F120C7" w:rsidP="00E73D4B">
      <w:pPr>
        <w:pStyle w:val="blokksit"/>
        <w:rPr>
          <w:rStyle w:val="kursiv"/>
        </w:rPr>
      </w:pPr>
      <w:r w:rsidRPr="00E73D4B">
        <w:rPr>
          <w:rStyle w:val="kursiv"/>
        </w:rPr>
        <w:t>«Stortinget ber regjeringen fremme nødvendige lovforslag for å sikre at relevant registerinformasjon deles mellom offentlige forvaltningsorgan for å avdekke og forhindre kriminalitet.»</w:t>
      </w:r>
    </w:p>
    <w:p w14:paraId="47AEE508" w14:textId="77777777" w:rsidR="00972395" w:rsidRPr="00E73D4B" w:rsidRDefault="00F120C7" w:rsidP="00E73D4B">
      <w:r w:rsidRPr="00E73D4B">
        <w:t xml:space="preserve">Dokumenta som ligg til grunn for vedtaket, er Dokument 8:88 S (2019–2020) og </w:t>
      </w:r>
      <w:proofErr w:type="spellStart"/>
      <w:r w:rsidRPr="00E73D4B">
        <w:t>Innst</w:t>
      </w:r>
      <w:proofErr w:type="spellEnd"/>
      <w:r w:rsidRPr="00E73D4B">
        <w:t>. 342 S (2019–2020).</w:t>
      </w:r>
    </w:p>
    <w:p w14:paraId="1B95429E" w14:textId="77777777" w:rsidR="00972395" w:rsidRPr="00E73D4B" w:rsidRDefault="00F120C7" w:rsidP="00E73D4B">
      <w:r w:rsidRPr="00E73D4B">
        <w:t xml:space="preserve">Vedtaket er under behandling. </w:t>
      </w:r>
      <w:proofErr w:type="spellStart"/>
      <w:r w:rsidRPr="00E73D4B">
        <w:t>Eit</w:t>
      </w:r>
      <w:proofErr w:type="spellEnd"/>
      <w:r w:rsidRPr="00E73D4B">
        <w:t xml:space="preserve"> </w:t>
      </w:r>
      <w:proofErr w:type="spellStart"/>
      <w:r w:rsidRPr="00E73D4B">
        <w:t>høyringsforslag</w:t>
      </w:r>
      <w:proofErr w:type="spellEnd"/>
      <w:r w:rsidRPr="00E73D4B">
        <w:t xml:space="preserve"> </w:t>
      </w:r>
      <w:proofErr w:type="spellStart"/>
      <w:r w:rsidRPr="00E73D4B">
        <w:t>frå</w:t>
      </w:r>
      <w:proofErr w:type="spellEnd"/>
      <w:r w:rsidRPr="00E73D4B">
        <w:t xml:space="preserve"> september 2020 om </w:t>
      </w:r>
      <w:proofErr w:type="spellStart"/>
      <w:r w:rsidRPr="00E73D4B">
        <w:t>endringar</w:t>
      </w:r>
      <w:proofErr w:type="spellEnd"/>
      <w:r w:rsidRPr="00E73D4B">
        <w:t xml:space="preserve"> i forvaltningslova m.m., som gjekk ut på å innføre nye og større grunnlag for deling mellom forvaltningsorgan av </w:t>
      </w:r>
      <w:proofErr w:type="spellStart"/>
      <w:r w:rsidRPr="00E73D4B">
        <w:t>opplysningar</w:t>
      </w:r>
      <w:proofErr w:type="spellEnd"/>
      <w:r w:rsidRPr="00E73D4B">
        <w:t xml:space="preserve"> som er omfatta av teieplikt, vart </w:t>
      </w:r>
      <w:proofErr w:type="spellStart"/>
      <w:r w:rsidRPr="00E73D4B">
        <w:t>følgt</w:t>
      </w:r>
      <w:proofErr w:type="spellEnd"/>
      <w:r w:rsidRPr="00E73D4B">
        <w:t xml:space="preserve"> opp i </w:t>
      </w:r>
      <w:proofErr w:type="spellStart"/>
      <w:r w:rsidRPr="00E73D4B">
        <w:t>Prop</w:t>
      </w:r>
      <w:proofErr w:type="spellEnd"/>
      <w:r w:rsidRPr="00E73D4B">
        <w:t xml:space="preserve">. 166 L (2020–2021) om </w:t>
      </w:r>
      <w:proofErr w:type="spellStart"/>
      <w:r w:rsidRPr="00E73D4B">
        <w:t>endringar</w:t>
      </w:r>
      <w:proofErr w:type="spellEnd"/>
      <w:r w:rsidRPr="00E73D4B">
        <w:t xml:space="preserve"> i forvaltningslova m.m. og endringslov 18. juni 2021 nr. 127. </w:t>
      </w:r>
      <w:proofErr w:type="spellStart"/>
      <w:r w:rsidRPr="00E73D4B">
        <w:t>Førebygging</w:t>
      </w:r>
      <w:proofErr w:type="spellEnd"/>
      <w:r w:rsidRPr="00E73D4B">
        <w:t xml:space="preserve"> og avdekking av kriminalitet var sentrale omsyn som </w:t>
      </w:r>
      <w:proofErr w:type="spellStart"/>
      <w:r w:rsidRPr="00E73D4B">
        <w:t>låg</w:t>
      </w:r>
      <w:proofErr w:type="spellEnd"/>
      <w:r w:rsidRPr="00E73D4B">
        <w:t xml:space="preserve"> til grunn for forslaget. Ny § 13 g i forvaltningslova gir heimel til å gi forskrift om at teieplikt etter forvaltningslova § 13 </w:t>
      </w:r>
      <w:proofErr w:type="spellStart"/>
      <w:r w:rsidRPr="00E73D4B">
        <w:t>ikkje</w:t>
      </w:r>
      <w:proofErr w:type="spellEnd"/>
      <w:r w:rsidRPr="00E73D4B">
        <w:t xml:space="preserve"> skal </w:t>
      </w:r>
      <w:proofErr w:type="spellStart"/>
      <w:r w:rsidRPr="00E73D4B">
        <w:t>vere</w:t>
      </w:r>
      <w:proofErr w:type="spellEnd"/>
      <w:r w:rsidRPr="00E73D4B">
        <w:t xml:space="preserve"> til hinder for at bestemte organ kan dele </w:t>
      </w:r>
      <w:proofErr w:type="spellStart"/>
      <w:r w:rsidRPr="00E73D4B">
        <w:t>opplysningar</w:t>
      </w:r>
      <w:proofErr w:type="spellEnd"/>
      <w:r w:rsidRPr="00E73D4B">
        <w:t xml:space="preserve"> for å utføre </w:t>
      </w:r>
      <w:proofErr w:type="spellStart"/>
      <w:r w:rsidRPr="00E73D4B">
        <w:t>oppgåver</w:t>
      </w:r>
      <w:proofErr w:type="spellEnd"/>
      <w:r w:rsidRPr="00E73D4B">
        <w:t xml:space="preserve"> som er lagde til </w:t>
      </w:r>
      <w:proofErr w:type="spellStart"/>
      <w:r w:rsidRPr="00E73D4B">
        <w:t>givar</w:t>
      </w:r>
      <w:proofErr w:type="spellEnd"/>
      <w:r w:rsidRPr="00E73D4B">
        <w:t xml:space="preserve">- eller </w:t>
      </w:r>
      <w:proofErr w:type="spellStart"/>
      <w:r w:rsidRPr="00E73D4B">
        <w:t>mottakarorganet</w:t>
      </w:r>
      <w:proofErr w:type="spellEnd"/>
      <w:r w:rsidRPr="00E73D4B">
        <w:t xml:space="preserve">, og </w:t>
      </w:r>
      <w:proofErr w:type="spellStart"/>
      <w:r w:rsidRPr="00E73D4B">
        <w:t>opnar</w:t>
      </w:r>
      <w:proofErr w:type="spellEnd"/>
      <w:r w:rsidRPr="00E73D4B">
        <w:t xml:space="preserve"> dermed for å gi forskrifter om </w:t>
      </w:r>
      <w:proofErr w:type="spellStart"/>
      <w:r w:rsidRPr="00E73D4B">
        <w:t>dei</w:t>
      </w:r>
      <w:proofErr w:type="spellEnd"/>
      <w:r w:rsidRPr="00E73D4B">
        <w:t xml:space="preserve"> emna som er </w:t>
      </w:r>
      <w:proofErr w:type="spellStart"/>
      <w:r w:rsidRPr="00E73D4B">
        <w:t>nemnde</w:t>
      </w:r>
      <w:proofErr w:type="spellEnd"/>
      <w:r w:rsidRPr="00E73D4B">
        <w:t xml:space="preserve"> i vedtaket.</w:t>
      </w:r>
    </w:p>
    <w:p w14:paraId="482971A7" w14:textId="77777777" w:rsidR="00972395" w:rsidRPr="00E73D4B" w:rsidRDefault="00F120C7" w:rsidP="00E73D4B">
      <w:pPr>
        <w:pStyle w:val="Overskrift2"/>
      </w:pPr>
      <w:r w:rsidRPr="00E73D4B">
        <w:t>Stortingssesjon 2018–2019</w:t>
      </w:r>
    </w:p>
    <w:p w14:paraId="78F9EDBB" w14:textId="77777777" w:rsidR="00972395" w:rsidRPr="00E73D4B" w:rsidRDefault="00F120C7" w:rsidP="00E73D4B">
      <w:pPr>
        <w:pStyle w:val="avsnitt-tittel"/>
      </w:pPr>
      <w:r w:rsidRPr="00E73D4B">
        <w:t>Rettshjelpsordninga</w:t>
      </w:r>
    </w:p>
    <w:p w14:paraId="27220583" w14:textId="77777777" w:rsidR="00972395" w:rsidRPr="00E73D4B" w:rsidRDefault="00F120C7" w:rsidP="00E73D4B">
      <w:pPr>
        <w:pStyle w:val="avsnitt-undertittel"/>
      </w:pPr>
      <w:r w:rsidRPr="00E73D4B">
        <w:t>Vedtak nr. 98, 4. desember 2018</w:t>
      </w:r>
    </w:p>
    <w:p w14:paraId="5F3A3FB1" w14:textId="77777777" w:rsidR="00972395" w:rsidRPr="00E73D4B" w:rsidRDefault="00F120C7" w:rsidP="00E73D4B">
      <w:pPr>
        <w:pStyle w:val="blokksit"/>
        <w:rPr>
          <w:rStyle w:val="kursiv"/>
        </w:rPr>
      </w:pPr>
      <w:r w:rsidRPr="00E73D4B">
        <w:rPr>
          <w:rStyle w:val="kursiv"/>
        </w:rPr>
        <w:t>«Stortinget ber regjeringen i forbindelse med den pågående utredningen av rettshjelpsordningen komme tilbake til Stortinget med tiltak i oppfølgingen av denne for å gjøre ordningen betre, mer effektiv og treffsikker.»</w:t>
      </w:r>
    </w:p>
    <w:p w14:paraId="58AA3F9E" w14:textId="77777777" w:rsidR="00972395" w:rsidRPr="00E73D4B" w:rsidRDefault="00F120C7" w:rsidP="00E73D4B">
      <w:r w:rsidRPr="00E73D4B">
        <w:t xml:space="preserve">Dokumenta som ligg til grunn for vedtaket, er Dokument 8:152 S (2017–2018) og </w:t>
      </w:r>
      <w:proofErr w:type="spellStart"/>
      <w:r w:rsidRPr="00E73D4B">
        <w:t>Innst</w:t>
      </w:r>
      <w:proofErr w:type="spellEnd"/>
      <w:r w:rsidRPr="00E73D4B">
        <w:t>. 71 S (2018–2019).</w:t>
      </w:r>
    </w:p>
    <w:p w14:paraId="165773D5" w14:textId="77777777" w:rsidR="00972395" w:rsidRPr="00E73D4B" w:rsidRDefault="00F120C7" w:rsidP="00E73D4B">
      <w:r w:rsidRPr="00E73D4B">
        <w:t xml:space="preserve">Vedtaket er under behandling. Regjeringa sette i oktober 2018 ned </w:t>
      </w:r>
      <w:proofErr w:type="spellStart"/>
      <w:r w:rsidRPr="00E73D4B">
        <w:t>eit</w:t>
      </w:r>
      <w:proofErr w:type="spellEnd"/>
      <w:r w:rsidRPr="00E73D4B">
        <w:t xml:space="preserve"> </w:t>
      </w:r>
      <w:proofErr w:type="spellStart"/>
      <w:r w:rsidRPr="00E73D4B">
        <w:t>offentleg</w:t>
      </w:r>
      <w:proofErr w:type="spellEnd"/>
      <w:r w:rsidRPr="00E73D4B">
        <w:t xml:space="preserve"> </w:t>
      </w:r>
      <w:proofErr w:type="spellStart"/>
      <w:r w:rsidRPr="00E73D4B">
        <w:t>utval</w:t>
      </w:r>
      <w:proofErr w:type="spellEnd"/>
      <w:r w:rsidRPr="00E73D4B">
        <w:t xml:space="preserve"> som skulle gjennomgå rettshjelpsordninga. </w:t>
      </w:r>
      <w:proofErr w:type="spellStart"/>
      <w:r w:rsidRPr="00E73D4B">
        <w:t>Utvalet</w:t>
      </w:r>
      <w:proofErr w:type="spellEnd"/>
      <w:r w:rsidRPr="00E73D4B">
        <w:t xml:space="preserve"> leverte ei utgreiing 30. april 2020. </w:t>
      </w:r>
      <w:proofErr w:type="spellStart"/>
      <w:r w:rsidRPr="00E73D4B">
        <w:t>Utvalet</w:t>
      </w:r>
      <w:proofErr w:type="spellEnd"/>
      <w:r w:rsidRPr="00E73D4B">
        <w:t xml:space="preserve"> foreslår </w:t>
      </w:r>
      <w:proofErr w:type="gramStart"/>
      <w:r w:rsidRPr="00E73D4B">
        <w:t>ei reform</w:t>
      </w:r>
      <w:proofErr w:type="gramEnd"/>
      <w:r w:rsidRPr="00E73D4B">
        <w:t xml:space="preserve"> av rettshjelpsordninga og </w:t>
      </w:r>
      <w:proofErr w:type="spellStart"/>
      <w:r w:rsidRPr="00E73D4B">
        <w:t>ein</w:t>
      </w:r>
      <w:proofErr w:type="spellEnd"/>
      <w:r w:rsidRPr="00E73D4B">
        <w:t xml:space="preserve"> ny lov om støtte til rettshjelp. Forslaget </w:t>
      </w:r>
      <w:proofErr w:type="spellStart"/>
      <w:r w:rsidRPr="00E73D4B">
        <w:t>inneber</w:t>
      </w:r>
      <w:proofErr w:type="spellEnd"/>
      <w:r w:rsidRPr="00E73D4B">
        <w:t xml:space="preserve"> at </w:t>
      </w:r>
      <w:proofErr w:type="spellStart"/>
      <w:r w:rsidRPr="00E73D4B">
        <w:t>fleire</w:t>
      </w:r>
      <w:proofErr w:type="spellEnd"/>
      <w:r w:rsidRPr="00E73D4B">
        <w:t xml:space="preserve"> </w:t>
      </w:r>
      <w:proofErr w:type="spellStart"/>
      <w:r w:rsidRPr="00E73D4B">
        <w:t>personar</w:t>
      </w:r>
      <w:proofErr w:type="spellEnd"/>
      <w:r w:rsidRPr="00E73D4B">
        <w:t xml:space="preserve"> vil bli omfatta av ordninga, men med </w:t>
      </w:r>
      <w:proofErr w:type="spellStart"/>
      <w:r w:rsidRPr="00E73D4B">
        <w:t>betydeleg</w:t>
      </w:r>
      <w:proofErr w:type="spellEnd"/>
      <w:r w:rsidRPr="00E73D4B">
        <w:t xml:space="preserve"> bruk av </w:t>
      </w:r>
      <w:proofErr w:type="spellStart"/>
      <w:r w:rsidRPr="00E73D4B">
        <w:t>eigendelar</w:t>
      </w:r>
      <w:proofErr w:type="spellEnd"/>
      <w:r w:rsidRPr="00E73D4B">
        <w:t xml:space="preserve"> tilpassa betalingsevna til </w:t>
      </w:r>
      <w:proofErr w:type="spellStart"/>
      <w:r w:rsidRPr="00E73D4B">
        <w:t>mottakaren</w:t>
      </w:r>
      <w:proofErr w:type="spellEnd"/>
      <w:r w:rsidRPr="00E73D4B">
        <w:t xml:space="preserve">. Utgreiinga har </w:t>
      </w:r>
      <w:proofErr w:type="spellStart"/>
      <w:r w:rsidRPr="00E73D4B">
        <w:t>vore</w:t>
      </w:r>
      <w:proofErr w:type="spellEnd"/>
      <w:r w:rsidRPr="00E73D4B">
        <w:t xml:space="preserve"> på </w:t>
      </w:r>
      <w:proofErr w:type="spellStart"/>
      <w:r w:rsidRPr="00E73D4B">
        <w:t>høyring</w:t>
      </w:r>
      <w:proofErr w:type="spellEnd"/>
      <w:r w:rsidRPr="00E73D4B">
        <w:t xml:space="preserve"> og er </w:t>
      </w:r>
      <w:proofErr w:type="spellStart"/>
      <w:r w:rsidRPr="00E73D4B">
        <w:t>no</w:t>
      </w:r>
      <w:proofErr w:type="spellEnd"/>
      <w:r w:rsidRPr="00E73D4B">
        <w:t xml:space="preserve"> til oppfølging i departementet. </w:t>
      </w:r>
      <w:proofErr w:type="spellStart"/>
      <w:r w:rsidRPr="00E73D4B">
        <w:t>Frå</w:t>
      </w:r>
      <w:proofErr w:type="spellEnd"/>
      <w:r w:rsidRPr="00E73D4B">
        <w:t xml:space="preserve"> og med 1. januar 2022 vart inntektsgrensene for fri rettshjelp heva med ca. 30 pst.</w:t>
      </w:r>
    </w:p>
    <w:p w14:paraId="34036748" w14:textId="77777777" w:rsidR="00972395" w:rsidRPr="00E73D4B" w:rsidRDefault="00F120C7" w:rsidP="00E73D4B">
      <w:r w:rsidRPr="00E73D4B">
        <w:t>Sjå omtale under programkategori 06.70.</w:t>
      </w:r>
    </w:p>
    <w:p w14:paraId="019DF1C7" w14:textId="77777777" w:rsidR="00972395" w:rsidRPr="00E73D4B" w:rsidRDefault="00F120C7" w:rsidP="00E73D4B">
      <w:pPr>
        <w:pStyle w:val="Overskrift2"/>
      </w:pPr>
      <w:r w:rsidRPr="00E73D4B">
        <w:t>Stortingssesjon 2017–2018</w:t>
      </w:r>
    </w:p>
    <w:p w14:paraId="235110BF" w14:textId="77777777" w:rsidR="00972395" w:rsidRPr="00E73D4B" w:rsidRDefault="00F120C7" w:rsidP="00E73D4B">
      <w:pPr>
        <w:pStyle w:val="avsnitt-tittel"/>
      </w:pPr>
      <w:r w:rsidRPr="00E73D4B">
        <w:t>Alternativ til fengsling av barn</w:t>
      </w:r>
    </w:p>
    <w:p w14:paraId="77FC44BA" w14:textId="77777777" w:rsidR="00972395" w:rsidRPr="00E73D4B" w:rsidRDefault="00F120C7" w:rsidP="00E73D4B">
      <w:pPr>
        <w:pStyle w:val="avsnitt-undertittel"/>
      </w:pPr>
      <w:r w:rsidRPr="00E73D4B">
        <w:t>Vedtak nr. 539, 15. mars 2018</w:t>
      </w:r>
    </w:p>
    <w:p w14:paraId="23E59B01" w14:textId="77777777" w:rsidR="00972395" w:rsidRPr="00E73D4B" w:rsidRDefault="00F120C7" w:rsidP="00E73D4B">
      <w:pPr>
        <w:pStyle w:val="blokksit"/>
        <w:rPr>
          <w:rStyle w:val="kursiv"/>
        </w:rPr>
      </w:pPr>
      <w:r w:rsidRPr="00E73D4B">
        <w:rPr>
          <w:rStyle w:val="kursiv"/>
        </w:rPr>
        <w:t>«Stortinget ber regjeringen utrede og legge fram forslag til flere alternativer til å fengsle barn i forbindelse med uttransportering etter utlendingsloven.»</w:t>
      </w:r>
    </w:p>
    <w:p w14:paraId="3A784829" w14:textId="77777777" w:rsidR="00972395" w:rsidRPr="00E73D4B" w:rsidRDefault="00F120C7" w:rsidP="00E73D4B">
      <w:r w:rsidRPr="00E73D4B">
        <w:t xml:space="preserve">Grunnlaget for vedtaket går fram av </w:t>
      </w:r>
      <w:proofErr w:type="spellStart"/>
      <w:r w:rsidRPr="00E73D4B">
        <w:t>Prop</w:t>
      </w:r>
      <w:proofErr w:type="spellEnd"/>
      <w:r w:rsidRPr="00E73D4B">
        <w:t xml:space="preserve">. 126 L (2016–2017) og </w:t>
      </w:r>
      <w:proofErr w:type="spellStart"/>
      <w:r w:rsidRPr="00E73D4B">
        <w:t>Innst</w:t>
      </w:r>
      <w:proofErr w:type="spellEnd"/>
      <w:r w:rsidRPr="00E73D4B">
        <w:t>. 181 L (2017–2018).</w:t>
      </w:r>
    </w:p>
    <w:p w14:paraId="33751BB8" w14:textId="77777777" w:rsidR="00972395" w:rsidRPr="00E73D4B" w:rsidRDefault="00F120C7" w:rsidP="00E73D4B">
      <w:r w:rsidRPr="00E73D4B">
        <w:t xml:space="preserve">Vedtaket er </w:t>
      </w:r>
      <w:proofErr w:type="spellStart"/>
      <w:r w:rsidRPr="00E73D4B">
        <w:t>følgt</w:t>
      </w:r>
      <w:proofErr w:type="spellEnd"/>
      <w:r w:rsidRPr="00E73D4B">
        <w:t xml:space="preserve"> opp. Departementet sende ei utgreiing og forslag til </w:t>
      </w:r>
      <w:proofErr w:type="spellStart"/>
      <w:r w:rsidRPr="00E73D4B">
        <w:t>endringar</w:t>
      </w:r>
      <w:proofErr w:type="spellEnd"/>
      <w:r w:rsidRPr="00E73D4B">
        <w:t xml:space="preserve"> i utlendingslova på </w:t>
      </w:r>
      <w:proofErr w:type="spellStart"/>
      <w:r w:rsidRPr="00E73D4B">
        <w:t>høyring</w:t>
      </w:r>
      <w:proofErr w:type="spellEnd"/>
      <w:r w:rsidRPr="00E73D4B">
        <w:t xml:space="preserve"> i desember 2019 med frist 3. april 2020. Her </w:t>
      </w:r>
      <w:proofErr w:type="spellStart"/>
      <w:r w:rsidRPr="00E73D4B">
        <w:t>vart</w:t>
      </w:r>
      <w:proofErr w:type="spellEnd"/>
      <w:r w:rsidRPr="00E73D4B">
        <w:t xml:space="preserve"> det bl.a. foreslått </w:t>
      </w:r>
      <w:proofErr w:type="spellStart"/>
      <w:r w:rsidRPr="00E73D4B">
        <w:t>reglar</w:t>
      </w:r>
      <w:proofErr w:type="spellEnd"/>
      <w:r w:rsidRPr="00E73D4B">
        <w:t xml:space="preserve"> for meldeplikt mv. som </w:t>
      </w:r>
      <w:proofErr w:type="spellStart"/>
      <w:r w:rsidRPr="00E73D4B">
        <w:t>eit</w:t>
      </w:r>
      <w:proofErr w:type="spellEnd"/>
      <w:r w:rsidRPr="00E73D4B">
        <w:t xml:space="preserve"> alternativ til internering av barn. Departementet har </w:t>
      </w:r>
      <w:proofErr w:type="spellStart"/>
      <w:r w:rsidRPr="00E73D4B">
        <w:t>følgt</w:t>
      </w:r>
      <w:proofErr w:type="spellEnd"/>
      <w:r w:rsidRPr="00E73D4B">
        <w:t xml:space="preserve"> opp vedtaket i </w:t>
      </w:r>
      <w:proofErr w:type="spellStart"/>
      <w:r w:rsidRPr="00E73D4B">
        <w:t>Prop</w:t>
      </w:r>
      <w:proofErr w:type="spellEnd"/>
      <w:r w:rsidRPr="00E73D4B">
        <w:t xml:space="preserve">. 137 L (2021–2022) «Endringer i utlendingsloven (visitasjon og undersøkelse i forbindelse med registrering av søknad om beskyttelse mv.)», sendt over til Stortinget 22. juni 2022. Det blir </w:t>
      </w:r>
      <w:proofErr w:type="spellStart"/>
      <w:r w:rsidRPr="00E73D4B">
        <w:t>ikkje</w:t>
      </w:r>
      <w:proofErr w:type="spellEnd"/>
      <w:r w:rsidRPr="00E73D4B">
        <w:t xml:space="preserve"> fremma nye lovforslag. Departementet har </w:t>
      </w:r>
      <w:proofErr w:type="spellStart"/>
      <w:r w:rsidRPr="00E73D4B">
        <w:t>ikkje</w:t>
      </w:r>
      <w:proofErr w:type="spellEnd"/>
      <w:r w:rsidRPr="00E73D4B">
        <w:t xml:space="preserve"> identifisert målretta og </w:t>
      </w:r>
      <w:proofErr w:type="spellStart"/>
      <w:r w:rsidRPr="00E73D4B">
        <w:t>formålstenlege</w:t>
      </w:r>
      <w:proofErr w:type="spellEnd"/>
      <w:r w:rsidRPr="00E73D4B">
        <w:t xml:space="preserve"> tiltak som kan </w:t>
      </w:r>
      <w:proofErr w:type="spellStart"/>
      <w:r w:rsidRPr="00E73D4B">
        <w:t>tilrådast</w:t>
      </w:r>
      <w:proofErr w:type="spellEnd"/>
      <w:r w:rsidRPr="00E73D4B">
        <w:t xml:space="preserve"> på </w:t>
      </w:r>
      <w:proofErr w:type="spellStart"/>
      <w:r w:rsidRPr="00E73D4B">
        <w:t>fagleg</w:t>
      </w:r>
      <w:proofErr w:type="spellEnd"/>
      <w:r w:rsidRPr="00E73D4B">
        <w:t xml:space="preserve"> grunnlag.</w:t>
      </w:r>
    </w:p>
    <w:p w14:paraId="2EB53EFB" w14:textId="77777777" w:rsidR="00972395" w:rsidRPr="00E73D4B" w:rsidRDefault="00F120C7" w:rsidP="00E73D4B">
      <w:pPr>
        <w:pStyle w:val="avsnitt-tittel"/>
      </w:pPr>
      <w:proofErr w:type="spellStart"/>
      <w:r w:rsidRPr="00E73D4B">
        <w:t>Einslege</w:t>
      </w:r>
      <w:proofErr w:type="spellEnd"/>
      <w:r w:rsidRPr="00E73D4B">
        <w:t xml:space="preserve"> mindreårige </w:t>
      </w:r>
      <w:proofErr w:type="spellStart"/>
      <w:r w:rsidRPr="00E73D4B">
        <w:t>asylsøkarar</w:t>
      </w:r>
      <w:proofErr w:type="spellEnd"/>
    </w:p>
    <w:p w14:paraId="7A3DF48D" w14:textId="77777777" w:rsidR="00972395" w:rsidRPr="00E73D4B" w:rsidRDefault="00F120C7" w:rsidP="00E73D4B">
      <w:pPr>
        <w:pStyle w:val="avsnitt-undertittel"/>
      </w:pPr>
      <w:r w:rsidRPr="00E73D4B">
        <w:t>Vedtak nr. 540, 15. mars 2018</w:t>
      </w:r>
    </w:p>
    <w:p w14:paraId="35DBCF77" w14:textId="77777777" w:rsidR="00972395" w:rsidRPr="00E73D4B" w:rsidRDefault="00F120C7" w:rsidP="00E73D4B">
      <w:pPr>
        <w:pStyle w:val="blokksit"/>
        <w:rPr>
          <w:rStyle w:val="kursiv"/>
        </w:rPr>
      </w:pPr>
      <w:r w:rsidRPr="00E73D4B">
        <w:rPr>
          <w:rStyle w:val="kursiv"/>
        </w:rPr>
        <w:t>«Stortinget ber regjeringen sørge for at det snarest etableres reelle alternativer til frihetsberøvelse av enslige mindreårige asylsøkere, som ivaretar hensynet til barnets beste.»</w:t>
      </w:r>
    </w:p>
    <w:p w14:paraId="4CB2E704"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126 L (2016–2017) og </w:t>
      </w:r>
      <w:proofErr w:type="spellStart"/>
      <w:r w:rsidRPr="00E73D4B">
        <w:t>Innst</w:t>
      </w:r>
      <w:proofErr w:type="spellEnd"/>
      <w:r w:rsidRPr="00E73D4B">
        <w:t>. 181 L (2017–2018).</w:t>
      </w:r>
    </w:p>
    <w:p w14:paraId="065555AE" w14:textId="77777777" w:rsidR="00972395" w:rsidRPr="00E73D4B" w:rsidRDefault="00F120C7" w:rsidP="00E73D4B">
      <w:r w:rsidRPr="00E73D4B">
        <w:t xml:space="preserve">Justis- og beredskapsdepartementet sende 18. desember 2019 på </w:t>
      </w:r>
      <w:proofErr w:type="spellStart"/>
      <w:r w:rsidRPr="00E73D4B">
        <w:t>høyring</w:t>
      </w:r>
      <w:proofErr w:type="spellEnd"/>
      <w:r w:rsidRPr="00E73D4B">
        <w:t xml:space="preserve"> ei utgreiing om alternativ til fridomskrenking av mindreårige og forslag </w:t>
      </w:r>
      <w:proofErr w:type="spellStart"/>
      <w:r w:rsidRPr="00E73D4B">
        <w:t>moglege</w:t>
      </w:r>
      <w:proofErr w:type="spellEnd"/>
      <w:r w:rsidRPr="00E73D4B">
        <w:t xml:space="preserve"> </w:t>
      </w:r>
      <w:proofErr w:type="spellStart"/>
      <w:r w:rsidRPr="00E73D4B">
        <w:t>endringar</w:t>
      </w:r>
      <w:proofErr w:type="spellEnd"/>
      <w:r w:rsidRPr="00E73D4B">
        <w:t xml:space="preserve"> i utlendingslova. I </w:t>
      </w:r>
      <w:proofErr w:type="spellStart"/>
      <w:r w:rsidRPr="00E73D4B">
        <w:t>høyringa</w:t>
      </w:r>
      <w:proofErr w:type="spellEnd"/>
      <w:r w:rsidRPr="00E73D4B">
        <w:t xml:space="preserve"> </w:t>
      </w:r>
      <w:proofErr w:type="spellStart"/>
      <w:r w:rsidRPr="00E73D4B">
        <w:t>peika</w:t>
      </w:r>
      <w:proofErr w:type="spellEnd"/>
      <w:r w:rsidRPr="00E73D4B">
        <w:t xml:space="preserve"> </w:t>
      </w:r>
      <w:proofErr w:type="spellStart"/>
      <w:r w:rsidRPr="00E73D4B">
        <w:t>fleire</w:t>
      </w:r>
      <w:proofErr w:type="spellEnd"/>
      <w:r w:rsidRPr="00E73D4B">
        <w:t xml:space="preserve"> av </w:t>
      </w:r>
      <w:proofErr w:type="spellStart"/>
      <w:r w:rsidRPr="00E73D4B">
        <w:t>høyringsinstansane</w:t>
      </w:r>
      <w:proofErr w:type="spellEnd"/>
      <w:r w:rsidRPr="00E73D4B">
        <w:t xml:space="preserve"> på at alternativa som blir skisserte, er få og til dels lite treffsikre. Det kom heller </w:t>
      </w:r>
      <w:proofErr w:type="spellStart"/>
      <w:r w:rsidRPr="00E73D4B">
        <w:t>ikkje</w:t>
      </w:r>
      <w:proofErr w:type="spellEnd"/>
      <w:r w:rsidRPr="00E73D4B">
        <w:t xml:space="preserve"> </w:t>
      </w:r>
      <w:proofErr w:type="spellStart"/>
      <w:r w:rsidRPr="00E73D4B">
        <w:t>nokon</w:t>
      </w:r>
      <w:proofErr w:type="spellEnd"/>
      <w:r w:rsidRPr="00E73D4B">
        <w:t xml:space="preserve"> nye forslag til </w:t>
      </w:r>
      <w:proofErr w:type="spellStart"/>
      <w:r w:rsidRPr="00E73D4B">
        <w:t>lovendringar</w:t>
      </w:r>
      <w:proofErr w:type="spellEnd"/>
      <w:r w:rsidRPr="00E73D4B">
        <w:t>.</w:t>
      </w:r>
    </w:p>
    <w:p w14:paraId="12C4A3CB" w14:textId="77777777" w:rsidR="00972395" w:rsidRPr="00E73D4B" w:rsidRDefault="00F120C7" w:rsidP="00E73D4B">
      <w:r w:rsidRPr="00E73D4B">
        <w:t xml:space="preserve">Det er </w:t>
      </w:r>
      <w:proofErr w:type="spellStart"/>
      <w:r w:rsidRPr="00E73D4B">
        <w:t>ein</w:t>
      </w:r>
      <w:proofErr w:type="spellEnd"/>
      <w:r w:rsidRPr="00E73D4B">
        <w:t xml:space="preserve"> svært </w:t>
      </w:r>
      <w:proofErr w:type="spellStart"/>
      <w:r w:rsidRPr="00E73D4B">
        <w:t>høg</w:t>
      </w:r>
      <w:proofErr w:type="spellEnd"/>
      <w:r w:rsidRPr="00E73D4B">
        <w:t xml:space="preserve"> terskel for å internere barn, og det blir gjort som </w:t>
      </w:r>
      <w:proofErr w:type="spellStart"/>
      <w:r w:rsidRPr="00E73D4B">
        <w:t>ein</w:t>
      </w:r>
      <w:proofErr w:type="spellEnd"/>
      <w:r w:rsidRPr="00E73D4B">
        <w:t xml:space="preserve"> absolutt siste utveg. I åra 2019 t.o.m. 2021 har ingen </w:t>
      </w:r>
      <w:proofErr w:type="spellStart"/>
      <w:r w:rsidRPr="00E73D4B">
        <w:t>einslege</w:t>
      </w:r>
      <w:proofErr w:type="spellEnd"/>
      <w:r w:rsidRPr="00E73D4B">
        <w:t xml:space="preserve"> mindreårige </w:t>
      </w:r>
      <w:proofErr w:type="spellStart"/>
      <w:r w:rsidRPr="00E73D4B">
        <w:t>vore</w:t>
      </w:r>
      <w:proofErr w:type="spellEnd"/>
      <w:r w:rsidRPr="00E73D4B">
        <w:t xml:space="preserve"> internert på Haraldvangen familiesenter. Samstundes må det </w:t>
      </w:r>
      <w:proofErr w:type="spellStart"/>
      <w:r w:rsidRPr="00E73D4B">
        <w:t>framleis</w:t>
      </w:r>
      <w:proofErr w:type="spellEnd"/>
      <w:r w:rsidRPr="00E73D4B">
        <w:t xml:space="preserve"> </w:t>
      </w:r>
      <w:proofErr w:type="spellStart"/>
      <w:r w:rsidRPr="00E73D4B">
        <w:t>vere</w:t>
      </w:r>
      <w:proofErr w:type="spellEnd"/>
      <w:r w:rsidRPr="00E73D4B">
        <w:t xml:space="preserve"> </w:t>
      </w:r>
      <w:proofErr w:type="spellStart"/>
      <w:r w:rsidRPr="00E73D4B">
        <w:t>ein</w:t>
      </w:r>
      <w:proofErr w:type="spellEnd"/>
      <w:r w:rsidRPr="00E73D4B">
        <w:t xml:space="preserve"> tilgang til å internere </w:t>
      </w:r>
      <w:proofErr w:type="spellStart"/>
      <w:r w:rsidRPr="00E73D4B">
        <w:t>einslege</w:t>
      </w:r>
      <w:proofErr w:type="spellEnd"/>
      <w:r w:rsidRPr="00E73D4B">
        <w:t xml:space="preserve"> mindreårige </w:t>
      </w:r>
      <w:proofErr w:type="spellStart"/>
      <w:r w:rsidRPr="00E73D4B">
        <w:t>asylsøkarar</w:t>
      </w:r>
      <w:proofErr w:type="spellEnd"/>
      <w:r w:rsidRPr="00E73D4B">
        <w:t xml:space="preserve"> i samband med uttransportering, der dette er absolutt nødvendig. Dette er òg i samsvar med </w:t>
      </w:r>
      <w:proofErr w:type="spellStart"/>
      <w:r w:rsidRPr="00E73D4B">
        <w:t>dei</w:t>
      </w:r>
      <w:proofErr w:type="spellEnd"/>
      <w:r w:rsidRPr="00E73D4B">
        <w:t xml:space="preserve"> internasjonale </w:t>
      </w:r>
      <w:proofErr w:type="spellStart"/>
      <w:r w:rsidRPr="00E73D4B">
        <w:t>forpliktingane</w:t>
      </w:r>
      <w:proofErr w:type="spellEnd"/>
      <w:r w:rsidRPr="00E73D4B">
        <w:t xml:space="preserve"> til </w:t>
      </w:r>
      <w:proofErr w:type="spellStart"/>
      <w:r w:rsidRPr="00E73D4B">
        <w:t>Noreg</w:t>
      </w:r>
      <w:proofErr w:type="spellEnd"/>
      <w:r w:rsidRPr="00E73D4B">
        <w:t xml:space="preserve">, </w:t>
      </w:r>
      <w:proofErr w:type="spellStart"/>
      <w:r w:rsidRPr="00E73D4B">
        <w:t>irekna</w:t>
      </w:r>
      <w:proofErr w:type="spellEnd"/>
      <w:r w:rsidRPr="00E73D4B">
        <w:t xml:space="preserve"> returdirektivet. Regjeringa foreslår at vedtaket blir oppheva, jf. forslag til vedtak.</w:t>
      </w:r>
    </w:p>
    <w:p w14:paraId="1CCC6356" w14:textId="77777777" w:rsidR="00972395" w:rsidRPr="00E73D4B" w:rsidRDefault="00F120C7" w:rsidP="00E73D4B">
      <w:r w:rsidRPr="00E73D4B">
        <w:t xml:space="preserve">Sjå </w:t>
      </w:r>
      <w:proofErr w:type="spellStart"/>
      <w:r w:rsidRPr="00E73D4B">
        <w:t>nærmare</w:t>
      </w:r>
      <w:proofErr w:type="spellEnd"/>
      <w:r w:rsidRPr="00E73D4B">
        <w:t xml:space="preserve"> omtale under programkategori 06.90.</w:t>
      </w:r>
    </w:p>
    <w:p w14:paraId="680BA3BF" w14:textId="77777777" w:rsidR="00972395" w:rsidRPr="00E73D4B" w:rsidRDefault="00F120C7" w:rsidP="00E73D4B">
      <w:pPr>
        <w:pStyle w:val="avsnitt-tittel"/>
      </w:pPr>
      <w:r w:rsidRPr="00E73D4B">
        <w:t xml:space="preserve">Tvangsreturnering av </w:t>
      </w:r>
      <w:proofErr w:type="spellStart"/>
      <w:r w:rsidRPr="00E73D4B">
        <w:t>barnefamiliar</w:t>
      </w:r>
      <w:proofErr w:type="spellEnd"/>
    </w:p>
    <w:p w14:paraId="2195B77F" w14:textId="77777777" w:rsidR="00972395" w:rsidRPr="00E73D4B" w:rsidRDefault="00F120C7" w:rsidP="00E73D4B">
      <w:pPr>
        <w:pStyle w:val="avsnitt-undertittel"/>
      </w:pPr>
      <w:r w:rsidRPr="00E73D4B">
        <w:t>Vedtak nr. 541, 15. mars 2018</w:t>
      </w:r>
    </w:p>
    <w:p w14:paraId="07AD4634" w14:textId="77777777" w:rsidR="00972395" w:rsidRPr="00E73D4B" w:rsidRDefault="00F120C7" w:rsidP="00E73D4B">
      <w:pPr>
        <w:pStyle w:val="blokksit"/>
        <w:rPr>
          <w:rStyle w:val="kursiv"/>
        </w:rPr>
      </w:pPr>
      <w:r w:rsidRPr="00E73D4B">
        <w:rPr>
          <w:rStyle w:val="kursiv"/>
        </w:rPr>
        <w:t xml:space="preserve">«Stortinget ber regjeringen utrede bruk av elektronisk kontroll (elektronisk fotlenke) som et alternativ til frihetsberøvelse som internering av barnefamilier som skal </w:t>
      </w:r>
      <w:proofErr w:type="spellStart"/>
      <w:r w:rsidRPr="00E73D4B">
        <w:rPr>
          <w:rStyle w:val="kursiv"/>
        </w:rPr>
        <w:t>tvangsreturneres</w:t>
      </w:r>
      <w:proofErr w:type="spellEnd"/>
      <w:r w:rsidRPr="00E73D4B">
        <w:rPr>
          <w:rStyle w:val="kursiv"/>
        </w:rPr>
        <w:t xml:space="preserve">, slik at frihetsberøvelse av barnefamilier bare benyttes som en siste utvei når andre alternativer er </w:t>
      </w:r>
      <w:proofErr w:type="gramStart"/>
      <w:r w:rsidRPr="00E73D4B">
        <w:rPr>
          <w:rStyle w:val="kursiv"/>
        </w:rPr>
        <w:t>utprøvd</w:t>
      </w:r>
      <w:proofErr w:type="gramEnd"/>
      <w:r w:rsidRPr="00E73D4B">
        <w:rPr>
          <w:rStyle w:val="kursiv"/>
        </w:rPr>
        <w:t xml:space="preserve"> eller vurdert. Der myndighetene kommer til at frihetsberøvelse er nødvendig, etter å ha prøvd eller vurdert andre alternativer, skal frihetsberøvelsen skje på et eget barne- og familieinternat som er familie- og barnevennlig, og som ivaretar barnets behov. Det fremmes en sak for Stortinget snarest mulig.»</w:t>
      </w:r>
    </w:p>
    <w:p w14:paraId="1D6ADBCF" w14:textId="77777777" w:rsidR="00972395" w:rsidRPr="00E73D4B" w:rsidRDefault="00F120C7" w:rsidP="00E73D4B">
      <w:r w:rsidRPr="00E73D4B">
        <w:t xml:space="preserve">Grunnlaget for vedtaket går fram av </w:t>
      </w:r>
      <w:proofErr w:type="spellStart"/>
      <w:r w:rsidRPr="00E73D4B">
        <w:t>Prop</w:t>
      </w:r>
      <w:proofErr w:type="spellEnd"/>
      <w:r w:rsidRPr="00E73D4B">
        <w:t xml:space="preserve">. 126 L (2016–2017) og </w:t>
      </w:r>
      <w:proofErr w:type="spellStart"/>
      <w:r w:rsidRPr="00E73D4B">
        <w:t>Innst</w:t>
      </w:r>
      <w:proofErr w:type="spellEnd"/>
      <w:r w:rsidRPr="00E73D4B">
        <w:t>. 181 L (2017–2018).</w:t>
      </w:r>
    </w:p>
    <w:p w14:paraId="277F6067" w14:textId="77777777" w:rsidR="00972395" w:rsidRPr="00E73D4B" w:rsidRDefault="00F120C7" w:rsidP="00E73D4B">
      <w:r w:rsidRPr="00E73D4B">
        <w:t xml:space="preserve">Vedtaket er </w:t>
      </w:r>
      <w:proofErr w:type="spellStart"/>
      <w:r w:rsidRPr="00E73D4B">
        <w:t>følgt</w:t>
      </w:r>
      <w:proofErr w:type="spellEnd"/>
      <w:r w:rsidRPr="00E73D4B">
        <w:t xml:space="preserve"> opp. Det er etablert ei eiga barne- og familieeining (Haraldvangen) til bruk for både </w:t>
      </w:r>
      <w:proofErr w:type="spellStart"/>
      <w:r w:rsidRPr="00E73D4B">
        <w:t>barnefamiliar</w:t>
      </w:r>
      <w:proofErr w:type="spellEnd"/>
      <w:r w:rsidRPr="00E73D4B">
        <w:t xml:space="preserve"> og </w:t>
      </w:r>
      <w:proofErr w:type="spellStart"/>
      <w:r w:rsidRPr="00E73D4B">
        <w:t>einslege</w:t>
      </w:r>
      <w:proofErr w:type="spellEnd"/>
      <w:r w:rsidRPr="00E73D4B">
        <w:t xml:space="preserve"> mindreårige. Politidirektoratet gjennomførte i 2018 ei utgreiing for departementet. Departementet sende </w:t>
      </w:r>
      <w:proofErr w:type="spellStart"/>
      <w:r w:rsidRPr="00E73D4B">
        <w:t>eit</w:t>
      </w:r>
      <w:proofErr w:type="spellEnd"/>
      <w:r w:rsidRPr="00E73D4B">
        <w:t xml:space="preserve"> forslag på </w:t>
      </w:r>
      <w:proofErr w:type="spellStart"/>
      <w:r w:rsidRPr="00E73D4B">
        <w:t>høyring</w:t>
      </w:r>
      <w:proofErr w:type="spellEnd"/>
      <w:r w:rsidRPr="00E73D4B">
        <w:t xml:space="preserve"> i desember 2019 med frist 3. april 2020. Her </w:t>
      </w:r>
      <w:proofErr w:type="spellStart"/>
      <w:r w:rsidRPr="00E73D4B">
        <w:t>vart</w:t>
      </w:r>
      <w:proofErr w:type="spellEnd"/>
      <w:r w:rsidRPr="00E73D4B">
        <w:t xml:space="preserve"> det bl.a. foreslått </w:t>
      </w:r>
      <w:proofErr w:type="spellStart"/>
      <w:r w:rsidRPr="00E73D4B">
        <w:t>reglar</w:t>
      </w:r>
      <w:proofErr w:type="spellEnd"/>
      <w:r w:rsidRPr="00E73D4B">
        <w:t xml:space="preserve"> for meldeplikt m.m. som </w:t>
      </w:r>
      <w:proofErr w:type="spellStart"/>
      <w:r w:rsidRPr="00E73D4B">
        <w:t>eit</w:t>
      </w:r>
      <w:proofErr w:type="spellEnd"/>
      <w:r w:rsidRPr="00E73D4B">
        <w:t xml:space="preserve"> alternativ til internering av barn. Det vart òg gjort greie for bruk av elektronisk kontroll (elektronisk fotlenke) </w:t>
      </w:r>
      <w:proofErr w:type="spellStart"/>
      <w:r w:rsidRPr="00E73D4B">
        <w:t>utan</w:t>
      </w:r>
      <w:proofErr w:type="spellEnd"/>
      <w:r w:rsidRPr="00E73D4B">
        <w:t xml:space="preserve"> at det </w:t>
      </w:r>
      <w:proofErr w:type="spellStart"/>
      <w:r w:rsidRPr="00E73D4B">
        <w:t>vart</w:t>
      </w:r>
      <w:proofErr w:type="spellEnd"/>
      <w:r w:rsidRPr="00E73D4B">
        <w:t xml:space="preserve"> foreslått å gjennomføre. Departementet har </w:t>
      </w:r>
      <w:proofErr w:type="spellStart"/>
      <w:r w:rsidRPr="00E73D4B">
        <w:t>følgt</w:t>
      </w:r>
      <w:proofErr w:type="spellEnd"/>
      <w:r w:rsidRPr="00E73D4B">
        <w:t xml:space="preserve"> opp vedtaket i </w:t>
      </w:r>
      <w:proofErr w:type="spellStart"/>
      <w:r w:rsidRPr="00E73D4B">
        <w:t>Prop</w:t>
      </w:r>
      <w:proofErr w:type="spellEnd"/>
      <w:r w:rsidRPr="00E73D4B">
        <w:t xml:space="preserve">. 137 L (2021–2022) </w:t>
      </w:r>
      <w:r w:rsidRPr="00E73D4B">
        <w:rPr>
          <w:rStyle w:val="kursiv"/>
        </w:rPr>
        <w:t>Endringer i utlendingsloven (visitasjon og undersøkelse i forbindelse med registrering av søknad om beskyttelse mv.),</w:t>
      </w:r>
      <w:r w:rsidRPr="00E73D4B">
        <w:t xml:space="preserve"> send over til Stortinget 22. juni 2022. Det blir </w:t>
      </w:r>
      <w:proofErr w:type="spellStart"/>
      <w:r w:rsidRPr="00E73D4B">
        <w:t>ikkje</w:t>
      </w:r>
      <w:proofErr w:type="spellEnd"/>
      <w:r w:rsidRPr="00E73D4B">
        <w:t xml:space="preserve"> fremma nye lovforslag. Departementet har </w:t>
      </w:r>
      <w:proofErr w:type="spellStart"/>
      <w:r w:rsidRPr="00E73D4B">
        <w:t>ikkje</w:t>
      </w:r>
      <w:proofErr w:type="spellEnd"/>
      <w:r w:rsidRPr="00E73D4B">
        <w:t xml:space="preserve"> identifisert målretta og </w:t>
      </w:r>
      <w:proofErr w:type="spellStart"/>
      <w:r w:rsidRPr="00E73D4B">
        <w:t>formålstenlege</w:t>
      </w:r>
      <w:proofErr w:type="spellEnd"/>
      <w:r w:rsidRPr="00E73D4B">
        <w:t xml:space="preserve"> tiltak som kan </w:t>
      </w:r>
      <w:proofErr w:type="spellStart"/>
      <w:r w:rsidRPr="00E73D4B">
        <w:t>tilrådast</w:t>
      </w:r>
      <w:proofErr w:type="spellEnd"/>
      <w:r w:rsidRPr="00E73D4B">
        <w:t xml:space="preserve"> på </w:t>
      </w:r>
      <w:proofErr w:type="spellStart"/>
      <w:r w:rsidRPr="00E73D4B">
        <w:t>fagleg</w:t>
      </w:r>
      <w:proofErr w:type="spellEnd"/>
      <w:r w:rsidRPr="00E73D4B">
        <w:t xml:space="preserve"> grunnlag.</w:t>
      </w:r>
    </w:p>
    <w:p w14:paraId="5CA21ED7" w14:textId="77777777" w:rsidR="00972395" w:rsidRPr="00E73D4B" w:rsidRDefault="00F120C7" w:rsidP="00E73D4B">
      <w:pPr>
        <w:pStyle w:val="avsnitt-tittel"/>
      </w:pPr>
      <w:proofErr w:type="spellStart"/>
      <w:r w:rsidRPr="00E73D4B">
        <w:t>Utanlandsopphald</w:t>
      </w:r>
      <w:proofErr w:type="spellEnd"/>
    </w:p>
    <w:p w14:paraId="52860CA0" w14:textId="77777777" w:rsidR="00972395" w:rsidRPr="00E73D4B" w:rsidRDefault="00F120C7" w:rsidP="00E73D4B">
      <w:pPr>
        <w:pStyle w:val="avsnitt-undertittel"/>
      </w:pPr>
      <w:r w:rsidRPr="00E73D4B">
        <w:t>Vedtak nr. 788, 29. mai 2018</w:t>
      </w:r>
    </w:p>
    <w:p w14:paraId="7B9F2CE3" w14:textId="77777777" w:rsidR="00972395" w:rsidRPr="00E73D4B" w:rsidRDefault="00F120C7" w:rsidP="00E73D4B">
      <w:pPr>
        <w:pStyle w:val="blokksit"/>
        <w:rPr>
          <w:rStyle w:val="kursiv"/>
        </w:rPr>
      </w:pPr>
      <w:r w:rsidRPr="00E73D4B">
        <w:rPr>
          <w:rStyle w:val="kursiv"/>
        </w:rPr>
        <w:t>«Stortinget ber regjeringen foreslå tydeliggjøring av hjemler i straffeloven som holder foreldre ansvarlige dersom barn sendes på utenlandsopphold mot sin vilje.»</w:t>
      </w:r>
    </w:p>
    <w:p w14:paraId="248A0DB5" w14:textId="77777777" w:rsidR="00972395" w:rsidRPr="00E73D4B" w:rsidRDefault="00F120C7" w:rsidP="00E73D4B">
      <w:r w:rsidRPr="00E73D4B">
        <w:t xml:space="preserve">Dokumenta som ligg til grunn for vedtaket, er Dokument 8:118 S (2017–2018) og </w:t>
      </w:r>
      <w:proofErr w:type="spellStart"/>
      <w:r w:rsidRPr="00E73D4B">
        <w:t>Innst</w:t>
      </w:r>
      <w:proofErr w:type="spellEnd"/>
      <w:r w:rsidRPr="00E73D4B">
        <w:t xml:space="preserve">. 260 S (2017–2018) </w:t>
      </w:r>
      <w:proofErr w:type="spellStart"/>
      <w:r w:rsidRPr="00E73D4B">
        <w:t>frå</w:t>
      </w:r>
      <w:proofErr w:type="spellEnd"/>
      <w:r w:rsidRPr="00E73D4B">
        <w:t xml:space="preserve"> justiskomiteen om tiltak mot sosial kontroll og </w:t>
      </w:r>
      <w:proofErr w:type="spellStart"/>
      <w:r w:rsidRPr="00E73D4B">
        <w:t>æresvald</w:t>
      </w:r>
      <w:proofErr w:type="spellEnd"/>
      <w:r w:rsidRPr="00E73D4B">
        <w:t>.</w:t>
      </w:r>
    </w:p>
    <w:p w14:paraId="5F3C9B5D" w14:textId="77777777" w:rsidR="00972395" w:rsidRPr="00E73D4B" w:rsidRDefault="00F120C7" w:rsidP="00E73D4B">
      <w:r w:rsidRPr="00E73D4B">
        <w:t xml:space="preserve">Vedtaket er under behandling. </w:t>
      </w:r>
      <w:proofErr w:type="spellStart"/>
      <w:r w:rsidRPr="00E73D4B">
        <w:t>Eit</w:t>
      </w:r>
      <w:proofErr w:type="spellEnd"/>
      <w:r w:rsidRPr="00E73D4B">
        <w:t xml:space="preserve"> eksternt juridisk </w:t>
      </w:r>
      <w:proofErr w:type="spellStart"/>
      <w:r w:rsidRPr="00E73D4B">
        <w:t>utval</w:t>
      </w:r>
      <w:proofErr w:type="spellEnd"/>
      <w:r w:rsidRPr="00E73D4B">
        <w:t xml:space="preserve"> har fått i oppdrag å drøfte </w:t>
      </w:r>
      <w:proofErr w:type="spellStart"/>
      <w:r w:rsidRPr="00E73D4B">
        <w:t>dei</w:t>
      </w:r>
      <w:proofErr w:type="spellEnd"/>
      <w:r w:rsidRPr="00E73D4B">
        <w:t xml:space="preserve"> samla juridiske </w:t>
      </w:r>
      <w:proofErr w:type="spellStart"/>
      <w:r w:rsidRPr="00E73D4B">
        <w:t>problemstillingane</w:t>
      </w:r>
      <w:proofErr w:type="spellEnd"/>
      <w:r w:rsidRPr="00E73D4B">
        <w:t xml:space="preserve"> i saker om negativ sosial kontroll, </w:t>
      </w:r>
      <w:proofErr w:type="spellStart"/>
      <w:r w:rsidRPr="00E73D4B">
        <w:t>æresrelatert</w:t>
      </w:r>
      <w:proofErr w:type="spellEnd"/>
      <w:r w:rsidRPr="00E73D4B">
        <w:t xml:space="preserve"> vald, tvangsekteskap, kjønnslemlesting og psykisk vald og vurdere om lovgivinga er god nok. </w:t>
      </w:r>
      <w:proofErr w:type="spellStart"/>
      <w:r w:rsidRPr="00E73D4B">
        <w:t>Eit</w:t>
      </w:r>
      <w:proofErr w:type="spellEnd"/>
      <w:r w:rsidRPr="00E73D4B">
        <w:t xml:space="preserve"> av spørsmåla </w:t>
      </w:r>
      <w:proofErr w:type="spellStart"/>
      <w:r w:rsidRPr="00E73D4B">
        <w:t>utvalet</w:t>
      </w:r>
      <w:proofErr w:type="spellEnd"/>
      <w:r w:rsidRPr="00E73D4B">
        <w:t xml:space="preserve"> skal sjå </w:t>
      </w:r>
      <w:proofErr w:type="spellStart"/>
      <w:r w:rsidRPr="00E73D4B">
        <w:t>nærmare</w:t>
      </w:r>
      <w:proofErr w:type="spellEnd"/>
      <w:r w:rsidRPr="00E73D4B">
        <w:t xml:space="preserve"> på, er korleis </w:t>
      </w:r>
      <w:proofErr w:type="spellStart"/>
      <w:r w:rsidRPr="00E73D4B">
        <w:t>ein</w:t>
      </w:r>
      <w:proofErr w:type="spellEnd"/>
      <w:r w:rsidRPr="00E73D4B">
        <w:t xml:space="preserve"> kan </w:t>
      </w:r>
      <w:proofErr w:type="spellStart"/>
      <w:r w:rsidRPr="00E73D4B">
        <w:t>klargjere</w:t>
      </w:r>
      <w:proofErr w:type="spellEnd"/>
      <w:r w:rsidRPr="00E73D4B">
        <w:t xml:space="preserve"> grensene for straffeansvaret i tilfelle der foreldre sender barn på </w:t>
      </w:r>
      <w:proofErr w:type="spellStart"/>
      <w:r w:rsidRPr="00E73D4B">
        <w:t>utanlandsopphald</w:t>
      </w:r>
      <w:proofErr w:type="spellEnd"/>
      <w:r w:rsidRPr="00E73D4B">
        <w:t xml:space="preserve"> mot barna sin vilje. </w:t>
      </w:r>
      <w:proofErr w:type="spellStart"/>
      <w:r w:rsidRPr="00E73D4B">
        <w:t>Utvalet</w:t>
      </w:r>
      <w:proofErr w:type="spellEnd"/>
      <w:r w:rsidRPr="00E73D4B">
        <w:t xml:space="preserve"> skal levere utgreiinga si 30. juni 2023.</w:t>
      </w:r>
    </w:p>
    <w:p w14:paraId="33212AFC" w14:textId="77777777" w:rsidR="00972395" w:rsidRPr="00E73D4B" w:rsidRDefault="00F120C7" w:rsidP="00E73D4B">
      <w:pPr>
        <w:pStyle w:val="avsnitt-tittel"/>
      </w:pPr>
      <w:r w:rsidRPr="00E73D4B">
        <w:t>Eige lovverk for Statens barnehus</w:t>
      </w:r>
    </w:p>
    <w:p w14:paraId="1A7AC41D" w14:textId="77777777" w:rsidR="00972395" w:rsidRPr="00E73D4B" w:rsidRDefault="00F120C7" w:rsidP="00E73D4B">
      <w:pPr>
        <w:pStyle w:val="avsnitt-undertittel"/>
      </w:pPr>
      <w:r w:rsidRPr="00E73D4B">
        <w:t>Vedtak nr. 795, 29. mai 2018</w:t>
      </w:r>
    </w:p>
    <w:p w14:paraId="72C259B5" w14:textId="77777777" w:rsidR="00972395" w:rsidRPr="00E73D4B" w:rsidRDefault="00F120C7" w:rsidP="00E73D4B">
      <w:pPr>
        <w:pStyle w:val="blokksit"/>
        <w:rPr>
          <w:rStyle w:val="kursiv"/>
        </w:rPr>
      </w:pPr>
      <w:r w:rsidRPr="00E73D4B">
        <w:rPr>
          <w:rStyle w:val="kursiv"/>
        </w:rPr>
        <w:t>«Stortinget ber regjeringen fremme forslag om et eget lovverk for Statens barnehus som sikrer ivaretakelse av hele mandatet til Statens barnehus.»</w:t>
      </w:r>
    </w:p>
    <w:p w14:paraId="24F87868" w14:textId="77777777" w:rsidR="00972395" w:rsidRPr="00E73D4B" w:rsidRDefault="00F120C7" w:rsidP="00E73D4B">
      <w:r w:rsidRPr="00E73D4B">
        <w:t xml:space="preserve">Dokumenta som ligg til grunn for vedtaket, er Dokument 8:140 S (2017–2018) og </w:t>
      </w:r>
      <w:proofErr w:type="spellStart"/>
      <w:r w:rsidRPr="00E73D4B">
        <w:t>Innst</w:t>
      </w:r>
      <w:proofErr w:type="spellEnd"/>
      <w:r w:rsidRPr="00E73D4B">
        <w:t>. 316 S (2017–2018).</w:t>
      </w:r>
    </w:p>
    <w:p w14:paraId="6B2FE6CD" w14:textId="77777777" w:rsidR="00972395" w:rsidRPr="00E73D4B" w:rsidRDefault="00F120C7" w:rsidP="00E73D4B">
      <w:r w:rsidRPr="00E73D4B">
        <w:t>Vedtaket er under behandling. NOVA/</w:t>
      </w:r>
      <w:proofErr w:type="spellStart"/>
      <w:r w:rsidRPr="00E73D4B">
        <w:t>OsloMet</w:t>
      </w:r>
      <w:proofErr w:type="spellEnd"/>
      <w:r w:rsidRPr="00E73D4B">
        <w:t xml:space="preserve"> har på oppdrag </w:t>
      </w:r>
      <w:proofErr w:type="spellStart"/>
      <w:r w:rsidRPr="00E73D4B">
        <w:t>frå</w:t>
      </w:r>
      <w:proofErr w:type="spellEnd"/>
      <w:r w:rsidRPr="00E73D4B">
        <w:t xml:space="preserve"> Politidirektoratet evaluert ordninga med barnehusa. Evalueringsrapporten var ferdig i januar 2022 og den har mellom anna sett på behovet for ei eiga </w:t>
      </w:r>
      <w:proofErr w:type="spellStart"/>
      <w:r w:rsidRPr="00E73D4B">
        <w:t>barnehuslov</w:t>
      </w:r>
      <w:proofErr w:type="spellEnd"/>
      <w:r w:rsidRPr="00E73D4B">
        <w:t xml:space="preserve">. </w:t>
      </w:r>
      <w:proofErr w:type="spellStart"/>
      <w:r w:rsidRPr="00E73D4B">
        <w:t>Anbefalingane</w:t>
      </w:r>
      <w:proofErr w:type="spellEnd"/>
      <w:r w:rsidRPr="00E73D4B">
        <w:t xml:space="preserve"> </w:t>
      </w:r>
      <w:proofErr w:type="spellStart"/>
      <w:r w:rsidRPr="00E73D4B">
        <w:t>frå</w:t>
      </w:r>
      <w:proofErr w:type="spellEnd"/>
      <w:r w:rsidRPr="00E73D4B">
        <w:t xml:space="preserve"> NOVA/</w:t>
      </w:r>
      <w:proofErr w:type="spellStart"/>
      <w:r w:rsidRPr="00E73D4B">
        <w:t>OsloMet</w:t>
      </w:r>
      <w:proofErr w:type="spellEnd"/>
      <w:r w:rsidRPr="00E73D4B">
        <w:t xml:space="preserve"> </w:t>
      </w:r>
      <w:proofErr w:type="spellStart"/>
      <w:r w:rsidRPr="00E73D4B">
        <w:t>inneber</w:t>
      </w:r>
      <w:proofErr w:type="spellEnd"/>
      <w:r w:rsidRPr="00E73D4B">
        <w:t xml:space="preserve"> bl.a. å hente inn informasjon om </w:t>
      </w:r>
      <w:proofErr w:type="spellStart"/>
      <w:r w:rsidRPr="00E73D4B">
        <w:t>erfaringar</w:t>
      </w:r>
      <w:proofErr w:type="spellEnd"/>
      <w:r w:rsidRPr="00E73D4B">
        <w:t xml:space="preserve"> i andre land med lovfesting, og avklaring av </w:t>
      </w:r>
      <w:proofErr w:type="spellStart"/>
      <w:r w:rsidRPr="00E73D4B">
        <w:t>vesentlege</w:t>
      </w:r>
      <w:proofErr w:type="spellEnd"/>
      <w:r w:rsidRPr="00E73D4B">
        <w:t xml:space="preserve"> </w:t>
      </w:r>
      <w:proofErr w:type="spellStart"/>
      <w:r w:rsidRPr="00E73D4B">
        <w:t>rettslege</w:t>
      </w:r>
      <w:proofErr w:type="spellEnd"/>
      <w:r w:rsidRPr="00E73D4B">
        <w:t xml:space="preserve"> </w:t>
      </w:r>
      <w:proofErr w:type="spellStart"/>
      <w:r w:rsidRPr="00E73D4B">
        <w:t>problemstillingar</w:t>
      </w:r>
      <w:proofErr w:type="spellEnd"/>
      <w:r w:rsidRPr="00E73D4B">
        <w:t xml:space="preserve"> som gjeld </w:t>
      </w:r>
      <w:proofErr w:type="spellStart"/>
      <w:r w:rsidRPr="00E73D4B">
        <w:t>barnehusverksemd</w:t>
      </w:r>
      <w:proofErr w:type="spellEnd"/>
      <w:r w:rsidRPr="00E73D4B">
        <w:t xml:space="preserve">. Departementet vil vurdere </w:t>
      </w:r>
      <w:proofErr w:type="spellStart"/>
      <w:r w:rsidRPr="00E73D4B">
        <w:t>tilrådingane</w:t>
      </w:r>
      <w:proofErr w:type="spellEnd"/>
      <w:r w:rsidRPr="00E73D4B">
        <w:t xml:space="preserve"> i evalueringsrapporten som </w:t>
      </w:r>
      <w:proofErr w:type="spellStart"/>
      <w:r w:rsidRPr="00E73D4B">
        <w:t>eit</w:t>
      </w:r>
      <w:proofErr w:type="spellEnd"/>
      <w:r w:rsidRPr="00E73D4B">
        <w:t xml:space="preserve"> ledd i arbeidet med opptrappingsplanen mot vald og overgrep mot barn og vald i nære </w:t>
      </w:r>
      <w:proofErr w:type="spellStart"/>
      <w:r w:rsidRPr="00E73D4B">
        <w:t>relasjonar</w:t>
      </w:r>
      <w:proofErr w:type="spellEnd"/>
      <w:r w:rsidRPr="00E73D4B">
        <w:t>. Opptrappingsplanen skal ferdigstillast i 2023.</w:t>
      </w:r>
    </w:p>
    <w:p w14:paraId="27B62915" w14:textId="77777777" w:rsidR="00972395" w:rsidRPr="00E73D4B" w:rsidRDefault="00F120C7" w:rsidP="00E73D4B">
      <w:pPr>
        <w:pStyle w:val="avsnitt-tittel"/>
      </w:pPr>
      <w:r w:rsidRPr="00E73D4B">
        <w:t>Regelverk for teieplikt, opplysningsplikt og opplysningsrett – vald og overgrep</w:t>
      </w:r>
    </w:p>
    <w:p w14:paraId="1252BF9B" w14:textId="77777777" w:rsidR="00972395" w:rsidRPr="00E73D4B" w:rsidRDefault="00F120C7" w:rsidP="00E73D4B">
      <w:pPr>
        <w:pStyle w:val="avsnitt-undertittel"/>
      </w:pPr>
      <w:r w:rsidRPr="00E73D4B">
        <w:t>Vedtak nr. 798, 29. mai 2018</w:t>
      </w:r>
    </w:p>
    <w:p w14:paraId="0B8D60E6" w14:textId="77777777" w:rsidR="00972395" w:rsidRPr="00E73D4B" w:rsidRDefault="00F120C7" w:rsidP="00E73D4B">
      <w:pPr>
        <w:pStyle w:val="blokksit"/>
        <w:rPr>
          <w:rStyle w:val="kursiv"/>
        </w:rPr>
      </w:pPr>
      <w:r w:rsidRPr="00E73D4B">
        <w:rPr>
          <w:rStyle w:val="kursiv"/>
        </w:rPr>
        <w:t>«Stortinget ber regjeringen utrede, for så å fremme et lovforslag, for å revidere og samordne regelverket knyttet til taushetsplikt, opplysningsplikt og opplysningsrett, herunder reglene om samarbeid mellom ulike tjenester og etater, samt reglene om samtykke, slik at flere saker som gjelder vold og overgrep, vil kunne avdekkes og følges opp på en god måte.»</w:t>
      </w:r>
    </w:p>
    <w:p w14:paraId="49CB04E3" w14:textId="77777777" w:rsidR="00972395" w:rsidRPr="00E73D4B" w:rsidRDefault="00F120C7" w:rsidP="00E73D4B">
      <w:r w:rsidRPr="00E73D4B">
        <w:t xml:space="preserve">Dokumenta som ligg til grunn for vedtaket, er Dokument 8:140 S (2017–2018) og </w:t>
      </w:r>
      <w:proofErr w:type="spellStart"/>
      <w:r w:rsidRPr="00E73D4B">
        <w:t>Innst</w:t>
      </w:r>
      <w:proofErr w:type="spellEnd"/>
      <w:r w:rsidRPr="00E73D4B">
        <w:t>. 316 S (2017–2018).</w:t>
      </w:r>
    </w:p>
    <w:p w14:paraId="0C874E30" w14:textId="77777777" w:rsidR="00972395" w:rsidRPr="00E73D4B" w:rsidRDefault="00F120C7" w:rsidP="00E73D4B">
      <w:r w:rsidRPr="00E73D4B">
        <w:t xml:space="preserve">Vedtaket er under behandling. </w:t>
      </w:r>
      <w:proofErr w:type="spellStart"/>
      <w:r w:rsidRPr="00E73D4B">
        <w:t>Eit</w:t>
      </w:r>
      <w:proofErr w:type="spellEnd"/>
      <w:r w:rsidRPr="00E73D4B">
        <w:t xml:space="preserve"> </w:t>
      </w:r>
      <w:proofErr w:type="spellStart"/>
      <w:r w:rsidRPr="00E73D4B">
        <w:t>høyringsforslag</w:t>
      </w:r>
      <w:proofErr w:type="spellEnd"/>
      <w:r w:rsidRPr="00E73D4B">
        <w:t xml:space="preserve"> </w:t>
      </w:r>
      <w:proofErr w:type="spellStart"/>
      <w:r w:rsidRPr="00E73D4B">
        <w:t>frå</w:t>
      </w:r>
      <w:proofErr w:type="spellEnd"/>
      <w:r w:rsidRPr="00E73D4B">
        <w:t xml:space="preserve"> september 2020 om </w:t>
      </w:r>
      <w:proofErr w:type="spellStart"/>
      <w:r w:rsidRPr="00E73D4B">
        <w:t>endringar</w:t>
      </w:r>
      <w:proofErr w:type="spellEnd"/>
      <w:r w:rsidRPr="00E73D4B">
        <w:t xml:space="preserve"> i forvaltningslova m.m., som gjekk ut på å innføre nye og større grunnlag for deling mellom forvaltningsorgan av </w:t>
      </w:r>
      <w:proofErr w:type="spellStart"/>
      <w:r w:rsidRPr="00E73D4B">
        <w:t>opplysningar</w:t>
      </w:r>
      <w:proofErr w:type="spellEnd"/>
      <w:r w:rsidRPr="00E73D4B">
        <w:t xml:space="preserve"> som er omfatta av teieplikt, vart </w:t>
      </w:r>
      <w:proofErr w:type="spellStart"/>
      <w:r w:rsidRPr="00E73D4B">
        <w:t>følgt</w:t>
      </w:r>
      <w:proofErr w:type="spellEnd"/>
      <w:r w:rsidRPr="00E73D4B">
        <w:t xml:space="preserve"> opp i </w:t>
      </w:r>
      <w:proofErr w:type="spellStart"/>
      <w:r w:rsidRPr="00E73D4B">
        <w:t>Prop</w:t>
      </w:r>
      <w:proofErr w:type="spellEnd"/>
      <w:r w:rsidRPr="00E73D4B">
        <w:t xml:space="preserve">. 166 L (2020–2021) om </w:t>
      </w:r>
      <w:proofErr w:type="spellStart"/>
      <w:r w:rsidRPr="00E73D4B">
        <w:rPr>
          <w:rStyle w:val="kursiv"/>
        </w:rPr>
        <w:t>endringar</w:t>
      </w:r>
      <w:proofErr w:type="spellEnd"/>
      <w:r w:rsidRPr="00E73D4B">
        <w:rPr>
          <w:rStyle w:val="kursiv"/>
        </w:rPr>
        <w:t xml:space="preserve"> i forvaltningslova m.m.</w:t>
      </w:r>
      <w:r w:rsidRPr="00E73D4B">
        <w:t xml:space="preserve"> og endringslov 18. juni 2021 nr. 127. Ny § 13 g i forvaltningslova gir heimel til å gi forskrift om at teieplikt etter forvaltningslova § 13 </w:t>
      </w:r>
      <w:proofErr w:type="spellStart"/>
      <w:r w:rsidRPr="00E73D4B">
        <w:t>ikkje</w:t>
      </w:r>
      <w:proofErr w:type="spellEnd"/>
      <w:r w:rsidRPr="00E73D4B">
        <w:t xml:space="preserve"> skal </w:t>
      </w:r>
      <w:proofErr w:type="spellStart"/>
      <w:r w:rsidRPr="00E73D4B">
        <w:t>vere</w:t>
      </w:r>
      <w:proofErr w:type="spellEnd"/>
      <w:r w:rsidRPr="00E73D4B">
        <w:t xml:space="preserve"> til hinder for at bestemte organ kan dele </w:t>
      </w:r>
      <w:proofErr w:type="spellStart"/>
      <w:r w:rsidRPr="00E73D4B">
        <w:t>opplysningar</w:t>
      </w:r>
      <w:proofErr w:type="spellEnd"/>
      <w:r w:rsidRPr="00E73D4B">
        <w:t xml:space="preserve"> for å utføre </w:t>
      </w:r>
      <w:proofErr w:type="spellStart"/>
      <w:r w:rsidRPr="00E73D4B">
        <w:t>oppgåver</w:t>
      </w:r>
      <w:proofErr w:type="spellEnd"/>
      <w:r w:rsidRPr="00E73D4B">
        <w:t xml:space="preserve"> som er lagde til </w:t>
      </w:r>
      <w:proofErr w:type="spellStart"/>
      <w:r w:rsidRPr="00E73D4B">
        <w:t>givar</w:t>
      </w:r>
      <w:proofErr w:type="spellEnd"/>
      <w:r w:rsidRPr="00E73D4B">
        <w:t xml:space="preserve">- eller </w:t>
      </w:r>
      <w:proofErr w:type="spellStart"/>
      <w:r w:rsidRPr="00E73D4B">
        <w:t>mottakarorganet</w:t>
      </w:r>
      <w:proofErr w:type="spellEnd"/>
      <w:r w:rsidRPr="00E73D4B">
        <w:t xml:space="preserve">, og </w:t>
      </w:r>
      <w:proofErr w:type="spellStart"/>
      <w:r w:rsidRPr="00E73D4B">
        <w:t>opnar</w:t>
      </w:r>
      <w:proofErr w:type="spellEnd"/>
      <w:r w:rsidRPr="00E73D4B">
        <w:t xml:space="preserve"> dermed for å gi forskrifter om emna som er </w:t>
      </w:r>
      <w:proofErr w:type="spellStart"/>
      <w:r w:rsidRPr="00E73D4B">
        <w:t>nemnde</w:t>
      </w:r>
      <w:proofErr w:type="spellEnd"/>
      <w:r w:rsidRPr="00E73D4B">
        <w:t xml:space="preserve"> i vedtaket.</w:t>
      </w:r>
    </w:p>
    <w:p w14:paraId="3DCF331F" w14:textId="77777777" w:rsidR="00972395" w:rsidRPr="00E73D4B" w:rsidRDefault="00F120C7" w:rsidP="00E73D4B">
      <w:proofErr w:type="spellStart"/>
      <w:r w:rsidRPr="00E73D4B">
        <w:t>Vidare</w:t>
      </w:r>
      <w:proofErr w:type="spellEnd"/>
      <w:r w:rsidRPr="00E73D4B">
        <w:t xml:space="preserve"> har ei utgreiing som i </w:t>
      </w:r>
      <w:proofErr w:type="spellStart"/>
      <w:r w:rsidRPr="00E73D4B">
        <w:t>eit</w:t>
      </w:r>
      <w:proofErr w:type="spellEnd"/>
      <w:r w:rsidRPr="00E73D4B">
        <w:t xml:space="preserve"> </w:t>
      </w:r>
      <w:proofErr w:type="spellStart"/>
      <w:r w:rsidRPr="00E73D4B">
        <w:t>heilskapleg</w:t>
      </w:r>
      <w:proofErr w:type="spellEnd"/>
      <w:r w:rsidRPr="00E73D4B">
        <w:t xml:space="preserve"> perspektiv </w:t>
      </w:r>
      <w:proofErr w:type="spellStart"/>
      <w:r w:rsidRPr="00E73D4B">
        <w:t>tek</w:t>
      </w:r>
      <w:proofErr w:type="spellEnd"/>
      <w:r w:rsidRPr="00E73D4B">
        <w:t xml:space="preserve"> for seg emna teieplikt, opplysningsplikt og opplysningsrett </w:t>
      </w:r>
      <w:proofErr w:type="spellStart"/>
      <w:r w:rsidRPr="00E73D4B">
        <w:t>innanfor</w:t>
      </w:r>
      <w:proofErr w:type="spellEnd"/>
      <w:r w:rsidRPr="00E73D4B">
        <w:t xml:space="preserve"> det </w:t>
      </w:r>
      <w:proofErr w:type="spellStart"/>
      <w:r w:rsidRPr="00E73D4B">
        <w:t>offentlege</w:t>
      </w:r>
      <w:proofErr w:type="spellEnd"/>
      <w:r w:rsidRPr="00E73D4B">
        <w:t xml:space="preserve">, og som </w:t>
      </w:r>
      <w:proofErr w:type="spellStart"/>
      <w:r w:rsidRPr="00E73D4B">
        <w:t>utgjer</w:t>
      </w:r>
      <w:proofErr w:type="spellEnd"/>
      <w:r w:rsidRPr="00E73D4B">
        <w:t xml:space="preserve"> </w:t>
      </w:r>
      <w:proofErr w:type="spellStart"/>
      <w:r w:rsidRPr="00E73D4B">
        <w:t>eit</w:t>
      </w:r>
      <w:proofErr w:type="spellEnd"/>
      <w:r w:rsidRPr="00E73D4B">
        <w:t xml:space="preserve"> utkast til ei praktisk oppbygd og autoritativ rettleiing til bruk på tvers av ulike </w:t>
      </w:r>
      <w:proofErr w:type="spellStart"/>
      <w:r w:rsidRPr="00E73D4B">
        <w:t>sektorar</w:t>
      </w:r>
      <w:proofErr w:type="spellEnd"/>
      <w:r w:rsidRPr="00E73D4B">
        <w:t xml:space="preserve">, </w:t>
      </w:r>
      <w:proofErr w:type="spellStart"/>
      <w:r w:rsidRPr="00E73D4B">
        <w:t>vore</w:t>
      </w:r>
      <w:proofErr w:type="spellEnd"/>
      <w:r w:rsidRPr="00E73D4B">
        <w:t xml:space="preserve"> på </w:t>
      </w:r>
      <w:proofErr w:type="spellStart"/>
      <w:r w:rsidRPr="00E73D4B">
        <w:t>høyring</w:t>
      </w:r>
      <w:proofErr w:type="spellEnd"/>
      <w:r w:rsidRPr="00E73D4B">
        <w:t xml:space="preserve">. </w:t>
      </w:r>
      <w:proofErr w:type="spellStart"/>
      <w:r w:rsidRPr="00E73D4B">
        <w:t>Høyringa</w:t>
      </w:r>
      <w:proofErr w:type="spellEnd"/>
      <w:r w:rsidRPr="00E73D4B">
        <w:t xml:space="preserve"> blir </w:t>
      </w:r>
      <w:proofErr w:type="spellStart"/>
      <w:r w:rsidRPr="00E73D4B">
        <w:t>følgd</w:t>
      </w:r>
      <w:proofErr w:type="spellEnd"/>
      <w:r w:rsidRPr="00E73D4B">
        <w:t xml:space="preserve"> opp, og den </w:t>
      </w:r>
      <w:proofErr w:type="spellStart"/>
      <w:r w:rsidRPr="00E73D4B">
        <w:t>endelege</w:t>
      </w:r>
      <w:proofErr w:type="spellEnd"/>
      <w:r w:rsidRPr="00E73D4B">
        <w:t xml:space="preserve"> rettleiinga skal </w:t>
      </w:r>
      <w:proofErr w:type="spellStart"/>
      <w:r w:rsidRPr="00E73D4B">
        <w:t>liggje</w:t>
      </w:r>
      <w:proofErr w:type="spellEnd"/>
      <w:r w:rsidRPr="00E73D4B">
        <w:t xml:space="preserve"> føre </w:t>
      </w:r>
      <w:proofErr w:type="spellStart"/>
      <w:r w:rsidRPr="00E73D4B">
        <w:t>hausten</w:t>
      </w:r>
      <w:proofErr w:type="spellEnd"/>
      <w:r w:rsidRPr="00E73D4B">
        <w:t xml:space="preserve"> 2022. Det skal her </w:t>
      </w:r>
      <w:proofErr w:type="spellStart"/>
      <w:r w:rsidRPr="00E73D4B">
        <w:t>slåast</w:t>
      </w:r>
      <w:proofErr w:type="spellEnd"/>
      <w:r w:rsidRPr="00E73D4B">
        <w:t xml:space="preserve"> </w:t>
      </w:r>
      <w:proofErr w:type="spellStart"/>
      <w:r w:rsidRPr="00E73D4B">
        <w:t>tydeleg</w:t>
      </w:r>
      <w:proofErr w:type="spellEnd"/>
      <w:r w:rsidRPr="00E73D4B">
        <w:t xml:space="preserve"> fast korleis regelverket om teieplikt, opplysningsplikt og opplysningsrett skal </w:t>
      </w:r>
      <w:proofErr w:type="spellStart"/>
      <w:r w:rsidRPr="00E73D4B">
        <w:t>forståast</w:t>
      </w:r>
      <w:proofErr w:type="spellEnd"/>
      <w:r w:rsidRPr="00E73D4B">
        <w:t xml:space="preserve"> og </w:t>
      </w:r>
      <w:proofErr w:type="spellStart"/>
      <w:r w:rsidRPr="00E73D4B">
        <w:t>praktiserast</w:t>
      </w:r>
      <w:proofErr w:type="spellEnd"/>
      <w:r w:rsidRPr="00E73D4B">
        <w:t xml:space="preserve">, og </w:t>
      </w:r>
      <w:proofErr w:type="spellStart"/>
      <w:r w:rsidRPr="00E73D4B">
        <w:t>ein</w:t>
      </w:r>
      <w:proofErr w:type="spellEnd"/>
      <w:r w:rsidRPr="00E73D4B">
        <w:t xml:space="preserve"> heilt sentral faktor som </w:t>
      </w:r>
      <w:proofErr w:type="spellStart"/>
      <w:r w:rsidRPr="00E73D4B">
        <w:t>låg</w:t>
      </w:r>
      <w:proofErr w:type="spellEnd"/>
      <w:r w:rsidRPr="00E73D4B">
        <w:t xml:space="preserve"> til grunn for dette arbeidet, var arbeidet mot vald og andre overgrep som </w:t>
      </w:r>
      <w:proofErr w:type="spellStart"/>
      <w:r w:rsidRPr="00E73D4B">
        <w:t>rammar</w:t>
      </w:r>
      <w:proofErr w:type="spellEnd"/>
      <w:r w:rsidRPr="00E73D4B">
        <w:t xml:space="preserve"> barn og unge.</w:t>
      </w:r>
    </w:p>
    <w:p w14:paraId="50E90221" w14:textId="77777777" w:rsidR="00972395" w:rsidRPr="00E73D4B" w:rsidRDefault="00F120C7" w:rsidP="00E73D4B">
      <w:pPr>
        <w:pStyle w:val="avsnitt-tittel"/>
      </w:pPr>
      <w:proofErr w:type="spellStart"/>
      <w:r w:rsidRPr="00E73D4B">
        <w:t>Menneskerettane</w:t>
      </w:r>
      <w:proofErr w:type="spellEnd"/>
      <w:r w:rsidRPr="00E73D4B">
        <w:t xml:space="preserve"> til utviklingshemma – </w:t>
      </w:r>
      <w:proofErr w:type="spellStart"/>
      <w:r w:rsidRPr="00E73D4B">
        <w:t>verjemål</w:t>
      </w:r>
      <w:proofErr w:type="spellEnd"/>
    </w:p>
    <w:p w14:paraId="16038BF9" w14:textId="77777777" w:rsidR="00972395" w:rsidRPr="00E73D4B" w:rsidRDefault="00F120C7" w:rsidP="00E73D4B">
      <w:pPr>
        <w:pStyle w:val="avsnitt-undertittel"/>
      </w:pPr>
      <w:r w:rsidRPr="00E73D4B">
        <w:t>Vedtak nr. 899, 12. juni 2018</w:t>
      </w:r>
    </w:p>
    <w:p w14:paraId="211D9D16" w14:textId="77777777" w:rsidR="00972395" w:rsidRPr="00E73D4B" w:rsidRDefault="00F120C7" w:rsidP="00E73D4B">
      <w:pPr>
        <w:pStyle w:val="blokksit"/>
        <w:rPr>
          <w:rStyle w:val="kursiv"/>
        </w:rPr>
      </w:pPr>
      <w:r w:rsidRPr="00E73D4B">
        <w:rPr>
          <w:rStyle w:val="kursiv"/>
        </w:rPr>
        <w:t xml:space="preserve">«Stortinget ber regjeringen legge frem en Stortingsmelding om sikring av utviklingshemmedes menneskerettigheter der erfaringene med vergemålsloven gjennomgås og foreslå nødvendige lovendringer som sikrer den enkelte </w:t>
      </w:r>
      <w:proofErr w:type="spellStart"/>
      <w:r w:rsidRPr="00E73D4B">
        <w:rPr>
          <w:rStyle w:val="kursiv"/>
        </w:rPr>
        <w:t>vergetrengendes</w:t>
      </w:r>
      <w:proofErr w:type="spellEnd"/>
      <w:r w:rsidRPr="00E73D4B">
        <w:rPr>
          <w:rStyle w:val="kursiv"/>
        </w:rPr>
        <w:t xml:space="preserve"> medbestemmelse og rettssikkerhet.»</w:t>
      </w:r>
    </w:p>
    <w:p w14:paraId="08200F5D" w14:textId="77777777" w:rsidR="00972395" w:rsidRPr="00E73D4B" w:rsidRDefault="00F120C7" w:rsidP="00E73D4B">
      <w:r w:rsidRPr="00E73D4B">
        <w:t xml:space="preserve">Dokumentet som ligg til grunn for vedtaket, er </w:t>
      </w:r>
      <w:proofErr w:type="spellStart"/>
      <w:r w:rsidRPr="00E73D4B">
        <w:t>Innst</w:t>
      </w:r>
      <w:proofErr w:type="spellEnd"/>
      <w:r w:rsidRPr="00E73D4B">
        <w:t>. 377 S (2017–2018).</w:t>
      </w:r>
    </w:p>
    <w:p w14:paraId="50FA295E" w14:textId="77777777" w:rsidR="00972395" w:rsidRPr="00E73D4B" w:rsidRDefault="00F120C7" w:rsidP="00E73D4B">
      <w:r w:rsidRPr="00E73D4B">
        <w:t xml:space="preserve">Vedtaket er under behandling. Arbeidet med meldinga pågår, sjå omtalen av oppmodingsvedtak nr. 894 i </w:t>
      </w:r>
      <w:proofErr w:type="spellStart"/>
      <w:r w:rsidRPr="00E73D4B">
        <w:t>Prop</w:t>
      </w:r>
      <w:proofErr w:type="spellEnd"/>
      <w:r w:rsidRPr="00E73D4B">
        <w:t xml:space="preserve">. 1 S (2022–2023) for Kulturdepartementet. </w:t>
      </w:r>
      <w:proofErr w:type="spellStart"/>
      <w:r w:rsidRPr="00E73D4B">
        <w:t>Verjemål</w:t>
      </w:r>
      <w:proofErr w:type="spellEnd"/>
      <w:r w:rsidRPr="00E73D4B">
        <w:t xml:space="preserve"> blir behandla i meldinga i samsvar med ordlyden i oppmodingsvedtaket.</w:t>
      </w:r>
    </w:p>
    <w:p w14:paraId="2811D909" w14:textId="77777777" w:rsidR="00972395" w:rsidRPr="00E73D4B" w:rsidRDefault="00F120C7" w:rsidP="00E73D4B">
      <w:r w:rsidRPr="00E73D4B">
        <w:t xml:space="preserve">Stortinget har i tillegg bede om at regjeringa skal </w:t>
      </w:r>
      <w:proofErr w:type="spellStart"/>
      <w:r w:rsidRPr="00E73D4B">
        <w:t>gjere</w:t>
      </w:r>
      <w:proofErr w:type="spellEnd"/>
      <w:r w:rsidRPr="00E73D4B">
        <w:t xml:space="preserve"> </w:t>
      </w:r>
      <w:proofErr w:type="spellStart"/>
      <w:r w:rsidRPr="00E73D4B">
        <w:t>ein</w:t>
      </w:r>
      <w:proofErr w:type="spellEnd"/>
      <w:r w:rsidRPr="00E73D4B">
        <w:t xml:space="preserve"> </w:t>
      </w:r>
      <w:proofErr w:type="spellStart"/>
      <w:r w:rsidRPr="00E73D4B">
        <w:t>heilskapleg</w:t>
      </w:r>
      <w:proofErr w:type="spellEnd"/>
      <w:r w:rsidRPr="00E73D4B">
        <w:t xml:space="preserve"> gjennomgang av </w:t>
      </w:r>
      <w:proofErr w:type="spellStart"/>
      <w:r w:rsidRPr="00E73D4B">
        <w:t>verjemålsordninga</w:t>
      </w:r>
      <w:proofErr w:type="spellEnd"/>
      <w:r w:rsidRPr="00E73D4B">
        <w:t xml:space="preserve"> og fremme forslag til </w:t>
      </w:r>
      <w:proofErr w:type="spellStart"/>
      <w:r w:rsidRPr="00E73D4B">
        <w:t>lovendringar</w:t>
      </w:r>
      <w:proofErr w:type="spellEnd"/>
      <w:r w:rsidRPr="00E73D4B">
        <w:t xml:space="preserve"> som styrker og </w:t>
      </w:r>
      <w:proofErr w:type="spellStart"/>
      <w:r w:rsidRPr="00E73D4B">
        <w:t>forbetrar</w:t>
      </w:r>
      <w:proofErr w:type="spellEnd"/>
      <w:r w:rsidRPr="00E73D4B">
        <w:t xml:space="preserve"> ho, jf. vedtak nr. 848, 27. april 2021. Justis- og beredskapsdepartementet fremma </w:t>
      </w:r>
      <w:proofErr w:type="spellStart"/>
      <w:r w:rsidRPr="00E73D4B">
        <w:t>hausten</w:t>
      </w:r>
      <w:proofErr w:type="spellEnd"/>
      <w:r w:rsidRPr="00E73D4B">
        <w:t xml:space="preserve"> 2022 forslag til </w:t>
      </w:r>
      <w:proofErr w:type="spellStart"/>
      <w:r w:rsidRPr="00E73D4B">
        <w:t>endringar</w:t>
      </w:r>
      <w:proofErr w:type="spellEnd"/>
      <w:r w:rsidRPr="00E73D4B">
        <w:t xml:space="preserve"> i </w:t>
      </w:r>
      <w:proofErr w:type="spellStart"/>
      <w:r w:rsidRPr="00E73D4B">
        <w:t>verjemålslova</w:t>
      </w:r>
      <w:proofErr w:type="spellEnd"/>
      <w:r w:rsidRPr="00E73D4B">
        <w:t xml:space="preserve"> som </w:t>
      </w:r>
      <w:proofErr w:type="spellStart"/>
      <w:r w:rsidRPr="00E73D4B">
        <w:t>tek</w:t>
      </w:r>
      <w:proofErr w:type="spellEnd"/>
      <w:r w:rsidRPr="00E73D4B">
        <w:t xml:space="preserve"> sikte på å presisere tydinga og rekkevidda av </w:t>
      </w:r>
      <w:proofErr w:type="spellStart"/>
      <w:r w:rsidRPr="00E73D4B">
        <w:t>sjølvråderetten</w:t>
      </w:r>
      <w:proofErr w:type="spellEnd"/>
      <w:r w:rsidRPr="00E73D4B">
        <w:t xml:space="preserve">, blant anna i lys av </w:t>
      </w:r>
      <w:proofErr w:type="spellStart"/>
      <w:r w:rsidRPr="00E73D4B">
        <w:t>Noregs</w:t>
      </w:r>
      <w:proofErr w:type="spellEnd"/>
      <w:r w:rsidRPr="00E73D4B">
        <w:t xml:space="preserve"> menneskerettslege plikter. </w:t>
      </w:r>
      <w:proofErr w:type="spellStart"/>
      <w:r w:rsidRPr="00E73D4B">
        <w:t>Føremålet</w:t>
      </w:r>
      <w:proofErr w:type="spellEnd"/>
      <w:r w:rsidRPr="00E73D4B">
        <w:t xml:space="preserve"> med </w:t>
      </w:r>
      <w:proofErr w:type="spellStart"/>
      <w:r w:rsidRPr="00E73D4B">
        <w:t>endringane</w:t>
      </w:r>
      <w:proofErr w:type="spellEnd"/>
      <w:r w:rsidRPr="00E73D4B">
        <w:t xml:space="preserve"> er først og fremst å </w:t>
      </w:r>
      <w:proofErr w:type="spellStart"/>
      <w:r w:rsidRPr="00E73D4B">
        <w:t>tydeleggjere</w:t>
      </w:r>
      <w:proofErr w:type="spellEnd"/>
      <w:r w:rsidRPr="00E73D4B">
        <w:t xml:space="preserve"> </w:t>
      </w:r>
      <w:proofErr w:type="spellStart"/>
      <w:r w:rsidRPr="00E73D4B">
        <w:t>alminneleg</w:t>
      </w:r>
      <w:proofErr w:type="spellEnd"/>
      <w:r w:rsidRPr="00E73D4B">
        <w:t xml:space="preserve"> </w:t>
      </w:r>
      <w:proofErr w:type="spellStart"/>
      <w:r w:rsidRPr="00E73D4B">
        <w:t>verjemål</w:t>
      </w:r>
      <w:proofErr w:type="spellEnd"/>
      <w:r w:rsidRPr="00E73D4B">
        <w:t xml:space="preserve"> som </w:t>
      </w:r>
      <w:proofErr w:type="spellStart"/>
      <w:r w:rsidRPr="00E73D4B">
        <w:t>eit</w:t>
      </w:r>
      <w:proofErr w:type="spellEnd"/>
      <w:r w:rsidRPr="00E73D4B">
        <w:t xml:space="preserve"> frivillig støttetiltak. Departementet held fram arbeidet med </w:t>
      </w:r>
      <w:proofErr w:type="spellStart"/>
      <w:r w:rsidRPr="00E73D4B">
        <w:t>ein</w:t>
      </w:r>
      <w:proofErr w:type="spellEnd"/>
      <w:r w:rsidRPr="00E73D4B">
        <w:t xml:space="preserve"> </w:t>
      </w:r>
      <w:proofErr w:type="spellStart"/>
      <w:r w:rsidRPr="00E73D4B">
        <w:t>heilskapleg</w:t>
      </w:r>
      <w:proofErr w:type="spellEnd"/>
      <w:r w:rsidRPr="00E73D4B">
        <w:t xml:space="preserve"> gjennomgang av </w:t>
      </w:r>
      <w:proofErr w:type="spellStart"/>
      <w:r w:rsidRPr="00E73D4B">
        <w:t>verjemålsordninga</w:t>
      </w:r>
      <w:proofErr w:type="spellEnd"/>
      <w:r w:rsidRPr="00E73D4B">
        <w:t>.</w:t>
      </w:r>
    </w:p>
    <w:p w14:paraId="4FBFF899" w14:textId="77777777" w:rsidR="00972395" w:rsidRPr="00E73D4B" w:rsidRDefault="00F120C7" w:rsidP="00E73D4B">
      <w:pPr>
        <w:pStyle w:val="Overskrift2"/>
      </w:pPr>
      <w:r w:rsidRPr="00E73D4B">
        <w:t>Stortingssesjon 2016–2017</w:t>
      </w:r>
    </w:p>
    <w:p w14:paraId="12B0E69E" w14:textId="77777777" w:rsidR="00972395" w:rsidRPr="00E73D4B" w:rsidRDefault="00F120C7" w:rsidP="00E73D4B">
      <w:pPr>
        <w:pStyle w:val="avsnitt-tittel"/>
      </w:pPr>
      <w:r w:rsidRPr="00E73D4B">
        <w:t>Korrupsjonsføresegnene i straffelova</w:t>
      </w:r>
    </w:p>
    <w:p w14:paraId="278BF77E" w14:textId="77777777" w:rsidR="00972395" w:rsidRPr="00E73D4B" w:rsidRDefault="00F120C7" w:rsidP="00E73D4B">
      <w:pPr>
        <w:pStyle w:val="avsnitt-undertittel"/>
      </w:pPr>
      <w:r w:rsidRPr="00E73D4B">
        <w:t>Vedtak nr. 523, 23. mars 2017</w:t>
      </w:r>
    </w:p>
    <w:p w14:paraId="3FA26A2D" w14:textId="77777777" w:rsidR="00972395" w:rsidRPr="00E73D4B" w:rsidRDefault="00F120C7" w:rsidP="00E73D4B">
      <w:pPr>
        <w:pStyle w:val="blokksit"/>
        <w:rPr>
          <w:rStyle w:val="kursiv"/>
        </w:rPr>
      </w:pPr>
      <w:r w:rsidRPr="00E73D4B">
        <w:rPr>
          <w:rStyle w:val="kursiv"/>
        </w:rP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14:paraId="54D00C2D" w14:textId="77777777" w:rsidR="00972395" w:rsidRPr="00E73D4B" w:rsidRDefault="00F120C7" w:rsidP="00E73D4B">
      <w:r w:rsidRPr="00E73D4B">
        <w:t xml:space="preserve">Dokumentet som ligg til grunn for vedtaket, er </w:t>
      </w:r>
      <w:proofErr w:type="spellStart"/>
      <w:r w:rsidRPr="00E73D4B">
        <w:t>Innst</w:t>
      </w:r>
      <w:proofErr w:type="spellEnd"/>
      <w:r w:rsidRPr="00E73D4B">
        <w:t xml:space="preserve">. 191 L (2016–2017) </w:t>
      </w:r>
      <w:proofErr w:type="spellStart"/>
      <w:r w:rsidRPr="00E73D4B">
        <w:t>frå</w:t>
      </w:r>
      <w:proofErr w:type="spellEnd"/>
      <w:r w:rsidRPr="00E73D4B">
        <w:t xml:space="preserve"> justiskomiteen om utvida ansvar selskap har for </w:t>
      </w:r>
      <w:proofErr w:type="spellStart"/>
      <w:r w:rsidRPr="00E73D4B">
        <w:t>korrupsjonshandlingar</w:t>
      </w:r>
      <w:proofErr w:type="spellEnd"/>
      <w:r w:rsidRPr="00E73D4B">
        <w:t>.</w:t>
      </w:r>
    </w:p>
    <w:p w14:paraId="4C6FED4B" w14:textId="77777777" w:rsidR="00972395" w:rsidRPr="00E73D4B" w:rsidRDefault="00F120C7" w:rsidP="00E73D4B">
      <w:r w:rsidRPr="00E73D4B">
        <w:t xml:space="preserve">Vedtaket er under behandling. Justis- og beredskapsdepartementet har gitt </w:t>
      </w:r>
      <w:proofErr w:type="spellStart"/>
      <w:r w:rsidRPr="00E73D4B">
        <w:t>ein</w:t>
      </w:r>
      <w:proofErr w:type="spellEnd"/>
      <w:r w:rsidRPr="00E73D4B">
        <w:t xml:space="preserve"> fagperson i oppdrag å drøfte </w:t>
      </w:r>
      <w:proofErr w:type="spellStart"/>
      <w:r w:rsidRPr="00E73D4B">
        <w:t>dei</w:t>
      </w:r>
      <w:proofErr w:type="spellEnd"/>
      <w:r w:rsidRPr="00E73D4B">
        <w:t xml:space="preserve"> aktuelle spørsmåla og å komme med forslag til </w:t>
      </w:r>
      <w:proofErr w:type="spellStart"/>
      <w:r w:rsidRPr="00E73D4B">
        <w:t>lovendringar</w:t>
      </w:r>
      <w:proofErr w:type="spellEnd"/>
      <w:r w:rsidRPr="00E73D4B">
        <w:t xml:space="preserve">. Rapporten </w:t>
      </w:r>
      <w:proofErr w:type="spellStart"/>
      <w:r w:rsidRPr="00E73D4B">
        <w:t>vart</w:t>
      </w:r>
      <w:proofErr w:type="spellEnd"/>
      <w:r w:rsidRPr="00E73D4B">
        <w:t xml:space="preserve"> overlevert i mai 2021 og send på </w:t>
      </w:r>
      <w:proofErr w:type="spellStart"/>
      <w:r w:rsidRPr="00E73D4B">
        <w:t>høyring</w:t>
      </w:r>
      <w:proofErr w:type="spellEnd"/>
      <w:r w:rsidRPr="00E73D4B">
        <w:t xml:space="preserve"> 12. oktober 2021, med </w:t>
      </w:r>
      <w:proofErr w:type="spellStart"/>
      <w:r w:rsidRPr="00E73D4B">
        <w:t>høyringsfrist</w:t>
      </w:r>
      <w:proofErr w:type="spellEnd"/>
      <w:r w:rsidRPr="00E73D4B">
        <w:t xml:space="preserve"> 11. januar 2022.</w:t>
      </w:r>
    </w:p>
    <w:p w14:paraId="7CEF3301" w14:textId="77777777" w:rsidR="00972395" w:rsidRPr="00E73D4B" w:rsidRDefault="00F120C7" w:rsidP="00E73D4B">
      <w:pPr>
        <w:pStyle w:val="avsnitt-tittel"/>
      </w:pPr>
      <w:r w:rsidRPr="00E73D4B">
        <w:t xml:space="preserve">Omvend </w:t>
      </w:r>
      <w:proofErr w:type="spellStart"/>
      <w:r w:rsidRPr="00E73D4B">
        <w:t>valdsalarm</w:t>
      </w:r>
      <w:proofErr w:type="spellEnd"/>
      <w:r w:rsidRPr="00E73D4B">
        <w:t xml:space="preserve"> ved </w:t>
      </w:r>
      <w:proofErr w:type="spellStart"/>
      <w:r w:rsidRPr="00E73D4B">
        <w:t>brot</w:t>
      </w:r>
      <w:proofErr w:type="spellEnd"/>
      <w:r w:rsidRPr="00E73D4B">
        <w:t xml:space="preserve"> på </w:t>
      </w:r>
      <w:proofErr w:type="spellStart"/>
      <w:r w:rsidRPr="00E73D4B">
        <w:t>besøksforbod</w:t>
      </w:r>
      <w:proofErr w:type="spellEnd"/>
    </w:p>
    <w:p w14:paraId="7F84A89E" w14:textId="77777777" w:rsidR="00972395" w:rsidRPr="00E73D4B" w:rsidRDefault="00F120C7" w:rsidP="00E73D4B">
      <w:pPr>
        <w:pStyle w:val="avsnitt-undertittel"/>
      </w:pPr>
      <w:r w:rsidRPr="00E73D4B">
        <w:t>Vedtak nr. 630, 25. april 2017</w:t>
      </w:r>
    </w:p>
    <w:p w14:paraId="1F45ADF6" w14:textId="77777777" w:rsidR="00972395" w:rsidRPr="00E73D4B" w:rsidRDefault="00F120C7" w:rsidP="00E73D4B">
      <w:pPr>
        <w:pStyle w:val="blokksit"/>
        <w:rPr>
          <w:rStyle w:val="kursiv"/>
        </w:rPr>
      </w:pPr>
      <w:r w:rsidRPr="00E73D4B">
        <w:rPr>
          <w:rStyle w:val="kursiv"/>
        </w:rPr>
        <w:t>«Stortinget ber regjeringen komme tilbake til Stortinget med et forslag om å utvide muligheten til å ilegge omvendt voldsalarm til blant annet til tilfeller ved brudd på besøksforbud.»</w:t>
      </w:r>
    </w:p>
    <w:p w14:paraId="4F2F73E2" w14:textId="77777777" w:rsidR="00972395" w:rsidRPr="00E73D4B" w:rsidRDefault="00F120C7" w:rsidP="00E73D4B">
      <w:r w:rsidRPr="00E73D4B">
        <w:t xml:space="preserve">Dokumentet som ligg til grunn for vedtaket, er </w:t>
      </w:r>
      <w:proofErr w:type="spellStart"/>
      <w:r w:rsidRPr="00E73D4B">
        <w:t>Innst</w:t>
      </w:r>
      <w:proofErr w:type="spellEnd"/>
      <w:r w:rsidRPr="00E73D4B">
        <w:t xml:space="preserve">. 247 S (2016–2017) </w:t>
      </w:r>
      <w:proofErr w:type="spellStart"/>
      <w:r w:rsidRPr="00E73D4B">
        <w:t>frå</w:t>
      </w:r>
      <w:proofErr w:type="spellEnd"/>
      <w:r w:rsidRPr="00E73D4B">
        <w:t xml:space="preserve"> justiskomiteen om opptrappingsplanen mot vald og overgrep (2017–2021).</w:t>
      </w:r>
    </w:p>
    <w:p w14:paraId="6A7D83CF" w14:textId="77777777" w:rsidR="00972395" w:rsidRPr="00E73D4B" w:rsidRDefault="00F120C7" w:rsidP="00E73D4B">
      <w:r w:rsidRPr="00E73D4B">
        <w:t xml:space="preserve">Vedtaket er under behandling. Departementet har vurdert behovet for </w:t>
      </w:r>
      <w:proofErr w:type="spellStart"/>
      <w:r w:rsidRPr="00E73D4B">
        <w:t>lovendringar</w:t>
      </w:r>
      <w:proofErr w:type="spellEnd"/>
      <w:r w:rsidRPr="00E73D4B">
        <w:t xml:space="preserve"> og sendt forslag på </w:t>
      </w:r>
      <w:proofErr w:type="spellStart"/>
      <w:r w:rsidRPr="00E73D4B">
        <w:t>høyring</w:t>
      </w:r>
      <w:proofErr w:type="spellEnd"/>
      <w:r w:rsidRPr="00E73D4B">
        <w:t xml:space="preserve"> 6. september 2021 om </w:t>
      </w:r>
      <w:proofErr w:type="spellStart"/>
      <w:r w:rsidRPr="00E73D4B">
        <w:t>endringar</w:t>
      </w:r>
      <w:proofErr w:type="spellEnd"/>
      <w:r w:rsidRPr="00E73D4B">
        <w:t xml:space="preserve"> i straffeprosesslova og straffelova. I </w:t>
      </w:r>
      <w:proofErr w:type="spellStart"/>
      <w:r w:rsidRPr="00E73D4B">
        <w:t>høyringsnotatet</w:t>
      </w:r>
      <w:proofErr w:type="spellEnd"/>
      <w:r w:rsidRPr="00E73D4B">
        <w:t xml:space="preserve"> er det foreslått at påtalemakta skal kunne </w:t>
      </w:r>
      <w:proofErr w:type="spellStart"/>
      <w:r w:rsidRPr="00E73D4B">
        <w:t>påleggje</w:t>
      </w:r>
      <w:proofErr w:type="spellEnd"/>
      <w:r w:rsidRPr="00E73D4B">
        <w:t xml:space="preserve"> elektronisk kontroll (</w:t>
      </w:r>
      <w:proofErr w:type="spellStart"/>
      <w:r w:rsidRPr="00E73D4B">
        <w:t>såkalla</w:t>
      </w:r>
      <w:proofErr w:type="spellEnd"/>
      <w:r w:rsidRPr="00E73D4B">
        <w:t xml:space="preserve"> omvend </w:t>
      </w:r>
      <w:proofErr w:type="spellStart"/>
      <w:r w:rsidRPr="00E73D4B">
        <w:t>valdsalarm</w:t>
      </w:r>
      <w:proofErr w:type="spellEnd"/>
      <w:r w:rsidRPr="00E73D4B">
        <w:t xml:space="preserve">) ved </w:t>
      </w:r>
      <w:proofErr w:type="spellStart"/>
      <w:r w:rsidRPr="00E73D4B">
        <w:t>brot</w:t>
      </w:r>
      <w:proofErr w:type="spellEnd"/>
      <w:r w:rsidRPr="00E73D4B">
        <w:t xml:space="preserve"> på </w:t>
      </w:r>
      <w:proofErr w:type="spellStart"/>
      <w:r w:rsidRPr="00E73D4B">
        <w:t>besøksforbod</w:t>
      </w:r>
      <w:proofErr w:type="spellEnd"/>
      <w:r w:rsidRPr="00E73D4B">
        <w:t xml:space="preserve">. Det er òg vurdert visse andre </w:t>
      </w:r>
      <w:proofErr w:type="spellStart"/>
      <w:r w:rsidRPr="00E73D4B">
        <w:t>justeringar</w:t>
      </w:r>
      <w:proofErr w:type="spellEnd"/>
      <w:r w:rsidRPr="00E73D4B">
        <w:t xml:space="preserve"> i </w:t>
      </w:r>
      <w:proofErr w:type="spellStart"/>
      <w:r w:rsidRPr="00E73D4B">
        <w:t>reglane</w:t>
      </w:r>
      <w:proofErr w:type="spellEnd"/>
      <w:r w:rsidRPr="00E73D4B">
        <w:t xml:space="preserve"> for både </w:t>
      </w:r>
      <w:proofErr w:type="spellStart"/>
      <w:r w:rsidRPr="00E73D4B">
        <w:t>besøksforbod</w:t>
      </w:r>
      <w:proofErr w:type="spellEnd"/>
      <w:r w:rsidRPr="00E73D4B">
        <w:t xml:space="preserve"> etter straffeprosesslova og </w:t>
      </w:r>
      <w:proofErr w:type="spellStart"/>
      <w:r w:rsidRPr="00E73D4B">
        <w:t>kontaktforbod</w:t>
      </w:r>
      <w:proofErr w:type="spellEnd"/>
      <w:r w:rsidRPr="00E73D4B">
        <w:t xml:space="preserve"> etter straffelova. Sjå òg omtale under vedtak nr. 631, 25. april 2017, vedtak nr. 1043, 20. juni 2017, vedtak nr. 447, 18. desember 2020 og vedtak nr. 583, 30. mai 2022.</w:t>
      </w:r>
    </w:p>
    <w:p w14:paraId="6C368CD0" w14:textId="77777777" w:rsidR="00972395" w:rsidRPr="00E73D4B" w:rsidRDefault="00F120C7" w:rsidP="00E73D4B">
      <w:pPr>
        <w:pStyle w:val="avsnitt-tittel"/>
      </w:pPr>
      <w:proofErr w:type="spellStart"/>
      <w:r w:rsidRPr="00E73D4B">
        <w:t>Besøksforbod</w:t>
      </w:r>
      <w:proofErr w:type="spellEnd"/>
    </w:p>
    <w:p w14:paraId="03C507FE" w14:textId="77777777" w:rsidR="00972395" w:rsidRPr="00E73D4B" w:rsidRDefault="00F120C7" w:rsidP="00E73D4B">
      <w:pPr>
        <w:pStyle w:val="avsnitt-undertittel"/>
      </w:pPr>
      <w:r w:rsidRPr="00E73D4B">
        <w:t>Vedtak nr. 631, 25. april 2017</w:t>
      </w:r>
    </w:p>
    <w:p w14:paraId="38D05BA3" w14:textId="77777777" w:rsidR="00972395" w:rsidRPr="00E73D4B" w:rsidRDefault="00F120C7" w:rsidP="00E73D4B">
      <w:pPr>
        <w:pStyle w:val="blokksit"/>
        <w:rPr>
          <w:rStyle w:val="kursiv"/>
        </w:rPr>
      </w:pPr>
      <w:r w:rsidRPr="00E73D4B">
        <w:rPr>
          <w:rStyle w:val="kursiv"/>
        </w:rPr>
        <w:t>«Stortinget ber regjeringen komme tilbake med forslag om å utvide muligheten til å ilegge besøksforbud utover ett år, og utrede muligheten for å ilegge besøksforbud med begrensninger til å bevege seg i et større geografisk område.»</w:t>
      </w:r>
    </w:p>
    <w:p w14:paraId="2C58572E" w14:textId="77777777" w:rsidR="00972395" w:rsidRPr="00E73D4B" w:rsidRDefault="00F120C7" w:rsidP="00E73D4B">
      <w:r w:rsidRPr="00E73D4B">
        <w:t xml:space="preserve">Dokumentet som ligg til grunn for vedtaket, er </w:t>
      </w:r>
      <w:proofErr w:type="spellStart"/>
      <w:r w:rsidRPr="00E73D4B">
        <w:t>Innst</w:t>
      </w:r>
      <w:proofErr w:type="spellEnd"/>
      <w:r w:rsidRPr="00E73D4B">
        <w:t xml:space="preserve">. 247 S (2016–2017) </w:t>
      </w:r>
      <w:proofErr w:type="spellStart"/>
      <w:r w:rsidRPr="00E73D4B">
        <w:t>frå</w:t>
      </w:r>
      <w:proofErr w:type="spellEnd"/>
      <w:r w:rsidRPr="00E73D4B">
        <w:t xml:space="preserve"> justiskomiteen om opptrappingsplanen mot vald og overgrep (2017–2021).</w:t>
      </w:r>
    </w:p>
    <w:p w14:paraId="541546D1" w14:textId="77777777" w:rsidR="00972395" w:rsidRPr="00E73D4B" w:rsidRDefault="00F120C7" w:rsidP="00E73D4B">
      <w:r w:rsidRPr="00E73D4B">
        <w:t xml:space="preserve">Vedtaket er under behandling. Departementet har vurdert behovet for </w:t>
      </w:r>
      <w:proofErr w:type="spellStart"/>
      <w:r w:rsidRPr="00E73D4B">
        <w:t>lovendringar</w:t>
      </w:r>
      <w:proofErr w:type="spellEnd"/>
      <w:r w:rsidRPr="00E73D4B">
        <w:t xml:space="preserve"> og sendt forslag på </w:t>
      </w:r>
      <w:proofErr w:type="spellStart"/>
      <w:r w:rsidRPr="00E73D4B">
        <w:t>høyring</w:t>
      </w:r>
      <w:proofErr w:type="spellEnd"/>
      <w:r w:rsidRPr="00E73D4B">
        <w:t xml:space="preserve"> 6. september 2021 om </w:t>
      </w:r>
      <w:proofErr w:type="spellStart"/>
      <w:r w:rsidRPr="00E73D4B">
        <w:t>endringar</w:t>
      </w:r>
      <w:proofErr w:type="spellEnd"/>
      <w:r w:rsidRPr="00E73D4B">
        <w:t xml:space="preserve"> i straffeprosesslova og straffelova. I </w:t>
      </w:r>
      <w:proofErr w:type="spellStart"/>
      <w:r w:rsidRPr="00E73D4B">
        <w:t>høyringsnotatet</w:t>
      </w:r>
      <w:proofErr w:type="spellEnd"/>
      <w:r w:rsidRPr="00E73D4B">
        <w:t xml:space="preserve"> er det foreslått at påtalemakta skal kunne </w:t>
      </w:r>
      <w:proofErr w:type="spellStart"/>
      <w:r w:rsidRPr="00E73D4B">
        <w:t>påleggje</w:t>
      </w:r>
      <w:proofErr w:type="spellEnd"/>
      <w:r w:rsidRPr="00E73D4B">
        <w:t xml:space="preserve"> elektronisk kontroll (</w:t>
      </w:r>
      <w:proofErr w:type="spellStart"/>
      <w:r w:rsidRPr="00E73D4B">
        <w:t>såkalla</w:t>
      </w:r>
      <w:proofErr w:type="spellEnd"/>
      <w:r w:rsidRPr="00E73D4B">
        <w:t xml:space="preserve"> omvend </w:t>
      </w:r>
      <w:proofErr w:type="spellStart"/>
      <w:r w:rsidRPr="00E73D4B">
        <w:t>valdsalarm</w:t>
      </w:r>
      <w:proofErr w:type="spellEnd"/>
      <w:r w:rsidRPr="00E73D4B">
        <w:t xml:space="preserve">) ved </w:t>
      </w:r>
      <w:proofErr w:type="spellStart"/>
      <w:r w:rsidRPr="00E73D4B">
        <w:t>brot</w:t>
      </w:r>
      <w:proofErr w:type="spellEnd"/>
      <w:r w:rsidRPr="00E73D4B">
        <w:t xml:space="preserve"> på </w:t>
      </w:r>
      <w:proofErr w:type="spellStart"/>
      <w:r w:rsidRPr="00E73D4B">
        <w:t>besøksforbod</w:t>
      </w:r>
      <w:proofErr w:type="spellEnd"/>
      <w:r w:rsidRPr="00E73D4B">
        <w:t xml:space="preserve">. Det er òg vurdert visse andre </w:t>
      </w:r>
      <w:proofErr w:type="spellStart"/>
      <w:r w:rsidRPr="00E73D4B">
        <w:t>justeringar</w:t>
      </w:r>
      <w:proofErr w:type="spellEnd"/>
      <w:r w:rsidRPr="00E73D4B">
        <w:t xml:space="preserve"> i </w:t>
      </w:r>
      <w:proofErr w:type="spellStart"/>
      <w:r w:rsidRPr="00E73D4B">
        <w:t>reglane</w:t>
      </w:r>
      <w:proofErr w:type="spellEnd"/>
      <w:r w:rsidRPr="00E73D4B">
        <w:t xml:space="preserve"> for både </w:t>
      </w:r>
      <w:proofErr w:type="spellStart"/>
      <w:r w:rsidRPr="00E73D4B">
        <w:t>besøksforbod</w:t>
      </w:r>
      <w:proofErr w:type="spellEnd"/>
      <w:r w:rsidRPr="00E73D4B">
        <w:t xml:space="preserve"> etter straffeprosesslova og </w:t>
      </w:r>
      <w:proofErr w:type="spellStart"/>
      <w:r w:rsidRPr="00E73D4B">
        <w:t>kontaktforbod</w:t>
      </w:r>
      <w:proofErr w:type="spellEnd"/>
      <w:r w:rsidRPr="00E73D4B">
        <w:t xml:space="preserve"> etter straffelova. Sjå òg omtale under vedtak nr. 630, 25. april 2017, vedtak nr. 1043, 20. juni 2017, vedtak nr. 447, 18. desember 2020 og vedtak nr. 583, 30. mai 2022.</w:t>
      </w:r>
    </w:p>
    <w:p w14:paraId="4F4AA83A" w14:textId="77777777" w:rsidR="00972395" w:rsidRPr="00E73D4B" w:rsidRDefault="00F120C7" w:rsidP="00E73D4B">
      <w:pPr>
        <w:pStyle w:val="avsnitt-tittel"/>
      </w:pPr>
      <w:r w:rsidRPr="00E73D4B">
        <w:t xml:space="preserve">Omvend </w:t>
      </w:r>
      <w:proofErr w:type="spellStart"/>
      <w:r w:rsidRPr="00E73D4B">
        <w:t>valdsalarm</w:t>
      </w:r>
      <w:proofErr w:type="spellEnd"/>
    </w:p>
    <w:p w14:paraId="7E248CE9" w14:textId="77777777" w:rsidR="00972395" w:rsidRPr="00E73D4B" w:rsidRDefault="00F120C7" w:rsidP="00E73D4B">
      <w:pPr>
        <w:pStyle w:val="avsnitt-undertittel"/>
      </w:pPr>
      <w:r w:rsidRPr="00E73D4B">
        <w:t>Vedtak nr. 1043, 20. juni 2017</w:t>
      </w:r>
    </w:p>
    <w:p w14:paraId="5B3ED0A9" w14:textId="77777777" w:rsidR="00972395" w:rsidRPr="00E73D4B" w:rsidRDefault="00F120C7" w:rsidP="00E73D4B">
      <w:pPr>
        <w:pStyle w:val="blokksit"/>
        <w:rPr>
          <w:rStyle w:val="kursiv"/>
        </w:rPr>
      </w:pPr>
      <w:r w:rsidRPr="00E73D4B">
        <w:rPr>
          <w:rStyle w:val="kursiv"/>
        </w:rPr>
        <w:t>«Stortinget ber regjeringen utrede om omvendt voldsalarm bør kunne benyttes som et straffeprosessuelt virkemiddel, og rammene for slik bruk og komme tilbake til Stortinget på egnet måte med eventuelle forslag om dette.»</w:t>
      </w:r>
    </w:p>
    <w:p w14:paraId="13D7D3B7" w14:textId="77777777" w:rsidR="00972395" w:rsidRPr="00E73D4B" w:rsidRDefault="00F120C7" w:rsidP="00E73D4B">
      <w:r w:rsidRPr="00E73D4B">
        <w:t xml:space="preserve">Dokumenta som ligg til grunn for vedtaket, er Dokument 8:108 S (2016–2017), om å styrke oppfølginga i reetableringsfasen for </w:t>
      </w:r>
      <w:proofErr w:type="spellStart"/>
      <w:r w:rsidRPr="00E73D4B">
        <w:t>personar</w:t>
      </w:r>
      <w:proofErr w:type="spellEnd"/>
      <w:r w:rsidRPr="00E73D4B">
        <w:t xml:space="preserve"> som er utsette for vald i nære </w:t>
      </w:r>
      <w:proofErr w:type="spellStart"/>
      <w:r w:rsidRPr="00E73D4B">
        <w:t>relasjonar</w:t>
      </w:r>
      <w:proofErr w:type="spellEnd"/>
      <w:r w:rsidRPr="00E73D4B">
        <w:t xml:space="preserve">, og </w:t>
      </w:r>
      <w:proofErr w:type="spellStart"/>
      <w:r w:rsidRPr="00E73D4B">
        <w:t>Innst</w:t>
      </w:r>
      <w:proofErr w:type="spellEnd"/>
      <w:r w:rsidRPr="00E73D4B">
        <w:t>. 475 S (2016–2017).</w:t>
      </w:r>
    </w:p>
    <w:p w14:paraId="59E1D1AB" w14:textId="77777777" w:rsidR="00972395" w:rsidRPr="00E73D4B" w:rsidRDefault="00F120C7" w:rsidP="00E73D4B">
      <w:r w:rsidRPr="00E73D4B">
        <w:t xml:space="preserve">Vedtaket er under behandling. Departementet har vurdert behovet for </w:t>
      </w:r>
      <w:proofErr w:type="spellStart"/>
      <w:r w:rsidRPr="00E73D4B">
        <w:t>lovendringar</w:t>
      </w:r>
      <w:proofErr w:type="spellEnd"/>
      <w:r w:rsidRPr="00E73D4B">
        <w:t xml:space="preserve"> og sendt forslag på </w:t>
      </w:r>
      <w:proofErr w:type="spellStart"/>
      <w:r w:rsidRPr="00E73D4B">
        <w:t>høyring</w:t>
      </w:r>
      <w:proofErr w:type="spellEnd"/>
      <w:r w:rsidRPr="00E73D4B">
        <w:t xml:space="preserve"> 6. september 2021 om </w:t>
      </w:r>
      <w:proofErr w:type="spellStart"/>
      <w:r w:rsidRPr="00E73D4B">
        <w:t>endringar</w:t>
      </w:r>
      <w:proofErr w:type="spellEnd"/>
      <w:r w:rsidRPr="00E73D4B">
        <w:t xml:space="preserve"> i straffeprosesslova og straffelova. I </w:t>
      </w:r>
      <w:proofErr w:type="spellStart"/>
      <w:r w:rsidRPr="00E73D4B">
        <w:t>høyringsnotatet</w:t>
      </w:r>
      <w:proofErr w:type="spellEnd"/>
      <w:r w:rsidRPr="00E73D4B">
        <w:t xml:space="preserve"> er det foreslått at påtalemakta skal kunne </w:t>
      </w:r>
      <w:proofErr w:type="spellStart"/>
      <w:r w:rsidRPr="00E73D4B">
        <w:t>påleggje</w:t>
      </w:r>
      <w:proofErr w:type="spellEnd"/>
      <w:r w:rsidRPr="00E73D4B">
        <w:t xml:space="preserve"> elektronisk kontroll (</w:t>
      </w:r>
      <w:proofErr w:type="spellStart"/>
      <w:r w:rsidRPr="00E73D4B">
        <w:t>såkalla</w:t>
      </w:r>
      <w:proofErr w:type="spellEnd"/>
      <w:r w:rsidRPr="00E73D4B">
        <w:t xml:space="preserve"> omvend </w:t>
      </w:r>
      <w:proofErr w:type="spellStart"/>
      <w:r w:rsidRPr="00E73D4B">
        <w:t>valdsalarm</w:t>
      </w:r>
      <w:proofErr w:type="spellEnd"/>
      <w:r w:rsidRPr="00E73D4B">
        <w:t xml:space="preserve">) ved </w:t>
      </w:r>
      <w:proofErr w:type="spellStart"/>
      <w:r w:rsidRPr="00E73D4B">
        <w:t>brot</w:t>
      </w:r>
      <w:proofErr w:type="spellEnd"/>
      <w:r w:rsidRPr="00E73D4B">
        <w:t xml:space="preserve"> på </w:t>
      </w:r>
      <w:proofErr w:type="spellStart"/>
      <w:r w:rsidRPr="00E73D4B">
        <w:t>besøksforbod</w:t>
      </w:r>
      <w:proofErr w:type="spellEnd"/>
      <w:r w:rsidRPr="00E73D4B">
        <w:t xml:space="preserve">. Det er òg vurdert visse andre </w:t>
      </w:r>
      <w:proofErr w:type="spellStart"/>
      <w:r w:rsidRPr="00E73D4B">
        <w:t>justeringar</w:t>
      </w:r>
      <w:proofErr w:type="spellEnd"/>
      <w:r w:rsidRPr="00E73D4B">
        <w:t xml:space="preserve"> i </w:t>
      </w:r>
      <w:proofErr w:type="spellStart"/>
      <w:r w:rsidRPr="00E73D4B">
        <w:t>reglane</w:t>
      </w:r>
      <w:proofErr w:type="spellEnd"/>
      <w:r w:rsidRPr="00E73D4B">
        <w:t xml:space="preserve"> for både </w:t>
      </w:r>
      <w:proofErr w:type="spellStart"/>
      <w:r w:rsidRPr="00E73D4B">
        <w:t>besøksforbod</w:t>
      </w:r>
      <w:proofErr w:type="spellEnd"/>
      <w:r w:rsidRPr="00E73D4B">
        <w:t xml:space="preserve"> etter straffeprosesslova og </w:t>
      </w:r>
      <w:proofErr w:type="spellStart"/>
      <w:r w:rsidRPr="00E73D4B">
        <w:t>kontaktforbod</w:t>
      </w:r>
      <w:proofErr w:type="spellEnd"/>
      <w:r w:rsidRPr="00E73D4B">
        <w:t xml:space="preserve"> etter straffelova. Sjå òg omtale av vedtak nr. 630 og 631, 25. april 2017, vedtak nr. 447, 18. desember 2020 og </w:t>
      </w:r>
      <w:proofErr w:type="spellStart"/>
      <w:r w:rsidRPr="00E73D4B">
        <w:t>dessutan</w:t>
      </w:r>
      <w:proofErr w:type="spellEnd"/>
      <w:r w:rsidRPr="00E73D4B">
        <w:t xml:space="preserve"> vedtak nr. 583, 30. mai 2022.</w:t>
      </w:r>
    </w:p>
    <w:p w14:paraId="4735842F" w14:textId="77777777" w:rsidR="00972395" w:rsidRPr="00E73D4B" w:rsidRDefault="00F120C7" w:rsidP="00E73D4B">
      <w:pPr>
        <w:pStyle w:val="Overskrift2"/>
      </w:pPr>
      <w:r w:rsidRPr="00E73D4B">
        <w:t>Stortingssesjon 2015–2016</w:t>
      </w:r>
    </w:p>
    <w:p w14:paraId="6B1CCA9A" w14:textId="77777777" w:rsidR="00972395" w:rsidRPr="00E73D4B" w:rsidRDefault="00F120C7" w:rsidP="00E73D4B">
      <w:pPr>
        <w:pStyle w:val="avsnitt-tittel"/>
      </w:pPr>
      <w:r w:rsidRPr="00E73D4B">
        <w:t>Tilsyn med drift av asylmottak</w:t>
      </w:r>
    </w:p>
    <w:p w14:paraId="4A955361" w14:textId="77777777" w:rsidR="00972395" w:rsidRPr="00E73D4B" w:rsidRDefault="00F120C7" w:rsidP="00E73D4B">
      <w:pPr>
        <w:pStyle w:val="avsnitt-undertittel"/>
      </w:pPr>
      <w:r w:rsidRPr="00E73D4B">
        <w:t>Vedtak nr. 921, 16. juni 2016</w:t>
      </w:r>
    </w:p>
    <w:p w14:paraId="5DAC9D8F" w14:textId="77777777" w:rsidR="00972395" w:rsidRPr="00E73D4B" w:rsidRDefault="00F120C7" w:rsidP="00E73D4B">
      <w:pPr>
        <w:pStyle w:val="blokksit"/>
        <w:rPr>
          <w:rStyle w:val="kursiv"/>
        </w:rPr>
      </w:pPr>
      <w:r w:rsidRPr="00E73D4B">
        <w:rPr>
          <w:rStyle w:val="kursiv"/>
        </w:rPr>
        <w:t>«Stortinget ber regjeringen etablere en uavhengig tilsynsordning for asylmottaksdrift.»</w:t>
      </w:r>
    </w:p>
    <w:p w14:paraId="42255150" w14:textId="77777777" w:rsidR="00972395" w:rsidRPr="00E73D4B" w:rsidRDefault="00F120C7" w:rsidP="00E73D4B">
      <w:r w:rsidRPr="00E73D4B">
        <w:t xml:space="preserve">Dokumenta som ligg til grunn for vedtaket, er Meld. St. 30 (2015–2016) og </w:t>
      </w:r>
      <w:proofErr w:type="spellStart"/>
      <w:r w:rsidRPr="00E73D4B">
        <w:t>Innst</w:t>
      </w:r>
      <w:proofErr w:type="spellEnd"/>
      <w:r w:rsidRPr="00E73D4B">
        <w:t>. 399 S (2015–2016).</w:t>
      </w:r>
    </w:p>
    <w:p w14:paraId="2CAD4627" w14:textId="77777777" w:rsidR="00972395" w:rsidRPr="00E73D4B" w:rsidRDefault="00F120C7" w:rsidP="00E73D4B">
      <w:r w:rsidRPr="00E73D4B">
        <w:t xml:space="preserve">Vedtaket er </w:t>
      </w:r>
      <w:proofErr w:type="spellStart"/>
      <w:r w:rsidRPr="00E73D4B">
        <w:t>følgt</w:t>
      </w:r>
      <w:proofErr w:type="spellEnd"/>
      <w:r w:rsidRPr="00E73D4B">
        <w:t xml:space="preserve"> opp. Det er oppretta ei tilsynsordning med omsorga for </w:t>
      </w:r>
      <w:proofErr w:type="spellStart"/>
      <w:r w:rsidRPr="00E73D4B">
        <w:t>einslege</w:t>
      </w:r>
      <w:proofErr w:type="spellEnd"/>
      <w:r w:rsidRPr="00E73D4B">
        <w:t xml:space="preserve"> mindreårige som bur i asylmottak, jf. </w:t>
      </w:r>
      <w:proofErr w:type="spellStart"/>
      <w:r w:rsidRPr="00E73D4B">
        <w:t>Prop</w:t>
      </w:r>
      <w:proofErr w:type="spellEnd"/>
      <w:r w:rsidRPr="00E73D4B">
        <w:t xml:space="preserve">. 80 L (2021–2021) og </w:t>
      </w:r>
      <w:proofErr w:type="spellStart"/>
      <w:r w:rsidRPr="00E73D4B">
        <w:t>Innst</w:t>
      </w:r>
      <w:proofErr w:type="spellEnd"/>
      <w:r w:rsidRPr="00E73D4B">
        <w:t xml:space="preserve">. 402 L (2021–2022). Tilsynsordninga tok til å gjelde 1. juli 2022. </w:t>
      </w:r>
      <w:proofErr w:type="spellStart"/>
      <w:r w:rsidRPr="00E73D4B">
        <w:t>Statsforvaltaren</w:t>
      </w:r>
      <w:proofErr w:type="spellEnd"/>
      <w:r w:rsidRPr="00E73D4B">
        <w:t xml:space="preserve"> er tilsynsmakt, jf. utlendingslova § 95.</w:t>
      </w:r>
    </w:p>
    <w:p w14:paraId="0E6902B7" w14:textId="77777777" w:rsidR="00972395" w:rsidRPr="00E73D4B" w:rsidRDefault="00F120C7" w:rsidP="00E73D4B">
      <w:pPr>
        <w:pStyle w:val="Overskrift1"/>
      </w:pPr>
      <w:r w:rsidRPr="00E73D4B">
        <w:t xml:space="preserve">Klima- og </w:t>
      </w:r>
      <w:proofErr w:type="spellStart"/>
      <w:r w:rsidRPr="00E73D4B">
        <w:t>miljødepartmentet</w:t>
      </w:r>
      <w:proofErr w:type="spellEnd"/>
    </w:p>
    <w:p w14:paraId="6D99D0F6" w14:textId="084DDBE0" w:rsidR="00972395" w:rsidRDefault="00F120C7" w:rsidP="00E73D4B">
      <w:proofErr w:type="spellStart"/>
      <w:r w:rsidRPr="00E73D4B">
        <w:t>Nedanfor</w:t>
      </w:r>
      <w:proofErr w:type="spellEnd"/>
      <w:r w:rsidRPr="00E73D4B">
        <w:t xml:space="preserve"> er det gjort greie for oppfølginga av oppmodingsvedtak under Klima- og miljødepartementet. </w:t>
      </w:r>
      <w:proofErr w:type="spellStart"/>
      <w:r w:rsidRPr="00E73D4B">
        <w:t>Oversikta</w:t>
      </w:r>
      <w:proofErr w:type="spellEnd"/>
      <w:r w:rsidRPr="00E73D4B">
        <w:t xml:space="preserve"> inkluderer alle vedtak </w:t>
      </w:r>
      <w:proofErr w:type="spellStart"/>
      <w:r w:rsidRPr="00E73D4B">
        <w:t>frå</w:t>
      </w:r>
      <w:proofErr w:type="spellEnd"/>
      <w:r w:rsidRPr="00E73D4B">
        <w:t xml:space="preserve"> stortingssesjonen 2021–2022 og vedtak </w:t>
      </w:r>
      <w:proofErr w:type="spellStart"/>
      <w:r w:rsidRPr="00E73D4B">
        <w:t>frå</w:t>
      </w:r>
      <w:proofErr w:type="spellEnd"/>
      <w:r w:rsidRPr="00E73D4B">
        <w:t xml:space="preserve"> </w:t>
      </w:r>
      <w:proofErr w:type="spellStart"/>
      <w:r w:rsidRPr="00E73D4B">
        <w:t>tidlegare</w:t>
      </w:r>
      <w:proofErr w:type="spellEnd"/>
      <w:r w:rsidRPr="00E73D4B">
        <w:t xml:space="preserve"> </w:t>
      </w:r>
      <w:proofErr w:type="spellStart"/>
      <w:r w:rsidRPr="00E73D4B">
        <w:t>stortingssesjonar</w:t>
      </w:r>
      <w:proofErr w:type="spellEnd"/>
      <w:r w:rsidRPr="00E73D4B">
        <w:t xml:space="preserve"> som kontroll- og konstitusjonskomiteen i </w:t>
      </w:r>
      <w:proofErr w:type="spellStart"/>
      <w:r w:rsidRPr="00E73D4B">
        <w:t>Innst</w:t>
      </w:r>
      <w:proofErr w:type="spellEnd"/>
      <w:r w:rsidRPr="00E73D4B">
        <w:t xml:space="preserve">. 141 S (2021–2022) meinte </w:t>
      </w:r>
      <w:proofErr w:type="spellStart"/>
      <w:r w:rsidRPr="00E73D4B">
        <w:t>ikkje</w:t>
      </w:r>
      <w:proofErr w:type="spellEnd"/>
      <w:r w:rsidRPr="00E73D4B">
        <w:t xml:space="preserve"> var kvitterte ut. I tabellen </w:t>
      </w:r>
      <w:proofErr w:type="spellStart"/>
      <w:r w:rsidRPr="00E73D4B">
        <w:t>nedanfor</w:t>
      </w:r>
      <w:proofErr w:type="spellEnd"/>
      <w:r w:rsidRPr="00E73D4B">
        <w:t xml:space="preserve"> blir det òg </w:t>
      </w:r>
      <w:proofErr w:type="spellStart"/>
      <w:r w:rsidRPr="00E73D4B">
        <w:t>angjeve</w:t>
      </w:r>
      <w:proofErr w:type="spellEnd"/>
      <w:r w:rsidRPr="00E73D4B">
        <w:t xml:space="preserve"> i kva grad departementet planlegg at rapporteringa knytt til oppmodingsvedtaket </w:t>
      </w:r>
      <w:proofErr w:type="spellStart"/>
      <w:r w:rsidRPr="00E73D4B">
        <w:t>no</w:t>
      </w:r>
      <w:proofErr w:type="spellEnd"/>
      <w:r w:rsidRPr="00E73D4B">
        <w:t xml:space="preserve"> blir avslutta, eller om departementet vil rapportere konkret på vedtaket i budsjettproposisjonen for neste år òg.</w:t>
      </w:r>
    </w:p>
    <w:p w14:paraId="2DF8D7AC" w14:textId="3E76BD46" w:rsidR="001C4219" w:rsidRPr="00E73D4B" w:rsidRDefault="001C4219" w:rsidP="001C4219">
      <w:pPr>
        <w:pStyle w:val="tabell-tittel"/>
      </w:pPr>
      <w:r w:rsidRPr="00E73D4B">
        <w:t>Oversikt over oppmodingstiltak, ordna etter sesjon og nummer</w:t>
      </w:r>
    </w:p>
    <w:p w14:paraId="40F26D32" w14:textId="77777777" w:rsidR="00972395" w:rsidRPr="00E73D4B" w:rsidRDefault="00F120C7" w:rsidP="00E73D4B">
      <w:pPr>
        <w:pStyle w:val="Tabellnavn"/>
      </w:pPr>
      <w:r w:rsidRPr="00E73D4B">
        <w:t>04J1xt2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1418"/>
        <w:gridCol w:w="1276"/>
        <w:gridCol w:w="4961"/>
        <w:gridCol w:w="1445"/>
      </w:tblGrid>
      <w:tr w:rsidR="00972395" w:rsidRPr="00E73D4B" w14:paraId="277E5814" w14:textId="77777777" w:rsidTr="001C4219">
        <w:trPr>
          <w:trHeight w:val="600"/>
        </w:trPr>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E8B237" w14:textId="77777777" w:rsidR="00972395" w:rsidRPr="00E73D4B" w:rsidRDefault="00F120C7" w:rsidP="001C4219">
            <w:r w:rsidRPr="00E73D4B">
              <w:t>Sesjon</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09EC74" w14:textId="77777777" w:rsidR="00972395" w:rsidRPr="00E73D4B" w:rsidRDefault="00F120C7" w:rsidP="001C4219">
            <w:pPr>
              <w:jc w:val="right"/>
            </w:pPr>
            <w:r w:rsidRPr="00E73D4B">
              <w:t>Vedtak nr.</w:t>
            </w:r>
          </w:p>
        </w:tc>
        <w:tc>
          <w:tcPr>
            <w:tcW w:w="496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C0FD60" w14:textId="77777777" w:rsidR="00972395" w:rsidRPr="00E73D4B" w:rsidRDefault="00F120C7" w:rsidP="001C4219">
            <w:r w:rsidRPr="00E73D4B">
              <w:t>Stikkord</w:t>
            </w:r>
          </w:p>
        </w:tc>
        <w:tc>
          <w:tcPr>
            <w:tcW w:w="14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C5208B" w14:textId="77777777" w:rsidR="00972395" w:rsidRPr="00E73D4B" w:rsidRDefault="00F120C7" w:rsidP="001C4219">
            <w:pPr>
              <w:jc w:val="right"/>
            </w:pPr>
            <w:r w:rsidRPr="00E73D4B">
              <w:t>Rapportering avslutta (ja/nei)</w:t>
            </w:r>
          </w:p>
        </w:tc>
      </w:tr>
      <w:tr w:rsidR="00972395" w:rsidRPr="00E73D4B" w14:paraId="0DD473FB" w14:textId="77777777" w:rsidTr="001C4219">
        <w:trPr>
          <w:trHeight w:val="380"/>
        </w:trPr>
        <w:tc>
          <w:tcPr>
            <w:tcW w:w="1418" w:type="dxa"/>
            <w:tcBorders>
              <w:top w:val="single" w:sz="4" w:space="0" w:color="000000"/>
              <w:left w:val="nil"/>
              <w:bottom w:val="nil"/>
              <w:right w:val="nil"/>
            </w:tcBorders>
            <w:tcMar>
              <w:top w:w="128" w:type="dxa"/>
              <w:left w:w="43" w:type="dxa"/>
              <w:bottom w:w="43" w:type="dxa"/>
              <w:right w:w="43" w:type="dxa"/>
            </w:tcMar>
          </w:tcPr>
          <w:p w14:paraId="3505BA2D" w14:textId="77777777" w:rsidR="00972395" w:rsidRPr="00E73D4B" w:rsidRDefault="00F120C7" w:rsidP="001C4219">
            <w:r w:rsidRPr="00E73D4B">
              <w:t>2021–2022</w:t>
            </w:r>
          </w:p>
        </w:tc>
        <w:tc>
          <w:tcPr>
            <w:tcW w:w="1276" w:type="dxa"/>
            <w:tcBorders>
              <w:top w:val="single" w:sz="4" w:space="0" w:color="000000"/>
              <w:left w:val="nil"/>
              <w:bottom w:val="nil"/>
              <w:right w:val="nil"/>
            </w:tcBorders>
            <w:tcMar>
              <w:top w:w="128" w:type="dxa"/>
              <w:left w:w="43" w:type="dxa"/>
              <w:bottom w:w="43" w:type="dxa"/>
              <w:right w:w="43" w:type="dxa"/>
            </w:tcMar>
          </w:tcPr>
          <w:p w14:paraId="37C4320E" w14:textId="77777777" w:rsidR="00972395" w:rsidRPr="00E73D4B" w:rsidRDefault="00F120C7" w:rsidP="001C4219">
            <w:pPr>
              <w:jc w:val="right"/>
            </w:pPr>
            <w:r w:rsidRPr="00E73D4B">
              <w:t>35.4</w:t>
            </w:r>
          </w:p>
        </w:tc>
        <w:tc>
          <w:tcPr>
            <w:tcW w:w="4961" w:type="dxa"/>
            <w:tcBorders>
              <w:top w:val="single" w:sz="4" w:space="0" w:color="000000"/>
              <w:left w:val="nil"/>
              <w:bottom w:val="nil"/>
              <w:right w:val="nil"/>
            </w:tcBorders>
            <w:tcMar>
              <w:top w:w="128" w:type="dxa"/>
              <w:left w:w="43" w:type="dxa"/>
              <w:bottom w:w="43" w:type="dxa"/>
              <w:right w:w="43" w:type="dxa"/>
            </w:tcMar>
          </w:tcPr>
          <w:p w14:paraId="7CC11787" w14:textId="77777777" w:rsidR="00972395" w:rsidRPr="00E73D4B" w:rsidRDefault="00F120C7" w:rsidP="001C4219">
            <w:proofErr w:type="spellStart"/>
            <w:r w:rsidRPr="00E73D4B">
              <w:t>Verkemiddel</w:t>
            </w:r>
            <w:proofErr w:type="spellEnd"/>
            <w:r w:rsidRPr="00E73D4B">
              <w:t xml:space="preserve"> for raske </w:t>
            </w:r>
            <w:proofErr w:type="spellStart"/>
            <w:r w:rsidRPr="00E73D4B">
              <w:t>utsleppskutt</w:t>
            </w:r>
            <w:proofErr w:type="spellEnd"/>
            <w:r w:rsidRPr="00E73D4B">
              <w:t xml:space="preserve"> for store punktutslepp</w:t>
            </w:r>
          </w:p>
        </w:tc>
        <w:tc>
          <w:tcPr>
            <w:tcW w:w="1445" w:type="dxa"/>
            <w:tcBorders>
              <w:top w:val="single" w:sz="4" w:space="0" w:color="000000"/>
              <w:left w:val="nil"/>
              <w:bottom w:val="nil"/>
              <w:right w:val="nil"/>
            </w:tcBorders>
            <w:tcMar>
              <w:top w:w="128" w:type="dxa"/>
              <w:left w:w="43" w:type="dxa"/>
              <w:bottom w:w="43" w:type="dxa"/>
              <w:right w:w="43" w:type="dxa"/>
            </w:tcMar>
            <w:vAlign w:val="bottom"/>
          </w:tcPr>
          <w:p w14:paraId="16B08B15" w14:textId="77777777" w:rsidR="00972395" w:rsidRPr="00E73D4B" w:rsidRDefault="00F120C7" w:rsidP="001C4219">
            <w:pPr>
              <w:jc w:val="right"/>
            </w:pPr>
            <w:r w:rsidRPr="00E73D4B">
              <w:t>Nei</w:t>
            </w:r>
          </w:p>
        </w:tc>
      </w:tr>
      <w:tr w:rsidR="00972395" w:rsidRPr="00E73D4B" w14:paraId="0D989333"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2A72255F"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78108866" w14:textId="77777777" w:rsidR="00972395" w:rsidRPr="00E73D4B" w:rsidRDefault="00F120C7" w:rsidP="001C4219">
            <w:pPr>
              <w:jc w:val="right"/>
            </w:pPr>
            <w:r w:rsidRPr="00E73D4B">
              <w:t>35.6</w:t>
            </w:r>
          </w:p>
        </w:tc>
        <w:tc>
          <w:tcPr>
            <w:tcW w:w="4961" w:type="dxa"/>
            <w:tcBorders>
              <w:top w:val="nil"/>
              <w:left w:val="nil"/>
              <w:bottom w:val="nil"/>
              <w:right w:val="nil"/>
            </w:tcBorders>
            <w:tcMar>
              <w:top w:w="128" w:type="dxa"/>
              <w:left w:w="43" w:type="dxa"/>
              <w:bottom w:w="43" w:type="dxa"/>
              <w:right w:w="43" w:type="dxa"/>
            </w:tcMar>
          </w:tcPr>
          <w:p w14:paraId="2D4D978F" w14:textId="77777777" w:rsidR="00972395" w:rsidRPr="00E73D4B" w:rsidRDefault="00F120C7" w:rsidP="001C4219">
            <w:r w:rsidRPr="00E73D4B">
              <w:t xml:space="preserve">Enøktiltak i </w:t>
            </w:r>
            <w:proofErr w:type="spellStart"/>
            <w:r w:rsidRPr="00E73D4B">
              <w:t>hushalda</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14BC0F03" w14:textId="77777777" w:rsidR="00972395" w:rsidRPr="00E73D4B" w:rsidRDefault="00F120C7" w:rsidP="001C4219">
            <w:pPr>
              <w:jc w:val="right"/>
            </w:pPr>
            <w:r w:rsidRPr="00E73D4B">
              <w:t>Ja</w:t>
            </w:r>
          </w:p>
        </w:tc>
      </w:tr>
      <w:tr w:rsidR="00972395" w:rsidRPr="00E73D4B" w14:paraId="2C054511"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3153CC57"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76D30403" w14:textId="77777777" w:rsidR="00972395" w:rsidRPr="00E73D4B" w:rsidRDefault="00F120C7" w:rsidP="001C4219">
            <w:pPr>
              <w:jc w:val="right"/>
            </w:pPr>
            <w:r w:rsidRPr="00E73D4B">
              <w:t>35.10</w:t>
            </w:r>
          </w:p>
        </w:tc>
        <w:tc>
          <w:tcPr>
            <w:tcW w:w="4961" w:type="dxa"/>
            <w:tcBorders>
              <w:top w:val="nil"/>
              <w:left w:val="nil"/>
              <w:bottom w:val="nil"/>
              <w:right w:val="nil"/>
            </w:tcBorders>
            <w:tcMar>
              <w:top w:w="128" w:type="dxa"/>
              <w:left w:w="43" w:type="dxa"/>
              <w:bottom w:w="43" w:type="dxa"/>
              <w:right w:w="43" w:type="dxa"/>
            </w:tcMar>
          </w:tcPr>
          <w:p w14:paraId="184DE233" w14:textId="77777777" w:rsidR="00972395" w:rsidRPr="00E73D4B" w:rsidRDefault="00F120C7" w:rsidP="001C4219">
            <w:r w:rsidRPr="00E73D4B">
              <w:t xml:space="preserve">Krav om nullutslepp og fossilfrie </w:t>
            </w:r>
            <w:proofErr w:type="spellStart"/>
            <w:r w:rsidRPr="00E73D4B">
              <w:t>byggje</w:t>
            </w:r>
            <w:proofErr w:type="spellEnd"/>
            <w:r w:rsidRPr="00E73D4B">
              <w:t xml:space="preserve">- og </w:t>
            </w:r>
            <w:proofErr w:type="spellStart"/>
            <w:r w:rsidRPr="00E73D4B">
              <w:t>anleggsplassar</w:t>
            </w:r>
            <w:proofErr w:type="spellEnd"/>
            <w:r w:rsidRPr="00E73D4B">
              <w:t xml:space="preserve"> i </w:t>
            </w:r>
            <w:proofErr w:type="spellStart"/>
            <w:r w:rsidRPr="00E73D4B">
              <w:t>offentlege</w:t>
            </w:r>
            <w:proofErr w:type="spellEnd"/>
            <w:r w:rsidRPr="00E73D4B">
              <w:t xml:space="preserve"> </w:t>
            </w:r>
            <w:proofErr w:type="spellStart"/>
            <w:r w:rsidRPr="00E73D4B">
              <w:t>anbod</w:t>
            </w:r>
            <w:proofErr w:type="spellEnd"/>
            <w:r w:rsidRPr="00E73D4B">
              <w:t xml:space="preserve"> </w:t>
            </w:r>
          </w:p>
        </w:tc>
        <w:tc>
          <w:tcPr>
            <w:tcW w:w="1445" w:type="dxa"/>
            <w:tcBorders>
              <w:top w:val="nil"/>
              <w:left w:val="nil"/>
              <w:bottom w:val="nil"/>
              <w:right w:val="nil"/>
            </w:tcBorders>
            <w:tcMar>
              <w:top w:w="128" w:type="dxa"/>
              <w:left w:w="43" w:type="dxa"/>
              <w:bottom w:w="43" w:type="dxa"/>
              <w:right w:w="43" w:type="dxa"/>
            </w:tcMar>
            <w:vAlign w:val="bottom"/>
          </w:tcPr>
          <w:p w14:paraId="7EEB82C9" w14:textId="77777777" w:rsidR="00972395" w:rsidRPr="00E73D4B" w:rsidRDefault="00F120C7" w:rsidP="001C4219">
            <w:pPr>
              <w:jc w:val="right"/>
            </w:pPr>
            <w:r w:rsidRPr="00E73D4B">
              <w:t>Nei</w:t>
            </w:r>
          </w:p>
        </w:tc>
      </w:tr>
      <w:tr w:rsidR="00972395" w:rsidRPr="00E73D4B" w14:paraId="2360CBAF"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61377451"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27762AC8" w14:textId="77777777" w:rsidR="00972395" w:rsidRPr="00E73D4B" w:rsidRDefault="00F120C7" w:rsidP="001C4219">
            <w:pPr>
              <w:jc w:val="right"/>
            </w:pPr>
            <w:r w:rsidRPr="00E73D4B">
              <w:t>35.11</w:t>
            </w:r>
          </w:p>
        </w:tc>
        <w:tc>
          <w:tcPr>
            <w:tcW w:w="4961" w:type="dxa"/>
            <w:tcBorders>
              <w:top w:val="nil"/>
              <w:left w:val="nil"/>
              <w:bottom w:val="nil"/>
              <w:right w:val="nil"/>
            </w:tcBorders>
            <w:tcMar>
              <w:top w:w="128" w:type="dxa"/>
              <w:left w:w="43" w:type="dxa"/>
              <w:bottom w:w="43" w:type="dxa"/>
              <w:right w:w="43" w:type="dxa"/>
            </w:tcMar>
          </w:tcPr>
          <w:p w14:paraId="7B540EF3" w14:textId="77777777" w:rsidR="00972395" w:rsidRPr="00E73D4B" w:rsidRDefault="00F120C7" w:rsidP="001C4219">
            <w:proofErr w:type="spellStart"/>
            <w:r w:rsidRPr="00E73D4B">
              <w:t>Forbod</w:t>
            </w:r>
            <w:proofErr w:type="spellEnd"/>
            <w:r w:rsidRPr="00E73D4B">
              <w:t xml:space="preserve"> mot bruk av fossile brensel på </w:t>
            </w:r>
            <w:proofErr w:type="spellStart"/>
            <w:r w:rsidRPr="00E73D4B">
              <w:t>byggjeplassar</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62CE6760" w14:textId="77777777" w:rsidR="00972395" w:rsidRPr="00E73D4B" w:rsidRDefault="00F120C7" w:rsidP="001C4219">
            <w:pPr>
              <w:jc w:val="right"/>
            </w:pPr>
            <w:r w:rsidRPr="00E73D4B">
              <w:t>Nei</w:t>
            </w:r>
          </w:p>
        </w:tc>
      </w:tr>
      <w:tr w:rsidR="00972395" w:rsidRPr="00E73D4B" w14:paraId="4E211083"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5372AB13"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7119E213" w14:textId="77777777" w:rsidR="00972395" w:rsidRPr="00E73D4B" w:rsidRDefault="00F120C7" w:rsidP="001C4219">
            <w:pPr>
              <w:jc w:val="right"/>
            </w:pPr>
            <w:r w:rsidRPr="00E73D4B">
              <w:t>35.16</w:t>
            </w:r>
          </w:p>
        </w:tc>
        <w:tc>
          <w:tcPr>
            <w:tcW w:w="4961" w:type="dxa"/>
            <w:tcBorders>
              <w:top w:val="nil"/>
              <w:left w:val="nil"/>
              <w:bottom w:val="nil"/>
              <w:right w:val="nil"/>
            </w:tcBorders>
            <w:tcMar>
              <w:top w:w="128" w:type="dxa"/>
              <w:left w:w="43" w:type="dxa"/>
              <w:bottom w:w="43" w:type="dxa"/>
              <w:right w:w="43" w:type="dxa"/>
            </w:tcMar>
          </w:tcPr>
          <w:p w14:paraId="0902DB82" w14:textId="77777777" w:rsidR="00972395" w:rsidRPr="00E73D4B" w:rsidRDefault="00F120C7" w:rsidP="001C4219">
            <w:r w:rsidRPr="00E73D4B">
              <w:t>Erstatte fossile brensel i industrien</w:t>
            </w:r>
          </w:p>
        </w:tc>
        <w:tc>
          <w:tcPr>
            <w:tcW w:w="1445" w:type="dxa"/>
            <w:tcBorders>
              <w:top w:val="nil"/>
              <w:left w:val="nil"/>
              <w:bottom w:val="nil"/>
              <w:right w:val="nil"/>
            </w:tcBorders>
            <w:tcMar>
              <w:top w:w="128" w:type="dxa"/>
              <w:left w:w="43" w:type="dxa"/>
              <w:bottom w:w="43" w:type="dxa"/>
              <w:right w:w="43" w:type="dxa"/>
            </w:tcMar>
            <w:vAlign w:val="bottom"/>
          </w:tcPr>
          <w:p w14:paraId="4DABAD38" w14:textId="77777777" w:rsidR="00972395" w:rsidRPr="00E73D4B" w:rsidRDefault="00F120C7" w:rsidP="001C4219">
            <w:pPr>
              <w:jc w:val="right"/>
            </w:pPr>
            <w:r w:rsidRPr="00E73D4B">
              <w:t>Nei</w:t>
            </w:r>
          </w:p>
        </w:tc>
      </w:tr>
      <w:tr w:rsidR="00972395" w:rsidRPr="00E73D4B" w14:paraId="046C8CB8"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65836341"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7C83A381" w14:textId="77777777" w:rsidR="00972395" w:rsidRPr="00E73D4B" w:rsidRDefault="00F120C7" w:rsidP="001C4219">
            <w:pPr>
              <w:jc w:val="right"/>
            </w:pPr>
            <w:r w:rsidRPr="00E73D4B">
              <w:t>35.20</w:t>
            </w:r>
          </w:p>
        </w:tc>
        <w:tc>
          <w:tcPr>
            <w:tcW w:w="4961" w:type="dxa"/>
            <w:tcBorders>
              <w:top w:val="nil"/>
              <w:left w:val="nil"/>
              <w:bottom w:val="nil"/>
              <w:right w:val="nil"/>
            </w:tcBorders>
            <w:tcMar>
              <w:top w:w="128" w:type="dxa"/>
              <w:left w:w="43" w:type="dxa"/>
              <w:bottom w:w="43" w:type="dxa"/>
              <w:right w:w="43" w:type="dxa"/>
            </w:tcMar>
          </w:tcPr>
          <w:p w14:paraId="61248578" w14:textId="77777777" w:rsidR="00972395" w:rsidRPr="00E73D4B" w:rsidRDefault="00F120C7" w:rsidP="001C4219">
            <w:r w:rsidRPr="00E73D4B">
              <w:t xml:space="preserve">Oppfylle målet om 10 pst. vern av kyst- og havområde og </w:t>
            </w:r>
            <w:proofErr w:type="spellStart"/>
            <w:r w:rsidRPr="00E73D4B">
              <w:t>fremje</w:t>
            </w:r>
            <w:proofErr w:type="spellEnd"/>
            <w:r w:rsidRPr="00E73D4B">
              <w:t xml:space="preserve"> nasjonal plan for marint vern</w:t>
            </w:r>
          </w:p>
        </w:tc>
        <w:tc>
          <w:tcPr>
            <w:tcW w:w="1445" w:type="dxa"/>
            <w:tcBorders>
              <w:top w:val="nil"/>
              <w:left w:val="nil"/>
              <w:bottom w:val="nil"/>
              <w:right w:val="nil"/>
            </w:tcBorders>
            <w:tcMar>
              <w:top w:w="128" w:type="dxa"/>
              <w:left w:w="43" w:type="dxa"/>
              <w:bottom w:w="43" w:type="dxa"/>
              <w:right w:w="43" w:type="dxa"/>
            </w:tcMar>
            <w:vAlign w:val="bottom"/>
          </w:tcPr>
          <w:p w14:paraId="5121454D" w14:textId="77777777" w:rsidR="00972395" w:rsidRPr="00E73D4B" w:rsidRDefault="00F120C7" w:rsidP="001C4219">
            <w:pPr>
              <w:jc w:val="right"/>
            </w:pPr>
            <w:r w:rsidRPr="00E73D4B">
              <w:t>Nei</w:t>
            </w:r>
          </w:p>
        </w:tc>
      </w:tr>
      <w:tr w:rsidR="00972395" w:rsidRPr="00E73D4B" w14:paraId="085A4FBA"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535F17FB"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0227C750" w14:textId="77777777" w:rsidR="00972395" w:rsidRPr="00E73D4B" w:rsidRDefault="00F120C7" w:rsidP="001C4219">
            <w:pPr>
              <w:jc w:val="right"/>
            </w:pPr>
            <w:r w:rsidRPr="00E73D4B">
              <w:t>512</w:t>
            </w:r>
          </w:p>
        </w:tc>
        <w:tc>
          <w:tcPr>
            <w:tcW w:w="4961" w:type="dxa"/>
            <w:tcBorders>
              <w:top w:val="nil"/>
              <w:left w:val="nil"/>
              <w:bottom w:val="nil"/>
              <w:right w:val="nil"/>
            </w:tcBorders>
            <w:tcMar>
              <w:top w:w="128" w:type="dxa"/>
              <w:left w:w="43" w:type="dxa"/>
              <w:bottom w:w="43" w:type="dxa"/>
              <w:right w:w="43" w:type="dxa"/>
            </w:tcMar>
          </w:tcPr>
          <w:p w14:paraId="4B15F458" w14:textId="77777777" w:rsidR="00972395" w:rsidRPr="00E73D4B" w:rsidRDefault="00F120C7" w:rsidP="001C4219">
            <w:r w:rsidRPr="00E73D4B">
              <w:t xml:space="preserve">Greie ut produsentansvarsordning for </w:t>
            </w:r>
            <w:proofErr w:type="spellStart"/>
            <w:r w:rsidRPr="00E73D4B">
              <w:t>tekstilar</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244BBB39" w14:textId="77777777" w:rsidR="00972395" w:rsidRPr="00E73D4B" w:rsidRDefault="00F120C7" w:rsidP="001C4219">
            <w:pPr>
              <w:jc w:val="right"/>
            </w:pPr>
            <w:r w:rsidRPr="00E73D4B">
              <w:t>Nei</w:t>
            </w:r>
          </w:p>
        </w:tc>
      </w:tr>
      <w:tr w:rsidR="00972395" w:rsidRPr="00E73D4B" w14:paraId="571EC962"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0BB15A21"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2DDB6960" w14:textId="77777777" w:rsidR="00972395" w:rsidRPr="00E73D4B" w:rsidRDefault="00F120C7" w:rsidP="001C4219">
            <w:pPr>
              <w:jc w:val="right"/>
            </w:pPr>
            <w:r w:rsidRPr="00E73D4B">
              <w:t>513</w:t>
            </w:r>
          </w:p>
        </w:tc>
        <w:tc>
          <w:tcPr>
            <w:tcW w:w="4961" w:type="dxa"/>
            <w:tcBorders>
              <w:top w:val="nil"/>
              <w:left w:val="nil"/>
              <w:bottom w:val="nil"/>
              <w:right w:val="nil"/>
            </w:tcBorders>
            <w:tcMar>
              <w:top w:w="128" w:type="dxa"/>
              <w:left w:w="43" w:type="dxa"/>
              <w:bottom w:w="43" w:type="dxa"/>
              <w:right w:w="43" w:type="dxa"/>
            </w:tcMar>
          </w:tcPr>
          <w:p w14:paraId="556642FE" w14:textId="77777777" w:rsidR="00972395" w:rsidRPr="00E73D4B" w:rsidRDefault="00F120C7" w:rsidP="001C4219">
            <w:r w:rsidRPr="00E73D4B">
              <w:t xml:space="preserve">Gjennomgå regelverk og vurdere </w:t>
            </w:r>
            <w:proofErr w:type="spellStart"/>
            <w:r w:rsidRPr="00E73D4B">
              <w:t>endringar</w:t>
            </w:r>
            <w:proofErr w:type="spellEnd"/>
            <w:r w:rsidRPr="00E73D4B">
              <w:t xml:space="preserve"> for å sikre at klesbransjen bruker </w:t>
            </w:r>
            <w:proofErr w:type="spellStart"/>
            <w:r w:rsidRPr="00E73D4B">
              <w:t>uselde</w:t>
            </w:r>
            <w:proofErr w:type="spellEnd"/>
            <w:r w:rsidRPr="00E73D4B">
              <w:t xml:space="preserve"> tekstilvarer om att</w:t>
            </w:r>
          </w:p>
        </w:tc>
        <w:tc>
          <w:tcPr>
            <w:tcW w:w="1445" w:type="dxa"/>
            <w:tcBorders>
              <w:top w:val="nil"/>
              <w:left w:val="nil"/>
              <w:bottom w:val="nil"/>
              <w:right w:val="nil"/>
            </w:tcBorders>
            <w:tcMar>
              <w:top w:w="128" w:type="dxa"/>
              <w:left w:w="43" w:type="dxa"/>
              <w:bottom w:w="43" w:type="dxa"/>
              <w:right w:w="43" w:type="dxa"/>
            </w:tcMar>
            <w:vAlign w:val="bottom"/>
          </w:tcPr>
          <w:p w14:paraId="4F24F02D" w14:textId="77777777" w:rsidR="00972395" w:rsidRPr="00E73D4B" w:rsidRDefault="00F120C7" w:rsidP="001C4219">
            <w:pPr>
              <w:jc w:val="right"/>
            </w:pPr>
            <w:r w:rsidRPr="00E73D4B">
              <w:t>Nei</w:t>
            </w:r>
          </w:p>
        </w:tc>
      </w:tr>
      <w:tr w:rsidR="00972395" w:rsidRPr="00E73D4B" w14:paraId="66E2B7F1"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5320A90A"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2701C8D0" w14:textId="77777777" w:rsidR="00972395" w:rsidRPr="00E73D4B" w:rsidRDefault="00F120C7" w:rsidP="001C4219">
            <w:pPr>
              <w:jc w:val="right"/>
            </w:pPr>
            <w:r w:rsidRPr="00E73D4B">
              <w:t>668</w:t>
            </w:r>
          </w:p>
        </w:tc>
        <w:tc>
          <w:tcPr>
            <w:tcW w:w="4961" w:type="dxa"/>
            <w:tcBorders>
              <w:top w:val="nil"/>
              <w:left w:val="nil"/>
              <w:bottom w:val="nil"/>
              <w:right w:val="nil"/>
            </w:tcBorders>
            <w:tcMar>
              <w:top w:w="128" w:type="dxa"/>
              <w:left w:w="43" w:type="dxa"/>
              <w:bottom w:w="43" w:type="dxa"/>
              <w:right w:w="43" w:type="dxa"/>
            </w:tcMar>
          </w:tcPr>
          <w:p w14:paraId="0A81A7C9" w14:textId="77777777" w:rsidR="00972395" w:rsidRPr="00E73D4B" w:rsidRDefault="00F120C7" w:rsidP="001C4219">
            <w:r w:rsidRPr="00E73D4B">
              <w:t xml:space="preserve">Status for arbeidet med </w:t>
            </w:r>
            <w:proofErr w:type="spellStart"/>
            <w:r w:rsidRPr="00E73D4B">
              <w:t>ein</w:t>
            </w:r>
            <w:proofErr w:type="spellEnd"/>
            <w:r w:rsidRPr="00E73D4B">
              <w:t xml:space="preserve"> </w:t>
            </w:r>
            <w:proofErr w:type="spellStart"/>
            <w:r w:rsidRPr="00E73D4B">
              <w:t>heilskapleg</w:t>
            </w:r>
            <w:proofErr w:type="spellEnd"/>
            <w:r w:rsidRPr="00E73D4B">
              <w:t xml:space="preserve"> tiltaksplan for </w:t>
            </w:r>
            <w:proofErr w:type="spellStart"/>
            <w:r w:rsidRPr="00E73D4B">
              <w:t>ein</w:t>
            </w:r>
            <w:proofErr w:type="spellEnd"/>
            <w:r w:rsidRPr="00E73D4B">
              <w:t xml:space="preserve"> rein og rik Oslofjord</w:t>
            </w:r>
          </w:p>
        </w:tc>
        <w:tc>
          <w:tcPr>
            <w:tcW w:w="1445" w:type="dxa"/>
            <w:tcBorders>
              <w:top w:val="nil"/>
              <w:left w:val="nil"/>
              <w:bottom w:val="nil"/>
              <w:right w:val="nil"/>
            </w:tcBorders>
            <w:tcMar>
              <w:top w:w="128" w:type="dxa"/>
              <w:left w:w="43" w:type="dxa"/>
              <w:bottom w:w="43" w:type="dxa"/>
              <w:right w:w="43" w:type="dxa"/>
            </w:tcMar>
            <w:vAlign w:val="bottom"/>
          </w:tcPr>
          <w:p w14:paraId="2B0E83CA" w14:textId="77777777" w:rsidR="00972395" w:rsidRPr="00E73D4B" w:rsidRDefault="00F120C7" w:rsidP="001C4219">
            <w:pPr>
              <w:jc w:val="right"/>
            </w:pPr>
            <w:r w:rsidRPr="00E73D4B">
              <w:t>Ja</w:t>
            </w:r>
          </w:p>
        </w:tc>
      </w:tr>
      <w:tr w:rsidR="00972395" w:rsidRPr="00E73D4B" w14:paraId="7001667E"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22B79768"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7838381C" w14:textId="77777777" w:rsidR="00972395" w:rsidRPr="00E73D4B" w:rsidRDefault="00F120C7" w:rsidP="001C4219">
            <w:pPr>
              <w:jc w:val="right"/>
            </w:pPr>
            <w:r w:rsidRPr="00E73D4B">
              <w:t>711</w:t>
            </w:r>
          </w:p>
        </w:tc>
        <w:tc>
          <w:tcPr>
            <w:tcW w:w="4961" w:type="dxa"/>
            <w:tcBorders>
              <w:top w:val="nil"/>
              <w:left w:val="nil"/>
              <w:bottom w:val="nil"/>
              <w:right w:val="nil"/>
            </w:tcBorders>
            <w:tcMar>
              <w:top w:w="128" w:type="dxa"/>
              <w:left w:w="43" w:type="dxa"/>
              <w:bottom w:w="43" w:type="dxa"/>
              <w:right w:w="43" w:type="dxa"/>
            </w:tcMar>
          </w:tcPr>
          <w:p w14:paraId="1FCD8761" w14:textId="77777777" w:rsidR="00972395" w:rsidRPr="00E73D4B" w:rsidRDefault="00F120C7" w:rsidP="001C4219">
            <w:r w:rsidRPr="00E73D4B">
              <w:t xml:space="preserve">Endre omgrepet «nullutslepp» i alle </w:t>
            </w:r>
            <w:proofErr w:type="spellStart"/>
            <w:r w:rsidRPr="00E73D4B">
              <w:t>statlege</w:t>
            </w:r>
            <w:proofErr w:type="spellEnd"/>
            <w:r w:rsidRPr="00E73D4B">
              <w:t xml:space="preserve"> mål og planar til «nullutslepp og biogass»</w:t>
            </w:r>
          </w:p>
        </w:tc>
        <w:tc>
          <w:tcPr>
            <w:tcW w:w="1445" w:type="dxa"/>
            <w:tcBorders>
              <w:top w:val="nil"/>
              <w:left w:val="nil"/>
              <w:bottom w:val="nil"/>
              <w:right w:val="nil"/>
            </w:tcBorders>
            <w:tcMar>
              <w:top w:w="128" w:type="dxa"/>
              <w:left w:w="43" w:type="dxa"/>
              <w:bottom w:w="43" w:type="dxa"/>
              <w:right w:w="43" w:type="dxa"/>
            </w:tcMar>
            <w:vAlign w:val="bottom"/>
          </w:tcPr>
          <w:p w14:paraId="2ACF5BCC" w14:textId="77777777" w:rsidR="00972395" w:rsidRPr="00E73D4B" w:rsidRDefault="00F120C7" w:rsidP="001C4219">
            <w:pPr>
              <w:jc w:val="right"/>
            </w:pPr>
            <w:r w:rsidRPr="00E73D4B">
              <w:t>Ja</w:t>
            </w:r>
          </w:p>
        </w:tc>
      </w:tr>
      <w:tr w:rsidR="00972395" w:rsidRPr="00E73D4B" w14:paraId="3925FEEE"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00C5D142"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3FF99097" w14:textId="77777777" w:rsidR="00972395" w:rsidRPr="00E73D4B" w:rsidRDefault="00F120C7" w:rsidP="001C4219">
            <w:pPr>
              <w:jc w:val="right"/>
            </w:pPr>
            <w:r w:rsidRPr="00E73D4B">
              <w:t>713</w:t>
            </w:r>
          </w:p>
        </w:tc>
        <w:tc>
          <w:tcPr>
            <w:tcW w:w="4961" w:type="dxa"/>
            <w:tcBorders>
              <w:top w:val="nil"/>
              <w:left w:val="nil"/>
              <w:bottom w:val="nil"/>
              <w:right w:val="nil"/>
            </w:tcBorders>
            <w:tcMar>
              <w:top w:w="128" w:type="dxa"/>
              <w:left w:w="43" w:type="dxa"/>
              <w:bottom w:w="43" w:type="dxa"/>
              <w:right w:w="43" w:type="dxa"/>
            </w:tcMar>
          </w:tcPr>
          <w:p w14:paraId="642CD2DC" w14:textId="77777777" w:rsidR="00972395" w:rsidRPr="00E73D4B" w:rsidRDefault="00F120C7" w:rsidP="001C4219">
            <w:proofErr w:type="spellStart"/>
            <w:r w:rsidRPr="00E73D4B">
              <w:t>Verkemiddel</w:t>
            </w:r>
            <w:proofErr w:type="spellEnd"/>
            <w:r w:rsidRPr="00E73D4B">
              <w:t xml:space="preserve"> som kan bidra til å </w:t>
            </w:r>
            <w:proofErr w:type="spellStart"/>
            <w:r w:rsidRPr="00E73D4B">
              <w:t>gjere</w:t>
            </w:r>
            <w:proofErr w:type="spellEnd"/>
            <w:r w:rsidRPr="00E73D4B">
              <w:t xml:space="preserve"> direkte karbonfangst </w:t>
            </w:r>
            <w:proofErr w:type="spellStart"/>
            <w:r w:rsidRPr="00E73D4B">
              <w:t>frå</w:t>
            </w:r>
            <w:proofErr w:type="spellEnd"/>
            <w:r w:rsidRPr="00E73D4B">
              <w:t xml:space="preserve"> luft (DAC) </w:t>
            </w:r>
            <w:proofErr w:type="spellStart"/>
            <w:r w:rsidRPr="00E73D4B">
              <w:t>lønnsamt</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26A23DB5" w14:textId="77777777" w:rsidR="00972395" w:rsidRPr="00E73D4B" w:rsidRDefault="00F120C7" w:rsidP="001C4219">
            <w:pPr>
              <w:jc w:val="right"/>
            </w:pPr>
            <w:r w:rsidRPr="00E73D4B">
              <w:t>Nei</w:t>
            </w:r>
          </w:p>
        </w:tc>
      </w:tr>
      <w:tr w:rsidR="00972395" w:rsidRPr="00E73D4B" w14:paraId="47AFAC8E"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01B1B074"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18CB0A44" w14:textId="77777777" w:rsidR="00972395" w:rsidRPr="00E73D4B" w:rsidRDefault="00F120C7" w:rsidP="001C4219">
            <w:pPr>
              <w:jc w:val="right"/>
            </w:pPr>
            <w:r w:rsidRPr="00E73D4B">
              <w:t>753</w:t>
            </w:r>
          </w:p>
        </w:tc>
        <w:tc>
          <w:tcPr>
            <w:tcW w:w="4961" w:type="dxa"/>
            <w:tcBorders>
              <w:top w:val="nil"/>
              <w:left w:val="nil"/>
              <w:bottom w:val="nil"/>
              <w:right w:val="nil"/>
            </w:tcBorders>
            <w:tcMar>
              <w:top w:w="128" w:type="dxa"/>
              <w:left w:w="43" w:type="dxa"/>
              <w:bottom w:w="43" w:type="dxa"/>
              <w:right w:w="43" w:type="dxa"/>
            </w:tcMar>
          </w:tcPr>
          <w:p w14:paraId="4055880E" w14:textId="77777777" w:rsidR="00972395" w:rsidRPr="00E73D4B" w:rsidRDefault="00F120C7" w:rsidP="001C4219">
            <w:r w:rsidRPr="00E73D4B">
              <w:t xml:space="preserve">Levere </w:t>
            </w:r>
            <w:proofErr w:type="spellStart"/>
            <w:r w:rsidRPr="00E73D4B">
              <w:t>ein</w:t>
            </w:r>
            <w:proofErr w:type="spellEnd"/>
            <w:r w:rsidRPr="00E73D4B">
              <w:t xml:space="preserve"> plan for harmonisering av rammeverk for biogass i Norden</w:t>
            </w:r>
          </w:p>
        </w:tc>
        <w:tc>
          <w:tcPr>
            <w:tcW w:w="1445" w:type="dxa"/>
            <w:tcBorders>
              <w:top w:val="nil"/>
              <w:left w:val="nil"/>
              <w:bottom w:val="nil"/>
              <w:right w:val="nil"/>
            </w:tcBorders>
            <w:tcMar>
              <w:top w:w="128" w:type="dxa"/>
              <w:left w:w="43" w:type="dxa"/>
              <w:bottom w:w="43" w:type="dxa"/>
              <w:right w:w="43" w:type="dxa"/>
            </w:tcMar>
            <w:vAlign w:val="bottom"/>
          </w:tcPr>
          <w:p w14:paraId="2C515827" w14:textId="77777777" w:rsidR="00972395" w:rsidRPr="00E73D4B" w:rsidRDefault="00F120C7" w:rsidP="001C4219">
            <w:pPr>
              <w:jc w:val="right"/>
            </w:pPr>
            <w:r w:rsidRPr="00E73D4B">
              <w:t>Nei</w:t>
            </w:r>
          </w:p>
        </w:tc>
      </w:tr>
      <w:tr w:rsidR="00972395" w:rsidRPr="00E73D4B" w14:paraId="68C6B3AC"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397B9C01"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561C92BA" w14:textId="77777777" w:rsidR="00972395" w:rsidRPr="00E73D4B" w:rsidRDefault="00F120C7" w:rsidP="001C4219">
            <w:pPr>
              <w:jc w:val="right"/>
            </w:pPr>
            <w:r w:rsidRPr="00E73D4B">
              <w:t>756</w:t>
            </w:r>
          </w:p>
        </w:tc>
        <w:tc>
          <w:tcPr>
            <w:tcW w:w="4961" w:type="dxa"/>
            <w:tcBorders>
              <w:top w:val="nil"/>
              <w:left w:val="nil"/>
              <w:bottom w:val="nil"/>
              <w:right w:val="nil"/>
            </w:tcBorders>
            <w:tcMar>
              <w:top w:w="128" w:type="dxa"/>
              <w:left w:w="43" w:type="dxa"/>
              <w:bottom w:w="43" w:type="dxa"/>
              <w:right w:w="43" w:type="dxa"/>
            </w:tcMar>
          </w:tcPr>
          <w:p w14:paraId="2135C489" w14:textId="77777777" w:rsidR="00972395" w:rsidRPr="00E73D4B" w:rsidRDefault="00F120C7" w:rsidP="001C4219">
            <w:proofErr w:type="spellStart"/>
            <w:r w:rsidRPr="00E73D4B">
              <w:t>Leggje</w:t>
            </w:r>
            <w:proofErr w:type="spellEnd"/>
            <w:r w:rsidRPr="00E73D4B">
              <w:t xml:space="preserve"> til rette for </w:t>
            </w:r>
            <w:proofErr w:type="spellStart"/>
            <w:r w:rsidRPr="00E73D4B">
              <w:t>auka</w:t>
            </w:r>
            <w:proofErr w:type="spellEnd"/>
            <w:r w:rsidRPr="00E73D4B">
              <w:t xml:space="preserve"> bruk av avansert </w:t>
            </w:r>
            <w:proofErr w:type="spellStart"/>
            <w:r w:rsidRPr="00E73D4B">
              <w:t>flytande</w:t>
            </w:r>
            <w:proofErr w:type="spellEnd"/>
            <w:r w:rsidRPr="00E73D4B">
              <w:t xml:space="preserve"> biodrivstoff og biogass i transportsektoren</w:t>
            </w:r>
          </w:p>
        </w:tc>
        <w:tc>
          <w:tcPr>
            <w:tcW w:w="1445" w:type="dxa"/>
            <w:tcBorders>
              <w:top w:val="nil"/>
              <w:left w:val="nil"/>
              <w:bottom w:val="nil"/>
              <w:right w:val="nil"/>
            </w:tcBorders>
            <w:tcMar>
              <w:top w:w="128" w:type="dxa"/>
              <w:left w:w="43" w:type="dxa"/>
              <w:bottom w:w="43" w:type="dxa"/>
              <w:right w:w="43" w:type="dxa"/>
            </w:tcMar>
            <w:vAlign w:val="bottom"/>
          </w:tcPr>
          <w:p w14:paraId="26C182E1" w14:textId="77777777" w:rsidR="00972395" w:rsidRPr="00E73D4B" w:rsidRDefault="00F120C7" w:rsidP="001C4219">
            <w:pPr>
              <w:jc w:val="right"/>
            </w:pPr>
            <w:r w:rsidRPr="00E73D4B">
              <w:t>Ja</w:t>
            </w:r>
          </w:p>
        </w:tc>
      </w:tr>
      <w:tr w:rsidR="00972395" w:rsidRPr="00E73D4B" w14:paraId="1611BDDE"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29E7C7B2"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3BE4B4F5" w14:textId="77777777" w:rsidR="00972395" w:rsidRPr="00E73D4B" w:rsidRDefault="00F120C7" w:rsidP="001C4219">
            <w:pPr>
              <w:jc w:val="right"/>
            </w:pPr>
            <w:r w:rsidRPr="00E73D4B">
              <w:t>830</w:t>
            </w:r>
          </w:p>
        </w:tc>
        <w:tc>
          <w:tcPr>
            <w:tcW w:w="4961" w:type="dxa"/>
            <w:tcBorders>
              <w:top w:val="nil"/>
              <w:left w:val="nil"/>
              <w:bottom w:val="nil"/>
              <w:right w:val="nil"/>
            </w:tcBorders>
            <w:tcMar>
              <w:top w:w="128" w:type="dxa"/>
              <w:left w:w="43" w:type="dxa"/>
              <w:bottom w:w="43" w:type="dxa"/>
              <w:right w:w="43" w:type="dxa"/>
            </w:tcMar>
          </w:tcPr>
          <w:p w14:paraId="4FFEE4CF" w14:textId="77777777" w:rsidR="00972395" w:rsidRPr="00E73D4B" w:rsidRDefault="00F120C7" w:rsidP="001C4219">
            <w:proofErr w:type="spellStart"/>
            <w:r w:rsidRPr="00E73D4B">
              <w:t>Sørgje</w:t>
            </w:r>
            <w:proofErr w:type="spellEnd"/>
            <w:r w:rsidRPr="00E73D4B">
              <w:t xml:space="preserve"> for at </w:t>
            </w:r>
            <w:proofErr w:type="spellStart"/>
            <w:r w:rsidRPr="00E73D4B">
              <w:t>Enova</w:t>
            </w:r>
            <w:proofErr w:type="spellEnd"/>
            <w:r w:rsidRPr="00E73D4B">
              <w:t xml:space="preserve"> </w:t>
            </w:r>
            <w:proofErr w:type="spellStart"/>
            <w:r w:rsidRPr="00E73D4B">
              <w:t>aukar</w:t>
            </w:r>
            <w:proofErr w:type="spellEnd"/>
            <w:r w:rsidRPr="00E73D4B">
              <w:t xml:space="preserve"> støtta til </w:t>
            </w:r>
            <w:proofErr w:type="spellStart"/>
            <w:r w:rsidRPr="00E73D4B">
              <w:t>elvarebilar</w:t>
            </w:r>
            <w:proofErr w:type="spellEnd"/>
            <w:r w:rsidRPr="00E73D4B">
              <w:t xml:space="preserve"> </w:t>
            </w:r>
            <w:proofErr w:type="spellStart"/>
            <w:r w:rsidRPr="00E73D4B">
              <w:t>frå</w:t>
            </w:r>
            <w:proofErr w:type="spellEnd"/>
            <w:r w:rsidRPr="00E73D4B">
              <w:t xml:space="preserve"> 30 pst. til 40 pst. av </w:t>
            </w:r>
            <w:proofErr w:type="spellStart"/>
            <w:r w:rsidRPr="00E73D4B">
              <w:t>meirkostnaden</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009CAFD2" w14:textId="77777777" w:rsidR="00972395" w:rsidRPr="00E73D4B" w:rsidRDefault="00F120C7" w:rsidP="001C4219">
            <w:pPr>
              <w:jc w:val="right"/>
            </w:pPr>
            <w:r w:rsidRPr="00E73D4B">
              <w:t>Ja</w:t>
            </w:r>
          </w:p>
        </w:tc>
      </w:tr>
      <w:tr w:rsidR="00972395" w:rsidRPr="00E73D4B" w14:paraId="4DB3A9A6"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41ADB86E"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40891D94" w14:textId="77777777" w:rsidR="00972395" w:rsidRPr="00E73D4B" w:rsidRDefault="00F120C7" w:rsidP="001C4219">
            <w:pPr>
              <w:jc w:val="right"/>
            </w:pPr>
            <w:r w:rsidRPr="00E73D4B">
              <w:t>837</w:t>
            </w:r>
          </w:p>
        </w:tc>
        <w:tc>
          <w:tcPr>
            <w:tcW w:w="4961" w:type="dxa"/>
            <w:tcBorders>
              <w:top w:val="nil"/>
              <w:left w:val="nil"/>
              <w:bottom w:val="nil"/>
              <w:right w:val="nil"/>
            </w:tcBorders>
            <w:tcMar>
              <w:top w:w="128" w:type="dxa"/>
              <w:left w:w="43" w:type="dxa"/>
              <w:bottom w:w="43" w:type="dxa"/>
              <w:right w:w="43" w:type="dxa"/>
            </w:tcMar>
          </w:tcPr>
          <w:p w14:paraId="67408F2E" w14:textId="77777777" w:rsidR="00972395" w:rsidRPr="00E73D4B" w:rsidRDefault="00F120C7" w:rsidP="001C4219">
            <w:r w:rsidRPr="00E73D4B">
              <w:t xml:space="preserve">Utarbeide rapporteringssystem for bruk av </w:t>
            </w:r>
            <w:proofErr w:type="spellStart"/>
            <w:r w:rsidRPr="00E73D4B">
              <w:t>berekraftig</w:t>
            </w:r>
            <w:proofErr w:type="spellEnd"/>
            <w:r w:rsidRPr="00E73D4B">
              <w:t xml:space="preserve"> biodrivstoff </w:t>
            </w:r>
            <w:proofErr w:type="spellStart"/>
            <w:r w:rsidRPr="00E73D4B">
              <w:t>utanfor</w:t>
            </w:r>
            <w:proofErr w:type="spellEnd"/>
            <w:r w:rsidRPr="00E73D4B">
              <w:t xml:space="preserve"> omsetningskravet</w:t>
            </w:r>
          </w:p>
        </w:tc>
        <w:tc>
          <w:tcPr>
            <w:tcW w:w="1445" w:type="dxa"/>
            <w:tcBorders>
              <w:top w:val="nil"/>
              <w:left w:val="nil"/>
              <w:bottom w:val="nil"/>
              <w:right w:val="nil"/>
            </w:tcBorders>
            <w:tcMar>
              <w:top w:w="128" w:type="dxa"/>
              <w:left w:w="43" w:type="dxa"/>
              <w:bottom w:w="43" w:type="dxa"/>
              <w:right w:w="43" w:type="dxa"/>
            </w:tcMar>
            <w:vAlign w:val="bottom"/>
          </w:tcPr>
          <w:p w14:paraId="32C1BE70" w14:textId="77777777" w:rsidR="00972395" w:rsidRPr="00E73D4B" w:rsidRDefault="00F120C7" w:rsidP="001C4219">
            <w:pPr>
              <w:jc w:val="right"/>
            </w:pPr>
            <w:r w:rsidRPr="00E73D4B">
              <w:t>Nei</w:t>
            </w:r>
          </w:p>
        </w:tc>
      </w:tr>
      <w:tr w:rsidR="00972395" w:rsidRPr="00E73D4B" w14:paraId="4EE9D5CB" w14:textId="77777777" w:rsidTr="001C4219">
        <w:trPr>
          <w:trHeight w:val="880"/>
        </w:trPr>
        <w:tc>
          <w:tcPr>
            <w:tcW w:w="1418" w:type="dxa"/>
            <w:tcBorders>
              <w:top w:val="nil"/>
              <w:left w:val="nil"/>
              <w:bottom w:val="nil"/>
              <w:right w:val="nil"/>
            </w:tcBorders>
            <w:tcMar>
              <w:top w:w="128" w:type="dxa"/>
              <w:left w:w="43" w:type="dxa"/>
              <w:bottom w:w="43" w:type="dxa"/>
              <w:right w:w="43" w:type="dxa"/>
            </w:tcMar>
          </w:tcPr>
          <w:p w14:paraId="008032C7"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5128BE3B" w14:textId="77777777" w:rsidR="00972395" w:rsidRPr="00E73D4B" w:rsidRDefault="00F120C7" w:rsidP="001C4219">
            <w:pPr>
              <w:jc w:val="right"/>
            </w:pPr>
            <w:r w:rsidRPr="00E73D4B">
              <w:t>690</w:t>
            </w:r>
          </w:p>
        </w:tc>
        <w:tc>
          <w:tcPr>
            <w:tcW w:w="4961" w:type="dxa"/>
            <w:tcBorders>
              <w:top w:val="nil"/>
              <w:left w:val="nil"/>
              <w:bottom w:val="nil"/>
              <w:right w:val="nil"/>
            </w:tcBorders>
            <w:tcMar>
              <w:top w:w="128" w:type="dxa"/>
              <w:left w:w="43" w:type="dxa"/>
              <w:bottom w:w="43" w:type="dxa"/>
              <w:right w:w="43" w:type="dxa"/>
            </w:tcMar>
          </w:tcPr>
          <w:p w14:paraId="2316B148" w14:textId="77777777" w:rsidR="00972395" w:rsidRPr="00E73D4B" w:rsidRDefault="00F120C7" w:rsidP="001C4219">
            <w:r w:rsidRPr="00E73D4B">
              <w:t xml:space="preserve">Bidra til gjennomføring av tiltak initierte av lokale og regionale styresmakter som reduserer utslepp i </w:t>
            </w:r>
            <w:proofErr w:type="spellStart"/>
            <w:r w:rsidRPr="00E73D4B">
              <w:t>verdsarvfjordane</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389BDFEA" w14:textId="77777777" w:rsidR="00972395" w:rsidRPr="00E73D4B" w:rsidRDefault="00F120C7" w:rsidP="001C4219">
            <w:pPr>
              <w:jc w:val="right"/>
            </w:pPr>
            <w:r w:rsidRPr="00E73D4B">
              <w:t>Nei</w:t>
            </w:r>
          </w:p>
        </w:tc>
      </w:tr>
      <w:tr w:rsidR="00972395" w:rsidRPr="00E73D4B" w14:paraId="30DF7DCE" w14:textId="77777777" w:rsidTr="001C4219">
        <w:trPr>
          <w:trHeight w:val="880"/>
        </w:trPr>
        <w:tc>
          <w:tcPr>
            <w:tcW w:w="1418" w:type="dxa"/>
            <w:tcBorders>
              <w:top w:val="nil"/>
              <w:left w:val="nil"/>
              <w:bottom w:val="nil"/>
              <w:right w:val="nil"/>
            </w:tcBorders>
            <w:tcMar>
              <w:top w:w="128" w:type="dxa"/>
              <w:left w:w="43" w:type="dxa"/>
              <w:bottom w:w="43" w:type="dxa"/>
              <w:right w:w="43" w:type="dxa"/>
            </w:tcMar>
          </w:tcPr>
          <w:p w14:paraId="7BBBB904"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6BB5BA59" w14:textId="77777777" w:rsidR="00972395" w:rsidRPr="00E73D4B" w:rsidRDefault="00F120C7" w:rsidP="001C4219">
            <w:pPr>
              <w:jc w:val="right"/>
            </w:pPr>
            <w:r w:rsidRPr="00E73D4B">
              <w:t>691</w:t>
            </w:r>
          </w:p>
        </w:tc>
        <w:tc>
          <w:tcPr>
            <w:tcW w:w="4961" w:type="dxa"/>
            <w:tcBorders>
              <w:top w:val="nil"/>
              <w:left w:val="nil"/>
              <w:bottom w:val="nil"/>
              <w:right w:val="nil"/>
            </w:tcBorders>
            <w:tcMar>
              <w:top w:w="128" w:type="dxa"/>
              <w:left w:w="43" w:type="dxa"/>
              <w:bottom w:w="43" w:type="dxa"/>
              <w:right w:w="43" w:type="dxa"/>
            </w:tcMar>
          </w:tcPr>
          <w:p w14:paraId="35BAD7C0" w14:textId="77777777" w:rsidR="00972395" w:rsidRPr="00E73D4B" w:rsidRDefault="00F120C7" w:rsidP="001C4219">
            <w:r w:rsidRPr="00E73D4B">
              <w:t xml:space="preserve">Tiltak som </w:t>
            </w:r>
            <w:proofErr w:type="spellStart"/>
            <w:r w:rsidRPr="00E73D4B">
              <w:t>sikrar</w:t>
            </w:r>
            <w:proofErr w:type="spellEnd"/>
            <w:r w:rsidRPr="00E73D4B">
              <w:t xml:space="preserve"> </w:t>
            </w:r>
            <w:proofErr w:type="spellStart"/>
            <w:r w:rsidRPr="00E73D4B">
              <w:t>verdsarvfjordane</w:t>
            </w:r>
            <w:proofErr w:type="spellEnd"/>
            <w:r w:rsidRPr="00E73D4B">
              <w:t xml:space="preserve"> som </w:t>
            </w:r>
            <w:proofErr w:type="spellStart"/>
            <w:r w:rsidRPr="00E73D4B">
              <w:t>anløpshamn</w:t>
            </w:r>
            <w:proofErr w:type="spellEnd"/>
            <w:r w:rsidRPr="00E73D4B">
              <w:t xml:space="preserve"> for </w:t>
            </w:r>
            <w:proofErr w:type="spellStart"/>
            <w:r w:rsidRPr="00E73D4B">
              <w:t>cruisebåtar</w:t>
            </w:r>
            <w:proofErr w:type="spellEnd"/>
            <w:r w:rsidRPr="00E73D4B">
              <w:t xml:space="preserve"> også etter 2026 – etablering av </w:t>
            </w:r>
            <w:proofErr w:type="spellStart"/>
            <w:r w:rsidRPr="00E73D4B">
              <w:t>landstraum</w:t>
            </w:r>
            <w:proofErr w:type="spellEnd"/>
            <w:r w:rsidRPr="00E73D4B">
              <w:t xml:space="preserve"> i Flåm mv.</w:t>
            </w:r>
          </w:p>
        </w:tc>
        <w:tc>
          <w:tcPr>
            <w:tcW w:w="1445" w:type="dxa"/>
            <w:tcBorders>
              <w:top w:val="nil"/>
              <w:left w:val="nil"/>
              <w:bottom w:val="nil"/>
              <w:right w:val="nil"/>
            </w:tcBorders>
            <w:tcMar>
              <w:top w:w="128" w:type="dxa"/>
              <w:left w:w="43" w:type="dxa"/>
              <w:bottom w:w="43" w:type="dxa"/>
              <w:right w:w="43" w:type="dxa"/>
            </w:tcMar>
            <w:vAlign w:val="bottom"/>
          </w:tcPr>
          <w:p w14:paraId="5BF3BE7C" w14:textId="77777777" w:rsidR="00972395" w:rsidRPr="00E73D4B" w:rsidRDefault="00F120C7" w:rsidP="001C4219">
            <w:pPr>
              <w:jc w:val="right"/>
            </w:pPr>
            <w:r w:rsidRPr="00E73D4B">
              <w:t>Nei</w:t>
            </w:r>
          </w:p>
        </w:tc>
      </w:tr>
      <w:tr w:rsidR="00972395" w:rsidRPr="00E73D4B" w14:paraId="72E4F905"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08EA0AC0"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15AB2319" w14:textId="77777777" w:rsidR="00972395" w:rsidRPr="00E73D4B" w:rsidRDefault="00F120C7" w:rsidP="001C4219">
            <w:pPr>
              <w:jc w:val="right"/>
            </w:pPr>
            <w:r w:rsidRPr="00E73D4B">
              <w:t>751</w:t>
            </w:r>
          </w:p>
        </w:tc>
        <w:tc>
          <w:tcPr>
            <w:tcW w:w="4961" w:type="dxa"/>
            <w:tcBorders>
              <w:top w:val="nil"/>
              <w:left w:val="nil"/>
              <w:bottom w:val="nil"/>
              <w:right w:val="nil"/>
            </w:tcBorders>
            <w:tcMar>
              <w:top w:w="128" w:type="dxa"/>
              <w:left w:w="43" w:type="dxa"/>
              <w:bottom w:w="43" w:type="dxa"/>
              <w:right w:w="43" w:type="dxa"/>
            </w:tcMar>
          </w:tcPr>
          <w:p w14:paraId="616E2429" w14:textId="77777777" w:rsidR="00972395" w:rsidRPr="00E73D4B" w:rsidRDefault="00F120C7" w:rsidP="001C4219">
            <w:proofErr w:type="spellStart"/>
            <w:r w:rsidRPr="00E73D4B">
              <w:t>Verkemiddel</w:t>
            </w:r>
            <w:proofErr w:type="spellEnd"/>
            <w:r w:rsidRPr="00E73D4B">
              <w:t xml:space="preserve"> for </w:t>
            </w:r>
            <w:proofErr w:type="spellStart"/>
            <w:r w:rsidRPr="00E73D4B">
              <w:t>meir</w:t>
            </w:r>
            <w:proofErr w:type="spellEnd"/>
            <w:r w:rsidRPr="00E73D4B">
              <w:t xml:space="preserve"> effektiv og </w:t>
            </w:r>
            <w:proofErr w:type="spellStart"/>
            <w:r w:rsidRPr="00E73D4B">
              <w:t>einskapleg</w:t>
            </w:r>
            <w:proofErr w:type="spellEnd"/>
            <w:r w:rsidRPr="00E73D4B">
              <w:t xml:space="preserve"> skadefelling av rovvilt</w:t>
            </w:r>
          </w:p>
        </w:tc>
        <w:tc>
          <w:tcPr>
            <w:tcW w:w="1445" w:type="dxa"/>
            <w:tcBorders>
              <w:top w:val="nil"/>
              <w:left w:val="nil"/>
              <w:bottom w:val="nil"/>
              <w:right w:val="nil"/>
            </w:tcBorders>
            <w:tcMar>
              <w:top w:w="128" w:type="dxa"/>
              <w:left w:w="43" w:type="dxa"/>
              <w:bottom w:w="43" w:type="dxa"/>
              <w:right w:w="43" w:type="dxa"/>
            </w:tcMar>
            <w:vAlign w:val="bottom"/>
          </w:tcPr>
          <w:p w14:paraId="596E2DEE" w14:textId="77777777" w:rsidR="00972395" w:rsidRPr="00E73D4B" w:rsidRDefault="00F120C7" w:rsidP="001C4219">
            <w:pPr>
              <w:jc w:val="right"/>
            </w:pPr>
            <w:r w:rsidRPr="00E73D4B">
              <w:t>Nei</w:t>
            </w:r>
          </w:p>
        </w:tc>
      </w:tr>
      <w:tr w:rsidR="00972395" w:rsidRPr="00E73D4B" w14:paraId="68E42BAC"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553234CB"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022032E1" w14:textId="77777777" w:rsidR="00972395" w:rsidRPr="00E73D4B" w:rsidRDefault="00F120C7" w:rsidP="001C4219">
            <w:pPr>
              <w:jc w:val="right"/>
            </w:pPr>
            <w:r w:rsidRPr="00E73D4B">
              <w:t>752</w:t>
            </w:r>
          </w:p>
        </w:tc>
        <w:tc>
          <w:tcPr>
            <w:tcW w:w="4961" w:type="dxa"/>
            <w:tcBorders>
              <w:top w:val="nil"/>
              <w:left w:val="nil"/>
              <w:bottom w:val="nil"/>
              <w:right w:val="nil"/>
            </w:tcBorders>
            <w:tcMar>
              <w:top w:w="128" w:type="dxa"/>
              <w:left w:w="43" w:type="dxa"/>
              <w:bottom w:w="43" w:type="dxa"/>
              <w:right w:w="43" w:type="dxa"/>
            </w:tcMar>
          </w:tcPr>
          <w:p w14:paraId="284CA121" w14:textId="77777777" w:rsidR="00972395" w:rsidRPr="00E73D4B" w:rsidRDefault="00F120C7" w:rsidP="001C4219">
            <w:r w:rsidRPr="00E73D4B">
              <w:t>Kompetanseoverføringsprosjekt om skadefelling</w:t>
            </w:r>
          </w:p>
        </w:tc>
        <w:tc>
          <w:tcPr>
            <w:tcW w:w="1445" w:type="dxa"/>
            <w:tcBorders>
              <w:top w:val="nil"/>
              <w:left w:val="nil"/>
              <w:bottom w:val="nil"/>
              <w:right w:val="nil"/>
            </w:tcBorders>
            <w:tcMar>
              <w:top w:w="128" w:type="dxa"/>
              <w:left w:w="43" w:type="dxa"/>
              <w:bottom w:w="43" w:type="dxa"/>
              <w:right w:w="43" w:type="dxa"/>
            </w:tcMar>
            <w:vAlign w:val="bottom"/>
          </w:tcPr>
          <w:p w14:paraId="1ECE3C18" w14:textId="77777777" w:rsidR="00972395" w:rsidRPr="00E73D4B" w:rsidRDefault="00F120C7" w:rsidP="001C4219">
            <w:pPr>
              <w:jc w:val="right"/>
            </w:pPr>
            <w:r w:rsidRPr="00E73D4B">
              <w:t>Nei</w:t>
            </w:r>
          </w:p>
        </w:tc>
      </w:tr>
      <w:tr w:rsidR="00972395" w:rsidRPr="00E73D4B" w14:paraId="262306F8"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146C6637"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1D9A01B5" w14:textId="77777777" w:rsidR="00972395" w:rsidRPr="00E73D4B" w:rsidRDefault="00F120C7" w:rsidP="001C4219">
            <w:pPr>
              <w:jc w:val="right"/>
            </w:pPr>
            <w:r w:rsidRPr="00E73D4B">
              <w:t>753</w:t>
            </w:r>
          </w:p>
        </w:tc>
        <w:tc>
          <w:tcPr>
            <w:tcW w:w="4961" w:type="dxa"/>
            <w:tcBorders>
              <w:top w:val="nil"/>
              <w:left w:val="nil"/>
              <w:bottom w:val="nil"/>
              <w:right w:val="nil"/>
            </w:tcBorders>
            <w:tcMar>
              <w:top w:w="128" w:type="dxa"/>
              <w:left w:w="43" w:type="dxa"/>
              <w:bottom w:w="43" w:type="dxa"/>
              <w:right w:w="43" w:type="dxa"/>
            </w:tcMar>
          </w:tcPr>
          <w:p w14:paraId="3840394C" w14:textId="77777777" w:rsidR="00972395" w:rsidRPr="00E73D4B" w:rsidRDefault="00F120C7" w:rsidP="001C4219">
            <w:r w:rsidRPr="00E73D4B">
              <w:t xml:space="preserve">Forslag om </w:t>
            </w:r>
            <w:proofErr w:type="spellStart"/>
            <w:r w:rsidRPr="00E73D4B">
              <w:t>verkemiddel</w:t>
            </w:r>
            <w:proofErr w:type="spellEnd"/>
            <w:r w:rsidRPr="00E73D4B">
              <w:t xml:space="preserve"> for </w:t>
            </w:r>
            <w:proofErr w:type="spellStart"/>
            <w:r w:rsidRPr="00E73D4B">
              <w:t>meir</w:t>
            </w:r>
            <w:proofErr w:type="spellEnd"/>
            <w:r w:rsidRPr="00E73D4B">
              <w:t xml:space="preserve"> effektiv lisensfelling</w:t>
            </w:r>
          </w:p>
        </w:tc>
        <w:tc>
          <w:tcPr>
            <w:tcW w:w="1445" w:type="dxa"/>
            <w:tcBorders>
              <w:top w:val="nil"/>
              <w:left w:val="nil"/>
              <w:bottom w:val="nil"/>
              <w:right w:val="nil"/>
            </w:tcBorders>
            <w:tcMar>
              <w:top w:w="128" w:type="dxa"/>
              <w:left w:w="43" w:type="dxa"/>
              <w:bottom w:w="43" w:type="dxa"/>
              <w:right w:w="43" w:type="dxa"/>
            </w:tcMar>
            <w:vAlign w:val="bottom"/>
          </w:tcPr>
          <w:p w14:paraId="12E2E976" w14:textId="77777777" w:rsidR="00972395" w:rsidRPr="00E73D4B" w:rsidRDefault="00F120C7" w:rsidP="001C4219">
            <w:pPr>
              <w:jc w:val="right"/>
            </w:pPr>
            <w:r w:rsidRPr="00E73D4B">
              <w:t>Nei</w:t>
            </w:r>
          </w:p>
        </w:tc>
      </w:tr>
      <w:tr w:rsidR="00972395" w:rsidRPr="00E73D4B" w14:paraId="50FF12F1"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28CF2D4A"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2F093784" w14:textId="77777777" w:rsidR="00972395" w:rsidRPr="00E73D4B" w:rsidRDefault="00F120C7" w:rsidP="001C4219">
            <w:pPr>
              <w:jc w:val="right"/>
            </w:pPr>
            <w:r w:rsidRPr="00E73D4B">
              <w:t>831</w:t>
            </w:r>
          </w:p>
        </w:tc>
        <w:tc>
          <w:tcPr>
            <w:tcW w:w="4961" w:type="dxa"/>
            <w:tcBorders>
              <w:top w:val="nil"/>
              <w:left w:val="nil"/>
              <w:bottom w:val="nil"/>
              <w:right w:val="nil"/>
            </w:tcBorders>
            <w:tcMar>
              <w:top w:w="128" w:type="dxa"/>
              <w:left w:w="43" w:type="dxa"/>
              <w:bottom w:w="43" w:type="dxa"/>
              <w:right w:w="43" w:type="dxa"/>
            </w:tcMar>
          </w:tcPr>
          <w:p w14:paraId="0FA38F4F" w14:textId="77777777" w:rsidR="00972395" w:rsidRPr="00E73D4B" w:rsidRDefault="00F120C7" w:rsidP="001C4219">
            <w:r w:rsidRPr="00E73D4B">
              <w:t xml:space="preserve">Nasjonal plan for å </w:t>
            </w:r>
            <w:proofErr w:type="spellStart"/>
            <w:r w:rsidRPr="00E73D4B">
              <w:t>gjere</w:t>
            </w:r>
            <w:proofErr w:type="spellEnd"/>
            <w:r w:rsidRPr="00E73D4B">
              <w:t xml:space="preserve"> land- og </w:t>
            </w:r>
            <w:proofErr w:type="spellStart"/>
            <w:r w:rsidRPr="00E73D4B">
              <w:t>ladestraum</w:t>
            </w:r>
            <w:proofErr w:type="spellEnd"/>
            <w:r w:rsidRPr="00E73D4B">
              <w:t xml:space="preserve">, hydrogen, ammoniakk og andre </w:t>
            </w:r>
            <w:proofErr w:type="spellStart"/>
            <w:r w:rsidRPr="00E73D4B">
              <w:t>grøne</w:t>
            </w:r>
            <w:proofErr w:type="spellEnd"/>
            <w:r w:rsidRPr="00E73D4B">
              <w:t xml:space="preserve"> drivstoff </w:t>
            </w:r>
            <w:proofErr w:type="spellStart"/>
            <w:r w:rsidRPr="00E73D4B">
              <w:t>tilgjengelege</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10BD80B3" w14:textId="77777777" w:rsidR="00972395" w:rsidRPr="00E73D4B" w:rsidRDefault="00F120C7" w:rsidP="001C4219">
            <w:pPr>
              <w:jc w:val="right"/>
            </w:pPr>
            <w:r w:rsidRPr="00E73D4B">
              <w:t>Nei</w:t>
            </w:r>
          </w:p>
        </w:tc>
      </w:tr>
      <w:tr w:rsidR="00972395" w:rsidRPr="00E73D4B" w14:paraId="413918E6"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64867F11"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16C58F03" w14:textId="77777777" w:rsidR="00972395" w:rsidRPr="00E73D4B" w:rsidRDefault="00F120C7" w:rsidP="001C4219">
            <w:pPr>
              <w:jc w:val="right"/>
            </w:pPr>
            <w:r w:rsidRPr="00E73D4B">
              <w:t>973</w:t>
            </w:r>
          </w:p>
        </w:tc>
        <w:tc>
          <w:tcPr>
            <w:tcW w:w="4961" w:type="dxa"/>
            <w:tcBorders>
              <w:top w:val="nil"/>
              <w:left w:val="nil"/>
              <w:bottom w:val="nil"/>
              <w:right w:val="nil"/>
            </w:tcBorders>
            <w:tcMar>
              <w:top w:w="128" w:type="dxa"/>
              <w:left w:w="43" w:type="dxa"/>
              <w:bottom w:w="43" w:type="dxa"/>
              <w:right w:w="43" w:type="dxa"/>
            </w:tcMar>
          </w:tcPr>
          <w:p w14:paraId="340C25C8" w14:textId="77777777" w:rsidR="00972395" w:rsidRPr="00E73D4B" w:rsidRDefault="00F120C7" w:rsidP="001C4219">
            <w:r w:rsidRPr="00E73D4B">
              <w:t>Forslag om revidering av motorferdsellova</w:t>
            </w:r>
          </w:p>
        </w:tc>
        <w:tc>
          <w:tcPr>
            <w:tcW w:w="1445" w:type="dxa"/>
            <w:tcBorders>
              <w:top w:val="nil"/>
              <w:left w:val="nil"/>
              <w:bottom w:val="nil"/>
              <w:right w:val="nil"/>
            </w:tcBorders>
            <w:tcMar>
              <w:top w:w="128" w:type="dxa"/>
              <w:left w:w="43" w:type="dxa"/>
              <w:bottom w:w="43" w:type="dxa"/>
              <w:right w:w="43" w:type="dxa"/>
            </w:tcMar>
            <w:vAlign w:val="bottom"/>
          </w:tcPr>
          <w:p w14:paraId="51122C44" w14:textId="77777777" w:rsidR="00972395" w:rsidRPr="00E73D4B" w:rsidRDefault="00F120C7" w:rsidP="001C4219">
            <w:pPr>
              <w:jc w:val="right"/>
            </w:pPr>
            <w:r w:rsidRPr="00E73D4B">
              <w:t>Nei</w:t>
            </w:r>
          </w:p>
        </w:tc>
      </w:tr>
      <w:tr w:rsidR="00972395" w:rsidRPr="00E73D4B" w14:paraId="274D1FC5"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467D147C"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4787A639" w14:textId="77777777" w:rsidR="00972395" w:rsidRPr="00E73D4B" w:rsidRDefault="00F120C7" w:rsidP="001C4219">
            <w:pPr>
              <w:jc w:val="right"/>
            </w:pPr>
            <w:r w:rsidRPr="00E73D4B">
              <w:t>976</w:t>
            </w:r>
          </w:p>
        </w:tc>
        <w:tc>
          <w:tcPr>
            <w:tcW w:w="4961" w:type="dxa"/>
            <w:tcBorders>
              <w:top w:val="nil"/>
              <w:left w:val="nil"/>
              <w:bottom w:val="nil"/>
              <w:right w:val="nil"/>
            </w:tcBorders>
            <w:tcMar>
              <w:top w:w="128" w:type="dxa"/>
              <w:left w:w="43" w:type="dxa"/>
              <w:bottom w:w="43" w:type="dxa"/>
              <w:right w:w="43" w:type="dxa"/>
            </w:tcMar>
          </w:tcPr>
          <w:p w14:paraId="3A00B5FE" w14:textId="77777777" w:rsidR="00972395" w:rsidRPr="00E73D4B" w:rsidRDefault="00F120C7" w:rsidP="001C4219">
            <w:r w:rsidRPr="00E73D4B">
              <w:t xml:space="preserve">Oppfølging av globalt rammeverk for </w:t>
            </w:r>
            <w:proofErr w:type="spellStart"/>
            <w:r w:rsidRPr="00E73D4B">
              <w:t>naturmangfald</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4852B095" w14:textId="77777777" w:rsidR="00972395" w:rsidRPr="00E73D4B" w:rsidRDefault="00F120C7" w:rsidP="001C4219">
            <w:pPr>
              <w:jc w:val="right"/>
            </w:pPr>
            <w:r w:rsidRPr="00E73D4B">
              <w:t>Nei</w:t>
            </w:r>
          </w:p>
        </w:tc>
      </w:tr>
      <w:tr w:rsidR="00972395" w:rsidRPr="00E73D4B" w14:paraId="01E9196F"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54C881A9"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2B2319F8" w14:textId="77777777" w:rsidR="00972395" w:rsidRPr="00E73D4B" w:rsidRDefault="00F120C7" w:rsidP="001C4219">
            <w:pPr>
              <w:jc w:val="right"/>
            </w:pPr>
            <w:r w:rsidRPr="00E73D4B">
              <w:t>977</w:t>
            </w:r>
          </w:p>
        </w:tc>
        <w:tc>
          <w:tcPr>
            <w:tcW w:w="4961" w:type="dxa"/>
            <w:tcBorders>
              <w:top w:val="nil"/>
              <w:left w:val="nil"/>
              <w:bottom w:val="nil"/>
              <w:right w:val="nil"/>
            </w:tcBorders>
            <w:tcMar>
              <w:top w:w="128" w:type="dxa"/>
              <w:left w:w="43" w:type="dxa"/>
              <w:bottom w:w="43" w:type="dxa"/>
              <w:right w:w="43" w:type="dxa"/>
            </w:tcMar>
          </w:tcPr>
          <w:p w14:paraId="7CA8164F" w14:textId="77777777" w:rsidR="00972395" w:rsidRPr="00E73D4B" w:rsidRDefault="00F120C7" w:rsidP="001C4219">
            <w:r w:rsidRPr="00E73D4B">
              <w:t xml:space="preserve">Ny vurdering av </w:t>
            </w:r>
            <w:proofErr w:type="spellStart"/>
            <w:r w:rsidRPr="00E73D4B">
              <w:t>innstrammingane</w:t>
            </w:r>
            <w:proofErr w:type="spellEnd"/>
            <w:r w:rsidRPr="00E73D4B">
              <w:t xml:space="preserve"> av sjølaksefisket</w:t>
            </w:r>
          </w:p>
        </w:tc>
        <w:tc>
          <w:tcPr>
            <w:tcW w:w="1445" w:type="dxa"/>
            <w:tcBorders>
              <w:top w:val="nil"/>
              <w:left w:val="nil"/>
              <w:bottom w:val="nil"/>
              <w:right w:val="nil"/>
            </w:tcBorders>
            <w:tcMar>
              <w:top w:w="128" w:type="dxa"/>
              <w:left w:w="43" w:type="dxa"/>
              <w:bottom w:w="43" w:type="dxa"/>
              <w:right w:w="43" w:type="dxa"/>
            </w:tcMar>
            <w:vAlign w:val="bottom"/>
          </w:tcPr>
          <w:p w14:paraId="576CBF05" w14:textId="77777777" w:rsidR="00972395" w:rsidRPr="00E73D4B" w:rsidRDefault="00F120C7" w:rsidP="001C4219">
            <w:pPr>
              <w:jc w:val="right"/>
            </w:pPr>
            <w:r w:rsidRPr="00E73D4B">
              <w:t>Ja</w:t>
            </w:r>
          </w:p>
        </w:tc>
      </w:tr>
      <w:tr w:rsidR="00972395" w:rsidRPr="00E73D4B" w14:paraId="759E9531"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6681590A"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0B41CACD" w14:textId="77777777" w:rsidR="00972395" w:rsidRPr="00E73D4B" w:rsidRDefault="00F120C7" w:rsidP="001C4219">
            <w:pPr>
              <w:jc w:val="right"/>
            </w:pPr>
            <w:r w:rsidRPr="00E73D4B">
              <w:t>979</w:t>
            </w:r>
          </w:p>
        </w:tc>
        <w:tc>
          <w:tcPr>
            <w:tcW w:w="4961" w:type="dxa"/>
            <w:tcBorders>
              <w:top w:val="nil"/>
              <w:left w:val="nil"/>
              <w:bottom w:val="nil"/>
              <w:right w:val="nil"/>
            </w:tcBorders>
            <w:tcMar>
              <w:top w:w="128" w:type="dxa"/>
              <w:left w:w="43" w:type="dxa"/>
              <w:bottom w:w="43" w:type="dxa"/>
              <w:right w:w="43" w:type="dxa"/>
            </w:tcMar>
          </w:tcPr>
          <w:p w14:paraId="760DCFBE" w14:textId="77777777" w:rsidR="00972395" w:rsidRPr="00E73D4B" w:rsidRDefault="00F120C7" w:rsidP="001C4219">
            <w:r w:rsidRPr="00E73D4B">
              <w:t xml:space="preserve">Evaluere status for små og sårbare </w:t>
            </w:r>
            <w:proofErr w:type="spellStart"/>
            <w:r w:rsidRPr="00E73D4B">
              <w:t>bestandar</w:t>
            </w:r>
            <w:proofErr w:type="spellEnd"/>
            <w:r w:rsidRPr="00E73D4B">
              <w:t xml:space="preserve"> av villaks</w:t>
            </w:r>
          </w:p>
        </w:tc>
        <w:tc>
          <w:tcPr>
            <w:tcW w:w="1445" w:type="dxa"/>
            <w:tcBorders>
              <w:top w:val="nil"/>
              <w:left w:val="nil"/>
              <w:bottom w:val="nil"/>
              <w:right w:val="nil"/>
            </w:tcBorders>
            <w:tcMar>
              <w:top w:w="128" w:type="dxa"/>
              <w:left w:w="43" w:type="dxa"/>
              <w:bottom w:w="43" w:type="dxa"/>
              <w:right w:w="43" w:type="dxa"/>
            </w:tcMar>
            <w:vAlign w:val="bottom"/>
          </w:tcPr>
          <w:p w14:paraId="0AE7B1D9" w14:textId="77777777" w:rsidR="00972395" w:rsidRPr="00E73D4B" w:rsidRDefault="00F120C7" w:rsidP="001C4219">
            <w:pPr>
              <w:jc w:val="right"/>
            </w:pPr>
            <w:r w:rsidRPr="00E73D4B">
              <w:t>Ja</w:t>
            </w:r>
          </w:p>
        </w:tc>
      </w:tr>
      <w:tr w:rsidR="00972395" w:rsidRPr="00E73D4B" w14:paraId="50FD6BB6"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5FCE5DF4"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0AF73BE0" w14:textId="77777777" w:rsidR="00972395" w:rsidRPr="00E73D4B" w:rsidRDefault="00F120C7" w:rsidP="001C4219">
            <w:pPr>
              <w:jc w:val="right"/>
            </w:pPr>
            <w:r w:rsidRPr="00E73D4B">
              <w:t>1001</w:t>
            </w:r>
          </w:p>
        </w:tc>
        <w:tc>
          <w:tcPr>
            <w:tcW w:w="4961" w:type="dxa"/>
            <w:tcBorders>
              <w:top w:val="nil"/>
              <w:left w:val="nil"/>
              <w:bottom w:val="nil"/>
              <w:right w:val="nil"/>
            </w:tcBorders>
            <w:tcMar>
              <w:top w:w="128" w:type="dxa"/>
              <w:left w:w="43" w:type="dxa"/>
              <w:bottom w:w="43" w:type="dxa"/>
              <w:right w:w="43" w:type="dxa"/>
            </w:tcMar>
          </w:tcPr>
          <w:p w14:paraId="49C0B8DF" w14:textId="77777777" w:rsidR="00972395" w:rsidRPr="00E73D4B" w:rsidRDefault="00F120C7" w:rsidP="001C4219">
            <w:r w:rsidRPr="00E73D4B">
              <w:t xml:space="preserve">Greie ut </w:t>
            </w:r>
            <w:proofErr w:type="spellStart"/>
            <w:r w:rsidRPr="00E73D4B">
              <w:t>insentivordning</w:t>
            </w:r>
            <w:proofErr w:type="spellEnd"/>
            <w:r w:rsidRPr="00E73D4B">
              <w:t xml:space="preserve"> for at frivillige, inkl. lag og </w:t>
            </w:r>
            <w:proofErr w:type="spellStart"/>
            <w:r w:rsidRPr="00E73D4B">
              <w:t>organisasjonar</w:t>
            </w:r>
            <w:proofErr w:type="spellEnd"/>
            <w:r w:rsidRPr="00E73D4B">
              <w:t>, vil bidra til rydding av plast</w:t>
            </w:r>
          </w:p>
        </w:tc>
        <w:tc>
          <w:tcPr>
            <w:tcW w:w="1445" w:type="dxa"/>
            <w:tcBorders>
              <w:top w:val="nil"/>
              <w:left w:val="nil"/>
              <w:bottom w:val="nil"/>
              <w:right w:val="nil"/>
            </w:tcBorders>
            <w:tcMar>
              <w:top w:w="128" w:type="dxa"/>
              <w:left w:w="43" w:type="dxa"/>
              <w:bottom w:w="43" w:type="dxa"/>
              <w:right w:w="43" w:type="dxa"/>
            </w:tcMar>
            <w:vAlign w:val="bottom"/>
          </w:tcPr>
          <w:p w14:paraId="01811B35" w14:textId="77777777" w:rsidR="00972395" w:rsidRPr="00E73D4B" w:rsidRDefault="00F120C7" w:rsidP="001C4219">
            <w:pPr>
              <w:jc w:val="right"/>
            </w:pPr>
            <w:r w:rsidRPr="00E73D4B">
              <w:t>Nei</w:t>
            </w:r>
          </w:p>
        </w:tc>
      </w:tr>
      <w:tr w:rsidR="00972395" w:rsidRPr="00E73D4B" w14:paraId="52FB24E6"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251A0C72"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735C42DC" w14:textId="77777777" w:rsidR="00972395" w:rsidRPr="00E73D4B" w:rsidRDefault="00F120C7" w:rsidP="001C4219">
            <w:pPr>
              <w:jc w:val="right"/>
            </w:pPr>
            <w:r w:rsidRPr="00E73D4B">
              <w:t>1004</w:t>
            </w:r>
          </w:p>
        </w:tc>
        <w:tc>
          <w:tcPr>
            <w:tcW w:w="4961" w:type="dxa"/>
            <w:tcBorders>
              <w:top w:val="nil"/>
              <w:left w:val="nil"/>
              <w:bottom w:val="nil"/>
              <w:right w:val="nil"/>
            </w:tcBorders>
            <w:tcMar>
              <w:top w:w="128" w:type="dxa"/>
              <w:left w:w="43" w:type="dxa"/>
              <w:bottom w:w="43" w:type="dxa"/>
              <w:right w:w="43" w:type="dxa"/>
            </w:tcMar>
          </w:tcPr>
          <w:p w14:paraId="357DDCC5" w14:textId="77777777" w:rsidR="00972395" w:rsidRPr="00E73D4B" w:rsidRDefault="00F120C7" w:rsidP="001C4219">
            <w:proofErr w:type="spellStart"/>
            <w:r w:rsidRPr="00E73D4B">
              <w:t>Tilskotsordning</w:t>
            </w:r>
            <w:proofErr w:type="spellEnd"/>
            <w:r w:rsidRPr="00E73D4B">
              <w:t xml:space="preserve"> som </w:t>
            </w:r>
            <w:proofErr w:type="spellStart"/>
            <w:r w:rsidRPr="00E73D4B">
              <w:t>dekkjer</w:t>
            </w:r>
            <w:proofErr w:type="spellEnd"/>
            <w:r w:rsidRPr="00E73D4B">
              <w:t xml:space="preserve"> kostnadene med leveranse av avfall etter frivillige </w:t>
            </w:r>
            <w:proofErr w:type="spellStart"/>
            <w:r w:rsidRPr="00E73D4B">
              <w:t>ryddeaksjonar</w:t>
            </w:r>
            <w:proofErr w:type="spellEnd"/>
            <w:r w:rsidRPr="00E73D4B">
              <w:t xml:space="preserve"> </w:t>
            </w:r>
          </w:p>
        </w:tc>
        <w:tc>
          <w:tcPr>
            <w:tcW w:w="1445" w:type="dxa"/>
            <w:tcBorders>
              <w:top w:val="nil"/>
              <w:left w:val="nil"/>
              <w:bottom w:val="nil"/>
              <w:right w:val="nil"/>
            </w:tcBorders>
            <w:tcMar>
              <w:top w:w="128" w:type="dxa"/>
              <w:left w:w="43" w:type="dxa"/>
              <w:bottom w:w="43" w:type="dxa"/>
              <w:right w:w="43" w:type="dxa"/>
            </w:tcMar>
            <w:vAlign w:val="bottom"/>
          </w:tcPr>
          <w:p w14:paraId="388B4C4E" w14:textId="77777777" w:rsidR="00972395" w:rsidRPr="00E73D4B" w:rsidRDefault="00F120C7" w:rsidP="001C4219">
            <w:pPr>
              <w:jc w:val="right"/>
            </w:pPr>
            <w:r w:rsidRPr="00E73D4B">
              <w:t>Nei</w:t>
            </w:r>
          </w:p>
        </w:tc>
      </w:tr>
      <w:tr w:rsidR="00972395" w:rsidRPr="00E73D4B" w14:paraId="30B5C721"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07C38039"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721AB710" w14:textId="77777777" w:rsidR="00972395" w:rsidRPr="00E73D4B" w:rsidRDefault="00F120C7" w:rsidP="001C4219">
            <w:pPr>
              <w:jc w:val="right"/>
            </w:pPr>
            <w:r w:rsidRPr="00E73D4B">
              <w:t>1009</w:t>
            </w:r>
          </w:p>
        </w:tc>
        <w:tc>
          <w:tcPr>
            <w:tcW w:w="4961" w:type="dxa"/>
            <w:tcBorders>
              <w:top w:val="nil"/>
              <w:left w:val="nil"/>
              <w:bottom w:val="nil"/>
              <w:right w:val="nil"/>
            </w:tcBorders>
            <w:tcMar>
              <w:top w:w="128" w:type="dxa"/>
              <w:left w:w="43" w:type="dxa"/>
              <w:bottom w:w="43" w:type="dxa"/>
              <w:right w:w="43" w:type="dxa"/>
            </w:tcMar>
          </w:tcPr>
          <w:p w14:paraId="05EDCF09" w14:textId="77777777" w:rsidR="00972395" w:rsidRPr="00E73D4B" w:rsidRDefault="00F120C7" w:rsidP="001C4219">
            <w:r w:rsidRPr="00E73D4B">
              <w:t>Harmonisere rammevilkåra for biogassproduksjon i Norden</w:t>
            </w:r>
          </w:p>
        </w:tc>
        <w:tc>
          <w:tcPr>
            <w:tcW w:w="1445" w:type="dxa"/>
            <w:tcBorders>
              <w:top w:val="nil"/>
              <w:left w:val="nil"/>
              <w:bottom w:val="nil"/>
              <w:right w:val="nil"/>
            </w:tcBorders>
            <w:tcMar>
              <w:top w:w="128" w:type="dxa"/>
              <w:left w:w="43" w:type="dxa"/>
              <w:bottom w:w="43" w:type="dxa"/>
              <w:right w:w="43" w:type="dxa"/>
            </w:tcMar>
            <w:vAlign w:val="bottom"/>
          </w:tcPr>
          <w:p w14:paraId="0F2C473E" w14:textId="77777777" w:rsidR="00972395" w:rsidRPr="00E73D4B" w:rsidRDefault="00F120C7" w:rsidP="001C4219">
            <w:pPr>
              <w:jc w:val="right"/>
            </w:pPr>
            <w:r w:rsidRPr="00E73D4B">
              <w:t>Nei</w:t>
            </w:r>
          </w:p>
        </w:tc>
      </w:tr>
      <w:tr w:rsidR="00972395" w:rsidRPr="00E73D4B" w14:paraId="01496138"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48A4F9E8" w14:textId="77777777" w:rsidR="00972395" w:rsidRPr="00E73D4B" w:rsidRDefault="00F120C7" w:rsidP="001C4219">
            <w:r w:rsidRPr="00E73D4B">
              <w:t>2019–2020</w:t>
            </w:r>
          </w:p>
        </w:tc>
        <w:tc>
          <w:tcPr>
            <w:tcW w:w="1276" w:type="dxa"/>
            <w:tcBorders>
              <w:top w:val="nil"/>
              <w:left w:val="nil"/>
              <w:bottom w:val="nil"/>
              <w:right w:val="nil"/>
            </w:tcBorders>
            <w:tcMar>
              <w:top w:w="128" w:type="dxa"/>
              <w:left w:w="43" w:type="dxa"/>
              <w:bottom w:w="43" w:type="dxa"/>
              <w:right w:w="43" w:type="dxa"/>
            </w:tcMar>
          </w:tcPr>
          <w:p w14:paraId="7C14069B" w14:textId="77777777" w:rsidR="00972395" w:rsidRPr="00E73D4B" w:rsidRDefault="00F120C7" w:rsidP="001C4219">
            <w:pPr>
              <w:jc w:val="right"/>
            </w:pPr>
            <w:r w:rsidRPr="00E73D4B">
              <w:t>708</w:t>
            </w:r>
          </w:p>
        </w:tc>
        <w:tc>
          <w:tcPr>
            <w:tcW w:w="4961" w:type="dxa"/>
            <w:tcBorders>
              <w:top w:val="nil"/>
              <w:left w:val="nil"/>
              <w:bottom w:val="nil"/>
              <w:right w:val="nil"/>
            </w:tcBorders>
            <w:tcMar>
              <w:top w:w="128" w:type="dxa"/>
              <w:left w:w="43" w:type="dxa"/>
              <w:bottom w:w="43" w:type="dxa"/>
              <w:right w:w="43" w:type="dxa"/>
            </w:tcMar>
          </w:tcPr>
          <w:p w14:paraId="274E5388" w14:textId="77777777" w:rsidR="00972395" w:rsidRPr="00E73D4B" w:rsidRDefault="00F120C7" w:rsidP="001C4219">
            <w:r w:rsidRPr="00E73D4B">
              <w:t>Nye mål i kulturmiljøpolitikken</w:t>
            </w:r>
          </w:p>
        </w:tc>
        <w:tc>
          <w:tcPr>
            <w:tcW w:w="1445" w:type="dxa"/>
            <w:tcBorders>
              <w:top w:val="nil"/>
              <w:left w:val="nil"/>
              <w:bottom w:val="nil"/>
              <w:right w:val="nil"/>
            </w:tcBorders>
            <w:tcMar>
              <w:top w:w="128" w:type="dxa"/>
              <w:left w:w="43" w:type="dxa"/>
              <w:bottom w:w="43" w:type="dxa"/>
              <w:right w:w="43" w:type="dxa"/>
            </w:tcMar>
            <w:vAlign w:val="bottom"/>
          </w:tcPr>
          <w:p w14:paraId="02E75F8D" w14:textId="77777777" w:rsidR="00972395" w:rsidRPr="00E73D4B" w:rsidRDefault="00F120C7" w:rsidP="001C4219">
            <w:pPr>
              <w:jc w:val="right"/>
            </w:pPr>
            <w:r w:rsidRPr="00E73D4B">
              <w:t>Nei</w:t>
            </w:r>
          </w:p>
        </w:tc>
      </w:tr>
      <w:tr w:rsidR="00972395" w:rsidRPr="00E73D4B" w14:paraId="739BB718"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77234F46" w14:textId="77777777" w:rsidR="00972395" w:rsidRPr="00E73D4B" w:rsidRDefault="00F120C7" w:rsidP="001C4219">
            <w:r w:rsidRPr="00E73D4B">
              <w:t>2018–2019</w:t>
            </w:r>
          </w:p>
        </w:tc>
        <w:tc>
          <w:tcPr>
            <w:tcW w:w="1276" w:type="dxa"/>
            <w:tcBorders>
              <w:top w:val="nil"/>
              <w:left w:val="nil"/>
              <w:bottom w:val="nil"/>
              <w:right w:val="nil"/>
            </w:tcBorders>
            <w:tcMar>
              <w:top w:w="128" w:type="dxa"/>
              <w:left w:w="43" w:type="dxa"/>
              <w:bottom w:w="43" w:type="dxa"/>
              <w:right w:w="43" w:type="dxa"/>
            </w:tcMar>
          </w:tcPr>
          <w:p w14:paraId="20A52E88" w14:textId="77777777" w:rsidR="00972395" w:rsidRPr="00E73D4B" w:rsidRDefault="00F120C7" w:rsidP="001C4219">
            <w:pPr>
              <w:jc w:val="right"/>
            </w:pPr>
            <w:r w:rsidRPr="00E73D4B">
              <w:t>383</w:t>
            </w:r>
          </w:p>
        </w:tc>
        <w:tc>
          <w:tcPr>
            <w:tcW w:w="4961" w:type="dxa"/>
            <w:tcBorders>
              <w:top w:val="nil"/>
              <w:left w:val="nil"/>
              <w:bottom w:val="nil"/>
              <w:right w:val="nil"/>
            </w:tcBorders>
            <w:tcMar>
              <w:top w:w="128" w:type="dxa"/>
              <w:left w:w="43" w:type="dxa"/>
              <w:bottom w:w="43" w:type="dxa"/>
              <w:right w:w="43" w:type="dxa"/>
            </w:tcMar>
          </w:tcPr>
          <w:p w14:paraId="7BF6D2AC" w14:textId="77777777" w:rsidR="00972395" w:rsidRPr="00E73D4B" w:rsidRDefault="00F120C7" w:rsidP="001C4219">
            <w:proofErr w:type="spellStart"/>
            <w:r w:rsidRPr="00E73D4B">
              <w:t>Erstatningsreglane</w:t>
            </w:r>
            <w:proofErr w:type="spellEnd"/>
            <w:r w:rsidRPr="00E73D4B">
              <w:t xml:space="preserve"> ved tap av beitedyr til rovvilt og kompensasjonsordninga (FKT)</w:t>
            </w:r>
          </w:p>
        </w:tc>
        <w:tc>
          <w:tcPr>
            <w:tcW w:w="1445" w:type="dxa"/>
            <w:tcBorders>
              <w:top w:val="nil"/>
              <w:left w:val="nil"/>
              <w:bottom w:val="nil"/>
              <w:right w:val="nil"/>
            </w:tcBorders>
            <w:tcMar>
              <w:top w:w="128" w:type="dxa"/>
              <w:left w:w="43" w:type="dxa"/>
              <w:bottom w:w="43" w:type="dxa"/>
              <w:right w:w="43" w:type="dxa"/>
            </w:tcMar>
            <w:vAlign w:val="bottom"/>
          </w:tcPr>
          <w:p w14:paraId="46FD0453" w14:textId="77777777" w:rsidR="00972395" w:rsidRPr="00E73D4B" w:rsidRDefault="00F120C7" w:rsidP="001C4219">
            <w:pPr>
              <w:jc w:val="right"/>
            </w:pPr>
            <w:r w:rsidRPr="00E73D4B">
              <w:t>Nei</w:t>
            </w:r>
          </w:p>
        </w:tc>
      </w:tr>
      <w:tr w:rsidR="00972395" w:rsidRPr="00E73D4B" w14:paraId="668DF62A"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37CC16D8"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2B953184" w14:textId="77777777" w:rsidR="00972395" w:rsidRPr="00E73D4B" w:rsidRDefault="00F120C7" w:rsidP="001C4219">
            <w:pPr>
              <w:jc w:val="right"/>
            </w:pPr>
            <w:r w:rsidRPr="00E73D4B">
              <w:t>481</w:t>
            </w:r>
          </w:p>
        </w:tc>
        <w:tc>
          <w:tcPr>
            <w:tcW w:w="4961" w:type="dxa"/>
            <w:tcBorders>
              <w:top w:val="nil"/>
              <w:left w:val="nil"/>
              <w:bottom w:val="nil"/>
              <w:right w:val="nil"/>
            </w:tcBorders>
            <w:tcMar>
              <w:top w:w="128" w:type="dxa"/>
              <w:left w:w="43" w:type="dxa"/>
              <w:bottom w:w="43" w:type="dxa"/>
              <w:right w:w="43" w:type="dxa"/>
            </w:tcMar>
          </w:tcPr>
          <w:p w14:paraId="15994EA7" w14:textId="77777777" w:rsidR="00972395" w:rsidRPr="00E73D4B" w:rsidRDefault="00F120C7" w:rsidP="001C4219">
            <w:r w:rsidRPr="00E73D4B">
              <w:t xml:space="preserve">Gjenbruk gjennom </w:t>
            </w:r>
            <w:proofErr w:type="spellStart"/>
            <w:r w:rsidRPr="00E73D4B">
              <w:t>kommunane</w:t>
            </w:r>
            <w:proofErr w:type="spellEnd"/>
            <w:r w:rsidRPr="00E73D4B">
              <w:t xml:space="preserve"> sine </w:t>
            </w:r>
            <w:proofErr w:type="spellStart"/>
            <w:r w:rsidRPr="00E73D4B">
              <w:t>gjenbruksstasjonar</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356B0AE6" w14:textId="77777777" w:rsidR="00972395" w:rsidRPr="00E73D4B" w:rsidRDefault="00F120C7" w:rsidP="001C4219">
            <w:pPr>
              <w:jc w:val="right"/>
            </w:pPr>
            <w:r w:rsidRPr="00E73D4B">
              <w:t>Nei</w:t>
            </w:r>
          </w:p>
        </w:tc>
      </w:tr>
      <w:tr w:rsidR="00972395" w:rsidRPr="00E73D4B" w14:paraId="747EF4D3"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6F299693"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29828621" w14:textId="77777777" w:rsidR="00972395" w:rsidRPr="00E73D4B" w:rsidRDefault="00F120C7" w:rsidP="001C4219">
            <w:pPr>
              <w:jc w:val="right"/>
            </w:pPr>
            <w:r w:rsidRPr="00E73D4B">
              <w:t>482</w:t>
            </w:r>
          </w:p>
        </w:tc>
        <w:tc>
          <w:tcPr>
            <w:tcW w:w="4961" w:type="dxa"/>
            <w:tcBorders>
              <w:top w:val="nil"/>
              <w:left w:val="nil"/>
              <w:bottom w:val="nil"/>
              <w:right w:val="nil"/>
            </w:tcBorders>
            <w:tcMar>
              <w:top w:w="128" w:type="dxa"/>
              <w:left w:w="43" w:type="dxa"/>
              <w:bottom w:w="43" w:type="dxa"/>
              <w:right w:w="43" w:type="dxa"/>
            </w:tcMar>
          </w:tcPr>
          <w:p w14:paraId="0F607C3A" w14:textId="77777777" w:rsidR="00972395" w:rsidRPr="00E73D4B" w:rsidRDefault="00F120C7" w:rsidP="001C4219">
            <w:proofErr w:type="spellStart"/>
            <w:r w:rsidRPr="00E73D4B">
              <w:t>Utleige</w:t>
            </w:r>
            <w:proofErr w:type="spellEnd"/>
            <w:r w:rsidRPr="00E73D4B">
              <w:t xml:space="preserve"> av </w:t>
            </w:r>
            <w:proofErr w:type="spellStart"/>
            <w:r w:rsidRPr="00E73D4B">
              <w:t>avfallskonteinarar</w:t>
            </w:r>
            <w:proofErr w:type="spellEnd"/>
            <w:r w:rsidRPr="00E73D4B">
              <w:t xml:space="preserve"> </w:t>
            </w:r>
            <w:proofErr w:type="spellStart"/>
            <w:r w:rsidRPr="00E73D4B">
              <w:t>frå</w:t>
            </w:r>
            <w:proofErr w:type="spellEnd"/>
            <w:r w:rsidRPr="00E73D4B">
              <w:t xml:space="preserve"> </w:t>
            </w:r>
            <w:proofErr w:type="spellStart"/>
            <w:r w:rsidRPr="00E73D4B">
              <w:t>godkjende</w:t>
            </w:r>
            <w:proofErr w:type="spellEnd"/>
            <w:r w:rsidRPr="00E73D4B">
              <w:t xml:space="preserve"> avfallsselskap</w:t>
            </w:r>
          </w:p>
        </w:tc>
        <w:tc>
          <w:tcPr>
            <w:tcW w:w="1445" w:type="dxa"/>
            <w:tcBorders>
              <w:top w:val="nil"/>
              <w:left w:val="nil"/>
              <w:bottom w:val="nil"/>
              <w:right w:val="nil"/>
            </w:tcBorders>
            <w:tcMar>
              <w:top w:w="128" w:type="dxa"/>
              <w:left w:w="43" w:type="dxa"/>
              <w:bottom w:w="43" w:type="dxa"/>
              <w:right w:w="43" w:type="dxa"/>
            </w:tcMar>
            <w:vAlign w:val="bottom"/>
          </w:tcPr>
          <w:p w14:paraId="038A878E" w14:textId="77777777" w:rsidR="00972395" w:rsidRPr="00E73D4B" w:rsidRDefault="00F120C7" w:rsidP="001C4219">
            <w:pPr>
              <w:jc w:val="right"/>
            </w:pPr>
            <w:r w:rsidRPr="00E73D4B">
              <w:t>Nei</w:t>
            </w:r>
          </w:p>
        </w:tc>
      </w:tr>
      <w:tr w:rsidR="00972395" w:rsidRPr="00E73D4B" w14:paraId="22683557"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4583433B"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57B6FC95" w14:textId="77777777" w:rsidR="00972395" w:rsidRPr="00E73D4B" w:rsidRDefault="00F120C7" w:rsidP="001C4219">
            <w:pPr>
              <w:jc w:val="right"/>
            </w:pPr>
            <w:r w:rsidRPr="00E73D4B">
              <w:t>485</w:t>
            </w:r>
          </w:p>
        </w:tc>
        <w:tc>
          <w:tcPr>
            <w:tcW w:w="4961" w:type="dxa"/>
            <w:tcBorders>
              <w:top w:val="nil"/>
              <w:left w:val="nil"/>
              <w:bottom w:val="nil"/>
              <w:right w:val="nil"/>
            </w:tcBorders>
            <w:tcMar>
              <w:top w:w="128" w:type="dxa"/>
              <w:left w:w="43" w:type="dxa"/>
              <w:bottom w:w="43" w:type="dxa"/>
              <w:right w:w="43" w:type="dxa"/>
            </w:tcMar>
          </w:tcPr>
          <w:p w14:paraId="2204CB47" w14:textId="77777777" w:rsidR="00972395" w:rsidRPr="00E73D4B" w:rsidRDefault="00F120C7" w:rsidP="001C4219">
            <w:r w:rsidRPr="00E73D4B">
              <w:t>Krav til utsortering og materialattvinning av plast og matavfall</w:t>
            </w:r>
          </w:p>
        </w:tc>
        <w:tc>
          <w:tcPr>
            <w:tcW w:w="1445" w:type="dxa"/>
            <w:tcBorders>
              <w:top w:val="nil"/>
              <w:left w:val="nil"/>
              <w:bottom w:val="nil"/>
              <w:right w:val="nil"/>
            </w:tcBorders>
            <w:tcMar>
              <w:top w:w="128" w:type="dxa"/>
              <w:left w:w="43" w:type="dxa"/>
              <w:bottom w:w="43" w:type="dxa"/>
              <w:right w:w="43" w:type="dxa"/>
            </w:tcMar>
            <w:vAlign w:val="bottom"/>
          </w:tcPr>
          <w:p w14:paraId="2CF732E5" w14:textId="77777777" w:rsidR="00972395" w:rsidRPr="00E73D4B" w:rsidRDefault="00F120C7" w:rsidP="001C4219">
            <w:pPr>
              <w:jc w:val="right"/>
            </w:pPr>
            <w:r w:rsidRPr="00E73D4B">
              <w:t>Ja</w:t>
            </w:r>
          </w:p>
        </w:tc>
      </w:tr>
      <w:tr w:rsidR="00972395" w:rsidRPr="00E73D4B" w14:paraId="08DBFFFD"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12D2FC49"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43254068" w14:textId="77777777" w:rsidR="00972395" w:rsidRPr="00E73D4B" w:rsidRDefault="00F120C7" w:rsidP="001C4219">
            <w:pPr>
              <w:jc w:val="right"/>
            </w:pPr>
            <w:r w:rsidRPr="00E73D4B">
              <w:t>486</w:t>
            </w:r>
          </w:p>
        </w:tc>
        <w:tc>
          <w:tcPr>
            <w:tcW w:w="4961" w:type="dxa"/>
            <w:tcBorders>
              <w:top w:val="nil"/>
              <w:left w:val="nil"/>
              <w:bottom w:val="nil"/>
              <w:right w:val="nil"/>
            </w:tcBorders>
            <w:tcMar>
              <w:top w:w="128" w:type="dxa"/>
              <w:left w:w="43" w:type="dxa"/>
              <w:bottom w:w="43" w:type="dxa"/>
              <w:right w:w="43" w:type="dxa"/>
            </w:tcMar>
          </w:tcPr>
          <w:p w14:paraId="07249EFD" w14:textId="77777777" w:rsidR="00972395" w:rsidRPr="00E73D4B" w:rsidRDefault="00F120C7" w:rsidP="001C4219">
            <w:r w:rsidRPr="00E73D4B">
              <w:t xml:space="preserve">Avfall </w:t>
            </w:r>
            <w:proofErr w:type="spellStart"/>
            <w:r w:rsidRPr="00E73D4B">
              <w:t>frå</w:t>
            </w:r>
            <w:proofErr w:type="spellEnd"/>
            <w:r w:rsidRPr="00E73D4B">
              <w:t xml:space="preserve"> </w:t>
            </w:r>
            <w:proofErr w:type="spellStart"/>
            <w:r w:rsidRPr="00E73D4B">
              <w:t>offentlege</w:t>
            </w:r>
            <w:proofErr w:type="spellEnd"/>
            <w:r w:rsidRPr="00E73D4B">
              <w:t xml:space="preserve"> </w:t>
            </w:r>
            <w:proofErr w:type="spellStart"/>
            <w:r w:rsidRPr="00E73D4B">
              <w:t>tenester</w:t>
            </w:r>
            <w:proofErr w:type="spellEnd"/>
            <w:r w:rsidRPr="00E73D4B">
              <w:t xml:space="preserve"> og andre som produserer avfall som </w:t>
            </w:r>
            <w:proofErr w:type="spellStart"/>
            <w:r w:rsidRPr="00E73D4B">
              <w:t>liknar</w:t>
            </w:r>
            <w:proofErr w:type="spellEnd"/>
            <w:r w:rsidRPr="00E73D4B">
              <w:t xml:space="preserve"> </w:t>
            </w:r>
            <w:proofErr w:type="spellStart"/>
            <w:r w:rsidRPr="00E73D4B">
              <w:t>hushaldsavfall</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22F41525" w14:textId="77777777" w:rsidR="00972395" w:rsidRPr="00E73D4B" w:rsidRDefault="00F120C7" w:rsidP="001C4219">
            <w:pPr>
              <w:jc w:val="right"/>
            </w:pPr>
            <w:r w:rsidRPr="00E73D4B">
              <w:t>Ja</w:t>
            </w:r>
          </w:p>
        </w:tc>
      </w:tr>
      <w:tr w:rsidR="00972395" w:rsidRPr="00E73D4B" w14:paraId="5F531B69"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7AF854B0"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23D5E497" w14:textId="77777777" w:rsidR="00972395" w:rsidRPr="00E73D4B" w:rsidRDefault="00F120C7" w:rsidP="001C4219">
            <w:pPr>
              <w:jc w:val="right"/>
            </w:pPr>
            <w:r w:rsidRPr="00E73D4B">
              <w:t>487</w:t>
            </w:r>
          </w:p>
        </w:tc>
        <w:tc>
          <w:tcPr>
            <w:tcW w:w="4961" w:type="dxa"/>
            <w:tcBorders>
              <w:top w:val="nil"/>
              <w:left w:val="nil"/>
              <w:bottom w:val="nil"/>
              <w:right w:val="nil"/>
            </w:tcBorders>
            <w:tcMar>
              <w:top w:w="128" w:type="dxa"/>
              <w:left w:w="43" w:type="dxa"/>
              <w:bottom w:w="43" w:type="dxa"/>
              <w:right w:w="43" w:type="dxa"/>
            </w:tcMar>
          </w:tcPr>
          <w:p w14:paraId="5FAF4A0C" w14:textId="77777777" w:rsidR="00972395" w:rsidRPr="00E73D4B" w:rsidRDefault="00F120C7" w:rsidP="001C4219">
            <w:proofErr w:type="spellStart"/>
            <w:r w:rsidRPr="00E73D4B">
              <w:t>Reinsing</w:t>
            </w:r>
            <w:proofErr w:type="spellEnd"/>
            <w:r w:rsidRPr="00E73D4B">
              <w:t xml:space="preserve"> av </w:t>
            </w:r>
            <w:proofErr w:type="spellStart"/>
            <w:r w:rsidRPr="00E73D4B">
              <w:t>flygeoske</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62B89C5A" w14:textId="77777777" w:rsidR="00972395" w:rsidRPr="00E73D4B" w:rsidRDefault="00F120C7" w:rsidP="001C4219">
            <w:pPr>
              <w:jc w:val="right"/>
            </w:pPr>
            <w:r w:rsidRPr="00E73D4B">
              <w:t>Ja</w:t>
            </w:r>
          </w:p>
        </w:tc>
      </w:tr>
      <w:tr w:rsidR="00972395" w:rsidRPr="00E73D4B" w14:paraId="79CEAEC6"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124F6882"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0B690325" w14:textId="77777777" w:rsidR="00972395" w:rsidRPr="00E73D4B" w:rsidRDefault="00F120C7" w:rsidP="001C4219">
            <w:pPr>
              <w:jc w:val="right"/>
            </w:pPr>
            <w:r w:rsidRPr="00E73D4B">
              <w:t>489</w:t>
            </w:r>
          </w:p>
        </w:tc>
        <w:tc>
          <w:tcPr>
            <w:tcW w:w="4961" w:type="dxa"/>
            <w:tcBorders>
              <w:top w:val="nil"/>
              <w:left w:val="nil"/>
              <w:bottom w:val="nil"/>
              <w:right w:val="nil"/>
            </w:tcBorders>
            <w:tcMar>
              <w:top w:w="128" w:type="dxa"/>
              <w:left w:w="43" w:type="dxa"/>
              <w:bottom w:w="43" w:type="dxa"/>
              <w:right w:w="43" w:type="dxa"/>
            </w:tcMar>
          </w:tcPr>
          <w:p w14:paraId="56AA5398" w14:textId="77777777" w:rsidR="00972395" w:rsidRPr="00E73D4B" w:rsidRDefault="00F120C7" w:rsidP="001C4219">
            <w:proofErr w:type="spellStart"/>
            <w:r w:rsidRPr="00E73D4B">
              <w:t>Matkastelov</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5F55CE0D" w14:textId="77777777" w:rsidR="00972395" w:rsidRPr="00E73D4B" w:rsidRDefault="00F120C7" w:rsidP="001C4219">
            <w:pPr>
              <w:jc w:val="right"/>
            </w:pPr>
            <w:r w:rsidRPr="00E73D4B">
              <w:t>Nei</w:t>
            </w:r>
          </w:p>
        </w:tc>
      </w:tr>
      <w:tr w:rsidR="00972395" w:rsidRPr="00E73D4B" w14:paraId="0B531E59"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0913CAE8"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575BEC30" w14:textId="77777777" w:rsidR="00972395" w:rsidRPr="00E73D4B" w:rsidRDefault="00F120C7" w:rsidP="001C4219">
            <w:pPr>
              <w:jc w:val="right"/>
            </w:pPr>
            <w:r w:rsidRPr="00E73D4B">
              <w:t>502</w:t>
            </w:r>
          </w:p>
        </w:tc>
        <w:tc>
          <w:tcPr>
            <w:tcW w:w="4961" w:type="dxa"/>
            <w:tcBorders>
              <w:top w:val="nil"/>
              <w:left w:val="nil"/>
              <w:bottom w:val="nil"/>
              <w:right w:val="nil"/>
            </w:tcBorders>
            <w:tcMar>
              <w:top w:w="128" w:type="dxa"/>
              <w:left w:w="43" w:type="dxa"/>
              <w:bottom w:w="43" w:type="dxa"/>
              <w:right w:w="43" w:type="dxa"/>
            </w:tcMar>
          </w:tcPr>
          <w:p w14:paraId="7C80D955" w14:textId="77777777" w:rsidR="00972395" w:rsidRPr="00E73D4B" w:rsidRDefault="00F120C7" w:rsidP="001C4219">
            <w:r w:rsidRPr="00E73D4B">
              <w:t>Pålegg om utsortering og materialattvinning av plast- og matavfall</w:t>
            </w:r>
          </w:p>
        </w:tc>
        <w:tc>
          <w:tcPr>
            <w:tcW w:w="1445" w:type="dxa"/>
            <w:tcBorders>
              <w:top w:val="nil"/>
              <w:left w:val="nil"/>
              <w:bottom w:val="nil"/>
              <w:right w:val="nil"/>
            </w:tcBorders>
            <w:tcMar>
              <w:top w:w="128" w:type="dxa"/>
              <w:left w:w="43" w:type="dxa"/>
              <w:bottom w:w="43" w:type="dxa"/>
              <w:right w:w="43" w:type="dxa"/>
            </w:tcMar>
            <w:vAlign w:val="bottom"/>
          </w:tcPr>
          <w:p w14:paraId="761E814B" w14:textId="77777777" w:rsidR="00972395" w:rsidRPr="00E73D4B" w:rsidRDefault="00F120C7" w:rsidP="001C4219">
            <w:pPr>
              <w:jc w:val="right"/>
            </w:pPr>
            <w:r w:rsidRPr="00E73D4B">
              <w:t>Ja</w:t>
            </w:r>
          </w:p>
        </w:tc>
      </w:tr>
      <w:tr w:rsidR="00972395" w:rsidRPr="00E73D4B" w14:paraId="494B33D8"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0EBFF8CD"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75B89A59" w14:textId="77777777" w:rsidR="00972395" w:rsidRPr="00E73D4B" w:rsidRDefault="00F120C7" w:rsidP="001C4219">
            <w:pPr>
              <w:jc w:val="right"/>
            </w:pPr>
            <w:r w:rsidRPr="00E73D4B">
              <w:t>661</w:t>
            </w:r>
          </w:p>
        </w:tc>
        <w:tc>
          <w:tcPr>
            <w:tcW w:w="4961" w:type="dxa"/>
            <w:tcBorders>
              <w:top w:val="nil"/>
              <w:left w:val="nil"/>
              <w:bottom w:val="nil"/>
              <w:right w:val="nil"/>
            </w:tcBorders>
            <w:tcMar>
              <w:top w:w="128" w:type="dxa"/>
              <w:left w:w="43" w:type="dxa"/>
              <w:bottom w:w="43" w:type="dxa"/>
              <w:right w:w="43" w:type="dxa"/>
            </w:tcMar>
          </w:tcPr>
          <w:p w14:paraId="46064C48" w14:textId="77777777" w:rsidR="00972395" w:rsidRPr="00E73D4B" w:rsidRDefault="00F120C7" w:rsidP="001C4219">
            <w:r w:rsidRPr="00E73D4B">
              <w:t xml:space="preserve">Greie ut </w:t>
            </w:r>
            <w:proofErr w:type="spellStart"/>
            <w:r w:rsidRPr="00E73D4B">
              <w:t>strengare</w:t>
            </w:r>
            <w:proofErr w:type="spellEnd"/>
            <w:r w:rsidRPr="00E73D4B">
              <w:t xml:space="preserve"> krav til </w:t>
            </w:r>
            <w:proofErr w:type="spellStart"/>
            <w:r w:rsidRPr="00E73D4B">
              <w:t>svartvass</w:t>
            </w:r>
            <w:proofErr w:type="spellEnd"/>
            <w:r w:rsidRPr="00E73D4B">
              <w:t xml:space="preserve">- og gråvassutslepp </w:t>
            </w:r>
            <w:proofErr w:type="spellStart"/>
            <w:r w:rsidRPr="00E73D4B">
              <w:t>frå</w:t>
            </w:r>
            <w:proofErr w:type="spellEnd"/>
            <w:r w:rsidRPr="00E73D4B">
              <w:t xml:space="preserve"> cruiseskip</w:t>
            </w:r>
          </w:p>
        </w:tc>
        <w:tc>
          <w:tcPr>
            <w:tcW w:w="1445" w:type="dxa"/>
            <w:tcBorders>
              <w:top w:val="nil"/>
              <w:left w:val="nil"/>
              <w:bottom w:val="nil"/>
              <w:right w:val="nil"/>
            </w:tcBorders>
            <w:tcMar>
              <w:top w:w="128" w:type="dxa"/>
              <w:left w:w="43" w:type="dxa"/>
              <w:bottom w:w="43" w:type="dxa"/>
              <w:right w:w="43" w:type="dxa"/>
            </w:tcMar>
            <w:vAlign w:val="bottom"/>
          </w:tcPr>
          <w:p w14:paraId="7AA93B0C" w14:textId="77777777" w:rsidR="00972395" w:rsidRPr="00E73D4B" w:rsidRDefault="00F120C7" w:rsidP="001C4219">
            <w:pPr>
              <w:jc w:val="right"/>
            </w:pPr>
            <w:r w:rsidRPr="00E73D4B">
              <w:t>Nei</w:t>
            </w:r>
          </w:p>
        </w:tc>
      </w:tr>
      <w:tr w:rsidR="00972395" w:rsidRPr="00E73D4B" w14:paraId="627AEDF4"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6510C24E"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4EFB0633" w14:textId="77777777" w:rsidR="00972395" w:rsidRPr="00E73D4B" w:rsidRDefault="00F120C7" w:rsidP="001C4219">
            <w:pPr>
              <w:jc w:val="right"/>
            </w:pPr>
            <w:r w:rsidRPr="00E73D4B">
              <w:t>672</w:t>
            </w:r>
          </w:p>
        </w:tc>
        <w:tc>
          <w:tcPr>
            <w:tcW w:w="4961" w:type="dxa"/>
            <w:tcBorders>
              <w:top w:val="nil"/>
              <w:left w:val="nil"/>
              <w:bottom w:val="nil"/>
              <w:right w:val="nil"/>
            </w:tcBorders>
            <w:tcMar>
              <w:top w:w="128" w:type="dxa"/>
              <w:left w:w="43" w:type="dxa"/>
              <w:bottom w:w="43" w:type="dxa"/>
              <w:right w:w="43" w:type="dxa"/>
            </w:tcMar>
          </w:tcPr>
          <w:p w14:paraId="0F29A088" w14:textId="77777777" w:rsidR="00972395" w:rsidRPr="00E73D4B" w:rsidRDefault="00F120C7" w:rsidP="001C4219">
            <w:proofErr w:type="gramStart"/>
            <w:r w:rsidRPr="00E73D4B">
              <w:t>Implementere</w:t>
            </w:r>
            <w:proofErr w:type="gramEnd"/>
            <w:r w:rsidRPr="00E73D4B">
              <w:t xml:space="preserve"> krav og </w:t>
            </w:r>
            <w:proofErr w:type="spellStart"/>
            <w:r w:rsidRPr="00E73D4B">
              <w:t>reguleringar</w:t>
            </w:r>
            <w:proofErr w:type="spellEnd"/>
            <w:r w:rsidRPr="00E73D4B">
              <w:t xml:space="preserve"> til utslepp </w:t>
            </w:r>
            <w:proofErr w:type="spellStart"/>
            <w:r w:rsidRPr="00E73D4B">
              <w:t>frå</w:t>
            </w:r>
            <w:proofErr w:type="spellEnd"/>
            <w:r w:rsidRPr="00E73D4B">
              <w:t xml:space="preserve"> cruiseskip og </w:t>
            </w:r>
            <w:proofErr w:type="spellStart"/>
            <w:r w:rsidRPr="00E73D4B">
              <w:t>annan</w:t>
            </w:r>
            <w:proofErr w:type="spellEnd"/>
            <w:r w:rsidRPr="00E73D4B">
              <w:t xml:space="preserve"> skipstrafikk i </w:t>
            </w:r>
            <w:proofErr w:type="spellStart"/>
            <w:r w:rsidRPr="00E73D4B">
              <w:t>turistfjordar</w:t>
            </w:r>
            <w:proofErr w:type="spellEnd"/>
            <w:r w:rsidRPr="00E73D4B">
              <w:t xml:space="preserve"> m.m.</w:t>
            </w:r>
          </w:p>
        </w:tc>
        <w:tc>
          <w:tcPr>
            <w:tcW w:w="1445" w:type="dxa"/>
            <w:tcBorders>
              <w:top w:val="nil"/>
              <w:left w:val="nil"/>
              <w:bottom w:val="nil"/>
              <w:right w:val="nil"/>
            </w:tcBorders>
            <w:tcMar>
              <w:top w:w="128" w:type="dxa"/>
              <w:left w:w="43" w:type="dxa"/>
              <w:bottom w:w="43" w:type="dxa"/>
              <w:right w:w="43" w:type="dxa"/>
            </w:tcMar>
            <w:vAlign w:val="bottom"/>
          </w:tcPr>
          <w:p w14:paraId="4B003841" w14:textId="77777777" w:rsidR="00972395" w:rsidRPr="00E73D4B" w:rsidRDefault="00F120C7" w:rsidP="001C4219">
            <w:pPr>
              <w:jc w:val="right"/>
            </w:pPr>
            <w:r w:rsidRPr="00E73D4B">
              <w:t>Nei</w:t>
            </w:r>
          </w:p>
        </w:tc>
      </w:tr>
      <w:tr w:rsidR="00972395" w:rsidRPr="00E73D4B" w14:paraId="5DDF9944"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21078967" w14:textId="77777777" w:rsidR="00972395" w:rsidRPr="00E73D4B" w:rsidRDefault="00F120C7" w:rsidP="001C4219">
            <w:r w:rsidRPr="00E73D4B">
              <w:t>2017–2018</w:t>
            </w:r>
          </w:p>
        </w:tc>
        <w:tc>
          <w:tcPr>
            <w:tcW w:w="1276" w:type="dxa"/>
            <w:tcBorders>
              <w:top w:val="nil"/>
              <w:left w:val="nil"/>
              <w:bottom w:val="nil"/>
              <w:right w:val="nil"/>
            </w:tcBorders>
            <w:tcMar>
              <w:top w:w="128" w:type="dxa"/>
              <w:left w:w="43" w:type="dxa"/>
              <w:bottom w:w="43" w:type="dxa"/>
              <w:right w:w="43" w:type="dxa"/>
            </w:tcMar>
          </w:tcPr>
          <w:p w14:paraId="392EED24" w14:textId="77777777" w:rsidR="00972395" w:rsidRPr="00E73D4B" w:rsidRDefault="00F120C7" w:rsidP="001C4219">
            <w:pPr>
              <w:jc w:val="right"/>
            </w:pPr>
            <w:r w:rsidRPr="00E73D4B">
              <w:t>674</w:t>
            </w:r>
          </w:p>
        </w:tc>
        <w:tc>
          <w:tcPr>
            <w:tcW w:w="4961" w:type="dxa"/>
            <w:tcBorders>
              <w:top w:val="nil"/>
              <w:left w:val="nil"/>
              <w:bottom w:val="nil"/>
              <w:right w:val="nil"/>
            </w:tcBorders>
            <w:tcMar>
              <w:top w:w="128" w:type="dxa"/>
              <w:left w:w="43" w:type="dxa"/>
              <w:bottom w:w="43" w:type="dxa"/>
              <w:right w:w="43" w:type="dxa"/>
            </w:tcMar>
          </w:tcPr>
          <w:p w14:paraId="584C44CF" w14:textId="77777777" w:rsidR="00972395" w:rsidRPr="00E73D4B" w:rsidRDefault="00F120C7" w:rsidP="001C4219">
            <w:r w:rsidRPr="00E73D4B">
              <w:t xml:space="preserve">Nasjonalt </w:t>
            </w:r>
            <w:proofErr w:type="spellStart"/>
            <w:r w:rsidRPr="00E73D4B">
              <w:t>forbod</w:t>
            </w:r>
            <w:proofErr w:type="spellEnd"/>
            <w:r w:rsidRPr="00E73D4B">
              <w:t xml:space="preserve"> mot sal av </w:t>
            </w:r>
            <w:proofErr w:type="spellStart"/>
            <w:r w:rsidRPr="00E73D4B">
              <w:t>heliumballongar</w:t>
            </w:r>
            <w:proofErr w:type="spellEnd"/>
          </w:p>
        </w:tc>
        <w:tc>
          <w:tcPr>
            <w:tcW w:w="1445" w:type="dxa"/>
            <w:tcBorders>
              <w:top w:val="nil"/>
              <w:left w:val="nil"/>
              <w:bottom w:val="nil"/>
              <w:right w:val="nil"/>
            </w:tcBorders>
            <w:tcMar>
              <w:top w:w="128" w:type="dxa"/>
              <w:left w:w="43" w:type="dxa"/>
              <w:bottom w:w="43" w:type="dxa"/>
              <w:right w:w="43" w:type="dxa"/>
            </w:tcMar>
            <w:vAlign w:val="bottom"/>
          </w:tcPr>
          <w:p w14:paraId="00F8A506" w14:textId="77777777" w:rsidR="00972395" w:rsidRPr="00E73D4B" w:rsidRDefault="00F120C7" w:rsidP="001C4219">
            <w:pPr>
              <w:jc w:val="right"/>
            </w:pPr>
            <w:r w:rsidRPr="00E73D4B">
              <w:t>Nei</w:t>
            </w:r>
          </w:p>
        </w:tc>
      </w:tr>
      <w:tr w:rsidR="00972395" w:rsidRPr="00E73D4B" w14:paraId="73D39863"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6607A77C" w14:textId="77777777" w:rsidR="00972395" w:rsidRPr="00E73D4B" w:rsidRDefault="00F120C7" w:rsidP="001C4219">
            <w:r w:rsidRPr="00E73D4B">
              <w:t>2016–2017</w:t>
            </w:r>
          </w:p>
        </w:tc>
        <w:tc>
          <w:tcPr>
            <w:tcW w:w="1276" w:type="dxa"/>
            <w:tcBorders>
              <w:top w:val="nil"/>
              <w:left w:val="nil"/>
              <w:bottom w:val="nil"/>
              <w:right w:val="nil"/>
            </w:tcBorders>
            <w:tcMar>
              <w:top w:w="128" w:type="dxa"/>
              <w:left w:w="43" w:type="dxa"/>
              <w:bottom w:w="43" w:type="dxa"/>
              <w:right w:w="43" w:type="dxa"/>
            </w:tcMar>
          </w:tcPr>
          <w:p w14:paraId="4EB126EC" w14:textId="77777777" w:rsidR="00972395" w:rsidRPr="00E73D4B" w:rsidRDefault="00F120C7" w:rsidP="001C4219">
            <w:pPr>
              <w:jc w:val="right"/>
            </w:pPr>
            <w:r w:rsidRPr="00E73D4B">
              <w:t>529</w:t>
            </w:r>
          </w:p>
        </w:tc>
        <w:tc>
          <w:tcPr>
            <w:tcW w:w="4961" w:type="dxa"/>
            <w:tcBorders>
              <w:top w:val="nil"/>
              <w:left w:val="nil"/>
              <w:bottom w:val="nil"/>
              <w:right w:val="nil"/>
            </w:tcBorders>
            <w:tcMar>
              <w:top w:w="128" w:type="dxa"/>
              <w:left w:w="43" w:type="dxa"/>
              <w:bottom w:w="43" w:type="dxa"/>
              <w:right w:w="43" w:type="dxa"/>
            </w:tcMar>
          </w:tcPr>
          <w:p w14:paraId="7D2F14A1" w14:textId="77777777" w:rsidR="00972395" w:rsidRPr="00E73D4B" w:rsidRDefault="00F120C7" w:rsidP="001C4219">
            <w:r w:rsidRPr="00E73D4B">
              <w:t>Gratis levering av marint avfall</w:t>
            </w:r>
          </w:p>
        </w:tc>
        <w:tc>
          <w:tcPr>
            <w:tcW w:w="1445" w:type="dxa"/>
            <w:tcBorders>
              <w:top w:val="nil"/>
              <w:left w:val="nil"/>
              <w:bottom w:val="nil"/>
              <w:right w:val="nil"/>
            </w:tcBorders>
            <w:tcMar>
              <w:top w:w="128" w:type="dxa"/>
              <w:left w:w="43" w:type="dxa"/>
              <w:bottom w:w="43" w:type="dxa"/>
              <w:right w:w="43" w:type="dxa"/>
            </w:tcMar>
            <w:vAlign w:val="bottom"/>
          </w:tcPr>
          <w:p w14:paraId="12377015" w14:textId="77777777" w:rsidR="00972395" w:rsidRPr="00E73D4B" w:rsidRDefault="00F120C7" w:rsidP="001C4219">
            <w:pPr>
              <w:jc w:val="right"/>
            </w:pPr>
            <w:r w:rsidRPr="00E73D4B">
              <w:t>Nei</w:t>
            </w:r>
          </w:p>
        </w:tc>
      </w:tr>
      <w:tr w:rsidR="00972395" w:rsidRPr="00E73D4B" w14:paraId="3451A852"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178A081A" w14:textId="77777777" w:rsidR="00972395" w:rsidRPr="00E73D4B" w:rsidRDefault="00F120C7" w:rsidP="001C4219">
            <w:r w:rsidRPr="00E73D4B">
              <w:t>2016–2017</w:t>
            </w:r>
          </w:p>
        </w:tc>
        <w:tc>
          <w:tcPr>
            <w:tcW w:w="1276" w:type="dxa"/>
            <w:tcBorders>
              <w:top w:val="nil"/>
              <w:left w:val="nil"/>
              <w:bottom w:val="nil"/>
              <w:right w:val="nil"/>
            </w:tcBorders>
            <w:tcMar>
              <w:top w:w="128" w:type="dxa"/>
              <w:left w:w="43" w:type="dxa"/>
              <w:bottom w:w="43" w:type="dxa"/>
              <w:right w:w="43" w:type="dxa"/>
            </w:tcMar>
          </w:tcPr>
          <w:p w14:paraId="256583EC" w14:textId="77777777" w:rsidR="00972395" w:rsidRPr="00E73D4B" w:rsidRDefault="00F120C7" w:rsidP="001C4219">
            <w:pPr>
              <w:jc w:val="right"/>
            </w:pPr>
            <w:r w:rsidRPr="00E73D4B">
              <w:t>914</w:t>
            </w:r>
          </w:p>
        </w:tc>
        <w:tc>
          <w:tcPr>
            <w:tcW w:w="4961" w:type="dxa"/>
            <w:tcBorders>
              <w:top w:val="nil"/>
              <w:left w:val="nil"/>
              <w:bottom w:val="nil"/>
              <w:right w:val="nil"/>
            </w:tcBorders>
            <w:tcMar>
              <w:top w:w="128" w:type="dxa"/>
              <w:left w:w="43" w:type="dxa"/>
              <w:bottom w:w="43" w:type="dxa"/>
              <w:right w:w="43" w:type="dxa"/>
            </w:tcMar>
          </w:tcPr>
          <w:p w14:paraId="4282AA3C" w14:textId="77777777" w:rsidR="00972395" w:rsidRPr="00E73D4B" w:rsidRDefault="00F120C7" w:rsidP="001C4219">
            <w:r w:rsidRPr="00E73D4B">
              <w:t xml:space="preserve">Forslag til tiltak og </w:t>
            </w:r>
            <w:proofErr w:type="spellStart"/>
            <w:r w:rsidRPr="00E73D4B">
              <w:t>verkemiddel</w:t>
            </w:r>
            <w:proofErr w:type="spellEnd"/>
            <w:r w:rsidRPr="00E73D4B">
              <w:t xml:space="preserve"> for </w:t>
            </w:r>
            <w:proofErr w:type="spellStart"/>
            <w:r w:rsidRPr="00E73D4B">
              <w:t>overvass</w:t>
            </w:r>
            <w:proofErr w:type="spellEnd"/>
            <w:r w:rsidRPr="00E73D4B">
              <w:t>-problematikk</w:t>
            </w:r>
          </w:p>
        </w:tc>
        <w:tc>
          <w:tcPr>
            <w:tcW w:w="1445" w:type="dxa"/>
            <w:tcBorders>
              <w:top w:val="nil"/>
              <w:left w:val="nil"/>
              <w:bottom w:val="nil"/>
              <w:right w:val="nil"/>
            </w:tcBorders>
            <w:tcMar>
              <w:top w:w="128" w:type="dxa"/>
              <w:left w:w="43" w:type="dxa"/>
              <w:bottom w:w="43" w:type="dxa"/>
              <w:right w:w="43" w:type="dxa"/>
            </w:tcMar>
            <w:vAlign w:val="bottom"/>
          </w:tcPr>
          <w:p w14:paraId="29C98DCD" w14:textId="77777777" w:rsidR="00972395" w:rsidRPr="00E73D4B" w:rsidRDefault="00F120C7" w:rsidP="001C4219">
            <w:pPr>
              <w:jc w:val="right"/>
            </w:pPr>
            <w:r w:rsidRPr="00E73D4B">
              <w:t>Nei</w:t>
            </w:r>
          </w:p>
        </w:tc>
      </w:tr>
      <w:tr w:rsidR="00972395" w:rsidRPr="00E73D4B" w14:paraId="4C37E0C2"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3BB32A21" w14:textId="77777777" w:rsidR="00972395" w:rsidRPr="00E73D4B" w:rsidRDefault="00F120C7" w:rsidP="001C4219">
            <w:r w:rsidRPr="00E73D4B">
              <w:t>2015–2016</w:t>
            </w:r>
          </w:p>
        </w:tc>
        <w:tc>
          <w:tcPr>
            <w:tcW w:w="1276" w:type="dxa"/>
            <w:tcBorders>
              <w:top w:val="nil"/>
              <w:left w:val="nil"/>
              <w:bottom w:val="nil"/>
              <w:right w:val="nil"/>
            </w:tcBorders>
            <w:tcMar>
              <w:top w:w="128" w:type="dxa"/>
              <w:left w:w="43" w:type="dxa"/>
              <w:bottom w:w="43" w:type="dxa"/>
              <w:right w:w="43" w:type="dxa"/>
            </w:tcMar>
          </w:tcPr>
          <w:p w14:paraId="636413BF" w14:textId="77777777" w:rsidR="00972395" w:rsidRPr="00E73D4B" w:rsidRDefault="00F120C7" w:rsidP="001C4219">
            <w:pPr>
              <w:jc w:val="right"/>
            </w:pPr>
            <w:r w:rsidRPr="00E73D4B">
              <w:t>669</w:t>
            </w:r>
          </w:p>
        </w:tc>
        <w:tc>
          <w:tcPr>
            <w:tcW w:w="4961" w:type="dxa"/>
            <w:tcBorders>
              <w:top w:val="nil"/>
              <w:left w:val="nil"/>
              <w:bottom w:val="nil"/>
              <w:right w:val="nil"/>
            </w:tcBorders>
            <w:tcMar>
              <w:top w:w="128" w:type="dxa"/>
              <w:left w:w="43" w:type="dxa"/>
              <w:bottom w:w="43" w:type="dxa"/>
              <w:right w:w="43" w:type="dxa"/>
            </w:tcMar>
          </w:tcPr>
          <w:p w14:paraId="11566579" w14:textId="77777777" w:rsidR="00972395" w:rsidRPr="00E73D4B" w:rsidRDefault="00F120C7" w:rsidP="001C4219">
            <w:proofErr w:type="spellStart"/>
            <w:r w:rsidRPr="00E73D4B">
              <w:t>Klargjering</w:t>
            </w:r>
            <w:proofErr w:type="spellEnd"/>
            <w:r w:rsidRPr="00E73D4B">
              <w:t xml:space="preserve"> av kva som er god tilstand, og kva areal som er å </w:t>
            </w:r>
            <w:proofErr w:type="spellStart"/>
            <w:r w:rsidRPr="00E73D4B">
              <w:t>rekne</w:t>
            </w:r>
            <w:proofErr w:type="spellEnd"/>
            <w:r w:rsidRPr="00E73D4B">
              <w:t xml:space="preserve"> som </w:t>
            </w:r>
            <w:proofErr w:type="spellStart"/>
            <w:r w:rsidRPr="00E73D4B">
              <w:t>ringare</w:t>
            </w:r>
            <w:proofErr w:type="spellEnd"/>
            <w:r w:rsidRPr="00E73D4B">
              <w:t xml:space="preserve"> økosystem </w:t>
            </w:r>
          </w:p>
        </w:tc>
        <w:tc>
          <w:tcPr>
            <w:tcW w:w="1445" w:type="dxa"/>
            <w:tcBorders>
              <w:top w:val="nil"/>
              <w:left w:val="nil"/>
              <w:bottom w:val="nil"/>
              <w:right w:val="nil"/>
            </w:tcBorders>
            <w:tcMar>
              <w:top w:w="128" w:type="dxa"/>
              <w:left w:w="43" w:type="dxa"/>
              <w:bottom w:w="43" w:type="dxa"/>
              <w:right w:w="43" w:type="dxa"/>
            </w:tcMar>
            <w:vAlign w:val="bottom"/>
          </w:tcPr>
          <w:p w14:paraId="3A7F99B1" w14:textId="77777777" w:rsidR="00972395" w:rsidRPr="00E73D4B" w:rsidRDefault="00F120C7" w:rsidP="001C4219">
            <w:pPr>
              <w:jc w:val="right"/>
            </w:pPr>
            <w:r w:rsidRPr="00E73D4B">
              <w:t>Ja</w:t>
            </w:r>
          </w:p>
        </w:tc>
      </w:tr>
      <w:tr w:rsidR="00972395" w:rsidRPr="00E73D4B" w14:paraId="5B0140C8"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16B65AEE" w14:textId="77777777" w:rsidR="00972395" w:rsidRPr="00E73D4B" w:rsidRDefault="00F120C7" w:rsidP="001C4219">
            <w:r w:rsidRPr="00E73D4B">
              <w:t>2015–2016</w:t>
            </w:r>
          </w:p>
        </w:tc>
        <w:tc>
          <w:tcPr>
            <w:tcW w:w="1276" w:type="dxa"/>
            <w:tcBorders>
              <w:top w:val="nil"/>
              <w:left w:val="nil"/>
              <w:bottom w:val="nil"/>
              <w:right w:val="nil"/>
            </w:tcBorders>
            <w:tcMar>
              <w:top w:w="128" w:type="dxa"/>
              <w:left w:w="43" w:type="dxa"/>
              <w:bottom w:w="43" w:type="dxa"/>
              <w:right w:w="43" w:type="dxa"/>
            </w:tcMar>
          </w:tcPr>
          <w:p w14:paraId="6CCB17E0" w14:textId="77777777" w:rsidR="00972395" w:rsidRPr="00E73D4B" w:rsidRDefault="00F120C7" w:rsidP="001C4219">
            <w:pPr>
              <w:jc w:val="right"/>
            </w:pPr>
            <w:r w:rsidRPr="00E73D4B">
              <w:t>670</w:t>
            </w:r>
          </w:p>
        </w:tc>
        <w:tc>
          <w:tcPr>
            <w:tcW w:w="4961" w:type="dxa"/>
            <w:tcBorders>
              <w:top w:val="nil"/>
              <w:left w:val="nil"/>
              <w:bottom w:val="nil"/>
              <w:right w:val="nil"/>
            </w:tcBorders>
            <w:tcMar>
              <w:top w:w="128" w:type="dxa"/>
              <w:left w:w="43" w:type="dxa"/>
              <w:bottom w:w="43" w:type="dxa"/>
              <w:right w:w="43" w:type="dxa"/>
            </w:tcMar>
          </w:tcPr>
          <w:p w14:paraId="465FEE27" w14:textId="77777777" w:rsidR="00972395" w:rsidRPr="00E73D4B" w:rsidRDefault="00F120C7" w:rsidP="001C4219">
            <w:r w:rsidRPr="00E73D4B">
              <w:t>Kvalitetsnormer for økosystem som del av utviklinga av nye forvaltningsmål</w:t>
            </w:r>
          </w:p>
        </w:tc>
        <w:tc>
          <w:tcPr>
            <w:tcW w:w="1445" w:type="dxa"/>
            <w:tcBorders>
              <w:top w:val="nil"/>
              <w:left w:val="nil"/>
              <w:bottom w:val="nil"/>
              <w:right w:val="nil"/>
            </w:tcBorders>
            <w:tcMar>
              <w:top w:w="128" w:type="dxa"/>
              <w:left w:w="43" w:type="dxa"/>
              <w:bottom w:w="43" w:type="dxa"/>
              <w:right w:w="43" w:type="dxa"/>
            </w:tcMar>
            <w:vAlign w:val="bottom"/>
          </w:tcPr>
          <w:p w14:paraId="694018B8" w14:textId="77777777" w:rsidR="00972395" w:rsidRPr="00E73D4B" w:rsidRDefault="00F120C7" w:rsidP="001C4219">
            <w:pPr>
              <w:jc w:val="right"/>
            </w:pPr>
            <w:r w:rsidRPr="00E73D4B">
              <w:t>Ja</w:t>
            </w:r>
          </w:p>
        </w:tc>
      </w:tr>
      <w:tr w:rsidR="00972395" w:rsidRPr="00E73D4B" w14:paraId="601C50CD" w14:textId="77777777" w:rsidTr="001C4219">
        <w:trPr>
          <w:trHeight w:val="380"/>
        </w:trPr>
        <w:tc>
          <w:tcPr>
            <w:tcW w:w="1418" w:type="dxa"/>
            <w:tcBorders>
              <w:top w:val="nil"/>
              <w:left w:val="nil"/>
              <w:right w:val="nil"/>
            </w:tcBorders>
            <w:tcMar>
              <w:top w:w="128" w:type="dxa"/>
              <w:left w:w="43" w:type="dxa"/>
              <w:bottom w:w="43" w:type="dxa"/>
              <w:right w:w="43" w:type="dxa"/>
            </w:tcMar>
          </w:tcPr>
          <w:p w14:paraId="5A1F0EBF" w14:textId="77777777" w:rsidR="00972395" w:rsidRPr="00E73D4B" w:rsidRDefault="00F120C7" w:rsidP="001C4219">
            <w:r w:rsidRPr="00E73D4B">
              <w:t>2015–2016</w:t>
            </w:r>
          </w:p>
        </w:tc>
        <w:tc>
          <w:tcPr>
            <w:tcW w:w="1276" w:type="dxa"/>
            <w:tcBorders>
              <w:top w:val="nil"/>
              <w:left w:val="nil"/>
              <w:right w:val="nil"/>
            </w:tcBorders>
            <w:tcMar>
              <w:top w:w="128" w:type="dxa"/>
              <w:left w:w="43" w:type="dxa"/>
              <w:bottom w:w="43" w:type="dxa"/>
              <w:right w:w="43" w:type="dxa"/>
            </w:tcMar>
          </w:tcPr>
          <w:p w14:paraId="7485AA46" w14:textId="77777777" w:rsidR="00972395" w:rsidRPr="00E73D4B" w:rsidRDefault="00F120C7" w:rsidP="001C4219">
            <w:pPr>
              <w:jc w:val="right"/>
            </w:pPr>
            <w:r w:rsidRPr="00E73D4B">
              <w:t>674</w:t>
            </w:r>
          </w:p>
        </w:tc>
        <w:tc>
          <w:tcPr>
            <w:tcW w:w="4961" w:type="dxa"/>
            <w:tcBorders>
              <w:top w:val="nil"/>
              <w:left w:val="nil"/>
              <w:right w:val="nil"/>
            </w:tcBorders>
            <w:tcMar>
              <w:top w:w="128" w:type="dxa"/>
              <w:left w:w="43" w:type="dxa"/>
              <w:bottom w:w="43" w:type="dxa"/>
              <w:right w:w="43" w:type="dxa"/>
            </w:tcMar>
          </w:tcPr>
          <w:p w14:paraId="46E2270E" w14:textId="77777777" w:rsidR="00972395" w:rsidRPr="00E73D4B" w:rsidRDefault="00F120C7" w:rsidP="001C4219">
            <w:r w:rsidRPr="00E73D4B">
              <w:t xml:space="preserve">Handlingsplan for å </w:t>
            </w:r>
            <w:proofErr w:type="spellStart"/>
            <w:r w:rsidRPr="00E73D4B">
              <w:t>betre</w:t>
            </w:r>
            <w:proofErr w:type="spellEnd"/>
            <w:r w:rsidRPr="00E73D4B">
              <w:t xml:space="preserve"> situasjonen for sjøfugl</w:t>
            </w:r>
          </w:p>
        </w:tc>
        <w:tc>
          <w:tcPr>
            <w:tcW w:w="1445" w:type="dxa"/>
            <w:tcBorders>
              <w:top w:val="nil"/>
              <w:left w:val="nil"/>
              <w:right w:val="nil"/>
            </w:tcBorders>
            <w:tcMar>
              <w:top w:w="128" w:type="dxa"/>
              <w:left w:w="43" w:type="dxa"/>
              <w:bottom w:w="43" w:type="dxa"/>
              <w:right w:w="43" w:type="dxa"/>
            </w:tcMar>
            <w:vAlign w:val="bottom"/>
          </w:tcPr>
          <w:p w14:paraId="6D012604" w14:textId="77777777" w:rsidR="00972395" w:rsidRPr="00E73D4B" w:rsidRDefault="00F120C7" w:rsidP="001C4219">
            <w:pPr>
              <w:jc w:val="right"/>
            </w:pPr>
            <w:r w:rsidRPr="00E73D4B">
              <w:t>Nei</w:t>
            </w:r>
          </w:p>
        </w:tc>
      </w:tr>
      <w:tr w:rsidR="00972395" w:rsidRPr="00E73D4B" w14:paraId="1B634F50" w14:textId="77777777" w:rsidTr="001C4219">
        <w:trPr>
          <w:trHeight w:val="380"/>
        </w:trPr>
        <w:tc>
          <w:tcPr>
            <w:tcW w:w="1418" w:type="dxa"/>
            <w:tcBorders>
              <w:top w:val="nil"/>
              <w:left w:val="nil"/>
              <w:bottom w:val="single" w:sz="4" w:space="0" w:color="000000"/>
              <w:right w:val="nil"/>
            </w:tcBorders>
            <w:shd w:val="clear" w:color="auto" w:fill="auto"/>
            <w:tcMar>
              <w:top w:w="128" w:type="dxa"/>
              <w:left w:w="43" w:type="dxa"/>
              <w:bottom w:w="43" w:type="dxa"/>
              <w:right w:w="43" w:type="dxa"/>
            </w:tcMar>
          </w:tcPr>
          <w:p w14:paraId="3954B14C" w14:textId="77777777" w:rsidR="00972395" w:rsidRPr="00E73D4B" w:rsidRDefault="00F120C7" w:rsidP="001C4219">
            <w:r w:rsidRPr="00E73D4B">
              <w:t>2015–2016</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tcPr>
          <w:p w14:paraId="01228EE0" w14:textId="77777777" w:rsidR="00972395" w:rsidRPr="00E73D4B" w:rsidRDefault="00F120C7" w:rsidP="001C4219">
            <w:pPr>
              <w:jc w:val="right"/>
            </w:pPr>
            <w:r w:rsidRPr="00E73D4B">
              <w:t>681</w:t>
            </w:r>
          </w:p>
        </w:tc>
        <w:tc>
          <w:tcPr>
            <w:tcW w:w="4961" w:type="dxa"/>
            <w:tcBorders>
              <w:top w:val="nil"/>
              <w:left w:val="nil"/>
              <w:bottom w:val="single" w:sz="4" w:space="0" w:color="000000"/>
              <w:right w:val="nil"/>
            </w:tcBorders>
            <w:shd w:val="clear" w:color="auto" w:fill="auto"/>
            <w:tcMar>
              <w:top w:w="128" w:type="dxa"/>
              <w:left w:w="43" w:type="dxa"/>
              <w:bottom w:w="43" w:type="dxa"/>
              <w:right w:w="43" w:type="dxa"/>
            </w:tcMar>
          </w:tcPr>
          <w:p w14:paraId="25CFC7D2" w14:textId="77777777" w:rsidR="00972395" w:rsidRPr="00E73D4B" w:rsidRDefault="00F120C7" w:rsidP="001C4219">
            <w:proofErr w:type="spellStart"/>
            <w:r w:rsidRPr="00E73D4B">
              <w:t>Forbod</w:t>
            </w:r>
            <w:proofErr w:type="spellEnd"/>
            <w:r w:rsidRPr="00E73D4B">
              <w:t xml:space="preserve"> mot mikroplast i kroppspleieprodukt</w:t>
            </w:r>
          </w:p>
        </w:tc>
        <w:tc>
          <w:tcPr>
            <w:tcW w:w="14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F318FB8" w14:textId="77777777" w:rsidR="00972395" w:rsidRPr="00E73D4B" w:rsidRDefault="00F120C7" w:rsidP="001C4219">
            <w:pPr>
              <w:jc w:val="right"/>
            </w:pPr>
            <w:r w:rsidRPr="00E73D4B">
              <w:t>Nei</w:t>
            </w:r>
          </w:p>
        </w:tc>
      </w:tr>
    </w:tbl>
    <w:p w14:paraId="63F67F2A" w14:textId="77777777" w:rsidR="00972395" w:rsidRPr="00E73D4B" w:rsidRDefault="00F120C7" w:rsidP="001C4219">
      <w:pPr>
        <w:pStyle w:val="Overskrift2"/>
        <w:numPr>
          <w:ilvl w:val="1"/>
          <w:numId w:val="33"/>
        </w:numPr>
      </w:pPr>
      <w:r w:rsidRPr="00E73D4B">
        <w:t>Stortingssesjon 2021–2022</w:t>
      </w:r>
    </w:p>
    <w:p w14:paraId="02795DC1" w14:textId="77777777" w:rsidR="00972395" w:rsidRPr="00E73D4B" w:rsidRDefault="00F120C7" w:rsidP="00E73D4B">
      <w:pPr>
        <w:pStyle w:val="avsnitt-tittel"/>
      </w:pPr>
      <w:proofErr w:type="spellStart"/>
      <w:r w:rsidRPr="00E73D4B">
        <w:t>Verkemiddel</w:t>
      </w:r>
      <w:proofErr w:type="spellEnd"/>
      <w:r w:rsidRPr="00E73D4B">
        <w:t xml:space="preserve"> for raske </w:t>
      </w:r>
      <w:proofErr w:type="spellStart"/>
      <w:r w:rsidRPr="00E73D4B">
        <w:t>utsleppskutt</w:t>
      </w:r>
      <w:proofErr w:type="spellEnd"/>
      <w:r w:rsidRPr="00E73D4B">
        <w:t xml:space="preserve"> for store punktutslepp</w:t>
      </w:r>
    </w:p>
    <w:p w14:paraId="050E7362" w14:textId="77777777" w:rsidR="00972395" w:rsidRPr="00E73D4B" w:rsidRDefault="00F120C7" w:rsidP="00E73D4B">
      <w:pPr>
        <w:pStyle w:val="avsnitt-undertittel"/>
      </w:pPr>
      <w:r w:rsidRPr="00E73D4B">
        <w:t>Vedtak nr. 35.4, 2. desember 2021</w:t>
      </w:r>
    </w:p>
    <w:p w14:paraId="166D27E9" w14:textId="77777777" w:rsidR="00972395" w:rsidRPr="00E73D4B" w:rsidRDefault="00F120C7" w:rsidP="00E73D4B">
      <w:pPr>
        <w:pStyle w:val="blokksit"/>
        <w:rPr>
          <w:rStyle w:val="kursiv"/>
        </w:rPr>
      </w:pPr>
      <w:r w:rsidRPr="00E73D4B">
        <w:rPr>
          <w:rStyle w:val="kursiv"/>
        </w:rPr>
        <w:t xml:space="preserve">«Stortinget ber regjeringa vurdere ulike </w:t>
      </w:r>
      <w:proofErr w:type="spellStart"/>
      <w:r w:rsidRPr="00E73D4B">
        <w:rPr>
          <w:rStyle w:val="kursiv"/>
        </w:rPr>
        <w:t>verkemiddel</w:t>
      </w:r>
      <w:proofErr w:type="spellEnd"/>
      <w:r w:rsidRPr="00E73D4B">
        <w:rPr>
          <w:rStyle w:val="kursiv"/>
        </w:rPr>
        <w:t xml:space="preserve"> som kan bidra til raske </w:t>
      </w:r>
      <w:proofErr w:type="spellStart"/>
      <w:r w:rsidRPr="00E73D4B">
        <w:rPr>
          <w:rStyle w:val="kursiv"/>
        </w:rPr>
        <w:t>utsleppskutt</w:t>
      </w:r>
      <w:proofErr w:type="spellEnd"/>
      <w:r w:rsidRPr="00E73D4B">
        <w:rPr>
          <w:rStyle w:val="kursiv"/>
        </w:rPr>
        <w:t xml:space="preserve"> for store industrielle punktutslepp, </w:t>
      </w:r>
      <w:proofErr w:type="spellStart"/>
      <w:r w:rsidRPr="00E73D4B">
        <w:rPr>
          <w:rStyle w:val="kursiv"/>
        </w:rPr>
        <w:t>irekna</w:t>
      </w:r>
      <w:proofErr w:type="spellEnd"/>
      <w:r w:rsidRPr="00E73D4B">
        <w:rPr>
          <w:rStyle w:val="kursiv"/>
        </w:rPr>
        <w:t xml:space="preserve"> system for </w:t>
      </w:r>
      <w:proofErr w:type="spellStart"/>
      <w:r w:rsidRPr="00E73D4B">
        <w:rPr>
          <w:rStyle w:val="kursiv"/>
        </w:rPr>
        <w:t>differansekontraktar</w:t>
      </w:r>
      <w:proofErr w:type="spellEnd"/>
      <w:r w:rsidRPr="00E73D4B">
        <w:rPr>
          <w:rStyle w:val="kursiv"/>
        </w:rPr>
        <w:t>.»</w:t>
      </w:r>
    </w:p>
    <w:p w14:paraId="74A0CDAE"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innstilling </w:t>
      </w:r>
      <w:proofErr w:type="spellStart"/>
      <w:r w:rsidRPr="00E73D4B">
        <w:t>frå</w:t>
      </w:r>
      <w:proofErr w:type="spellEnd"/>
      <w:r w:rsidRPr="00E73D4B">
        <w:t xml:space="preserve"> finanskomiteen om nasjonalbudsjettet for 2022 og forslaget til statsbudsjett for 2022, jf. </w:t>
      </w:r>
      <w:proofErr w:type="spellStart"/>
      <w:r w:rsidRPr="00E73D4B">
        <w:t>Innst</w:t>
      </w:r>
      <w:proofErr w:type="spellEnd"/>
      <w:r w:rsidRPr="00E73D4B">
        <w:t>. 2 S (2021–2022).</w:t>
      </w:r>
    </w:p>
    <w:p w14:paraId="57FF7812" w14:textId="77777777" w:rsidR="00972395" w:rsidRPr="00E73D4B" w:rsidRDefault="00F120C7" w:rsidP="00E73D4B">
      <w:r w:rsidRPr="00E73D4B">
        <w:t>Vedtaket er under oppfølging.</w:t>
      </w:r>
    </w:p>
    <w:p w14:paraId="7EAE2353" w14:textId="77777777" w:rsidR="00972395" w:rsidRPr="00E73D4B" w:rsidRDefault="00F120C7" w:rsidP="00E73D4B">
      <w:pPr>
        <w:pStyle w:val="avsnitt-tittel"/>
      </w:pPr>
      <w:r w:rsidRPr="00E73D4B">
        <w:t xml:space="preserve">Enøktiltak i </w:t>
      </w:r>
      <w:proofErr w:type="spellStart"/>
      <w:r w:rsidRPr="00E73D4B">
        <w:t>hushalda</w:t>
      </w:r>
      <w:proofErr w:type="spellEnd"/>
    </w:p>
    <w:p w14:paraId="798E30B8" w14:textId="77777777" w:rsidR="00972395" w:rsidRPr="00E73D4B" w:rsidRDefault="00F120C7" w:rsidP="00E73D4B">
      <w:pPr>
        <w:pStyle w:val="avsnitt-undertittel"/>
      </w:pPr>
      <w:r w:rsidRPr="00E73D4B">
        <w:t>Vedtak nr. 35.6, 2. desember 2021</w:t>
      </w:r>
    </w:p>
    <w:p w14:paraId="5EEFEF90" w14:textId="77777777" w:rsidR="00972395" w:rsidRPr="00E73D4B" w:rsidRDefault="00F120C7" w:rsidP="00E73D4B">
      <w:pPr>
        <w:pStyle w:val="blokksit"/>
        <w:rPr>
          <w:rStyle w:val="kursiv"/>
        </w:rPr>
      </w:pPr>
      <w:r w:rsidRPr="00E73D4B">
        <w:rPr>
          <w:rStyle w:val="kursiv"/>
        </w:rPr>
        <w:t xml:space="preserve">«Stortinget ber regjeringen vurdere å overføre ansvaret for arbeidet med enøktiltak med kjent og velprøvd teknologi og egen strømproduksjon i husholdningene til Husbanken innen revidert 2022. Stortinget ber regjeringen sikre at </w:t>
      </w:r>
      <w:proofErr w:type="spellStart"/>
      <w:r w:rsidRPr="00E73D4B">
        <w:rPr>
          <w:rStyle w:val="kursiv"/>
        </w:rPr>
        <w:t>Enova</w:t>
      </w:r>
      <w:proofErr w:type="spellEnd"/>
      <w:r w:rsidRPr="00E73D4B">
        <w:rPr>
          <w:rStyle w:val="kursiv"/>
        </w:rPr>
        <w:t xml:space="preserve"> benytter rammen på 300 millioner kroner til husholdninger som følger av </w:t>
      </w:r>
      <w:proofErr w:type="spellStart"/>
      <w:r w:rsidRPr="00E73D4B">
        <w:rPr>
          <w:rStyle w:val="kursiv"/>
        </w:rPr>
        <w:t>Enova</w:t>
      </w:r>
      <w:proofErr w:type="spellEnd"/>
      <w:r w:rsidRPr="00E73D4B">
        <w:rPr>
          <w:rStyle w:val="kursiv"/>
        </w:rPr>
        <w:t>-avtalen, i tillegg til 100 millioner kroner som kommer av enigheten mellom partiene. Regjeringen skal i statsbudsjettet for 2023 redegjøre for arbeidet med ENØK-tiltak i husholdningene»</w:t>
      </w:r>
    </w:p>
    <w:p w14:paraId="35C656BB"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innstilling </w:t>
      </w:r>
      <w:proofErr w:type="spellStart"/>
      <w:r w:rsidRPr="00E73D4B">
        <w:t>frå</w:t>
      </w:r>
      <w:proofErr w:type="spellEnd"/>
      <w:r w:rsidRPr="00E73D4B">
        <w:t xml:space="preserve"> finanskomiteen om nasjonalbudsjettet for 2022 og forslaget til statsbudsjett for 2022, jf. </w:t>
      </w:r>
      <w:proofErr w:type="spellStart"/>
      <w:r w:rsidRPr="00E73D4B">
        <w:t>Innst</w:t>
      </w:r>
      <w:proofErr w:type="spellEnd"/>
      <w:r w:rsidRPr="00E73D4B">
        <w:t>. 2 S (2021–2022).</w:t>
      </w:r>
    </w:p>
    <w:p w14:paraId="14FA2199" w14:textId="77777777" w:rsidR="00972395" w:rsidRPr="00E73D4B" w:rsidRDefault="00F120C7" w:rsidP="00E73D4B">
      <w:r w:rsidRPr="00E73D4B">
        <w:t xml:space="preserve">Regjeringa har i 2022 sett av 400 mill. kroner til klima- og energitiltak hos </w:t>
      </w:r>
      <w:proofErr w:type="spellStart"/>
      <w:r w:rsidRPr="00E73D4B">
        <w:t>hushald</w:t>
      </w:r>
      <w:proofErr w:type="spellEnd"/>
      <w:r w:rsidRPr="00E73D4B">
        <w:t xml:space="preserve"> og </w:t>
      </w:r>
      <w:proofErr w:type="spellStart"/>
      <w:r w:rsidRPr="00E73D4B">
        <w:t>forbrukarar</w:t>
      </w:r>
      <w:proofErr w:type="spellEnd"/>
      <w:r w:rsidRPr="00E73D4B">
        <w:t xml:space="preserve"> gjennom </w:t>
      </w:r>
      <w:proofErr w:type="spellStart"/>
      <w:r w:rsidRPr="00E73D4B">
        <w:t>Enova</w:t>
      </w:r>
      <w:proofErr w:type="spellEnd"/>
      <w:r w:rsidRPr="00E73D4B">
        <w:t xml:space="preserve"> si styringsavtale. Dette er ei auking på 100 mill. kroner </w:t>
      </w:r>
      <w:proofErr w:type="spellStart"/>
      <w:r w:rsidRPr="00E73D4B">
        <w:t>frå</w:t>
      </w:r>
      <w:proofErr w:type="spellEnd"/>
      <w:r w:rsidRPr="00E73D4B">
        <w:t xml:space="preserve"> </w:t>
      </w:r>
      <w:proofErr w:type="spellStart"/>
      <w:r w:rsidRPr="00E73D4B">
        <w:t>førre</w:t>
      </w:r>
      <w:proofErr w:type="spellEnd"/>
      <w:r w:rsidRPr="00E73D4B">
        <w:t xml:space="preserve"> regjering. Regjeringa er </w:t>
      </w:r>
      <w:proofErr w:type="spellStart"/>
      <w:r w:rsidRPr="00E73D4B">
        <w:t>oppteken</w:t>
      </w:r>
      <w:proofErr w:type="spellEnd"/>
      <w:r w:rsidRPr="00E73D4B">
        <w:t xml:space="preserve"> av at </w:t>
      </w:r>
      <w:proofErr w:type="spellStart"/>
      <w:r w:rsidRPr="00E73D4B">
        <w:t>hushald</w:t>
      </w:r>
      <w:proofErr w:type="spellEnd"/>
      <w:r w:rsidRPr="00E73D4B">
        <w:t xml:space="preserve"> med låge inntekter også skal ha </w:t>
      </w:r>
      <w:proofErr w:type="spellStart"/>
      <w:r w:rsidRPr="00E73D4B">
        <w:t>moglegheit</w:t>
      </w:r>
      <w:proofErr w:type="spellEnd"/>
      <w:r w:rsidRPr="00E73D4B">
        <w:t xml:space="preserve"> til å få energioppgradert </w:t>
      </w:r>
      <w:proofErr w:type="spellStart"/>
      <w:r w:rsidRPr="00E73D4B">
        <w:t>bustadane</w:t>
      </w:r>
      <w:proofErr w:type="spellEnd"/>
      <w:r w:rsidRPr="00E73D4B">
        <w:t xml:space="preserve"> sine. I februar 2022 lanserte regjeringa </w:t>
      </w:r>
      <w:proofErr w:type="spellStart"/>
      <w:r w:rsidRPr="00E73D4B">
        <w:t>difor</w:t>
      </w:r>
      <w:proofErr w:type="spellEnd"/>
      <w:r w:rsidRPr="00E73D4B">
        <w:t xml:space="preserve"> ei ordning på 100 mill. kroner gjennom </w:t>
      </w:r>
      <w:proofErr w:type="spellStart"/>
      <w:r w:rsidRPr="00E73D4B">
        <w:t>Enova</w:t>
      </w:r>
      <w:proofErr w:type="spellEnd"/>
      <w:r w:rsidRPr="00E73D4B">
        <w:t xml:space="preserve">, kor </w:t>
      </w:r>
      <w:proofErr w:type="spellStart"/>
      <w:r w:rsidRPr="00E73D4B">
        <w:t>kommunar</w:t>
      </w:r>
      <w:proofErr w:type="spellEnd"/>
      <w:r w:rsidRPr="00E73D4B">
        <w:t xml:space="preserve"> kan </w:t>
      </w:r>
      <w:proofErr w:type="spellStart"/>
      <w:r w:rsidRPr="00E73D4B">
        <w:t>søkje</w:t>
      </w:r>
      <w:proofErr w:type="spellEnd"/>
      <w:r w:rsidRPr="00E73D4B">
        <w:t xml:space="preserve"> om stønad til energitiltak i kommunale </w:t>
      </w:r>
      <w:proofErr w:type="spellStart"/>
      <w:r w:rsidRPr="00E73D4B">
        <w:t>bustadar</w:t>
      </w:r>
      <w:proofErr w:type="spellEnd"/>
      <w:r w:rsidRPr="00E73D4B">
        <w:t xml:space="preserve">. </w:t>
      </w:r>
      <w:proofErr w:type="spellStart"/>
      <w:r w:rsidRPr="00E73D4B">
        <w:t>Frå</w:t>
      </w:r>
      <w:proofErr w:type="spellEnd"/>
      <w:r w:rsidRPr="00E73D4B">
        <w:t xml:space="preserve"> 2023 legg regjeringa opp til å overføre 200 mill. kroner til Husbanken for å støtte energitiltak for </w:t>
      </w:r>
      <w:proofErr w:type="spellStart"/>
      <w:r w:rsidRPr="00E73D4B">
        <w:t>hushald</w:t>
      </w:r>
      <w:proofErr w:type="spellEnd"/>
      <w:r w:rsidRPr="00E73D4B">
        <w:t xml:space="preserve"> med låge inntekter. Her vil det i stor grad </w:t>
      </w:r>
      <w:proofErr w:type="spellStart"/>
      <w:r w:rsidRPr="00E73D4B">
        <w:t>vere</w:t>
      </w:r>
      <w:proofErr w:type="spellEnd"/>
      <w:r w:rsidRPr="00E73D4B">
        <w:t xml:space="preserve"> snakk om </w:t>
      </w:r>
      <w:proofErr w:type="spellStart"/>
      <w:r w:rsidRPr="00E73D4B">
        <w:t>kjend</w:t>
      </w:r>
      <w:proofErr w:type="spellEnd"/>
      <w:r w:rsidRPr="00E73D4B">
        <w:t xml:space="preserve"> og velprøvd teknologi.</w:t>
      </w:r>
    </w:p>
    <w:p w14:paraId="5AE7A001" w14:textId="77777777" w:rsidR="00972395" w:rsidRPr="00E73D4B" w:rsidRDefault="00F120C7" w:rsidP="00E73D4B">
      <w:proofErr w:type="spellStart"/>
      <w:r w:rsidRPr="00E73D4B">
        <w:t>Enova</w:t>
      </w:r>
      <w:proofErr w:type="spellEnd"/>
      <w:r w:rsidRPr="00E73D4B">
        <w:t xml:space="preserve"> har over mange år hatt </w:t>
      </w:r>
      <w:proofErr w:type="spellStart"/>
      <w:r w:rsidRPr="00E73D4B">
        <w:t>ein</w:t>
      </w:r>
      <w:proofErr w:type="spellEnd"/>
      <w:r w:rsidRPr="00E73D4B">
        <w:t xml:space="preserve"> viktig innsats retta mot energitiltak hos </w:t>
      </w:r>
      <w:proofErr w:type="spellStart"/>
      <w:r w:rsidRPr="00E73D4B">
        <w:t>hushalda</w:t>
      </w:r>
      <w:proofErr w:type="spellEnd"/>
      <w:r w:rsidRPr="00E73D4B">
        <w:t xml:space="preserve">. Over avtaleperioden </w:t>
      </w:r>
      <w:proofErr w:type="spellStart"/>
      <w:r w:rsidRPr="00E73D4B">
        <w:t>frå</w:t>
      </w:r>
      <w:proofErr w:type="spellEnd"/>
      <w:r w:rsidRPr="00E73D4B">
        <w:t xml:space="preserve"> 2021 til 2024 vil </w:t>
      </w:r>
      <w:proofErr w:type="spellStart"/>
      <w:r w:rsidRPr="00E73D4B">
        <w:t>Enova</w:t>
      </w:r>
      <w:proofErr w:type="spellEnd"/>
      <w:r w:rsidRPr="00E73D4B">
        <w:t xml:space="preserve"> totalt stille til disposisjon 1,1 mrd. kroner til i </w:t>
      </w:r>
      <w:proofErr w:type="spellStart"/>
      <w:r w:rsidRPr="00E73D4B">
        <w:t>hovudsak</w:t>
      </w:r>
      <w:proofErr w:type="spellEnd"/>
      <w:r w:rsidRPr="00E73D4B">
        <w:t xml:space="preserve"> energitiltak hos </w:t>
      </w:r>
      <w:proofErr w:type="spellStart"/>
      <w:r w:rsidRPr="00E73D4B">
        <w:t>hushald</w:t>
      </w:r>
      <w:proofErr w:type="spellEnd"/>
      <w:r w:rsidRPr="00E73D4B">
        <w:t xml:space="preserve"> og </w:t>
      </w:r>
      <w:proofErr w:type="spellStart"/>
      <w:r w:rsidRPr="00E73D4B">
        <w:t>forbrukarar</w:t>
      </w:r>
      <w:proofErr w:type="spellEnd"/>
      <w:r w:rsidRPr="00E73D4B">
        <w:t xml:space="preserve">. I februar 2022 lanserte </w:t>
      </w:r>
      <w:proofErr w:type="spellStart"/>
      <w:r w:rsidRPr="00E73D4B">
        <w:t>Enova</w:t>
      </w:r>
      <w:proofErr w:type="spellEnd"/>
      <w:r w:rsidRPr="00E73D4B">
        <w:t xml:space="preserve"> stønad til </w:t>
      </w:r>
      <w:proofErr w:type="spellStart"/>
      <w:r w:rsidRPr="00E73D4B">
        <w:t>fleire</w:t>
      </w:r>
      <w:proofErr w:type="spellEnd"/>
      <w:r w:rsidRPr="00E73D4B">
        <w:t xml:space="preserve"> nye tiltak. Mellom anna </w:t>
      </w:r>
      <w:proofErr w:type="spellStart"/>
      <w:r w:rsidRPr="00E73D4B">
        <w:t>auka</w:t>
      </w:r>
      <w:proofErr w:type="spellEnd"/>
      <w:r w:rsidRPr="00E73D4B">
        <w:t xml:space="preserve"> stønad til solcellepanel, stønad til smart straumstyring, smarte </w:t>
      </w:r>
      <w:proofErr w:type="spellStart"/>
      <w:r w:rsidRPr="00E73D4B">
        <w:t>varmtvasstankar</w:t>
      </w:r>
      <w:proofErr w:type="spellEnd"/>
      <w:r w:rsidRPr="00E73D4B">
        <w:t xml:space="preserve">, og kartleggingsstønad til burettslag og bustadsameige. Det blei også lansert stønad til energikartlegging for burettslag og </w:t>
      </w:r>
      <w:proofErr w:type="spellStart"/>
      <w:r w:rsidRPr="00E73D4B">
        <w:t>sameige</w:t>
      </w:r>
      <w:proofErr w:type="spellEnd"/>
      <w:r w:rsidRPr="00E73D4B">
        <w:t xml:space="preserve"> som skal </w:t>
      </w:r>
      <w:proofErr w:type="spellStart"/>
      <w:r w:rsidRPr="00E73D4B">
        <w:t>gje</w:t>
      </w:r>
      <w:proofErr w:type="spellEnd"/>
      <w:r w:rsidRPr="00E73D4B">
        <w:t xml:space="preserve"> konkrete </w:t>
      </w:r>
      <w:proofErr w:type="spellStart"/>
      <w:r w:rsidRPr="00E73D4B">
        <w:t>anbefalingar</w:t>
      </w:r>
      <w:proofErr w:type="spellEnd"/>
      <w:r w:rsidRPr="00E73D4B">
        <w:t xml:space="preserve"> om smarte energi- og klimatiltak. </w:t>
      </w:r>
      <w:proofErr w:type="spellStart"/>
      <w:r w:rsidRPr="00E73D4B">
        <w:t>Enova</w:t>
      </w:r>
      <w:proofErr w:type="spellEnd"/>
      <w:r w:rsidRPr="00E73D4B">
        <w:t xml:space="preserve"> opplever </w:t>
      </w:r>
      <w:proofErr w:type="spellStart"/>
      <w:r w:rsidRPr="00E73D4B">
        <w:t>monaleg</w:t>
      </w:r>
      <w:proofErr w:type="spellEnd"/>
      <w:r w:rsidRPr="00E73D4B">
        <w:t xml:space="preserve"> </w:t>
      </w:r>
      <w:proofErr w:type="spellStart"/>
      <w:r w:rsidRPr="00E73D4B">
        <w:t>auke</w:t>
      </w:r>
      <w:proofErr w:type="spellEnd"/>
      <w:r w:rsidRPr="00E73D4B">
        <w:t xml:space="preserve"> i søknadspågangen til denne ordninga og </w:t>
      </w:r>
      <w:proofErr w:type="spellStart"/>
      <w:r w:rsidRPr="00E73D4B">
        <w:t>ventar</w:t>
      </w:r>
      <w:proofErr w:type="spellEnd"/>
      <w:r w:rsidRPr="00E73D4B">
        <w:t xml:space="preserve"> å betale ut opp mot 300 mill. kroner i 2022 i tillegg til stønaden til </w:t>
      </w:r>
      <w:proofErr w:type="spellStart"/>
      <w:r w:rsidRPr="00E73D4B">
        <w:t>dei</w:t>
      </w:r>
      <w:proofErr w:type="spellEnd"/>
      <w:r w:rsidRPr="00E73D4B">
        <w:t xml:space="preserve"> kommunale </w:t>
      </w:r>
      <w:proofErr w:type="spellStart"/>
      <w:r w:rsidRPr="00E73D4B">
        <w:t>bustadane</w:t>
      </w:r>
      <w:proofErr w:type="spellEnd"/>
      <w:r w:rsidRPr="00E73D4B">
        <w:t xml:space="preserve">. Stønaden til </w:t>
      </w:r>
      <w:proofErr w:type="spellStart"/>
      <w:r w:rsidRPr="00E73D4B">
        <w:t>hushald</w:t>
      </w:r>
      <w:proofErr w:type="spellEnd"/>
      <w:r w:rsidRPr="00E73D4B">
        <w:t xml:space="preserve"> vert betalt ut etterskottsvis, så det </w:t>
      </w:r>
      <w:proofErr w:type="spellStart"/>
      <w:r w:rsidRPr="00E73D4B">
        <w:t>tek</w:t>
      </w:r>
      <w:proofErr w:type="spellEnd"/>
      <w:r w:rsidRPr="00E73D4B">
        <w:t xml:space="preserve"> </w:t>
      </w:r>
      <w:proofErr w:type="spellStart"/>
      <w:r w:rsidRPr="00E73D4B">
        <w:t>noko</w:t>
      </w:r>
      <w:proofErr w:type="spellEnd"/>
      <w:r w:rsidRPr="00E73D4B">
        <w:t xml:space="preserve"> tid før </w:t>
      </w:r>
      <w:proofErr w:type="spellStart"/>
      <w:r w:rsidRPr="00E73D4B">
        <w:t>auka</w:t>
      </w:r>
      <w:proofErr w:type="spellEnd"/>
      <w:r w:rsidRPr="00E73D4B">
        <w:t xml:space="preserve"> pågang fører til </w:t>
      </w:r>
      <w:proofErr w:type="spellStart"/>
      <w:r w:rsidRPr="00E73D4B">
        <w:t>auka</w:t>
      </w:r>
      <w:proofErr w:type="spellEnd"/>
      <w:r w:rsidRPr="00E73D4B">
        <w:t xml:space="preserve"> utbetaling.</w:t>
      </w:r>
    </w:p>
    <w:p w14:paraId="02F233C3" w14:textId="77777777" w:rsidR="00972395" w:rsidRPr="00E73D4B" w:rsidRDefault="00F120C7" w:rsidP="00E73D4B">
      <w:r w:rsidRPr="00E73D4B">
        <w:t xml:space="preserve">Regjeringa har til </w:t>
      </w:r>
      <w:proofErr w:type="spellStart"/>
      <w:r w:rsidRPr="00E73D4B">
        <w:t>saman</w:t>
      </w:r>
      <w:proofErr w:type="spellEnd"/>
      <w:r w:rsidRPr="00E73D4B">
        <w:t xml:space="preserve"> sett av 500 mill. kroner </w:t>
      </w:r>
      <w:proofErr w:type="spellStart"/>
      <w:r w:rsidRPr="00E73D4B">
        <w:t>årleg</w:t>
      </w:r>
      <w:proofErr w:type="spellEnd"/>
      <w:r w:rsidRPr="00E73D4B">
        <w:t xml:space="preserve"> til å styrke satsinga på energitiltak gjennom Husbanken </w:t>
      </w:r>
      <w:proofErr w:type="spellStart"/>
      <w:r w:rsidRPr="00E73D4B">
        <w:t>frå</w:t>
      </w:r>
      <w:proofErr w:type="spellEnd"/>
      <w:r w:rsidRPr="00E73D4B">
        <w:t xml:space="preserve"> 2023, inkludert ei overføring av 200 mill. kroner </w:t>
      </w:r>
      <w:proofErr w:type="spellStart"/>
      <w:r w:rsidRPr="00E73D4B">
        <w:t>frå</w:t>
      </w:r>
      <w:proofErr w:type="spellEnd"/>
      <w:r w:rsidRPr="00E73D4B">
        <w:t xml:space="preserve"> </w:t>
      </w:r>
      <w:proofErr w:type="spellStart"/>
      <w:r w:rsidRPr="00E73D4B">
        <w:t>Enova</w:t>
      </w:r>
      <w:proofErr w:type="spellEnd"/>
      <w:r w:rsidRPr="00E73D4B">
        <w:t xml:space="preserve">. Husbanken vil </w:t>
      </w:r>
      <w:proofErr w:type="spellStart"/>
      <w:r w:rsidRPr="00E73D4B">
        <w:t>frå</w:t>
      </w:r>
      <w:proofErr w:type="spellEnd"/>
      <w:r w:rsidRPr="00E73D4B">
        <w:t xml:space="preserve"> 2023 </w:t>
      </w:r>
      <w:proofErr w:type="spellStart"/>
      <w:r w:rsidRPr="00E73D4B">
        <w:t>gje</w:t>
      </w:r>
      <w:proofErr w:type="spellEnd"/>
      <w:r w:rsidRPr="00E73D4B">
        <w:t xml:space="preserve"> stønad til energitiltak i kommunalt </w:t>
      </w:r>
      <w:proofErr w:type="spellStart"/>
      <w:r w:rsidRPr="00E73D4B">
        <w:t>eigde</w:t>
      </w:r>
      <w:proofErr w:type="spellEnd"/>
      <w:r w:rsidRPr="00E73D4B">
        <w:t xml:space="preserve"> </w:t>
      </w:r>
      <w:proofErr w:type="spellStart"/>
      <w:r w:rsidRPr="00E73D4B">
        <w:t>utleigebustadar</w:t>
      </w:r>
      <w:proofErr w:type="spellEnd"/>
      <w:r w:rsidRPr="00E73D4B">
        <w:t xml:space="preserve">, </w:t>
      </w:r>
      <w:proofErr w:type="spellStart"/>
      <w:r w:rsidRPr="00E73D4B">
        <w:t>sjukeheimar</w:t>
      </w:r>
      <w:proofErr w:type="spellEnd"/>
      <w:r w:rsidRPr="00E73D4B">
        <w:t xml:space="preserve"> og </w:t>
      </w:r>
      <w:proofErr w:type="spellStart"/>
      <w:r w:rsidRPr="00E73D4B">
        <w:t>omsorgsbustadar</w:t>
      </w:r>
      <w:proofErr w:type="spellEnd"/>
      <w:r w:rsidRPr="00E73D4B">
        <w:t xml:space="preserve">, og </w:t>
      </w:r>
      <w:proofErr w:type="spellStart"/>
      <w:r w:rsidRPr="00E73D4B">
        <w:t>studentbustadar</w:t>
      </w:r>
      <w:proofErr w:type="spellEnd"/>
      <w:r w:rsidRPr="00E73D4B">
        <w:t xml:space="preserve">. Stønaden til energitiltak i kommunalt </w:t>
      </w:r>
      <w:proofErr w:type="spellStart"/>
      <w:r w:rsidRPr="00E73D4B">
        <w:t>eigde</w:t>
      </w:r>
      <w:proofErr w:type="spellEnd"/>
      <w:r w:rsidRPr="00E73D4B">
        <w:t xml:space="preserve"> </w:t>
      </w:r>
      <w:proofErr w:type="spellStart"/>
      <w:r w:rsidRPr="00E73D4B">
        <w:t>utleigebustadar</w:t>
      </w:r>
      <w:proofErr w:type="spellEnd"/>
      <w:r w:rsidRPr="00E73D4B">
        <w:t xml:space="preserve"> vil </w:t>
      </w:r>
      <w:proofErr w:type="spellStart"/>
      <w:r w:rsidRPr="00E73D4B">
        <w:t>kome</w:t>
      </w:r>
      <w:proofErr w:type="spellEnd"/>
      <w:r w:rsidRPr="00E73D4B">
        <w:t xml:space="preserve"> </w:t>
      </w:r>
      <w:proofErr w:type="spellStart"/>
      <w:r w:rsidRPr="00E73D4B">
        <w:t>hushald</w:t>
      </w:r>
      <w:proofErr w:type="spellEnd"/>
      <w:r w:rsidRPr="00E73D4B">
        <w:t xml:space="preserve"> med låge inntekter til gode. Det blir og vist til Kommunal- og </w:t>
      </w:r>
      <w:proofErr w:type="spellStart"/>
      <w:r w:rsidRPr="00E73D4B">
        <w:t>distriktsdepartementet</w:t>
      </w:r>
      <w:proofErr w:type="spellEnd"/>
      <w:r w:rsidRPr="00E73D4B">
        <w:t xml:space="preserve"> sitt budsjett for </w:t>
      </w:r>
      <w:proofErr w:type="spellStart"/>
      <w:r w:rsidRPr="00E73D4B">
        <w:t>ein</w:t>
      </w:r>
      <w:proofErr w:type="spellEnd"/>
      <w:r w:rsidRPr="00E73D4B">
        <w:t xml:space="preserve"> </w:t>
      </w:r>
      <w:proofErr w:type="spellStart"/>
      <w:r w:rsidRPr="00E73D4B">
        <w:t>nærare</w:t>
      </w:r>
      <w:proofErr w:type="spellEnd"/>
      <w:r w:rsidRPr="00E73D4B">
        <w:t xml:space="preserve"> omtale av dette. Det blir og vist til omtale av energieffektivisering i bygg, </w:t>
      </w:r>
      <w:proofErr w:type="spellStart"/>
      <w:r w:rsidRPr="00E73D4B">
        <w:t>irekna</w:t>
      </w:r>
      <w:proofErr w:type="spellEnd"/>
      <w:r w:rsidRPr="00E73D4B">
        <w:t xml:space="preserve"> </w:t>
      </w:r>
      <w:proofErr w:type="spellStart"/>
      <w:r w:rsidRPr="00E73D4B">
        <w:t>hushald</w:t>
      </w:r>
      <w:proofErr w:type="spellEnd"/>
      <w:r w:rsidRPr="00E73D4B">
        <w:t>, i Olje- og energidepartementet sitt budsjett.</w:t>
      </w:r>
    </w:p>
    <w:p w14:paraId="20B87AD0" w14:textId="77777777" w:rsidR="00972395" w:rsidRPr="00E73D4B" w:rsidRDefault="00F120C7" w:rsidP="00E73D4B">
      <w:r w:rsidRPr="00E73D4B">
        <w:t xml:space="preserve">Departementet ser med dette vedtaket som </w:t>
      </w:r>
      <w:proofErr w:type="spellStart"/>
      <w:r w:rsidRPr="00E73D4B">
        <w:t>følgt</w:t>
      </w:r>
      <w:proofErr w:type="spellEnd"/>
      <w:r w:rsidRPr="00E73D4B">
        <w:t xml:space="preserve"> opp.</w:t>
      </w:r>
    </w:p>
    <w:p w14:paraId="604C2F2A" w14:textId="77777777" w:rsidR="00972395" w:rsidRPr="00E73D4B" w:rsidRDefault="00F120C7" w:rsidP="00E73D4B">
      <w:pPr>
        <w:pStyle w:val="avsnitt-tittel"/>
      </w:pPr>
      <w:r w:rsidRPr="00E73D4B">
        <w:t xml:space="preserve">Krav om nullutslepp og fossilfrie </w:t>
      </w:r>
      <w:proofErr w:type="spellStart"/>
      <w:r w:rsidRPr="00E73D4B">
        <w:t>byggje</w:t>
      </w:r>
      <w:proofErr w:type="spellEnd"/>
      <w:r w:rsidRPr="00E73D4B">
        <w:t xml:space="preserve">- og </w:t>
      </w:r>
      <w:proofErr w:type="spellStart"/>
      <w:r w:rsidRPr="00E73D4B">
        <w:t>anleggsplassar</w:t>
      </w:r>
      <w:proofErr w:type="spellEnd"/>
      <w:r w:rsidRPr="00E73D4B">
        <w:t xml:space="preserve"> i </w:t>
      </w:r>
      <w:proofErr w:type="spellStart"/>
      <w:r w:rsidRPr="00E73D4B">
        <w:t>offentlege</w:t>
      </w:r>
      <w:proofErr w:type="spellEnd"/>
      <w:r w:rsidRPr="00E73D4B">
        <w:t xml:space="preserve"> </w:t>
      </w:r>
      <w:proofErr w:type="spellStart"/>
      <w:r w:rsidRPr="00E73D4B">
        <w:t>anbod</w:t>
      </w:r>
      <w:proofErr w:type="spellEnd"/>
    </w:p>
    <w:p w14:paraId="65BA588A" w14:textId="77777777" w:rsidR="00972395" w:rsidRPr="00E73D4B" w:rsidRDefault="00F120C7" w:rsidP="00E73D4B">
      <w:pPr>
        <w:pStyle w:val="avsnitt-undertittel"/>
      </w:pPr>
      <w:r w:rsidRPr="00E73D4B">
        <w:t>Vedtak nr. 35.10, 2. desember 2021</w:t>
      </w:r>
    </w:p>
    <w:p w14:paraId="38E390C2" w14:textId="77777777" w:rsidR="00972395" w:rsidRPr="00E73D4B" w:rsidRDefault="00F120C7" w:rsidP="00E73D4B">
      <w:pPr>
        <w:pStyle w:val="blokksit"/>
      </w:pPr>
      <w:r w:rsidRPr="00E73D4B">
        <w:rPr>
          <w:rStyle w:val="kursiv"/>
        </w:rPr>
        <w:t>«Stortinget ber regjeringen utrede forslag om krav om nullutslipp og fossilfrie bygge- og anleggsplasser i offentlige anbud i løpet av 2022.»</w:t>
      </w:r>
    </w:p>
    <w:p w14:paraId="0D35282A"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innstilling </w:t>
      </w:r>
      <w:proofErr w:type="spellStart"/>
      <w:r w:rsidRPr="00E73D4B">
        <w:t>frå</w:t>
      </w:r>
      <w:proofErr w:type="spellEnd"/>
      <w:r w:rsidRPr="00E73D4B">
        <w:t xml:space="preserve"> finanskomiteen om nasjonalbudsjettet for 2022 og forslaget til statsbudsjett for 2022, jf. </w:t>
      </w:r>
      <w:proofErr w:type="spellStart"/>
      <w:r w:rsidRPr="00E73D4B">
        <w:t>Innst</w:t>
      </w:r>
      <w:proofErr w:type="spellEnd"/>
      <w:r w:rsidRPr="00E73D4B">
        <w:t>. 2 S (2021–2022).</w:t>
      </w:r>
    </w:p>
    <w:p w14:paraId="4B5283E3" w14:textId="77777777" w:rsidR="00972395" w:rsidRPr="00E73D4B" w:rsidRDefault="00F120C7" w:rsidP="00E73D4B">
      <w:r w:rsidRPr="00E73D4B">
        <w:t xml:space="preserve">Vedtaket er under oppfølging. Miljødirektoratet har fått i oppdrag å greie ut </w:t>
      </w:r>
      <w:proofErr w:type="spellStart"/>
      <w:r w:rsidRPr="00E73D4B">
        <w:t>utsleppsreduserande</w:t>
      </w:r>
      <w:proofErr w:type="spellEnd"/>
      <w:r w:rsidRPr="00E73D4B">
        <w:t xml:space="preserve"> tiltak på </w:t>
      </w:r>
      <w:proofErr w:type="spellStart"/>
      <w:r w:rsidRPr="00E73D4B">
        <w:t>byggje</w:t>
      </w:r>
      <w:proofErr w:type="spellEnd"/>
      <w:r w:rsidRPr="00E73D4B">
        <w:t xml:space="preserve">- og </w:t>
      </w:r>
      <w:proofErr w:type="spellStart"/>
      <w:r w:rsidRPr="00E73D4B">
        <w:t>anleggsplassar</w:t>
      </w:r>
      <w:proofErr w:type="spellEnd"/>
      <w:r w:rsidRPr="00E73D4B">
        <w:t xml:space="preserve">. Oppdraget vil </w:t>
      </w:r>
      <w:proofErr w:type="spellStart"/>
      <w:r w:rsidRPr="00E73D4B">
        <w:t>gje</w:t>
      </w:r>
      <w:proofErr w:type="spellEnd"/>
      <w:r w:rsidRPr="00E73D4B">
        <w:t xml:space="preserve"> </w:t>
      </w:r>
      <w:proofErr w:type="spellStart"/>
      <w:r w:rsidRPr="00E73D4B">
        <w:t>eit</w:t>
      </w:r>
      <w:proofErr w:type="spellEnd"/>
      <w:r w:rsidRPr="00E73D4B">
        <w:t xml:space="preserve"> oppdatert kunnskapsgrunnlag om </w:t>
      </w:r>
      <w:proofErr w:type="spellStart"/>
      <w:r w:rsidRPr="00E73D4B">
        <w:t>barrierar</w:t>
      </w:r>
      <w:proofErr w:type="spellEnd"/>
      <w:r w:rsidRPr="00E73D4B">
        <w:t xml:space="preserve"> og potensial for </w:t>
      </w:r>
      <w:proofErr w:type="spellStart"/>
      <w:r w:rsidRPr="00E73D4B">
        <w:t>utsleppskutt</w:t>
      </w:r>
      <w:proofErr w:type="spellEnd"/>
      <w:r w:rsidRPr="00E73D4B">
        <w:t xml:space="preserve"> i bransjen. Regjeringa vil komme tilbake til Stortinget på eigna måte når oppdraget er levert.</w:t>
      </w:r>
    </w:p>
    <w:p w14:paraId="379A70E2" w14:textId="77777777" w:rsidR="00972395" w:rsidRPr="00E73D4B" w:rsidRDefault="00F120C7" w:rsidP="00E73D4B">
      <w:pPr>
        <w:pStyle w:val="avsnitt-tittel"/>
      </w:pPr>
      <w:proofErr w:type="spellStart"/>
      <w:r w:rsidRPr="00E73D4B">
        <w:t>Forbod</w:t>
      </w:r>
      <w:proofErr w:type="spellEnd"/>
      <w:r w:rsidRPr="00E73D4B">
        <w:t xml:space="preserve"> mot bruk av fossile brensel på </w:t>
      </w:r>
      <w:proofErr w:type="spellStart"/>
      <w:r w:rsidRPr="00E73D4B">
        <w:t>byggjeplassar</w:t>
      </w:r>
      <w:proofErr w:type="spellEnd"/>
    </w:p>
    <w:p w14:paraId="3AE96AA3" w14:textId="77777777" w:rsidR="00972395" w:rsidRPr="00E73D4B" w:rsidRDefault="00F120C7" w:rsidP="00E73D4B">
      <w:pPr>
        <w:pStyle w:val="avsnitt-undertittel"/>
      </w:pPr>
      <w:r w:rsidRPr="00E73D4B">
        <w:t>Vedtak nr. 35.11, 2. desember 2021</w:t>
      </w:r>
    </w:p>
    <w:p w14:paraId="27ACD592" w14:textId="77777777" w:rsidR="00972395" w:rsidRPr="00E73D4B" w:rsidRDefault="00F120C7" w:rsidP="00E73D4B">
      <w:pPr>
        <w:pStyle w:val="blokksit"/>
        <w:rPr>
          <w:rStyle w:val="kursiv"/>
        </w:rPr>
      </w:pPr>
      <w:r w:rsidRPr="00E73D4B">
        <w:rPr>
          <w:rStyle w:val="kursiv"/>
        </w:rPr>
        <w:t>«Stortinget ber regjeringen utrede forbud mot bruk av fossile brensler på byggeplasser og melde tilbake til Stortinget senest i forbindelse med revidert nasjonalbudsjett 2022.»</w:t>
      </w:r>
    </w:p>
    <w:p w14:paraId="2C89FA29"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innstilling </w:t>
      </w:r>
      <w:proofErr w:type="spellStart"/>
      <w:r w:rsidRPr="00E73D4B">
        <w:t>frå</w:t>
      </w:r>
      <w:proofErr w:type="spellEnd"/>
      <w:r w:rsidRPr="00E73D4B">
        <w:t xml:space="preserve"> finanskomiteen om nasjonalbudsjettet for 2022 og forslaget til statsbudsjett for 2022, jf. </w:t>
      </w:r>
      <w:proofErr w:type="spellStart"/>
      <w:r w:rsidRPr="00E73D4B">
        <w:t>Innst</w:t>
      </w:r>
      <w:proofErr w:type="spellEnd"/>
      <w:r w:rsidRPr="00E73D4B">
        <w:t>. 2 S (2021–2022).</w:t>
      </w:r>
    </w:p>
    <w:p w14:paraId="444ED29B" w14:textId="77777777" w:rsidR="00972395" w:rsidRPr="00E73D4B" w:rsidRDefault="00F120C7" w:rsidP="00E73D4B">
      <w:r w:rsidRPr="00E73D4B">
        <w:t xml:space="preserve">Vedtaket er under oppfølging. Miljødirektoratet har fått i oppdrag å greie ut </w:t>
      </w:r>
      <w:proofErr w:type="spellStart"/>
      <w:r w:rsidRPr="00E73D4B">
        <w:t>utsleppsreduserande</w:t>
      </w:r>
      <w:proofErr w:type="spellEnd"/>
      <w:r w:rsidRPr="00E73D4B">
        <w:t xml:space="preserve"> tiltak på </w:t>
      </w:r>
      <w:proofErr w:type="spellStart"/>
      <w:r w:rsidRPr="00E73D4B">
        <w:t>byggje</w:t>
      </w:r>
      <w:proofErr w:type="spellEnd"/>
      <w:r w:rsidRPr="00E73D4B">
        <w:t xml:space="preserve">- og </w:t>
      </w:r>
      <w:proofErr w:type="spellStart"/>
      <w:r w:rsidRPr="00E73D4B">
        <w:t>anleggsplassar</w:t>
      </w:r>
      <w:proofErr w:type="spellEnd"/>
      <w:r w:rsidRPr="00E73D4B">
        <w:t xml:space="preserve">. Oppdraget vil </w:t>
      </w:r>
      <w:proofErr w:type="spellStart"/>
      <w:r w:rsidRPr="00E73D4B">
        <w:t>gje</w:t>
      </w:r>
      <w:proofErr w:type="spellEnd"/>
      <w:r w:rsidRPr="00E73D4B">
        <w:t xml:space="preserve"> </w:t>
      </w:r>
      <w:proofErr w:type="spellStart"/>
      <w:r w:rsidRPr="00E73D4B">
        <w:t>eit</w:t>
      </w:r>
      <w:proofErr w:type="spellEnd"/>
      <w:r w:rsidRPr="00E73D4B">
        <w:t xml:space="preserve"> oppdatert kunnskapsgrunnlag om </w:t>
      </w:r>
      <w:proofErr w:type="spellStart"/>
      <w:r w:rsidRPr="00E73D4B">
        <w:t>barrierar</w:t>
      </w:r>
      <w:proofErr w:type="spellEnd"/>
      <w:r w:rsidRPr="00E73D4B">
        <w:t xml:space="preserve"> og potensial for </w:t>
      </w:r>
      <w:proofErr w:type="spellStart"/>
      <w:r w:rsidRPr="00E73D4B">
        <w:t>utsleppskutt</w:t>
      </w:r>
      <w:proofErr w:type="spellEnd"/>
      <w:r w:rsidRPr="00E73D4B">
        <w:t xml:space="preserve"> i bransjen. Regjeringa vil komme tilbake til Stortinget på eigna måte.</w:t>
      </w:r>
    </w:p>
    <w:p w14:paraId="1EF26ABD" w14:textId="77777777" w:rsidR="00972395" w:rsidRPr="00E73D4B" w:rsidRDefault="00F120C7" w:rsidP="00E73D4B">
      <w:pPr>
        <w:pStyle w:val="avsnitt-tittel"/>
      </w:pPr>
      <w:r w:rsidRPr="00E73D4B">
        <w:t>Erstatte fossile brensel i industrien</w:t>
      </w:r>
    </w:p>
    <w:p w14:paraId="54F593C0" w14:textId="77777777" w:rsidR="00972395" w:rsidRPr="00E73D4B" w:rsidRDefault="00F120C7" w:rsidP="00E73D4B">
      <w:pPr>
        <w:pStyle w:val="avsnitt-undertittel"/>
      </w:pPr>
      <w:r w:rsidRPr="00E73D4B">
        <w:t>Vedtak nr. 35.16, 2. desember 2021</w:t>
      </w:r>
    </w:p>
    <w:p w14:paraId="6C320457" w14:textId="77777777" w:rsidR="00972395" w:rsidRPr="00E73D4B" w:rsidRDefault="00F120C7" w:rsidP="00E73D4B">
      <w:pPr>
        <w:pStyle w:val="blokksit"/>
      </w:pPr>
      <w:r w:rsidRPr="00E73D4B">
        <w:rPr>
          <w:rStyle w:val="kursiv"/>
        </w:rPr>
        <w:t>«Stortinget ber regjeringen utrede hvordan man kan erstatte fossile brensler i industrien og komme tilbake til Stortinget i løpet av 2022.»</w:t>
      </w:r>
    </w:p>
    <w:p w14:paraId="55DD6468"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innstilling </w:t>
      </w:r>
      <w:proofErr w:type="spellStart"/>
      <w:r w:rsidRPr="00E73D4B">
        <w:t>frå</w:t>
      </w:r>
      <w:proofErr w:type="spellEnd"/>
      <w:r w:rsidRPr="00E73D4B">
        <w:t xml:space="preserve"> finanskomiteen om nasjonalbudsjettet for 2022 og forslaget til statsbudsjett for 2022, jf. </w:t>
      </w:r>
      <w:proofErr w:type="spellStart"/>
      <w:r w:rsidRPr="00E73D4B">
        <w:t>Innst</w:t>
      </w:r>
      <w:proofErr w:type="spellEnd"/>
      <w:r w:rsidRPr="00E73D4B">
        <w:t>. 2 S (2021–2022).</w:t>
      </w:r>
    </w:p>
    <w:p w14:paraId="2961CBB7" w14:textId="77777777" w:rsidR="00972395" w:rsidRPr="00E73D4B" w:rsidRDefault="00F120C7" w:rsidP="00E73D4B">
      <w:r w:rsidRPr="00E73D4B">
        <w:t xml:space="preserve">På bakgrunn av oppmodingsvedtaket </w:t>
      </w:r>
      <w:proofErr w:type="spellStart"/>
      <w:r w:rsidRPr="00E73D4B">
        <w:t>fekk</w:t>
      </w:r>
      <w:proofErr w:type="spellEnd"/>
      <w:r w:rsidRPr="00E73D4B">
        <w:t xml:space="preserve"> Miljødirektoratet våren 2022 i oppdrag å utarbeide </w:t>
      </w:r>
      <w:proofErr w:type="gramStart"/>
      <w:r w:rsidRPr="00E73D4B">
        <w:t>ei oversikt</w:t>
      </w:r>
      <w:proofErr w:type="gramEnd"/>
      <w:r w:rsidRPr="00E73D4B">
        <w:t xml:space="preserve"> over </w:t>
      </w:r>
      <w:proofErr w:type="spellStart"/>
      <w:r w:rsidRPr="00E73D4B">
        <w:t>moglegheitene</w:t>
      </w:r>
      <w:proofErr w:type="spellEnd"/>
      <w:r w:rsidRPr="00E73D4B">
        <w:t xml:space="preserve"> for å erstatte fossile brensel i fastlandsindustrien. For </w:t>
      </w:r>
      <w:proofErr w:type="spellStart"/>
      <w:r w:rsidRPr="00E73D4B">
        <w:t>ikkje</w:t>
      </w:r>
      <w:proofErr w:type="spellEnd"/>
      <w:r w:rsidRPr="00E73D4B">
        <w:t xml:space="preserve">-kvotepliktige utslepp skulle det </w:t>
      </w:r>
      <w:proofErr w:type="spellStart"/>
      <w:r w:rsidRPr="00E73D4B">
        <w:t>gjerast</w:t>
      </w:r>
      <w:proofErr w:type="spellEnd"/>
      <w:r w:rsidRPr="00E73D4B">
        <w:t xml:space="preserve"> ei oppdatert vurdering av underlaget </w:t>
      </w:r>
      <w:proofErr w:type="spellStart"/>
      <w:r w:rsidRPr="00E73D4B">
        <w:t>frå</w:t>
      </w:r>
      <w:proofErr w:type="spellEnd"/>
      <w:r w:rsidRPr="00E73D4B">
        <w:t xml:space="preserve"> </w:t>
      </w:r>
      <w:proofErr w:type="spellStart"/>
      <w:r w:rsidRPr="00E73D4B">
        <w:t>Klimakur</w:t>
      </w:r>
      <w:proofErr w:type="spellEnd"/>
      <w:r w:rsidRPr="00E73D4B">
        <w:t xml:space="preserve"> 2030-rapporten og ei </w:t>
      </w:r>
      <w:proofErr w:type="spellStart"/>
      <w:r w:rsidRPr="00E73D4B">
        <w:t>ytterlegare</w:t>
      </w:r>
      <w:proofErr w:type="spellEnd"/>
      <w:r w:rsidRPr="00E73D4B">
        <w:t xml:space="preserve"> vurdering av </w:t>
      </w:r>
      <w:proofErr w:type="spellStart"/>
      <w:r w:rsidRPr="00E73D4B">
        <w:t>moglege</w:t>
      </w:r>
      <w:proofErr w:type="spellEnd"/>
      <w:r w:rsidRPr="00E73D4B">
        <w:t xml:space="preserve"> </w:t>
      </w:r>
      <w:proofErr w:type="spellStart"/>
      <w:r w:rsidRPr="00E73D4B">
        <w:t>verkemiddel</w:t>
      </w:r>
      <w:proofErr w:type="spellEnd"/>
      <w:r w:rsidRPr="00E73D4B">
        <w:t xml:space="preserve"> for å erstatte fossil fyring, som effekt av avgift til 2 000 kroner i 2030 og </w:t>
      </w:r>
      <w:proofErr w:type="spellStart"/>
      <w:r w:rsidRPr="00E73D4B">
        <w:t>mogleg</w:t>
      </w:r>
      <w:proofErr w:type="spellEnd"/>
      <w:r w:rsidRPr="00E73D4B">
        <w:t xml:space="preserve"> </w:t>
      </w:r>
      <w:proofErr w:type="spellStart"/>
      <w:r w:rsidRPr="00E73D4B">
        <w:t>forbod</w:t>
      </w:r>
      <w:proofErr w:type="spellEnd"/>
      <w:r w:rsidRPr="00E73D4B">
        <w:t xml:space="preserve"> </w:t>
      </w:r>
      <w:proofErr w:type="spellStart"/>
      <w:r w:rsidRPr="00E73D4B">
        <w:t>frå</w:t>
      </w:r>
      <w:proofErr w:type="spellEnd"/>
      <w:r w:rsidRPr="00E73D4B">
        <w:t xml:space="preserve"> 2030, eventuelt i kombinasjon med </w:t>
      </w:r>
      <w:proofErr w:type="spellStart"/>
      <w:r w:rsidRPr="00E73D4B">
        <w:t>støtteordningar</w:t>
      </w:r>
      <w:proofErr w:type="spellEnd"/>
      <w:r w:rsidRPr="00E73D4B">
        <w:t xml:space="preserve">. For </w:t>
      </w:r>
      <w:proofErr w:type="spellStart"/>
      <w:r w:rsidRPr="00E73D4B">
        <w:t>dei</w:t>
      </w:r>
      <w:proofErr w:type="spellEnd"/>
      <w:r w:rsidRPr="00E73D4B">
        <w:t xml:space="preserve"> kvotepliktige utsleppa skulle svaret </w:t>
      </w:r>
      <w:proofErr w:type="spellStart"/>
      <w:r w:rsidRPr="00E73D4B">
        <w:t>gje</w:t>
      </w:r>
      <w:proofErr w:type="spellEnd"/>
      <w:r w:rsidRPr="00E73D4B">
        <w:t xml:space="preserve"> </w:t>
      </w:r>
      <w:proofErr w:type="gramStart"/>
      <w:r w:rsidRPr="00E73D4B">
        <w:t>ei oversikt</w:t>
      </w:r>
      <w:proofErr w:type="gramEnd"/>
      <w:r w:rsidRPr="00E73D4B">
        <w:t xml:space="preserve"> over </w:t>
      </w:r>
      <w:proofErr w:type="spellStart"/>
      <w:r w:rsidRPr="00E73D4B">
        <w:t>moglege</w:t>
      </w:r>
      <w:proofErr w:type="spellEnd"/>
      <w:r w:rsidRPr="00E73D4B">
        <w:t xml:space="preserve"> tiltak og </w:t>
      </w:r>
      <w:proofErr w:type="spellStart"/>
      <w:r w:rsidRPr="00E73D4B">
        <w:t>barrierar</w:t>
      </w:r>
      <w:proofErr w:type="spellEnd"/>
      <w:r w:rsidRPr="00E73D4B">
        <w:t xml:space="preserve"> for å redusere utslepp </w:t>
      </w:r>
      <w:proofErr w:type="spellStart"/>
      <w:r w:rsidRPr="00E73D4B">
        <w:t>frå</w:t>
      </w:r>
      <w:proofErr w:type="spellEnd"/>
      <w:r w:rsidRPr="00E73D4B">
        <w:t xml:space="preserve"> forbrenning. Oppdraget </w:t>
      </w:r>
      <w:proofErr w:type="spellStart"/>
      <w:r w:rsidRPr="00E73D4B">
        <w:t>vart</w:t>
      </w:r>
      <w:proofErr w:type="spellEnd"/>
      <w:r w:rsidRPr="00E73D4B">
        <w:t xml:space="preserve"> levert 9. juni i år.</w:t>
      </w:r>
    </w:p>
    <w:p w14:paraId="27D0EE78" w14:textId="77777777" w:rsidR="00972395" w:rsidRPr="00E73D4B" w:rsidRDefault="00F120C7" w:rsidP="00E73D4B">
      <w:r w:rsidRPr="00E73D4B">
        <w:t xml:space="preserve">Miljødirektoratet har i svaret lagt til grunn at utgangspunktet er stasjonær forbrenning av fossile brensel til energiformål. Fossile brensel blir brukte til ulike energiformål, som oppvarming, tørking og til å drive kjemiske </w:t>
      </w:r>
      <w:proofErr w:type="spellStart"/>
      <w:r w:rsidRPr="00E73D4B">
        <w:t>prosessar</w:t>
      </w:r>
      <w:proofErr w:type="spellEnd"/>
      <w:r w:rsidRPr="00E73D4B">
        <w:t xml:space="preserve">. </w:t>
      </w:r>
      <w:r w:rsidRPr="00E73D4B">
        <w:rPr>
          <w:rStyle w:val="kursiv"/>
        </w:rPr>
        <w:t>Indirekte</w:t>
      </w:r>
      <w:r w:rsidRPr="00E73D4B">
        <w:t xml:space="preserve"> fyring skjer som regel </w:t>
      </w:r>
      <w:proofErr w:type="spellStart"/>
      <w:r w:rsidRPr="00E73D4B">
        <w:t>utanfor</w:t>
      </w:r>
      <w:proofErr w:type="spellEnd"/>
      <w:r w:rsidRPr="00E73D4B">
        <w:t xml:space="preserve"> sjølve </w:t>
      </w:r>
      <w:proofErr w:type="spellStart"/>
      <w:r w:rsidRPr="00E73D4B">
        <w:t>prosessane</w:t>
      </w:r>
      <w:proofErr w:type="spellEnd"/>
      <w:r w:rsidRPr="00E73D4B">
        <w:t xml:space="preserve">, og </w:t>
      </w:r>
      <w:proofErr w:type="spellStart"/>
      <w:r w:rsidRPr="00E73D4B">
        <w:t>ein</w:t>
      </w:r>
      <w:proofErr w:type="spellEnd"/>
      <w:r w:rsidRPr="00E73D4B">
        <w:t xml:space="preserve"> kan produsere varmen ved bruk av ei </w:t>
      </w:r>
      <w:proofErr w:type="spellStart"/>
      <w:r w:rsidRPr="00E73D4B">
        <w:t>rekkje</w:t>
      </w:r>
      <w:proofErr w:type="spellEnd"/>
      <w:r w:rsidRPr="00E73D4B">
        <w:t xml:space="preserve"> energikjelder. Dermed kan også </w:t>
      </w:r>
      <w:proofErr w:type="spellStart"/>
      <w:r w:rsidRPr="00E73D4B">
        <w:t>energikjelda</w:t>
      </w:r>
      <w:proofErr w:type="spellEnd"/>
      <w:r w:rsidRPr="00E73D4B">
        <w:t xml:space="preserve"> </w:t>
      </w:r>
      <w:proofErr w:type="spellStart"/>
      <w:r w:rsidRPr="00E73D4B">
        <w:t>bytast</w:t>
      </w:r>
      <w:proofErr w:type="spellEnd"/>
      <w:r w:rsidRPr="00E73D4B">
        <w:t xml:space="preserve"> ut </w:t>
      </w:r>
      <w:proofErr w:type="spellStart"/>
      <w:r w:rsidRPr="00E73D4B">
        <w:t>utan</w:t>
      </w:r>
      <w:proofErr w:type="spellEnd"/>
      <w:r w:rsidRPr="00E73D4B">
        <w:t xml:space="preserve"> å </w:t>
      </w:r>
      <w:proofErr w:type="spellStart"/>
      <w:r w:rsidRPr="00E73D4B">
        <w:t>gjere</w:t>
      </w:r>
      <w:proofErr w:type="spellEnd"/>
      <w:r w:rsidRPr="00E73D4B">
        <w:t xml:space="preserve"> store </w:t>
      </w:r>
      <w:proofErr w:type="spellStart"/>
      <w:r w:rsidRPr="00E73D4B">
        <w:t>endringar</w:t>
      </w:r>
      <w:proofErr w:type="spellEnd"/>
      <w:r w:rsidRPr="00E73D4B">
        <w:t xml:space="preserve"> i prosessen. Til dømes kan </w:t>
      </w:r>
      <w:proofErr w:type="spellStart"/>
      <w:r w:rsidRPr="00E73D4B">
        <w:t>ein</w:t>
      </w:r>
      <w:proofErr w:type="spellEnd"/>
      <w:r w:rsidRPr="00E73D4B">
        <w:t xml:space="preserve"> byte ut </w:t>
      </w:r>
      <w:proofErr w:type="spellStart"/>
      <w:r w:rsidRPr="00E73D4B">
        <w:t>ein</w:t>
      </w:r>
      <w:proofErr w:type="spellEnd"/>
      <w:r w:rsidRPr="00E73D4B">
        <w:t xml:space="preserve"> oljekjel med </w:t>
      </w:r>
      <w:proofErr w:type="spellStart"/>
      <w:r w:rsidRPr="00E73D4B">
        <w:t>ein</w:t>
      </w:r>
      <w:proofErr w:type="spellEnd"/>
      <w:r w:rsidRPr="00E73D4B">
        <w:t xml:space="preserve"> elektrisk kjel. </w:t>
      </w:r>
      <w:r w:rsidRPr="00E73D4B">
        <w:rPr>
          <w:rStyle w:val="kursiv"/>
        </w:rPr>
        <w:t xml:space="preserve">Direkte </w:t>
      </w:r>
      <w:r w:rsidRPr="00E73D4B">
        <w:t xml:space="preserve">fyring skjer ofte i sjølve prosessen, slik at det </w:t>
      </w:r>
      <w:proofErr w:type="spellStart"/>
      <w:r w:rsidRPr="00E73D4B">
        <w:t>ikkje</w:t>
      </w:r>
      <w:proofErr w:type="spellEnd"/>
      <w:r w:rsidRPr="00E73D4B">
        <w:t xml:space="preserve"> alltid er like enkelt å skifte energikjelde </w:t>
      </w:r>
      <w:proofErr w:type="spellStart"/>
      <w:r w:rsidRPr="00E73D4B">
        <w:t>utan</w:t>
      </w:r>
      <w:proofErr w:type="spellEnd"/>
      <w:r w:rsidRPr="00E73D4B">
        <w:t xml:space="preserve"> </w:t>
      </w:r>
      <w:proofErr w:type="spellStart"/>
      <w:r w:rsidRPr="00E73D4B">
        <w:t>modifikasjonar</w:t>
      </w:r>
      <w:proofErr w:type="spellEnd"/>
      <w:r w:rsidRPr="00E73D4B">
        <w:t xml:space="preserve"> eller utskifting av utstyr eller </w:t>
      </w:r>
      <w:proofErr w:type="spellStart"/>
      <w:r w:rsidRPr="00E73D4B">
        <w:t>endringar</w:t>
      </w:r>
      <w:proofErr w:type="spellEnd"/>
      <w:r w:rsidRPr="00E73D4B">
        <w:t xml:space="preserve"> i prosessen.</w:t>
      </w:r>
    </w:p>
    <w:p w14:paraId="155933E9" w14:textId="77777777" w:rsidR="00972395" w:rsidRPr="00E73D4B" w:rsidRDefault="00F120C7" w:rsidP="00E73D4B">
      <w:r w:rsidRPr="00E73D4B">
        <w:t xml:space="preserve">Gjennomgangen til Miljødirektoratet viser at om lag 2/3 av utsleppa </w:t>
      </w:r>
      <w:proofErr w:type="spellStart"/>
      <w:r w:rsidRPr="00E73D4B">
        <w:t>frå</w:t>
      </w:r>
      <w:proofErr w:type="spellEnd"/>
      <w:r w:rsidRPr="00E73D4B">
        <w:t xml:space="preserve"> </w:t>
      </w:r>
      <w:proofErr w:type="spellStart"/>
      <w:r w:rsidRPr="00E73D4B">
        <w:t>ikkje</w:t>
      </w:r>
      <w:proofErr w:type="spellEnd"/>
      <w:r w:rsidRPr="00E73D4B">
        <w:t xml:space="preserve">-kvotepliktige </w:t>
      </w:r>
      <w:proofErr w:type="spellStart"/>
      <w:r w:rsidRPr="00E73D4B">
        <w:t>industriverksemder</w:t>
      </w:r>
      <w:proofErr w:type="spellEnd"/>
      <w:r w:rsidRPr="00E73D4B">
        <w:t xml:space="preserve"> er </w:t>
      </w:r>
      <w:proofErr w:type="spellStart"/>
      <w:r w:rsidRPr="00E73D4B">
        <w:t>frå</w:t>
      </w:r>
      <w:proofErr w:type="spellEnd"/>
      <w:r w:rsidRPr="00E73D4B">
        <w:t xml:space="preserve"> stasjonær forbrenning, </w:t>
      </w:r>
      <w:proofErr w:type="spellStart"/>
      <w:r w:rsidRPr="00E73D4B">
        <w:t>hovudsakleg</w:t>
      </w:r>
      <w:proofErr w:type="spellEnd"/>
      <w:r w:rsidRPr="00E73D4B">
        <w:t xml:space="preserve"> </w:t>
      </w:r>
      <w:proofErr w:type="spellStart"/>
      <w:r w:rsidRPr="00E73D4B">
        <w:t>frå</w:t>
      </w:r>
      <w:proofErr w:type="spellEnd"/>
      <w:r w:rsidRPr="00E73D4B">
        <w:t xml:space="preserve"> bruk av fossil olje og gass til varmeproduksjon og </w:t>
      </w:r>
      <w:proofErr w:type="spellStart"/>
      <w:r w:rsidRPr="00E73D4B">
        <w:t>noko</w:t>
      </w:r>
      <w:proofErr w:type="spellEnd"/>
      <w:r w:rsidRPr="00E73D4B">
        <w:t xml:space="preserve"> direktefyring, til dømes til tørking. Ei CO</w:t>
      </w:r>
      <w:r w:rsidRPr="00E73D4B">
        <w:rPr>
          <w:rStyle w:val="skrift-senket"/>
        </w:rPr>
        <w:t>2</w:t>
      </w:r>
      <w:r w:rsidRPr="00E73D4B">
        <w:t xml:space="preserve">-avgift på 2 000 kroner er av Miljødirektoratet estimert til å </w:t>
      </w:r>
      <w:proofErr w:type="spellStart"/>
      <w:r w:rsidRPr="00E73D4B">
        <w:t>gje</w:t>
      </w:r>
      <w:proofErr w:type="spellEnd"/>
      <w:r w:rsidRPr="00E73D4B">
        <w:t xml:space="preserve"> </w:t>
      </w:r>
      <w:proofErr w:type="spellStart"/>
      <w:r w:rsidRPr="00E73D4B">
        <w:t>utsleppsreduksjonar</w:t>
      </w:r>
      <w:proofErr w:type="spellEnd"/>
      <w:r w:rsidRPr="00E73D4B">
        <w:t xml:space="preserve"> på 0,8 mill. tonn CO</w:t>
      </w:r>
      <w:r w:rsidRPr="00E73D4B">
        <w:rPr>
          <w:rStyle w:val="skrift-senket"/>
        </w:rPr>
        <w:t>2</w:t>
      </w:r>
      <w:r w:rsidRPr="00E73D4B">
        <w:t xml:space="preserve"> samla for perioden 2022 til 2030. Miljødirektoratets grove estimat er at effekten av </w:t>
      </w:r>
      <w:proofErr w:type="spellStart"/>
      <w:r w:rsidRPr="00E73D4B">
        <w:t>eit</w:t>
      </w:r>
      <w:proofErr w:type="spellEnd"/>
      <w:r w:rsidRPr="00E73D4B">
        <w:t xml:space="preserve"> </w:t>
      </w:r>
      <w:proofErr w:type="spellStart"/>
      <w:r w:rsidRPr="00E73D4B">
        <w:t>forbod</w:t>
      </w:r>
      <w:proofErr w:type="spellEnd"/>
      <w:r w:rsidRPr="00E73D4B">
        <w:t xml:space="preserve"> mot fossil forbrenning i </w:t>
      </w:r>
      <w:proofErr w:type="spellStart"/>
      <w:r w:rsidRPr="00E73D4B">
        <w:t>ikkje</w:t>
      </w:r>
      <w:proofErr w:type="spellEnd"/>
      <w:r w:rsidRPr="00E73D4B">
        <w:t xml:space="preserve">-kvotepliktig industri vil kunne </w:t>
      </w:r>
      <w:proofErr w:type="spellStart"/>
      <w:r w:rsidRPr="00E73D4B">
        <w:t>gje</w:t>
      </w:r>
      <w:proofErr w:type="spellEnd"/>
      <w:r w:rsidRPr="00E73D4B">
        <w:t xml:space="preserve"> </w:t>
      </w:r>
      <w:proofErr w:type="spellStart"/>
      <w:r w:rsidRPr="00E73D4B">
        <w:t>ytterlegare</w:t>
      </w:r>
      <w:proofErr w:type="spellEnd"/>
      <w:r w:rsidRPr="00E73D4B">
        <w:t xml:space="preserve"> </w:t>
      </w:r>
      <w:proofErr w:type="spellStart"/>
      <w:r w:rsidRPr="00E73D4B">
        <w:t>utsleppsreduksjonar</w:t>
      </w:r>
      <w:proofErr w:type="spellEnd"/>
      <w:r w:rsidRPr="00E73D4B">
        <w:t xml:space="preserve"> på </w:t>
      </w:r>
      <w:proofErr w:type="spellStart"/>
      <w:r w:rsidRPr="00E73D4B">
        <w:t>nærmare</w:t>
      </w:r>
      <w:proofErr w:type="spellEnd"/>
      <w:r w:rsidRPr="00E73D4B">
        <w:t xml:space="preserve"> 0,8 mill. tonn utover effekten av CO</w:t>
      </w:r>
      <w:r w:rsidRPr="00E73D4B">
        <w:rPr>
          <w:rStyle w:val="skrift-senket"/>
        </w:rPr>
        <w:t>2</w:t>
      </w:r>
      <w:r w:rsidRPr="00E73D4B">
        <w:t xml:space="preserve">-avgifta samla for perioden 2022 til 2030. Dette </w:t>
      </w:r>
      <w:proofErr w:type="spellStart"/>
      <w:r w:rsidRPr="00E73D4B">
        <w:t>føreset</w:t>
      </w:r>
      <w:proofErr w:type="spellEnd"/>
      <w:r w:rsidRPr="00E73D4B">
        <w:t xml:space="preserve"> at </w:t>
      </w:r>
      <w:proofErr w:type="spellStart"/>
      <w:r w:rsidRPr="00E73D4B">
        <w:t>eit</w:t>
      </w:r>
      <w:proofErr w:type="spellEnd"/>
      <w:r w:rsidRPr="00E73D4B">
        <w:t xml:space="preserve"> </w:t>
      </w:r>
      <w:proofErr w:type="spellStart"/>
      <w:r w:rsidRPr="00E73D4B">
        <w:t>forbod</w:t>
      </w:r>
      <w:proofErr w:type="spellEnd"/>
      <w:r w:rsidRPr="00E73D4B">
        <w:t xml:space="preserve"> </w:t>
      </w:r>
      <w:proofErr w:type="spellStart"/>
      <w:r w:rsidRPr="00E73D4B">
        <w:t>frå</w:t>
      </w:r>
      <w:proofErr w:type="spellEnd"/>
      <w:r w:rsidRPr="00E73D4B">
        <w:t xml:space="preserve"> 2030 blir varsla i 2022, og at det fører til at </w:t>
      </w:r>
      <w:proofErr w:type="spellStart"/>
      <w:r w:rsidRPr="00E73D4B">
        <w:t>verksemdene</w:t>
      </w:r>
      <w:proofErr w:type="spellEnd"/>
      <w:r w:rsidRPr="00E73D4B">
        <w:t xml:space="preserve"> gjennomfører </w:t>
      </w:r>
      <w:proofErr w:type="spellStart"/>
      <w:r w:rsidRPr="00E73D4B">
        <w:t>klimaløysingar</w:t>
      </w:r>
      <w:proofErr w:type="spellEnd"/>
      <w:r w:rsidRPr="00E73D4B">
        <w:t xml:space="preserve"> </w:t>
      </w:r>
      <w:proofErr w:type="spellStart"/>
      <w:r w:rsidRPr="00E73D4B">
        <w:t>frå</w:t>
      </w:r>
      <w:proofErr w:type="spellEnd"/>
      <w:r w:rsidRPr="00E73D4B">
        <w:t xml:space="preserve"> 2024.</w:t>
      </w:r>
    </w:p>
    <w:p w14:paraId="1A291B9B" w14:textId="77777777" w:rsidR="00972395" w:rsidRPr="00E73D4B" w:rsidRDefault="00F120C7" w:rsidP="00E73D4B">
      <w:r w:rsidRPr="00E73D4B">
        <w:t xml:space="preserve">Av forbrenningsutsleppa </w:t>
      </w:r>
      <w:proofErr w:type="spellStart"/>
      <w:r w:rsidRPr="00E73D4B">
        <w:t>frå</w:t>
      </w:r>
      <w:proofErr w:type="spellEnd"/>
      <w:r w:rsidRPr="00E73D4B">
        <w:t xml:space="preserve"> </w:t>
      </w:r>
      <w:proofErr w:type="spellStart"/>
      <w:r w:rsidRPr="00E73D4B">
        <w:t>dei</w:t>
      </w:r>
      <w:proofErr w:type="spellEnd"/>
      <w:r w:rsidRPr="00E73D4B">
        <w:t xml:space="preserve"> kvotepliktige </w:t>
      </w:r>
      <w:proofErr w:type="spellStart"/>
      <w:r w:rsidRPr="00E73D4B">
        <w:t>verksemdene</w:t>
      </w:r>
      <w:proofErr w:type="spellEnd"/>
      <w:r w:rsidRPr="00E73D4B">
        <w:t xml:space="preserve"> er </w:t>
      </w:r>
      <w:proofErr w:type="spellStart"/>
      <w:r w:rsidRPr="00E73D4B">
        <w:t>ein</w:t>
      </w:r>
      <w:proofErr w:type="spellEnd"/>
      <w:r w:rsidRPr="00E73D4B">
        <w:t xml:space="preserve"> </w:t>
      </w:r>
      <w:proofErr w:type="spellStart"/>
      <w:r w:rsidRPr="00E73D4B">
        <w:t>betydeleg</w:t>
      </w:r>
      <w:proofErr w:type="spellEnd"/>
      <w:r w:rsidRPr="00E73D4B">
        <w:t xml:space="preserve"> andel av utsleppa </w:t>
      </w:r>
      <w:proofErr w:type="spellStart"/>
      <w:r w:rsidRPr="00E73D4B">
        <w:t>ikkje</w:t>
      </w:r>
      <w:proofErr w:type="spellEnd"/>
      <w:r w:rsidRPr="00E73D4B">
        <w:t xml:space="preserve"> </w:t>
      </w:r>
      <w:proofErr w:type="spellStart"/>
      <w:r w:rsidRPr="00E73D4B">
        <w:t>berre</w:t>
      </w:r>
      <w:proofErr w:type="spellEnd"/>
      <w:r w:rsidRPr="00E73D4B">
        <w:t xml:space="preserve"> for energiformål. I </w:t>
      </w:r>
      <w:proofErr w:type="spellStart"/>
      <w:r w:rsidRPr="00E73D4B">
        <w:t>fleire</w:t>
      </w:r>
      <w:proofErr w:type="spellEnd"/>
      <w:r w:rsidRPr="00E73D4B">
        <w:t xml:space="preserve"> anlegg blir </w:t>
      </w:r>
      <w:proofErr w:type="spellStart"/>
      <w:r w:rsidRPr="00E73D4B">
        <w:t>dei</w:t>
      </w:r>
      <w:proofErr w:type="spellEnd"/>
      <w:r w:rsidRPr="00E73D4B">
        <w:t xml:space="preserve"> fossile brensla brukte inn i integrerte </w:t>
      </w:r>
      <w:proofErr w:type="spellStart"/>
      <w:r w:rsidRPr="00E73D4B">
        <w:t>prosessar</w:t>
      </w:r>
      <w:proofErr w:type="spellEnd"/>
      <w:r w:rsidRPr="00E73D4B">
        <w:t xml:space="preserve"> og som råstoff i </w:t>
      </w:r>
      <w:proofErr w:type="spellStart"/>
      <w:r w:rsidRPr="00E73D4B">
        <w:t>dei</w:t>
      </w:r>
      <w:proofErr w:type="spellEnd"/>
      <w:r w:rsidRPr="00E73D4B">
        <w:t xml:space="preserve"> kjemiske </w:t>
      </w:r>
      <w:proofErr w:type="spellStart"/>
      <w:r w:rsidRPr="00E73D4B">
        <w:t>prosessane</w:t>
      </w:r>
      <w:proofErr w:type="spellEnd"/>
      <w:r w:rsidRPr="00E73D4B">
        <w:t xml:space="preserve">. </w:t>
      </w:r>
      <w:proofErr w:type="spellStart"/>
      <w:r w:rsidRPr="00E73D4B">
        <w:t>Ein</w:t>
      </w:r>
      <w:proofErr w:type="spellEnd"/>
      <w:r w:rsidRPr="00E73D4B">
        <w:t xml:space="preserve"> del </w:t>
      </w:r>
      <w:proofErr w:type="spellStart"/>
      <w:r w:rsidRPr="00E73D4B">
        <w:t>utsleppseiningar</w:t>
      </w:r>
      <w:proofErr w:type="spellEnd"/>
      <w:r w:rsidRPr="00E73D4B">
        <w:t xml:space="preserve">, til dømes </w:t>
      </w:r>
      <w:proofErr w:type="spellStart"/>
      <w:r w:rsidRPr="00E73D4B">
        <w:t>kjelar</w:t>
      </w:r>
      <w:proofErr w:type="spellEnd"/>
      <w:r w:rsidRPr="00E73D4B">
        <w:t xml:space="preserve">, er derimot heilt </w:t>
      </w:r>
      <w:proofErr w:type="spellStart"/>
      <w:r w:rsidRPr="00E73D4B">
        <w:t>tilsvarande</w:t>
      </w:r>
      <w:proofErr w:type="spellEnd"/>
      <w:r w:rsidRPr="00E73D4B">
        <w:t xml:space="preserve"> i kvotepliktig og </w:t>
      </w:r>
      <w:proofErr w:type="spellStart"/>
      <w:r w:rsidRPr="00E73D4B">
        <w:t>ikkje</w:t>
      </w:r>
      <w:proofErr w:type="spellEnd"/>
      <w:r w:rsidRPr="00E73D4B">
        <w:t xml:space="preserve">-kvotepliktig industri. Dersom </w:t>
      </w:r>
      <w:proofErr w:type="spellStart"/>
      <w:r w:rsidRPr="00E73D4B">
        <w:t>eit</w:t>
      </w:r>
      <w:proofErr w:type="spellEnd"/>
      <w:r w:rsidRPr="00E73D4B">
        <w:t xml:space="preserve"> </w:t>
      </w:r>
      <w:proofErr w:type="spellStart"/>
      <w:r w:rsidRPr="00E73D4B">
        <w:t>forbod</w:t>
      </w:r>
      <w:proofErr w:type="spellEnd"/>
      <w:r w:rsidRPr="00E73D4B">
        <w:t xml:space="preserve"> mot forbrenning av fossile brensel også </w:t>
      </w:r>
      <w:proofErr w:type="spellStart"/>
      <w:r w:rsidRPr="00E73D4B">
        <w:t>omfattar</w:t>
      </w:r>
      <w:proofErr w:type="spellEnd"/>
      <w:r w:rsidRPr="00E73D4B">
        <w:t xml:space="preserve"> </w:t>
      </w:r>
      <w:proofErr w:type="spellStart"/>
      <w:r w:rsidRPr="00E73D4B">
        <w:t>dei</w:t>
      </w:r>
      <w:proofErr w:type="spellEnd"/>
      <w:r w:rsidRPr="00E73D4B">
        <w:t xml:space="preserve"> kvotepliktige utsleppa, anslår Miljødirektoratet at mellom 0,25 og 0,30 mill. tonn CO</w:t>
      </w:r>
      <w:r w:rsidRPr="00E73D4B">
        <w:rPr>
          <w:rStyle w:val="skrift-senket"/>
        </w:rPr>
        <w:t>2</w:t>
      </w:r>
      <w:r w:rsidRPr="00E73D4B">
        <w:t xml:space="preserve"> er utslepp som </w:t>
      </w:r>
      <w:proofErr w:type="spellStart"/>
      <w:r w:rsidRPr="00E73D4B">
        <w:t>årleg</w:t>
      </w:r>
      <w:proofErr w:type="spellEnd"/>
      <w:r w:rsidRPr="00E73D4B">
        <w:t xml:space="preserve"> </w:t>
      </w:r>
      <w:proofErr w:type="spellStart"/>
      <w:r w:rsidRPr="00E73D4B">
        <w:t>stammar</w:t>
      </w:r>
      <w:proofErr w:type="spellEnd"/>
      <w:r w:rsidRPr="00E73D4B">
        <w:t xml:space="preserve"> </w:t>
      </w:r>
      <w:proofErr w:type="spellStart"/>
      <w:r w:rsidRPr="00E73D4B">
        <w:t>frå</w:t>
      </w:r>
      <w:proofErr w:type="spellEnd"/>
      <w:r w:rsidRPr="00E73D4B">
        <w:t xml:space="preserve"> </w:t>
      </w:r>
      <w:proofErr w:type="spellStart"/>
      <w:r w:rsidRPr="00E73D4B">
        <w:t>kjelar</w:t>
      </w:r>
      <w:proofErr w:type="spellEnd"/>
      <w:r w:rsidRPr="00E73D4B">
        <w:t xml:space="preserve">, i all </w:t>
      </w:r>
      <w:proofErr w:type="spellStart"/>
      <w:r w:rsidRPr="00E73D4B">
        <w:t>hovudsak</w:t>
      </w:r>
      <w:proofErr w:type="spellEnd"/>
      <w:r w:rsidRPr="00E73D4B">
        <w:t xml:space="preserve"> til produksjon av damp, som relativt enkelt kan </w:t>
      </w:r>
      <w:proofErr w:type="spellStart"/>
      <w:r w:rsidRPr="00E73D4B">
        <w:t>bytast</w:t>
      </w:r>
      <w:proofErr w:type="spellEnd"/>
      <w:r w:rsidRPr="00E73D4B">
        <w:t xml:space="preserve"> med fornybare alternativ.</w:t>
      </w:r>
    </w:p>
    <w:p w14:paraId="3614D85C" w14:textId="77777777" w:rsidR="00972395" w:rsidRPr="00E73D4B" w:rsidRDefault="00F120C7" w:rsidP="00E73D4B">
      <w:r w:rsidRPr="00E73D4B">
        <w:t xml:space="preserve">Miljødirektoratet </w:t>
      </w:r>
      <w:proofErr w:type="spellStart"/>
      <w:r w:rsidRPr="00E73D4B">
        <w:t>peiker</w:t>
      </w:r>
      <w:proofErr w:type="spellEnd"/>
      <w:r w:rsidRPr="00E73D4B">
        <w:t xml:space="preserve"> i sin leveranse på at </w:t>
      </w:r>
      <w:proofErr w:type="spellStart"/>
      <w:r w:rsidRPr="00E73D4B">
        <w:t>eit</w:t>
      </w:r>
      <w:proofErr w:type="spellEnd"/>
      <w:r w:rsidRPr="00E73D4B">
        <w:t xml:space="preserve"> </w:t>
      </w:r>
      <w:proofErr w:type="spellStart"/>
      <w:r w:rsidRPr="00E73D4B">
        <w:t>forbod</w:t>
      </w:r>
      <w:proofErr w:type="spellEnd"/>
      <w:r w:rsidRPr="00E73D4B">
        <w:t xml:space="preserve"> mot fossil fyring vil måtte </w:t>
      </w:r>
      <w:proofErr w:type="spellStart"/>
      <w:r w:rsidRPr="00E73D4B">
        <w:t>greiast</w:t>
      </w:r>
      <w:proofErr w:type="spellEnd"/>
      <w:r w:rsidRPr="00E73D4B">
        <w:t xml:space="preserve"> ut i tråd med utgreiingsinstruksen, med ei fullstendig konsekvensutgreiing. På bakgrunn av dette har Miljødirektoratet fått </w:t>
      </w:r>
      <w:proofErr w:type="spellStart"/>
      <w:r w:rsidRPr="00E73D4B">
        <w:t>eit</w:t>
      </w:r>
      <w:proofErr w:type="spellEnd"/>
      <w:r w:rsidRPr="00E73D4B">
        <w:t xml:space="preserve"> nytt oppdrag med frist i 2023</w:t>
      </w:r>
    </w:p>
    <w:p w14:paraId="58BD0D19" w14:textId="77777777" w:rsidR="00972395" w:rsidRPr="00E73D4B" w:rsidRDefault="00F120C7" w:rsidP="00E73D4B">
      <w:pPr>
        <w:pStyle w:val="avsnitt-tittel"/>
      </w:pPr>
      <w:r w:rsidRPr="00E73D4B">
        <w:t xml:space="preserve">Oppfylle målet om 10 pst. vern av kyst- og havområde og </w:t>
      </w:r>
      <w:proofErr w:type="spellStart"/>
      <w:r w:rsidRPr="00E73D4B">
        <w:t>fremje</w:t>
      </w:r>
      <w:proofErr w:type="spellEnd"/>
      <w:r w:rsidRPr="00E73D4B">
        <w:t xml:space="preserve"> nasjonal plan for marint vern</w:t>
      </w:r>
    </w:p>
    <w:p w14:paraId="67AC6374" w14:textId="77777777" w:rsidR="00972395" w:rsidRPr="00E73D4B" w:rsidRDefault="00F120C7" w:rsidP="00E73D4B">
      <w:pPr>
        <w:pStyle w:val="avsnitt-undertittel"/>
      </w:pPr>
      <w:r w:rsidRPr="00E73D4B">
        <w:t>Vedtak nr. 35.20, 2. desember 2021</w:t>
      </w:r>
    </w:p>
    <w:p w14:paraId="5B703E25" w14:textId="77777777" w:rsidR="00972395" w:rsidRPr="00E73D4B" w:rsidRDefault="00F120C7" w:rsidP="00E73D4B">
      <w:pPr>
        <w:pStyle w:val="blokksit"/>
      </w:pPr>
      <w:r w:rsidRPr="00E73D4B">
        <w:rPr>
          <w:rStyle w:val="kursiv"/>
        </w:rPr>
        <w:t>«Stortinget ber regjeringen oppfylle målet om 10 pst. vern av kyst- og havområder innen 2030, og fremme nasjonal plan for marint vern».</w:t>
      </w:r>
    </w:p>
    <w:p w14:paraId="7C0CE595"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innstilling </w:t>
      </w:r>
      <w:proofErr w:type="spellStart"/>
      <w:r w:rsidRPr="00E73D4B">
        <w:t>frå</w:t>
      </w:r>
      <w:proofErr w:type="spellEnd"/>
      <w:r w:rsidRPr="00E73D4B">
        <w:t xml:space="preserve"> finanskomiteen om nasjonalbudsjettet for 2022 og forslaget til statsbudsjett for 2022, jf. </w:t>
      </w:r>
      <w:proofErr w:type="spellStart"/>
      <w:r w:rsidRPr="00E73D4B">
        <w:t>Innst</w:t>
      </w:r>
      <w:proofErr w:type="spellEnd"/>
      <w:r w:rsidRPr="00E73D4B">
        <w:t>. 2 S (2021–2022).</w:t>
      </w:r>
    </w:p>
    <w:p w14:paraId="15D084A9" w14:textId="77777777" w:rsidR="00972395" w:rsidRPr="00E73D4B" w:rsidRDefault="00F120C7" w:rsidP="00E73D4B">
      <w:r w:rsidRPr="00E73D4B">
        <w:t xml:space="preserve">Oppfølginga av tiltaka i Meld. St. 29 (2020–2021) </w:t>
      </w:r>
      <w:proofErr w:type="spellStart"/>
      <w:r w:rsidRPr="00E73D4B">
        <w:rPr>
          <w:rStyle w:val="kursiv"/>
        </w:rPr>
        <w:t>Heilskapleg</w:t>
      </w:r>
      <w:proofErr w:type="spellEnd"/>
      <w:r w:rsidRPr="00E73D4B">
        <w:rPr>
          <w:rStyle w:val="kursiv"/>
        </w:rPr>
        <w:t xml:space="preserve"> nasjonal plan for bevaring av viktige område for marin natur</w:t>
      </w:r>
      <w:r w:rsidRPr="00E73D4B">
        <w:t xml:space="preserve"> står sentralt i det </w:t>
      </w:r>
      <w:proofErr w:type="spellStart"/>
      <w:r w:rsidRPr="00E73D4B">
        <w:t>vidare</w:t>
      </w:r>
      <w:proofErr w:type="spellEnd"/>
      <w:r w:rsidRPr="00E73D4B">
        <w:t xml:space="preserve"> arbeidet med vern av kyst- og havområde. Regjeringa vil komme tilbake til Stortinget på eigna måte med status for arbeidet.</w:t>
      </w:r>
    </w:p>
    <w:p w14:paraId="7B7E00DC" w14:textId="77777777" w:rsidR="00972395" w:rsidRPr="00E73D4B" w:rsidRDefault="00F120C7" w:rsidP="00E73D4B">
      <w:pPr>
        <w:pStyle w:val="avsnitt-tittel"/>
      </w:pPr>
      <w:r w:rsidRPr="00E73D4B">
        <w:t xml:space="preserve">Greie ut produsentansvarsordning for </w:t>
      </w:r>
      <w:proofErr w:type="spellStart"/>
      <w:r w:rsidRPr="00E73D4B">
        <w:t>tekstilar</w:t>
      </w:r>
      <w:proofErr w:type="spellEnd"/>
    </w:p>
    <w:p w14:paraId="2BF40457" w14:textId="77777777" w:rsidR="00972395" w:rsidRPr="00E73D4B" w:rsidRDefault="00F120C7" w:rsidP="00E73D4B">
      <w:pPr>
        <w:pStyle w:val="avsnitt-undertittel"/>
      </w:pPr>
      <w:r w:rsidRPr="00E73D4B">
        <w:t>Vedtak nr. 512, 3. mai 2022</w:t>
      </w:r>
    </w:p>
    <w:p w14:paraId="4B57405E" w14:textId="77777777" w:rsidR="00972395" w:rsidRPr="00E73D4B" w:rsidRDefault="00F120C7" w:rsidP="00E73D4B">
      <w:pPr>
        <w:pStyle w:val="blokksit"/>
        <w:rPr>
          <w:rStyle w:val="kursiv"/>
        </w:rPr>
      </w:pPr>
      <w:r w:rsidRPr="00E73D4B">
        <w:rPr>
          <w:rStyle w:val="kursiv"/>
        </w:rPr>
        <w:t>«Stortinget ber regjeringen utrede en produsentansvarsordning for tekstiler».</w:t>
      </w:r>
    </w:p>
    <w:p w14:paraId="6D4D29EA"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8:111 S (2021–2022) </w:t>
      </w:r>
      <w:r w:rsidRPr="00E73D4B">
        <w:rPr>
          <w:rStyle w:val="kursiv"/>
        </w:rPr>
        <w:t>Representantforslag om en mer bærekraftig og sirkulær tekstilindustri</w:t>
      </w:r>
      <w:r w:rsidRPr="00E73D4B">
        <w:t xml:space="preserve">, jf. </w:t>
      </w:r>
      <w:proofErr w:type="spellStart"/>
      <w:r w:rsidRPr="00E73D4B">
        <w:t>Inns</w:t>
      </w:r>
      <w:proofErr w:type="spellEnd"/>
      <w:r w:rsidRPr="00E73D4B">
        <w:t xml:space="preserve">. 259 S (2021–2022), tilråding </w:t>
      </w:r>
      <w:proofErr w:type="spellStart"/>
      <w:r w:rsidRPr="00E73D4B">
        <w:t>romartal</w:t>
      </w:r>
      <w:proofErr w:type="spellEnd"/>
      <w:r w:rsidRPr="00E73D4B">
        <w:t xml:space="preserve"> I </w:t>
      </w:r>
      <w:proofErr w:type="spellStart"/>
      <w:r w:rsidRPr="00E73D4B">
        <w:t>i</w:t>
      </w:r>
      <w:proofErr w:type="spellEnd"/>
      <w:r w:rsidRPr="00E73D4B">
        <w:t xml:space="preserve"> innstillinga.</w:t>
      </w:r>
    </w:p>
    <w:p w14:paraId="444DF90F" w14:textId="77777777" w:rsidR="00972395" w:rsidRPr="00E73D4B" w:rsidRDefault="00F120C7" w:rsidP="00E73D4B">
      <w:r w:rsidRPr="00E73D4B">
        <w:t xml:space="preserve">Departementet vil </w:t>
      </w:r>
      <w:proofErr w:type="spellStart"/>
      <w:r w:rsidRPr="00E73D4B">
        <w:t>hausten</w:t>
      </w:r>
      <w:proofErr w:type="spellEnd"/>
      <w:r w:rsidRPr="00E73D4B">
        <w:t xml:space="preserve"> 2022 </w:t>
      </w:r>
      <w:proofErr w:type="spellStart"/>
      <w:r w:rsidRPr="00E73D4B">
        <w:t>setje</w:t>
      </w:r>
      <w:proofErr w:type="spellEnd"/>
      <w:r w:rsidRPr="00E73D4B">
        <w:t xml:space="preserve"> ned ei arbeidsgruppe for å greie ut produsentansvarsordning for </w:t>
      </w:r>
      <w:proofErr w:type="spellStart"/>
      <w:r w:rsidRPr="00E73D4B">
        <w:t>tekstilar</w:t>
      </w:r>
      <w:proofErr w:type="spellEnd"/>
      <w:r w:rsidRPr="00E73D4B">
        <w:t>. Stortinget vil bli orientert på eigna måte.</w:t>
      </w:r>
    </w:p>
    <w:p w14:paraId="7E588272" w14:textId="77777777" w:rsidR="00972395" w:rsidRPr="00E73D4B" w:rsidRDefault="00F120C7" w:rsidP="00E73D4B">
      <w:pPr>
        <w:pStyle w:val="avsnitt-tittel"/>
      </w:pPr>
      <w:r w:rsidRPr="00E73D4B">
        <w:t xml:space="preserve">Gjennomgå regelverk og vurdere </w:t>
      </w:r>
      <w:proofErr w:type="spellStart"/>
      <w:r w:rsidRPr="00E73D4B">
        <w:t>endringar</w:t>
      </w:r>
      <w:proofErr w:type="spellEnd"/>
      <w:r w:rsidRPr="00E73D4B">
        <w:t xml:space="preserve"> for å sikre at klesbransjen bruker </w:t>
      </w:r>
      <w:proofErr w:type="spellStart"/>
      <w:r w:rsidRPr="00E73D4B">
        <w:t>uselde</w:t>
      </w:r>
      <w:proofErr w:type="spellEnd"/>
      <w:r w:rsidRPr="00E73D4B">
        <w:t xml:space="preserve"> tekstilvarer om att</w:t>
      </w:r>
    </w:p>
    <w:p w14:paraId="249152FD" w14:textId="77777777" w:rsidR="00972395" w:rsidRPr="00E73D4B" w:rsidRDefault="00F120C7" w:rsidP="00E73D4B">
      <w:pPr>
        <w:pStyle w:val="avsnitt-undertittel"/>
      </w:pPr>
      <w:r w:rsidRPr="00E73D4B">
        <w:t>Vedtak nr. 513, 3. mai 2022</w:t>
      </w:r>
    </w:p>
    <w:p w14:paraId="76298C3F" w14:textId="77777777" w:rsidR="00972395" w:rsidRPr="00E73D4B" w:rsidRDefault="00F120C7" w:rsidP="00E73D4B">
      <w:pPr>
        <w:pStyle w:val="blokksit"/>
        <w:rPr>
          <w:rStyle w:val="kursiv"/>
        </w:rPr>
      </w:pPr>
      <w:r w:rsidRPr="00E73D4B">
        <w:rPr>
          <w:rStyle w:val="kursiv"/>
        </w:rPr>
        <w:t>«Stortinget ber regjeringen gjennomgå regelverket og vurdere endringer for å sikre at klesbransjen i større grad gjenbruker usolgte tekstilvarer i stedet for å destruere dem, og komme tilbake til Stortinget på egnet måte.»</w:t>
      </w:r>
    </w:p>
    <w:p w14:paraId="32F65302"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8:111 S (2021–2022) </w:t>
      </w:r>
      <w:r w:rsidRPr="00E73D4B">
        <w:rPr>
          <w:rStyle w:val="kursiv"/>
        </w:rPr>
        <w:t>Representantforslag om en mer bærekraftig og sirkulær tekstilindustri</w:t>
      </w:r>
      <w:r w:rsidRPr="00E73D4B">
        <w:t xml:space="preserve">, jf. </w:t>
      </w:r>
      <w:proofErr w:type="spellStart"/>
      <w:r w:rsidRPr="00E73D4B">
        <w:t>Inns</w:t>
      </w:r>
      <w:proofErr w:type="spellEnd"/>
      <w:r w:rsidRPr="00E73D4B">
        <w:t xml:space="preserve">. 259 S (2021–2022), tilråding </w:t>
      </w:r>
      <w:proofErr w:type="spellStart"/>
      <w:r w:rsidRPr="00E73D4B">
        <w:t>romartal</w:t>
      </w:r>
      <w:proofErr w:type="spellEnd"/>
      <w:r w:rsidRPr="00E73D4B">
        <w:t xml:space="preserve"> II i innstillinga.</w:t>
      </w:r>
    </w:p>
    <w:p w14:paraId="2EDB52F6" w14:textId="77777777" w:rsidR="00972395" w:rsidRPr="00E73D4B" w:rsidRDefault="00F120C7" w:rsidP="00E73D4B">
      <w:r w:rsidRPr="00E73D4B">
        <w:t>Regjeringa arbeider med saka. Stortinget vil bli orientert på eigna måte.</w:t>
      </w:r>
    </w:p>
    <w:p w14:paraId="2F0A7C0A" w14:textId="77777777" w:rsidR="00972395" w:rsidRPr="00E73D4B" w:rsidRDefault="00F120C7" w:rsidP="00E73D4B">
      <w:pPr>
        <w:pStyle w:val="avsnitt-tittel"/>
      </w:pPr>
      <w:r w:rsidRPr="00E73D4B">
        <w:t xml:space="preserve">Status for arbeidet med </w:t>
      </w:r>
      <w:proofErr w:type="spellStart"/>
      <w:r w:rsidRPr="00E73D4B">
        <w:t>ein</w:t>
      </w:r>
      <w:proofErr w:type="spellEnd"/>
      <w:r w:rsidRPr="00E73D4B">
        <w:t xml:space="preserve"> </w:t>
      </w:r>
      <w:proofErr w:type="spellStart"/>
      <w:r w:rsidRPr="00E73D4B">
        <w:t>heilskapleg</w:t>
      </w:r>
      <w:proofErr w:type="spellEnd"/>
      <w:r w:rsidRPr="00E73D4B">
        <w:t xml:space="preserve"> tiltaksplan for </w:t>
      </w:r>
      <w:proofErr w:type="spellStart"/>
      <w:r w:rsidRPr="00E73D4B">
        <w:t>ein</w:t>
      </w:r>
      <w:proofErr w:type="spellEnd"/>
      <w:r w:rsidRPr="00E73D4B">
        <w:t xml:space="preserve"> rein og rik Oslofjord</w:t>
      </w:r>
    </w:p>
    <w:p w14:paraId="404548D9" w14:textId="77777777" w:rsidR="00972395" w:rsidRPr="00E73D4B" w:rsidRDefault="00F120C7" w:rsidP="00E73D4B">
      <w:pPr>
        <w:pStyle w:val="avsnitt-undertittel"/>
      </w:pPr>
      <w:r w:rsidRPr="00E73D4B">
        <w:t>Vedtak nr. 668, 14. juni 2022</w:t>
      </w:r>
    </w:p>
    <w:p w14:paraId="3D089608" w14:textId="77777777" w:rsidR="00972395" w:rsidRPr="00E73D4B" w:rsidRDefault="00F120C7" w:rsidP="00E73D4B">
      <w:pPr>
        <w:pStyle w:val="blokksit"/>
        <w:rPr>
          <w:rStyle w:val="kursiv"/>
        </w:rPr>
      </w:pPr>
      <w:r w:rsidRPr="00E73D4B">
        <w:rPr>
          <w:rStyle w:val="kursiv"/>
        </w:rPr>
        <w:t>«Stortinget ber regjeringen i forbindelse med forslag til statsbudsjett for 2023 oppgi status for arbeidet med Helthetlig tiltaksplan for en ren og rik Oslofjord med et aktivt friluftsliv, og foreslå hvordan arbeidet med å bedre vannkvaliteten i Oslofjorden spesielt og langs hele kysten kan forseres.»</w:t>
      </w:r>
    </w:p>
    <w:p w14:paraId="0D708BA6"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8:209 S (2021–2022) </w:t>
      </w:r>
      <w:r w:rsidRPr="00E73D4B">
        <w:rPr>
          <w:rStyle w:val="kursiv"/>
        </w:rPr>
        <w:t>Representantforslag om en helhetlig plan for å beskytte norsk natur mot nitrogenforurensning</w:t>
      </w:r>
      <w:r w:rsidRPr="00E73D4B">
        <w:t xml:space="preserve">, jf. </w:t>
      </w:r>
      <w:proofErr w:type="spellStart"/>
      <w:r w:rsidRPr="00E73D4B">
        <w:t>Innst</w:t>
      </w:r>
      <w:proofErr w:type="spellEnd"/>
      <w:r w:rsidRPr="00E73D4B">
        <w:t>. 351 S (2021–2022).</w:t>
      </w:r>
    </w:p>
    <w:p w14:paraId="31AA1182" w14:textId="77777777" w:rsidR="00972395" w:rsidRPr="00E73D4B" w:rsidRDefault="00F120C7" w:rsidP="00E73D4B">
      <w:pPr>
        <w:rPr>
          <w:rStyle w:val="kursiv"/>
        </w:rPr>
      </w:pPr>
      <w:r w:rsidRPr="00E73D4B">
        <w:rPr>
          <w:rStyle w:val="kursiv"/>
        </w:rPr>
        <w:t>Helthetlig tiltaksplan for en ren og rik Oslofjord med et aktivt friluftsliv</w:t>
      </w:r>
      <w:r w:rsidRPr="00E73D4B">
        <w:t xml:space="preserve"> </w:t>
      </w:r>
      <w:proofErr w:type="spellStart"/>
      <w:r w:rsidRPr="00E73D4B">
        <w:t>vart</w:t>
      </w:r>
      <w:proofErr w:type="spellEnd"/>
      <w:r w:rsidRPr="00E73D4B">
        <w:t xml:space="preserve"> lansert i mars 2021 av den </w:t>
      </w:r>
      <w:proofErr w:type="spellStart"/>
      <w:r w:rsidRPr="00E73D4B">
        <w:t>førre</w:t>
      </w:r>
      <w:proofErr w:type="spellEnd"/>
      <w:r w:rsidRPr="00E73D4B">
        <w:t xml:space="preserve"> regjeringa og presenterer </w:t>
      </w:r>
      <w:proofErr w:type="spellStart"/>
      <w:r w:rsidRPr="00E73D4B">
        <w:t>dei</w:t>
      </w:r>
      <w:proofErr w:type="spellEnd"/>
      <w:r w:rsidRPr="00E73D4B">
        <w:t xml:space="preserve"> </w:t>
      </w:r>
      <w:proofErr w:type="spellStart"/>
      <w:r w:rsidRPr="00E73D4B">
        <w:t>viktigaste</w:t>
      </w:r>
      <w:proofErr w:type="spellEnd"/>
      <w:r w:rsidRPr="00E73D4B">
        <w:t xml:space="preserve"> </w:t>
      </w:r>
      <w:proofErr w:type="spellStart"/>
      <w:r w:rsidRPr="00E73D4B">
        <w:t>prioriteringane</w:t>
      </w:r>
      <w:proofErr w:type="spellEnd"/>
      <w:r w:rsidRPr="00E73D4B">
        <w:t xml:space="preserve"> for Oslofjorden i første omgang fram mot 2026. Regjeringa vil raskt </w:t>
      </w:r>
      <w:proofErr w:type="spellStart"/>
      <w:r w:rsidRPr="00E73D4B">
        <w:t>følgje</w:t>
      </w:r>
      <w:proofErr w:type="spellEnd"/>
      <w:r w:rsidRPr="00E73D4B">
        <w:t xml:space="preserve"> opp tiltaksplanen. Regjeringa har i tillegg retta </w:t>
      </w:r>
      <w:proofErr w:type="spellStart"/>
      <w:r w:rsidRPr="00E73D4B">
        <w:t>særleg</w:t>
      </w:r>
      <w:proofErr w:type="spellEnd"/>
      <w:r w:rsidRPr="00E73D4B">
        <w:t xml:space="preserve"> </w:t>
      </w:r>
      <w:proofErr w:type="spellStart"/>
      <w:r w:rsidRPr="00E73D4B">
        <w:t>merksemd</w:t>
      </w:r>
      <w:proofErr w:type="spellEnd"/>
      <w:r w:rsidRPr="00E73D4B">
        <w:t xml:space="preserve"> mot </w:t>
      </w:r>
      <w:proofErr w:type="spellStart"/>
      <w:r w:rsidRPr="00E73D4B">
        <w:t>dei</w:t>
      </w:r>
      <w:proofErr w:type="spellEnd"/>
      <w:r w:rsidRPr="00E73D4B">
        <w:t xml:space="preserve"> største </w:t>
      </w:r>
      <w:proofErr w:type="spellStart"/>
      <w:r w:rsidRPr="00E73D4B">
        <w:t>utfordringane</w:t>
      </w:r>
      <w:proofErr w:type="spellEnd"/>
      <w:r w:rsidRPr="00E73D4B">
        <w:t xml:space="preserve">, utslepp </w:t>
      </w:r>
      <w:proofErr w:type="spellStart"/>
      <w:r w:rsidRPr="00E73D4B">
        <w:t>frå</w:t>
      </w:r>
      <w:proofErr w:type="spellEnd"/>
      <w:r w:rsidRPr="00E73D4B">
        <w:t xml:space="preserve"> avløp og avrenning </w:t>
      </w:r>
      <w:proofErr w:type="spellStart"/>
      <w:r w:rsidRPr="00E73D4B">
        <w:t>frå</w:t>
      </w:r>
      <w:proofErr w:type="spellEnd"/>
      <w:r w:rsidRPr="00E73D4B">
        <w:t xml:space="preserve"> jordbruk, som vil bidra til å forsere arbeidet med å betre vasskvaliteten i Oslofjorden.</w:t>
      </w:r>
    </w:p>
    <w:p w14:paraId="646E7686" w14:textId="77777777" w:rsidR="00972395" w:rsidRPr="00E73D4B" w:rsidRDefault="00F120C7" w:rsidP="00E73D4B">
      <w:r w:rsidRPr="00E73D4B">
        <w:t xml:space="preserve">Tiltaksplanen presenterer 63 tiltak og 19 punkt for kunnskapsinnhenting. Kvart tiltak har ei </w:t>
      </w:r>
      <w:proofErr w:type="spellStart"/>
      <w:r w:rsidRPr="00E73D4B">
        <w:t>hovudansvarleg</w:t>
      </w:r>
      <w:proofErr w:type="spellEnd"/>
      <w:r w:rsidRPr="00E73D4B">
        <w:t xml:space="preserve"> styresmakt, som skal stå for gjennomføringa av tiltaket og rapportere på status til Oslofjordrådet. Oslofjordrådet består av klima- og miljøministeren, andre </w:t>
      </w:r>
      <w:proofErr w:type="spellStart"/>
      <w:r w:rsidRPr="00E73D4B">
        <w:t>ministrar</w:t>
      </w:r>
      <w:proofErr w:type="spellEnd"/>
      <w:r w:rsidRPr="00E73D4B">
        <w:t xml:space="preserve"> det gjeld, og relevante </w:t>
      </w:r>
      <w:proofErr w:type="spellStart"/>
      <w:r w:rsidRPr="00E73D4B">
        <w:t>ordførarar</w:t>
      </w:r>
      <w:proofErr w:type="spellEnd"/>
      <w:r w:rsidRPr="00E73D4B">
        <w:t xml:space="preserve"> og </w:t>
      </w:r>
      <w:proofErr w:type="spellStart"/>
      <w:r w:rsidRPr="00E73D4B">
        <w:t>fylkesordførarar</w:t>
      </w:r>
      <w:proofErr w:type="spellEnd"/>
      <w:r w:rsidRPr="00E73D4B">
        <w:t xml:space="preserve">. Rådet skal sikre god lokal- og regionalpolitisk forankring, samordning og framdrift i arbeidet. Rådet vart oppretta i august 2021. Rådet har hatt to ekstraordinære møte i 2022 og </w:t>
      </w:r>
      <w:proofErr w:type="spellStart"/>
      <w:r w:rsidRPr="00E73D4B">
        <w:t>eit</w:t>
      </w:r>
      <w:proofErr w:type="spellEnd"/>
      <w:r w:rsidRPr="00E73D4B">
        <w:t xml:space="preserve"> ordinært møte 5. september.</w:t>
      </w:r>
    </w:p>
    <w:p w14:paraId="7CC5EBC3" w14:textId="77777777" w:rsidR="00972395" w:rsidRPr="00E73D4B" w:rsidRDefault="00F120C7" w:rsidP="00E73D4B">
      <w:r w:rsidRPr="00E73D4B">
        <w:t xml:space="preserve">På rådsmøtet den 5. september 2022 lanserte Miljødirektoratet </w:t>
      </w:r>
      <w:proofErr w:type="spellStart"/>
      <w:r w:rsidRPr="00E73D4B">
        <w:t>ein</w:t>
      </w:r>
      <w:proofErr w:type="spellEnd"/>
      <w:r w:rsidRPr="00E73D4B">
        <w:t xml:space="preserve"> rapport om status og gjennomføring av tiltak, basert på rapporteringa </w:t>
      </w:r>
      <w:proofErr w:type="spellStart"/>
      <w:r w:rsidRPr="00E73D4B">
        <w:t>frå</w:t>
      </w:r>
      <w:proofErr w:type="spellEnd"/>
      <w:r w:rsidRPr="00E73D4B">
        <w:t xml:space="preserve"> </w:t>
      </w:r>
      <w:proofErr w:type="spellStart"/>
      <w:r w:rsidRPr="00E73D4B">
        <w:t>dei</w:t>
      </w:r>
      <w:proofErr w:type="spellEnd"/>
      <w:r w:rsidRPr="00E73D4B">
        <w:t xml:space="preserve"> </w:t>
      </w:r>
      <w:proofErr w:type="spellStart"/>
      <w:r w:rsidRPr="00E73D4B">
        <w:t>tiltaksansvarlege</w:t>
      </w:r>
      <w:proofErr w:type="spellEnd"/>
      <w:r w:rsidRPr="00E73D4B">
        <w:t xml:space="preserve">. Rapporten syner at arbeidet er godt i gang, og at </w:t>
      </w:r>
      <w:proofErr w:type="spellStart"/>
      <w:r w:rsidRPr="00E73D4B">
        <w:t>fleire</w:t>
      </w:r>
      <w:proofErr w:type="spellEnd"/>
      <w:r w:rsidRPr="00E73D4B">
        <w:t xml:space="preserve"> av innsatsområda har fått </w:t>
      </w:r>
      <w:proofErr w:type="spellStart"/>
      <w:r w:rsidRPr="00E73D4B">
        <w:t>eit</w:t>
      </w:r>
      <w:proofErr w:type="spellEnd"/>
      <w:r w:rsidRPr="00E73D4B">
        <w:t xml:space="preserve"> løft i det første året av planperioden. Likevel er det langt fram til alle nødvendige tiltak er gjennomførte, og det er </w:t>
      </w:r>
      <w:proofErr w:type="spellStart"/>
      <w:r w:rsidRPr="00E73D4B">
        <w:t>eit</w:t>
      </w:r>
      <w:proofErr w:type="spellEnd"/>
      <w:r w:rsidRPr="00E73D4B">
        <w:t xml:space="preserve"> stort gap mellom tilstanden i dag og </w:t>
      </w:r>
      <w:proofErr w:type="spellStart"/>
      <w:r w:rsidRPr="00E73D4B">
        <w:t>dei</w:t>
      </w:r>
      <w:proofErr w:type="spellEnd"/>
      <w:r w:rsidRPr="00E73D4B">
        <w:t xml:space="preserve"> ambisiøse måla sette av Stortinget. Alle </w:t>
      </w:r>
      <w:proofErr w:type="spellStart"/>
      <w:r w:rsidRPr="00E73D4B">
        <w:t>sektorar</w:t>
      </w:r>
      <w:proofErr w:type="spellEnd"/>
      <w:r w:rsidRPr="00E73D4B">
        <w:t xml:space="preserve"> må </w:t>
      </w:r>
      <w:proofErr w:type="spellStart"/>
      <w:r w:rsidRPr="00E73D4B">
        <w:t>auke</w:t>
      </w:r>
      <w:proofErr w:type="spellEnd"/>
      <w:r w:rsidRPr="00E73D4B">
        <w:t xml:space="preserve"> innsatsen. Rapporten syner òg at den nødvendige suppleringa og forsterkinga av innsatsen for Oslofjorden må </w:t>
      </w:r>
      <w:proofErr w:type="spellStart"/>
      <w:r w:rsidRPr="00E73D4B">
        <w:t>styrkjast</w:t>
      </w:r>
      <w:proofErr w:type="spellEnd"/>
      <w:r w:rsidRPr="00E73D4B">
        <w:t xml:space="preserve"> </w:t>
      </w:r>
      <w:proofErr w:type="spellStart"/>
      <w:r w:rsidRPr="00E73D4B">
        <w:t>ytterlegare</w:t>
      </w:r>
      <w:proofErr w:type="spellEnd"/>
      <w:r w:rsidRPr="00E73D4B">
        <w:t xml:space="preserve"> i åra framover.</w:t>
      </w:r>
    </w:p>
    <w:p w14:paraId="4FF2860F" w14:textId="77777777" w:rsidR="00972395" w:rsidRPr="00E73D4B" w:rsidRDefault="00F120C7" w:rsidP="00E73D4B">
      <w:r w:rsidRPr="00E73D4B">
        <w:t xml:space="preserve">Dersom tiltak </w:t>
      </w:r>
      <w:proofErr w:type="spellStart"/>
      <w:r w:rsidRPr="00E73D4B">
        <w:t>ikkje</w:t>
      </w:r>
      <w:proofErr w:type="spellEnd"/>
      <w:r w:rsidRPr="00E73D4B">
        <w:t xml:space="preserve"> blir gjennomførte som planlagt, vil Miljødirektoratet og Klima- og miljødepartementet vurdere korleis dette bør </w:t>
      </w:r>
      <w:proofErr w:type="spellStart"/>
      <w:r w:rsidRPr="00E73D4B">
        <w:t>følgjast</w:t>
      </w:r>
      <w:proofErr w:type="spellEnd"/>
      <w:r w:rsidRPr="00E73D4B">
        <w:t xml:space="preserve"> opp for å sikre gjennomføring av </w:t>
      </w:r>
      <w:proofErr w:type="spellStart"/>
      <w:r w:rsidRPr="00E73D4B">
        <w:t>dei</w:t>
      </w:r>
      <w:proofErr w:type="spellEnd"/>
      <w:r w:rsidRPr="00E73D4B">
        <w:t xml:space="preserve"> aktuelle tiltaka.</w:t>
      </w:r>
    </w:p>
    <w:p w14:paraId="260DCEC8" w14:textId="77777777" w:rsidR="00972395" w:rsidRPr="00E73D4B" w:rsidRDefault="00F120C7" w:rsidP="00E73D4B">
      <w:r w:rsidRPr="00E73D4B">
        <w:t xml:space="preserve">Vassforskrifta gjennomfører EU sitt vassdirektiv i </w:t>
      </w:r>
      <w:proofErr w:type="spellStart"/>
      <w:r w:rsidRPr="00E73D4B">
        <w:t>Noreg</w:t>
      </w:r>
      <w:proofErr w:type="spellEnd"/>
      <w:r w:rsidRPr="00E73D4B">
        <w:t xml:space="preserve">. Det er utarbeidd regionale vassforvaltningsplanar med </w:t>
      </w:r>
      <w:proofErr w:type="spellStart"/>
      <w:r w:rsidRPr="00E73D4B">
        <w:t>tilhøyrande</w:t>
      </w:r>
      <w:proofErr w:type="spellEnd"/>
      <w:r w:rsidRPr="00E73D4B">
        <w:t xml:space="preserve"> tiltaksprogram for kvar av </w:t>
      </w:r>
      <w:proofErr w:type="spellStart"/>
      <w:r w:rsidRPr="00E73D4B">
        <w:t>vassregionane</w:t>
      </w:r>
      <w:proofErr w:type="spellEnd"/>
      <w:r w:rsidRPr="00E73D4B">
        <w:t xml:space="preserve"> i </w:t>
      </w:r>
      <w:proofErr w:type="spellStart"/>
      <w:r w:rsidRPr="00E73D4B">
        <w:t>Noreg</w:t>
      </w:r>
      <w:proofErr w:type="spellEnd"/>
      <w:r w:rsidRPr="00E73D4B">
        <w:t xml:space="preserve">. Dette skal sikre ei </w:t>
      </w:r>
      <w:proofErr w:type="spellStart"/>
      <w:r w:rsidRPr="00E73D4B">
        <w:t>heilskapleg</w:t>
      </w:r>
      <w:proofErr w:type="spellEnd"/>
      <w:r w:rsidRPr="00E73D4B">
        <w:t xml:space="preserve"> forvaltning av vatnet vårt. </w:t>
      </w:r>
      <w:proofErr w:type="spellStart"/>
      <w:r w:rsidRPr="00E73D4B">
        <w:t>Vassforvaltningsplanane</w:t>
      </w:r>
      <w:proofErr w:type="spellEnd"/>
      <w:r w:rsidRPr="00E73D4B">
        <w:t xml:space="preserve"> er </w:t>
      </w:r>
      <w:proofErr w:type="spellStart"/>
      <w:r w:rsidRPr="00E73D4B">
        <w:t>eit</w:t>
      </w:r>
      <w:proofErr w:type="spellEnd"/>
      <w:r w:rsidRPr="00E73D4B">
        <w:t xml:space="preserve"> viktig verktøy i arbeidet med å sikre </w:t>
      </w:r>
      <w:proofErr w:type="spellStart"/>
      <w:r w:rsidRPr="00E73D4B">
        <w:t>betring</w:t>
      </w:r>
      <w:proofErr w:type="spellEnd"/>
      <w:r w:rsidRPr="00E73D4B">
        <w:t xml:space="preserve"> av vasskvaliteten i Oslofjorden og langs heile kysten. </w:t>
      </w:r>
      <w:proofErr w:type="spellStart"/>
      <w:r w:rsidRPr="00E73D4B">
        <w:t>Planane</w:t>
      </w:r>
      <w:proofErr w:type="spellEnd"/>
      <w:r w:rsidRPr="00E73D4B">
        <w:t xml:space="preserve"> </w:t>
      </w:r>
      <w:proofErr w:type="spellStart"/>
      <w:r w:rsidRPr="00E73D4B">
        <w:t>set</w:t>
      </w:r>
      <w:proofErr w:type="spellEnd"/>
      <w:r w:rsidRPr="00E73D4B">
        <w:t xml:space="preserve"> miljømål for alle </w:t>
      </w:r>
      <w:proofErr w:type="spellStart"/>
      <w:r w:rsidRPr="00E73D4B">
        <w:t>vassførekomstane</w:t>
      </w:r>
      <w:proofErr w:type="spellEnd"/>
      <w:r w:rsidRPr="00E73D4B">
        <w:t xml:space="preserve"> i </w:t>
      </w:r>
      <w:proofErr w:type="spellStart"/>
      <w:r w:rsidRPr="00E73D4B">
        <w:t>Noreg</w:t>
      </w:r>
      <w:proofErr w:type="spellEnd"/>
      <w:r w:rsidRPr="00E73D4B">
        <w:t xml:space="preserve">. Dei oppdaterte regionale </w:t>
      </w:r>
      <w:proofErr w:type="spellStart"/>
      <w:r w:rsidRPr="00E73D4B">
        <w:t>vassforvaltningsplanane</w:t>
      </w:r>
      <w:proofErr w:type="spellEnd"/>
      <w:r w:rsidRPr="00E73D4B">
        <w:t xml:space="preserve"> for planperioden 2022–2027 er </w:t>
      </w:r>
      <w:proofErr w:type="spellStart"/>
      <w:r w:rsidRPr="00E73D4B">
        <w:t>no</w:t>
      </w:r>
      <w:proofErr w:type="spellEnd"/>
      <w:r w:rsidRPr="00E73D4B">
        <w:t xml:space="preserve"> i ferd med å </w:t>
      </w:r>
      <w:proofErr w:type="spellStart"/>
      <w:r w:rsidRPr="00E73D4B">
        <w:t>godkjennast</w:t>
      </w:r>
      <w:proofErr w:type="spellEnd"/>
      <w:r w:rsidRPr="00E73D4B">
        <w:t xml:space="preserve"> av regjeringa, og gjennomføring av </w:t>
      </w:r>
      <w:proofErr w:type="spellStart"/>
      <w:r w:rsidRPr="00E73D4B">
        <w:t>dei</w:t>
      </w:r>
      <w:proofErr w:type="spellEnd"/>
      <w:r w:rsidRPr="00E73D4B">
        <w:t xml:space="preserve"> oppdaterte </w:t>
      </w:r>
      <w:proofErr w:type="spellStart"/>
      <w:r w:rsidRPr="00E73D4B">
        <w:t>planane</w:t>
      </w:r>
      <w:proofErr w:type="spellEnd"/>
      <w:r w:rsidRPr="00E73D4B">
        <w:t xml:space="preserve"> vil bidra til å </w:t>
      </w:r>
      <w:proofErr w:type="spellStart"/>
      <w:r w:rsidRPr="00E73D4B">
        <w:t>styrkje</w:t>
      </w:r>
      <w:proofErr w:type="spellEnd"/>
      <w:r w:rsidRPr="00E73D4B">
        <w:t xml:space="preserve"> innsatsen for å nå miljømåla etter vassforskrifta.</w:t>
      </w:r>
    </w:p>
    <w:p w14:paraId="7AC2A69E"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187F050B" w14:textId="77777777" w:rsidR="00972395" w:rsidRPr="00E73D4B" w:rsidRDefault="00F120C7" w:rsidP="00E73D4B">
      <w:pPr>
        <w:pStyle w:val="avsnitt-tittel"/>
      </w:pPr>
      <w:r w:rsidRPr="00E73D4B">
        <w:t xml:space="preserve">Endre omgrepet «nullutslepp» i alle </w:t>
      </w:r>
      <w:proofErr w:type="spellStart"/>
      <w:r w:rsidRPr="00E73D4B">
        <w:t>statlege</w:t>
      </w:r>
      <w:proofErr w:type="spellEnd"/>
      <w:r w:rsidRPr="00E73D4B">
        <w:t xml:space="preserve"> mål og planar til «nullutslepp og biogass»</w:t>
      </w:r>
    </w:p>
    <w:p w14:paraId="5BF14465" w14:textId="77777777" w:rsidR="00972395" w:rsidRPr="00E73D4B" w:rsidRDefault="00F120C7" w:rsidP="00E73D4B">
      <w:pPr>
        <w:pStyle w:val="avsnitt-undertittel"/>
      </w:pPr>
      <w:r w:rsidRPr="00E73D4B">
        <w:t>Vedtak nr. 711, 10. juni 2022</w:t>
      </w:r>
    </w:p>
    <w:p w14:paraId="51D9C8E2" w14:textId="77777777" w:rsidR="00972395" w:rsidRPr="00E73D4B" w:rsidRDefault="00F120C7" w:rsidP="00E73D4B">
      <w:pPr>
        <w:pStyle w:val="blokksit"/>
        <w:rPr>
          <w:rStyle w:val="kursiv"/>
        </w:rPr>
      </w:pPr>
      <w:r w:rsidRPr="00E73D4B">
        <w:rPr>
          <w:rStyle w:val="kursiv"/>
        </w:rPr>
        <w:t>«Stortinget ber regjeringen om å følge opp vedtak om å endre bruken av begrepet nullutslipp i alle statlige målsettinger og planer til nullutslipp og biogass, dette i den hensikt å likestille biogass med elektrisitet og hydrogen, og det skal gjelde allerede vedtatte og fremtidige planer.»</w:t>
      </w:r>
    </w:p>
    <w:p w14:paraId="2AFC590C" w14:textId="77777777" w:rsidR="00972395" w:rsidRPr="00E73D4B" w:rsidRDefault="00F120C7" w:rsidP="00E73D4B">
      <w:r w:rsidRPr="00E73D4B">
        <w:t xml:space="preserve">Vedtaket </w:t>
      </w:r>
      <w:proofErr w:type="spellStart"/>
      <w:r w:rsidRPr="00E73D4B">
        <w:t>vart</w:t>
      </w:r>
      <w:proofErr w:type="spellEnd"/>
      <w:r w:rsidRPr="00E73D4B">
        <w:t xml:space="preserve"> gjort i </w:t>
      </w:r>
      <w:proofErr w:type="spellStart"/>
      <w:r w:rsidRPr="00E73D4B">
        <w:t>behandlinga</w:t>
      </w:r>
      <w:proofErr w:type="spellEnd"/>
      <w:r w:rsidRPr="00E73D4B">
        <w:t xml:space="preserve"> av Meld. St. 11 (2021–2022), </w:t>
      </w:r>
      <w:r w:rsidRPr="00E73D4B">
        <w:rPr>
          <w:rStyle w:val="kursiv"/>
        </w:rPr>
        <w:t>tilleggsmelding til Meld. St. 36 (2020–2021)</w:t>
      </w:r>
      <w:r w:rsidRPr="00E73D4B">
        <w:t xml:space="preserve">, jf. </w:t>
      </w:r>
      <w:proofErr w:type="spellStart"/>
      <w:r w:rsidRPr="00E73D4B">
        <w:t>Innst</w:t>
      </w:r>
      <w:proofErr w:type="spellEnd"/>
      <w:r w:rsidRPr="00E73D4B">
        <w:t xml:space="preserve">. 446 S (2021–2022), tilråding </w:t>
      </w:r>
      <w:proofErr w:type="spellStart"/>
      <w:r w:rsidRPr="00E73D4B">
        <w:t>romartal</w:t>
      </w:r>
      <w:proofErr w:type="spellEnd"/>
      <w:r w:rsidRPr="00E73D4B">
        <w:t xml:space="preserve"> XLIV i innstillinga.</w:t>
      </w:r>
    </w:p>
    <w:p w14:paraId="2DF0FE1F" w14:textId="77777777" w:rsidR="00972395" w:rsidRPr="00E73D4B" w:rsidRDefault="00F120C7" w:rsidP="00E73D4B">
      <w:r w:rsidRPr="00E73D4B">
        <w:t xml:space="preserve">Vedtaket Stortinget viser til, er vedtak nr. 1007 (2020–2021). Stortinget gav tilslutninga si til å oppheve dette vedtaket i </w:t>
      </w:r>
      <w:proofErr w:type="spellStart"/>
      <w:r w:rsidRPr="00E73D4B">
        <w:t>behandlinga</w:t>
      </w:r>
      <w:proofErr w:type="spellEnd"/>
      <w:r w:rsidRPr="00E73D4B">
        <w:t xml:space="preserve"> av Meld. St. 4</w:t>
      </w:r>
      <w:r w:rsidRPr="00E73D4B">
        <w:rPr>
          <w:rStyle w:val="kursiv"/>
        </w:rPr>
        <w:t xml:space="preserve"> Anmodnings- og utredningsvedtak i stortingssesjonen</w:t>
      </w:r>
      <w:r w:rsidRPr="00E73D4B">
        <w:t xml:space="preserve"> </w:t>
      </w:r>
      <w:r w:rsidRPr="00E73D4B">
        <w:rPr>
          <w:rStyle w:val="kursiv"/>
        </w:rPr>
        <w:t>2022–2021</w:t>
      </w:r>
      <w:r w:rsidRPr="00E73D4B">
        <w:t xml:space="preserve">, </w:t>
      </w:r>
      <w:proofErr w:type="spellStart"/>
      <w:r w:rsidRPr="00E73D4B">
        <w:t>Innst</w:t>
      </w:r>
      <w:proofErr w:type="spellEnd"/>
      <w:r w:rsidRPr="00E73D4B">
        <w:t>. 141 S (2021–2022).</w:t>
      </w:r>
    </w:p>
    <w:p w14:paraId="1151C029" w14:textId="77777777" w:rsidR="00972395" w:rsidRPr="00E73D4B" w:rsidRDefault="00F120C7" w:rsidP="00E73D4B">
      <w:r w:rsidRPr="00E73D4B">
        <w:t xml:space="preserve">Regjeringa </w:t>
      </w:r>
      <w:proofErr w:type="spellStart"/>
      <w:r w:rsidRPr="00E73D4B">
        <w:t>reknar</w:t>
      </w:r>
      <w:proofErr w:type="spellEnd"/>
      <w:r w:rsidRPr="00E73D4B">
        <w:t xml:space="preserve"> </w:t>
      </w:r>
      <w:proofErr w:type="spellStart"/>
      <w:r w:rsidRPr="00E73D4B">
        <w:t>difor</w:t>
      </w:r>
      <w:proofErr w:type="spellEnd"/>
      <w:r w:rsidRPr="00E73D4B">
        <w:t xml:space="preserve"> vedtaket som </w:t>
      </w:r>
      <w:proofErr w:type="spellStart"/>
      <w:r w:rsidRPr="00E73D4B">
        <w:t>utkvittert</w:t>
      </w:r>
      <w:proofErr w:type="spellEnd"/>
      <w:r w:rsidRPr="00E73D4B">
        <w:t>.</w:t>
      </w:r>
    </w:p>
    <w:p w14:paraId="084590A8" w14:textId="77777777" w:rsidR="00972395" w:rsidRPr="00E73D4B" w:rsidRDefault="00F120C7" w:rsidP="00E73D4B">
      <w:pPr>
        <w:pStyle w:val="avsnitt-tittel"/>
      </w:pPr>
      <w:proofErr w:type="spellStart"/>
      <w:r w:rsidRPr="00E73D4B">
        <w:t>Verkemiddel</w:t>
      </w:r>
      <w:proofErr w:type="spellEnd"/>
      <w:r w:rsidRPr="00E73D4B">
        <w:t xml:space="preserve"> som kan bidra til å </w:t>
      </w:r>
      <w:proofErr w:type="spellStart"/>
      <w:r w:rsidRPr="00E73D4B">
        <w:t>gjera</w:t>
      </w:r>
      <w:proofErr w:type="spellEnd"/>
      <w:r w:rsidRPr="00E73D4B">
        <w:t xml:space="preserve"> direkte karbonfangst </w:t>
      </w:r>
      <w:proofErr w:type="spellStart"/>
      <w:r w:rsidRPr="00E73D4B">
        <w:t>frå</w:t>
      </w:r>
      <w:proofErr w:type="spellEnd"/>
      <w:r w:rsidRPr="00E73D4B">
        <w:t xml:space="preserve"> luft (DAC) </w:t>
      </w:r>
      <w:proofErr w:type="spellStart"/>
      <w:r w:rsidRPr="00E73D4B">
        <w:t>lønnsamt</w:t>
      </w:r>
      <w:proofErr w:type="spellEnd"/>
    </w:p>
    <w:p w14:paraId="6FCB3380" w14:textId="77777777" w:rsidR="00972395" w:rsidRPr="00E73D4B" w:rsidRDefault="00F120C7" w:rsidP="00E73D4B">
      <w:pPr>
        <w:pStyle w:val="avsnitt-undertittel"/>
      </w:pPr>
      <w:r w:rsidRPr="00E73D4B">
        <w:t>Vedtak nr. 713, 10. juni 2022</w:t>
      </w:r>
    </w:p>
    <w:p w14:paraId="6183B7B9" w14:textId="77777777" w:rsidR="00972395" w:rsidRPr="00E73D4B" w:rsidRDefault="00F120C7" w:rsidP="00E73D4B">
      <w:pPr>
        <w:pStyle w:val="blokksit"/>
        <w:rPr>
          <w:rStyle w:val="kursiv"/>
        </w:rPr>
      </w:pPr>
      <w:r w:rsidRPr="00E73D4B">
        <w:rPr>
          <w:rStyle w:val="kursiv"/>
        </w:rPr>
        <w:t>«Stortinget ber regjeringen vurdere virkemidler som kan bidra til å gjøre direkte karbonfangst fra luft (DAC) lønnsomt, herunder hvordan CO</w:t>
      </w:r>
      <w:r w:rsidRPr="00E73D4B">
        <w:rPr>
          <w:rStyle w:val="skrift-senket"/>
        </w:rPr>
        <w:t>2</w:t>
      </w:r>
      <w:r w:rsidRPr="00E73D4B">
        <w:rPr>
          <w:rStyle w:val="kursiv"/>
        </w:rPr>
        <w:t>-avgiften og handlingsrommet innenfor kvotehandelssystemet kan innrettes for å få til dette.»</w:t>
      </w:r>
    </w:p>
    <w:p w14:paraId="152C28B9" w14:textId="77777777" w:rsidR="00972395" w:rsidRPr="00E73D4B" w:rsidRDefault="00F120C7" w:rsidP="00E73D4B">
      <w:r w:rsidRPr="00E73D4B">
        <w:t xml:space="preserve">Vedtaket </w:t>
      </w:r>
      <w:proofErr w:type="spellStart"/>
      <w:r w:rsidRPr="00E73D4B">
        <w:t>vart</w:t>
      </w:r>
      <w:proofErr w:type="spellEnd"/>
      <w:r w:rsidRPr="00E73D4B">
        <w:t xml:space="preserve"> gjort i </w:t>
      </w:r>
      <w:proofErr w:type="spellStart"/>
      <w:r w:rsidRPr="00E73D4B">
        <w:t>behandlinga</w:t>
      </w:r>
      <w:proofErr w:type="spellEnd"/>
      <w:r w:rsidRPr="00E73D4B">
        <w:t xml:space="preserve"> av Meld. St. 11 (2021–2022), </w:t>
      </w:r>
      <w:r w:rsidRPr="00E73D4B">
        <w:rPr>
          <w:rStyle w:val="kursiv"/>
        </w:rPr>
        <w:t>tilleggsmelding til Meld. St. 36 (2020–2021)</w:t>
      </w:r>
      <w:r w:rsidRPr="00E73D4B">
        <w:t xml:space="preserve">, jf. </w:t>
      </w:r>
      <w:proofErr w:type="spellStart"/>
      <w:r w:rsidRPr="00E73D4B">
        <w:t>Innst</w:t>
      </w:r>
      <w:proofErr w:type="spellEnd"/>
      <w:r w:rsidRPr="00E73D4B">
        <w:t xml:space="preserve">. 446 S (2021–2022), tilråding </w:t>
      </w:r>
      <w:proofErr w:type="spellStart"/>
      <w:r w:rsidRPr="00E73D4B">
        <w:t>romartal</w:t>
      </w:r>
      <w:proofErr w:type="spellEnd"/>
      <w:r w:rsidRPr="00E73D4B">
        <w:t xml:space="preserve"> XLIV i innstillinga.</w:t>
      </w:r>
    </w:p>
    <w:p w14:paraId="5A2305FD" w14:textId="77777777" w:rsidR="00972395" w:rsidRPr="00E73D4B" w:rsidRDefault="00F120C7" w:rsidP="00E73D4B">
      <w:r w:rsidRPr="00E73D4B">
        <w:t>Vedtaket er under oppfølging. Stortinget vil bli orientert på eigna måte.</w:t>
      </w:r>
    </w:p>
    <w:p w14:paraId="0CA9B160" w14:textId="77777777" w:rsidR="00972395" w:rsidRPr="00E73D4B" w:rsidRDefault="00F120C7" w:rsidP="00E73D4B">
      <w:pPr>
        <w:pStyle w:val="avsnitt-tittel"/>
      </w:pPr>
      <w:r w:rsidRPr="00E73D4B">
        <w:t xml:space="preserve">Levere </w:t>
      </w:r>
      <w:proofErr w:type="spellStart"/>
      <w:r w:rsidRPr="00E73D4B">
        <w:t>ein</w:t>
      </w:r>
      <w:proofErr w:type="spellEnd"/>
      <w:r w:rsidRPr="00E73D4B">
        <w:t xml:space="preserve"> plan for harmonisering av rammeverk for biogass i Norden</w:t>
      </w:r>
    </w:p>
    <w:p w14:paraId="65066A04" w14:textId="77777777" w:rsidR="00972395" w:rsidRPr="00E73D4B" w:rsidRDefault="00F120C7" w:rsidP="00E73D4B">
      <w:pPr>
        <w:pStyle w:val="avsnitt-undertittel"/>
      </w:pPr>
      <w:r w:rsidRPr="00E73D4B">
        <w:t>Vedtak nr. 753, 10. juni 2022</w:t>
      </w:r>
    </w:p>
    <w:p w14:paraId="421E19DB" w14:textId="77777777" w:rsidR="00972395" w:rsidRPr="00E73D4B" w:rsidRDefault="00F120C7" w:rsidP="00E73D4B">
      <w:pPr>
        <w:pStyle w:val="blokksit"/>
        <w:rPr>
          <w:rStyle w:val="kursiv"/>
        </w:rPr>
      </w:pPr>
      <w:r w:rsidRPr="00E73D4B">
        <w:rPr>
          <w:rStyle w:val="kursiv"/>
        </w:rPr>
        <w:t>«Stortinget ber regjeringen om å følge opp initiativ til å harmonisere rammevilkårene for biogassproduksjon i Norden og komme tilbake til Stortinget med en plan for dette i forbindelse med budsjett for 2023, samtidig gjennomgå virkemidler for biogass i andre nordiske land og vurdere endringer for å sikre at norske biogassprodusenter er mer konkurransedyktige i møte med utenlandsk gassproduksjon.»</w:t>
      </w:r>
    </w:p>
    <w:p w14:paraId="17D2D0CF" w14:textId="77777777" w:rsidR="00972395" w:rsidRPr="00E73D4B" w:rsidRDefault="00F120C7" w:rsidP="00E73D4B">
      <w:r w:rsidRPr="00E73D4B">
        <w:t xml:space="preserve">Vedtaket </w:t>
      </w:r>
      <w:proofErr w:type="spellStart"/>
      <w:r w:rsidRPr="00E73D4B">
        <w:t>vart</w:t>
      </w:r>
      <w:proofErr w:type="spellEnd"/>
      <w:r w:rsidRPr="00E73D4B">
        <w:t xml:space="preserve"> gjort i </w:t>
      </w:r>
      <w:proofErr w:type="spellStart"/>
      <w:r w:rsidRPr="00E73D4B">
        <w:t>behandlinga</w:t>
      </w:r>
      <w:proofErr w:type="spellEnd"/>
      <w:r w:rsidRPr="00E73D4B">
        <w:t xml:space="preserve"> av Meld. St. 11 (2021–2022), </w:t>
      </w:r>
      <w:r w:rsidRPr="00E73D4B">
        <w:rPr>
          <w:rStyle w:val="kursiv"/>
        </w:rPr>
        <w:t>tilleggsmelding til Meld. St. 36 (2020–2021)</w:t>
      </w:r>
      <w:r w:rsidRPr="00E73D4B">
        <w:t xml:space="preserve">, jf. </w:t>
      </w:r>
      <w:proofErr w:type="spellStart"/>
      <w:r w:rsidRPr="00E73D4B">
        <w:t>Innst</w:t>
      </w:r>
      <w:proofErr w:type="spellEnd"/>
      <w:r w:rsidRPr="00E73D4B">
        <w:t xml:space="preserve">. 446 S (2021–2022), tilråding </w:t>
      </w:r>
      <w:proofErr w:type="spellStart"/>
      <w:r w:rsidRPr="00E73D4B">
        <w:t>romartal</w:t>
      </w:r>
      <w:proofErr w:type="spellEnd"/>
      <w:r w:rsidRPr="00E73D4B">
        <w:t xml:space="preserve"> XLV i innstillinga.</w:t>
      </w:r>
    </w:p>
    <w:p w14:paraId="0DA15E68" w14:textId="77777777" w:rsidR="00972395" w:rsidRPr="00E73D4B" w:rsidRDefault="00F120C7" w:rsidP="00E73D4B">
      <w:r w:rsidRPr="00E73D4B">
        <w:t xml:space="preserve">Miljødirektoratet har, på oppdrag </w:t>
      </w:r>
      <w:proofErr w:type="spellStart"/>
      <w:r w:rsidRPr="00E73D4B">
        <w:t>frå</w:t>
      </w:r>
      <w:proofErr w:type="spellEnd"/>
      <w:r w:rsidRPr="00E73D4B">
        <w:t xml:space="preserve"> departementet, levert </w:t>
      </w:r>
      <w:proofErr w:type="spellStart"/>
      <w:r w:rsidRPr="00E73D4B">
        <w:t>ein</w:t>
      </w:r>
      <w:proofErr w:type="spellEnd"/>
      <w:r w:rsidRPr="00E73D4B">
        <w:t xml:space="preserve"> rapport som gjennomgår </w:t>
      </w:r>
      <w:proofErr w:type="spellStart"/>
      <w:r w:rsidRPr="00E73D4B">
        <w:t>verkemidla</w:t>
      </w:r>
      <w:proofErr w:type="spellEnd"/>
      <w:r w:rsidRPr="00E73D4B">
        <w:t xml:space="preserve"> for biogass i </w:t>
      </w:r>
      <w:proofErr w:type="spellStart"/>
      <w:r w:rsidRPr="00E73D4B">
        <w:t>Noreg</w:t>
      </w:r>
      <w:proofErr w:type="spellEnd"/>
      <w:r w:rsidRPr="00E73D4B">
        <w:t>, Sverige og Danmark. Rapporten er til behandling i departementet. Regjeringa vil komme tilbake til Stortinget på eigna måte.</w:t>
      </w:r>
    </w:p>
    <w:p w14:paraId="02AF8105" w14:textId="77777777" w:rsidR="00972395" w:rsidRPr="00E73D4B" w:rsidRDefault="00F120C7" w:rsidP="00E73D4B">
      <w:pPr>
        <w:pStyle w:val="avsnitt-tittel"/>
      </w:pPr>
      <w:proofErr w:type="spellStart"/>
      <w:r w:rsidRPr="00E73D4B">
        <w:t>Leggje</w:t>
      </w:r>
      <w:proofErr w:type="spellEnd"/>
      <w:r w:rsidRPr="00E73D4B">
        <w:t xml:space="preserve"> til rette for </w:t>
      </w:r>
      <w:proofErr w:type="spellStart"/>
      <w:r w:rsidRPr="00E73D4B">
        <w:t>auka</w:t>
      </w:r>
      <w:proofErr w:type="spellEnd"/>
      <w:r w:rsidRPr="00E73D4B">
        <w:t xml:space="preserve"> bruk av avansert </w:t>
      </w:r>
      <w:proofErr w:type="spellStart"/>
      <w:r w:rsidRPr="00E73D4B">
        <w:t>flytande</w:t>
      </w:r>
      <w:proofErr w:type="spellEnd"/>
      <w:r w:rsidRPr="00E73D4B">
        <w:t xml:space="preserve"> biodrivstoff og biogass i transportsektoren</w:t>
      </w:r>
    </w:p>
    <w:p w14:paraId="21F54A00" w14:textId="77777777" w:rsidR="00972395" w:rsidRPr="00E73D4B" w:rsidRDefault="00F120C7" w:rsidP="00E73D4B">
      <w:pPr>
        <w:pStyle w:val="avsnitt-undertittel"/>
      </w:pPr>
      <w:r w:rsidRPr="00E73D4B">
        <w:t>Vedtak nr. 756, 10. juni 2022</w:t>
      </w:r>
    </w:p>
    <w:p w14:paraId="5A24A9C8" w14:textId="77777777" w:rsidR="00972395" w:rsidRPr="00E73D4B" w:rsidRDefault="00F120C7" w:rsidP="00E73D4B">
      <w:pPr>
        <w:pStyle w:val="blokksit"/>
      </w:pPr>
      <w:r w:rsidRPr="00E73D4B">
        <w:rPr>
          <w:rStyle w:val="kursiv"/>
        </w:rPr>
        <w:t>«Stortinget ber regjeringen legge til rette for økt bruk av avansert flytende biodrivstoff og biogass i transportsektoren.»</w:t>
      </w:r>
    </w:p>
    <w:p w14:paraId="4B924EF3" w14:textId="77777777" w:rsidR="00972395" w:rsidRPr="00E73D4B" w:rsidRDefault="00F120C7" w:rsidP="00E73D4B">
      <w:r w:rsidRPr="00E73D4B">
        <w:t xml:space="preserve">Vedtaket </w:t>
      </w:r>
      <w:proofErr w:type="spellStart"/>
      <w:r w:rsidRPr="00E73D4B">
        <w:t>vart</w:t>
      </w:r>
      <w:proofErr w:type="spellEnd"/>
      <w:r w:rsidRPr="00E73D4B">
        <w:t xml:space="preserve"> gjort i </w:t>
      </w:r>
      <w:proofErr w:type="spellStart"/>
      <w:r w:rsidRPr="00E73D4B">
        <w:t>behandlinga</w:t>
      </w:r>
      <w:proofErr w:type="spellEnd"/>
      <w:r w:rsidRPr="00E73D4B">
        <w:t xml:space="preserve"> av Meld. St. 11 (2021–2022), </w:t>
      </w:r>
      <w:r w:rsidRPr="00E73D4B">
        <w:rPr>
          <w:rStyle w:val="kursiv"/>
        </w:rPr>
        <w:t>tilleggsmelding til Meld. St. 36 (2020–2021)</w:t>
      </w:r>
      <w:r w:rsidRPr="00E73D4B">
        <w:t xml:space="preserve">, jf. </w:t>
      </w:r>
      <w:proofErr w:type="spellStart"/>
      <w:r w:rsidRPr="00E73D4B">
        <w:t>Innst</w:t>
      </w:r>
      <w:proofErr w:type="spellEnd"/>
      <w:r w:rsidRPr="00E73D4B">
        <w:t xml:space="preserve">. 446 S (2021–2022), tilråding </w:t>
      </w:r>
      <w:proofErr w:type="spellStart"/>
      <w:r w:rsidRPr="00E73D4B">
        <w:t>romartal</w:t>
      </w:r>
      <w:proofErr w:type="spellEnd"/>
      <w:r w:rsidRPr="00E73D4B">
        <w:t xml:space="preserve"> XLVIII i innstillinga.</w:t>
      </w:r>
    </w:p>
    <w:p w14:paraId="46EB8C54" w14:textId="77777777" w:rsidR="00972395" w:rsidRPr="00E73D4B" w:rsidRDefault="00F120C7" w:rsidP="00E73D4B">
      <w:r w:rsidRPr="00E73D4B">
        <w:t xml:space="preserve">Regjeringen </w:t>
      </w:r>
      <w:proofErr w:type="spellStart"/>
      <w:r w:rsidRPr="00E73D4B">
        <w:t>auke</w:t>
      </w:r>
      <w:proofErr w:type="spellEnd"/>
      <w:r w:rsidRPr="00E73D4B">
        <w:t xml:space="preserve"> omsetningskravet for biodrivstoff til vegtrafikk til 17 pst. og innfører omsetningskrav til </w:t>
      </w:r>
      <w:proofErr w:type="spellStart"/>
      <w:r w:rsidRPr="00E73D4B">
        <w:t>ikkje-veggåande</w:t>
      </w:r>
      <w:proofErr w:type="spellEnd"/>
      <w:r w:rsidRPr="00E73D4B">
        <w:t xml:space="preserve"> maskiner på 7 pst. i 2023 og 10 pst. i 2024.</w:t>
      </w:r>
    </w:p>
    <w:p w14:paraId="55735A5E" w14:textId="77777777" w:rsidR="00972395" w:rsidRPr="00E73D4B" w:rsidRDefault="00F120C7" w:rsidP="00E73D4B">
      <w:r w:rsidRPr="00E73D4B">
        <w:t xml:space="preserve">Miljødirektoratet har også levert konsekvensutgreiing og forslag til forskriftsendring for </w:t>
      </w:r>
      <w:proofErr w:type="spellStart"/>
      <w:r w:rsidRPr="00E73D4B">
        <w:t>eit</w:t>
      </w:r>
      <w:proofErr w:type="spellEnd"/>
      <w:r w:rsidRPr="00E73D4B">
        <w:t xml:space="preserve"> omsetningskrav til </w:t>
      </w:r>
      <w:proofErr w:type="spellStart"/>
      <w:r w:rsidRPr="00E73D4B">
        <w:t>innanlands</w:t>
      </w:r>
      <w:proofErr w:type="spellEnd"/>
      <w:r w:rsidRPr="00E73D4B">
        <w:t xml:space="preserve"> sjøfart og fiske, samstundes som </w:t>
      </w:r>
      <w:proofErr w:type="spellStart"/>
      <w:r w:rsidRPr="00E73D4B">
        <w:t>ein</w:t>
      </w:r>
      <w:proofErr w:type="spellEnd"/>
      <w:r w:rsidRPr="00E73D4B">
        <w:t xml:space="preserve"> følgjer med på reduksjonsplikta EU har foreslått til </w:t>
      </w:r>
      <w:proofErr w:type="spellStart"/>
      <w:r w:rsidRPr="00E73D4B">
        <w:t>delar</w:t>
      </w:r>
      <w:proofErr w:type="spellEnd"/>
      <w:r w:rsidRPr="00E73D4B">
        <w:t xml:space="preserve"> av den europeiske skipsfarten, som vil ha </w:t>
      </w:r>
      <w:proofErr w:type="spellStart"/>
      <w:r w:rsidRPr="00E73D4B">
        <w:t>konsekvensar</w:t>
      </w:r>
      <w:proofErr w:type="spellEnd"/>
      <w:r w:rsidRPr="00E73D4B">
        <w:t xml:space="preserve"> for norske skip. Saka er til behandling i departementet.  Direktoratet har også levert konsekvensutgreiing og forslag til opptrapping av omsetningskravet. Saka er til behandling i departementet</w:t>
      </w:r>
    </w:p>
    <w:p w14:paraId="455E988C" w14:textId="77777777" w:rsidR="00972395" w:rsidRPr="00E73D4B" w:rsidRDefault="00F120C7" w:rsidP="00E73D4B">
      <w:r w:rsidRPr="00E73D4B">
        <w:t xml:space="preserve">Miljødirektoratet har også fått i oppdrag å evaluere omsetningskravet til luftfart som tok til å gjelde i 2020, og vurdere eventuell opptrapping. Leveransen </w:t>
      </w:r>
      <w:proofErr w:type="spellStart"/>
      <w:r w:rsidRPr="00E73D4B">
        <w:t>frå</w:t>
      </w:r>
      <w:proofErr w:type="spellEnd"/>
      <w:r w:rsidRPr="00E73D4B">
        <w:t xml:space="preserve"> direktoratet konkluderte med at omsetningskravet i stor grad har </w:t>
      </w:r>
      <w:proofErr w:type="spellStart"/>
      <w:r w:rsidRPr="00E73D4B">
        <w:t>vore</w:t>
      </w:r>
      <w:proofErr w:type="spellEnd"/>
      <w:r w:rsidRPr="00E73D4B">
        <w:t xml:space="preserve"> vellykka.</w:t>
      </w:r>
    </w:p>
    <w:p w14:paraId="590F08E0" w14:textId="77777777" w:rsidR="00972395" w:rsidRPr="00E73D4B" w:rsidRDefault="00F120C7" w:rsidP="00E73D4B">
      <w:r w:rsidRPr="00E73D4B">
        <w:t xml:space="preserve">Regjeringa har gjeve Miljødirektoratet i oppdrag å greie ut </w:t>
      </w:r>
      <w:proofErr w:type="spellStart"/>
      <w:r w:rsidRPr="00E73D4B">
        <w:t>eit</w:t>
      </w:r>
      <w:proofErr w:type="spellEnd"/>
      <w:r w:rsidRPr="00E73D4B">
        <w:t xml:space="preserve"> system for rapportering på </w:t>
      </w:r>
      <w:proofErr w:type="spellStart"/>
      <w:r w:rsidRPr="00E73D4B">
        <w:t>berekraftseigenskapane</w:t>
      </w:r>
      <w:proofErr w:type="spellEnd"/>
      <w:r w:rsidRPr="00E73D4B">
        <w:t xml:space="preserve"> til avansert biodrivstoff selt </w:t>
      </w:r>
      <w:proofErr w:type="spellStart"/>
      <w:r w:rsidRPr="00E73D4B">
        <w:t>utanfor</w:t>
      </w:r>
      <w:proofErr w:type="spellEnd"/>
      <w:r w:rsidRPr="00E73D4B">
        <w:t xml:space="preserve"> omsetningskravet som vil kunne </w:t>
      </w:r>
      <w:proofErr w:type="spellStart"/>
      <w:r w:rsidRPr="00E73D4B">
        <w:t>gje</w:t>
      </w:r>
      <w:proofErr w:type="spellEnd"/>
      <w:r w:rsidRPr="00E73D4B">
        <w:t xml:space="preserve"> større </w:t>
      </w:r>
      <w:proofErr w:type="spellStart"/>
      <w:r w:rsidRPr="00E73D4B">
        <w:t>moglegheiter</w:t>
      </w:r>
      <w:proofErr w:type="spellEnd"/>
      <w:r w:rsidRPr="00E73D4B">
        <w:t xml:space="preserve"> til </w:t>
      </w:r>
      <w:proofErr w:type="spellStart"/>
      <w:r w:rsidRPr="00E73D4B">
        <w:t>aktørar</w:t>
      </w:r>
      <w:proofErr w:type="spellEnd"/>
      <w:r w:rsidRPr="00E73D4B">
        <w:t xml:space="preserve"> som </w:t>
      </w:r>
      <w:proofErr w:type="spellStart"/>
      <w:r w:rsidRPr="00E73D4B">
        <w:t>ønskjer</w:t>
      </w:r>
      <w:proofErr w:type="spellEnd"/>
      <w:r w:rsidRPr="00E73D4B">
        <w:t xml:space="preserve"> å ta i bruk </w:t>
      </w:r>
      <w:proofErr w:type="spellStart"/>
      <w:r w:rsidRPr="00E73D4B">
        <w:t>meir</w:t>
      </w:r>
      <w:proofErr w:type="spellEnd"/>
      <w:r w:rsidRPr="00E73D4B">
        <w:t xml:space="preserve"> biodrivstoff enn det omsetningskravet </w:t>
      </w:r>
      <w:proofErr w:type="spellStart"/>
      <w:r w:rsidRPr="00E73D4B">
        <w:t>tilseier</w:t>
      </w:r>
      <w:proofErr w:type="spellEnd"/>
      <w:r w:rsidRPr="00E73D4B">
        <w:t>.</w:t>
      </w:r>
    </w:p>
    <w:p w14:paraId="30D4674C" w14:textId="77777777" w:rsidR="00972395" w:rsidRPr="00E73D4B" w:rsidRDefault="00F120C7" w:rsidP="00E73D4B">
      <w:r w:rsidRPr="00E73D4B">
        <w:t xml:space="preserve">Regjeringa har også gjeve Statens vegvesen i oppdrag å utarbeide ei løysing med eiga takstgruppe for alle </w:t>
      </w:r>
      <w:proofErr w:type="spellStart"/>
      <w:r w:rsidRPr="00E73D4B">
        <w:t>gassdrivne</w:t>
      </w:r>
      <w:proofErr w:type="spellEnd"/>
      <w:r w:rsidRPr="00E73D4B">
        <w:t xml:space="preserve"> </w:t>
      </w:r>
      <w:proofErr w:type="spellStart"/>
      <w:r w:rsidRPr="00E73D4B">
        <w:t>køyretøy</w:t>
      </w:r>
      <w:proofErr w:type="spellEnd"/>
      <w:r w:rsidRPr="00E73D4B">
        <w:t xml:space="preserve"> (GA) i takstgruppe 2 (tunge </w:t>
      </w:r>
      <w:proofErr w:type="spellStart"/>
      <w:r w:rsidRPr="00E73D4B">
        <w:t>køyretøy</w:t>
      </w:r>
      <w:proofErr w:type="spellEnd"/>
      <w:r w:rsidRPr="00E73D4B">
        <w:t xml:space="preserve">), slik at </w:t>
      </w:r>
      <w:proofErr w:type="spellStart"/>
      <w:r w:rsidRPr="00E73D4B">
        <w:t>biogasskøyretøy</w:t>
      </w:r>
      <w:proofErr w:type="spellEnd"/>
      <w:r w:rsidRPr="00E73D4B">
        <w:t xml:space="preserve"> kan få reduserte </w:t>
      </w:r>
      <w:proofErr w:type="spellStart"/>
      <w:r w:rsidRPr="00E73D4B">
        <w:t>takstar</w:t>
      </w:r>
      <w:proofErr w:type="spellEnd"/>
      <w:r w:rsidRPr="00E73D4B">
        <w:t>.</w:t>
      </w:r>
    </w:p>
    <w:p w14:paraId="5F8B93FE" w14:textId="77777777" w:rsidR="00972395" w:rsidRPr="00E73D4B" w:rsidRDefault="00F120C7" w:rsidP="00E73D4B">
      <w:proofErr w:type="spellStart"/>
      <w:r w:rsidRPr="00E73D4B">
        <w:t>Enova</w:t>
      </w:r>
      <w:proofErr w:type="spellEnd"/>
      <w:r w:rsidRPr="00E73D4B">
        <w:t xml:space="preserve"> bestemte i 2022 å </w:t>
      </w:r>
      <w:proofErr w:type="spellStart"/>
      <w:r w:rsidRPr="00E73D4B">
        <w:t>gje</w:t>
      </w:r>
      <w:proofErr w:type="spellEnd"/>
      <w:r w:rsidRPr="00E73D4B">
        <w:t xml:space="preserve"> støtte til bygging av 14 nye </w:t>
      </w:r>
      <w:proofErr w:type="spellStart"/>
      <w:r w:rsidRPr="00E73D4B">
        <w:t>fyllestasjonar</w:t>
      </w:r>
      <w:proofErr w:type="spellEnd"/>
      <w:r w:rsidRPr="00E73D4B">
        <w:t xml:space="preserve"> for biogass og til innkjøp av 120 </w:t>
      </w:r>
      <w:proofErr w:type="spellStart"/>
      <w:r w:rsidRPr="00E73D4B">
        <w:t>biogasskøyretøy</w:t>
      </w:r>
      <w:proofErr w:type="spellEnd"/>
      <w:r w:rsidRPr="00E73D4B">
        <w:t>.</w:t>
      </w:r>
    </w:p>
    <w:p w14:paraId="08B958C2" w14:textId="77777777" w:rsidR="00972395" w:rsidRPr="00E73D4B" w:rsidRDefault="00F120C7" w:rsidP="00E73D4B">
      <w:r w:rsidRPr="00E73D4B">
        <w:t xml:space="preserve"> </w:t>
      </w:r>
      <w:proofErr w:type="spellStart"/>
      <w:r w:rsidRPr="00E73D4B">
        <w:t>Vidare</w:t>
      </w:r>
      <w:proofErr w:type="spellEnd"/>
      <w:r w:rsidRPr="00E73D4B">
        <w:t xml:space="preserve"> oppfølging av biogass i transportsektoren vil rapporteres under oppmodingsvedtak nr. 753, 10. juni 2022. </w:t>
      </w:r>
    </w:p>
    <w:p w14:paraId="498ECA04"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05E8D67F" w14:textId="77777777" w:rsidR="00972395" w:rsidRPr="00E73D4B" w:rsidRDefault="00F120C7" w:rsidP="00E73D4B">
      <w:pPr>
        <w:pStyle w:val="avsnitt-tittel"/>
      </w:pPr>
      <w:proofErr w:type="spellStart"/>
      <w:r w:rsidRPr="00E73D4B">
        <w:t>Sørgje</w:t>
      </w:r>
      <w:proofErr w:type="spellEnd"/>
      <w:r w:rsidRPr="00E73D4B">
        <w:t xml:space="preserve"> for at </w:t>
      </w:r>
      <w:proofErr w:type="spellStart"/>
      <w:r w:rsidRPr="00E73D4B">
        <w:t>Enova</w:t>
      </w:r>
      <w:proofErr w:type="spellEnd"/>
      <w:r w:rsidRPr="00E73D4B">
        <w:t xml:space="preserve"> </w:t>
      </w:r>
      <w:proofErr w:type="spellStart"/>
      <w:r w:rsidRPr="00E73D4B">
        <w:t>aukar</w:t>
      </w:r>
      <w:proofErr w:type="spellEnd"/>
      <w:r w:rsidRPr="00E73D4B">
        <w:t xml:space="preserve"> støtta til </w:t>
      </w:r>
      <w:proofErr w:type="spellStart"/>
      <w:r w:rsidRPr="00E73D4B">
        <w:t>elvarebilar</w:t>
      </w:r>
      <w:proofErr w:type="spellEnd"/>
      <w:r w:rsidRPr="00E73D4B">
        <w:t xml:space="preserve"> </w:t>
      </w:r>
      <w:proofErr w:type="spellStart"/>
      <w:r w:rsidRPr="00E73D4B">
        <w:t>frå</w:t>
      </w:r>
      <w:proofErr w:type="spellEnd"/>
      <w:r w:rsidRPr="00E73D4B">
        <w:t xml:space="preserve"> 30 pst. til 40 pst. av </w:t>
      </w:r>
      <w:proofErr w:type="spellStart"/>
      <w:r w:rsidRPr="00E73D4B">
        <w:t>meirkostnaden</w:t>
      </w:r>
      <w:proofErr w:type="spellEnd"/>
    </w:p>
    <w:p w14:paraId="50796DD9" w14:textId="77777777" w:rsidR="00972395" w:rsidRPr="00E73D4B" w:rsidRDefault="00F120C7" w:rsidP="00E73D4B">
      <w:pPr>
        <w:pStyle w:val="avsnitt-undertittel"/>
      </w:pPr>
      <w:r w:rsidRPr="00E73D4B">
        <w:t>Vedtak nr. 830, 17. juni 2022</w:t>
      </w:r>
    </w:p>
    <w:p w14:paraId="5D780202" w14:textId="77777777" w:rsidR="00972395" w:rsidRPr="00E73D4B" w:rsidRDefault="00F120C7" w:rsidP="00E73D4B">
      <w:pPr>
        <w:pStyle w:val="blokksit"/>
        <w:rPr>
          <w:rStyle w:val="kursiv"/>
        </w:rPr>
      </w:pPr>
      <w:r w:rsidRPr="00E73D4B">
        <w:rPr>
          <w:rStyle w:val="kursiv"/>
        </w:rPr>
        <w:t xml:space="preserve">«Stortinget ber regjeringen i forbindelse med statsbudsjettet 2023 sørge for at </w:t>
      </w:r>
      <w:proofErr w:type="spellStart"/>
      <w:r w:rsidRPr="00E73D4B">
        <w:rPr>
          <w:rStyle w:val="kursiv"/>
        </w:rPr>
        <w:t>Enova</w:t>
      </w:r>
      <w:proofErr w:type="spellEnd"/>
      <w:r w:rsidRPr="00E73D4B">
        <w:rPr>
          <w:rStyle w:val="kursiv"/>
        </w:rPr>
        <w:t xml:space="preserve"> øker støtten til el-varebiler fra 30 pst. til 40 pst. av merkostnaden.»</w:t>
      </w:r>
    </w:p>
    <w:p w14:paraId="5FF2014F"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2 (2021–2022), revidert nasjonalbudsjett, jf. </w:t>
      </w:r>
      <w:proofErr w:type="spellStart"/>
      <w:r w:rsidRPr="00E73D4B">
        <w:t>Innst</w:t>
      </w:r>
      <w:proofErr w:type="spellEnd"/>
      <w:r w:rsidRPr="00E73D4B">
        <w:t>. 450 S (2021–2022).</w:t>
      </w:r>
    </w:p>
    <w:p w14:paraId="622913D5" w14:textId="77777777" w:rsidR="00972395" w:rsidRPr="00E73D4B" w:rsidRDefault="00F120C7" w:rsidP="00E73D4B">
      <w:r w:rsidRPr="00E73D4B">
        <w:t xml:space="preserve">Regjeringa foreslår ei </w:t>
      </w:r>
      <w:proofErr w:type="spellStart"/>
      <w:r w:rsidRPr="00E73D4B">
        <w:t>auka</w:t>
      </w:r>
      <w:proofErr w:type="spellEnd"/>
      <w:r w:rsidRPr="00E73D4B">
        <w:t xml:space="preserve"> løyving til </w:t>
      </w:r>
      <w:proofErr w:type="spellStart"/>
      <w:r w:rsidRPr="00E73D4B">
        <w:t>Enova</w:t>
      </w:r>
      <w:proofErr w:type="spellEnd"/>
      <w:r w:rsidRPr="00E73D4B">
        <w:t xml:space="preserve"> på 500 mill. kroner som skal bidra til </w:t>
      </w:r>
      <w:proofErr w:type="spellStart"/>
      <w:r w:rsidRPr="00E73D4B">
        <w:t>utsleppsreduksjonar</w:t>
      </w:r>
      <w:proofErr w:type="spellEnd"/>
      <w:r w:rsidRPr="00E73D4B">
        <w:t xml:space="preserve"> og omstilling. Denne løyvinga </w:t>
      </w:r>
      <w:proofErr w:type="spellStart"/>
      <w:r w:rsidRPr="00E73D4B">
        <w:t>gjer</w:t>
      </w:r>
      <w:proofErr w:type="spellEnd"/>
      <w:r w:rsidRPr="00E73D4B">
        <w:t xml:space="preserve"> at </w:t>
      </w:r>
      <w:proofErr w:type="spellStart"/>
      <w:r w:rsidRPr="00E73D4B">
        <w:t>Enova</w:t>
      </w:r>
      <w:proofErr w:type="spellEnd"/>
      <w:r w:rsidRPr="00E73D4B">
        <w:t xml:space="preserve"> kan </w:t>
      </w:r>
      <w:proofErr w:type="spellStart"/>
      <w:r w:rsidRPr="00E73D4B">
        <w:t>auke</w:t>
      </w:r>
      <w:proofErr w:type="spellEnd"/>
      <w:r w:rsidRPr="00E73D4B">
        <w:t xml:space="preserve"> innsatsen mot transportsektoren. Løyvinga vil mellom anna </w:t>
      </w:r>
      <w:proofErr w:type="spellStart"/>
      <w:r w:rsidRPr="00E73D4B">
        <w:t>gjere</w:t>
      </w:r>
      <w:proofErr w:type="spellEnd"/>
      <w:r w:rsidRPr="00E73D4B">
        <w:t xml:space="preserve"> det </w:t>
      </w:r>
      <w:proofErr w:type="spellStart"/>
      <w:r w:rsidRPr="00E73D4B">
        <w:t>mogleg</w:t>
      </w:r>
      <w:proofErr w:type="spellEnd"/>
      <w:r w:rsidRPr="00E73D4B">
        <w:t xml:space="preserve"> å framleis støtte opp om utviklinga i </w:t>
      </w:r>
      <w:proofErr w:type="spellStart"/>
      <w:r w:rsidRPr="00E73D4B">
        <w:t>marknaden</w:t>
      </w:r>
      <w:proofErr w:type="spellEnd"/>
      <w:r w:rsidRPr="00E73D4B">
        <w:t xml:space="preserve"> for </w:t>
      </w:r>
      <w:proofErr w:type="spellStart"/>
      <w:r w:rsidRPr="00E73D4B">
        <w:t>elvarebilar</w:t>
      </w:r>
      <w:proofErr w:type="spellEnd"/>
      <w:r w:rsidRPr="00E73D4B">
        <w:t>.</w:t>
      </w:r>
    </w:p>
    <w:p w14:paraId="5CEAADF1" w14:textId="77777777" w:rsidR="00972395" w:rsidRPr="00E73D4B" w:rsidRDefault="00F120C7" w:rsidP="00E73D4B">
      <w:r w:rsidRPr="00E73D4B">
        <w:t xml:space="preserve">Det er </w:t>
      </w:r>
      <w:proofErr w:type="spellStart"/>
      <w:r w:rsidRPr="00E73D4B">
        <w:t>fleire</w:t>
      </w:r>
      <w:proofErr w:type="spellEnd"/>
      <w:r w:rsidRPr="00E73D4B">
        <w:t xml:space="preserve"> </w:t>
      </w:r>
      <w:proofErr w:type="spellStart"/>
      <w:r w:rsidRPr="00E73D4B">
        <w:t>utfordringar</w:t>
      </w:r>
      <w:proofErr w:type="spellEnd"/>
      <w:r w:rsidRPr="00E73D4B">
        <w:t xml:space="preserve"> ved å detaljstyre </w:t>
      </w:r>
      <w:proofErr w:type="spellStart"/>
      <w:r w:rsidRPr="00E73D4B">
        <w:t>Enova</w:t>
      </w:r>
      <w:proofErr w:type="spellEnd"/>
      <w:r w:rsidRPr="00E73D4B">
        <w:t xml:space="preserve"> til å </w:t>
      </w:r>
      <w:proofErr w:type="spellStart"/>
      <w:r w:rsidRPr="00E73D4B">
        <w:t>auke</w:t>
      </w:r>
      <w:proofErr w:type="spellEnd"/>
      <w:r w:rsidRPr="00E73D4B">
        <w:t xml:space="preserve"> støtte til </w:t>
      </w:r>
      <w:proofErr w:type="spellStart"/>
      <w:r w:rsidRPr="00E73D4B">
        <w:t>elvarebilar</w:t>
      </w:r>
      <w:proofErr w:type="spellEnd"/>
      <w:r w:rsidRPr="00E73D4B">
        <w:t xml:space="preserve"> </w:t>
      </w:r>
      <w:proofErr w:type="spellStart"/>
      <w:r w:rsidRPr="00E73D4B">
        <w:t>frå</w:t>
      </w:r>
      <w:proofErr w:type="spellEnd"/>
      <w:r w:rsidRPr="00E73D4B">
        <w:t xml:space="preserve"> 30 pst. til 40 pst. av </w:t>
      </w:r>
      <w:proofErr w:type="spellStart"/>
      <w:r w:rsidRPr="00E73D4B">
        <w:t>meirkostnaden</w:t>
      </w:r>
      <w:proofErr w:type="spellEnd"/>
      <w:r w:rsidRPr="00E73D4B">
        <w:t xml:space="preserve">. Vi har ambisiøse mål i klimapolitikken og skal på kort tid omstille oss til </w:t>
      </w:r>
      <w:proofErr w:type="spellStart"/>
      <w:r w:rsidRPr="00E73D4B">
        <w:t>eit</w:t>
      </w:r>
      <w:proofErr w:type="spellEnd"/>
      <w:r w:rsidRPr="00E73D4B">
        <w:t xml:space="preserve"> </w:t>
      </w:r>
      <w:proofErr w:type="spellStart"/>
      <w:r w:rsidRPr="00E73D4B">
        <w:t>lågutsleppssamfunn</w:t>
      </w:r>
      <w:proofErr w:type="spellEnd"/>
      <w:r w:rsidRPr="00E73D4B">
        <w:t xml:space="preserve">. Vi har samstundes avgrensa </w:t>
      </w:r>
      <w:proofErr w:type="spellStart"/>
      <w:r w:rsidRPr="00E73D4B">
        <w:t>midlar</w:t>
      </w:r>
      <w:proofErr w:type="spellEnd"/>
      <w:r w:rsidRPr="00E73D4B">
        <w:t xml:space="preserve"> til å utløyse </w:t>
      </w:r>
      <w:proofErr w:type="spellStart"/>
      <w:r w:rsidRPr="00E73D4B">
        <w:t>dei</w:t>
      </w:r>
      <w:proofErr w:type="spellEnd"/>
      <w:r w:rsidRPr="00E73D4B">
        <w:t xml:space="preserve"> nødvendige </w:t>
      </w:r>
      <w:proofErr w:type="spellStart"/>
      <w:r w:rsidRPr="00E73D4B">
        <w:t>endringane</w:t>
      </w:r>
      <w:proofErr w:type="spellEnd"/>
      <w:r w:rsidRPr="00E73D4B">
        <w:t xml:space="preserve">. </w:t>
      </w:r>
      <w:proofErr w:type="spellStart"/>
      <w:r w:rsidRPr="00E73D4B">
        <w:t>Enova</w:t>
      </w:r>
      <w:proofErr w:type="spellEnd"/>
      <w:r w:rsidRPr="00E73D4B">
        <w:t xml:space="preserve"> er </w:t>
      </w:r>
      <w:proofErr w:type="spellStart"/>
      <w:r w:rsidRPr="00E73D4B">
        <w:t>difor</w:t>
      </w:r>
      <w:proofErr w:type="spellEnd"/>
      <w:r w:rsidRPr="00E73D4B">
        <w:t xml:space="preserve"> sett opp for effektivt å kunne bruke </w:t>
      </w:r>
      <w:proofErr w:type="spellStart"/>
      <w:r w:rsidRPr="00E73D4B">
        <w:t>dei</w:t>
      </w:r>
      <w:proofErr w:type="spellEnd"/>
      <w:r w:rsidRPr="00E73D4B">
        <w:t xml:space="preserve"> </w:t>
      </w:r>
      <w:proofErr w:type="spellStart"/>
      <w:r w:rsidRPr="00E73D4B">
        <w:t>midlane</w:t>
      </w:r>
      <w:proofErr w:type="spellEnd"/>
      <w:r w:rsidRPr="00E73D4B">
        <w:t xml:space="preserve"> som er stilte til rådvelde. </w:t>
      </w:r>
      <w:proofErr w:type="spellStart"/>
      <w:r w:rsidRPr="00E73D4B">
        <w:t>Hovudelementet</w:t>
      </w:r>
      <w:proofErr w:type="spellEnd"/>
      <w:r w:rsidRPr="00E73D4B">
        <w:t xml:space="preserve"> er ei overordna styring gjennom fireårige </w:t>
      </w:r>
      <w:proofErr w:type="spellStart"/>
      <w:r w:rsidRPr="00E73D4B">
        <w:t>styringsavtalar</w:t>
      </w:r>
      <w:proofErr w:type="spellEnd"/>
      <w:r w:rsidRPr="00E73D4B">
        <w:t xml:space="preserve"> mellom departementet og </w:t>
      </w:r>
      <w:proofErr w:type="spellStart"/>
      <w:r w:rsidRPr="00E73D4B">
        <w:t>Enova</w:t>
      </w:r>
      <w:proofErr w:type="spellEnd"/>
      <w:r w:rsidRPr="00E73D4B">
        <w:t xml:space="preserve"> om forvaltninga av </w:t>
      </w:r>
      <w:proofErr w:type="spellStart"/>
      <w:r w:rsidRPr="00E73D4B">
        <w:t>midlane</w:t>
      </w:r>
      <w:proofErr w:type="spellEnd"/>
      <w:r w:rsidRPr="00E73D4B">
        <w:t xml:space="preserve"> </w:t>
      </w:r>
      <w:proofErr w:type="spellStart"/>
      <w:r w:rsidRPr="00E73D4B">
        <w:t>frå</w:t>
      </w:r>
      <w:proofErr w:type="spellEnd"/>
      <w:r w:rsidRPr="00E73D4B">
        <w:t xml:space="preserve"> Klima- og energifondet. </w:t>
      </w:r>
      <w:proofErr w:type="spellStart"/>
      <w:r w:rsidRPr="00E73D4B">
        <w:t>Innanfor</w:t>
      </w:r>
      <w:proofErr w:type="spellEnd"/>
      <w:r w:rsidRPr="00E73D4B">
        <w:t xml:space="preserve"> rammene av avtalen er </w:t>
      </w:r>
      <w:proofErr w:type="spellStart"/>
      <w:r w:rsidRPr="00E73D4B">
        <w:t>Enova</w:t>
      </w:r>
      <w:proofErr w:type="spellEnd"/>
      <w:r w:rsidRPr="00E73D4B">
        <w:t xml:space="preserve"> gjeve </w:t>
      </w:r>
      <w:proofErr w:type="spellStart"/>
      <w:r w:rsidRPr="00E73D4B">
        <w:t>monaleg</w:t>
      </w:r>
      <w:proofErr w:type="spellEnd"/>
      <w:r w:rsidRPr="00E73D4B">
        <w:t xml:space="preserve"> </w:t>
      </w:r>
      <w:proofErr w:type="spellStart"/>
      <w:r w:rsidRPr="00E73D4B">
        <w:t>fagleg</w:t>
      </w:r>
      <w:proofErr w:type="spellEnd"/>
      <w:r w:rsidRPr="00E73D4B">
        <w:t xml:space="preserve"> fridom til å prioritere mellom område, utforme program og tildele stønad til enkeltprosjekt slik at </w:t>
      </w:r>
      <w:proofErr w:type="spellStart"/>
      <w:r w:rsidRPr="00E73D4B">
        <w:t>midlane</w:t>
      </w:r>
      <w:proofErr w:type="spellEnd"/>
      <w:r w:rsidRPr="00E73D4B">
        <w:t xml:space="preserve"> blir nytta mest </w:t>
      </w:r>
      <w:proofErr w:type="spellStart"/>
      <w:r w:rsidRPr="00E73D4B">
        <w:t>mogleg</w:t>
      </w:r>
      <w:proofErr w:type="spellEnd"/>
      <w:r w:rsidRPr="00E73D4B">
        <w:t xml:space="preserve"> effektivt. Stortinget har ved </w:t>
      </w:r>
      <w:proofErr w:type="spellStart"/>
      <w:r w:rsidRPr="00E73D4B">
        <w:t>gjentekne</w:t>
      </w:r>
      <w:proofErr w:type="spellEnd"/>
      <w:r w:rsidRPr="00E73D4B">
        <w:t xml:space="preserve"> høve stilt seg bak denne styringsmodellen. Detaljstyring av </w:t>
      </w:r>
      <w:proofErr w:type="spellStart"/>
      <w:r w:rsidRPr="00E73D4B">
        <w:t>Enova</w:t>
      </w:r>
      <w:proofErr w:type="spellEnd"/>
      <w:r w:rsidRPr="00E73D4B">
        <w:t xml:space="preserve"> sitt stønadsprogram for </w:t>
      </w:r>
      <w:proofErr w:type="spellStart"/>
      <w:r w:rsidRPr="00E73D4B">
        <w:t>elvarebilar</w:t>
      </w:r>
      <w:proofErr w:type="spellEnd"/>
      <w:r w:rsidRPr="00E73D4B">
        <w:t xml:space="preserve"> vil bryte med prinsippet om overordna styring og </w:t>
      </w:r>
      <w:proofErr w:type="spellStart"/>
      <w:r w:rsidRPr="00E73D4B">
        <w:t>fagleg</w:t>
      </w:r>
      <w:proofErr w:type="spellEnd"/>
      <w:r w:rsidRPr="00E73D4B">
        <w:t xml:space="preserve"> fridom. </w:t>
      </w:r>
      <w:proofErr w:type="spellStart"/>
      <w:r w:rsidRPr="00E73D4B">
        <w:t>Enova</w:t>
      </w:r>
      <w:proofErr w:type="spellEnd"/>
      <w:r w:rsidRPr="00E73D4B">
        <w:t xml:space="preserve"> har avgrensa </w:t>
      </w:r>
      <w:proofErr w:type="spellStart"/>
      <w:r w:rsidRPr="00E73D4B">
        <w:t>midlar</w:t>
      </w:r>
      <w:proofErr w:type="spellEnd"/>
      <w:r w:rsidRPr="00E73D4B">
        <w:t xml:space="preserve"> og prioriterer innsatsen der han gjev best effekt. </w:t>
      </w:r>
      <w:proofErr w:type="spellStart"/>
      <w:r w:rsidRPr="00E73D4B">
        <w:t>Meir</w:t>
      </w:r>
      <w:proofErr w:type="spellEnd"/>
      <w:r w:rsidRPr="00E73D4B">
        <w:t xml:space="preserve"> stønad til </w:t>
      </w:r>
      <w:proofErr w:type="spellStart"/>
      <w:r w:rsidRPr="00E73D4B">
        <w:t>elvarebilar</w:t>
      </w:r>
      <w:proofErr w:type="spellEnd"/>
      <w:r w:rsidRPr="00E73D4B">
        <w:t xml:space="preserve"> betyr at det blir mindre til </w:t>
      </w:r>
      <w:proofErr w:type="spellStart"/>
      <w:r w:rsidRPr="00E73D4B">
        <w:t>noko</w:t>
      </w:r>
      <w:proofErr w:type="spellEnd"/>
      <w:r w:rsidRPr="00E73D4B">
        <w:t xml:space="preserve"> anna.</w:t>
      </w:r>
    </w:p>
    <w:p w14:paraId="321FCF0B" w14:textId="77777777" w:rsidR="00972395" w:rsidRPr="00E73D4B" w:rsidRDefault="00F120C7" w:rsidP="00E73D4B">
      <w:r w:rsidRPr="00E73D4B">
        <w:t xml:space="preserve">Dersom utviklinga for </w:t>
      </w:r>
      <w:proofErr w:type="spellStart"/>
      <w:r w:rsidRPr="00E73D4B">
        <w:t>elvarebilar</w:t>
      </w:r>
      <w:proofErr w:type="spellEnd"/>
      <w:r w:rsidRPr="00E73D4B">
        <w:t xml:space="preserve"> held fram som venta, vil det å </w:t>
      </w:r>
      <w:proofErr w:type="spellStart"/>
      <w:r w:rsidRPr="00E73D4B">
        <w:t>auke</w:t>
      </w:r>
      <w:proofErr w:type="spellEnd"/>
      <w:r w:rsidRPr="00E73D4B">
        <w:t xml:space="preserve"> stønaden </w:t>
      </w:r>
      <w:proofErr w:type="spellStart"/>
      <w:r w:rsidRPr="00E73D4B">
        <w:t>frå</w:t>
      </w:r>
      <w:proofErr w:type="spellEnd"/>
      <w:r w:rsidRPr="00E73D4B">
        <w:t xml:space="preserve"> 30 til 40 pst. av </w:t>
      </w:r>
      <w:proofErr w:type="spellStart"/>
      <w:r w:rsidRPr="00E73D4B">
        <w:t>meirkostnadene</w:t>
      </w:r>
      <w:proofErr w:type="spellEnd"/>
      <w:r w:rsidRPr="00E73D4B">
        <w:t xml:space="preserve"> for </w:t>
      </w:r>
      <w:proofErr w:type="spellStart"/>
      <w:r w:rsidRPr="00E73D4B">
        <w:t>ein</w:t>
      </w:r>
      <w:proofErr w:type="spellEnd"/>
      <w:r w:rsidRPr="00E73D4B">
        <w:t xml:space="preserve"> viss modell heller </w:t>
      </w:r>
      <w:proofErr w:type="spellStart"/>
      <w:r w:rsidRPr="00E73D4B">
        <w:t>ikkje</w:t>
      </w:r>
      <w:proofErr w:type="spellEnd"/>
      <w:r w:rsidRPr="00E73D4B">
        <w:t xml:space="preserve"> nødvendigvis </w:t>
      </w:r>
      <w:proofErr w:type="spellStart"/>
      <w:r w:rsidRPr="00E73D4B">
        <w:t>utgjere</w:t>
      </w:r>
      <w:proofErr w:type="spellEnd"/>
      <w:r w:rsidRPr="00E73D4B">
        <w:t xml:space="preserve"> den store forskjellen i støttesum. Per i dag får </w:t>
      </w:r>
      <w:proofErr w:type="spellStart"/>
      <w:r w:rsidRPr="00E73D4B">
        <w:t>fleire</w:t>
      </w:r>
      <w:proofErr w:type="spellEnd"/>
      <w:r w:rsidRPr="00E73D4B">
        <w:t xml:space="preserve"> </w:t>
      </w:r>
      <w:proofErr w:type="spellStart"/>
      <w:r w:rsidRPr="00E73D4B">
        <w:t>modellar</w:t>
      </w:r>
      <w:proofErr w:type="spellEnd"/>
      <w:r w:rsidRPr="00E73D4B">
        <w:t xml:space="preserve"> lite eller ingenting i stønad, ettersom </w:t>
      </w:r>
      <w:proofErr w:type="spellStart"/>
      <w:r w:rsidRPr="00E73D4B">
        <w:t>dei</w:t>
      </w:r>
      <w:proofErr w:type="spellEnd"/>
      <w:r w:rsidRPr="00E73D4B">
        <w:t xml:space="preserve"> har låge eller ingen </w:t>
      </w:r>
      <w:proofErr w:type="spellStart"/>
      <w:r w:rsidRPr="00E73D4B">
        <w:t>meirinvesteringskostnader</w:t>
      </w:r>
      <w:proofErr w:type="spellEnd"/>
      <w:r w:rsidRPr="00E73D4B">
        <w:t xml:space="preserve">. </w:t>
      </w:r>
      <w:proofErr w:type="spellStart"/>
      <w:r w:rsidRPr="00E73D4B">
        <w:t>Ein</w:t>
      </w:r>
      <w:proofErr w:type="spellEnd"/>
      <w:r w:rsidRPr="00E73D4B">
        <w:t xml:space="preserve"> </w:t>
      </w:r>
      <w:proofErr w:type="spellStart"/>
      <w:r w:rsidRPr="00E73D4B">
        <w:t>auke</w:t>
      </w:r>
      <w:proofErr w:type="spellEnd"/>
      <w:r w:rsidRPr="00E73D4B">
        <w:t xml:space="preserve"> i støtteintensiteten </w:t>
      </w:r>
      <w:proofErr w:type="spellStart"/>
      <w:r w:rsidRPr="00E73D4B">
        <w:t>frå</w:t>
      </w:r>
      <w:proofErr w:type="spellEnd"/>
      <w:r w:rsidRPr="00E73D4B">
        <w:t xml:space="preserve"> 30 pst. til 40 pst. vil for </w:t>
      </w:r>
      <w:proofErr w:type="spellStart"/>
      <w:r w:rsidRPr="00E73D4B">
        <w:t>dei</w:t>
      </w:r>
      <w:proofErr w:type="spellEnd"/>
      <w:r w:rsidRPr="00E73D4B">
        <w:t xml:space="preserve"> fleste </w:t>
      </w:r>
      <w:proofErr w:type="spellStart"/>
      <w:r w:rsidRPr="00E73D4B">
        <w:t>modellane</w:t>
      </w:r>
      <w:proofErr w:type="spellEnd"/>
      <w:r w:rsidRPr="00E73D4B">
        <w:t xml:space="preserve"> </w:t>
      </w:r>
      <w:proofErr w:type="spellStart"/>
      <w:r w:rsidRPr="00E73D4B">
        <w:t>utgjere</w:t>
      </w:r>
      <w:proofErr w:type="spellEnd"/>
      <w:r w:rsidRPr="00E73D4B">
        <w:t xml:space="preserve"> mellom 0 og 6000 kroner per i dag. I dag er det </w:t>
      </w:r>
      <w:proofErr w:type="spellStart"/>
      <w:r w:rsidRPr="00E73D4B">
        <w:t>fleire</w:t>
      </w:r>
      <w:proofErr w:type="spellEnd"/>
      <w:r w:rsidRPr="00E73D4B">
        <w:t xml:space="preserve"> </w:t>
      </w:r>
      <w:proofErr w:type="spellStart"/>
      <w:r w:rsidRPr="00E73D4B">
        <w:t>titals</w:t>
      </w:r>
      <w:proofErr w:type="spellEnd"/>
      <w:r w:rsidRPr="00E73D4B">
        <w:t xml:space="preserve"> elektriske </w:t>
      </w:r>
      <w:proofErr w:type="spellStart"/>
      <w:r w:rsidRPr="00E73D4B">
        <w:t>modellar</w:t>
      </w:r>
      <w:proofErr w:type="spellEnd"/>
      <w:r w:rsidRPr="00E73D4B">
        <w:t xml:space="preserve"> som </w:t>
      </w:r>
      <w:proofErr w:type="spellStart"/>
      <w:r w:rsidRPr="00E73D4B">
        <w:t>allereie</w:t>
      </w:r>
      <w:proofErr w:type="spellEnd"/>
      <w:r w:rsidRPr="00E73D4B">
        <w:t xml:space="preserve"> har </w:t>
      </w:r>
      <w:proofErr w:type="spellStart"/>
      <w:r w:rsidRPr="00E73D4B">
        <w:t>lågare</w:t>
      </w:r>
      <w:proofErr w:type="spellEnd"/>
      <w:r w:rsidRPr="00E73D4B">
        <w:t xml:space="preserve"> pris enn </w:t>
      </w:r>
      <w:proofErr w:type="spellStart"/>
      <w:r w:rsidRPr="00E73D4B">
        <w:t>tilsvarande</w:t>
      </w:r>
      <w:proofErr w:type="spellEnd"/>
      <w:r w:rsidRPr="00E73D4B">
        <w:t xml:space="preserve"> konvensjonelle </w:t>
      </w:r>
      <w:proofErr w:type="spellStart"/>
      <w:r w:rsidRPr="00E73D4B">
        <w:t>varebilar</w:t>
      </w:r>
      <w:proofErr w:type="spellEnd"/>
      <w:r w:rsidRPr="00E73D4B">
        <w:t xml:space="preserve">, og som dermed </w:t>
      </w:r>
      <w:proofErr w:type="spellStart"/>
      <w:r w:rsidRPr="00E73D4B">
        <w:t>ikkje</w:t>
      </w:r>
      <w:proofErr w:type="spellEnd"/>
      <w:r w:rsidRPr="00E73D4B">
        <w:t xml:space="preserve"> får stønad. Ei </w:t>
      </w:r>
      <w:proofErr w:type="spellStart"/>
      <w:r w:rsidRPr="00E73D4B">
        <w:t>auke</w:t>
      </w:r>
      <w:proofErr w:type="spellEnd"/>
      <w:r w:rsidRPr="00E73D4B">
        <w:t xml:space="preserve"> i stønad vil </w:t>
      </w:r>
      <w:proofErr w:type="spellStart"/>
      <w:r w:rsidRPr="00E73D4B">
        <w:t>tilgodesjå</w:t>
      </w:r>
      <w:proofErr w:type="spellEnd"/>
      <w:r w:rsidRPr="00E73D4B">
        <w:t xml:space="preserve"> </w:t>
      </w:r>
      <w:proofErr w:type="spellStart"/>
      <w:r w:rsidRPr="00E73D4B">
        <w:t>dei</w:t>
      </w:r>
      <w:proofErr w:type="spellEnd"/>
      <w:r w:rsidRPr="00E73D4B">
        <w:t xml:space="preserve"> som </w:t>
      </w:r>
      <w:proofErr w:type="spellStart"/>
      <w:r w:rsidRPr="00E73D4B">
        <w:t>allereie</w:t>
      </w:r>
      <w:proofErr w:type="spellEnd"/>
      <w:r w:rsidRPr="00E73D4B">
        <w:t xml:space="preserve"> mottar stønad og kan dermed bidra til </w:t>
      </w:r>
      <w:proofErr w:type="spellStart"/>
      <w:r w:rsidRPr="00E73D4B">
        <w:t>konkurransevriding</w:t>
      </w:r>
      <w:proofErr w:type="spellEnd"/>
      <w:r w:rsidRPr="00E73D4B">
        <w:t>.</w:t>
      </w:r>
    </w:p>
    <w:p w14:paraId="0956A055" w14:textId="77777777" w:rsidR="00972395" w:rsidRPr="00E73D4B" w:rsidRDefault="00F120C7" w:rsidP="00E73D4B">
      <w:r w:rsidRPr="00E73D4B">
        <w:t xml:space="preserve">Grunna positiv utvikling i salet av </w:t>
      </w:r>
      <w:proofErr w:type="spellStart"/>
      <w:r w:rsidRPr="00E73D4B">
        <w:t>elvarebilar</w:t>
      </w:r>
      <w:proofErr w:type="spellEnd"/>
      <w:r w:rsidRPr="00E73D4B">
        <w:t xml:space="preserve"> justerte </w:t>
      </w:r>
      <w:proofErr w:type="spellStart"/>
      <w:r w:rsidRPr="00E73D4B">
        <w:t>Enova</w:t>
      </w:r>
      <w:proofErr w:type="spellEnd"/>
      <w:r w:rsidRPr="00E73D4B">
        <w:t xml:space="preserve"> i 2021 ned støttesatsen </w:t>
      </w:r>
      <w:proofErr w:type="spellStart"/>
      <w:r w:rsidRPr="00E73D4B">
        <w:t>frå</w:t>
      </w:r>
      <w:proofErr w:type="spellEnd"/>
      <w:r w:rsidRPr="00E73D4B">
        <w:t xml:space="preserve"> 40 til 30 pst. av </w:t>
      </w:r>
      <w:proofErr w:type="spellStart"/>
      <w:r w:rsidRPr="00E73D4B">
        <w:t>meirkostnadene</w:t>
      </w:r>
      <w:proofErr w:type="spellEnd"/>
      <w:r w:rsidRPr="00E73D4B">
        <w:t xml:space="preserve"> ved kjøp av </w:t>
      </w:r>
      <w:proofErr w:type="spellStart"/>
      <w:r w:rsidRPr="00E73D4B">
        <w:t>elvarebil</w:t>
      </w:r>
      <w:proofErr w:type="spellEnd"/>
      <w:r w:rsidRPr="00E73D4B">
        <w:t xml:space="preserve">. Den positive utviklinga har fortsett inn i 2022. I seks av årets sju første </w:t>
      </w:r>
      <w:proofErr w:type="spellStart"/>
      <w:r w:rsidRPr="00E73D4B">
        <w:t>månadar</w:t>
      </w:r>
      <w:proofErr w:type="spellEnd"/>
      <w:r w:rsidRPr="00E73D4B">
        <w:t xml:space="preserve"> har delen </w:t>
      </w:r>
      <w:proofErr w:type="spellStart"/>
      <w:r w:rsidRPr="00E73D4B">
        <w:t>elvarebilar</w:t>
      </w:r>
      <w:proofErr w:type="spellEnd"/>
      <w:r w:rsidRPr="00E73D4B">
        <w:t xml:space="preserve"> lege stabilt over 20 prosent av </w:t>
      </w:r>
      <w:proofErr w:type="spellStart"/>
      <w:r w:rsidRPr="00E73D4B">
        <w:t>nyvarebilsalet</w:t>
      </w:r>
      <w:proofErr w:type="spellEnd"/>
      <w:r w:rsidRPr="00E73D4B">
        <w:t xml:space="preserve">. Det er </w:t>
      </w:r>
      <w:proofErr w:type="spellStart"/>
      <w:r w:rsidRPr="00E73D4B">
        <w:t>kome</w:t>
      </w:r>
      <w:proofErr w:type="spellEnd"/>
      <w:r w:rsidRPr="00E73D4B">
        <w:t xml:space="preserve"> mange nye </w:t>
      </w:r>
      <w:proofErr w:type="spellStart"/>
      <w:r w:rsidRPr="00E73D4B">
        <w:t>modellar</w:t>
      </w:r>
      <w:proofErr w:type="spellEnd"/>
      <w:r w:rsidRPr="00E73D4B">
        <w:t xml:space="preserve"> inn i </w:t>
      </w:r>
      <w:proofErr w:type="spellStart"/>
      <w:r w:rsidRPr="00E73D4B">
        <w:t>marknaden</w:t>
      </w:r>
      <w:proofErr w:type="spellEnd"/>
      <w:r w:rsidRPr="00E73D4B">
        <w:t xml:space="preserve">, det er auking i konkurransen, og </w:t>
      </w:r>
      <w:proofErr w:type="spellStart"/>
      <w:r w:rsidRPr="00E73D4B">
        <w:t>meirkostnaden</w:t>
      </w:r>
      <w:proofErr w:type="spellEnd"/>
      <w:r w:rsidRPr="00E73D4B">
        <w:t xml:space="preserve"> har gått ned. Ei auking i stønad kan òg ha den ulempen at det </w:t>
      </w:r>
      <w:proofErr w:type="spellStart"/>
      <w:r w:rsidRPr="00E73D4B">
        <w:t>forstyrrar</w:t>
      </w:r>
      <w:proofErr w:type="spellEnd"/>
      <w:r w:rsidRPr="00E73D4B">
        <w:t xml:space="preserve"> konkurransen i </w:t>
      </w:r>
      <w:proofErr w:type="spellStart"/>
      <w:r w:rsidRPr="00E73D4B">
        <w:t>marknaden</w:t>
      </w:r>
      <w:proofErr w:type="spellEnd"/>
      <w:r w:rsidRPr="00E73D4B">
        <w:t xml:space="preserve"> og held </w:t>
      </w:r>
      <w:proofErr w:type="spellStart"/>
      <w:r w:rsidRPr="00E73D4B">
        <w:t>prisane</w:t>
      </w:r>
      <w:proofErr w:type="spellEnd"/>
      <w:r w:rsidRPr="00E73D4B">
        <w:t xml:space="preserve"> oppe.</w:t>
      </w:r>
    </w:p>
    <w:p w14:paraId="5B518D5B" w14:textId="77777777" w:rsidR="00972395" w:rsidRPr="00E73D4B" w:rsidRDefault="00F120C7" w:rsidP="00E73D4B">
      <w:proofErr w:type="spellStart"/>
      <w:r w:rsidRPr="00E73D4B">
        <w:t>Frå</w:t>
      </w:r>
      <w:proofErr w:type="spellEnd"/>
      <w:r w:rsidRPr="00E73D4B">
        <w:t xml:space="preserve"> 1.1.2022 blei CO</w:t>
      </w:r>
      <w:r w:rsidRPr="00E73D4B">
        <w:rPr>
          <w:rStyle w:val="skrift-senket"/>
        </w:rPr>
        <w:t>2</w:t>
      </w:r>
      <w:r w:rsidRPr="00E73D4B">
        <w:t xml:space="preserve">-komponenten i </w:t>
      </w:r>
      <w:proofErr w:type="spellStart"/>
      <w:r w:rsidRPr="00E73D4B">
        <w:t>eingongsavgifta</w:t>
      </w:r>
      <w:proofErr w:type="spellEnd"/>
      <w:r w:rsidRPr="00E73D4B">
        <w:t xml:space="preserve"> for </w:t>
      </w:r>
      <w:proofErr w:type="spellStart"/>
      <w:r w:rsidRPr="00E73D4B">
        <w:t>varebilar</w:t>
      </w:r>
      <w:proofErr w:type="spellEnd"/>
      <w:r w:rsidRPr="00E73D4B">
        <w:t xml:space="preserve"> </w:t>
      </w:r>
      <w:proofErr w:type="spellStart"/>
      <w:r w:rsidRPr="00E73D4B">
        <w:t>auka</w:t>
      </w:r>
      <w:proofErr w:type="spellEnd"/>
      <w:r w:rsidRPr="00E73D4B">
        <w:t xml:space="preserve">. Dette </w:t>
      </w:r>
      <w:proofErr w:type="spellStart"/>
      <w:r w:rsidRPr="00E73D4B">
        <w:t>aukar</w:t>
      </w:r>
      <w:proofErr w:type="spellEnd"/>
      <w:r w:rsidRPr="00E73D4B">
        <w:t xml:space="preserve"> konkurransekrafta til </w:t>
      </w:r>
      <w:proofErr w:type="spellStart"/>
      <w:r w:rsidRPr="00E73D4B">
        <w:t>elvarebilar</w:t>
      </w:r>
      <w:proofErr w:type="spellEnd"/>
      <w:r w:rsidRPr="00E73D4B">
        <w:t>.</w:t>
      </w:r>
    </w:p>
    <w:p w14:paraId="62A8C9E7" w14:textId="77777777" w:rsidR="00972395" w:rsidRPr="00E73D4B" w:rsidRDefault="00F120C7" w:rsidP="00E73D4B">
      <w:r w:rsidRPr="00E73D4B">
        <w:t>Departementet ser på vedtaket som fulgt opp.</w:t>
      </w:r>
    </w:p>
    <w:p w14:paraId="005687B3" w14:textId="77777777" w:rsidR="00972395" w:rsidRPr="00E73D4B" w:rsidRDefault="00F120C7" w:rsidP="00E73D4B">
      <w:pPr>
        <w:pStyle w:val="avsnitt-tittel"/>
      </w:pPr>
      <w:r w:rsidRPr="00E73D4B">
        <w:t xml:space="preserve">Utarbeide rapporteringssystem for bruk av </w:t>
      </w:r>
      <w:proofErr w:type="spellStart"/>
      <w:r w:rsidRPr="00E73D4B">
        <w:t>berekraftig</w:t>
      </w:r>
      <w:proofErr w:type="spellEnd"/>
      <w:r w:rsidRPr="00E73D4B">
        <w:t xml:space="preserve"> biodrivstoff </w:t>
      </w:r>
      <w:proofErr w:type="spellStart"/>
      <w:r w:rsidRPr="00E73D4B">
        <w:t>utanfor</w:t>
      </w:r>
      <w:proofErr w:type="spellEnd"/>
      <w:r w:rsidRPr="00E73D4B">
        <w:t xml:space="preserve"> omsetningskravet</w:t>
      </w:r>
    </w:p>
    <w:p w14:paraId="12A09D45" w14:textId="77777777" w:rsidR="00972395" w:rsidRPr="00E73D4B" w:rsidRDefault="00F120C7" w:rsidP="00E73D4B">
      <w:pPr>
        <w:pStyle w:val="avsnitt-undertittel"/>
      </w:pPr>
      <w:r w:rsidRPr="00E73D4B">
        <w:t>Vedtak nr. 837, 17. juni 2022</w:t>
      </w:r>
    </w:p>
    <w:p w14:paraId="36BE1F3C" w14:textId="77777777" w:rsidR="00972395" w:rsidRPr="00E73D4B" w:rsidRDefault="00F120C7" w:rsidP="00E73D4B">
      <w:pPr>
        <w:pStyle w:val="blokksit"/>
        <w:rPr>
          <w:rStyle w:val="kursiv"/>
        </w:rPr>
      </w:pPr>
      <w:r w:rsidRPr="00E73D4B">
        <w:rPr>
          <w:rStyle w:val="kursiv"/>
        </w:rPr>
        <w:t xml:space="preserve">«Stortinget ber regjeringen komme tilbake til Stortinget med tilsvarende modell som Sverige for Norge for avansert biodrivstoff, og snarest mulig utarbeide et rapporteringssystem for bruk av bærekraftig biodrivstoff utover omsetningskravet, som oppfyller </w:t>
      </w:r>
      <w:proofErr w:type="spellStart"/>
      <w:r w:rsidRPr="00E73D4B">
        <w:rPr>
          <w:rStyle w:val="kursiv"/>
        </w:rPr>
        <w:t>bærekraftskriteriene</w:t>
      </w:r>
      <w:proofErr w:type="spellEnd"/>
      <w:r w:rsidRPr="00E73D4B">
        <w:rPr>
          <w:rStyle w:val="kursiv"/>
        </w:rPr>
        <w:t xml:space="preserve"> for biodrivstoff, og som ikke inneholder biodrivstoff med avskogingsrisiko. Dersom Sverige i prosessen med EU-kommisjonen ikke får gjennomslag for den foreslåtte modellen, bes regjeringen komme tilbake til Stortinget med forslag til ny modell.»</w:t>
      </w:r>
    </w:p>
    <w:p w14:paraId="36C1075D"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2 (2021–2022), revidert nasjonalbudsjett, jf. </w:t>
      </w:r>
      <w:proofErr w:type="spellStart"/>
      <w:r w:rsidRPr="00E73D4B">
        <w:t>Innst</w:t>
      </w:r>
      <w:proofErr w:type="spellEnd"/>
      <w:r w:rsidRPr="00E73D4B">
        <w:t>. 450 S (2021–2022).</w:t>
      </w:r>
    </w:p>
    <w:p w14:paraId="26443A2D" w14:textId="77777777" w:rsidR="00972395" w:rsidRPr="00E73D4B" w:rsidRDefault="00F120C7" w:rsidP="00E73D4B">
      <w:r w:rsidRPr="00E73D4B">
        <w:t xml:space="preserve">I Sverige er reine og høginnblanda biodrivstoff </w:t>
      </w:r>
      <w:proofErr w:type="spellStart"/>
      <w:r w:rsidRPr="00E73D4B">
        <w:t>friteke</w:t>
      </w:r>
      <w:proofErr w:type="spellEnd"/>
      <w:r w:rsidRPr="00E73D4B">
        <w:t xml:space="preserve"> for avgift, mens biodrivstoff som blir blanda inn i fossilt drivstoff, er avgiftspliktig. Fritatt biodrivstoff kan </w:t>
      </w:r>
      <w:proofErr w:type="spellStart"/>
      <w:r w:rsidRPr="00E73D4B">
        <w:t>ikkje</w:t>
      </w:r>
      <w:proofErr w:type="spellEnd"/>
      <w:r w:rsidRPr="00E73D4B">
        <w:t xml:space="preserve"> </w:t>
      </w:r>
      <w:proofErr w:type="spellStart"/>
      <w:r w:rsidRPr="00E73D4B">
        <w:t>nyttast</w:t>
      </w:r>
      <w:proofErr w:type="spellEnd"/>
      <w:r w:rsidRPr="00E73D4B">
        <w:t xml:space="preserve"> til å oppfylle </w:t>
      </w:r>
      <w:proofErr w:type="spellStart"/>
      <w:r w:rsidRPr="00E73D4B">
        <w:t>dei</w:t>
      </w:r>
      <w:proofErr w:type="spellEnd"/>
      <w:r w:rsidRPr="00E73D4B">
        <w:t xml:space="preserve"> svenske </w:t>
      </w:r>
      <w:proofErr w:type="spellStart"/>
      <w:r w:rsidRPr="00E73D4B">
        <w:t>reduktionsplikten</w:t>
      </w:r>
      <w:proofErr w:type="spellEnd"/>
      <w:r w:rsidRPr="00E73D4B">
        <w:t xml:space="preserve"> (tilsvarer det norske omsetningskravet). Den svenske regjeringa sende 27. desember 2021 på </w:t>
      </w:r>
      <w:proofErr w:type="spellStart"/>
      <w:r w:rsidRPr="00E73D4B">
        <w:t>høyring</w:t>
      </w:r>
      <w:proofErr w:type="spellEnd"/>
      <w:r w:rsidRPr="00E73D4B">
        <w:t xml:space="preserve"> </w:t>
      </w:r>
      <w:proofErr w:type="spellStart"/>
      <w:r w:rsidRPr="00E73D4B">
        <w:t>eit</w:t>
      </w:r>
      <w:proofErr w:type="spellEnd"/>
      <w:r w:rsidRPr="00E73D4B">
        <w:t xml:space="preserve"> forslag om å innføre avgifter også på reine og høginnblanda biodrivstoff, men samtidig inkludere reine og høginnblanda biodrivstoff i </w:t>
      </w:r>
      <w:proofErr w:type="spellStart"/>
      <w:r w:rsidRPr="00E73D4B">
        <w:t>reduktionsplikten</w:t>
      </w:r>
      <w:proofErr w:type="spellEnd"/>
      <w:r w:rsidRPr="00E73D4B">
        <w:t xml:space="preserve">. </w:t>
      </w:r>
      <w:proofErr w:type="spellStart"/>
      <w:r w:rsidRPr="00E73D4B">
        <w:t>Lovendringane</w:t>
      </w:r>
      <w:proofErr w:type="spellEnd"/>
      <w:r w:rsidRPr="00E73D4B">
        <w:t xml:space="preserve"> blir foreslåtte med verknad </w:t>
      </w:r>
      <w:proofErr w:type="spellStart"/>
      <w:r w:rsidRPr="00E73D4B">
        <w:t>frå</w:t>
      </w:r>
      <w:proofErr w:type="spellEnd"/>
      <w:r w:rsidRPr="00E73D4B">
        <w:t xml:space="preserve"> 1. januar 2023. Forslaget begrunnes med at det </w:t>
      </w:r>
      <w:proofErr w:type="spellStart"/>
      <w:r w:rsidRPr="00E73D4B">
        <w:t>sannsynlegvis</w:t>
      </w:r>
      <w:proofErr w:type="spellEnd"/>
      <w:r w:rsidRPr="00E73D4B">
        <w:t xml:space="preserve"> </w:t>
      </w:r>
      <w:proofErr w:type="spellStart"/>
      <w:r w:rsidRPr="00E73D4B">
        <w:t>ikkje</w:t>
      </w:r>
      <w:proofErr w:type="spellEnd"/>
      <w:r w:rsidRPr="00E73D4B">
        <w:t xml:space="preserve"> vil </w:t>
      </w:r>
      <w:proofErr w:type="spellStart"/>
      <w:r w:rsidRPr="00E73D4B">
        <w:t>vere</w:t>
      </w:r>
      <w:proofErr w:type="spellEnd"/>
      <w:r w:rsidRPr="00E73D4B">
        <w:t xml:space="preserve"> </w:t>
      </w:r>
      <w:proofErr w:type="spellStart"/>
      <w:r w:rsidRPr="00E73D4B">
        <w:t>mogeleg</w:t>
      </w:r>
      <w:proofErr w:type="spellEnd"/>
      <w:r w:rsidRPr="00E73D4B">
        <w:t xml:space="preserve"> å få godkjent ei forlenging av </w:t>
      </w:r>
      <w:proofErr w:type="spellStart"/>
      <w:r w:rsidRPr="00E73D4B">
        <w:t>gjeldande</w:t>
      </w:r>
      <w:proofErr w:type="spellEnd"/>
      <w:r w:rsidRPr="00E73D4B">
        <w:t xml:space="preserve"> system når kommisjonen si godkjenning </w:t>
      </w:r>
      <w:proofErr w:type="spellStart"/>
      <w:r w:rsidRPr="00E73D4B">
        <w:t>stoppar</w:t>
      </w:r>
      <w:proofErr w:type="spellEnd"/>
      <w:r w:rsidRPr="00E73D4B">
        <w:t xml:space="preserve"> 31. desember 2022. Forslaget er i prinsippet identisk med </w:t>
      </w:r>
      <w:proofErr w:type="spellStart"/>
      <w:r w:rsidRPr="00E73D4B">
        <w:t>gjeldande</w:t>
      </w:r>
      <w:proofErr w:type="spellEnd"/>
      <w:r w:rsidRPr="00E73D4B">
        <w:t xml:space="preserve"> norsk regelverk.</w:t>
      </w:r>
    </w:p>
    <w:p w14:paraId="22789D73" w14:textId="77777777" w:rsidR="00972395" w:rsidRPr="00E73D4B" w:rsidRDefault="00F120C7" w:rsidP="00E73D4B">
      <w:r w:rsidRPr="00E73D4B">
        <w:t xml:space="preserve">Den svenske regjeringa varsla 14. februar 2022 at den likevel vil </w:t>
      </w:r>
      <w:proofErr w:type="spellStart"/>
      <w:r w:rsidRPr="00E73D4B">
        <w:t>søkje</w:t>
      </w:r>
      <w:proofErr w:type="spellEnd"/>
      <w:r w:rsidRPr="00E73D4B">
        <w:t xml:space="preserve"> Kommisjonen om avgiftsfritak for reine og høginnblanda biodrivstoff. Bakgrunnen er at den svenske regjeringa meiner at </w:t>
      </w:r>
      <w:proofErr w:type="spellStart"/>
      <w:r w:rsidRPr="00E73D4B">
        <w:t>nylege</w:t>
      </w:r>
      <w:proofErr w:type="spellEnd"/>
      <w:r w:rsidRPr="00E73D4B">
        <w:t xml:space="preserve"> </w:t>
      </w:r>
      <w:proofErr w:type="spellStart"/>
      <w:r w:rsidRPr="00E73D4B">
        <w:t>endringar</w:t>
      </w:r>
      <w:proofErr w:type="spellEnd"/>
      <w:r w:rsidRPr="00E73D4B">
        <w:t xml:space="preserve"> i EU sine </w:t>
      </w:r>
      <w:proofErr w:type="spellStart"/>
      <w:r w:rsidRPr="00E73D4B">
        <w:t>miljøstytteretningslinjer</w:t>
      </w:r>
      <w:proofErr w:type="spellEnd"/>
      <w:r w:rsidRPr="00E73D4B">
        <w:t xml:space="preserve"> bør </w:t>
      </w:r>
      <w:proofErr w:type="spellStart"/>
      <w:r w:rsidRPr="00E73D4B">
        <w:t>styrkje</w:t>
      </w:r>
      <w:proofErr w:type="spellEnd"/>
      <w:r w:rsidRPr="00E73D4B">
        <w:t xml:space="preserve"> Sveriges </w:t>
      </w:r>
      <w:proofErr w:type="spellStart"/>
      <w:r w:rsidRPr="00E73D4B">
        <w:t>moglegheiter</w:t>
      </w:r>
      <w:proofErr w:type="spellEnd"/>
      <w:r w:rsidRPr="00E73D4B">
        <w:t xml:space="preserve"> til å </w:t>
      </w:r>
      <w:proofErr w:type="spellStart"/>
      <w:r w:rsidRPr="00E73D4B">
        <w:t>behalde</w:t>
      </w:r>
      <w:proofErr w:type="spellEnd"/>
      <w:r w:rsidRPr="00E73D4B">
        <w:t xml:space="preserve"> avgiftsfritaket for høginnblanda biodrivstoff i </w:t>
      </w:r>
      <w:proofErr w:type="spellStart"/>
      <w:r w:rsidRPr="00E73D4B">
        <w:t>si</w:t>
      </w:r>
      <w:proofErr w:type="spellEnd"/>
      <w:r w:rsidRPr="00E73D4B">
        <w:t xml:space="preserve"> </w:t>
      </w:r>
      <w:proofErr w:type="spellStart"/>
      <w:r w:rsidRPr="00E73D4B">
        <w:t>noverande</w:t>
      </w:r>
      <w:proofErr w:type="spellEnd"/>
      <w:r w:rsidRPr="00E73D4B">
        <w:t xml:space="preserve"> form, dvs. avgiftsfritak for høginnblanda og reint biodrivstoff kombinert med at slikt drivstoff </w:t>
      </w:r>
      <w:proofErr w:type="spellStart"/>
      <w:r w:rsidRPr="00E73D4B">
        <w:t>ikkje</w:t>
      </w:r>
      <w:proofErr w:type="spellEnd"/>
      <w:r w:rsidRPr="00E73D4B">
        <w:t xml:space="preserve"> er omfatta av reduksjonsplikta (omsetningskravet). Finansdepartementet er </w:t>
      </w:r>
      <w:proofErr w:type="spellStart"/>
      <w:r w:rsidRPr="00E73D4B">
        <w:t>ikkje</w:t>
      </w:r>
      <w:proofErr w:type="spellEnd"/>
      <w:r w:rsidRPr="00E73D4B">
        <w:t xml:space="preserve"> kjent med utfallet av prosessen mellom Sverige og Kommisjonen.</w:t>
      </w:r>
    </w:p>
    <w:p w14:paraId="083D1B19" w14:textId="77777777" w:rsidR="00972395" w:rsidRPr="00E73D4B" w:rsidRDefault="00F120C7" w:rsidP="00E73D4B">
      <w:r w:rsidRPr="00E73D4B">
        <w:t xml:space="preserve">I oppmodingsvedtaket blir vi bedt om å </w:t>
      </w:r>
      <w:proofErr w:type="spellStart"/>
      <w:r w:rsidRPr="00E73D4B">
        <w:t>kome</w:t>
      </w:r>
      <w:proofErr w:type="spellEnd"/>
      <w:r w:rsidRPr="00E73D4B">
        <w:t xml:space="preserve"> tilbake til Stortinget med </w:t>
      </w:r>
      <w:proofErr w:type="spellStart"/>
      <w:r w:rsidRPr="00E73D4B">
        <w:t>ein</w:t>
      </w:r>
      <w:proofErr w:type="spellEnd"/>
      <w:r w:rsidRPr="00E73D4B">
        <w:t xml:space="preserve"> «</w:t>
      </w:r>
      <w:proofErr w:type="spellStart"/>
      <w:r w:rsidRPr="00E73D4B">
        <w:t>tilsvarande</w:t>
      </w:r>
      <w:proofErr w:type="spellEnd"/>
      <w:r w:rsidRPr="00E73D4B">
        <w:t xml:space="preserve"> modell som Sverige». Det er </w:t>
      </w:r>
      <w:proofErr w:type="spellStart"/>
      <w:r w:rsidRPr="00E73D4B">
        <w:t>framleis</w:t>
      </w:r>
      <w:proofErr w:type="spellEnd"/>
      <w:r w:rsidRPr="00E73D4B">
        <w:t xml:space="preserve"> usikkert korleis det framtidige svenske regelverket vil bli utforma. Den svenske regjeringa vil måtte </w:t>
      </w:r>
      <w:proofErr w:type="spellStart"/>
      <w:r w:rsidRPr="00E73D4B">
        <w:t>leggje</w:t>
      </w:r>
      <w:proofErr w:type="spellEnd"/>
      <w:r w:rsidRPr="00E73D4B">
        <w:t xml:space="preserve"> fram forslaget den </w:t>
      </w:r>
      <w:proofErr w:type="spellStart"/>
      <w:r w:rsidRPr="00E73D4B">
        <w:t>seinaste</w:t>
      </w:r>
      <w:proofErr w:type="spellEnd"/>
      <w:r w:rsidRPr="00E73D4B">
        <w:t xml:space="preserve"> sitt medio september i forslaget til statsbudsjett for 2023. Vi må avvente </w:t>
      </w:r>
      <w:proofErr w:type="spellStart"/>
      <w:r w:rsidRPr="00E73D4B">
        <w:t>vidare</w:t>
      </w:r>
      <w:proofErr w:type="spellEnd"/>
      <w:r w:rsidRPr="00E73D4B">
        <w:t xml:space="preserve"> regelverksutforming i Sverige før vi kan vurdere eventuelle </w:t>
      </w:r>
      <w:proofErr w:type="spellStart"/>
      <w:r w:rsidRPr="00E73D4B">
        <w:t>endringar</w:t>
      </w:r>
      <w:proofErr w:type="spellEnd"/>
      <w:r w:rsidRPr="00E73D4B">
        <w:t xml:space="preserve"> i </w:t>
      </w:r>
      <w:proofErr w:type="spellStart"/>
      <w:r w:rsidRPr="00E73D4B">
        <w:t>vegbruksavgifta</w:t>
      </w:r>
      <w:proofErr w:type="spellEnd"/>
      <w:r w:rsidRPr="00E73D4B">
        <w:t xml:space="preserve"> på reint og høginnblanda avansert biodrivstoff etter svensk modell. Oppmodingsvedtakets punkt om avgifter må derfor </w:t>
      </w:r>
      <w:proofErr w:type="spellStart"/>
      <w:r w:rsidRPr="00E73D4B">
        <w:t>vurderast</w:t>
      </w:r>
      <w:proofErr w:type="spellEnd"/>
      <w:r w:rsidRPr="00E73D4B">
        <w:t xml:space="preserve"> fram mot 2024-budsjettet.</w:t>
      </w:r>
    </w:p>
    <w:p w14:paraId="2B454B26" w14:textId="77777777" w:rsidR="00972395" w:rsidRPr="00E73D4B" w:rsidRDefault="00F120C7" w:rsidP="00E73D4B">
      <w:r w:rsidRPr="00E73D4B">
        <w:t xml:space="preserve">Departementet arbeider med oppfølging av den andre delen av vedtaket, om rapporteringssystem for biodrivstoff </w:t>
      </w:r>
      <w:proofErr w:type="spellStart"/>
      <w:r w:rsidRPr="00E73D4B">
        <w:t>utanfor</w:t>
      </w:r>
      <w:proofErr w:type="spellEnd"/>
      <w:r w:rsidRPr="00E73D4B">
        <w:t xml:space="preserve"> omsetningskravet. Departementet har gjeve Miljødirektoratet i oppdrag å greie ut </w:t>
      </w:r>
      <w:proofErr w:type="spellStart"/>
      <w:r w:rsidRPr="00E73D4B">
        <w:t>eit</w:t>
      </w:r>
      <w:proofErr w:type="spellEnd"/>
      <w:r w:rsidRPr="00E73D4B">
        <w:t xml:space="preserve"> slikt system.</w:t>
      </w:r>
    </w:p>
    <w:p w14:paraId="1C60CC12" w14:textId="77777777" w:rsidR="00972395" w:rsidRPr="00E73D4B" w:rsidRDefault="00F120C7" w:rsidP="00E73D4B">
      <w:pPr>
        <w:pStyle w:val="Overskrift2"/>
      </w:pPr>
      <w:r w:rsidRPr="00E73D4B">
        <w:t>Stortingssesjon 2020–2021</w:t>
      </w:r>
    </w:p>
    <w:p w14:paraId="48818B28" w14:textId="77777777" w:rsidR="00972395" w:rsidRPr="00E73D4B" w:rsidRDefault="00F120C7" w:rsidP="00E73D4B">
      <w:pPr>
        <w:pStyle w:val="avsnitt-tittel"/>
      </w:pPr>
      <w:r w:rsidRPr="00E73D4B">
        <w:t>Bidra til gjennomføring av tiltak initierte av lokale og regionale styresmakter som reduserer utslepp i </w:t>
      </w:r>
      <w:proofErr w:type="spellStart"/>
      <w:r w:rsidRPr="00E73D4B">
        <w:t>verdsarvfjordane</w:t>
      </w:r>
      <w:proofErr w:type="spellEnd"/>
    </w:p>
    <w:p w14:paraId="2CC45559" w14:textId="77777777" w:rsidR="00972395" w:rsidRPr="00E73D4B" w:rsidRDefault="00F120C7" w:rsidP="00E73D4B">
      <w:pPr>
        <w:pStyle w:val="avsnitt-undertittel"/>
      </w:pPr>
      <w:r w:rsidRPr="00E73D4B">
        <w:t>Vedtak nr. 690, 25. februar 2021</w:t>
      </w:r>
    </w:p>
    <w:p w14:paraId="030B0CAE" w14:textId="77777777" w:rsidR="00972395" w:rsidRPr="00E73D4B" w:rsidRDefault="00F120C7" w:rsidP="00E73D4B">
      <w:pPr>
        <w:pStyle w:val="blokksit"/>
        <w:rPr>
          <w:rStyle w:val="kursiv"/>
        </w:rPr>
      </w:pPr>
      <w:r w:rsidRPr="00E73D4B">
        <w:rPr>
          <w:rStyle w:val="kursiv"/>
        </w:rPr>
        <w:t>«Stortinget ber regjeringen bidra til gjennomføring av tiltak initiert av lokale og regionale myndigheter, som reduserer utslipp i verdensarvfjordene.»</w:t>
      </w:r>
    </w:p>
    <w:p w14:paraId="59F21E6A"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8:23 S (2020–2021) </w:t>
      </w:r>
      <w:r w:rsidRPr="00E73D4B">
        <w:rPr>
          <w:rStyle w:val="kursiv"/>
        </w:rPr>
        <w:t>Representantforslag om utsettelse av kravet om nullutslipp i verdensarvfjordene fra 2026</w:t>
      </w:r>
      <w:r w:rsidRPr="00E73D4B">
        <w:t xml:space="preserve">, jf. </w:t>
      </w:r>
      <w:proofErr w:type="spellStart"/>
      <w:r w:rsidRPr="00E73D4B">
        <w:t>Innst</w:t>
      </w:r>
      <w:proofErr w:type="spellEnd"/>
      <w:r w:rsidRPr="00E73D4B">
        <w:t>. 251 S (2020–2021).</w:t>
      </w:r>
    </w:p>
    <w:p w14:paraId="3885B2FC" w14:textId="77777777" w:rsidR="00972395" w:rsidRPr="00E73D4B" w:rsidRDefault="00F120C7" w:rsidP="00E73D4B">
      <w:r w:rsidRPr="00E73D4B">
        <w:t xml:space="preserve">Oppmodingsvedtaket vil bli </w:t>
      </w:r>
      <w:proofErr w:type="spellStart"/>
      <w:r w:rsidRPr="00E73D4B">
        <w:t>følgt</w:t>
      </w:r>
      <w:proofErr w:type="spellEnd"/>
      <w:r w:rsidRPr="00E73D4B">
        <w:t xml:space="preserve"> opp i samband med oppfølginga av vedtak nr. 691, 25. februar 2021, og vedtak nr. 672, 3. mai 2018. Regjeringa vil komme tilbake til Stortinget på eigna måte.</w:t>
      </w:r>
    </w:p>
    <w:p w14:paraId="7C303C4B" w14:textId="77777777" w:rsidR="00972395" w:rsidRPr="00E73D4B" w:rsidRDefault="00F120C7" w:rsidP="00E73D4B">
      <w:pPr>
        <w:pStyle w:val="avsnitt-tittel"/>
      </w:pPr>
      <w:r w:rsidRPr="00E73D4B">
        <w:t xml:space="preserve">Tiltak som </w:t>
      </w:r>
      <w:proofErr w:type="spellStart"/>
      <w:r w:rsidRPr="00E73D4B">
        <w:t>sikrar</w:t>
      </w:r>
      <w:proofErr w:type="spellEnd"/>
      <w:r w:rsidRPr="00E73D4B">
        <w:t xml:space="preserve"> </w:t>
      </w:r>
      <w:proofErr w:type="spellStart"/>
      <w:r w:rsidRPr="00E73D4B">
        <w:t>verdsarvfjordane</w:t>
      </w:r>
      <w:proofErr w:type="spellEnd"/>
      <w:r w:rsidRPr="00E73D4B">
        <w:t xml:space="preserve"> som </w:t>
      </w:r>
      <w:proofErr w:type="spellStart"/>
      <w:r w:rsidRPr="00E73D4B">
        <w:t>anløpshamn</w:t>
      </w:r>
      <w:proofErr w:type="spellEnd"/>
      <w:r w:rsidRPr="00E73D4B">
        <w:t xml:space="preserve"> for </w:t>
      </w:r>
      <w:proofErr w:type="spellStart"/>
      <w:r w:rsidRPr="00E73D4B">
        <w:t>cruisebåtar</w:t>
      </w:r>
      <w:proofErr w:type="spellEnd"/>
      <w:r w:rsidRPr="00E73D4B">
        <w:t xml:space="preserve"> også etter 2026 – etablering av </w:t>
      </w:r>
      <w:proofErr w:type="spellStart"/>
      <w:r w:rsidRPr="00E73D4B">
        <w:t>landstraum</w:t>
      </w:r>
      <w:proofErr w:type="spellEnd"/>
      <w:r w:rsidRPr="00E73D4B">
        <w:t xml:space="preserve"> i Flåm mv.</w:t>
      </w:r>
    </w:p>
    <w:p w14:paraId="618605C6" w14:textId="77777777" w:rsidR="00972395" w:rsidRPr="00E73D4B" w:rsidRDefault="00F120C7" w:rsidP="00E73D4B">
      <w:pPr>
        <w:pStyle w:val="avsnitt-undertittel"/>
      </w:pPr>
      <w:r w:rsidRPr="00E73D4B">
        <w:t>Vedtak nr. 691, 25. februar 2021</w:t>
      </w:r>
    </w:p>
    <w:p w14:paraId="6D9878EF" w14:textId="77777777" w:rsidR="00972395" w:rsidRPr="00E73D4B" w:rsidRDefault="00F120C7" w:rsidP="00E73D4B">
      <w:pPr>
        <w:pStyle w:val="blokksit"/>
        <w:rPr>
          <w:rStyle w:val="kursiv"/>
        </w:rPr>
      </w:pPr>
      <w:r w:rsidRPr="00E73D4B">
        <w:rPr>
          <w:rStyle w:val="kursiv"/>
        </w:rPr>
        <w:t xml:space="preserve">«Stortinget ber regjeringen foreslå tiltak som sikrer verdensarvfjordene som anløpshavn for cruisebåter også etter 2026, blant annet ved at staten sikrer etablering av </w:t>
      </w:r>
      <w:proofErr w:type="spellStart"/>
      <w:r w:rsidRPr="00E73D4B">
        <w:rPr>
          <w:rStyle w:val="kursiv"/>
        </w:rPr>
        <w:t>landstrøm</w:t>
      </w:r>
      <w:proofErr w:type="spellEnd"/>
      <w:r w:rsidRPr="00E73D4B">
        <w:rPr>
          <w:rStyle w:val="kursiv"/>
        </w:rPr>
        <w:t xml:space="preserve"> i Flåm som planlagt innen 2022.»</w:t>
      </w:r>
    </w:p>
    <w:p w14:paraId="0D645A45"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8:23 S (2020–2021)</w:t>
      </w:r>
      <w:r w:rsidRPr="00E73D4B">
        <w:rPr>
          <w:rStyle w:val="kursiv"/>
        </w:rPr>
        <w:t xml:space="preserve"> Representantforslag om utsettelse av kravet om nullutslipp i verdensarvfjordene fra 2026</w:t>
      </w:r>
      <w:r w:rsidRPr="00E73D4B">
        <w:t xml:space="preserve">, jf. </w:t>
      </w:r>
      <w:proofErr w:type="spellStart"/>
      <w:r w:rsidRPr="00E73D4B">
        <w:t>Innst</w:t>
      </w:r>
      <w:proofErr w:type="spellEnd"/>
      <w:r w:rsidRPr="00E73D4B">
        <w:t>. 251 S (2020–2021).</w:t>
      </w:r>
    </w:p>
    <w:p w14:paraId="5DE7BCD7" w14:textId="77777777" w:rsidR="00972395" w:rsidRPr="00E73D4B" w:rsidRDefault="00F120C7" w:rsidP="00E73D4B">
      <w:r w:rsidRPr="00E73D4B">
        <w:t xml:space="preserve">Oppmodingsvedtaket vil bli </w:t>
      </w:r>
      <w:proofErr w:type="spellStart"/>
      <w:r w:rsidRPr="00E73D4B">
        <w:t>følgt</w:t>
      </w:r>
      <w:proofErr w:type="spellEnd"/>
      <w:r w:rsidRPr="00E73D4B">
        <w:t xml:space="preserve"> opp i samband med oppfølginga av vedtak nr. 690, 25. februar 2021, og vedtak nr. 672, 3. mai 2018. Regjeringa vil komme tilbake til Stortinget på eigna måte.</w:t>
      </w:r>
    </w:p>
    <w:p w14:paraId="1E4471A7" w14:textId="77777777" w:rsidR="00972395" w:rsidRPr="00E73D4B" w:rsidRDefault="00F120C7" w:rsidP="00E73D4B">
      <w:pPr>
        <w:pStyle w:val="avsnitt-tittel"/>
      </w:pPr>
      <w:proofErr w:type="spellStart"/>
      <w:r w:rsidRPr="00E73D4B">
        <w:t>Verkemiddel</w:t>
      </w:r>
      <w:proofErr w:type="spellEnd"/>
      <w:r w:rsidRPr="00E73D4B">
        <w:t xml:space="preserve"> for </w:t>
      </w:r>
      <w:proofErr w:type="spellStart"/>
      <w:r w:rsidRPr="00E73D4B">
        <w:t>meir</w:t>
      </w:r>
      <w:proofErr w:type="spellEnd"/>
      <w:r w:rsidRPr="00E73D4B">
        <w:t xml:space="preserve"> effektiv og </w:t>
      </w:r>
      <w:proofErr w:type="spellStart"/>
      <w:r w:rsidRPr="00E73D4B">
        <w:t>einskapleg</w:t>
      </w:r>
      <w:proofErr w:type="spellEnd"/>
      <w:r w:rsidRPr="00E73D4B">
        <w:t xml:space="preserve"> skadefelling av rovvilt</w:t>
      </w:r>
    </w:p>
    <w:p w14:paraId="42C8DC93" w14:textId="77777777" w:rsidR="00972395" w:rsidRPr="00E73D4B" w:rsidRDefault="00F120C7" w:rsidP="00E73D4B">
      <w:pPr>
        <w:pStyle w:val="avsnitt-undertittel"/>
      </w:pPr>
      <w:r w:rsidRPr="00E73D4B">
        <w:t>Vedtak nr. 751, 11. mars 2021</w:t>
      </w:r>
    </w:p>
    <w:p w14:paraId="2EC2C321" w14:textId="77777777" w:rsidR="00972395" w:rsidRPr="00E73D4B" w:rsidRDefault="00F120C7" w:rsidP="00E73D4B">
      <w:pPr>
        <w:pStyle w:val="blokksit"/>
        <w:rPr>
          <w:rStyle w:val="kursiv"/>
        </w:rPr>
      </w:pPr>
      <w:r w:rsidRPr="00E73D4B">
        <w:rPr>
          <w:rStyle w:val="kursiv"/>
        </w:rPr>
        <w:t>«Stortinget ber regjeringen fremme forslag om egnede virkemidler som gjør skadefelling av rovvilt mer effektivt og enhetlig.»</w:t>
      </w:r>
    </w:p>
    <w:p w14:paraId="00C486A9"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8:86 S (2020–2021), </w:t>
      </w:r>
      <w:r w:rsidRPr="00E73D4B">
        <w:rPr>
          <w:rStyle w:val="kursiv"/>
        </w:rPr>
        <w:t>Representantforslag om mer effektiv skadefelling av store rovdyr</w:t>
      </w:r>
      <w:r w:rsidRPr="00E73D4B">
        <w:t xml:space="preserve">, jf. </w:t>
      </w:r>
      <w:proofErr w:type="spellStart"/>
      <w:r w:rsidRPr="00E73D4B">
        <w:t>Innst</w:t>
      </w:r>
      <w:proofErr w:type="spellEnd"/>
      <w:r w:rsidRPr="00E73D4B">
        <w:t xml:space="preserve">. 255 S (2020–2021). Klima- og miljødepartementet har </w:t>
      </w:r>
      <w:proofErr w:type="spellStart"/>
      <w:r w:rsidRPr="00E73D4B">
        <w:t>motteke</w:t>
      </w:r>
      <w:proofErr w:type="spellEnd"/>
      <w:r w:rsidRPr="00E73D4B">
        <w:t xml:space="preserve"> ei </w:t>
      </w:r>
      <w:proofErr w:type="spellStart"/>
      <w:r w:rsidRPr="00E73D4B">
        <w:t>fagleg</w:t>
      </w:r>
      <w:proofErr w:type="spellEnd"/>
      <w:r w:rsidRPr="00E73D4B">
        <w:t xml:space="preserve"> vurdering og tilråding om </w:t>
      </w:r>
      <w:proofErr w:type="spellStart"/>
      <w:r w:rsidRPr="00E73D4B">
        <w:t>vidare</w:t>
      </w:r>
      <w:proofErr w:type="spellEnd"/>
      <w:r w:rsidRPr="00E73D4B">
        <w:t xml:space="preserve"> oppfølging av oppmodingsvedtaket </w:t>
      </w:r>
      <w:proofErr w:type="spellStart"/>
      <w:r w:rsidRPr="00E73D4B">
        <w:t>frå</w:t>
      </w:r>
      <w:proofErr w:type="spellEnd"/>
      <w:r w:rsidRPr="00E73D4B">
        <w:t xml:space="preserve"> Miljødirektoratet.</w:t>
      </w:r>
    </w:p>
    <w:p w14:paraId="0E6EA151" w14:textId="77777777" w:rsidR="00972395" w:rsidRPr="00E73D4B" w:rsidRDefault="00F120C7" w:rsidP="00E73D4B">
      <w:r w:rsidRPr="00E73D4B">
        <w:t xml:space="preserve">Regjeringa vurderer den </w:t>
      </w:r>
      <w:proofErr w:type="spellStart"/>
      <w:r w:rsidRPr="00E73D4B">
        <w:t>faglege</w:t>
      </w:r>
      <w:proofErr w:type="spellEnd"/>
      <w:r w:rsidRPr="00E73D4B">
        <w:t xml:space="preserve"> tilrådinga </w:t>
      </w:r>
      <w:proofErr w:type="spellStart"/>
      <w:r w:rsidRPr="00E73D4B">
        <w:t>frå</w:t>
      </w:r>
      <w:proofErr w:type="spellEnd"/>
      <w:r w:rsidRPr="00E73D4B">
        <w:t xml:space="preserve"> Miljødirektoratet og vil komme tilbake til Stortinget på eigna måte.</w:t>
      </w:r>
    </w:p>
    <w:p w14:paraId="452F6270" w14:textId="77777777" w:rsidR="00972395" w:rsidRPr="00E73D4B" w:rsidRDefault="00F120C7" w:rsidP="00E73D4B">
      <w:pPr>
        <w:pStyle w:val="avsnitt-tittel"/>
      </w:pPr>
      <w:r w:rsidRPr="00E73D4B">
        <w:t>Kompetanseoverføringsprosjekt om skadefelling</w:t>
      </w:r>
    </w:p>
    <w:p w14:paraId="45E04901" w14:textId="77777777" w:rsidR="00972395" w:rsidRPr="00E73D4B" w:rsidRDefault="00F120C7" w:rsidP="00E73D4B">
      <w:pPr>
        <w:pStyle w:val="avsnitt-undertittel"/>
      </w:pPr>
      <w:r w:rsidRPr="00E73D4B">
        <w:t>Vedtak nr. 752, 11. mars 2021</w:t>
      </w:r>
    </w:p>
    <w:p w14:paraId="485D7325" w14:textId="77777777" w:rsidR="00972395" w:rsidRPr="00E73D4B" w:rsidRDefault="00F120C7" w:rsidP="00E73D4B">
      <w:pPr>
        <w:pStyle w:val="blokksit"/>
        <w:rPr>
          <w:rStyle w:val="kursiv"/>
        </w:rPr>
      </w:pPr>
      <w:r w:rsidRPr="00E73D4B">
        <w:rPr>
          <w:rStyle w:val="kursiv"/>
        </w:rPr>
        <w:t>«Stortinget ber regjeringen iverksette et kompetanseoverføringsprosjekt for at de metodene og de erfaringene som er gjort av skadefellingslagene i Nord-Østerdal og Engerdal, blir overført til skadefellingslag andre steder i landet. Det bør utarbeides et kursopplegg og etableres et permanent nettverk som sikrer overføring av kunnskap og kompetanse.»</w:t>
      </w:r>
    </w:p>
    <w:p w14:paraId="44172CBB"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8:86 S (2020–2021), </w:t>
      </w:r>
      <w:r w:rsidRPr="00E73D4B">
        <w:rPr>
          <w:rStyle w:val="kursiv"/>
        </w:rPr>
        <w:t>Representantforslag om mer effektiv skadefelling av store rovdyr</w:t>
      </w:r>
      <w:r w:rsidRPr="00E73D4B">
        <w:t xml:space="preserve">, jf. </w:t>
      </w:r>
      <w:proofErr w:type="spellStart"/>
      <w:r w:rsidRPr="00E73D4B">
        <w:t>Innst</w:t>
      </w:r>
      <w:proofErr w:type="spellEnd"/>
      <w:r w:rsidRPr="00E73D4B">
        <w:t xml:space="preserve">. 255 S (2020–2021). Klima- og miljødepartementet har </w:t>
      </w:r>
      <w:proofErr w:type="spellStart"/>
      <w:r w:rsidRPr="00E73D4B">
        <w:t>motteke</w:t>
      </w:r>
      <w:proofErr w:type="spellEnd"/>
      <w:r w:rsidRPr="00E73D4B">
        <w:t xml:space="preserve"> ei </w:t>
      </w:r>
      <w:proofErr w:type="spellStart"/>
      <w:r w:rsidRPr="00E73D4B">
        <w:t>fagleg</w:t>
      </w:r>
      <w:proofErr w:type="spellEnd"/>
      <w:r w:rsidRPr="00E73D4B">
        <w:t xml:space="preserve"> vurdering og tilråding om </w:t>
      </w:r>
      <w:proofErr w:type="spellStart"/>
      <w:r w:rsidRPr="00E73D4B">
        <w:t>vidare</w:t>
      </w:r>
      <w:proofErr w:type="spellEnd"/>
      <w:r w:rsidRPr="00E73D4B">
        <w:t xml:space="preserve"> oppfølging av oppmodingsvedtaket </w:t>
      </w:r>
      <w:proofErr w:type="spellStart"/>
      <w:r w:rsidRPr="00E73D4B">
        <w:t>frå</w:t>
      </w:r>
      <w:proofErr w:type="spellEnd"/>
      <w:r w:rsidRPr="00E73D4B">
        <w:t xml:space="preserve"> Miljødirektoratet.</w:t>
      </w:r>
    </w:p>
    <w:p w14:paraId="481BD70D" w14:textId="77777777" w:rsidR="00972395" w:rsidRPr="00E73D4B" w:rsidRDefault="00F120C7" w:rsidP="00E73D4B">
      <w:r w:rsidRPr="00E73D4B">
        <w:t xml:space="preserve">Regjeringa vurderer den </w:t>
      </w:r>
      <w:proofErr w:type="spellStart"/>
      <w:r w:rsidRPr="00E73D4B">
        <w:t>faglege</w:t>
      </w:r>
      <w:proofErr w:type="spellEnd"/>
      <w:r w:rsidRPr="00E73D4B">
        <w:t xml:space="preserve"> tilrådinga </w:t>
      </w:r>
      <w:proofErr w:type="spellStart"/>
      <w:r w:rsidRPr="00E73D4B">
        <w:t>frå</w:t>
      </w:r>
      <w:proofErr w:type="spellEnd"/>
      <w:r w:rsidRPr="00E73D4B">
        <w:t xml:space="preserve"> Miljødirektoratet og vil komme tilbake til Stortinget på eigna måte.</w:t>
      </w:r>
    </w:p>
    <w:p w14:paraId="6F15F4BF" w14:textId="77777777" w:rsidR="00972395" w:rsidRPr="00E73D4B" w:rsidRDefault="00F120C7" w:rsidP="00E73D4B">
      <w:pPr>
        <w:pStyle w:val="avsnitt-tittel"/>
      </w:pPr>
      <w:r w:rsidRPr="00E73D4B">
        <w:t xml:space="preserve">Forslag om </w:t>
      </w:r>
      <w:proofErr w:type="spellStart"/>
      <w:r w:rsidRPr="00E73D4B">
        <w:t>verkemiddel</w:t>
      </w:r>
      <w:proofErr w:type="spellEnd"/>
      <w:r w:rsidRPr="00E73D4B">
        <w:t xml:space="preserve"> for </w:t>
      </w:r>
      <w:proofErr w:type="spellStart"/>
      <w:r w:rsidRPr="00E73D4B">
        <w:t>meir</w:t>
      </w:r>
      <w:proofErr w:type="spellEnd"/>
      <w:r w:rsidRPr="00E73D4B">
        <w:t xml:space="preserve"> effektiv lisensfelling</w:t>
      </w:r>
    </w:p>
    <w:p w14:paraId="385B3A39" w14:textId="77777777" w:rsidR="00972395" w:rsidRPr="00E73D4B" w:rsidRDefault="00F120C7" w:rsidP="00E73D4B">
      <w:pPr>
        <w:pStyle w:val="avsnitt-undertittel"/>
      </w:pPr>
      <w:r w:rsidRPr="00E73D4B">
        <w:t>Vedtak nr. 753, 11. mars 2021</w:t>
      </w:r>
    </w:p>
    <w:p w14:paraId="1ED579D8" w14:textId="77777777" w:rsidR="00972395" w:rsidRPr="00E73D4B" w:rsidRDefault="00F120C7" w:rsidP="00E73D4B">
      <w:pPr>
        <w:pStyle w:val="blokksit"/>
        <w:rPr>
          <w:rStyle w:val="kursiv"/>
        </w:rPr>
      </w:pPr>
      <w:r w:rsidRPr="00E73D4B">
        <w:rPr>
          <w:rStyle w:val="kursiv"/>
        </w:rPr>
        <w:t>«Stortinget ber regjeringen komme tilbake til Stortinget med forslag til hvordan virkemidler knyttet til skadefelling også kan bidra til å gjøre lisensfelling mer effektiv.»</w:t>
      </w:r>
    </w:p>
    <w:p w14:paraId="7EB024D6"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8:86 S (2020–2021), </w:t>
      </w:r>
      <w:r w:rsidRPr="00E73D4B">
        <w:rPr>
          <w:rStyle w:val="kursiv"/>
        </w:rPr>
        <w:t>Representantforslag om mer effektiv skadefelling av store rovdyr</w:t>
      </w:r>
      <w:r w:rsidRPr="00E73D4B">
        <w:t xml:space="preserve">, </w:t>
      </w:r>
      <w:proofErr w:type="spellStart"/>
      <w:r w:rsidRPr="00E73D4B">
        <w:t>Innst</w:t>
      </w:r>
      <w:proofErr w:type="spellEnd"/>
      <w:r w:rsidRPr="00E73D4B">
        <w:t xml:space="preserve">. 255 S (2020–2021). Klima- og miljødepartementet har </w:t>
      </w:r>
      <w:proofErr w:type="spellStart"/>
      <w:r w:rsidRPr="00E73D4B">
        <w:t>motteke</w:t>
      </w:r>
      <w:proofErr w:type="spellEnd"/>
      <w:r w:rsidRPr="00E73D4B">
        <w:t xml:space="preserve"> ei </w:t>
      </w:r>
      <w:proofErr w:type="spellStart"/>
      <w:r w:rsidRPr="00E73D4B">
        <w:t>fagleg</w:t>
      </w:r>
      <w:proofErr w:type="spellEnd"/>
      <w:r w:rsidRPr="00E73D4B">
        <w:t xml:space="preserve"> vurdering og tilråding om </w:t>
      </w:r>
      <w:proofErr w:type="spellStart"/>
      <w:r w:rsidRPr="00E73D4B">
        <w:t>vidare</w:t>
      </w:r>
      <w:proofErr w:type="spellEnd"/>
      <w:r w:rsidRPr="00E73D4B">
        <w:t xml:space="preserve"> oppfølging av oppmodingsvedtaket </w:t>
      </w:r>
      <w:proofErr w:type="spellStart"/>
      <w:r w:rsidRPr="00E73D4B">
        <w:t>frå</w:t>
      </w:r>
      <w:proofErr w:type="spellEnd"/>
      <w:r w:rsidRPr="00E73D4B">
        <w:t xml:space="preserve"> Miljødirektoratet.</w:t>
      </w:r>
    </w:p>
    <w:p w14:paraId="46822FFC" w14:textId="77777777" w:rsidR="00972395" w:rsidRPr="00E73D4B" w:rsidRDefault="00F120C7" w:rsidP="00E73D4B">
      <w:r w:rsidRPr="00E73D4B">
        <w:t xml:space="preserve">Regjeringa vurderer den </w:t>
      </w:r>
      <w:proofErr w:type="spellStart"/>
      <w:r w:rsidRPr="00E73D4B">
        <w:t>faglege</w:t>
      </w:r>
      <w:proofErr w:type="spellEnd"/>
      <w:r w:rsidRPr="00E73D4B">
        <w:t xml:space="preserve"> tilrådinga </w:t>
      </w:r>
      <w:proofErr w:type="spellStart"/>
      <w:r w:rsidRPr="00E73D4B">
        <w:t>frå</w:t>
      </w:r>
      <w:proofErr w:type="spellEnd"/>
      <w:r w:rsidRPr="00E73D4B">
        <w:t xml:space="preserve"> Miljødirektoratet og vil komme tilbake til Stortinget på eigna måte.</w:t>
      </w:r>
    </w:p>
    <w:p w14:paraId="0B77B556" w14:textId="77777777" w:rsidR="00972395" w:rsidRPr="00E73D4B" w:rsidRDefault="00F120C7" w:rsidP="00E73D4B">
      <w:pPr>
        <w:pStyle w:val="avsnitt-tittel"/>
      </w:pPr>
      <w:r w:rsidRPr="00E73D4B">
        <w:t xml:space="preserve">Nasjonal plan for å </w:t>
      </w:r>
      <w:proofErr w:type="spellStart"/>
      <w:r w:rsidRPr="00E73D4B">
        <w:t>gjere</w:t>
      </w:r>
      <w:proofErr w:type="spellEnd"/>
      <w:r w:rsidRPr="00E73D4B">
        <w:t xml:space="preserve"> land- og </w:t>
      </w:r>
      <w:proofErr w:type="spellStart"/>
      <w:r w:rsidRPr="00E73D4B">
        <w:t>ladestraum</w:t>
      </w:r>
      <w:proofErr w:type="spellEnd"/>
      <w:r w:rsidRPr="00E73D4B">
        <w:t xml:space="preserve">, hydrogen, ammoniakk og andre </w:t>
      </w:r>
      <w:proofErr w:type="spellStart"/>
      <w:r w:rsidRPr="00E73D4B">
        <w:t>grøne</w:t>
      </w:r>
      <w:proofErr w:type="spellEnd"/>
      <w:r w:rsidRPr="00E73D4B">
        <w:t xml:space="preserve"> drivstoff </w:t>
      </w:r>
      <w:proofErr w:type="spellStart"/>
      <w:r w:rsidRPr="00E73D4B">
        <w:t>tilgjengelege</w:t>
      </w:r>
      <w:proofErr w:type="spellEnd"/>
    </w:p>
    <w:p w14:paraId="0A744F1B" w14:textId="77777777" w:rsidR="00972395" w:rsidRPr="00E73D4B" w:rsidRDefault="00F120C7" w:rsidP="00E73D4B">
      <w:pPr>
        <w:pStyle w:val="avsnitt-undertittel"/>
      </w:pPr>
      <w:r w:rsidRPr="00E73D4B">
        <w:t>Vedtak nr. 831, 22. april 2021</w:t>
      </w:r>
    </w:p>
    <w:p w14:paraId="2B0B6E64" w14:textId="77777777" w:rsidR="00972395" w:rsidRPr="00E73D4B" w:rsidRDefault="00F120C7" w:rsidP="00E73D4B">
      <w:pPr>
        <w:pStyle w:val="blokksit"/>
        <w:rPr>
          <w:rStyle w:val="kursiv"/>
        </w:rPr>
      </w:pPr>
      <w:r w:rsidRPr="00E73D4B">
        <w:rPr>
          <w:rStyle w:val="kursiv"/>
        </w:rPr>
        <w:t>«Stortinget ber regjeringen komme tilbake til Stortinget med en nasjonal plan for å gjøre land- og ladestrøm, hydrogen, ammoniakk og andre grønne drivstoff tilgjengelig.»</w:t>
      </w:r>
    </w:p>
    <w:p w14:paraId="7096B2EA"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w:t>
      </w:r>
    </w:p>
    <w:p w14:paraId="605AAAE0" w14:textId="77777777" w:rsidR="00972395" w:rsidRPr="00E73D4B" w:rsidRDefault="00F120C7" w:rsidP="00E73D4B">
      <w:r w:rsidRPr="00E73D4B">
        <w:t xml:space="preserve">På oppdrag </w:t>
      </w:r>
      <w:proofErr w:type="spellStart"/>
      <w:r w:rsidRPr="00E73D4B">
        <w:t>frå</w:t>
      </w:r>
      <w:proofErr w:type="spellEnd"/>
      <w:r w:rsidRPr="00E73D4B">
        <w:t xml:space="preserve"> Klima- og miljødepartementet har DNV levert </w:t>
      </w:r>
      <w:proofErr w:type="spellStart"/>
      <w:r w:rsidRPr="00E73D4B">
        <w:t>ein</w:t>
      </w:r>
      <w:proofErr w:type="spellEnd"/>
      <w:r w:rsidRPr="00E73D4B">
        <w:t xml:space="preserve"> underlagsrapport om </w:t>
      </w:r>
      <w:proofErr w:type="spellStart"/>
      <w:r w:rsidRPr="00E73D4B">
        <w:t>føresetnader</w:t>
      </w:r>
      <w:proofErr w:type="spellEnd"/>
      <w:r w:rsidRPr="00E73D4B">
        <w:t xml:space="preserve">, status, behov og </w:t>
      </w:r>
      <w:proofErr w:type="spellStart"/>
      <w:r w:rsidRPr="00E73D4B">
        <w:t>barrierar</w:t>
      </w:r>
      <w:proofErr w:type="spellEnd"/>
      <w:r w:rsidRPr="00E73D4B">
        <w:t xml:space="preserve"> for </w:t>
      </w:r>
      <w:proofErr w:type="spellStart"/>
      <w:r w:rsidRPr="00E73D4B">
        <w:t>tilgjengeleggjering</w:t>
      </w:r>
      <w:proofErr w:type="spellEnd"/>
      <w:r w:rsidRPr="00E73D4B">
        <w:t xml:space="preserve"> av ulike alternative </w:t>
      </w:r>
      <w:proofErr w:type="spellStart"/>
      <w:r w:rsidRPr="00E73D4B">
        <w:t>berekraftige</w:t>
      </w:r>
      <w:proofErr w:type="spellEnd"/>
      <w:r w:rsidRPr="00E73D4B">
        <w:t xml:space="preserve"> drivstoff til skipsfarten. Departementet arbeider </w:t>
      </w:r>
      <w:proofErr w:type="spellStart"/>
      <w:r w:rsidRPr="00E73D4B">
        <w:t>no</w:t>
      </w:r>
      <w:proofErr w:type="spellEnd"/>
      <w:r w:rsidRPr="00E73D4B">
        <w:t xml:space="preserve"> med utforminga av den nasjonale planen. Regjeringa vil komme tilbake til Stortinget på eigna måte.</w:t>
      </w:r>
    </w:p>
    <w:p w14:paraId="115A348F" w14:textId="77777777" w:rsidR="00972395" w:rsidRPr="00E73D4B" w:rsidRDefault="00F120C7" w:rsidP="00E73D4B">
      <w:pPr>
        <w:pStyle w:val="avsnitt-tittel"/>
      </w:pPr>
      <w:r w:rsidRPr="00E73D4B">
        <w:t>Forslag om revidering av motorferdsellova</w:t>
      </w:r>
    </w:p>
    <w:p w14:paraId="4C9F1BFA" w14:textId="77777777" w:rsidR="00972395" w:rsidRPr="00E73D4B" w:rsidRDefault="00F120C7" w:rsidP="00E73D4B">
      <w:pPr>
        <w:pStyle w:val="avsnitt-undertittel"/>
      </w:pPr>
      <w:r w:rsidRPr="00E73D4B">
        <w:t>Vedtak nr. 973, 25. mai 2021</w:t>
      </w:r>
    </w:p>
    <w:p w14:paraId="0F013159" w14:textId="77777777" w:rsidR="00972395" w:rsidRPr="00E73D4B" w:rsidRDefault="00F120C7" w:rsidP="00E73D4B">
      <w:pPr>
        <w:pStyle w:val="blokksit"/>
        <w:rPr>
          <w:rStyle w:val="kursiv"/>
        </w:rPr>
      </w:pPr>
      <w:r w:rsidRPr="00E73D4B">
        <w:rPr>
          <w:rStyle w:val="kursiv"/>
        </w:rPr>
        <w:t>«Stortinget ber regjeringen fremme forslag om revidering av lov om motorferdsel i utmark og vassdrag med sikte på økt lokalt selvstyre og redusert byråkrati knyttet til praktiseringen av loven, samtidig som hensyn til natur og friluftsliv blir ivaretatt.»</w:t>
      </w:r>
    </w:p>
    <w:p w14:paraId="3BCEC98C"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8:155 S (2020–2021), </w:t>
      </w:r>
      <w:r w:rsidRPr="00E73D4B">
        <w:rPr>
          <w:rStyle w:val="kursiv"/>
        </w:rPr>
        <w:t>Representantforslag om lokalt selvstyre over motorisert ferdsel i utmark</w:t>
      </w:r>
      <w:r w:rsidRPr="00E73D4B">
        <w:t xml:space="preserve">, og Dokument 8:161 S (2020–2021), </w:t>
      </w:r>
      <w:r w:rsidRPr="00E73D4B">
        <w:rPr>
          <w:rStyle w:val="kursiv"/>
        </w:rPr>
        <w:t>Representantforslag om revidering av lov om motorferdsel i utmark og vassdrag med sikte på redusert byråkrati</w:t>
      </w:r>
      <w:r w:rsidRPr="00E73D4B">
        <w:t xml:space="preserve">, jf. </w:t>
      </w:r>
      <w:proofErr w:type="spellStart"/>
      <w:r w:rsidRPr="00E73D4B">
        <w:t>Innst</w:t>
      </w:r>
      <w:proofErr w:type="spellEnd"/>
      <w:r w:rsidRPr="00E73D4B">
        <w:t>. 429 S (2020–2021)</w:t>
      </w:r>
    </w:p>
    <w:p w14:paraId="0716CBC4" w14:textId="77777777" w:rsidR="00972395" w:rsidRPr="00E73D4B" w:rsidRDefault="00F120C7" w:rsidP="00E73D4B">
      <w:r w:rsidRPr="00E73D4B">
        <w:t xml:space="preserve">Vedtaket </w:t>
      </w:r>
      <w:proofErr w:type="spellStart"/>
      <w:r w:rsidRPr="00E73D4B">
        <w:t>frå</w:t>
      </w:r>
      <w:proofErr w:type="spellEnd"/>
      <w:r w:rsidRPr="00E73D4B">
        <w:t xml:space="preserve"> Stortinget er bakgrunnen for at Kongen i statsråd 3. september 2021 sette ned </w:t>
      </w:r>
      <w:proofErr w:type="spellStart"/>
      <w:r w:rsidRPr="00E73D4B">
        <w:t>eit</w:t>
      </w:r>
      <w:proofErr w:type="spellEnd"/>
      <w:r w:rsidRPr="00E73D4B">
        <w:t xml:space="preserve"> </w:t>
      </w:r>
      <w:proofErr w:type="spellStart"/>
      <w:r w:rsidRPr="00E73D4B">
        <w:t>offentleg</w:t>
      </w:r>
      <w:proofErr w:type="spellEnd"/>
      <w:r w:rsidRPr="00E73D4B">
        <w:t xml:space="preserve"> </w:t>
      </w:r>
      <w:proofErr w:type="spellStart"/>
      <w:r w:rsidRPr="00E73D4B">
        <w:t>utval</w:t>
      </w:r>
      <w:proofErr w:type="spellEnd"/>
      <w:r w:rsidRPr="00E73D4B">
        <w:t xml:space="preserve"> som skal gjennomgå regelverket om motorferdsel i utmark og vassdrag og foreslå </w:t>
      </w:r>
      <w:proofErr w:type="spellStart"/>
      <w:r w:rsidRPr="00E73D4B">
        <w:t>endringar</w:t>
      </w:r>
      <w:proofErr w:type="spellEnd"/>
      <w:r w:rsidRPr="00E73D4B">
        <w:t xml:space="preserve"> i dette. </w:t>
      </w:r>
      <w:proofErr w:type="spellStart"/>
      <w:r w:rsidRPr="00E73D4B">
        <w:t>Utvalet</w:t>
      </w:r>
      <w:proofErr w:type="spellEnd"/>
      <w:r w:rsidRPr="00E73D4B">
        <w:t xml:space="preserve"> skal levere utgreiinga </w:t>
      </w:r>
      <w:proofErr w:type="spellStart"/>
      <w:r w:rsidRPr="00E73D4B">
        <w:t>innan</w:t>
      </w:r>
      <w:proofErr w:type="spellEnd"/>
      <w:r w:rsidRPr="00E73D4B">
        <w:t xml:space="preserve"> 1. desember 2023. Departementet vil komme tilbake til Stortinget med saka på eigna måte.</w:t>
      </w:r>
    </w:p>
    <w:p w14:paraId="1093D1C2" w14:textId="77777777" w:rsidR="00972395" w:rsidRPr="00E73D4B" w:rsidRDefault="00F120C7" w:rsidP="00E73D4B">
      <w:pPr>
        <w:pStyle w:val="avsnitt-tittel"/>
      </w:pPr>
      <w:r w:rsidRPr="00E73D4B">
        <w:t xml:space="preserve">Oppfølging av globalt rammeverk for </w:t>
      </w:r>
      <w:proofErr w:type="spellStart"/>
      <w:r w:rsidRPr="00E73D4B">
        <w:t>naturmangfald</w:t>
      </w:r>
      <w:proofErr w:type="spellEnd"/>
    </w:p>
    <w:p w14:paraId="11E2B1C2" w14:textId="77777777" w:rsidR="00972395" w:rsidRPr="00E73D4B" w:rsidRDefault="00F120C7" w:rsidP="00E73D4B">
      <w:pPr>
        <w:pStyle w:val="avsnitt-undertittel"/>
      </w:pPr>
      <w:r w:rsidRPr="00E73D4B">
        <w:t>Vedtak nr. 976, 25. mai 2021</w:t>
      </w:r>
    </w:p>
    <w:p w14:paraId="40CA0E62" w14:textId="77777777" w:rsidR="00972395" w:rsidRPr="00E73D4B" w:rsidRDefault="00F120C7" w:rsidP="00E73D4B">
      <w:pPr>
        <w:pStyle w:val="blokksit"/>
        <w:rPr>
          <w:rStyle w:val="kursiv"/>
        </w:rPr>
      </w:pPr>
      <w:r w:rsidRPr="00E73D4B">
        <w:rPr>
          <w:rStyle w:val="kursiv"/>
        </w:rPr>
        <w:t>«Stortinget ber regjeringen komme tilbake til Stortinget om oppfølgingen av det globale rammeverket for naturmangfold på egnet måte så fort som mulig etter at rammeverket er på plass.»</w:t>
      </w:r>
    </w:p>
    <w:p w14:paraId="22969434"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Dok</w:t>
      </w:r>
      <w:proofErr w:type="spellEnd"/>
      <w:r w:rsidRPr="00E73D4B">
        <w:t xml:space="preserve">. 8:174 S (2020–2021), </w:t>
      </w:r>
      <w:r w:rsidRPr="00E73D4B">
        <w:rPr>
          <w:rStyle w:val="kursiv"/>
        </w:rPr>
        <w:t>Representantforslag om en strategi</w:t>
      </w:r>
      <w:r w:rsidRPr="00E73D4B">
        <w:t xml:space="preserve"> </w:t>
      </w:r>
      <w:r w:rsidRPr="00E73D4B">
        <w:rPr>
          <w:rStyle w:val="kursiv"/>
        </w:rPr>
        <w:t>for arbeidet med FNs naturavtale</w:t>
      </w:r>
      <w:r w:rsidRPr="00E73D4B">
        <w:t xml:space="preserve">, jf. </w:t>
      </w:r>
      <w:proofErr w:type="spellStart"/>
      <w:r w:rsidRPr="00E73D4B">
        <w:t>Innst</w:t>
      </w:r>
      <w:proofErr w:type="spellEnd"/>
      <w:r w:rsidRPr="00E73D4B">
        <w:t>. 434 S (2020–2021).</w:t>
      </w:r>
    </w:p>
    <w:p w14:paraId="05C05720" w14:textId="77777777" w:rsidR="00972395" w:rsidRPr="00E73D4B" w:rsidRDefault="00F120C7" w:rsidP="00E73D4B">
      <w:proofErr w:type="spellStart"/>
      <w:r w:rsidRPr="00E73D4B">
        <w:t>Forhandlingane</w:t>
      </w:r>
      <w:proofErr w:type="spellEnd"/>
      <w:r w:rsidRPr="00E73D4B">
        <w:t xml:space="preserve"> om </w:t>
      </w:r>
      <w:proofErr w:type="spellStart"/>
      <w:r w:rsidRPr="00E73D4B">
        <w:t>eit</w:t>
      </w:r>
      <w:proofErr w:type="spellEnd"/>
      <w:r w:rsidRPr="00E73D4B">
        <w:t xml:space="preserve"> globalt rammeverk for </w:t>
      </w:r>
      <w:proofErr w:type="spellStart"/>
      <w:r w:rsidRPr="00E73D4B">
        <w:t>naturmangfald</w:t>
      </w:r>
      <w:proofErr w:type="spellEnd"/>
      <w:r w:rsidRPr="00E73D4B">
        <w:t xml:space="preserve"> skal </w:t>
      </w:r>
      <w:proofErr w:type="spellStart"/>
      <w:r w:rsidRPr="00E73D4B">
        <w:t>avsluttast</w:t>
      </w:r>
      <w:proofErr w:type="spellEnd"/>
      <w:r w:rsidRPr="00E73D4B">
        <w:t xml:space="preserve"> under COP 15 i Montreal i Canada, 7.–19. desember 2022. Regjeringa vil </w:t>
      </w:r>
      <w:proofErr w:type="spellStart"/>
      <w:r w:rsidRPr="00E73D4B">
        <w:t>følgje</w:t>
      </w:r>
      <w:proofErr w:type="spellEnd"/>
      <w:r w:rsidRPr="00E73D4B">
        <w:t xml:space="preserve"> opp stortingsvedtaket så fort som </w:t>
      </w:r>
      <w:proofErr w:type="spellStart"/>
      <w:r w:rsidRPr="00E73D4B">
        <w:t>mogleg</w:t>
      </w:r>
      <w:proofErr w:type="spellEnd"/>
      <w:r w:rsidRPr="00E73D4B">
        <w:t xml:space="preserve"> etter at rammeverket er på plass. Stortinget vil bli orientert på eigna måte.</w:t>
      </w:r>
    </w:p>
    <w:p w14:paraId="3EDB1DFF" w14:textId="77777777" w:rsidR="00972395" w:rsidRPr="00E73D4B" w:rsidRDefault="00F120C7" w:rsidP="00E73D4B">
      <w:pPr>
        <w:pStyle w:val="avsnitt-tittel"/>
      </w:pPr>
      <w:r w:rsidRPr="00E73D4B">
        <w:t xml:space="preserve">Ny vurdering av </w:t>
      </w:r>
      <w:proofErr w:type="spellStart"/>
      <w:r w:rsidRPr="00E73D4B">
        <w:t>innstrammingane</w:t>
      </w:r>
      <w:proofErr w:type="spellEnd"/>
      <w:r w:rsidRPr="00E73D4B">
        <w:t xml:space="preserve"> i sjølaksefisket</w:t>
      </w:r>
    </w:p>
    <w:p w14:paraId="771AA264" w14:textId="77777777" w:rsidR="00972395" w:rsidRPr="00E73D4B" w:rsidRDefault="00F120C7" w:rsidP="00E73D4B">
      <w:pPr>
        <w:pStyle w:val="avsnitt-undertittel"/>
      </w:pPr>
      <w:r w:rsidRPr="00E73D4B">
        <w:t>Vedtak nr. 977, 25. mai 2021</w:t>
      </w:r>
    </w:p>
    <w:p w14:paraId="53D4BF9A" w14:textId="77777777" w:rsidR="00972395" w:rsidRPr="00E73D4B" w:rsidRDefault="00F120C7" w:rsidP="00E73D4B">
      <w:pPr>
        <w:pStyle w:val="blokksit"/>
        <w:rPr>
          <w:rStyle w:val="kursiv"/>
        </w:rPr>
      </w:pPr>
      <w:r w:rsidRPr="00E73D4B">
        <w:rPr>
          <w:rStyle w:val="kursiv"/>
        </w:rPr>
        <w:t xml:space="preserve">«Stortinget ber regjeringen foreta en ny vurdering av innstrammingene i sjølaksefisket og hvordan de vil virke konkret for </w:t>
      </w:r>
      <w:proofErr w:type="spellStart"/>
      <w:r w:rsidRPr="00E73D4B">
        <w:rPr>
          <w:rStyle w:val="kursiv"/>
        </w:rPr>
        <w:t>sjølaksefiskerne</w:t>
      </w:r>
      <w:proofErr w:type="spellEnd"/>
      <w:r w:rsidRPr="00E73D4B">
        <w:rPr>
          <w:rStyle w:val="kursiv"/>
        </w:rPr>
        <w:t xml:space="preserve"> på Sørlandet. Stortinget ber videre regjeringen om å foreta lempelige vurderinger av søknader om dispensasjon for fiskerne som mister en stor del av sin inntekt uten andre muligheter.»</w:t>
      </w:r>
    </w:p>
    <w:p w14:paraId="23C758BB"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Dok</w:t>
      </w:r>
      <w:proofErr w:type="spellEnd"/>
      <w:r w:rsidRPr="00E73D4B">
        <w:t xml:space="preserve">. 8:148 S (2020–2021) </w:t>
      </w:r>
      <w:r w:rsidRPr="00E73D4B">
        <w:rPr>
          <w:rStyle w:val="kursiv"/>
        </w:rPr>
        <w:t>Representantforslag om å stoppe innstramminger i sjølaksefisket i 2021</w:t>
      </w:r>
      <w:r w:rsidRPr="00E73D4B">
        <w:t xml:space="preserve">, jf. </w:t>
      </w:r>
      <w:proofErr w:type="spellStart"/>
      <w:r w:rsidRPr="00E73D4B">
        <w:t>Innst</w:t>
      </w:r>
      <w:proofErr w:type="spellEnd"/>
      <w:r w:rsidRPr="00E73D4B">
        <w:t>. 430 S (2020–2021).</w:t>
      </w:r>
    </w:p>
    <w:p w14:paraId="31A3B2FC" w14:textId="77777777" w:rsidR="00972395" w:rsidRPr="00E73D4B" w:rsidRDefault="00F120C7" w:rsidP="00E73D4B">
      <w:r w:rsidRPr="00E73D4B">
        <w:t xml:space="preserve">I brev 2. juli 2021 bad Klima- og miljødepartementet Miljødirektoratet om å </w:t>
      </w:r>
      <w:proofErr w:type="spellStart"/>
      <w:r w:rsidRPr="00E73D4B">
        <w:t>gjere</w:t>
      </w:r>
      <w:proofErr w:type="spellEnd"/>
      <w:r w:rsidRPr="00E73D4B">
        <w:t xml:space="preserve"> ei vurdering av korleis </w:t>
      </w:r>
      <w:proofErr w:type="spellStart"/>
      <w:r w:rsidRPr="00E73D4B">
        <w:t>innstrammingane</w:t>
      </w:r>
      <w:proofErr w:type="spellEnd"/>
      <w:r w:rsidRPr="00E73D4B">
        <w:t xml:space="preserve"> i sjølaksefisket vil verke konkret for </w:t>
      </w:r>
      <w:proofErr w:type="spellStart"/>
      <w:r w:rsidRPr="00E73D4B">
        <w:t>sjølaksefiskarane</w:t>
      </w:r>
      <w:proofErr w:type="spellEnd"/>
      <w:r w:rsidRPr="00E73D4B">
        <w:t xml:space="preserve"> på Sørlandet. Miljødirektoratet gav Menon </w:t>
      </w:r>
      <w:proofErr w:type="spellStart"/>
      <w:r w:rsidRPr="00E73D4B">
        <w:t>Economics</w:t>
      </w:r>
      <w:proofErr w:type="spellEnd"/>
      <w:r w:rsidRPr="00E73D4B">
        <w:t xml:space="preserve"> i oppdrag å </w:t>
      </w:r>
      <w:proofErr w:type="spellStart"/>
      <w:r w:rsidRPr="00E73D4B">
        <w:t>gjere</w:t>
      </w:r>
      <w:proofErr w:type="spellEnd"/>
      <w:r w:rsidRPr="00E73D4B">
        <w:t xml:space="preserve"> ei vurdering av dette. Menon leverte den </w:t>
      </w:r>
      <w:proofErr w:type="spellStart"/>
      <w:r w:rsidRPr="00E73D4B">
        <w:t>endelege</w:t>
      </w:r>
      <w:proofErr w:type="spellEnd"/>
      <w:r w:rsidRPr="00E73D4B">
        <w:t xml:space="preserve"> rapporten sin </w:t>
      </w:r>
      <w:proofErr w:type="spellStart"/>
      <w:r w:rsidRPr="00E73D4B">
        <w:t>hausten</w:t>
      </w:r>
      <w:proofErr w:type="spellEnd"/>
      <w:r w:rsidRPr="00E73D4B">
        <w:t xml:space="preserve"> 2021. Basert på resultata </w:t>
      </w:r>
      <w:proofErr w:type="spellStart"/>
      <w:r w:rsidRPr="00E73D4B">
        <w:t>frå</w:t>
      </w:r>
      <w:proofErr w:type="spellEnd"/>
      <w:r w:rsidRPr="00E73D4B">
        <w:t xml:space="preserve"> undersøkinga slår Menon fast at det </w:t>
      </w:r>
      <w:proofErr w:type="spellStart"/>
      <w:r w:rsidRPr="00E73D4B">
        <w:t>ikkje</w:t>
      </w:r>
      <w:proofErr w:type="spellEnd"/>
      <w:r w:rsidRPr="00E73D4B">
        <w:t xml:space="preserve"> er grunnlag for å </w:t>
      </w:r>
      <w:proofErr w:type="spellStart"/>
      <w:r w:rsidRPr="00E73D4B">
        <w:t>seie</w:t>
      </w:r>
      <w:proofErr w:type="spellEnd"/>
      <w:r w:rsidRPr="00E73D4B">
        <w:t xml:space="preserve"> at </w:t>
      </w:r>
      <w:proofErr w:type="spellStart"/>
      <w:r w:rsidRPr="00E73D4B">
        <w:t>sjølaksefiskarane</w:t>
      </w:r>
      <w:proofErr w:type="spellEnd"/>
      <w:r w:rsidRPr="00E73D4B">
        <w:t xml:space="preserve"> på Sørlandet blir spesielt hardt ramma av </w:t>
      </w:r>
      <w:proofErr w:type="spellStart"/>
      <w:r w:rsidRPr="00E73D4B">
        <w:t>innstrammingane</w:t>
      </w:r>
      <w:proofErr w:type="spellEnd"/>
      <w:r w:rsidRPr="00E73D4B">
        <w:t xml:space="preserve"> i sjølaksefisket. Vurderinga av situasjonen for </w:t>
      </w:r>
      <w:proofErr w:type="spellStart"/>
      <w:r w:rsidRPr="00E73D4B">
        <w:t>sjølaksefiskarar</w:t>
      </w:r>
      <w:proofErr w:type="spellEnd"/>
      <w:r w:rsidRPr="00E73D4B">
        <w:t xml:space="preserve"> på Sørlandet, jf. første del av vedtak 977, </w:t>
      </w:r>
      <w:proofErr w:type="spellStart"/>
      <w:r w:rsidRPr="00E73D4B">
        <w:t>tilseier</w:t>
      </w:r>
      <w:proofErr w:type="spellEnd"/>
      <w:r w:rsidRPr="00E73D4B">
        <w:t xml:space="preserve"> at </w:t>
      </w:r>
      <w:proofErr w:type="spellStart"/>
      <w:r w:rsidRPr="00E73D4B">
        <w:t>dei</w:t>
      </w:r>
      <w:proofErr w:type="spellEnd"/>
      <w:r w:rsidRPr="00E73D4B">
        <w:t xml:space="preserve"> </w:t>
      </w:r>
      <w:proofErr w:type="spellStart"/>
      <w:r w:rsidRPr="00E73D4B">
        <w:t>ikkje</w:t>
      </w:r>
      <w:proofErr w:type="spellEnd"/>
      <w:r w:rsidRPr="00E73D4B">
        <w:t xml:space="preserve"> blir </w:t>
      </w:r>
      <w:proofErr w:type="spellStart"/>
      <w:r w:rsidRPr="00E73D4B">
        <w:t>hardare</w:t>
      </w:r>
      <w:proofErr w:type="spellEnd"/>
      <w:r w:rsidRPr="00E73D4B">
        <w:t xml:space="preserve"> ramma av </w:t>
      </w:r>
      <w:proofErr w:type="spellStart"/>
      <w:r w:rsidRPr="00E73D4B">
        <w:t>reguleringane</w:t>
      </w:r>
      <w:proofErr w:type="spellEnd"/>
      <w:r w:rsidRPr="00E73D4B">
        <w:t xml:space="preserve"> i sjølaksefisket enn </w:t>
      </w:r>
      <w:proofErr w:type="spellStart"/>
      <w:r w:rsidRPr="00E73D4B">
        <w:t>fiskarar</w:t>
      </w:r>
      <w:proofErr w:type="spellEnd"/>
      <w:r w:rsidRPr="00E73D4B">
        <w:t xml:space="preserve"> andre </w:t>
      </w:r>
      <w:proofErr w:type="spellStart"/>
      <w:r w:rsidRPr="00E73D4B">
        <w:t>stader</w:t>
      </w:r>
      <w:proofErr w:type="spellEnd"/>
      <w:r w:rsidRPr="00E73D4B">
        <w:t xml:space="preserve"> i landet.</w:t>
      </w:r>
    </w:p>
    <w:p w14:paraId="70163819" w14:textId="77777777" w:rsidR="00972395" w:rsidRPr="00E73D4B" w:rsidRDefault="00F120C7" w:rsidP="00E73D4B">
      <w:r w:rsidRPr="00E73D4B">
        <w:t xml:space="preserve">I lys av at den </w:t>
      </w:r>
      <w:proofErr w:type="spellStart"/>
      <w:r w:rsidRPr="00E73D4B">
        <w:t>gjeldande</w:t>
      </w:r>
      <w:proofErr w:type="spellEnd"/>
      <w:r w:rsidRPr="00E73D4B">
        <w:t xml:space="preserve"> dispensasjonsføresegna i forskrift om fiske av </w:t>
      </w:r>
      <w:proofErr w:type="spellStart"/>
      <w:r w:rsidRPr="00E73D4B">
        <w:t>anadrome</w:t>
      </w:r>
      <w:proofErr w:type="spellEnd"/>
      <w:r w:rsidRPr="00E73D4B">
        <w:t xml:space="preserve"> laksefisk i sjø </w:t>
      </w:r>
      <w:proofErr w:type="spellStart"/>
      <w:r w:rsidRPr="00E73D4B">
        <w:t>ikkje</w:t>
      </w:r>
      <w:proofErr w:type="spellEnd"/>
      <w:r w:rsidRPr="00E73D4B">
        <w:t xml:space="preserve"> </w:t>
      </w:r>
      <w:proofErr w:type="spellStart"/>
      <w:r w:rsidRPr="00E73D4B">
        <w:t>dekkjer</w:t>
      </w:r>
      <w:proofErr w:type="spellEnd"/>
      <w:r w:rsidRPr="00E73D4B">
        <w:t xml:space="preserve"> dispensasjonssøknader </w:t>
      </w:r>
      <w:proofErr w:type="spellStart"/>
      <w:r w:rsidRPr="00E73D4B">
        <w:t>frå</w:t>
      </w:r>
      <w:proofErr w:type="spellEnd"/>
      <w:r w:rsidRPr="00E73D4B">
        <w:t xml:space="preserve"> </w:t>
      </w:r>
      <w:proofErr w:type="spellStart"/>
      <w:r w:rsidRPr="00E73D4B">
        <w:t>enkeltfiskarar</w:t>
      </w:r>
      <w:proofErr w:type="spellEnd"/>
      <w:r w:rsidRPr="00E73D4B">
        <w:t xml:space="preserve">, bad departementet òg Miljødirektoratet vurdere om det i lys av </w:t>
      </w:r>
      <w:proofErr w:type="spellStart"/>
      <w:r w:rsidRPr="00E73D4B">
        <w:t>naturmangfaldlova</w:t>
      </w:r>
      <w:proofErr w:type="spellEnd"/>
      <w:r w:rsidRPr="00E73D4B">
        <w:t xml:space="preserve">, lakse- og innlandsfisklova og anna relevant lovverk kan </w:t>
      </w:r>
      <w:proofErr w:type="spellStart"/>
      <w:r w:rsidRPr="00E73D4B">
        <w:t>gjevast</w:t>
      </w:r>
      <w:proofErr w:type="spellEnd"/>
      <w:r w:rsidRPr="00E73D4B">
        <w:t xml:space="preserve"> ei dispensasjonsføresegn i den aktuelle forskrifta som </w:t>
      </w:r>
      <w:proofErr w:type="spellStart"/>
      <w:r w:rsidRPr="00E73D4B">
        <w:t>inneber</w:t>
      </w:r>
      <w:proofErr w:type="spellEnd"/>
      <w:r w:rsidRPr="00E73D4B">
        <w:t xml:space="preserve"> at dispensasjon til fiske kan bli innvilga til </w:t>
      </w:r>
      <w:proofErr w:type="spellStart"/>
      <w:r w:rsidRPr="00E73D4B">
        <w:t>fiskarar</w:t>
      </w:r>
      <w:proofErr w:type="spellEnd"/>
      <w:r w:rsidRPr="00E73D4B">
        <w:t xml:space="preserve"> som mistar </w:t>
      </w:r>
      <w:proofErr w:type="spellStart"/>
      <w:r w:rsidRPr="00E73D4B">
        <w:t>ein</w:t>
      </w:r>
      <w:proofErr w:type="spellEnd"/>
      <w:r w:rsidRPr="00E73D4B">
        <w:t xml:space="preserve"> stor del av inntekta som </w:t>
      </w:r>
      <w:proofErr w:type="spellStart"/>
      <w:r w:rsidRPr="00E73D4B">
        <w:t>følgje</w:t>
      </w:r>
      <w:proofErr w:type="spellEnd"/>
      <w:r w:rsidRPr="00E73D4B">
        <w:t xml:space="preserve"> av </w:t>
      </w:r>
      <w:proofErr w:type="spellStart"/>
      <w:r w:rsidRPr="00E73D4B">
        <w:t>reguleringane</w:t>
      </w:r>
      <w:proofErr w:type="spellEnd"/>
      <w:r w:rsidRPr="00E73D4B">
        <w:t xml:space="preserve">, og som </w:t>
      </w:r>
      <w:proofErr w:type="spellStart"/>
      <w:r w:rsidRPr="00E73D4B">
        <w:t>ikkje</w:t>
      </w:r>
      <w:proofErr w:type="spellEnd"/>
      <w:r w:rsidRPr="00E73D4B">
        <w:t xml:space="preserve"> har andre </w:t>
      </w:r>
      <w:proofErr w:type="spellStart"/>
      <w:r w:rsidRPr="00E73D4B">
        <w:t>moglegheiter</w:t>
      </w:r>
      <w:proofErr w:type="spellEnd"/>
      <w:r w:rsidRPr="00E73D4B">
        <w:t xml:space="preserve"> til </w:t>
      </w:r>
      <w:proofErr w:type="spellStart"/>
      <w:r w:rsidRPr="00E73D4B">
        <w:t>inntening</w:t>
      </w:r>
      <w:proofErr w:type="spellEnd"/>
      <w:r w:rsidRPr="00E73D4B">
        <w:t>.</w:t>
      </w:r>
    </w:p>
    <w:p w14:paraId="1F730D06" w14:textId="77777777" w:rsidR="00972395" w:rsidRPr="00E73D4B" w:rsidRDefault="00F120C7" w:rsidP="00E73D4B">
      <w:r w:rsidRPr="00E73D4B">
        <w:t xml:space="preserve">Miljødirektoratet </w:t>
      </w:r>
      <w:proofErr w:type="spellStart"/>
      <w:r w:rsidRPr="00E73D4B">
        <w:t>si</w:t>
      </w:r>
      <w:proofErr w:type="spellEnd"/>
      <w:r w:rsidRPr="00E73D4B">
        <w:t xml:space="preserve"> vurdering var her at ei ordning som gjev dispensasjon til </w:t>
      </w:r>
      <w:proofErr w:type="spellStart"/>
      <w:r w:rsidRPr="00E73D4B">
        <w:t>enkeltfiskarar</w:t>
      </w:r>
      <w:proofErr w:type="spellEnd"/>
      <w:r w:rsidRPr="00E73D4B">
        <w:t xml:space="preserve">, </w:t>
      </w:r>
      <w:proofErr w:type="spellStart"/>
      <w:r w:rsidRPr="00E73D4B">
        <w:t>ikkje</w:t>
      </w:r>
      <w:proofErr w:type="spellEnd"/>
      <w:r w:rsidRPr="00E73D4B">
        <w:t xml:space="preserve"> er i tråd med formålet i lakse- og innlandsfisklova og vil òg </w:t>
      </w:r>
      <w:proofErr w:type="spellStart"/>
      <w:r w:rsidRPr="00E73D4B">
        <w:t>truleg</w:t>
      </w:r>
      <w:proofErr w:type="spellEnd"/>
      <w:r w:rsidRPr="00E73D4B">
        <w:t xml:space="preserve"> utløyse erstatningskrav jf. Grunnlova § 105. Ei slik ordning vil òg </w:t>
      </w:r>
      <w:proofErr w:type="spellStart"/>
      <w:r w:rsidRPr="00E73D4B">
        <w:t>innebere</w:t>
      </w:r>
      <w:proofErr w:type="spellEnd"/>
      <w:r w:rsidRPr="00E73D4B">
        <w:t xml:space="preserve"> </w:t>
      </w:r>
      <w:proofErr w:type="spellStart"/>
      <w:r w:rsidRPr="00E73D4B">
        <w:t>usakleg</w:t>
      </w:r>
      <w:proofErr w:type="spellEnd"/>
      <w:r w:rsidRPr="00E73D4B">
        <w:t xml:space="preserve"> forskjellsbehandling av </w:t>
      </w:r>
      <w:proofErr w:type="spellStart"/>
      <w:r w:rsidRPr="00E73D4B">
        <w:t>personar</w:t>
      </w:r>
      <w:proofErr w:type="spellEnd"/>
      <w:r w:rsidRPr="00E73D4B">
        <w:t xml:space="preserve"> med i utgangspunktet like </w:t>
      </w:r>
      <w:proofErr w:type="spellStart"/>
      <w:r w:rsidRPr="00E73D4B">
        <w:t>rettar</w:t>
      </w:r>
      <w:proofErr w:type="spellEnd"/>
      <w:r w:rsidRPr="00E73D4B">
        <w:t xml:space="preserve">, </w:t>
      </w:r>
      <w:proofErr w:type="spellStart"/>
      <w:r w:rsidRPr="00E73D4B">
        <w:t>noko</w:t>
      </w:r>
      <w:proofErr w:type="spellEnd"/>
      <w:r w:rsidRPr="00E73D4B">
        <w:t xml:space="preserve"> som igjen vil </w:t>
      </w:r>
      <w:proofErr w:type="spellStart"/>
      <w:r w:rsidRPr="00E73D4B">
        <w:t>gjere</w:t>
      </w:r>
      <w:proofErr w:type="spellEnd"/>
      <w:r w:rsidRPr="00E73D4B">
        <w:t xml:space="preserve"> ordninga ugyldig etter allmenne </w:t>
      </w:r>
      <w:proofErr w:type="spellStart"/>
      <w:r w:rsidRPr="00E73D4B">
        <w:t>forvaltningsrettslege</w:t>
      </w:r>
      <w:proofErr w:type="spellEnd"/>
      <w:r w:rsidRPr="00E73D4B">
        <w:t xml:space="preserve"> </w:t>
      </w:r>
      <w:proofErr w:type="spellStart"/>
      <w:r w:rsidRPr="00E73D4B">
        <w:t>reglar</w:t>
      </w:r>
      <w:proofErr w:type="spellEnd"/>
      <w:r w:rsidRPr="00E73D4B">
        <w:t xml:space="preserve">. I tillegg vil ei slik ordning </w:t>
      </w:r>
      <w:proofErr w:type="spellStart"/>
      <w:r w:rsidRPr="00E73D4B">
        <w:t>vere</w:t>
      </w:r>
      <w:proofErr w:type="spellEnd"/>
      <w:r w:rsidRPr="00E73D4B">
        <w:t xml:space="preserve"> svært </w:t>
      </w:r>
      <w:proofErr w:type="spellStart"/>
      <w:r w:rsidRPr="00E73D4B">
        <w:t>arbeidskrevjande</w:t>
      </w:r>
      <w:proofErr w:type="spellEnd"/>
      <w:r w:rsidRPr="00E73D4B">
        <w:t xml:space="preserve"> for forvaltninga, ettersom det </w:t>
      </w:r>
      <w:proofErr w:type="spellStart"/>
      <w:r w:rsidRPr="00E73D4B">
        <w:t>inneber</w:t>
      </w:r>
      <w:proofErr w:type="spellEnd"/>
      <w:r w:rsidRPr="00E73D4B">
        <w:t xml:space="preserve"> at ei regulering som i utgangspunktet er forskriftsfesta, blir basert på enkeltvedtak der den økonomiske situasjonen til kvar enkelt </w:t>
      </w:r>
      <w:proofErr w:type="spellStart"/>
      <w:r w:rsidRPr="00E73D4B">
        <w:t>fiskar</w:t>
      </w:r>
      <w:proofErr w:type="spellEnd"/>
      <w:r w:rsidRPr="00E73D4B">
        <w:t xml:space="preserve"> skal </w:t>
      </w:r>
      <w:proofErr w:type="spellStart"/>
      <w:r w:rsidRPr="00E73D4B">
        <w:t>dokumenterast</w:t>
      </w:r>
      <w:proofErr w:type="spellEnd"/>
      <w:r w:rsidRPr="00E73D4B">
        <w:t xml:space="preserve"> og </w:t>
      </w:r>
      <w:proofErr w:type="spellStart"/>
      <w:r w:rsidRPr="00E73D4B">
        <w:t>vurderast</w:t>
      </w:r>
      <w:proofErr w:type="spellEnd"/>
      <w:r w:rsidRPr="00E73D4B">
        <w:t xml:space="preserve">. Både samla og kvar for seg </w:t>
      </w:r>
      <w:proofErr w:type="spellStart"/>
      <w:r w:rsidRPr="00E73D4B">
        <w:t>tilseier</w:t>
      </w:r>
      <w:proofErr w:type="spellEnd"/>
      <w:r w:rsidRPr="00E73D4B">
        <w:t xml:space="preserve"> </w:t>
      </w:r>
      <w:proofErr w:type="spellStart"/>
      <w:r w:rsidRPr="00E73D4B">
        <w:t>desse</w:t>
      </w:r>
      <w:proofErr w:type="spellEnd"/>
      <w:r w:rsidRPr="00E73D4B">
        <w:t xml:space="preserve"> forholda at </w:t>
      </w:r>
      <w:proofErr w:type="spellStart"/>
      <w:r w:rsidRPr="00E73D4B">
        <w:t>ein</w:t>
      </w:r>
      <w:proofErr w:type="spellEnd"/>
      <w:r w:rsidRPr="00E73D4B">
        <w:t xml:space="preserve"> </w:t>
      </w:r>
      <w:proofErr w:type="spellStart"/>
      <w:r w:rsidRPr="00E73D4B">
        <w:t>ikkje</w:t>
      </w:r>
      <w:proofErr w:type="spellEnd"/>
      <w:r w:rsidRPr="00E73D4B">
        <w:t xml:space="preserve"> gjennomfører ei dispensasjonsordning, jf. andre del av vedtak 977.</w:t>
      </w:r>
    </w:p>
    <w:p w14:paraId="1BC74F10"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4830CEE9" w14:textId="77777777" w:rsidR="00972395" w:rsidRPr="00E73D4B" w:rsidRDefault="00F120C7" w:rsidP="00E73D4B">
      <w:pPr>
        <w:pStyle w:val="avsnitt-tittel"/>
      </w:pPr>
      <w:r w:rsidRPr="00E73D4B">
        <w:t xml:space="preserve">Evaluere status for små og sårbare </w:t>
      </w:r>
      <w:proofErr w:type="spellStart"/>
      <w:r w:rsidRPr="00E73D4B">
        <w:t>bestandar</w:t>
      </w:r>
      <w:proofErr w:type="spellEnd"/>
      <w:r w:rsidRPr="00E73D4B">
        <w:t xml:space="preserve"> av villaks</w:t>
      </w:r>
    </w:p>
    <w:p w14:paraId="137EA008" w14:textId="77777777" w:rsidR="00972395" w:rsidRPr="00E73D4B" w:rsidRDefault="00F120C7" w:rsidP="00E73D4B">
      <w:pPr>
        <w:pStyle w:val="avsnitt-undertittel"/>
      </w:pPr>
      <w:r w:rsidRPr="00E73D4B">
        <w:t>Vedtak nr. 979, 25. mai 2021</w:t>
      </w:r>
    </w:p>
    <w:p w14:paraId="7BCE0F25" w14:textId="77777777" w:rsidR="00972395" w:rsidRPr="00E73D4B" w:rsidRDefault="00F120C7" w:rsidP="00E73D4B">
      <w:pPr>
        <w:pStyle w:val="blokksit"/>
        <w:rPr>
          <w:rStyle w:val="kursiv"/>
        </w:rPr>
      </w:pPr>
      <w:r w:rsidRPr="00E73D4B">
        <w:rPr>
          <w:rStyle w:val="kursiv"/>
        </w:rPr>
        <w:t>«Stortinget ber regjeringen gjennomføre en evaluering av status for små og sårbare bestander av villaks og at en slik evaluering forelegges Stortinget på egnet måte etter sesongen 2021.»</w:t>
      </w:r>
    </w:p>
    <w:p w14:paraId="2B280025"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Dok</w:t>
      </w:r>
      <w:proofErr w:type="spellEnd"/>
      <w:r w:rsidRPr="00E73D4B">
        <w:t xml:space="preserve">. 8:148 S (2020–2021) </w:t>
      </w:r>
      <w:r w:rsidRPr="00E73D4B">
        <w:rPr>
          <w:rStyle w:val="kursiv"/>
        </w:rPr>
        <w:t>Representantforslag om å stoppe innstramminger i sjølaksefisket i 2021</w:t>
      </w:r>
      <w:r w:rsidRPr="00E73D4B">
        <w:t xml:space="preserve">, jf. </w:t>
      </w:r>
      <w:proofErr w:type="spellStart"/>
      <w:r w:rsidRPr="00E73D4B">
        <w:t>Innst</w:t>
      </w:r>
      <w:proofErr w:type="spellEnd"/>
      <w:r w:rsidRPr="00E73D4B">
        <w:t>. 430 S (2020–2021).</w:t>
      </w:r>
    </w:p>
    <w:p w14:paraId="389A4F1A" w14:textId="77777777" w:rsidR="00972395" w:rsidRPr="00E73D4B" w:rsidRDefault="00F120C7" w:rsidP="00E73D4B">
      <w:r w:rsidRPr="00E73D4B">
        <w:t>I brev 2. juli 2021 gav Klima- og miljødepartementet i oppdrag til Miljødirektoratet å gjennomføre ei evaluering i tråd med oppmodingsvedtaket og bad om at evalueringa skulle bli oversend til departementet.</w:t>
      </w:r>
    </w:p>
    <w:p w14:paraId="12D9731D" w14:textId="77777777" w:rsidR="00972395" w:rsidRPr="00E73D4B" w:rsidRDefault="00F120C7" w:rsidP="00E73D4B">
      <w:r w:rsidRPr="00E73D4B">
        <w:t xml:space="preserve">Miljødirektoratet gav </w:t>
      </w:r>
      <w:proofErr w:type="spellStart"/>
      <w:r w:rsidRPr="00E73D4B">
        <w:t>Vitskapleg</w:t>
      </w:r>
      <w:proofErr w:type="spellEnd"/>
      <w:r w:rsidRPr="00E73D4B">
        <w:t xml:space="preserve"> råd for lakseforvaltning (VRL) i oppdrag å </w:t>
      </w:r>
      <w:proofErr w:type="spellStart"/>
      <w:r w:rsidRPr="00E73D4B">
        <w:t>gjere</w:t>
      </w:r>
      <w:proofErr w:type="spellEnd"/>
      <w:r w:rsidRPr="00E73D4B">
        <w:t xml:space="preserve"> ei slik vurdering og bad også om ei oppdatert vurdering av risiko for </w:t>
      </w:r>
      <w:proofErr w:type="spellStart"/>
      <w:r w:rsidRPr="00E73D4B">
        <w:t>overutnytting</w:t>
      </w:r>
      <w:proofErr w:type="spellEnd"/>
      <w:r w:rsidRPr="00E73D4B">
        <w:t xml:space="preserve"> av </w:t>
      </w:r>
      <w:proofErr w:type="spellStart"/>
      <w:r w:rsidRPr="00E73D4B">
        <w:t>dei</w:t>
      </w:r>
      <w:proofErr w:type="spellEnd"/>
      <w:r w:rsidRPr="00E73D4B">
        <w:t xml:space="preserve"> same </w:t>
      </w:r>
      <w:proofErr w:type="spellStart"/>
      <w:r w:rsidRPr="00E73D4B">
        <w:t>bestandane</w:t>
      </w:r>
      <w:proofErr w:type="spellEnd"/>
      <w:r w:rsidRPr="00E73D4B">
        <w:t xml:space="preserve"> i sjølaksefisket etter innføringa av </w:t>
      </w:r>
      <w:proofErr w:type="spellStart"/>
      <w:r w:rsidRPr="00E73D4B">
        <w:t>dei</w:t>
      </w:r>
      <w:proofErr w:type="spellEnd"/>
      <w:r w:rsidRPr="00E73D4B">
        <w:t xml:space="preserve"> nye fiskeføresegnene i 2021. VRL leverte den </w:t>
      </w:r>
      <w:proofErr w:type="spellStart"/>
      <w:r w:rsidRPr="00E73D4B">
        <w:t>endelege</w:t>
      </w:r>
      <w:proofErr w:type="spellEnd"/>
      <w:r w:rsidRPr="00E73D4B">
        <w:t xml:space="preserve"> rapporten våren 2022.</w:t>
      </w:r>
    </w:p>
    <w:p w14:paraId="3B21CAC5" w14:textId="77777777" w:rsidR="00972395" w:rsidRPr="00E73D4B" w:rsidRDefault="00F120C7" w:rsidP="00E73D4B">
      <w:r w:rsidRPr="00E73D4B">
        <w:t xml:space="preserve">I rapporten oppdaterer VRL status for </w:t>
      </w:r>
      <w:proofErr w:type="spellStart"/>
      <w:r w:rsidRPr="00E73D4B">
        <w:t>omsynskrevjande</w:t>
      </w:r>
      <w:proofErr w:type="spellEnd"/>
      <w:r w:rsidRPr="00E73D4B">
        <w:t xml:space="preserve"> </w:t>
      </w:r>
      <w:proofErr w:type="spellStart"/>
      <w:r w:rsidRPr="00E73D4B">
        <w:t>laksebestandar</w:t>
      </w:r>
      <w:proofErr w:type="spellEnd"/>
      <w:r w:rsidRPr="00E73D4B">
        <w:t xml:space="preserve"> (små eller sårbare </w:t>
      </w:r>
      <w:proofErr w:type="spellStart"/>
      <w:r w:rsidRPr="00E73D4B">
        <w:t>bestandar</w:t>
      </w:r>
      <w:proofErr w:type="spellEnd"/>
      <w:r w:rsidRPr="00E73D4B">
        <w:t xml:space="preserve"> og </w:t>
      </w:r>
      <w:proofErr w:type="spellStart"/>
      <w:r w:rsidRPr="00E73D4B">
        <w:t>bestandar</w:t>
      </w:r>
      <w:proofErr w:type="spellEnd"/>
      <w:r w:rsidRPr="00E73D4B">
        <w:t xml:space="preserve"> under reetablering etter kalking og nedkjemping av G. </w:t>
      </w:r>
      <w:proofErr w:type="spellStart"/>
      <w:r w:rsidRPr="00E73D4B">
        <w:t>salaris</w:t>
      </w:r>
      <w:proofErr w:type="spellEnd"/>
      <w:r w:rsidRPr="00E73D4B">
        <w:t xml:space="preserve">) i </w:t>
      </w:r>
      <w:proofErr w:type="spellStart"/>
      <w:r w:rsidRPr="00E73D4B">
        <w:t>Noreg</w:t>
      </w:r>
      <w:proofErr w:type="spellEnd"/>
      <w:r w:rsidRPr="00E73D4B">
        <w:t xml:space="preserve"> og vurderer risikoen for </w:t>
      </w:r>
      <w:proofErr w:type="spellStart"/>
      <w:r w:rsidRPr="00E73D4B">
        <w:t>overutnytting</w:t>
      </w:r>
      <w:proofErr w:type="spellEnd"/>
      <w:r w:rsidRPr="00E73D4B">
        <w:t xml:space="preserve"> i 13 </w:t>
      </w:r>
      <w:proofErr w:type="spellStart"/>
      <w:r w:rsidRPr="00E73D4B">
        <w:t>fjordregionar</w:t>
      </w:r>
      <w:proofErr w:type="spellEnd"/>
      <w:r w:rsidRPr="00E73D4B">
        <w:t xml:space="preserve"> og 10 </w:t>
      </w:r>
      <w:proofErr w:type="spellStart"/>
      <w:r w:rsidRPr="00E73D4B">
        <w:t>kystregionar</w:t>
      </w:r>
      <w:proofErr w:type="spellEnd"/>
      <w:r w:rsidRPr="00E73D4B">
        <w:t xml:space="preserve">. </w:t>
      </w:r>
      <w:proofErr w:type="spellStart"/>
      <w:r w:rsidRPr="00E73D4B">
        <w:t>Vidare</w:t>
      </w:r>
      <w:proofErr w:type="spellEnd"/>
      <w:r w:rsidRPr="00E73D4B">
        <w:t xml:space="preserve"> konkluderer VRL med at </w:t>
      </w:r>
      <w:proofErr w:type="spellStart"/>
      <w:r w:rsidRPr="00E73D4B">
        <w:t>dei</w:t>
      </w:r>
      <w:proofErr w:type="spellEnd"/>
      <w:r w:rsidRPr="00E73D4B">
        <w:t xml:space="preserve"> nye </w:t>
      </w:r>
      <w:proofErr w:type="spellStart"/>
      <w:r w:rsidRPr="00E73D4B">
        <w:t>fiskereguleringane</w:t>
      </w:r>
      <w:proofErr w:type="spellEnd"/>
      <w:r w:rsidRPr="00E73D4B">
        <w:t xml:space="preserve"> som vart innførte i 2021, har gjort at risikoen for </w:t>
      </w:r>
      <w:proofErr w:type="spellStart"/>
      <w:r w:rsidRPr="00E73D4B">
        <w:t>overutnytting</w:t>
      </w:r>
      <w:proofErr w:type="spellEnd"/>
      <w:r w:rsidRPr="00E73D4B">
        <w:t xml:space="preserve"> som </w:t>
      </w:r>
      <w:proofErr w:type="spellStart"/>
      <w:r w:rsidRPr="00E73D4B">
        <w:t>truar</w:t>
      </w:r>
      <w:proofErr w:type="spellEnd"/>
      <w:r w:rsidRPr="00E73D4B">
        <w:t xml:space="preserve"> </w:t>
      </w:r>
      <w:proofErr w:type="spellStart"/>
      <w:r w:rsidRPr="00E73D4B">
        <w:t>omsynskrevjande</w:t>
      </w:r>
      <w:proofErr w:type="spellEnd"/>
      <w:r w:rsidRPr="00E73D4B">
        <w:t xml:space="preserve"> </w:t>
      </w:r>
      <w:proofErr w:type="spellStart"/>
      <w:r w:rsidRPr="00E73D4B">
        <w:t>bestandar</w:t>
      </w:r>
      <w:proofErr w:type="spellEnd"/>
      <w:r w:rsidRPr="00E73D4B">
        <w:t xml:space="preserve"> har blitt fjerna </w:t>
      </w:r>
      <w:proofErr w:type="spellStart"/>
      <w:r w:rsidRPr="00E73D4B">
        <w:t>frå</w:t>
      </w:r>
      <w:proofErr w:type="spellEnd"/>
      <w:r w:rsidRPr="00E73D4B">
        <w:t xml:space="preserve"> så godt som heile landet. Unntaket er den ytre kysten av Finnmark der det </w:t>
      </w:r>
      <w:proofErr w:type="spellStart"/>
      <w:r w:rsidRPr="00E73D4B">
        <w:t>framleis</w:t>
      </w:r>
      <w:proofErr w:type="spellEnd"/>
      <w:r w:rsidRPr="00E73D4B">
        <w:t xml:space="preserve"> blir fiska på </w:t>
      </w:r>
      <w:proofErr w:type="spellStart"/>
      <w:r w:rsidRPr="00E73D4B">
        <w:t>bestandane</w:t>
      </w:r>
      <w:proofErr w:type="spellEnd"/>
      <w:r w:rsidRPr="00E73D4B">
        <w:t xml:space="preserve"> i Tanavassdraget.</w:t>
      </w:r>
    </w:p>
    <w:p w14:paraId="1A6CB9FD"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5827F141" w14:textId="77777777" w:rsidR="00972395" w:rsidRPr="00E73D4B" w:rsidRDefault="00F120C7" w:rsidP="00E73D4B">
      <w:pPr>
        <w:pStyle w:val="avsnitt-tittel"/>
      </w:pPr>
      <w:r w:rsidRPr="00E73D4B">
        <w:t xml:space="preserve">Greie ut </w:t>
      </w:r>
      <w:proofErr w:type="spellStart"/>
      <w:r w:rsidRPr="00E73D4B">
        <w:t>insentivordning</w:t>
      </w:r>
      <w:proofErr w:type="spellEnd"/>
      <w:r w:rsidRPr="00E73D4B">
        <w:t xml:space="preserve"> for at frivillige, inkl. lag og </w:t>
      </w:r>
      <w:proofErr w:type="spellStart"/>
      <w:r w:rsidRPr="00E73D4B">
        <w:t>organisasjonar</w:t>
      </w:r>
      <w:proofErr w:type="spellEnd"/>
      <w:r w:rsidRPr="00E73D4B">
        <w:t>, vil bidra til rydding av plast</w:t>
      </w:r>
    </w:p>
    <w:p w14:paraId="0F5F3C5C" w14:textId="77777777" w:rsidR="00972395" w:rsidRPr="00E73D4B" w:rsidRDefault="00F120C7" w:rsidP="00E73D4B">
      <w:pPr>
        <w:pStyle w:val="avsnitt-undertittel"/>
      </w:pPr>
      <w:r w:rsidRPr="00E73D4B">
        <w:t>Vedtak 1001, 27. mai 2021</w:t>
      </w:r>
    </w:p>
    <w:p w14:paraId="539B3E8F" w14:textId="77777777" w:rsidR="00972395" w:rsidRPr="00E73D4B" w:rsidRDefault="00F120C7" w:rsidP="00E73D4B">
      <w:pPr>
        <w:pStyle w:val="blokksit"/>
        <w:rPr>
          <w:rStyle w:val="kursiv"/>
        </w:rPr>
      </w:pPr>
      <w:r w:rsidRPr="00E73D4B">
        <w:rPr>
          <w:rStyle w:val="kursiv"/>
        </w:rPr>
        <w:t>«Stortinget ber regjeringen utrede en incentivordning for at flere frivillige, inkludert lag og organisasjoner, vil bidra til rydding av plast.»</w:t>
      </w:r>
    </w:p>
    <w:p w14:paraId="05BBC314"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8:236 S (2020–2021) </w:t>
      </w:r>
      <w:r w:rsidRPr="00E73D4B">
        <w:rPr>
          <w:rStyle w:val="kursiv"/>
        </w:rPr>
        <w:t>Representantforslag om globale og nasjonale tiltak for renere hav og håndtering av plast</w:t>
      </w:r>
      <w:r w:rsidRPr="00E73D4B">
        <w:t xml:space="preserve">, jf. </w:t>
      </w:r>
      <w:proofErr w:type="spellStart"/>
      <w:r w:rsidRPr="00E73D4B">
        <w:t>Innst</w:t>
      </w:r>
      <w:proofErr w:type="spellEnd"/>
      <w:r w:rsidRPr="00E73D4B">
        <w:t>. 445 S (2020–2021).</w:t>
      </w:r>
    </w:p>
    <w:p w14:paraId="0F37828D" w14:textId="77777777" w:rsidR="00972395" w:rsidRPr="00E73D4B" w:rsidRDefault="00F120C7" w:rsidP="00E73D4B">
      <w:r w:rsidRPr="00E73D4B">
        <w:t xml:space="preserve">Etter oppdrag </w:t>
      </w:r>
      <w:proofErr w:type="spellStart"/>
      <w:r w:rsidRPr="00E73D4B">
        <w:t>frå</w:t>
      </w:r>
      <w:proofErr w:type="spellEnd"/>
      <w:r w:rsidRPr="00E73D4B">
        <w:t xml:space="preserve"> Klima- og miljødepartementet gjennomfører Senter mot marin forsøpling (</w:t>
      </w:r>
      <w:proofErr w:type="spellStart"/>
      <w:r w:rsidRPr="00E73D4B">
        <w:t>Marfo</w:t>
      </w:r>
      <w:proofErr w:type="spellEnd"/>
      <w:r w:rsidRPr="00E73D4B">
        <w:t xml:space="preserve">) </w:t>
      </w:r>
      <w:proofErr w:type="spellStart"/>
      <w:r w:rsidRPr="00E73D4B">
        <w:t>no</w:t>
      </w:r>
      <w:proofErr w:type="spellEnd"/>
      <w:r w:rsidRPr="00E73D4B">
        <w:t xml:space="preserve"> ei evaluering av ordninga for </w:t>
      </w:r>
      <w:proofErr w:type="spellStart"/>
      <w:r w:rsidRPr="00E73D4B">
        <w:t>tilskot</w:t>
      </w:r>
      <w:proofErr w:type="spellEnd"/>
      <w:r w:rsidRPr="00E73D4B">
        <w:t xml:space="preserve"> til tiltak mot marin forsøpling og av andre tiltak for styrkt tilrettelegging og koordinering av opprydding av marin forsøpling. Det frivillige oppryddingsarbeidet er </w:t>
      </w:r>
      <w:proofErr w:type="spellStart"/>
      <w:r w:rsidRPr="00E73D4B">
        <w:t>ein</w:t>
      </w:r>
      <w:proofErr w:type="spellEnd"/>
      <w:r w:rsidRPr="00E73D4B">
        <w:t xml:space="preserve"> sentral del av dette. </w:t>
      </w:r>
      <w:proofErr w:type="spellStart"/>
      <w:r w:rsidRPr="00E73D4B">
        <w:t>Marfo</w:t>
      </w:r>
      <w:proofErr w:type="spellEnd"/>
      <w:r w:rsidRPr="00E73D4B">
        <w:t xml:space="preserve"> skal levere evalueringa si til departementet </w:t>
      </w:r>
      <w:proofErr w:type="spellStart"/>
      <w:r w:rsidRPr="00E73D4B">
        <w:t>innan</w:t>
      </w:r>
      <w:proofErr w:type="spellEnd"/>
      <w:r w:rsidRPr="00E73D4B">
        <w:t xml:space="preserve"> utgangen av 2022. Stortinget vil bli orientert på eigna måte.</w:t>
      </w:r>
    </w:p>
    <w:p w14:paraId="5F981C1C" w14:textId="77777777" w:rsidR="00972395" w:rsidRPr="00E73D4B" w:rsidRDefault="00F120C7" w:rsidP="00E73D4B">
      <w:pPr>
        <w:pStyle w:val="avsnitt-tittel"/>
      </w:pPr>
      <w:proofErr w:type="spellStart"/>
      <w:r w:rsidRPr="00E73D4B">
        <w:t>Tilskotsordning</w:t>
      </w:r>
      <w:proofErr w:type="spellEnd"/>
      <w:r w:rsidRPr="00E73D4B">
        <w:t xml:space="preserve"> som </w:t>
      </w:r>
      <w:proofErr w:type="spellStart"/>
      <w:r w:rsidRPr="00E73D4B">
        <w:t>dekkjer</w:t>
      </w:r>
      <w:proofErr w:type="spellEnd"/>
      <w:r w:rsidRPr="00E73D4B">
        <w:t xml:space="preserve"> kostnadene med </w:t>
      </w:r>
      <w:proofErr w:type="spellStart"/>
      <w:r w:rsidRPr="00E73D4B">
        <w:t>leveransar</w:t>
      </w:r>
      <w:proofErr w:type="spellEnd"/>
      <w:r w:rsidRPr="00E73D4B">
        <w:t xml:space="preserve"> av avfall etter frivillige </w:t>
      </w:r>
      <w:proofErr w:type="spellStart"/>
      <w:r w:rsidRPr="00E73D4B">
        <w:t>ryddeaksjonar</w:t>
      </w:r>
      <w:proofErr w:type="spellEnd"/>
    </w:p>
    <w:p w14:paraId="697B438C" w14:textId="77777777" w:rsidR="00972395" w:rsidRPr="00E73D4B" w:rsidRDefault="00F120C7" w:rsidP="00E73D4B">
      <w:pPr>
        <w:pStyle w:val="avsnitt-undertittel"/>
      </w:pPr>
      <w:r w:rsidRPr="00E73D4B">
        <w:t>Vedtak 1004, 27. mai 2021</w:t>
      </w:r>
    </w:p>
    <w:p w14:paraId="38DB48D9" w14:textId="77777777" w:rsidR="00972395" w:rsidRPr="00E73D4B" w:rsidRDefault="00F120C7" w:rsidP="00E73D4B">
      <w:pPr>
        <w:pStyle w:val="blokksit"/>
        <w:rPr>
          <w:rStyle w:val="kursiv"/>
        </w:rPr>
      </w:pPr>
      <w:r w:rsidRPr="00E73D4B">
        <w:rPr>
          <w:rStyle w:val="kursiv"/>
        </w:rPr>
        <w:t>«Stortinget ber regjeringen vurdere å innføre en tilskuddsordning som dekker kostnadene forbundet med leveranser av avfall etter frivillige ryddeaksjoner. Stortinget ber regjeringen legge frem en sak om dette i forbindelse med statsbudsjettet for 2022.»</w:t>
      </w:r>
    </w:p>
    <w:p w14:paraId="4F867164"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Dok</w:t>
      </w:r>
      <w:proofErr w:type="spellEnd"/>
      <w:r w:rsidRPr="00E73D4B">
        <w:t xml:space="preserve">. 8:236 S (2020–2021) </w:t>
      </w:r>
      <w:r w:rsidRPr="00E73D4B">
        <w:rPr>
          <w:rStyle w:val="kursiv"/>
        </w:rPr>
        <w:t>Representantforslag om globale og nasjonale tiltak for renere hav og håndtering av plast</w:t>
      </w:r>
      <w:r w:rsidRPr="00E73D4B">
        <w:t xml:space="preserve">, jf. </w:t>
      </w:r>
      <w:proofErr w:type="spellStart"/>
      <w:r w:rsidRPr="00E73D4B">
        <w:t>Innst</w:t>
      </w:r>
      <w:proofErr w:type="spellEnd"/>
      <w:r w:rsidRPr="00E73D4B">
        <w:t>. 445 S (2020–2021).</w:t>
      </w:r>
    </w:p>
    <w:p w14:paraId="73B8EAE2" w14:textId="77777777" w:rsidR="00972395" w:rsidRPr="00E73D4B" w:rsidRDefault="00F120C7" w:rsidP="00E73D4B">
      <w:r w:rsidRPr="00E73D4B">
        <w:t xml:space="preserve">Senter mot marin forsøpling, </w:t>
      </w:r>
      <w:proofErr w:type="spellStart"/>
      <w:r w:rsidRPr="00E73D4B">
        <w:t>Marfo</w:t>
      </w:r>
      <w:proofErr w:type="spellEnd"/>
      <w:r w:rsidRPr="00E73D4B">
        <w:t xml:space="preserve">, har </w:t>
      </w:r>
      <w:proofErr w:type="spellStart"/>
      <w:r w:rsidRPr="00E73D4B">
        <w:t>overteke</w:t>
      </w:r>
      <w:proofErr w:type="spellEnd"/>
      <w:r w:rsidRPr="00E73D4B">
        <w:t xml:space="preserve"> forvaltninga av ei </w:t>
      </w:r>
      <w:proofErr w:type="spellStart"/>
      <w:r w:rsidRPr="00E73D4B">
        <w:t>tilskotsordning</w:t>
      </w:r>
      <w:proofErr w:type="spellEnd"/>
      <w:r w:rsidRPr="00E73D4B">
        <w:t xml:space="preserve"> for støtte til tiltak mot marin forsøpling etter Miljødirektoratet. I 2022 </w:t>
      </w:r>
      <w:proofErr w:type="spellStart"/>
      <w:r w:rsidRPr="00E73D4B">
        <w:t>vart</w:t>
      </w:r>
      <w:proofErr w:type="spellEnd"/>
      <w:r w:rsidRPr="00E73D4B">
        <w:t xml:space="preserve"> det delt ut om lag 50 mill. kroner til ulike oppryddingstiltak og </w:t>
      </w:r>
      <w:proofErr w:type="spellStart"/>
      <w:r w:rsidRPr="00E73D4B">
        <w:t>førebyggjande</w:t>
      </w:r>
      <w:proofErr w:type="spellEnd"/>
      <w:r w:rsidRPr="00E73D4B">
        <w:t xml:space="preserve"> tiltak. Dekning av kostnader til levering av avfall kan inngå som del av større prosjekt. </w:t>
      </w:r>
      <w:proofErr w:type="spellStart"/>
      <w:r w:rsidRPr="00E73D4B">
        <w:t>Refusjonar</w:t>
      </w:r>
      <w:proofErr w:type="spellEnd"/>
      <w:r w:rsidRPr="00E73D4B">
        <w:t xml:space="preserve"> av mindre utgifter til ryddeutstyr, transport og levering av rydda avfall har i </w:t>
      </w:r>
      <w:proofErr w:type="spellStart"/>
      <w:r w:rsidRPr="00E73D4B">
        <w:t>fleire</w:t>
      </w:r>
      <w:proofErr w:type="spellEnd"/>
      <w:r w:rsidRPr="00E73D4B">
        <w:t xml:space="preserve"> år </w:t>
      </w:r>
      <w:proofErr w:type="spellStart"/>
      <w:r w:rsidRPr="00E73D4B">
        <w:t>vore</w:t>
      </w:r>
      <w:proofErr w:type="spellEnd"/>
      <w:r w:rsidRPr="00E73D4B">
        <w:t xml:space="preserve"> handterte ved at Hold Norge Rent </w:t>
      </w:r>
      <w:proofErr w:type="spellStart"/>
      <w:r w:rsidRPr="00E73D4B">
        <w:t>forvaltar</w:t>
      </w:r>
      <w:proofErr w:type="spellEnd"/>
      <w:r w:rsidRPr="00E73D4B">
        <w:t xml:space="preserve"> ei eiga refusjonsordning med </w:t>
      </w:r>
      <w:proofErr w:type="spellStart"/>
      <w:r w:rsidRPr="00E73D4B">
        <w:t>midlar</w:t>
      </w:r>
      <w:proofErr w:type="spellEnd"/>
      <w:r w:rsidRPr="00E73D4B">
        <w:t xml:space="preserve"> </w:t>
      </w:r>
      <w:proofErr w:type="spellStart"/>
      <w:r w:rsidRPr="00E73D4B">
        <w:t>frå</w:t>
      </w:r>
      <w:proofErr w:type="spellEnd"/>
      <w:r w:rsidRPr="00E73D4B">
        <w:t xml:space="preserve"> denne </w:t>
      </w:r>
      <w:proofErr w:type="spellStart"/>
      <w:r w:rsidRPr="00E73D4B">
        <w:t>tilskotsordninga</w:t>
      </w:r>
      <w:proofErr w:type="spellEnd"/>
      <w:r w:rsidRPr="00E73D4B">
        <w:t xml:space="preserve">, der frivillige kan få dekt like utgifter om </w:t>
      </w:r>
      <w:proofErr w:type="spellStart"/>
      <w:r w:rsidRPr="00E73D4B">
        <w:t>dei</w:t>
      </w:r>
      <w:proofErr w:type="spellEnd"/>
      <w:r w:rsidRPr="00E73D4B">
        <w:t xml:space="preserve"> registrerer </w:t>
      </w:r>
      <w:proofErr w:type="spellStart"/>
      <w:r w:rsidRPr="00E73D4B">
        <w:t>ryddeaksjonar</w:t>
      </w:r>
      <w:proofErr w:type="spellEnd"/>
      <w:r w:rsidRPr="00E73D4B">
        <w:t xml:space="preserve"> i forkant. Hold Norge Rent har kvart år søkt om </w:t>
      </w:r>
      <w:proofErr w:type="spellStart"/>
      <w:r w:rsidRPr="00E73D4B">
        <w:t>midlar</w:t>
      </w:r>
      <w:proofErr w:type="spellEnd"/>
      <w:r w:rsidRPr="00E73D4B">
        <w:t xml:space="preserve"> </w:t>
      </w:r>
      <w:proofErr w:type="spellStart"/>
      <w:r w:rsidRPr="00E73D4B">
        <w:t>frå</w:t>
      </w:r>
      <w:proofErr w:type="spellEnd"/>
      <w:r w:rsidRPr="00E73D4B">
        <w:t xml:space="preserve"> </w:t>
      </w:r>
      <w:proofErr w:type="spellStart"/>
      <w:r w:rsidRPr="00E73D4B">
        <w:t>tilskotsordninga</w:t>
      </w:r>
      <w:proofErr w:type="spellEnd"/>
      <w:r w:rsidRPr="00E73D4B">
        <w:t xml:space="preserve"> til dette, der </w:t>
      </w:r>
      <w:proofErr w:type="spellStart"/>
      <w:r w:rsidRPr="00E73D4B">
        <w:t>dei</w:t>
      </w:r>
      <w:proofErr w:type="spellEnd"/>
      <w:r w:rsidRPr="00E73D4B">
        <w:t xml:space="preserve"> igjen fordeler til ei lang </w:t>
      </w:r>
      <w:proofErr w:type="spellStart"/>
      <w:r w:rsidRPr="00E73D4B">
        <w:t>rekkje</w:t>
      </w:r>
      <w:proofErr w:type="spellEnd"/>
      <w:r w:rsidRPr="00E73D4B">
        <w:t xml:space="preserve"> </w:t>
      </w:r>
      <w:proofErr w:type="spellStart"/>
      <w:r w:rsidRPr="00E73D4B">
        <w:t>aktørar</w:t>
      </w:r>
      <w:proofErr w:type="spellEnd"/>
      <w:r w:rsidRPr="00E73D4B">
        <w:t xml:space="preserve">. På oppdrag </w:t>
      </w:r>
      <w:proofErr w:type="spellStart"/>
      <w:r w:rsidRPr="00E73D4B">
        <w:t>frå</w:t>
      </w:r>
      <w:proofErr w:type="spellEnd"/>
      <w:r w:rsidRPr="00E73D4B">
        <w:t xml:space="preserve"> departementet har </w:t>
      </w:r>
      <w:proofErr w:type="spellStart"/>
      <w:r w:rsidRPr="00E73D4B">
        <w:t>Marfo</w:t>
      </w:r>
      <w:proofErr w:type="spellEnd"/>
      <w:r w:rsidRPr="00E73D4B">
        <w:t xml:space="preserve"> sett i gang ei evaluering av </w:t>
      </w:r>
      <w:proofErr w:type="spellStart"/>
      <w:r w:rsidRPr="00E73D4B">
        <w:t>tilskotsordninga</w:t>
      </w:r>
      <w:proofErr w:type="spellEnd"/>
      <w:r w:rsidRPr="00E73D4B">
        <w:t xml:space="preserve"> for tiltak mot marin forsøpling og refusjonsordninga for ryddekostnader i lys av utviklinga i oppryddingsarbeidet og behovet for </w:t>
      </w:r>
      <w:proofErr w:type="spellStart"/>
      <w:r w:rsidRPr="00E73D4B">
        <w:t>føreseielege</w:t>
      </w:r>
      <w:proofErr w:type="spellEnd"/>
      <w:r w:rsidRPr="00E73D4B">
        <w:t xml:space="preserve"> vilkår for </w:t>
      </w:r>
      <w:proofErr w:type="spellStart"/>
      <w:r w:rsidRPr="00E73D4B">
        <w:t>aktørane</w:t>
      </w:r>
      <w:proofErr w:type="spellEnd"/>
      <w:r w:rsidRPr="00E73D4B">
        <w:t xml:space="preserve">. Evalueringa skal leverast departementet </w:t>
      </w:r>
      <w:proofErr w:type="spellStart"/>
      <w:r w:rsidRPr="00E73D4B">
        <w:t>innan</w:t>
      </w:r>
      <w:proofErr w:type="spellEnd"/>
      <w:r w:rsidRPr="00E73D4B">
        <w:t xml:space="preserve"> utgangen av 2022. Stortinget vil bli orientert på eigna måte.</w:t>
      </w:r>
    </w:p>
    <w:p w14:paraId="1817CCFA" w14:textId="77777777" w:rsidR="00972395" w:rsidRPr="00E73D4B" w:rsidRDefault="00F120C7" w:rsidP="00E73D4B">
      <w:pPr>
        <w:pStyle w:val="avsnitt-tittel"/>
      </w:pPr>
      <w:r w:rsidRPr="00E73D4B">
        <w:t>Harmonisere rammevilkåra for biogassproduksjon i Norden</w:t>
      </w:r>
    </w:p>
    <w:p w14:paraId="641F4372" w14:textId="77777777" w:rsidR="00972395" w:rsidRPr="00E73D4B" w:rsidRDefault="00F120C7" w:rsidP="00E73D4B">
      <w:pPr>
        <w:pStyle w:val="avsnitt-undertittel"/>
      </w:pPr>
      <w:r w:rsidRPr="00E73D4B">
        <w:t>Vedtak 1009, 27. mai 2021</w:t>
      </w:r>
    </w:p>
    <w:p w14:paraId="1E6B6833" w14:textId="77777777" w:rsidR="00972395" w:rsidRPr="00E73D4B" w:rsidRDefault="00F120C7" w:rsidP="00E73D4B">
      <w:pPr>
        <w:pStyle w:val="blokksit"/>
        <w:rPr>
          <w:rStyle w:val="kursiv"/>
        </w:rPr>
      </w:pPr>
      <w:r w:rsidRPr="00E73D4B">
        <w:rPr>
          <w:rStyle w:val="kursiv"/>
        </w:rPr>
        <w:t>«Stortinget ber regjeringen om å ta initiativ til å harmonisere rammevilkårene for biogassproduksjon i Norden og komme tilbake til Stortinget med en plan for dette for å bidra til å utvikle biogassnæringen i Norge.»</w:t>
      </w:r>
    </w:p>
    <w:p w14:paraId="198922B4"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w:t>
      </w:r>
      <w:proofErr w:type="spellStart"/>
      <w:r w:rsidRPr="00E73D4B">
        <w:t>Dok</w:t>
      </w:r>
      <w:proofErr w:type="spellEnd"/>
      <w:r w:rsidRPr="00E73D4B">
        <w:t xml:space="preserve">. 8:231 S (2020–2021) </w:t>
      </w:r>
      <w:r w:rsidRPr="00E73D4B">
        <w:rPr>
          <w:rStyle w:val="kursiv"/>
        </w:rPr>
        <w:t>Representantforslag om å fjerne de statlige barrierene for produksjon og bruk av biogass</w:t>
      </w:r>
      <w:r w:rsidRPr="00E73D4B">
        <w:t xml:space="preserve">, jf. </w:t>
      </w:r>
      <w:proofErr w:type="spellStart"/>
      <w:r w:rsidRPr="00E73D4B">
        <w:t>Innst</w:t>
      </w:r>
      <w:proofErr w:type="spellEnd"/>
      <w:r w:rsidRPr="00E73D4B">
        <w:t>. 468 S (2020–2021).</w:t>
      </w:r>
    </w:p>
    <w:p w14:paraId="3D051361" w14:textId="77777777" w:rsidR="00972395" w:rsidRPr="00E73D4B" w:rsidRDefault="00F120C7" w:rsidP="00E73D4B">
      <w:r w:rsidRPr="00E73D4B">
        <w:t xml:space="preserve">Miljødirektoratet har, på oppdrag </w:t>
      </w:r>
      <w:proofErr w:type="spellStart"/>
      <w:r w:rsidRPr="00E73D4B">
        <w:t>frå</w:t>
      </w:r>
      <w:proofErr w:type="spellEnd"/>
      <w:r w:rsidRPr="00E73D4B">
        <w:t xml:space="preserve"> departementet, levert </w:t>
      </w:r>
      <w:proofErr w:type="spellStart"/>
      <w:r w:rsidRPr="00E73D4B">
        <w:t>ein</w:t>
      </w:r>
      <w:proofErr w:type="spellEnd"/>
      <w:r w:rsidRPr="00E73D4B">
        <w:t xml:space="preserve"> rapport som gjennomgår </w:t>
      </w:r>
      <w:proofErr w:type="spellStart"/>
      <w:r w:rsidRPr="00E73D4B">
        <w:t>verkemidla</w:t>
      </w:r>
      <w:proofErr w:type="spellEnd"/>
      <w:r w:rsidRPr="00E73D4B">
        <w:t xml:space="preserve"> for biogass i </w:t>
      </w:r>
      <w:proofErr w:type="spellStart"/>
      <w:r w:rsidRPr="00E73D4B">
        <w:t>Noreg</w:t>
      </w:r>
      <w:proofErr w:type="spellEnd"/>
      <w:r w:rsidRPr="00E73D4B">
        <w:t xml:space="preserve">, Sverige og Danmark. Rapporten blir </w:t>
      </w:r>
      <w:proofErr w:type="spellStart"/>
      <w:r w:rsidRPr="00E73D4B">
        <w:t>no</w:t>
      </w:r>
      <w:proofErr w:type="spellEnd"/>
      <w:r w:rsidRPr="00E73D4B">
        <w:t xml:space="preserve"> behandla i departementet. Vi viser òg til vedtak nr. 753, 10. juni 2022 om harmonisering av rammevilkåra for biogass i Norden. Regjeringa vil komme tilbake til Stortinget på eigna måte.</w:t>
      </w:r>
    </w:p>
    <w:p w14:paraId="06C54EBA" w14:textId="77777777" w:rsidR="00972395" w:rsidRPr="00E73D4B" w:rsidRDefault="00F120C7" w:rsidP="00E73D4B">
      <w:pPr>
        <w:pStyle w:val="Overskrift2"/>
      </w:pPr>
      <w:r w:rsidRPr="00E73D4B">
        <w:t>Stortingssesjon 2019–2020</w:t>
      </w:r>
    </w:p>
    <w:p w14:paraId="5A69EAEB" w14:textId="77777777" w:rsidR="00972395" w:rsidRPr="00E73D4B" w:rsidRDefault="00F120C7" w:rsidP="00E73D4B">
      <w:pPr>
        <w:pStyle w:val="avsnitt-tittel"/>
      </w:pPr>
      <w:r w:rsidRPr="00E73D4B">
        <w:t>Nye mål i kulturmiljøpolitikken</w:t>
      </w:r>
    </w:p>
    <w:p w14:paraId="2C661FCD" w14:textId="77777777" w:rsidR="00972395" w:rsidRPr="00E73D4B" w:rsidRDefault="00F120C7" w:rsidP="00E73D4B">
      <w:pPr>
        <w:pStyle w:val="avsnitt-undertittel"/>
      </w:pPr>
      <w:r w:rsidRPr="00E73D4B">
        <w:t>Vedtak 708, 16. juni 2020</w:t>
      </w:r>
    </w:p>
    <w:p w14:paraId="64DEBA8F" w14:textId="77777777" w:rsidR="00972395" w:rsidRPr="00E73D4B" w:rsidRDefault="00F120C7" w:rsidP="00E73D4B">
      <w:pPr>
        <w:pStyle w:val="blokksit"/>
        <w:rPr>
          <w:rStyle w:val="kursiv"/>
        </w:rPr>
      </w:pPr>
      <w:r w:rsidRPr="00E73D4B">
        <w:rPr>
          <w:rStyle w:val="kursiv"/>
        </w:rPr>
        <w:t>«Stortinget ber regjeringen legge til grunn at en av de nye bevaringsstrategiene skal handle om kirker, og at det i den forbindelse legges til grunn en målsetting om at alle steinkirker fra middel-alderen skal ha ordinært vedlikeholdsnivå innen 1 000-årsjubileet for slaget på Stiklestad i 2030.»</w:t>
      </w:r>
    </w:p>
    <w:p w14:paraId="4FA7FDE7" w14:textId="77777777" w:rsidR="00972395" w:rsidRPr="00E73D4B" w:rsidRDefault="00F120C7" w:rsidP="00E73D4B">
      <w:r w:rsidRPr="00E73D4B">
        <w:t xml:space="preserve">Vedtaket </w:t>
      </w:r>
      <w:proofErr w:type="spellStart"/>
      <w:r w:rsidRPr="00E73D4B">
        <w:t>vart</w:t>
      </w:r>
      <w:proofErr w:type="spellEnd"/>
      <w:r w:rsidRPr="00E73D4B">
        <w:t xml:space="preserve"> gjort ved behandling av Meld. St. 16 (2019–2020) </w:t>
      </w:r>
      <w:r w:rsidRPr="00E73D4B">
        <w:rPr>
          <w:rStyle w:val="kursiv"/>
        </w:rPr>
        <w:t>Nye mål i kulturmiljøpolitikken –</w:t>
      </w:r>
      <w:r w:rsidRPr="00E73D4B">
        <w:t xml:space="preserve"> </w:t>
      </w:r>
      <w:r w:rsidRPr="00E73D4B">
        <w:rPr>
          <w:rStyle w:val="kursiv"/>
        </w:rPr>
        <w:t>Engasjement, bærekraft og mangfold</w:t>
      </w:r>
      <w:r w:rsidRPr="00E73D4B">
        <w:t xml:space="preserve">, jf. </w:t>
      </w:r>
      <w:proofErr w:type="spellStart"/>
      <w:r w:rsidRPr="00E73D4B">
        <w:t>Innst</w:t>
      </w:r>
      <w:proofErr w:type="spellEnd"/>
      <w:r w:rsidRPr="00E73D4B">
        <w:t>. 379 S (2019–2020).</w:t>
      </w:r>
    </w:p>
    <w:p w14:paraId="7AC46DB7" w14:textId="77777777" w:rsidR="00972395" w:rsidRPr="00E73D4B" w:rsidRDefault="00F120C7" w:rsidP="00E73D4B">
      <w:r w:rsidRPr="00E73D4B">
        <w:t xml:space="preserve">Klima- og miljødepartementet arbeider med å </w:t>
      </w:r>
      <w:proofErr w:type="spellStart"/>
      <w:r w:rsidRPr="00E73D4B">
        <w:t>følgje</w:t>
      </w:r>
      <w:proofErr w:type="spellEnd"/>
      <w:r w:rsidRPr="00E73D4B">
        <w:t xml:space="preserve"> opp Meld. St.16 (2019–2020). Utvikling av </w:t>
      </w:r>
      <w:proofErr w:type="spellStart"/>
      <w:r w:rsidRPr="00E73D4B">
        <w:t>bevaringsstrategiane</w:t>
      </w:r>
      <w:proofErr w:type="spellEnd"/>
      <w:r w:rsidRPr="00E73D4B">
        <w:t xml:space="preserve"> er ei prioritert </w:t>
      </w:r>
      <w:proofErr w:type="spellStart"/>
      <w:r w:rsidRPr="00E73D4B">
        <w:t>oppgåve</w:t>
      </w:r>
      <w:proofErr w:type="spellEnd"/>
      <w:r w:rsidRPr="00E73D4B">
        <w:t xml:space="preserve"> som er sett i gang </w:t>
      </w:r>
      <w:proofErr w:type="spellStart"/>
      <w:r w:rsidRPr="00E73D4B">
        <w:t>hausten</w:t>
      </w:r>
      <w:proofErr w:type="spellEnd"/>
      <w:r w:rsidRPr="00E73D4B">
        <w:t xml:space="preserve"> 2020. Kva tema som skal </w:t>
      </w:r>
      <w:proofErr w:type="spellStart"/>
      <w:r w:rsidRPr="00E73D4B">
        <w:t>prioriterast</w:t>
      </w:r>
      <w:proofErr w:type="spellEnd"/>
      <w:r w:rsidRPr="00E73D4B">
        <w:t xml:space="preserve">, vil bli avklart som </w:t>
      </w:r>
      <w:proofErr w:type="spellStart"/>
      <w:r w:rsidRPr="00E73D4B">
        <w:t>ein</w:t>
      </w:r>
      <w:proofErr w:type="spellEnd"/>
      <w:r w:rsidRPr="00E73D4B">
        <w:t xml:space="preserve"> del av prosessen. Korleis </w:t>
      </w:r>
      <w:proofErr w:type="spellStart"/>
      <w:r w:rsidRPr="00E73D4B">
        <w:t>kyrkjer</w:t>
      </w:r>
      <w:proofErr w:type="spellEnd"/>
      <w:r w:rsidRPr="00E73D4B">
        <w:t xml:space="preserve"> skal </w:t>
      </w:r>
      <w:proofErr w:type="spellStart"/>
      <w:r w:rsidRPr="00E73D4B">
        <w:t>inkluderast</w:t>
      </w:r>
      <w:proofErr w:type="spellEnd"/>
      <w:r w:rsidRPr="00E73D4B">
        <w:t xml:space="preserve"> i dette arbeidet, vil inngå i vurderinga. Regjeringa vil komme tilbake til Stortinget på eigna måte.</w:t>
      </w:r>
    </w:p>
    <w:p w14:paraId="5CB20DC6" w14:textId="77777777" w:rsidR="00972395" w:rsidRPr="00E73D4B" w:rsidRDefault="00F120C7" w:rsidP="00E73D4B">
      <w:pPr>
        <w:pStyle w:val="Overskrift2"/>
      </w:pPr>
      <w:r w:rsidRPr="00E73D4B">
        <w:t>Stortingssesjon 2018–2019</w:t>
      </w:r>
    </w:p>
    <w:p w14:paraId="35C74E5B" w14:textId="77777777" w:rsidR="00972395" w:rsidRPr="00E73D4B" w:rsidRDefault="00F120C7" w:rsidP="00E73D4B">
      <w:pPr>
        <w:pStyle w:val="avsnitt-tittel"/>
      </w:pPr>
      <w:proofErr w:type="spellStart"/>
      <w:r w:rsidRPr="00E73D4B">
        <w:t>Erstatningsreglane</w:t>
      </w:r>
      <w:proofErr w:type="spellEnd"/>
      <w:r w:rsidRPr="00E73D4B">
        <w:t xml:space="preserve"> ved tap av beitedyr til rovvilt og kompensasjonsordninga (FKT)</w:t>
      </w:r>
    </w:p>
    <w:p w14:paraId="3A15C257" w14:textId="77777777" w:rsidR="00972395" w:rsidRPr="00E73D4B" w:rsidRDefault="00F120C7" w:rsidP="00E73D4B">
      <w:pPr>
        <w:pStyle w:val="avsnitt-undertittel"/>
      </w:pPr>
      <w:r w:rsidRPr="00E73D4B">
        <w:t>Vedtak nr. 383, 31. januar 2019</w:t>
      </w:r>
    </w:p>
    <w:p w14:paraId="6FCD4FCE" w14:textId="77777777" w:rsidR="00972395" w:rsidRPr="00E73D4B" w:rsidRDefault="00F120C7" w:rsidP="00E73D4B">
      <w:pPr>
        <w:pStyle w:val="blokksit"/>
        <w:rPr>
          <w:rStyle w:val="kursiv"/>
        </w:rPr>
      </w:pPr>
      <w:r w:rsidRPr="00E73D4B">
        <w:rPr>
          <w:rStyle w:val="kursiv"/>
        </w:rPr>
        <w:t>«Stortinget ber regjeringen foreta en vurdering av erstatningsordningene for tap av beitedyr til rovvilt og kompensasjonsordningen (FKT) og rapportere til Stortinget på egnet måte.»</w:t>
      </w:r>
    </w:p>
    <w:p w14:paraId="327B87A0"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Dokument 8:239 S (2017–2018) </w:t>
      </w:r>
      <w:r w:rsidRPr="00E73D4B">
        <w:rPr>
          <w:rStyle w:val="kursiv"/>
        </w:rPr>
        <w:t>Representantforslag om</w:t>
      </w:r>
      <w:r w:rsidRPr="00E73D4B">
        <w:t xml:space="preserve"> </w:t>
      </w:r>
      <w:r w:rsidRPr="00E73D4B">
        <w:rPr>
          <w:rStyle w:val="kursiv"/>
        </w:rPr>
        <w:t>erstatningsreglene ved tap av beitedyr til rovvilt</w:t>
      </w:r>
      <w:r w:rsidRPr="00E73D4B">
        <w:t xml:space="preserve">, jf. </w:t>
      </w:r>
      <w:proofErr w:type="spellStart"/>
      <w:r w:rsidRPr="00E73D4B">
        <w:t>Innst</w:t>
      </w:r>
      <w:proofErr w:type="spellEnd"/>
      <w:r w:rsidRPr="00E73D4B">
        <w:t>. 140 S (2018–2019).</w:t>
      </w:r>
    </w:p>
    <w:p w14:paraId="480ECD48" w14:textId="77777777" w:rsidR="00972395" w:rsidRPr="00E73D4B" w:rsidRDefault="00F120C7" w:rsidP="00E73D4B">
      <w:r w:rsidRPr="00E73D4B">
        <w:t xml:space="preserve">Departementet er i gang med oppfølginga av dette vedtaket. Når det </w:t>
      </w:r>
      <w:proofErr w:type="spellStart"/>
      <w:r w:rsidRPr="00E73D4B">
        <w:t>gjeld</w:t>
      </w:r>
      <w:proofErr w:type="spellEnd"/>
      <w:r w:rsidRPr="00E73D4B">
        <w:t xml:space="preserve"> erstatningsordninga for tap av tamrein til rovvilt er departementet si </w:t>
      </w:r>
      <w:proofErr w:type="spellStart"/>
      <w:r w:rsidRPr="00E73D4B">
        <w:t>førebelse</w:t>
      </w:r>
      <w:proofErr w:type="spellEnd"/>
      <w:r w:rsidRPr="00E73D4B">
        <w:t xml:space="preserve"> vurdering at det er behov for å sjå på </w:t>
      </w:r>
      <w:proofErr w:type="spellStart"/>
      <w:r w:rsidRPr="00E73D4B">
        <w:t>endringar</w:t>
      </w:r>
      <w:proofErr w:type="spellEnd"/>
      <w:r w:rsidRPr="00E73D4B">
        <w:t xml:space="preserve"> i ordninga. Departementet arbeider for å få gjennomført dette og vil involvere aktuelle </w:t>
      </w:r>
      <w:proofErr w:type="spellStart"/>
      <w:r w:rsidRPr="00E73D4B">
        <w:t>partar</w:t>
      </w:r>
      <w:proofErr w:type="spellEnd"/>
      <w:r w:rsidRPr="00E73D4B">
        <w:t xml:space="preserve"> i arbeidet. Når det </w:t>
      </w:r>
      <w:proofErr w:type="spellStart"/>
      <w:r w:rsidRPr="00E73D4B">
        <w:t>gjeld</w:t>
      </w:r>
      <w:proofErr w:type="spellEnd"/>
      <w:r w:rsidRPr="00E73D4B">
        <w:t xml:space="preserve"> erstatningsordninga for tap av husdyr til rovvilt er departementet </w:t>
      </w:r>
      <w:proofErr w:type="spellStart"/>
      <w:r w:rsidRPr="00E73D4B">
        <w:t>si</w:t>
      </w:r>
      <w:proofErr w:type="spellEnd"/>
      <w:r w:rsidRPr="00E73D4B">
        <w:t xml:space="preserve"> vurdering at det kan </w:t>
      </w:r>
      <w:proofErr w:type="spellStart"/>
      <w:r w:rsidRPr="00E73D4B">
        <w:t>vere</w:t>
      </w:r>
      <w:proofErr w:type="spellEnd"/>
      <w:r w:rsidRPr="00E73D4B">
        <w:t xml:space="preserve"> behov for enkelte </w:t>
      </w:r>
      <w:proofErr w:type="spellStart"/>
      <w:r w:rsidRPr="00E73D4B">
        <w:t>justeringar</w:t>
      </w:r>
      <w:proofErr w:type="spellEnd"/>
      <w:r w:rsidRPr="00E73D4B">
        <w:t xml:space="preserve"> i ordninga, men at det mellom anna av ressursmessige omsyn er hensiktsmessig at </w:t>
      </w:r>
      <w:proofErr w:type="spellStart"/>
      <w:r w:rsidRPr="00E73D4B">
        <w:t>vidare</w:t>
      </w:r>
      <w:proofErr w:type="spellEnd"/>
      <w:r w:rsidRPr="00E73D4B">
        <w:t xml:space="preserve"> </w:t>
      </w:r>
      <w:proofErr w:type="spellStart"/>
      <w:r w:rsidRPr="00E73D4B">
        <w:t>vurderingar</w:t>
      </w:r>
      <w:proofErr w:type="spellEnd"/>
      <w:r w:rsidRPr="00E73D4B">
        <w:t xml:space="preserve"> </w:t>
      </w:r>
      <w:proofErr w:type="spellStart"/>
      <w:r w:rsidRPr="00E73D4B">
        <w:t>ventar</w:t>
      </w:r>
      <w:proofErr w:type="spellEnd"/>
      <w:r w:rsidRPr="00E73D4B">
        <w:t xml:space="preserve"> på arbeidet med erstatningsordninga for tamrein. Når det </w:t>
      </w:r>
      <w:proofErr w:type="spellStart"/>
      <w:r w:rsidRPr="00E73D4B">
        <w:t>gjeld</w:t>
      </w:r>
      <w:proofErr w:type="spellEnd"/>
      <w:r w:rsidRPr="00E73D4B">
        <w:t xml:space="preserve"> ordninga med </w:t>
      </w:r>
      <w:proofErr w:type="spellStart"/>
      <w:r w:rsidRPr="00E73D4B">
        <w:t>tilskot</w:t>
      </w:r>
      <w:proofErr w:type="spellEnd"/>
      <w:r w:rsidRPr="00E73D4B">
        <w:t xml:space="preserve"> til </w:t>
      </w:r>
      <w:proofErr w:type="spellStart"/>
      <w:r w:rsidRPr="00E73D4B">
        <w:t>førebyggjande</w:t>
      </w:r>
      <w:proofErr w:type="spellEnd"/>
      <w:r w:rsidRPr="00E73D4B">
        <w:t xml:space="preserve"> tiltak mot </w:t>
      </w:r>
      <w:proofErr w:type="spellStart"/>
      <w:r w:rsidRPr="00E73D4B">
        <w:t>rovviltskadar</w:t>
      </w:r>
      <w:proofErr w:type="spellEnd"/>
      <w:r w:rsidRPr="00E73D4B">
        <w:t xml:space="preserve"> og </w:t>
      </w:r>
      <w:proofErr w:type="spellStart"/>
      <w:r w:rsidRPr="00E73D4B">
        <w:t>konfliktdempande</w:t>
      </w:r>
      <w:proofErr w:type="spellEnd"/>
      <w:r w:rsidRPr="00E73D4B">
        <w:t xml:space="preserve"> tiltak (FKT-ordninga) har Norsk institutt for bioøkonomi (NIBIO) og Norsk institutt for naturforskning (NINA) utarbeidd rapporten «Vurdering av FKT-ordningen» (NIBIO rapport, vol. 6, nr. 130, 2020). Forvaltninga følgjer opp dette, mellom anna gjennom arbeid med forslag til revidert forskrift for </w:t>
      </w:r>
      <w:proofErr w:type="spellStart"/>
      <w:r w:rsidRPr="00E73D4B">
        <w:t>tilskotsordninga</w:t>
      </w:r>
      <w:proofErr w:type="spellEnd"/>
      <w:r w:rsidRPr="00E73D4B">
        <w:t xml:space="preserve">. Forslag til revidert forskrift vil bli sendt på </w:t>
      </w:r>
      <w:proofErr w:type="spellStart"/>
      <w:r w:rsidRPr="00E73D4B">
        <w:t>høyring</w:t>
      </w:r>
      <w:proofErr w:type="spellEnd"/>
      <w:r w:rsidRPr="00E73D4B">
        <w:t>.</w:t>
      </w:r>
    </w:p>
    <w:p w14:paraId="7AE619EC" w14:textId="77777777" w:rsidR="00972395" w:rsidRPr="00E73D4B" w:rsidRDefault="00F120C7" w:rsidP="00E73D4B">
      <w:pPr>
        <w:pStyle w:val="Overskrift2"/>
      </w:pPr>
      <w:r w:rsidRPr="00E73D4B">
        <w:t>Stortingssesjon 2017–2018</w:t>
      </w:r>
    </w:p>
    <w:p w14:paraId="687D599C" w14:textId="77777777" w:rsidR="00972395" w:rsidRPr="00E73D4B" w:rsidRDefault="00F120C7" w:rsidP="00E73D4B">
      <w:pPr>
        <w:pStyle w:val="avsnitt-tittel"/>
      </w:pPr>
      <w:r w:rsidRPr="00E73D4B">
        <w:t xml:space="preserve">Gjenbruk gjennom </w:t>
      </w:r>
      <w:proofErr w:type="spellStart"/>
      <w:r w:rsidRPr="00E73D4B">
        <w:t>kommunane</w:t>
      </w:r>
      <w:proofErr w:type="spellEnd"/>
      <w:r w:rsidRPr="00E73D4B">
        <w:t xml:space="preserve"> sine </w:t>
      </w:r>
      <w:proofErr w:type="spellStart"/>
      <w:r w:rsidRPr="00E73D4B">
        <w:t>gjenbruksstasjonar</w:t>
      </w:r>
      <w:proofErr w:type="spellEnd"/>
    </w:p>
    <w:p w14:paraId="2BE39EA6" w14:textId="77777777" w:rsidR="00972395" w:rsidRPr="00E73D4B" w:rsidRDefault="00F120C7" w:rsidP="00E73D4B">
      <w:pPr>
        <w:pStyle w:val="avsnitt-undertittel"/>
      </w:pPr>
      <w:r w:rsidRPr="00E73D4B">
        <w:t>Vedtak nr. 481, 27. februar 2018</w:t>
      </w:r>
    </w:p>
    <w:p w14:paraId="564A0C23" w14:textId="77777777" w:rsidR="00972395" w:rsidRPr="00E73D4B" w:rsidRDefault="00F120C7" w:rsidP="00E73D4B">
      <w:pPr>
        <w:pStyle w:val="blokksit"/>
        <w:rPr>
          <w:rStyle w:val="kursiv"/>
        </w:rPr>
      </w:pPr>
      <w:r w:rsidRPr="00E73D4B">
        <w:rPr>
          <w:rStyle w:val="kursiv"/>
        </w:rPr>
        <w:t>«Stortinget ber regjeringen gi kommunene ansvar for å legge til rette for gjenbruk gjennom kommunenes gjenbruksstasjoner.»</w:t>
      </w:r>
    </w:p>
    <w:p w14:paraId="71C07FA4"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45 (2016–2017), jf. </w:t>
      </w:r>
      <w:proofErr w:type="spellStart"/>
      <w:r w:rsidRPr="00E73D4B">
        <w:t>Innst</w:t>
      </w:r>
      <w:proofErr w:type="spellEnd"/>
      <w:r w:rsidRPr="00E73D4B">
        <w:t xml:space="preserve">. 127 S (2017–2018) </w:t>
      </w:r>
      <w:r w:rsidRPr="00E73D4B">
        <w:rPr>
          <w:rStyle w:val="kursiv"/>
        </w:rPr>
        <w:t>om Avfall som ressurs – Avfallspolitikk og sirkulær økonomi,</w:t>
      </w:r>
      <w:r w:rsidRPr="00E73D4B">
        <w:t xml:space="preserve"> jf. tilrådinga i innstillinga </w:t>
      </w:r>
      <w:proofErr w:type="spellStart"/>
      <w:r w:rsidRPr="00E73D4B">
        <w:t>romartal</w:t>
      </w:r>
      <w:proofErr w:type="spellEnd"/>
      <w:r w:rsidRPr="00E73D4B">
        <w:t xml:space="preserve"> II.</w:t>
      </w:r>
    </w:p>
    <w:p w14:paraId="00EDAA1F" w14:textId="77777777" w:rsidR="00972395" w:rsidRPr="00E73D4B" w:rsidRDefault="00F120C7" w:rsidP="00E73D4B">
      <w:r w:rsidRPr="00E73D4B">
        <w:t xml:space="preserve">Det er vurdert at </w:t>
      </w:r>
      <w:proofErr w:type="spellStart"/>
      <w:r w:rsidRPr="00E73D4B">
        <w:t>kommunane</w:t>
      </w:r>
      <w:proofErr w:type="spellEnd"/>
      <w:r w:rsidRPr="00E73D4B">
        <w:t xml:space="preserve"> </w:t>
      </w:r>
      <w:proofErr w:type="spellStart"/>
      <w:r w:rsidRPr="00E73D4B">
        <w:t>allereie</w:t>
      </w:r>
      <w:proofErr w:type="spellEnd"/>
      <w:r w:rsidRPr="00E73D4B">
        <w:t xml:space="preserve"> har dette ansvaret, </w:t>
      </w:r>
      <w:proofErr w:type="spellStart"/>
      <w:r w:rsidRPr="00E73D4B">
        <w:t>sjølv</w:t>
      </w:r>
      <w:proofErr w:type="spellEnd"/>
      <w:r w:rsidRPr="00E73D4B">
        <w:t xml:space="preserve"> om det </w:t>
      </w:r>
      <w:proofErr w:type="spellStart"/>
      <w:r w:rsidRPr="00E73D4B">
        <w:t>ikkje</w:t>
      </w:r>
      <w:proofErr w:type="spellEnd"/>
      <w:r w:rsidRPr="00E73D4B">
        <w:t xml:space="preserve"> går </w:t>
      </w:r>
      <w:proofErr w:type="spellStart"/>
      <w:r w:rsidRPr="00E73D4B">
        <w:t>uttrykkjeleg</w:t>
      </w:r>
      <w:proofErr w:type="spellEnd"/>
      <w:r w:rsidRPr="00E73D4B">
        <w:t xml:space="preserve"> fram av </w:t>
      </w:r>
      <w:proofErr w:type="spellStart"/>
      <w:r w:rsidRPr="00E73D4B">
        <w:t>forureiningslova</w:t>
      </w:r>
      <w:proofErr w:type="spellEnd"/>
      <w:r w:rsidRPr="00E73D4B">
        <w:t xml:space="preserve">, og at dette kan </w:t>
      </w:r>
      <w:proofErr w:type="spellStart"/>
      <w:r w:rsidRPr="00E73D4B">
        <w:t>dekkjast</w:t>
      </w:r>
      <w:proofErr w:type="spellEnd"/>
      <w:r w:rsidRPr="00E73D4B">
        <w:t xml:space="preserve"> over avfallsgebyret, jf. </w:t>
      </w:r>
      <w:proofErr w:type="spellStart"/>
      <w:r w:rsidRPr="00E73D4B">
        <w:t>Prop</w:t>
      </w:r>
      <w:proofErr w:type="spellEnd"/>
      <w:r w:rsidRPr="00E73D4B">
        <w:t xml:space="preserve">. 1 S (2018–2019). Energi- og miljøkomiteen tok regjeringa </w:t>
      </w:r>
      <w:proofErr w:type="spellStart"/>
      <w:r w:rsidRPr="00E73D4B">
        <w:t>si</w:t>
      </w:r>
      <w:proofErr w:type="spellEnd"/>
      <w:r w:rsidRPr="00E73D4B">
        <w:t xml:space="preserve"> vurdering til orientering og bad om ei orientering som </w:t>
      </w:r>
      <w:proofErr w:type="spellStart"/>
      <w:r w:rsidRPr="00E73D4B">
        <w:t>fortel</w:t>
      </w:r>
      <w:proofErr w:type="spellEnd"/>
      <w:r w:rsidRPr="00E73D4B">
        <w:t xml:space="preserve"> om </w:t>
      </w:r>
      <w:proofErr w:type="spellStart"/>
      <w:r w:rsidRPr="00E73D4B">
        <w:t>kommunane</w:t>
      </w:r>
      <w:proofErr w:type="spellEnd"/>
      <w:r w:rsidRPr="00E73D4B">
        <w:t xml:space="preserve"> følgjer opp dette ansvaret, jf. </w:t>
      </w:r>
      <w:proofErr w:type="spellStart"/>
      <w:r w:rsidRPr="00E73D4B">
        <w:t>Innst</w:t>
      </w:r>
      <w:proofErr w:type="spellEnd"/>
      <w:r w:rsidRPr="00E73D4B">
        <w:t>. 9 S (2018–2019).</w:t>
      </w:r>
    </w:p>
    <w:p w14:paraId="38A41E56" w14:textId="77777777" w:rsidR="00972395" w:rsidRPr="00E73D4B" w:rsidRDefault="00F120C7" w:rsidP="00E73D4B">
      <w:r w:rsidRPr="00E73D4B">
        <w:t xml:space="preserve">Klima- og miljødepartementet vil komme tilbake til Stortinget med ei orientering som </w:t>
      </w:r>
      <w:proofErr w:type="spellStart"/>
      <w:r w:rsidRPr="00E73D4B">
        <w:t>fortel</w:t>
      </w:r>
      <w:proofErr w:type="spellEnd"/>
      <w:r w:rsidRPr="00E73D4B">
        <w:t xml:space="preserve"> om </w:t>
      </w:r>
      <w:proofErr w:type="spellStart"/>
      <w:r w:rsidRPr="00E73D4B">
        <w:t>kommunane</w:t>
      </w:r>
      <w:proofErr w:type="spellEnd"/>
      <w:r w:rsidRPr="00E73D4B">
        <w:t xml:space="preserve"> følgjer opp.</w:t>
      </w:r>
    </w:p>
    <w:p w14:paraId="0B2C9021" w14:textId="77777777" w:rsidR="00972395" w:rsidRPr="00E73D4B" w:rsidRDefault="00F120C7" w:rsidP="00E73D4B">
      <w:pPr>
        <w:pStyle w:val="avsnitt-tittel"/>
      </w:pPr>
      <w:proofErr w:type="spellStart"/>
      <w:r w:rsidRPr="00E73D4B">
        <w:t>Utleige</w:t>
      </w:r>
      <w:proofErr w:type="spellEnd"/>
      <w:r w:rsidRPr="00E73D4B">
        <w:t xml:space="preserve"> av </w:t>
      </w:r>
      <w:proofErr w:type="spellStart"/>
      <w:r w:rsidRPr="00E73D4B">
        <w:t>avfallskonteinarar</w:t>
      </w:r>
      <w:proofErr w:type="spellEnd"/>
      <w:r w:rsidRPr="00E73D4B">
        <w:t xml:space="preserve"> </w:t>
      </w:r>
      <w:proofErr w:type="spellStart"/>
      <w:r w:rsidRPr="00E73D4B">
        <w:t>frå</w:t>
      </w:r>
      <w:proofErr w:type="spellEnd"/>
      <w:r w:rsidRPr="00E73D4B">
        <w:t xml:space="preserve"> </w:t>
      </w:r>
      <w:proofErr w:type="spellStart"/>
      <w:r w:rsidRPr="00E73D4B">
        <w:t>godkjende</w:t>
      </w:r>
      <w:proofErr w:type="spellEnd"/>
      <w:r w:rsidRPr="00E73D4B">
        <w:t xml:space="preserve"> avfallsselskap</w:t>
      </w:r>
    </w:p>
    <w:p w14:paraId="47A1FA7C" w14:textId="77777777" w:rsidR="00972395" w:rsidRPr="00E73D4B" w:rsidRDefault="00F120C7" w:rsidP="00E73D4B">
      <w:pPr>
        <w:pStyle w:val="avsnitt-undertittel"/>
      </w:pPr>
      <w:r w:rsidRPr="00E73D4B">
        <w:t>Vedtak nr. 482, 27. februar 2018</w:t>
      </w:r>
    </w:p>
    <w:p w14:paraId="2C133F3D" w14:textId="77777777" w:rsidR="00972395" w:rsidRPr="00E73D4B" w:rsidRDefault="00F120C7" w:rsidP="00E73D4B">
      <w:pPr>
        <w:pStyle w:val="blokksit"/>
        <w:rPr>
          <w:rStyle w:val="kursiv"/>
        </w:rPr>
      </w:pPr>
      <w:r w:rsidRPr="00E73D4B">
        <w:rPr>
          <w:rStyle w:val="kursiv"/>
        </w:rPr>
        <w:t>«Stortinget ber regjeringen gi kommunene anledning til selv å bestemme om de ønsker samtykke ved utleie av avfallskonteinere fra godkjente avfallsselskaper.»</w:t>
      </w:r>
    </w:p>
    <w:p w14:paraId="796DD8FB"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45 (2016–2017), jf. </w:t>
      </w:r>
      <w:proofErr w:type="spellStart"/>
      <w:r w:rsidRPr="00E73D4B">
        <w:t>Innst</w:t>
      </w:r>
      <w:proofErr w:type="spellEnd"/>
      <w:r w:rsidRPr="00E73D4B">
        <w:t xml:space="preserve">. 127 S (2017–2018) </w:t>
      </w:r>
      <w:r w:rsidRPr="00E73D4B">
        <w:rPr>
          <w:rStyle w:val="kursiv"/>
        </w:rPr>
        <w:t>om Avfall som ressurs – Avfallspolitikk og sirkulær økonomi</w:t>
      </w:r>
      <w:r w:rsidRPr="00E73D4B">
        <w:t xml:space="preserve">, jf. tilrådinga i innstillinga </w:t>
      </w:r>
      <w:proofErr w:type="spellStart"/>
      <w:r w:rsidRPr="00E73D4B">
        <w:t>romartal</w:t>
      </w:r>
      <w:proofErr w:type="spellEnd"/>
      <w:r w:rsidRPr="00E73D4B">
        <w:t xml:space="preserve"> III.</w:t>
      </w:r>
    </w:p>
    <w:p w14:paraId="0629FC83" w14:textId="77777777" w:rsidR="00972395" w:rsidRPr="00E73D4B" w:rsidRDefault="00F120C7" w:rsidP="00E73D4B">
      <w:r w:rsidRPr="00E73D4B">
        <w:t>Departementet arbeider med saka. Regjeringa vil komme tilbake til Stortinget på eigna måte.</w:t>
      </w:r>
    </w:p>
    <w:p w14:paraId="13C8F3A7" w14:textId="77777777" w:rsidR="00972395" w:rsidRPr="00E73D4B" w:rsidRDefault="00F120C7" w:rsidP="00E73D4B">
      <w:pPr>
        <w:pStyle w:val="avsnitt-tittel"/>
      </w:pPr>
      <w:r w:rsidRPr="00E73D4B">
        <w:t>Krav til utsortering og materialattvinning av plast og matavfall</w:t>
      </w:r>
    </w:p>
    <w:p w14:paraId="1F37FAC7" w14:textId="77777777" w:rsidR="00972395" w:rsidRPr="00E73D4B" w:rsidRDefault="00F120C7" w:rsidP="00E73D4B">
      <w:pPr>
        <w:pStyle w:val="avsnitt-undertittel"/>
      </w:pPr>
      <w:r w:rsidRPr="00E73D4B">
        <w:t>Vedtak nr. 485, 27. februar 2018</w:t>
      </w:r>
    </w:p>
    <w:p w14:paraId="419C651B" w14:textId="77777777" w:rsidR="00972395" w:rsidRPr="00E73D4B" w:rsidRDefault="00F120C7" w:rsidP="00E73D4B">
      <w:pPr>
        <w:pStyle w:val="blokksit"/>
        <w:rPr>
          <w:rStyle w:val="kursiv"/>
        </w:rPr>
      </w:pPr>
      <w:r w:rsidRPr="00E73D4B">
        <w:rPr>
          <w:rStyle w:val="kursiv"/>
        </w:rPr>
        <w:t>«Stortinget ber regjeringen stille krav til utsortering og materialgjenvinning av plast og matavfall fra husholdninger og lignende avfall fra næringslivet.»</w:t>
      </w:r>
    </w:p>
    <w:p w14:paraId="27DF9B38" w14:textId="77777777" w:rsidR="00972395" w:rsidRPr="00E73D4B" w:rsidRDefault="00F120C7" w:rsidP="00E73D4B">
      <w:r w:rsidRPr="00E73D4B">
        <w:t xml:space="preserve">Vedtaket </w:t>
      </w:r>
      <w:proofErr w:type="spellStart"/>
      <w:r w:rsidRPr="00E73D4B">
        <w:t>vart</w:t>
      </w:r>
      <w:proofErr w:type="spellEnd"/>
      <w:r w:rsidRPr="00E73D4B">
        <w:t xml:space="preserve"> gjort ved behandling av Meld. St. 45 (2016–2017), jf. </w:t>
      </w:r>
      <w:proofErr w:type="spellStart"/>
      <w:r w:rsidRPr="00E73D4B">
        <w:t>Innst</w:t>
      </w:r>
      <w:proofErr w:type="spellEnd"/>
      <w:r w:rsidRPr="00E73D4B">
        <w:t xml:space="preserve">. 127 S (2017–2018) </w:t>
      </w:r>
      <w:r w:rsidRPr="00E73D4B">
        <w:rPr>
          <w:rStyle w:val="kursiv"/>
        </w:rPr>
        <w:t>om Avfall som ressurs – Avfallspolitikk og sirkulær økonomi</w:t>
      </w:r>
      <w:r w:rsidRPr="00E73D4B">
        <w:t xml:space="preserve">, jf. tilrådinga i innstillinga </w:t>
      </w:r>
      <w:proofErr w:type="spellStart"/>
      <w:r w:rsidRPr="00E73D4B">
        <w:t>romartal</w:t>
      </w:r>
      <w:proofErr w:type="spellEnd"/>
      <w:r w:rsidRPr="00E73D4B">
        <w:t xml:space="preserve"> VI.</w:t>
      </w:r>
    </w:p>
    <w:p w14:paraId="48528816" w14:textId="77777777" w:rsidR="00972395" w:rsidRPr="00E73D4B" w:rsidRDefault="00F120C7" w:rsidP="00E73D4B">
      <w:r w:rsidRPr="00E73D4B">
        <w:t xml:space="preserve">Departementet har fastsett forskrift om krav til utsortering og materialattvinning av matavfall og plastavfall, med verknad </w:t>
      </w:r>
      <w:proofErr w:type="spellStart"/>
      <w:r w:rsidRPr="00E73D4B">
        <w:t>frå</w:t>
      </w:r>
      <w:proofErr w:type="spellEnd"/>
      <w:r w:rsidRPr="00E73D4B">
        <w:t xml:space="preserve"> 1. januar 2023.</w:t>
      </w:r>
    </w:p>
    <w:p w14:paraId="213B9E8B"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073DF937" w14:textId="77777777" w:rsidR="00972395" w:rsidRPr="00E73D4B" w:rsidRDefault="00F120C7" w:rsidP="00E73D4B">
      <w:pPr>
        <w:pStyle w:val="avsnitt-tittel"/>
      </w:pPr>
      <w:r w:rsidRPr="00E73D4B">
        <w:t xml:space="preserve">Avfall </w:t>
      </w:r>
      <w:proofErr w:type="spellStart"/>
      <w:r w:rsidRPr="00E73D4B">
        <w:t>frå</w:t>
      </w:r>
      <w:proofErr w:type="spellEnd"/>
      <w:r w:rsidRPr="00E73D4B">
        <w:t xml:space="preserve"> </w:t>
      </w:r>
      <w:proofErr w:type="spellStart"/>
      <w:r w:rsidRPr="00E73D4B">
        <w:t>offentlege</w:t>
      </w:r>
      <w:proofErr w:type="spellEnd"/>
      <w:r w:rsidRPr="00E73D4B">
        <w:t xml:space="preserve"> </w:t>
      </w:r>
      <w:proofErr w:type="spellStart"/>
      <w:r w:rsidRPr="00E73D4B">
        <w:t>tenester</w:t>
      </w:r>
      <w:proofErr w:type="spellEnd"/>
      <w:r w:rsidRPr="00E73D4B">
        <w:t xml:space="preserve"> og andre som produserer avfall som </w:t>
      </w:r>
      <w:proofErr w:type="spellStart"/>
      <w:r w:rsidRPr="00E73D4B">
        <w:t>liknar</w:t>
      </w:r>
      <w:proofErr w:type="spellEnd"/>
      <w:r w:rsidRPr="00E73D4B">
        <w:t xml:space="preserve"> </w:t>
      </w:r>
      <w:proofErr w:type="spellStart"/>
      <w:r w:rsidRPr="00E73D4B">
        <w:t>hushaldsavfall</w:t>
      </w:r>
      <w:proofErr w:type="spellEnd"/>
    </w:p>
    <w:p w14:paraId="6F8E67BA" w14:textId="77777777" w:rsidR="00972395" w:rsidRPr="00E73D4B" w:rsidRDefault="00F120C7" w:rsidP="00E73D4B">
      <w:pPr>
        <w:pStyle w:val="avsnitt-undertittel"/>
      </w:pPr>
      <w:r w:rsidRPr="00E73D4B">
        <w:t>Vedtak nr. 486, 27. februar 2018</w:t>
      </w:r>
    </w:p>
    <w:p w14:paraId="452E45FA" w14:textId="77777777" w:rsidR="00972395" w:rsidRPr="00E73D4B" w:rsidRDefault="00F120C7" w:rsidP="00E73D4B">
      <w:pPr>
        <w:pStyle w:val="blokksit"/>
        <w:rPr>
          <w:rStyle w:val="kursiv"/>
        </w:rPr>
      </w:pPr>
      <w:r w:rsidRPr="00E73D4B">
        <w:rPr>
          <w:rStyle w:val="kursiv"/>
        </w:rPr>
        <w:t>«Stortinget ber regjeringen utrede og legge til rette for at alt avfall fra offentlige tjenester og andre som produserer avfall som likner husholdningsavfall, skal ha de samme kravene til materialgjenvinning i norsk regelverk som husholdningsavfall.»</w:t>
      </w:r>
    </w:p>
    <w:p w14:paraId="1B3F67F5"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45 (2016–2017), jf. </w:t>
      </w:r>
      <w:proofErr w:type="spellStart"/>
      <w:r w:rsidRPr="00E73D4B">
        <w:t>Innst</w:t>
      </w:r>
      <w:proofErr w:type="spellEnd"/>
      <w:r w:rsidRPr="00E73D4B">
        <w:t xml:space="preserve">. 127 S (2017–2018) </w:t>
      </w:r>
      <w:r w:rsidRPr="00E73D4B">
        <w:rPr>
          <w:rStyle w:val="kursiv"/>
        </w:rPr>
        <w:t>om Avfall som ressurs – Avfallspolitikk og sirkulær økonomi</w:t>
      </w:r>
      <w:r w:rsidRPr="00E73D4B">
        <w:t xml:space="preserve">, jf. tilrådinga i innstillinga </w:t>
      </w:r>
      <w:proofErr w:type="spellStart"/>
      <w:r w:rsidRPr="00E73D4B">
        <w:t>romartal</w:t>
      </w:r>
      <w:proofErr w:type="spellEnd"/>
      <w:r w:rsidRPr="00E73D4B">
        <w:t xml:space="preserve"> VII.</w:t>
      </w:r>
    </w:p>
    <w:p w14:paraId="6A83D733" w14:textId="77777777" w:rsidR="00972395" w:rsidRPr="00E73D4B" w:rsidRDefault="00F120C7" w:rsidP="00E73D4B">
      <w:r w:rsidRPr="00E73D4B">
        <w:t xml:space="preserve">Departementet har fastsett forskrift om krav til utsortering og materialattvinning av matavfall og plastavfall, med verknad </w:t>
      </w:r>
      <w:proofErr w:type="spellStart"/>
      <w:r w:rsidRPr="00E73D4B">
        <w:t>frå</w:t>
      </w:r>
      <w:proofErr w:type="spellEnd"/>
      <w:r w:rsidRPr="00E73D4B">
        <w:t xml:space="preserve"> 1. januar 2023.</w:t>
      </w:r>
    </w:p>
    <w:p w14:paraId="5EE3BE61"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620B7CEE" w14:textId="77777777" w:rsidR="00972395" w:rsidRPr="00E73D4B" w:rsidRDefault="00F120C7" w:rsidP="00E73D4B">
      <w:pPr>
        <w:pStyle w:val="avsnitt-tittel"/>
      </w:pPr>
      <w:proofErr w:type="spellStart"/>
      <w:r w:rsidRPr="00E73D4B">
        <w:t>Reinsing</w:t>
      </w:r>
      <w:proofErr w:type="spellEnd"/>
      <w:r w:rsidRPr="00E73D4B">
        <w:t xml:space="preserve"> av </w:t>
      </w:r>
      <w:proofErr w:type="spellStart"/>
      <w:r w:rsidRPr="00E73D4B">
        <w:t>flygeoske</w:t>
      </w:r>
      <w:proofErr w:type="spellEnd"/>
    </w:p>
    <w:p w14:paraId="6DC4B3AA" w14:textId="77777777" w:rsidR="00972395" w:rsidRPr="00E73D4B" w:rsidRDefault="00F120C7" w:rsidP="00E73D4B">
      <w:pPr>
        <w:pStyle w:val="avsnitt-undertittel"/>
      </w:pPr>
      <w:r w:rsidRPr="00E73D4B">
        <w:t>Vedtak nr. 487, 27. februar 2018</w:t>
      </w:r>
    </w:p>
    <w:p w14:paraId="2E2D6E9B" w14:textId="77777777" w:rsidR="00972395" w:rsidRPr="00E73D4B" w:rsidRDefault="00F120C7" w:rsidP="00E73D4B">
      <w:pPr>
        <w:pStyle w:val="blokksit"/>
        <w:rPr>
          <w:rStyle w:val="kursiv"/>
        </w:rPr>
      </w:pPr>
      <w:r w:rsidRPr="00E73D4B">
        <w:rPr>
          <w:rStyle w:val="kursiv"/>
        </w:rPr>
        <w:t xml:space="preserve">«Stortinget ber regjeringen utrede påbud om rensing av </w:t>
      </w:r>
      <w:proofErr w:type="spellStart"/>
      <w:r w:rsidRPr="00E73D4B">
        <w:rPr>
          <w:rStyle w:val="kursiv"/>
        </w:rPr>
        <w:t>flyveaske</w:t>
      </w:r>
      <w:proofErr w:type="spellEnd"/>
      <w:r w:rsidRPr="00E73D4B">
        <w:rPr>
          <w:rStyle w:val="kursiv"/>
        </w:rPr>
        <w:t xml:space="preserve"> og komme til Stortinget med dette på egnet måte.»</w:t>
      </w:r>
    </w:p>
    <w:p w14:paraId="1FF8EEE0" w14:textId="77777777" w:rsidR="00972395" w:rsidRPr="00E73D4B" w:rsidRDefault="00F120C7" w:rsidP="00E73D4B">
      <w:r w:rsidRPr="00E73D4B">
        <w:t xml:space="preserve">Vedtaket </w:t>
      </w:r>
      <w:proofErr w:type="spellStart"/>
      <w:r w:rsidRPr="00E73D4B">
        <w:t>vart</w:t>
      </w:r>
      <w:proofErr w:type="spellEnd"/>
      <w:r w:rsidRPr="00E73D4B">
        <w:t xml:space="preserve"> gjort ved </w:t>
      </w:r>
      <w:proofErr w:type="spellStart"/>
      <w:r w:rsidRPr="00E73D4B">
        <w:t>behandlinga</w:t>
      </w:r>
      <w:proofErr w:type="spellEnd"/>
      <w:r w:rsidRPr="00E73D4B">
        <w:t xml:space="preserve"> av Meld. St. 45 (2016–2017), jf. </w:t>
      </w:r>
      <w:proofErr w:type="spellStart"/>
      <w:r w:rsidRPr="00E73D4B">
        <w:t>Innst</w:t>
      </w:r>
      <w:proofErr w:type="spellEnd"/>
      <w:r w:rsidRPr="00E73D4B">
        <w:t xml:space="preserve">. 127 S (2017–2018) </w:t>
      </w:r>
      <w:r w:rsidRPr="00E73D4B">
        <w:rPr>
          <w:rStyle w:val="kursiv"/>
        </w:rPr>
        <w:t>om Avfall som ressurs – Avfallspolitikk og sirkulær økonomi</w:t>
      </w:r>
      <w:r w:rsidRPr="00E73D4B">
        <w:t xml:space="preserve">, jf. tilrådinga i innstillinga </w:t>
      </w:r>
      <w:proofErr w:type="spellStart"/>
      <w:r w:rsidRPr="00E73D4B">
        <w:t>romartal</w:t>
      </w:r>
      <w:proofErr w:type="spellEnd"/>
      <w:r w:rsidRPr="00E73D4B">
        <w:t xml:space="preserve"> XI.</w:t>
      </w:r>
    </w:p>
    <w:p w14:paraId="2BF0D48D" w14:textId="77777777" w:rsidR="00972395" w:rsidRPr="00E73D4B" w:rsidRDefault="00F120C7" w:rsidP="00E73D4B">
      <w:proofErr w:type="spellStart"/>
      <w:r w:rsidRPr="00E73D4B">
        <w:t>Flygeoske</w:t>
      </w:r>
      <w:proofErr w:type="spellEnd"/>
      <w:r w:rsidRPr="00E73D4B">
        <w:t xml:space="preserve"> oppstår ved forbrenning av avfall og blir </w:t>
      </w:r>
      <w:proofErr w:type="spellStart"/>
      <w:r w:rsidRPr="00E73D4B">
        <w:t>rekna</w:t>
      </w:r>
      <w:proofErr w:type="spellEnd"/>
      <w:r w:rsidRPr="00E73D4B">
        <w:t xml:space="preserve"> som </w:t>
      </w:r>
      <w:proofErr w:type="spellStart"/>
      <w:r w:rsidRPr="00E73D4B">
        <w:t>farleg</w:t>
      </w:r>
      <w:proofErr w:type="spellEnd"/>
      <w:r w:rsidRPr="00E73D4B">
        <w:t xml:space="preserve"> avfall. Ved å vinne att salt og tungmetall i slik </w:t>
      </w:r>
      <w:proofErr w:type="spellStart"/>
      <w:r w:rsidRPr="00E73D4B">
        <w:t>oske</w:t>
      </w:r>
      <w:proofErr w:type="spellEnd"/>
      <w:r w:rsidRPr="00E73D4B">
        <w:t xml:space="preserve"> kan behovet for deponi for denne fraksjonen </w:t>
      </w:r>
      <w:proofErr w:type="spellStart"/>
      <w:r w:rsidRPr="00E73D4B">
        <w:t>farleg</w:t>
      </w:r>
      <w:proofErr w:type="spellEnd"/>
      <w:r w:rsidRPr="00E73D4B">
        <w:t xml:space="preserve"> avfall </w:t>
      </w:r>
      <w:proofErr w:type="spellStart"/>
      <w:r w:rsidRPr="00E73D4B">
        <w:t>reduserast</w:t>
      </w:r>
      <w:proofErr w:type="spellEnd"/>
      <w:r w:rsidRPr="00E73D4B">
        <w:t>. Ekspert-</w:t>
      </w:r>
      <w:proofErr w:type="spellStart"/>
      <w:r w:rsidRPr="00E73D4B">
        <w:t>utvalet</w:t>
      </w:r>
      <w:proofErr w:type="spellEnd"/>
      <w:r w:rsidRPr="00E73D4B">
        <w:t xml:space="preserve"> om </w:t>
      </w:r>
      <w:proofErr w:type="spellStart"/>
      <w:r w:rsidRPr="00E73D4B">
        <w:t>farleg</w:t>
      </w:r>
      <w:proofErr w:type="spellEnd"/>
      <w:r w:rsidRPr="00E73D4B">
        <w:t xml:space="preserve"> avfall, som overleverte tilrådinga si til regjeringa i november 2019, </w:t>
      </w:r>
      <w:proofErr w:type="spellStart"/>
      <w:r w:rsidRPr="00E73D4B">
        <w:t>peikte</w:t>
      </w:r>
      <w:proofErr w:type="spellEnd"/>
      <w:r w:rsidRPr="00E73D4B">
        <w:t xml:space="preserve"> på ei </w:t>
      </w:r>
      <w:proofErr w:type="spellStart"/>
      <w:r w:rsidRPr="00E73D4B">
        <w:t>betydeleg</w:t>
      </w:r>
      <w:proofErr w:type="spellEnd"/>
      <w:r w:rsidRPr="00E73D4B">
        <w:t xml:space="preserve"> teknologiutvikling knytt til slik materialattvinning/</w:t>
      </w:r>
      <w:proofErr w:type="spellStart"/>
      <w:r w:rsidRPr="00E73D4B">
        <w:t>reinsing</w:t>
      </w:r>
      <w:proofErr w:type="spellEnd"/>
      <w:r w:rsidRPr="00E73D4B">
        <w:t xml:space="preserve"> av </w:t>
      </w:r>
      <w:proofErr w:type="spellStart"/>
      <w:r w:rsidRPr="00E73D4B">
        <w:t>flygeoske</w:t>
      </w:r>
      <w:proofErr w:type="spellEnd"/>
      <w:r w:rsidRPr="00E73D4B">
        <w:t xml:space="preserve">. Dei viste samstundes til at det </w:t>
      </w:r>
      <w:proofErr w:type="spellStart"/>
      <w:r w:rsidRPr="00E73D4B">
        <w:t>tek</w:t>
      </w:r>
      <w:proofErr w:type="spellEnd"/>
      <w:r w:rsidRPr="00E73D4B">
        <w:t xml:space="preserve"> tid å kommersialisere </w:t>
      </w:r>
      <w:proofErr w:type="spellStart"/>
      <w:r w:rsidRPr="00E73D4B">
        <w:t>teknologiane</w:t>
      </w:r>
      <w:proofErr w:type="spellEnd"/>
      <w:r w:rsidRPr="00E73D4B">
        <w:t xml:space="preserve">, men at anlegg under utvikling indikerer at </w:t>
      </w:r>
      <w:proofErr w:type="spellStart"/>
      <w:r w:rsidRPr="00E73D4B">
        <w:t>teknologiane</w:t>
      </w:r>
      <w:proofErr w:type="spellEnd"/>
      <w:r w:rsidRPr="00E73D4B">
        <w:t xml:space="preserve"> er i ferd med å bli modne. </w:t>
      </w:r>
      <w:proofErr w:type="spellStart"/>
      <w:r w:rsidRPr="00E73D4B">
        <w:t>Sidan</w:t>
      </w:r>
      <w:proofErr w:type="spellEnd"/>
      <w:r w:rsidRPr="00E73D4B">
        <w:t xml:space="preserve"> 2019 har det skjedd </w:t>
      </w:r>
      <w:proofErr w:type="spellStart"/>
      <w:r w:rsidRPr="00E73D4B">
        <w:t>vidare</w:t>
      </w:r>
      <w:proofErr w:type="spellEnd"/>
      <w:r w:rsidRPr="00E73D4B">
        <w:t xml:space="preserve"> utvikling på området, mellom anna i Sverige og </w:t>
      </w:r>
      <w:proofErr w:type="spellStart"/>
      <w:r w:rsidRPr="00E73D4B">
        <w:t>Noreg</w:t>
      </w:r>
      <w:proofErr w:type="spellEnd"/>
      <w:r w:rsidRPr="00E73D4B">
        <w:t xml:space="preserve">, men det er </w:t>
      </w:r>
      <w:proofErr w:type="spellStart"/>
      <w:r w:rsidRPr="00E73D4B">
        <w:t>ikkje</w:t>
      </w:r>
      <w:proofErr w:type="spellEnd"/>
      <w:r w:rsidRPr="00E73D4B">
        <w:t xml:space="preserve"> grunnlag for å innføre </w:t>
      </w:r>
      <w:proofErr w:type="spellStart"/>
      <w:r w:rsidRPr="00E73D4B">
        <w:t>eit</w:t>
      </w:r>
      <w:proofErr w:type="spellEnd"/>
      <w:r w:rsidRPr="00E73D4B">
        <w:t xml:space="preserve"> </w:t>
      </w:r>
      <w:proofErr w:type="spellStart"/>
      <w:r w:rsidRPr="00E73D4B">
        <w:t>påbod</w:t>
      </w:r>
      <w:proofErr w:type="spellEnd"/>
      <w:r w:rsidRPr="00E73D4B">
        <w:t xml:space="preserve"> om </w:t>
      </w:r>
      <w:proofErr w:type="spellStart"/>
      <w:r w:rsidRPr="00E73D4B">
        <w:t>reinsing</w:t>
      </w:r>
      <w:proofErr w:type="spellEnd"/>
      <w:r w:rsidRPr="00E73D4B">
        <w:t xml:space="preserve">. Departementet følgjer utviklinga på området. Stortinget vil bli orientert på eigna måte fremover, i tråd med Kontroll- og konstitusjonskomiteen sin merknad i </w:t>
      </w:r>
      <w:proofErr w:type="spellStart"/>
      <w:r w:rsidRPr="00E73D4B">
        <w:t>Innst</w:t>
      </w:r>
      <w:proofErr w:type="spellEnd"/>
      <w:r w:rsidRPr="00E73D4B">
        <w:t xml:space="preserve">. 141 S (2021-2022). Departementet ser med dette vedtaket som </w:t>
      </w:r>
      <w:proofErr w:type="spellStart"/>
      <w:r w:rsidRPr="00E73D4B">
        <w:t>følgt</w:t>
      </w:r>
      <w:proofErr w:type="spellEnd"/>
      <w:r w:rsidRPr="00E73D4B">
        <w:t xml:space="preserve"> opp.</w:t>
      </w:r>
    </w:p>
    <w:p w14:paraId="51170282" w14:textId="77777777" w:rsidR="00972395" w:rsidRPr="00E73D4B" w:rsidRDefault="00F120C7" w:rsidP="00E73D4B">
      <w:pPr>
        <w:pStyle w:val="avsnitt-tittel"/>
      </w:pPr>
      <w:proofErr w:type="spellStart"/>
      <w:r w:rsidRPr="00E73D4B">
        <w:t>Matkastelov</w:t>
      </w:r>
      <w:proofErr w:type="spellEnd"/>
    </w:p>
    <w:p w14:paraId="7AC81488" w14:textId="77777777" w:rsidR="00972395" w:rsidRPr="00E73D4B" w:rsidRDefault="00F120C7" w:rsidP="00E73D4B">
      <w:pPr>
        <w:pStyle w:val="avsnitt-undertittel"/>
      </w:pPr>
      <w:r w:rsidRPr="00E73D4B">
        <w:t>Vedtak nr. 489, 27. februar 2018</w:t>
      </w:r>
    </w:p>
    <w:p w14:paraId="68C8A768" w14:textId="77777777" w:rsidR="00972395" w:rsidRPr="00E73D4B" w:rsidRDefault="00F120C7" w:rsidP="00E73D4B">
      <w:pPr>
        <w:pStyle w:val="blokksit"/>
        <w:rPr>
          <w:rStyle w:val="kursiv"/>
        </w:rPr>
      </w:pPr>
      <w:r w:rsidRPr="00E73D4B">
        <w:rPr>
          <w:rStyle w:val="kursiv"/>
        </w:rPr>
        <w:t xml:space="preserve">«Stortinget ber regjeringen fremme forslag til en </w:t>
      </w:r>
      <w:proofErr w:type="spellStart"/>
      <w:r w:rsidRPr="00E73D4B">
        <w:rPr>
          <w:rStyle w:val="kursiv"/>
        </w:rPr>
        <w:t>matkastelov</w:t>
      </w:r>
      <w:proofErr w:type="spellEnd"/>
      <w:r w:rsidRPr="00E73D4B">
        <w:rPr>
          <w:rStyle w:val="kursiv"/>
        </w:rPr>
        <w:t xml:space="preserve">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74CB2050" w14:textId="77777777" w:rsidR="00972395" w:rsidRPr="00E73D4B" w:rsidRDefault="00F120C7" w:rsidP="00E73D4B">
      <w:r w:rsidRPr="00E73D4B">
        <w:t xml:space="preserve">Vedtaket </w:t>
      </w:r>
      <w:proofErr w:type="spellStart"/>
      <w:r w:rsidRPr="00E73D4B">
        <w:t>vart</w:t>
      </w:r>
      <w:proofErr w:type="spellEnd"/>
      <w:r w:rsidRPr="00E73D4B">
        <w:t xml:space="preserve"> gjort ved behandling av Meld. St. 45 (2016–2017), jf. </w:t>
      </w:r>
      <w:proofErr w:type="spellStart"/>
      <w:r w:rsidRPr="00E73D4B">
        <w:t>Innst</w:t>
      </w:r>
      <w:proofErr w:type="spellEnd"/>
      <w:r w:rsidRPr="00E73D4B">
        <w:t xml:space="preserve">. 127 S (2017–2018) </w:t>
      </w:r>
      <w:r w:rsidRPr="00E73D4B">
        <w:rPr>
          <w:rStyle w:val="kursiv"/>
        </w:rPr>
        <w:t>om Avfall som ressurs – Avfallspolitikk og sirkulær økonomi</w:t>
      </w:r>
      <w:r w:rsidRPr="00E73D4B">
        <w:t xml:space="preserve">, jf. tilrådinga i innstillinga </w:t>
      </w:r>
      <w:proofErr w:type="spellStart"/>
      <w:r w:rsidRPr="00E73D4B">
        <w:t>romartal</w:t>
      </w:r>
      <w:proofErr w:type="spellEnd"/>
      <w:r w:rsidRPr="00E73D4B">
        <w:t xml:space="preserve"> XV.</w:t>
      </w:r>
    </w:p>
    <w:p w14:paraId="2FA38D9B" w14:textId="77777777" w:rsidR="00972395" w:rsidRPr="00E73D4B" w:rsidRDefault="00F120C7" w:rsidP="00E73D4B">
      <w:r w:rsidRPr="00E73D4B">
        <w:t xml:space="preserve">Det har </w:t>
      </w:r>
      <w:proofErr w:type="spellStart"/>
      <w:r w:rsidRPr="00E73D4B">
        <w:t>vore</w:t>
      </w:r>
      <w:proofErr w:type="spellEnd"/>
      <w:r w:rsidRPr="00E73D4B">
        <w:t xml:space="preserve"> viktig å sjå resultat </w:t>
      </w:r>
      <w:proofErr w:type="spellStart"/>
      <w:r w:rsidRPr="00E73D4B">
        <w:t>frå</w:t>
      </w:r>
      <w:proofErr w:type="spellEnd"/>
      <w:r w:rsidRPr="00E73D4B">
        <w:t xml:space="preserve"> arbeidet under Bransjeavtalen om reduksjon av matsvinn og dra </w:t>
      </w:r>
      <w:proofErr w:type="spellStart"/>
      <w:r w:rsidRPr="00E73D4B">
        <w:t>vekslar</w:t>
      </w:r>
      <w:proofErr w:type="spellEnd"/>
      <w:r w:rsidRPr="00E73D4B">
        <w:t xml:space="preserve"> på </w:t>
      </w:r>
      <w:proofErr w:type="spellStart"/>
      <w:r w:rsidRPr="00E73D4B">
        <w:t>erfaringar</w:t>
      </w:r>
      <w:proofErr w:type="spellEnd"/>
      <w:r w:rsidRPr="00E73D4B">
        <w:t xml:space="preserve"> </w:t>
      </w:r>
      <w:proofErr w:type="spellStart"/>
      <w:r w:rsidRPr="00E73D4B">
        <w:t>frå</w:t>
      </w:r>
      <w:proofErr w:type="spellEnd"/>
      <w:r w:rsidRPr="00E73D4B">
        <w:t xml:space="preserve"> dette arbeidet før </w:t>
      </w:r>
      <w:proofErr w:type="spellStart"/>
      <w:r w:rsidRPr="00E73D4B">
        <w:t>ein</w:t>
      </w:r>
      <w:proofErr w:type="spellEnd"/>
      <w:r w:rsidRPr="00E73D4B">
        <w:t xml:space="preserve"> konkluderer med korleis ei </w:t>
      </w:r>
      <w:proofErr w:type="spellStart"/>
      <w:r w:rsidRPr="00E73D4B">
        <w:t>matkastelov</w:t>
      </w:r>
      <w:proofErr w:type="spellEnd"/>
      <w:r w:rsidRPr="00E73D4B">
        <w:t xml:space="preserve"> skal sjå ut, slik at ei eventuell lov utfyller </w:t>
      </w:r>
      <w:proofErr w:type="spellStart"/>
      <w:r w:rsidRPr="00E73D4B">
        <w:t>eksisterande</w:t>
      </w:r>
      <w:proofErr w:type="spellEnd"/>
      <w:r w:rsidRPr="00E73D4B">
        <w:t xml:space="preserve"> </w:t>
      </w:r>
      <w:proofErr w:type="spellStart"/>
      <w:r w:rsidRPr="00E73D4B">
        <w:t>verkemiddel</w:t>
      </w:r>
      <w:proofErr w:type="spellEnd"/>
      <w:r w:rsidRPr="00E73D4B">
        <w:t xml:space="preserve"> på best </w:t>
      </w:r>
      <w:proofErr w:type="spellStart"/>
      <w:r w:rsidRPr="00E73D4B">
        <w:t>mogleg</w:t>
      </w:r>
      <w:proofErr w:type="spellEnd"/>
      <w:r w:rsidRPr="00E73D4B">
        <w:t xml:space="preserve"> vis. Første </w:t>
      </w:r>
      <w:proofErr w:type="spellStart"/>
      <w:r w:rsidRPr="00E73D4B">
        <w:t>hovudrapporteringa</w:t>
      </w:r>
      <w:proofErr w:type="spellEnd"/>
      <w:r w:rsidRPr="00E73D4B">
        <w:t xml:space="preserve"> under avtalen </w:t>
      </w:r>
      <w:proofErr w:type="spellStart"/>
      <w:r w:rsidRPr="00E73D4B">
        <w:t>vart</w:t>
      </w:r>
      <w:proofErr w:type="spellEnd"/>
      <w:r w:rsidRPr="00E73D4B">
        <w:t xml:space="preserve"> publisert i desember 2021. Basert på denne informasjonen vil regjeringa arbeide </w:t>
      </w:r>
      <w:proofErr w:type="spellStart"/>
      <w:r w:rsidRPr="00E73D4B">
        <w:t>vidare</w:t>
      </w:r>
      <w:proofErr w:type="spellEnd"/>
      <w:r w:rsidRPr="00E73D4B">
        <w:t xml:space="preserve"> med saka. Stortinget vil bli orientert på eigna måte.</w:t>
      </w:r>
    </w:p>
    <w:p w14:paraId="307C468E" w14:textId="77777777" w:rsidR="00972395" w:rsidRPr="00E73D4B" w:rsidRDefault="00F120C7" w:rsidP="00E73D4B">
      <w:pPr>
        <w:pStyle w:val="avsnitt-tittel"/>
      </w:pPr>
      <w:r w:rsidRPr="00E73D4B">
        <w:t>Pålegg om utsortering og materialattvinning av plast- og matavfall</w:t>
      </w:r>
    </w:p>
    <w:p w14:paraId="2AAB87DC" w14:textId="77777777" w:rsidR="00972395" w:rsidRPr="00E73D4B" w:rsidRDefault="00F120C7" w:rsidP="00E73D4B">
      <w:pPr>
        <w:pStyle w:val="avsnitt-undertittel"/>
      </w:pPr>
      <w:r w:rsidRPr="00E73D4B">
        <w:t>Vedtak nr. 502, 27. februar 2018</w:t>
      </w:r>
    </w:p>
    <w:p w14:paraId="1187C756" w14:textId="77777777" w:rsidR="00972395" w:rsidRPr="00E73D4B" w:rsidRDefault="00F120C7" w:rsidP="00E73D4B">
      <w:pPr>
        <w:pStyle w:val="blokksit"/>
        <w:rPr>
          <w:rStyle w:val="kursiv"/>
        </w:rPr>
      </w:pPr>
      <w:r w:rsidRPr="00E73D4B">
        <w:rPr>
          <w:rStyle w:val="kursiv"/>
        </w:rPr>
        <w:t>«Stortinget ber regjeringen pålegge kommuner og næringsaktører utsortering og materialgjenvinning av plast- og matavfall i tråd med anbefalingene fra Miljødirektoratet.»</w:t>
      </w:r>
    </w:p>
    <w:p w14:paraId="20F6DB80"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stortingsrepresentant Une Aina </w:t>
      </w:r>
      <w:proofErr w:type="spellStart"/>
      <w:r w:rsidRPr="00E73D4B">
        <w:t>Bastholm</w:t>
      </w:r>
      <w:proofErr w:type="spellEnd"/>
      <w:r w:rsidRPr="00E73D4B">
        <w:t xml:space="preserve"> om </w:t>
      </w:r>
      <w:proofErr w:type="spellStart"/>
      <w:r w:rsidRPr="00E73D4B">
        <w:t>eit</w:t>
      </w:r>
      <w:proofErr w:type="spellEnd"/>
      <w:r w:rsidRPr="00E73D4B">
        <w:t xml:space="preserve"> løft for norsk sirkulærøkonomi gjennom attvinning av avfall for </w:t>
      </w:r>
      <w:proofErr w:type="spellStart"/>
      <w:r w:rsidRPr="00E73D4B">
        <w:t>næringsaktørar</w:t>
      </w:r>
      <w:proofErr w:type="spellEnd"/>
      <w:r w:rsidRPr="00E73D4B">
        <w:t xml:space="preserve"> og </w:t>
      </w:r>
      <w:proofErr w:type="spellStart"/>
      <w:r w:rsidRPr="00E73D4B">
        <w:t>kommunar</w:t>
      </w:r>
      <w:proofErr w:type="spellEnd"/>
      <w:r w:rsidRPr="00E73D4B">
        <w:t xml:space="preserve">, jf. </w:t>
      </w:r>
      <w:proofErr w:type="spellStart"/>
      <w:r w:rsidRPr="00E73D4B">
        <w:t>Dok</w:t>
      </w:r>
      <w:proofErr w:type="spellEnd"/>
      <w:r w:rsidRPr="00E73D4B">
        <w:t xml:space="preserve">. 8:31 S (2017–2018) og </w:t>
      </w:r>
      <w:proofErr w:type="spellStart"/>
      <w:r w:rsidRPr="00E73D4B">
        <w:t>Innst</w:t>
      </w:r>
      <w:proofErr w:type="spellEnd"/>
      <w:r w:rsidRPr="00E73D4B">
        <w:t>. 129 S (2017–2018).</w:t>
      </w:r>
    </w:p>
    <w:p w14:paraId="394F8C40" w14:textId="77777777" w:rsidR="00972395" w:rsidRPr="00E73D4B" w:rsidRDefault="00F120C7" w:rsidP="00E73D4B">
      <w:r w:rsidRPr="00E73D4B">
        <w:t xml:space="preserve">Departementet har fastsett forskrift om krav til utsortering og materialattvinning av matavfall og plastavfall, med verknad </w:t>
      </w:r>
      <w:proofErr w:type="spellStart"/>
      <w:r w:rsidRPr="00E73D4B">
        <w:t>frå</w:t>
      </w:r>
      <w:proofErr w:type="spellEnd"/>
      <w:r w:rsidRPr="00E73D4B">
        <w:t xml:space="preserve"> 1. januar 2023.</w:t>
      </w:r>
    </w:p>
    <w:p w14:paraId="3BC4496B"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7441635D" w14:textId="77777777" w:rsidR="00972395" w:rsidRPr="00E73D4B" w:rsidRDefault="00F120C7" w:rsidP="00E73D4B">
      <w:pPr>
        <w:pStyle w:val="avsnitt-tittel"/>
      </w:pPr>
      <w:r w:rsidRPr="00E73D4B">
        <w:t xml:space="preserve">Greie ut </w:t>
      </w:r>
      <w:proofErr w:type="spellStart"/>
      <w:r w:rsidRPr="00E73D4B">
        <w:t>strengare</w:t>
      </w:r>
      <w:proofErr w:type="spellEnd"/>
      <w:r w:rsidRPr="00E73D4B">
        <w:t xml:space="preserve"> krav til </w:t>
      </w:r>
      <w:proofErr w:type="spellStart"/>
      <w:r w:rsidRPr="00E73D4B">
        <w:t>svartvass</w:t>
      </w:r>
      <w:proofErr w:type="spellEnd"/>
      <w:r w:rsidRPr="00E73D4B">
        <w:t xml:space="preserve">- og gråvassutslepp </w:t>
      </w:r>
      <w:proofErr w:type="spellStart"/>
      <w:r w:rsidRPr="00E73D4B">
        <w:t>frå</w:t>
      </w:r>
      <w:proofErr w:type="spellEnd"/>
      <w:r w:rsidRPr="00E73D4B">
        <w:t xml:space="preserve"> cruiseskip</w:t>
      </w:r>
    </w:p>
    <w:p w14:paraId="0B8DCA4B" w14:textId="77777777" w:rsidR="00972395" w:rsidRPr="00E73D4B" w:rsidRDefault="00F120C7" w:rsidP="00E73D4B">
      <w:pPr>
        <w:pStyle w:val="avsnitt-undertittel"/>
      </w:pPr>
      <w:r w:rsidRPr="00E73D4B">
        <w:t>Vedtak nr. 661, 3. mai 2018</w:t>
      </w:r>
    </w:p>
    <w:p w14:paraId="59965B1D" w14:textId="77777777" w:rsidR="00972395" w:rsidRPr="00E73D4B" w:rsidRDefault="00F120C7" w:rsidP="00E73D4B">
      <w:pPr>
        <w:pStyle w:val="blokksit"/>
        <w:rPr>
          <w:rStyle w:val="kursiv"/>
        </w:rPr>
      </w:pPr>
      <w:r w:rsidRPr="00E73D4B">
        <w:rPr>
          <w:rStyle w:val="kursiv"/>
        </w:rPr>
        <w:t>«Stortinget ber regjeringen utrede strengere krav til svartvanns- og gråvannsutslipp fra cruiseskip.»</w:t>
      </w:r>
    </w:p>
    <w:p w14:paraId="78324664" w14:textId="77777777" w:rsidR="00972395" w:rsidRPr="00E73D4B" w:rsidRDefault="00F120C7" w:rsidP="00E73D4B">
      <w:r w:rsidRPr="00E73D4B">
        <w:t xml:space="preserve">Dokumenta som ligg til grunn for vedtaket, er Meld. St. 41 (2016–2017) </w:t>
      </w:r>
      <w:r w:rsidRPr="00E73D4B">
        <w:rPr>
          <w:rStyle w:val="kursiv"/>
        </w:rPr>
        <w:t>Klimastrategi for 2030 – norsk omstilling i europeisk samarbeid</w:t>
      </w:r>
      <w:r w:rsidRPr="00E73D4B">
        <w:t xml:space="preserve">,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Audun Lysbakken, Lars Haltbrekken, Kari Elisabeth </w:t>
      </w:r>
      <w:proofErr w:type="spellStart"/>
      <w:r w:rsidRPr="00E73D4B">
        <w:t>Kaski</w:t>
      </w:r>
      <w:proofErr w:type="spellEnd"/>
      <w:r w:rsidRPr="00E73D4B">
        <w:t xml:space="preserve">, Arne Nævra og Torgeir </w:t>
      </w:r>
      <w:proofErr w:type="spellStart"/>
      <w:r w:rsidRPr="00E73D4B">
        <w:t>Knag</w:t>
      </w:r>
      <w:proofErr w:type="spellEnd"/>
      <w:r w:rsidRPr="00E73D4B">
        <w:t xml:space="preserve"> Fylkesnes om å gjennomføre Stortingets mål i klimaforliket om å kutte norske klimagassutslepp fram mot 2020, jf. </w:t>
      </w:r>
      <w:proofErr w:type="spellStart"/>
      <w:r w:rsidRPr="00E73D4B">
        <w:t>Dok</w:t>
      </w:r>
      <w:proofErr w:type="spellEnd"/>
      <w:r w:rsidRPr="00E73D4B">
        <w:t xml:space="preserve">. 8:16 S (2017–2018) og </w:t>
      </w:r>
      <w:proofErr w:type="spellStart"/>
      <w:r w:rsidRPr="00E73D4B">
        <w:t>Innst</w:t>
      </w:r>
      <w:proofErr w:type="spellEnd"/>
      <w:r w:rsidRPr="00E73D4B">
        <w:t xml:space="preserve">. 253 S (2017–2018), jf. tilrådinga i innstillinga </w:t>
      </w:r>
      <w:proofErr w:type="spellStart"/>
      <w:r w:rsidRPr="00E73D4B">
        <w:t>romartal</w:t>
      </w:r>
      <w:proofErr w:type="spellEnd"/>
      <w:r w:rsidRPr="00E73D4B">
        <w:t xml:space="preserve"> VIII.</w:t>
      </w:r>
    </w:p>
    <w:p w14:paraId="3BC368E2" w14:textId="77777777" w:rsidR="00972395" w:rsidRPr="00E73D4B" w:rsidRDefault="00F120C7" w:rsidP="00E73D4B">
      <w:r w:rsidRPr="00E73D4B">
        <w:t xml:space="preserve">Sjøfartsdirektoratet har greidd ut forslag til endring i regelverket for innføring av </w:t>
      </w:r>
      <w:proofErr w:type="spellStart"/>
      <w:r w:rsidRPr="00E73D4B">
        <w:t>strengare</w:t>
      </w:r>
      <w:proofErr w:type="spellEnd"/>
      <w:r w:rsidRPr="00E73D4B">
        <w:t xml:space="preserve"> krav til utslepp av kloakk </w:t>
      </w:r>
      <w:proofErr w:type="spellStart"/>
      <w:r w:rsidRPr="00E73D4B">
        <w:t>frå</w:t>
      </w:r>
      <w:proofErr w:type="spellEnd"/>
      <w:r w:rsidRPr="00E73D4B">
        <w:t xml:space="preserve"> skip langs kysten. Ei kartlegging </w:t>
      </w:r>
      <w:proofErr w:type="spellStart"/>
      <w:r w:rsidRPr="00E73D4B">
        <w:t>frå</w:t>
      </w:r>
      <w:proofErr w:type="spellEnd"/>
      <w:r w:rsidRPr="00E73D4B">
        <w:t xml:space="preserve"> Miljødirektoratet om mottakskapasiteten for kloakk og kloakkslam i hamnene inngår i faggrunnlaget. Saka er til behandling i departementet. Stortinget vil bli orientert på eigna måte.</w:t>
      </w:r>
    </w:p>
    <w:p w14:paraId="529B77FF" w14:textId="77777777" w:rsidR="00972395" w:rsidRPr="00E73D4B" w:rsidRDefault="00F120C7" w:rsidP="00E73D4B">
      <w:pPr>
        <w:pStyle w:val="avsnitt-tittel"/>
      </w:pPr>
      <w:proofErr w:type="gramStart"/>
      <w:r w:rsidRPr="00E73D4B">
        <w:t>Implementere</w:t>
      </w:r>
      <w:proofErr w:type="gramEnd"/>
      <w:r w:rsidRPr="00E73D4B">
        <w:t xml:space="preserve"> krav og </w:t>
      </w:r>
      <w:proofErr w:type="spellStart"/>
      <w:r w:rsidRPr="00E73D4B">
        <w:t>reguleringar</w:t>
      </w:r>
      <w:proofErr w:type="spellEnd"/>
      <w:r w:rsidRPr="00E73D4B">
        <w:t xml:space="preserve"> til utslepp </w:t>
      </w:r>
      <w:proofErr w:type="spellStart"/>
      <w:r w:rsidRPr="00E73D4B">
        <w:t>frå</w:t>
      </w:r>
      <w:proofErr w:type="spellEnd"/>
      <w:r w:rsidRPr="00E73D4B">
        <w:t xml:space="preserve"> cruiseskip og </w:t>
      </w:r>
      <w:proofErr w:type="spellStart"/>
      <w:r w:rsidRPr="00E73D4B">
        <w:t>annan</w:t>
      </w:r>
      <w:proofErr w:type="spellEnd"/>
      <w:r w:rsidRPr="00E73D4B">
        <w:t xml:space="preserve"> skipstrafikk i </w:t>
      </w:r>
      <w:proofErr w:type="spellStart"/>
      <w:r w:rsidRPr="00E73D4B">
        <w:t>turistfjordar</w:t>
      </w:r>
      <w:proofErr w:type="spellEnd"/>
      <w:r w:rsidRPr="00E73D4B">
        <w:t xml:space="preserve"> m.m.</w:t>
      </w:r>
    </w:p>
    <w:p w14:paraId="31575FEF" w14:textId="77777777" w:rsidR="00972395" w:rsidRPr="00E73D4B" w:rsidRDefault="00F120C7" w:rsidP="00E73D4B">
      <w:pPr>
        <w:pStyle w:val="avsnitt-undertittel"/>
      </w:pPr>
      <w:r w:rsidRPr="00E73D4B">
        <w:t>Vedtak nr. 672, 3. mai 2018</w:t>
      </w:r>
    </w:p>
    <w:p w14:paraId="000815B1" w14:textId="77777777" w:rsidR="00972395" w:rsidRPr="00E73D4B" w:rsidRDefault="00F120C7" w:rsidP="00E73D4B">
      <w:pPr>
        <w:pStyle w:val="blokksit"/>
        <w:rPr>
          <w:rStyle w:val="kursiv"/>
        </w:rPr>
      </w:pPr>
      <w:r w:rsidRPr="00E73D4B">
        <w:rPr>
          <w:rStyle w:val="kursiv"/>
        </w:rPr>
        <w:t xml:space="preserve">«Stortinget ber regjeringen </w:t>
      </w:r>
      <w:proofErr w:type="gramStart"/>
      <w:r w:rsidRPr="00E73D4B">
        <w:rPr>
          <w:rStyle w:val="kursiv"/>
        </w:rPr>
        <w:t>implementere</w:t>
      </w:r>
      <w:proofErr w:type="gramEnd"/>
      <w:r w:rsidRPr="00E73D4B">
        <w:rPr>
          <w:rStyle w:val="kursiv"/>
        </w:rPr>
        <w:t xml:space="preserv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w:t>
      </w:r>
    </w:p>
    <w:p w14:paraId="5134CDD0" w14:textId="77777777" w:rsidR="00972395" w:rsidRPr="00E73D4B" w:rsidRDefault="00F120C7" w:rsidP="00E73D4B">
      <w:r w:rsidRPr="00E73D4B">
        <w:t xml:space="preserve">Dokumenta som ligg til grunn for vedtaket, er Meld. St. 41 (2016–2017) </w:t>
      </w:r>
      <w:r w:rsidRPr="00E73D4B">
        <w:rPr>
          <w:rStyle w:val="kursiv"/>
        </w:rPr>
        <w:t>Klimastrategi for 2030 – norsk omstilling i europeisk samarbeid</w:t>
      </w:r>
      <w:r w:rsidRPr="00E73D4B">
        <w:t xml:space="preserve">,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Audun Lysbakken, Lars Haltbrekken, Kari Elisabeth </w:t>
      </w:r>
      <w:proofErr w:type="spellStart"/>
      <w:r w:rsidRPr="00E73D4B">
        <w:t>Kaski</w:t>
      </w:r>
      <w:proofErr w:type="spellEnd"/>
      <w:r w:rsidRPr="00E73D4B">
        <w:t xml:space="preserve">, Arne Nævra og Torgeir </w:t>
      </w:r>
      <w:proofErr w:type="spellStart"/>
      <w:r w:rsidRPr="00E73D4B">
        <w:t>Knag</w:t>
      </w:r>
      <w:proofErr w:type="spellEnd"/>
      <w:r w:rsidRPr="00E73D4B">
        <w:t xml:space="preserve"> Fylkesnes om å gjennomføre Stortingets mål i klimaforliket om å kutte norske klimagassutslepp fram mot 2020, jf. </w:t>
      </w:r>
      <w:proofErr w:type="spellStart"/>
      <w:r w:rsidRPr="00E73D4B">
        <w:t>Dok</w:t>
      </w:r>
      <w:proofErr w:type="spellEnd"/>
      <w:r w:rsidRPr="00E73D4B">
        <w:t xml:space="preserve">. 8:16 S (2017–2018) og </w:t>
      </w:r>
      <w:proofErr w:type="spellStart"/>
      <w:r w:rsidRPr="00E73D4B">
        <w:t>Innst</w:t>
      </w:r>
      <w:proofErr w:type="spellEnd"/>
      <w:r w:rsidRPr="00E73D4B">
        <w:t>. 253 S (2017–2018).</w:t>
      </w:r>
    </w:p>
    <w:p w14:paraId="71C88C56" w14:textId="77777777" w:rsidR="00972395" w:rsidRPr="00E73D4B" w:rsidRDefault="00F120C7" w:rsidP="00E73D4B">
      <w:r w:rsidRPr="00E73D4B">
        <w:t xml:space="preserve">1. mars 2019 innførte Sjøfartsdirektoratet som </w:t>
      </w:r>
      <w:proofErr w:type="spellStart"/>
      <w:r w:rsidRPr="00E73D4B">
        <w:t>eit</w:t>
      </w:r>
      <w:proofErr w:type="spellEnd"/>
      <w:r w:rsidRPr="00E73D4B">
        <w:t xml:space="preserve"> første steg </w:t>
      </w:r>
      <w:proofErr w:type="spellStart"/>
      <w:r w:rsidRPr="00E73D4B">
        <w:t>strengare</w:t>
      </w:r>
      <w:proofErr w:type="spellEnd"/>
      <w:r w:rsidRPr="00E73D4B">
        <w:t xml:space="preserve"> </w:t>
      </w:r>
      <w:proofErr w:type="spellStart"/>
      <w:r w:rsidRPr="00E73D4B">
        <w:t>utsleppskrav</w:t>
      </w:r>
      <w:proofErr w:type="spellEnd"/>
      <w:r w:rsidRPr="00E73D4B">
        <w:t xml:space="preserve"> til skip i </w:t>
      </w:r>
      <w:proofErr w:type="spellStart"/>
      <w:r w:rsidRPr="00E73D4B">
        <w:t>verdsarvfjordane</w:t>
      </w:r>
      <w:proofErr w:type="spellEnd"/>
      <w:r w:rsidRPr="00E73D4B">
        <w:t xml:space="preserve">. I 2020 greidde Sjøfartsdirektoratet ut </w:t>
      </w:r>
      <w:proofErr w:type="spellStart"/>
      <w:r w:rsidRPr="00E73D4B">
        <w:t>konsekvensane</w:t>
      </w:r>
      <w:proofErr w:type="spellEnd"/>
      <w:r w:rsidRPr="00E73D4B">
        <w:t xml:space="preserve"> av å innføre nullutsleppskrav for turistskip og ferjer i </w:t>
      </w:r>
      <w:proofErr w:type="spellStart"/>
      <w:r w:rsidRPr="00E73D4B">
        <w:t>verdsarvfjordane</w:t>
      </w:r>
      <w:proofErr w:type="spellEnd"/>
      <w:r w:rsidRPr="00E73D4B">
        <w:t xml:space="preserve"> så snart det kan </w:t>
      </w:r>
      <w:proofErr w:type="spellStart"/>
      <w:r w:rsidRPr="00E73D4B">
        <w:t>gjennomførast</w:t>
      </w:r>
      <w:proofErr w:type="spellEnd"/>
      <w:r w:rsidRPr="00E73D4B">
        <w:t xml:space="preserve"> teknisk og </w:t>
      </w:r>
      <w:proofErr w:type="spellStart"/>
      <w:r w:rsidRPr="00E73D4B">
        <w:t>seinast</w:t>
      </w:r>
      <w:proofErr w:type="spellEnd"/>
      <w:r w:rsidRPr="00E73D4B">
        <w:t xml:space="preserve"> </w:t>
      </w:r>
      <w:proofErr w:type="spellStart"/>
      <w:r w:rsidRPr="00E73D4B">
        <w:t>innan</w:t>
      </w:r>
      <w:proofErr w:type="spellEnd"/>
      <w:r w:rsidRPr="00E73D4B">
        <w:t xml:space="preserve"> 2026. Utgreiinga viste mellom anna at det er teknologiske </w:t>
      </w:r>
      <w:proofErr w:type="spellStart"/>
      <w:r w:rsidRPr="00E73D4B">
        <w:t>utfordringar</w:t>
      </w:r>
      <w:proofErr w:type="spellEnd"/>
      <w:r w:rsidRPr="00E73D4B">
        <w:t xml:space="preserve"> med å kunne oppnå nullutslepp for større turistskip, som cruiseskip, </w:t>
      </w:r>
      <w:proofErr w:type="spellStart"/>
      <w:r w:rsidRPr="00E73D4B">
        <w:t>innan</w:t>
      </w:r>
      <w:proofErr w:type="spellEnd"/>
      <w:r w:rsidRPr="00E73D4B">
        <w:t xml:space="preserve"> 2026.</w:t>
      </w:r>
    </w:p>
    <w:p w14:paraId="35BCBCAC" w14:textId="77777777" w:rsidR="00972395" w:rsidRPr="00E73D4B" w:rsidRDefault="00F120C7" w:rsidP="00E73D4B">
      <w:r w:rsidRPr="00E73D4B">
        <w:t xml:space="preserve">Ved Stortingets behandling 25. februar 2021 av Dokument 8:23 S (2020–2021) </w:t>
      </w:r>
      <w:r w:rsidRPr="00E73D4B">
        <w:rPr>
          <w:rStyle w:val="kursiv"/>
        </w:rPr>
        <w:t xml:space="preserve">Representantforslag om utsettelse av krav om nullutslipp i </w:t>
      </w:r>
      <w:proofErr w:type="spellStart"/>
      <w:r w:rsidRPr="00E73D4B">
        <w:rPr>
          <w:rStyle w:val="kursiv"/>
        </w:rPr>
        <w:t>verdsarvfjordane</w:t>
      </w:r>
      <w:proofErr w:type="spellEnd"/>
      <w:r w:rsidRPr="00E73D4B">
        <w:rPr>
          <w:rStyle w:val="kursiv"/>
        </w:rPr>
        <w:t xml:space="preserve"> fra 2026 </w:t>
      </w:r>
      <w:proofErr w:type="spellStart"/>
      <w:r w:rsidRPr="00E73D4B">
        <w:t>vart</w:t>
      </w:r>
      <w:proofErr w:type="spellEnd"/>
      <w:r w:rsidRPr="00E73D4B">
        <w:t xml:space="preserve"> det gjort to nye oppmodingsvedtak, </w:t>
      </w:r>
      <w:proofErr w:type="spellStart"/>
      <w:r w:rsidRPr="00E73D4B">
        <w:t>høvesvis</w:t>
      </w:r>
      <w:proofErr w:type="spellEnd"/>
      <w:r w:rsidRPr="00E73D4B">
        <w:t xml:space="preserve"> vedtak nr. 690, 25. februar 2021 «</w:t>
      </w:r>
      <w:r w:rsidRPr="00E73D4B">
        <w:rPr>
          <w:rStyle w:val="kursiv"/>
        </w:rPr>
        <w:t>Stortinget ber regjeringen bidra til gjennomføring av tiltak initiert av lokale og regionale myndigheter, som reduserer utslipp i verdensarvfjordene</w:t>
      </w:r>
      <w:r w:rsidRPr="00E73D4B">
        <w:t>» og vedtak nr. 691, 25. februar 2021 «</w:t>
      </w:r>
      <w:r w:rsidRPr="00E73D4B">
        <w:rPr>
          <w:rStyle w:val="kursiv"/>
        </w:rPr>
        <w:t xml:space="preserve">Stortinget ber regjeringen foreslå tiltak som sikrer verdensarvfjordene som anløpshavn for cruisebåter også etter 2026, blant annet ved at staten sikrer etablering av </w:t>
      </w:r>
      <w:proofErr w:type="spellStart"/>
      <w:r w:rsidRPr="00E73D4B">
        <w:rPr>
          <w:rStyle w:val="kursiv"/>
        </w:rPr>
        <w:t>landstrøm</w:t>
      </w:r>
      <w:proofErr w:type="spellEnd"/>
      <w:r w:rsidRPr="00E73D4B">
        <w:rPr>
          <w:rStyle w:val="kursiv"/>
        </w:rPr>
        <w:t xml:space="preserve"> i Flåm som planlagt innen 2022</w:t>
      </w:r>
      <w:r w:rsidRPr="00E73D4B">
        <w:t>».</w:t>
      </w:r>
    </w:p>
    <w:p w14:paraId="249EEF06" w14:textId="77777777" w:rsidR="00972395" w:rsidRPr="00E73D4B" w:rsidRDefault="00F120C7" w:rsidP="00E73D4B">
      <w:r w:rsidRPr="00E73D4B">
        <w:t xml:space="preserve">På bakgrunn av oppmodingsvedtaka har regjeringa sendt oppdrag til Sjøfartsdirektoratet, der </w:t>
      </w:r>
      <w:proofErr w:type="spellStart"/>
      <w:r w:rsidRPr="00E73D4B">
        <w:t>dei</w:t>
      </w:r>
      <w:proofErr w:type="spellEnd"/>
      <w:r w:rsidRPr="00E73D4B">
        <w:t xml:space="preserve"> blir </w:t>
      </w:r>
      <w:proofErr w:type="spellStart"/>
      <w:r w:rsidRPr="00E73D4B">
        <w:t>bedne</w:t>
      </w:r>
      <w:proofErr w:type="spellEnd"/>
      <w:r w:rsidRPr="00E73D4B">
        <w:t xml:space="preserve"> om </w:t>
      </w:r>
      <w:proofErr w:type="spellStart"/>
      <w:r w:rsidRPr="00E73D4B">
        <w:t>ein</w:t>
      </w:r>
      <w:proofErr w:type="spellEnd"/>
      <w:r w:rsidRPr="00E73D4B">
        <w:t xml:space="preserve"> statusgjennomgang og forslag til korleis krav om nullutslepp for turistskip og ferjer i </w:t>
      </w:r>
      <w:proofErr w:type="spellStart"/>
      <w:r w:rsidRPr="00E73D4B">
        <w:t>verdsarvfjordane</w:t>
      </w:r>
      <w:proofErr w:type="spellEnd"/>
      <w:r w:rsidRPr="00E73D4B">
        <w:t xml:space="preserve"> </w:t>
      </w:r>
      <w:proofErr w:type="spellStart"/>
      <w:r w:rsidRPr="00E73D4B">
        <w:t>frå</w:t>
      </w:r>
      <w:proofErr w:type="spellEnd"/>
      <w:r w:rsidRPr="00E73D4B">
        <w:t xml:space="preserve"> 2026 kan </w:t>
      </w:r>
      <w:proofErr w:type="spellStart"/>
      <w:r w:rsidRPr="00E73D4B">
        <w:t>gjennomførast</w:t>
      </w:r>
      <w:proofErr w:type="spellEnd"/>
      <w:r w:rsidRPr="00E73D4B">
        <w:t xml:space="preserve"> og </w:t>
      </w:r>
      <w:proofErr w:type="spellStart"/>
      <w:r w:rsidRPr="00E73D4B">
        <w:t>innrettast</w:t>
      </w:r>
      <w:proofErr w:type="spellEnd"/>
      <w:r w:rsidRPr="00E73D4B">
        <w:t>. Regjeringa vil komme tilbake til Stortinget på eigna måte.</w:t>
      </w:r>
    </w:p>
    <w:p w14:paraId="0044792C" w14:textId="77777777" w:rsidR="00972395" w:rsidRPr="00E73D4B" w:rsidRDefault="00F120C7" w:rsidP="00E73D4B">
      <w:pPr>
        <w:pStyle w:val="avsnitt-tittel"/>
      </w:pPr>
      <w:r w:rsidRPr="00E73D4B">
        <w:t xml:space="preserve">Nasjonalt </w:t>
      </w:r>
      <w:proofErr w:type="spellStart"/>
      <w:r w:rsidRPr="00E73D4B">
        <w:t>forbod</w:t>
      </w:r>
      <w:proofErr w:type="spellEnd"/>
      <w:r w:rsidRPr="00E73D4B">
        <w:t xml:space="preserve"> mot sal av </w:t>
      </w:r>
      <w:proofErr w:type="spellStart"/>
      <w:r w:rsidRPr="00E73D4B">
        <w:t>heliumballongar</w:t>
      </w:r>
      <w:proofErr w:type="spellEnd"/>
    </w:p>
    <w:p w14:paraId="5DE9451B" w14:textId="77777777" w:rsidR="00972395" w:rsidRPr="00E73D4B" w:rsidRDefault="00F120C7" w:rsidP="00E73D4B">
      <w:pPr>
        <w:pStyle w:val="avsnitt-undertittel"/>
      </w:pPr>
      <w:r w:rsidRPr="00E73D4B">
        <w:t>Vedtak nr. 674, 3. mai 2018</w:t>
      </w:r>
    </w:p>
    <w:p w14:paraId="590CF885" w14:textId="77777777" w:rsidR="00972395" w:rsidRPr="00E73D4B" w:rsidRDefault="00F120C7" w:rsidP="00E73D4B">
      <w:pPr>
        <w:pStyle w:val="blokksit"/>
        <w:rPr>
          <w:rStyle w:val="kursiv"/>
        </w:rPr>
      </w:pPr>
      <w:r w:rsidRPr="00E73D4B">
        <w:rPr>
          <w:rStyle w:val="kursiv"/>
        </w:rPr>
        <w:t>«Stortinget ber regjeringen snarest mulig utrede et nasjonalt forbud mot salg av heliumballonger, og komme tilbake til Stortinget på egnet måte.»</w:t>
      </w:r>
    </w:p>
    <w:p w14:paraId="61A6FB21" w14:textId="77777777" w:rsidR="00972395" w:rsidRPr="00E73D4B" w:rsidRDefault="00F120C7" w:rsidP="00E73D4B">
      <w:r w:rsidRPr="00E73D4B">
        <w:t xml:space="preserve">Dokumenta som ligg til grunn for vedtaket, er Meld. St. 41 (2016–2017) </w:t>
      </w:r>
      <w:r w:rsidRPr="00E73D4B">
        <w:rPr>
          <w:rStyle w:val="kursiv"/>
        </w:rPr>
        <w:t>Klimastrategi for 2030 – norsk omstilling i europeisk samarbeid</w:t>
      </w:r>
      <w:r w:rsidRPr="00E73D4B">
        <w:t xml:space="preserve">,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Audun Lysbakken, Lars Haltbrekken, Kari Elisabeth </w:t>
      </w:r>
      <w:proofErr w:type="spellStart"/>
      <w:r w:rsidRPr="00E73D4B">
        <w:t>Kaski</w:t>
      </w:r>
      <w:proofErr w:type="spellEnd"/>
      <w:r w:rsidRPr="00E73D4B">
        <w:t xml:space="preserve">, Arne Nævra og Torgeir </w:t>
      </w:r>
      <w:proofErr w:type="spellStart"/>
      <w:r w:rsidRPr="00E73D4B">
        <w:t>Knag</w:t>
      </w:r>
      <w:proofErr w:type="spellEnd"/>
      <w:r w:rsidRPr="00E73D4B">
        <w:t xml:space="preserve"> Fylkesnes om å gjennomføre Stortingets mål i klimaforliket om å kutte norske klimagassutslepp fram mot 2020, jf. </w:t>
      </w:r>
      <w:proofErr w:type="spellStart"/>
      <w:r w:rsidRPr="00E73D4B">
        <w:t>Dok</w:t>
      </w:r>
      <w:proofErr w:type="spellEnd"/>
      <w:r w:rsidRPr="00E73D4B">
        <w:t xml:space="preserve">. 8:16 S (2017–2018) og </w:t>
      </w:r>
      <w:proofErr w:type="spellStart"/>
      <w:r w:rsidRPr="00E73D4B">
        <w:t>Innst</w:t>
      </w:r>
      <w:proofErr w:type="spellEnd"/>
      <w:r w:rsidRPr="00E73D4B">
        <w:t>. 253 S (2017–2018).</w:t>
      </w:r>
    </w:p>
    <w:p w14:paraId="5DFD01A5" w14:textId="77777777" w:rsidR="00972395" w:rsidRPr="00E73D4B" w:rsidRDefault="00F120C7" w:rsidP="00E73D4B">
      <w:r w:rsidRPr="00E73D4B">
        <w:t xml:space="preserve">Departementet vurderer </w:t>
      </w:r>
      <w:proofErr w:type="spellStart"/>
      <w:r w:rsidRPr="00E73D4B">
        <w:t>vidare</w:t>
      </w:r>
      <w:proofErr w:type="spellEnd"/>
      <w:r w:rsidRPr="00E73D4B">
        <w:t xml:space="preserve"> behov for utgreiing av </w:t>
      </w:r>
      <w:proofErr w:type="spellStart"/>
      <w:r w:rsidRPr="00E73D4B">
        <w:t>eit</w:t>
      </w:r>
      <w:proofErr w:type="spellEnd"/>
      <w:r w:rsidRPr="00E73D4B">
        <w:t xml:space="preserve"> slikt nasjonalt </w:t>
      </w:r>
      <w:proofErr w:type="spellStart"/>
      <w:r w:rsidRPr="00E73D4B">
        <w:t>forbod</w:t>
      </w:r>
      <w:proofErr w:type="spellEnd"/>
      <w:r w:rsidRPr="00E73D4B">
        <w:t xml:space="preserve"> mot sal av </w:t>
      </w:r>
      <w:proofErr w:type="spellStart"/>
      <w:r w:rsidRPr="00E73D4B">
        <w:t>heliumballongar</w:t>
      </w:r>
      <w:proofErr w:type="spellEnd"/>
      <w:r w:rsidRPr="00E73D4B">
        <w:t>. Stortinget vil bli orientert på eigna måte.</w:t>
      </w:r>
    </w:p>
    <w:p w14:paraId="4E34FCEB" w14:textId="77777777" w:rsidR="00972395" w:rsidRPr="00E73D4B" w:rsidRDefault="00F120C7" w:rsidP="00E73D4B">
      <w:pPr>
        <w:pStyle w:val="Overskrift2"/>
      </w:pPr>
      <w:r w:rsidRPr="00E73D4B">
        <w:t>Stortingssesjon 2016–2017</w:t>
      </w:r>
    </w:p>
    <w:p w14:paraId="61D7A560" w14:textId="77777777" w:rsidR="00972395" w:rsidRPr="00E73D4B" w:rsidRDefault="00F120C7" w:rsidP="00E73D4B">
      <w:pPr>
        <w:pStyle w:val="avsnitt-tittel"/>
      </w:pPr>
      <w:r w:rsidRPr="00E73D4B">
        <w:t>Gratis levering av marint avfall</w:t>
      </w:r>
    </w:p>
    <w:p w14:paraId="28F04432" w14:textId="77777777" w:rsidR="00972395" w:rsidRPr="00E73D4B" w:rsidRDefault="00F120C7" w:rsidP="00E73D4B">
      <w:pPr>
        <w:pStyle w:val="avsnitt-undertittel"/>
      </w:pPr>
      <w:r w:rsidRPr="00E73D4B">
        <w:t>Vedtak nr. 529, 28. mars 2017</w:t>
      </w:r>
    </w:p>
    <w:p w14:paraId="2474F05B" w14:textId="77777777" w:rsidR="00972395" w:rsidRPr="00E73D4B" w:rsidRDefault="00F120C7" w:rsidP="00E73D4B">
      <w:pPr>
        <w:pStyle w:val="blokksit"/>
        <w:rPr>
          <w:rStyle w:val="kursiv"/>
        </w:rPr>
      </w:pPr>
      <w:r w:rsidRPr="00E73D4B">
        <w:rPr>
          <w:rStyle w:val="kursiv"/>
        </w:rPr>
        <w:t>«Stortinget ber regjeringen særskilt belyse hvordan gratis levering av marint avfall bør organiseres, og komme tilbake til dette på egnet måte.»</w:t>
      </w:r>
    </w:p>
    <w:p w14:paraId="3535A3C2" w14:textId="77777777" w:rsidR="00972395" w:rsidRPr="00E73D4B" w:rsidRDefault="00F120C7" w:rsidP="00E73D4B">
      <w:r w:rsidRPr="00E73D4B">
        <w:t xml:space="preserve">Stortinget gjorde vedtaket ved </w:t>
      </w:r>
      <w:proofErr w:type="spellStart"/>
      <w:r w:rsidRPr="00E73D4B">
        <w:t>behandlinga</w:t>
      </w:r>
      <w:proofErr w:type="spellEnd"/>
      <w:r w:rsidRPr="00E73D4B">
        <w:t xml:space="preserve"> av innstilling </w:t>
      </w:r>
      <w:proofErr w:type="spellStart"/>
      <w:r w:rsidRPr="00E73D4B">
        <w:t>frå</w:t>
      </w:r>
      <w:proofErr w:type="spellEnd"/>
      <w:r w:rsidRPr="00E73D4B">
        <w:t xml:space="preserve"> energi- og miljøkomiteen </w:t>
      </w:r>
      <w:proofErr w:type="spellStart"/>
      <w:r w:rsidRPr="00E73D4B">
        <w:t>Innst</w:t>
      </w:r>
      <w:proofErr w:type="spellEnd"/>
      <w:r w:rsidRPr="00E73D4B">
        <w:t xml:space="preserve">. 213 S (2016–2017), jf. </w:t>
      </w:r>
      <w:proofErr w:type="spellStart"/>
      <w:r w:rsidRPr="00E73D4B">
        <w:t>Dok</w:t>
      </w:r>
      <w:proofErr w:type="spellEnd"/>
      <w:r w:rsidRPr="00E73D4B">
        <w:t xml:space="preserve">. 8:31 S (2016–2017), tilrådinga i innstillinga </w:t>
      </w:r>
      <w:proofErr w:type="spellStart"/>
      <w:r w:rsidRPr="00E73D4B">
        <w:t>romartal</w:t>
      </w:r>
      <w:proofErr w:type="spellEnd"/>
      <w:r w:rsidRPr="00E73D4B">
        <w:t xml:space="preserve"> I.</w:t>
      </w:r>
    </w:p>
    <w:p w14:paraId="65D81501" w14:textId="77777777" w:rsidR="00972395" w:rsidRPr="00E73D4B" w:rsidRDefault="00F120C7" w:rsidP="00E73D4B">
      <w:proofErr w:type="spellStart"/>
      <w:r w:rsidRPr="00E73D4B">
        <w:t>Noreg</w:t>
      </w:r>
      <w:proofErr w:type="spellEnd"/>
      <w:r w:rsidRPr="00E73D4B">
        <w:t xml:space="preserve"> skal gjennomføre EUs reviderte skipsavfallsdirektiv. Miljødirektoratet har oversendt forslaga sine til </w:t>
      </w:r>
      <w:proofErr w:type="spellStart"/>
      <w:r w:rsidRPr="00E73D4B">
        <w:t>endringane</w:t>
      </w:r>
      <w:proofErr w:type="spellEnd"/>
      <w:r w:rsidRPr="00E73D4B">
        <w:t xml:space="preserve"> i norsk regelverk som </w:t>
      </w:r>
      <w:proofErr w:type="spellStart"/>
      <w:r w:rsidRPr="00E73D4B">
        <w:t>følgje</w:t>
      </w:r>
      <w:proofErr w:type="spellEnd"/>
      <w:r w:rsidRPr="00E73D4B">
        <w:t xml:space="preserve"> av direktivet etter </w:t>
      </w:r>
      <w:proofErr w:type="spellStart"/>
      <w:r w:rsidRPr="00E73D4B">
        <w:t>høyring</w:t>
      </w:r>
      <w:proofErr w:type="spellEnd"/>
      <w:r w:rsidRPr="00E73D4B">
        <w:t xml:space="preserve">. Forslag til </w:t>
      </w:r>
      <w:proofErr w:type="spellStart"/>
      <w:r w:rsidRPr="00E73D4B">
        <w:t>endringar</w:t>
      </w:r>
      <w:proofErr w:type="spellEnd"/>
      <w:r w:rsidRPr="00E73D4B">
        <w:t xml:space="preserve"> </w:t>
      </w:r>
      <w:proofErr w:type="spellStart"/>
      <w:r w:rsidRPr="00E73D4B">
        <w:t>inneber</w:t>
      </w:r>
      <w:proofErr w:type="spellEnd"/>
      <w:r w:rsidRPr="00E73D4B">
        <w:t xml:space="preserve"> mellom anna at krav om avfallsgebyr i hamn skal </w:t>
      </w:r>
      <w:proofErr w:type="spellStart"/>
      <w:r w:rsidRPr="00E73D4B">
        <w:t>innførast</w:t>
      </w:r>
      <w:proofErr w:type="spellEnd"/>
      <w:r w:rsidRPr="00E73D4B">
        <w:t xml:space="preserve"> også for fiskefartøy slik det </w:t>
      </w:r>
      <w:proofErr w:type="spellStart"/>
      <w:r w:rsidRPr="00E73D4B">
        <w:t>no</w:t>
      </w:r>
      <w:proofErr w:type="spellEnd"/>
      <w:r w:rsidRPr="00E73D4B">
        <w:t xml:space="preserve"> gjeld for andre </w:t>
      </w:r>
      <w:proofErr w:type="spellStart"/>
      <w:r w:rsidRPr="00E73D4B">
        <w:t>typar</w:t>
      </w:r>
      <w:proofErr w:type="spellEnd"/>
      <w:r w:rsidRPr="00E73D4B">
        <w:t xml:space="preserve"> fartøy. Samstundes blir det foreslått at gebyret </w:t>
      </w:r>
      <w:proofErr w:type="spellStart"/>
      <w:r w:rsidRPr="00E73D4B">
        <w:t>ikkje</w:t>
      </w:r>
      <w:proofErr w:type="spellEnd"/>
      <w:r w:rsidRPr="00E73D4B">
        <w:t xml:space="preserve"> </w:t>
      </w:r>
      <w:proofErr w:type="spellStart"/>
      <w:r w:rsidRPr="00E73D4B">
        <w:t>berre</w:t>
      </w:r>
      <w:proofErr w:type="spellEnd"/>
      <w:r w:rsidRPr="00E73D4B">
        <w:t xml:space="preserve"> skal gå til mottak og handtering av avfall </w:t>
      </w:r>
      <w:proofErr w:type="spellStart"/>
      <w:r w:rsidRPr="00E73D4B">
        <w:t>frå</w:t>
      </w:r>
      <w:proofErr w:type="spellEnd"/>
      <w:r w:rsidRPr="00E73D4B">
        <w:t xml:space="preserve"> skipsdrift, men også til oppfiska avfall (marint avfall). Dette vil </w:t>
      </w:r>
      <w:proofErr w:type="spellStart"/>
      <w:r w:rsidRPr="00E73D4B">
        <w:t>innebere</w:t>
      </w:r>
      <w:proofErr w:type="spellEnd"/>
      <w:r w:rsidRPr="00E73D4B">
        <w:t xml:space="preserve"> at det </w:t>
      </w:r>
      <w:proofErr w:type="spellStart"/>
      <w:r w:rsidRPr="00E73D4B">
        <w:t>ikkje</w:t>
      </w:r>
      <w:proofErr w:type="spellEnd"/>
      <w:r w:rsidRPr="00E73D4B">
        <w:t xml:space="preserve"> blir </w:t>
      </w:r>
      <w:proofErr w:type="spellStart"/>
      <w:r w:rsidRPr="00E73D4B">
        <w:t>kravd</w:t>
      </w:r>
      <w:proofErr w:type="spellEnd"/>
      <w:r w:rsidRPr="00E73D4B">
        <w:t xml:space="preserve"> særskilt gebyr for innlevering av avfall som er fått opp </w:t>
      </w:r>
      <w:proofErr w:type="spellStart"/>
      <w:r w:rsidRPr="00E73D4B">
        <w:t>frå</w:t>
      </w:r>
      <w:proofErr w:type="spellEnd"/>
      <w:r w:rsidRPr="00E73D4B">
        <w:t xml:space="preserve"> havet. Det skal også </w:t>
      </w:r>
      <w:proofErr w:type="spellStart"/>
      <w:r w:rsidRPr="00E73D4B">
        <w:t>vere</w:t>
      </w:r>
      <w:proofErr w:type="spellEnd"/>
      <w:r w:rsidRPr="00E73D4B">
        <w:t xml:space="preserve"> tilrettelagt for at oppfiska avfall skal kunne leverast. Forslaget er til vurdering i departementet.</w:t>
      </w:r>
    </w:p>
    <w:p w14:paraId="2DAAA4CD" w14:textId="77777777" w:rsidR="00972395" w:rsidRPr="00E73D4B" w:rsidRDefault="00F120C7" w:rsidP="00E73D4B">
      <w:r w:rsidRPr="00E73D4B">
        <w:t>Stortinget vil bli orientert på eigna måte.</w:t>
      </w:r>
    </w:p>
    <w:p w14:paraId="0681135C" w14:textId="77777777" w:rsidR="00972395" w:rsidRPr="00E73D4B" w:rsidRDefault="00F120C7" w:rsidP="00E73D4B">
      <w:pPr>
        <w:pStyle w:val="avsnitt-tittel"/>
      </w:pPr>
      <w:r w:rsidRPr="00E73D4B">
        <w:t xml:space="preserve">Forslag til tiltak og </w:t>
      </w:r>
      <w:proofErr w:type="spellStart"/>
      <w:r w:rsidRPr="00E73D4B">
        <w:t>verkemiddel</w:t>
      </w:r>
      <w:proofErr w:type="spellEnd"/>
      <w:r w:rsidRPr="00E73D4B">
        <w:t xml:space="preserve"> for overvassproblematikk</w:t>
      </w:r>
    </w:p>
    <w:p w14:paraId="20D05D75" w14:textId="77777777" w:rsidR="00972395" w:rsidRPr="00E73D4B" w:rsidRDefault="00F120C7" w:rsidP="00E73D4B">
      <w:pPr>
        <w:pStyle w:val="avsnitt-undertittel"/>
      </w:pPr>
      <w:r w:rsidRPr="00E73D4B">
        <w:t>Vedtak nr. 914, 14. juni 2017</w:t>
      </w:r>
    </w:p>
    <w:p w14:paraId="749E0B58" w14:textId="77777777" w:rsidR="00972395" w:rsidRPr="00E73D4B" w:rsidRDefault="00F120C7" w:rsidP="00E73D4B">
      <w:pPr>
        <w:pStyle w:val="blokksit"/>
        <w:rPr>
          <w:rStyle w:val="kursiv"/>
        </w:rPr>
      </w:pPr>
      <w:r w:rsidRPr="00E73D4B">
        <w:rPr>
          <w:rStyle w:val="kursiv"/>
        </w:rPr>
        <w:t>«Stortinget ber regjeringen gjennomgå anbefalingene fra overvannsutvalget (NOU 2015: 6), og komme tilbake til Stortinget på egnet måte med forslag til tiltak og virkemidler for overvannsproblematikk, inkludert en vurdering av en egen sektorlov for vann- og avløp.»</w:t>
      </w:r>
    </w:p>
    <w:p w14:paraId="6E2637DC" w14:textId="77777777" w:rsidR="00972395" w:rsidRPr="00E73D4B" w:rsidRDefault="00F120C7" w:rsidP="00E73D4B">
      <w:r w:rsidRPr="00E73D4B">
        <w:t xml:space="preserve">Stortinget gjorde vedtaket ved behandling av </w:t>
      </w:r>
      <w:proofErr w:type="spellStart"/>
      <w:r w:rsidRPr="00E73D4B">
        <w:t>Dok</w:t>
      </w:r>
      <w:proofErr w:type="spellEnd"/>
      <w:r w:rsidRPr="00E73D4B">
        <w:t xml:space="preserve">. 8:78 S (2016–2017), jf. </w:t>
      </w:r>
      <w:proofErr w:type="spellStart"/>
      <w:r w:rsidRPr="00E73D4B">
        <w:t>Innst</w:t>
      </w:r>
      <w:proofErr w:type="spellEnd"/>
      <w:r w:rsidRPr="00E73D4B">
        <w:t xml:space="preserve">. 436 S (2016–2017), jf. tilrådinga i innstillinga </w:t>
      </w:r>
      <w:proofErr w:type="spellStart"/>
      <w:r w:rsidRPr="00E73D4B">
        <w:t>romartal</w:t>
      </w:r>
      <w:proofErr w:type="spellEnd"/>
      <w:r w:rsidRPr="00E73D4B">
        <w:t xml:space="preserve"> I.</w:t>
      </w:r>
    </w:p>
    <w:p w14:paraId="4B39EDBB" w14:textId="77777777" w:rsidR="00972395" w:rsidRPr="00E73D4B" w:rsidRDefault="00F120C7" w:rsidP="00E73D4B">
      <w:proofErr w:type="spellStart"/>
      <w:r w:rsidRPr="00E73D4B">
        <w:t>Overvassutvalet</w:t>
      </w:r>
      <w:proofErr w:type="spellEnd"/>
      <w:r w:rsidRPr="00E73D4B">
        <w:t xml:space="preserve"> foreslo </w:t>
      </w:r>
      <w:proofErr w:type="spellStart"/>
      <w:r w:rsidRPr="00E73D4B">
        <w:t>ein</w:t>
      </w:r>
      <w:proofErr w:type="spellEnd"/>
      <w:r w:rsidRPr="00E73D4B">
        <w:t xml:space="preserve"> pakke av </w:t>
      </w:r>
      <w:proofErr w:type="spellStart"/>
      <w:r w:rsidRPr="00E73D4B">
        <w:t>verkemiddel</w:t>
      </w:r>
      <w:proofErr w:type="spellEnd"/>
      <w:r w:rsidRPr="00E73D4B">
        <w:t xml:space="preserve"> som må </w:t>
      </w:r>
      <w:proofErr w:type="spellStart"/>
      <w:r w:rsidRPr="00E73D4B">
        <w:t>sjåast</w:t>
      </w:r>
      <w:proofErr w:type="spellEnd"/>
      <w:r w:rsidRPr="00E73D4B">
        <w:t xml:space="preserve"> i </w:t>
      </w:r>
      <w:proofErr w:type="spellStart"/>
      <w:r w:rsidRPr="00E73D4B">
        <w:t>samanheng</w:t>
      </w:r>
      <w:proofErr w:type="spellEnd"/>
      <w:r w:rsidRPr="00E73D4B">
        <w:t xml:space="preserve">, og som til </w:t>
      </w:r>
      <w:proofErr w:type="spellStart"/>
      <w:r w:rsidRPr="00E73D4B">
        <w:t>saman</w:t>
      </w:r>
      <w:proofErr w:type="spellEnd"/>
      <w:r w:rsidRPr="00E73D4B">
        <w:t xml:space="preserve"> vil </w:t>
      </w:r>
      <w:proofErr w:type="spellStart"/>
      <w:r w:rsidRPr="00E73D4B">
        <w:t>medverke</w:t>
      </w:r>
      <w:proofErr w:type="spellEnd"/>
      <w:r w:rsidRPr="00E73D4B">
        <w:t xml:space="preserve"> til å oppnå måla om å </w:t>
      </w:r>
      <w:proofErr w:type="spellStart"/>
      <w:r w:rsidRPr="00E73D4B">
        <w:t>førebyggje</w:t>
      </w:r>
      <w:proofErr w:type="spellEnd"/>
      <w:r w:rsidRPr="00E73D4B">
        <w:t xml:space="preserve"> skade på </w:t>
      </w:r>
      <w:proofErr w:type="spellStart"/>
      <w:r w:rsidRPr="00E73D4B">
        <w:t>busetnad</w:t>
      </w:r>
      <w:proofErr w:type="spellEnd"/>
      <w:r w:rsidRPr="00E73D4B">
        <w:t xml:space="preserve">, infrastruktur, helse og miljø. Forslag til </w:t>
      </w:r>
      <w:proofErr w:type="spellStart"/>
      <w:r w:rsidRPr="00E73D4B">
        <w:t>endringar</w:t>
      </w:r>
      <w:proofErr w:type="spellEnd"/>
      <w:r w:rsidRPr="00E73D4B">
        <w:t xml:space="preserve"> i </w:t>
      </w:r>
      <w:proofErr w:type="spellStart"/>
      <w:r w:rsidRPr="00E73D4B">
        <w:t>forureiningslova</w:t>
      </w:r>
      <w:proofErr w:type="spellEnd"/>
      <w:r w:rsidRPr="00E73D4B">
        <w:t xml:space="preserve"> og vass- og avløpsanleggslova </w:t>
      </w:r>
      <w:proofErr w:type="spellStart"/>
      <w:r w:rsidRPr="00E73D4B">
        <w:t>vart</w:t>
      </w:r>
      <w:proofErr w:type="spellEnd"/>
      <w:r w:rsidRPr="00E73D4B">
        <w:t xml:space="preserve"> sendt på </w:t>
      </w:r>
      <w:proofErr w:type="spellStart"/>
      <w:r w:rsidRPr="00E73D4B">
        <w:t>høyring</w:t>
      </w:r>
      <w:proofErr w:type="spellEnd"/>
      <w:r w:rsidRPr="00E73D4B">
        <w:t xml:space="preserve"> i mars 2020 og er til behandling i Klima- og miljødepartementet. Forslag til </w:t>
      </w:r>
      <w:proofErr w:type="spellStart"/>
      <w:r w:rsidRPr="00E73D4B">
        <w:t>endringar</w:t>
      </w:r>
      <w:proofErr w:type="spellEnd"/>
      <w:r w:rsidRPr="00E73D4B">
        <w:t xml:space="preserve"> i plan- og bygningslova </w:t>
      </w:r>
      <w:proofErr w:type="spellStart"/>
      <w:r w:rsidRPr="00E73D4B">
        <w:t>vart</w:t>
      </w:r>
      <w:proofErr w:type="spellEnd"/>
      <w:r w:rsidRPr="00E73D4B">
        <w:t xml:space="preserve"> sendt Stortinget i juni 2022. Kommunal- og </w:t>
      </w:r>
      <w:proofErr w:type="spellStart"/>
      <w:r w:rsidRPr="00E73D4B">
        <w:t>distriktsdepartementet</w:t>
      </w:r>
      <w:proofErr w:type="spellEnd"/>
      <w:r w:rsidRPr="00E73D4B">
        <w:t xml:space="preserve"> vil vedta </w:t>
      </w:r>
      <w:proofErr w:type="spellStart"/>
      <w:r w:rsidRPr="00E73D4B">
        <w:t>endringar</w:t>
      </w:r>
      <w:proofErr w:type="spellEnd"/>
      <w:r w:rsidRPr="00E73D4B">
        <w:t xml:space="preserve"> i </w:t>
      </w:r>
      <w:proofErr w:type="spellStart"/>
      <w:r w:rsidRPr="00E73D4B">
        <w:t>byggjesaksforskrifta</w:t>
      </w:r>
      <w:proofErr w:type="spellEnd"/>
      <w:r w:rsidRPr="00E73D4B">
        <w:t xml:space="preserve"> og </w:t>
      </w:r>
      <w:proofErr w:type="spellStart"/>
      <w:r w:rsidRPr="00E73D4B">
        <w:t>byggteknisk</w:t>
      </w:r>
      <w:proofErr w:type="spellEnd"/>
      <w:r w:rsidRPr="00E73D4B">
        <w:t xml:space="preserve"> forskrift før </w:t>
      </w:r>
      <w:proofErr w:type="spellStart"/>
      <w:r w:rsidRPr="00E73D4B">
        <w:t>lovendringane</w:t>
      </w:r>
      <w:proofErr w:type="spellEnd"/>
      <w:r w:rsidRPr="00E73D4B">
        <w:t xml:space="preserve"> tek til å gjelde. Regjeringa vil komme tilbake til Stortinget på eigna måte.</w:t>
      </w:r>
    </w:p>
    <w:p w14:paraId="0861EDB0" w14:textId="77777777" w:rsidR="00972395" w:rsidRPr="00E73D4B" w:rsidRDefault="00F120C7" w:rsidP="00E73D4B">
      <w:pPr>
        <w:pStyle w:val="Overskrift2"/>
      </w:pPr>
      <w:r w:rsidRPr="00E73D4B">
        <w:t>Stortingssesjon 2015–2016</w:t>
      </w:r>
    </w:p>
    <w:p w14:paraId="2FE828BE" w14:textId="77777777" w:rsidR="00972395" w:rsidRPr="00E73D4B" w:rsidRDefault="00F120C7" w:rsidP="00E73D4B">
      <w:pPr>
        <w:pStyle w:val="avsnitt-tittel"/>
      </w:pPr>
      <w:proofErr w:type="spellStart"/>
      <w:r w:rsidRPr="00E73D4B">
        <w:t>Klargjering</w:t>
      </w:r>
      <w:proofErr w:type="spellEnd"/>
      <w:r w:rsidRPr="00E73D4B">
        <w:t xml:space="preserve"> av kva som er god tilstand, og av kva areal som er å </w:t>
      </w:r>
      <w:proofErr w:type="spellStart"/>
      <w:r w:rsidRPr="00E73D4B">
        <w:t>rekne</w:t>
      </w:r>
      <w:proofErr w:type="spellEnd"/>
      <w:r w:rsidRPr="00E73D4B">
        <w:t xml:space="preserve"> som </w:t>
      </w:r>
      <w:proofErr w:type="spellStart"/>
      <w:r w:rsidRPr="00E73D4B">
        <w:t>ringare</w:t>
      </w:r>
      <w:proofErr w:type="spellEnd"/>
      <w:r w:rsidRPr="00E73D4B">
        <w:t xml:space="preserve"> økosystem</w:t>
      </w:r>
    </w:p>
    <w:p w14:paraId="786FD683" w14:textId="77777777" w:rsidR="00972395" w:rsidRPr="00E73D4B" w:rsidRDefault="00F120C7" w:rsidP="00E73D4B">
      <w:pPr>
        <w:pStyle w:val="avsnitt-undertittel"/>
      </w:pPr>
      <w:r w:rsidRPr="00E73D4B">
        <w:t>Vedtak nr. 669, 23. mai 2016</w:t>
      </w:r>
    </w:p>
    <w:p w14:paraId="75856974" w14:textId="77777777" w:rsidR="00972395" w:rsidRPr="00E73D4B" w:rsidRDefault="00F120C7" w:rsidP="00E73D4B">
      <w:pPr>
        <w:pStyle w:val="blokksit"/>
        <w:rPr>
          <w:rStyle w:val="kursiv"/>
        </w:rPr>
      </w:pPr>
      <w:r w:rsidRPr="00E73D4B">
        <w:rPr>
          <w:rStyle w:val="kursiv"/>
        </w:rPr>
        <w:t>«Stortinget ber regjeringen klargjøre hva som er god tilstand og hvilke arealer som er å regne som forringede økosystemer, og trappe opp arbeidet med å bedre tilstanden i økosystemene, med sikte på at 15 pst. av de forringede økosystemene skal være restaurert innen 2025.»</w:t>
      </w:r>
    </w:p>
    <w:p w14:paraId="1A2B8FBD" w14:textId="77777777" w:rsidR="00972395" w:rsidRPr="00E73D4B" w:rsidRDefault="00F120C7" w:rsidP="00E73D4B">
      <w:r w:rsidRPr="00E73D4B">
        <w:t xml:space="preserve">Stortinget gjorde vedtaket ved behandling av Meld. St. 14 (2015–2016), jf. </w:t>
      </w:r>
      <w:proofErr w:type="spellStart"/>
      <w:r w:rsidRPr="00E73D4B">
        <w:t>Innst</w:t>
      </w:r>
      <w:proofErr w:type="spellEnd"/>
      <w:r w:rsidRPr="00E73D4B">
        <w:t xml:space="preserve">. 294 S (2015–2016) </w:t>
      </w:r>
      <w:r w:rsidRPr="00E73D4B">
        <w:rPr>
          <w:rStyle w:val="kursiv"/>
        </w:rPr>
        <w:t xml:space="preserve">om Natur for livet – Norsk handlingsplan for </w:t>
      </w:r>
      <w:proofErr w:type="spellStart"/>
      <w:r w:rsidRPr="00E73D4B">
        <w:rPr>
          <w:rStyle w:val="kursiv"/>
        </w:rPr>
        <w:t>naturmangfald</w:t>
      </w:r>
      <w:proofErr w:type="spellEnd"/>
      <w:r w:rsidRPr="00E73D4B">
        <w:t xml:space="preserve">, innstillinga </w:t>
      </w:r>
      <w:proofErr w:type="spellStart"/>
      <w:r w:rsidRPr="00E73D4B">
        <w:t>romartal</w:t>
      </w:r>
      <w:proofErr w:type="spellEnd"/>
      <w:r w:rsidRPr="00E73D4B">
        <w:t xml:space="preserve"> III.</w:t>
      </w:r>
    </w:p>
    <w:p w14:paraId="1435FE3C" w14:textId="77777777" w:rsidR="00972395" w:rsidRPr="00E73D4B" w:rsidRDefault="00F120C7" w:rsidP="00E73D4B">
      <w:r w:rsidRPr="00E73D4B">
        <w:t xml:space="preserve">Klima- og miljødepartementet oppretta i 2016 Ekspertrådet for økologisk tilstand. Rådet kom med </w:t>
      </w:r>
      <w:proofErr w:type="spellStart"/>
      <w:r w:rsidRPr="00E73D4B">
        <w:t>tilrådingane</w:t>
      </w:r>
      <w:proofErr w:type="spellEnd"/>
      <w:r w:rsidRPr="00E73D4B">
        <w:t xml:space="preserve"> sine i 2017, og ulike </w:t>
      </w:r>
      <w:proofErr w:type="spellStart"/>
      <w:r w:rsidRPr="00E73D4B">
        <w:t>fagmiljø</w:t>
      </w:r>
      <w:proofErr w:type="spellEnd"/>
      <w:r w:rsidRPr="00E73D4B">
        <w:t xml:space="preserve"> har gjennomført nødvendig utvikling og utprøving av fagsystemet. I 2020 starta arbeidet med å ta fagsystemet i bruk, samstundes som </w:t>
      </w:r>
      <w:proofErr w:type="spellStart"/>
      <w:r w:rsidRPr="00E73D4B">
        <w:t>delar</w:t>
      </w:r>
      <w:proofErr w:type="spellEnd"/>
      <w:r w:rsidRPr="00E73D4B">
        <w:t xml:space="preserve"> av systemet framleis vart utvikla </w:t>
      </w:r>
      <w:proofErr w:type="spellStart"/>
      <w:r w:rsidRPr="00E73D4B">
        <w:t>vidare</w:t>
      </w:r>
      <w:proofErr w:type="spellEnd"/>
      <w:r w:rsidRPr="00E73D4B">
        <w:t xml:space="preserve">. I 2021 </w:t>
      </w:r>
      <w:proofErr w:type="spellStart"/>
      <w:r w:rsidRPr="00E73D4B">
        <w:t>vart</w:t>
      </w:r>
      <w:proofErr w:type="spellEnd"/>
      <w:r w:rsidRPr="00E73D4B">
        <w:t xml:space="preserve"> tilstandsvurdering basert på fagsystemet for økologisk tilstand for økosystema skog og arktisk tundra presentert, </w:t>
      </w:r>
      <w:proofErr w:type="spellStart"/>
      <w:r w:rsidRPr="00E73D4B">
        <w:t>medan</w:t>
      </w:r>
      <w:proofErr w:type="spellEnd"/>
      <w:r w:rsidRPr="00E73D4B">
        <w:t xml:space="preserve"> i 2022 vart tilstandsvurdering for fjell presentert. I tillegg blir det </w:t>
      </w:r>
      <w:proofErr w:type="spellStart"/>
      <w:r w:rsidRPr="00E73D4B">
        <w:t>arbeidd</w:t>
      </w:r>
      <w:proofErr w:type="spellEnd"/>
      <w:r w:rsidRPr="00E73D4B">
        <w:t xml:space="preserve"> med å ferdigstille vurdering for havområda Barentshavet, Nordsjøen og Norskehavet. I tillegg </w:t>
      </w:r>
      <w:proofErr w:type="spellStart"/>
      <w:r w:rsidRPr="00E73D4B">
        <w:t>vart</w:t>
      </w:r>
      <w:proofErr w:type="spellEnd"/>
      <w:r w:rsidRPr="00E73D4B">
        <w:t xml:space="preserve"> det starta </w:t>
      </w:r>
      <w:proofErr w:type="spellStart"/>
      <w:r w:rsidRPr="00E73D4B">
        <w:t>eit</w:t>
      </w:r>
      <w:proofErr w:type="spellEnd"/>
      <w:r w:rsidRPr="00E73D4B">
        <w:t xml:space="preserve"> arbeid med å </w:t>
      </w:r>
      <w:proofErr w:type="spellStart"/>
      <w:r w:rsidRPr="00E73D4B">
        <w:t>styrkje</w:t>
      </w:r>
      <w:proofErr w:type="spellEnd"/>
      <w:r w:rsidRPr="00E73D4B">
        <w:t xml:space="preserve"> faggrunnlaget, med </w:t>
      </w:r>
      <w:proofErr w:type="spellStart"/>
      <w:r w:rsidRPr="00E73D4B">
        <w:t>særleg</w:t>
      </w:r>
      <w:proofErr w:type="spellEnd"/>
      <w:r w:rsidRPr="00E73D4B">
        <w:t xml:space="preserve"> vekt på våtmark og </w:t>
      </w:r>
      <w:proofErr w:type="spellStart"/>
      <w:r w:rsidRPr="00E73D4B">
        <w:t>ope</w:t>
      </w:r>
      <w:proofErr w:type="spellEnd"/>
      <w:r w:rsidRPr="00E73D4B">
        <w:t xml:space="preserve"> lågland der kunnskapsgrunnlaget </w:t>
      </w:r>
      <w:proofErr w:type="spellStart"/>
      <w:r w:rsidRPr="00E73D4B">
        <w:t>ikkje</w:t>
      </w:r>
      <w:proofErr w:type="spellEnd"/>
      <w:r w:rsidRPr="00E73D4B">
        <w:t xml:space="preserve"> er </w:t>
      </w:r>
      <w:proofErr w:type="spellStart"/>
      <w:r w:rsidRPr="00E73D4B">
        <w:t>tilstrekkeleg</w:t>
      </w:r>
      <w:proofErr w:type="spellEnd"/>
      <w:r w:rsidRPr="00E73D4B">
        <w:t xml:space="preserve"> til å vurdere tilstand etter fagsystemet. Arbeidet med å </w:t>
      </w:r>
      <w:proofErr w:type="spellStart"/>
      <w:r w:rsidRPr="00E73D4B">
        <w:t>styrkje</w:t>
      </w:r>
      <w:proofErr w:type="spellEnd"/>
      <w:r w:rsidRPr="00E73D4B">
        <w:t xml:space="preserve"> faggrunnlaget vil </w:t>
      </w:r>
      <w:proofErr w:type="spellStart"/>
      <w:r w:rsidRPr="00E73D4B">
        <w:t>halde</w:t>
      </w:r>
      <w:proofErr w:type="spellEnd"/>
      <w:r w:rsidRPr="00E73D4B">
        <w:t xml:space="preserve"> fram i 2023.</w:t>
      </w:r>
    </w:p>
    <w:p w14:paraId="7666FC97" w14:textId="77777777" w:rsidR="00972395" w:rsidRPr="00E73D4B" w:rsidRDefault="00F120C7" w:rsidP="00E73D4B">
      <w:r w:rsidRPr="00E73D4B">
        <w:t xml:space="preserve">Tilstanden i økosystema med godt nok datagrunnlag kan deretter </w:t>
      </w:r>
      <w:proofErr w:type="spellStart"/>
      <w:r w:rsidRPr="00E73D4B">
        <w:t>vurderast</w:t>
      </w:r>
      <w:proofErr w:type="spellEnd"/>
      <w:r w:rsidRPr="00E73D4B">
        <w:t xml:space="preserve"> med jamne mellomrom, inkludert kva som er sett på som </w:t>
      </w:r>
      <w:proofErr w:type="spellStart"/>
      <w:r w:rsidRPr="00E73D4B">
        <w:t>ringare</w:t>
      </w:r>
      <w:proofErr w:type="spellEnd"/>
      <w:r w:rsidRPr="00E73D4B">
        <w:t xml:space="preserve"> økosystem.</w:t>
      </w:r>
    </w:p>
    <w:p w14:paraId="67F520EB" w14:textId="77777777" w:rsidR="00972395" w:rsidRPr="00E73D4B" w:rsidRDefault="00F120C7" w:rsidP="00E73D4B">
      <w:r w:rsidRPr="00E73D4B">
        <w:t xml:space="preserve">I 2021 </w:t>
      </w:r>
      <w:proofErr w:type="spellStart"/>
      <w:r w:rsidRPr="00E73D4B">
        <w:t>vart</w:t>
      </w:r>
      <w:proofErr w:type="spellEnd"/>
      <w:r w:rsidRPr="00E73D4B">
        <w:t xml:space="preserve"> «Naturstrategi for våtmark» lagt fram. Regjeringa har sett i gang arbeidet med å etablere </w:t>
      </w:r>
      <w:proofErr w:type="spellStart"/>
      <w:r w:rsidRPr="00E73D4B">
        <w:t>ein</w:t>
      </w:r>
      <w:proofErr w:type="spellEnd"/>
      <w:r w:rsidRPr="00E73D4B">
        <w:t xml:space="preserve"> meny av ulike tiltak som </w:t>
      </w:r>
      <w:proofErr w:type="spellStart"/>
      <w:r w:rsidRPr="00E73D4B">
        <w:t>bidreg</w:t>
      </w:r>
      <w:proofErr w:type="spellEnd"/>
      <w:r w:rsidRPr="00E73D4B">
        <w:t xml:space="preserve"> til å </w:t>
      </w:r>
      <w:proofErr w:type="spellStart"/>
      <w:r w:rsidRPr="00E73D4B">
        <w:t>halde</w:t>
      </w:r>
      <w:proofErr w:type="spellEnd"/>
      <w:r w:rsidRPr="00E73D4B">
        <w:t xml:space="preserve"> ved lag </w:t>
      </w:r>
      <w:proofErr w:type="spellStart"/>
      <w:r w:rsidRPr="00E73D4B">
        <w:t>eit</w:t>
      </w:r>
      <w:proofErr w:type="spellEnd"/>
      <w:r w:rsidRPr="00E73D4B">
        <w:t xml:space="preserve"> </w:t>
      </w:r>
      <w:proofErr w:type="spellStart"/>
      <w:r w:rsidRPr="00E73D4B">
        <w:t>mangfald</w:t>
      </w:r>
      <w:proofErr w:type="spellEnd"/>
      <w:r w:rsidRPr="00E73D4B">
        <w:t xml:space="preserve"> av økosystem i god økologisk tilstand for </w:t>
      </w:r>
      <w:proofErr w:type="spellStart"/>
      <w:r w:rsidRPr="00E73D4B">
        <w:t>dei</w:t>
      </w:r>
      <w:proofErr w:type="spellEnd"/>
      <w:r w:rsidRPr="00E73D4B">
        <w:t xml:space="preserve"> andre økosystema på land. Restaureringstiltak vil i samband med dette bli vurderte </w:t>
      </w:r>
      <w:proofErr w:type="spellStart"/>
      <w:r w:rsidRPr="00E73D4B">
        <w:t>saman</w:t>
      </w:r>
      <w:proofErr w:type="spellEnd"/>
      <w:r w:rsidRPr="00E73D4B">
        <w:t xml:space="preserve"> med andre miljøtiltak som kan bidra til å betre tilstanden i økosystema. Globale mål om restaurering vil bli lagt til grunn for arbeidet.</w:t>
      </w:r>
    </w:p>
    <w:p w14:paraId="41FCBF26"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183DDE3D" w14:textId="77777777" w:rsidR="00972395" w:rsidRPr="00E73D4B" w:rsidRDefault="00F120C7" w:rsidP="00E73D4B">
      <w:pPr>
        <w:pStyle w:val="avsnitt-tittel"/>
      </w:pPr>
      <w:r w:rsidRPr="00E73D4B">
        <w:t>Kvalitetsnormer for økosystem som del av utviklinga av nye forvaltningsmål</w:t>
      </w:r>
    </w:p>
    <w:p w14:paraId="18837DF0" w14:textId="77777777" w:rsidR="00972395" w:rsidRPr="00E73D4B" w:rsidRDefault="00F120C7" w:rsidP="00E73D4B">
      <w:pPr>
        <w:pStyle w:val="avsnitt-undertittel"/>
      </w:pPr>
      <w:r w:rsidRPr="00E73D4B">
        <w:t>Vedtak nr. 670, 23. mai 2016</w:t>
      </w:r>
    </w:p>
    <w:p w14:paraId="07832760" w14:textId="77777777" w:rsidR="00972395" w:rsidRPr="00E73D4B" w:rsidRDefault="00F120C7" w:rsidP="00E73D4B">
      <w:pPr>
        <w:pStyle w:val="blokksit"/>
        <w:rPr>
          <w:rStyle w:val="kursiv"/>
        </w:rPr>
      </w:pPr>
      <w:r w:rsidRPr="00E73D4B">
        <w:rPr>
          <w:rStyle w:val="kursiv"/>
        </w:rPr>
        <w:t>«Stortinget ber regjeringen vurdere kvalitetsnormer for økosystemer som en del av utviklingen av nye forvaltningsmål.»</w:t>
      </w:r>
    </w:p>
    <w:p w14:paraId="4D8A306B" w14:textId="77777777" w:rsidR="00972395" w:rsidRPr="00E73D4B" w:rsidRDefault="00F120C7" w:rsidP="00E73D4B">
      <w:r w:rsidRPr="00E73D4B">
        <w:t xml:space="preserve">Stortinget gjorde vedtaket ved </w:t>
      </w:r>
      <w:proofErr w:type="spellStart"/>
      <w:r w:rsidRPr="00E73D4B">
        <w:t>behandlinga</w:t>
      </w:r>
      <w:proofErr w:type="spellEnd"/>
      <w:r w:rsidRPr="00E73D4B">
        <w:t xml:space="preserve"> av Meld. St. 14 (2015–2016), jf. </w:t>
      </w:r>
      <w:proofErr w:type="spellStart"/>
      <w:r w:rsidRPr="00E73D4B">
        <w:t>Innst</w:t>
      </w:r>
      <w:proofErr w:type="spellEnd"/>
      <w:r w:rsidRPr="00E73D4B">
        <w:t xml:space="preserve">. 294 S (2015–2016) </w:t>
      </w:r>
      <w:r w:rsidRPr="00E73D4B">
        <w:rPr>
          <w:rStyle w:val="kursiv"/>
        </w:rPr>
        <w:t xml:space="preserve">om Natur for livet – Norsk handlingsplan for </w:t>
      </w:r>
      <w:proofErr w:type="spellStart"/>
      <w:r w:rsidRPr="00E73D4B">
        <w:rPr>
          <w:rStyle w:val="kursiv"/>
        </w:rPr>
        <w:t>naturmangfald</w:t>
      </w:r>
      <w:proofErr w:type="spellEnd"/>
      <w:r w:rsidRPr="00E73D4B">
        <w:t xml:space="preserve">, jf. innstillinga </w:t>
      </w:r>
      <w:proofErr w:type="spellStart"/>
      <w:r w:rsidRPr="00E73D4B">
        <w:t>romartal</w:t>
      </w:r>
      <w:proofErr w:type="spellEnd"/>
      <w:r w:rsidRPr="00E73D4B">
        <w:t xml:space="preserve"> IV.</w:t>
      </w:r>
    </w:p>
    <w:p w14:paraId="49704898" w14:textId="77777777" w:rsidR="00972395" w:rsidRPr="00E73D4B" w:rsidRDefault="00F120C7" w:rsidP="00E73D4B">
      <w:r w:rsidRPr="00E73D4B">
        <w:t xml:space="preserve">I 2021 </w:t>
      </w:r>
      <w:proofErr w:type="spellStart"/>
      <w:r w:rsidRPr="00E73D4B">
        <w:t>vart</w:t>
      </w:r>
      <w:proofErr w:type="spellEnd"/>
      <w:r w:rsidRPr="00E73D4B">
        <w:t xml:space="preserve"> «Naturstrategi for våtmark» der det er sett forvaltningsmål for våtmark, lagt fram. Dette målet er å (1) bremse nedbyggingstakta for våtmark som er i dag, og (2) </w:t>
      </w:r>
      <w:proofErr w:type="spellStart"/>
      <w:r w:rsidRPr="00E73D4B">
        <w:t>forbetre</w:t>
      </w:r>
      <w:proofErr w:type="spellEnd"/>
      <w:r w:rsidRPr="00E73D4B">
        <w:t xml:space="preserve"> den økologiske tilstanden i våtmark. Naturstrategien fyller ei </w:t>
      </w:r>
      <w:proofErr w:type="spellStart"/>
      <w:r w:rsidRPr="00E73D4B">
        <w:t>liknande</w:t>
      </w:r>
      <w:proofErr w:type="spellEnd"/>
      <w:r w:rsidRPr="00E73D4B">
        <w:t xml:space="preserve"> rolle som </w:t>
      </w:r>
      <w:proofErr w:type="gramStart"/>
      <w:r w:rsidRPr="00E73D4B">
        <w:t>ei kvalitetsnorm</w:t>
      </w:r>
      <w:proofErr w:type="gramEnd"/>
      <w:r w:rsidRPr="00E73D4B">
        <w:t xml:space="preserve"> gjennom det målet som er sett, ei </w:t>
      </w:r>
      <w:proofErr w:type="spellStart"/>
      <w:r w:rsidRPr="00E73D4B">
        <w:t>forbetring</w:t>
      </w:r>
      <w:proofErr w:type="spellEnd"/>
      <w:r w:rsidRPr="00E73D4B">
        <w:t xml:space="preserve"> av kunnskapsgrunnlaget og gjennomføring av konkrete tiltak etter </w:t>
      </w:r>
      <w:proofErr w:type="spellStart"/>
      <w:r w:rsidRPr="00E73D4B">
        <w:t>nærmare</w:t>
      </w:r>
      <w:proofErr w:type="spellEnd"/>
      <w:r w:rsidRPr="00E73D4B">
        <w:t xml:space="preserve"> utgreiing. Kunnskapsgrunnlaget for våtmark bør </w:t>
      </w:r>
      <w:proofErr w:type="spellStart"/>
      <w:r w:rsidRPr="00E73D4B">
        <w:t>vidareutviklast</w:t>
      </w:r>
      <w:proofErr w:type="spellEnd"/>
      <w:r w:rsidRPr="00E73D4B">
        <w:t xml:space="preserve"> før det eventuelt blir fastsett </w:t>
      </w:r>
      <w:proofErr w:type="gramStart"/>
      <w:r w:rsidRPr="00E73D4B">
        <w:t>ei kvalitetsnorm</w:t>
      </w:r>
      <w:proofErr w:type="gramEnd"/>
      <w:r w:rsidRPr="00E73D4B">
        <w:t xml:space="preserve"> for våtmark etter </w:t>
      </w:r>
      <w:proofErr w:type="spellStart"/>
      <w:r w:rsidRPr="00E73D4B">
        <w:t>naturmangfaldlova</w:t>
      </w:r>
      <w:proofErr w:type="spellEnd"/>
      <w:r w:rsidRPr="00E73D4B">
        <w:t xml:space="preserve">. Myr er </w:t>
      </w:r>
      <w:proofErr w:type="spellStart"/>
      <w:r w:rsidRPr="00E73D4B">
        <w:t>ein</w:t>
      </w:r>
      <w:proofErr w:type="spellEnd"/>
      <w:r w:rsidRPr="00E73D4B">
        <w:t xml:space="preserve"> del av økosystemet våtmark, og Klima- og miljødepartementet vil sjå eventuell utarbeiding av </w:t>
      </w:r>
      <w:proofErr w:type="gramStart"/>
      <w:r w:rsidRPr="00E73D4B">
        <w:t>ei kvalitetsnorm</w:t>
      </w:r>
      <w:proofErr w:type="gramEnd"/>
      <w:r w:rsidRPr="00E73D4B">
        <w:t xml:space="preserve"> for myr i </w:t>
      </w:r>
      <w:proofErr w:type="spellStart"/>
      <w:r w:rsidRPr="00E73D4B">
        <w:t>samanheng</w:t>
      </w:r>
      <w:proofErr w:type="spellEnd"/>
      <w:r w:rsidRPr="00E73D4B">
        <w:t xml:space="preserve"> med denne </w:t>
      </w:r>
      <w:proofErr w:type="spellStart"/>
      <w:r w:rsidRPr="00E73D4B">
        <w:t>vidareutviklinga</w:t>
      </w:r>
      <w:proofErr w:type="spellEnd"/>
      <w:r w:rsidRPr="00E73D4B">
        <w:t xml:space="preserve"> av dette kunnskapsgrunnlaget. Naturstrategien vil bli evaluert etter seks år og revidert etter tolv år. Behovet for eventuelle nye mål og </w:t>
      </w:r>
      <w:proofErr w:type="spellStart"/>
      <w:r w:rsidRPr="00E73D4B">
        <w:t>verkemiddel</w:t>
      </w:r>
      <w:proofErr w:type="spellEnd"/>
      <w:r w:rsidRPr="00E73D4B">
        <w:t xml:space="preserve"> vil da bli vurdert på nytt.</w:t>
      </w:r>
    </w:p>
    <w:p w14:paraId="739DD33F" w14:textId="77777777" w:rsidR="00972395" w:rsidRPr="00E73D4B" w:rsidRDefault="00F120C7" w:rsidP="00E73D4B">
      <w:r w:rsidRPr="00E73D4B">
        <w:t xml:space="preserve">Regjeringa har sett i gang arbeidet med å etablere </w:t>
      </w:r>
      <w:proofErr w:type="spellStart"/>
      <w:r w:rsidRPr="00E73D4B">
        <w:t>ein</w:t>
      </w:r>
      <w:proofErr w:type="spellEnd"/>
      <w:r w:rsidRPr="00E73D4B">
        <w:t xml:space="preserve"> meny av ulike tiltak som </w:t>
      </w:r>
      <w:proofErr w:type="spellStart"/>
      <w:r w:rsidRPr="00E73D4B">
        <w:t>bidreg</w:t>
      </w:r>
      <w:proofErr w:type="spellEnd"/>
      <w:r w:rsidRPr="00E73D4B">
        <w:t xml:space="preserve"> til å </w:t>
      </w:r>
      <w:proofErr w:type="spellStart"/>
      <w:r w:rsidRPr="00E73D4B">
        <w:t>halde</w:t>
      </w:r>
      <w:proofErr w:type="spellEnd"/>
      <w:r w:rsidRPr="00E73D4B">
        <w:t xml:space="preserve"> ved lag </w:t>
      </w:r>
      <w:proofErr w:type="spellStart"/>
      <w:r w:rsidRPr="00E73D4B">
        <w:t>eit</w:t>
      </w:r>
      <w:proofErr w:type="spellEnd"/>
      <w:r w:rsidRPr="00E73D4B">
        <w:t xml:space="preserve"> </w:t>
      </w:r>
      <w:proofErr w:type="spellStart"/>
      <w:r w:rsidRPr="00E73D4B">
        <w:t>mangfald</w:t>
      </w:r>
      <w:proofErr w:type="spellEnd"/>
      <w:r w:rsidRPr="00E73D4B">
        <w:t xml:space="preserve"> av økosystem i god økologisk tilstand. Arbeidet med å </w:t>
      </w:r>
      <w:proofErr w:type="spellStart"/>
      <w:r w:rsidRPr="00E73D4B">
        <w:t>følgje</w:t>
      </w:r>
      <w:proofErr w:type="spellEnd"/>
      <w:r w:rsidRPr="00E73D4B">
        <w:t xml:space="preserve"> opp </w:t>
      </w:r>
      <w:proofErr w:type="spellStart"/>
      <w:r w:rsidRPr="00E73D4B">
        <w:t>naturmangfaldmeldinga</w:t>
      </w:r>
      <w:proofErr w:type="spellEnd"/>
      <w:r w:rsidRPr="00E73D4B">
        <w:t xml:space="preserve"> og utvikle forvaltningsmål held med dette fram for </w:t>
      </w:r>
      <w:proofErr w:type="spellStart"/>
      <w:r w:rsidRPr="00E73D4B">
        <w:t>dei</w:t>
      </w:r>
      <w:proofErr w:type="spellEnd"/>
      <w:r w:rsidRPr="00E73D4B">
        <w:t xml:space="preserve"> andre økosystema på land. Vurdering av kvalitetsnormer vil </w:t>
      </w:r>
      <w:proofErr w:type="spellStart"/>
      <w:r w:rsidRPr="00E73D4B">
        <w:t>vere</w:t>
      </w:r>
      <w:proofErr w:type="spellEnd"/>
      <w:r w:rsidRPr="00E73D4B">
        <w:t xml:space="preserve"> </w:t>
      </w:r>
      <w:proofErr w:type="spellStart"/>
      <w:r w:rsidRPr="00E73D4B">
        <w:t>ein</w:t>
      </w:r>
      <w:proofErr w:type="spellEnd"/>
      <w:r w:rsidRPr="00E73D4B">
        <w:t xml:space="preserve"> integrert del av dette arbeidet.</w:t>
      </w:r>
    </w:p>
    <w:p w14:paraId="08BE0489" w14:textId="77777777" w:rsidR="00972395" w:rsidRPr="00E73D4B" w:rsidRDefault="00F120C7" w:rsidP="00E73D4B">
      <w:r w:rsidRPr="00E73D4B">
        <w:t xml:space="preserve">Regjeringa ser på vedtaket som </w:t>
      </w:r>
      <w:proofErr w:type="spellStart"/>
      <w:r w:rsidRPr="00E73D4B">
        <w:t>følgt</w:t>
      </w:r>
      <w:proofErr w:type="spellEnd"/>
      <w:r w:rsidRPr="00E73D4B">
        <w:t xml:space="preserve"> opp.</w:t>
      </w:r>
    </w:p>
    <w:p w14:paraId="7CC0BDEE" w14:textId="77777777" w:rsidR="00972395" w:rsidRPr="00E73D4B" w:rsidRDefault="00F120C7" w:rsidP="00E73D4B">
      <w:pPr>
        <w:pStyle w:val="avsnitt-tittel"/>
      </w:pPr>
      <w:r w:rsidRPr="00E73D4B">
        <w:t xml:space="preserve">Handlingsplan for å </w:t>
      </w:r>
      <w:proofErr w:type="spellStart"/>
      <w:r w:rsidRPr="00E73D4B">
        <w:t>betre</w:t>
      </w:r>
      <w:proofErr w:type="spellEnd"/>
      <w:r w:rsidRPr="00E73D4B">
        <w:t xml:space="preserve"> situasjonen for sjøfugl</w:t>
      </w:r>
    </w:p>
    <w:p w14:paraId="09433C37" w14:textId="77777777" w:rsidR="00972395" w:rsidRPr="00E73D4B" w:rsidRDefault="00F120C7" w:rsidP="00E73D4B">
      <w:pPr>
        <w:pStyle w:val="avsnitt-undertittel"/>
      </w:pPr>
      <w:r w:rsidRPr="00E73D4B">
        <w:t>Vedtak nr. 674, 23. mai 2016</w:t>
      </w:r>
    </w:p>
    <w:p w14:paraId="7369BB0E" w14:textId="77777777" w:rsidR="00972395" w:rsidRPr="00E73D4B" w:rsidRDefault="00F120C7" w:rsidP="00E73D4B">
      <w:pPr>
        <w:pStyle w:val="blokksit"/>
        <w:rPr>
          <w:rStyle w:val="kursiv"/>
        </w:rPr>
      </w:pPr>
      <w:r w:rsidRPr="00E73D4B">
        <w:rPr>
          <w:rStyle w:val="kursiv"/>
        </w:rPr>
        <w:t>«Stortinget ber regjeringen utarbeide en handlingsplan for å bedre situasjonen for sjøfugler. I handlingsplanen må det gjøres en vurdering av hvilke øvrige sjøfugler som bør få status som prioritert art.»</w:t>
      </w:r>
    </w:p>
    <w:p w14:paraId="3A3A0751" w14:textId="77777777" w:rsidR="00972395" w:rsidRPr="00E73D4B" w:rsidRDefault="00F120C7" w:rsidP="00E73D4B">
      <w:r w:rsidRPr="00E73D4B">
        <w:t xml:space="preserve">Vedtaket </w:t>
      </w:r>
      <w:proofErr w:type="spellStart"/>
      <w:r w:rsidRPr="00E73D4B">
        <w:t>vart</w:t>
      </w:r>
      <w:proofErr w:type="spellEnd"/>
      <w:r w:rsidRPr="00E73D4B">
        <w:t xml:space="preserve"> gjort ved stortingsbehandlinga av Meld. St. 14 (2015–2016) </w:t>
      </w:r>
      <w:r w:rsidRPr="00E73D4B">
        <w:rPr>
          <w:rStyle w:val="kursiv"/>
        </w:rPr>
        <w:t xml:space="preserve">Natur for livet – Norsk handlingsplan for </w:t>
      </w:r>
      <w:proofErr w:type="spellStart"/>
      <w:r w:rsidRPr="00E73D4B">
        <w:rPr>
          <w:rStyle w:val="kursiv"/>
        </w:rPr>
        <w:t>naturmangfald</w:t>
      </w:r>
      <w:proofErr w:type="spellEnd"/>
      <w:r w:rsidRPr="00E73D4B">
        <w:rPr>
          <w:rStyle w:val="kursiv"/>
        </w:rPr>
        <w:t>,</w:t>
      </w:r>
      <w:r w:rsidRPr="00E73D4B">
        <w:t xml:space="preserve"> jf. </w:t>
      </w:r>
      <w:proofErr w:type="spellStart"/>
      <w:r w:rsidRPr="00E73D4B">
        <w:t>Innst</w:t>
      </w:r>
      <w:proofErr w:type="spellEnd"/>
      <w:r w:rsidRPr="00E73D4B">
        <w:t xml:space="preserve">. 294 S (2015–2016), innstillinga </w:t>
      </w:r>
      <w:proofErr w:type="spellStart"/>
      <w:r w:rsidRPr="00E73D4B">
        <w:t>romartal</w:t>
      </w:r>
      <w:proofErr w:type="spellEnd"/>
      <w:r w:rsidRPr="00E73D4B">
        <w:t xml:space="preserve"> IX.</w:t>
      </w:r>
    </w:p>
    <w:p w14:paraId="5F377262" w14:textId="77777777" w:rsidR="00972395" w:rsidRPr="00E73D4B" w:rsidRDefault="00F120C7" w:rsidP="00E73D4B">
      <w:r w:rsidRPr="00E73D4B">
        <w:t xml:space="preserve">Ei </w:t>
      </w:r>
      <w:proofErr w:type="spellStart"/>
      <w:r w:rsidRPr="00E73D4B">
        <w:t>direktoratsgruppe</w:t>
      </w:r>
      <w:proofErr w:type="spellEnd"/>
      <w:r w:rsidRPr="00E73D4B">
        <w:t xml:space="preserve"> leidd av Miljødirektoratet har fått i oppdrag å utarbeide </w:t>
      </w:r>
      <w:proofErr w:type="spellStart"/>
      <w:r w:rsidRPr="00E73D4B">
        <w:t>eit</w:t>
      </w:r>
      <w:proofErr w:type="spellEnd"/>
      <w:r w:rsidRPr="00E73D4B">
        <w:t xml:space="preserve"> utkast til handlingsplan for sjøfugl. Utarbeidinga av handlingsplanen har </w:t>
      </w:r>
      <w:proofErr w:type="spellStart"/>
      <w:r w:rsidRPr="00E73D4B">
        <w:t>vore</w:t>
      </w:r>
      <w:proofErr w:type="spellEnd"/>
      <w:r w:rsidRPr="00E73D4B">
        <w:t xml:space="preserve"> </w:t>
      </w:r>
      <w:proofErr w:type="spellStart"/>
      <w:r w:rsidRPr="00E73D4B">
        <w:t>meir</w:t>
      </w:r>
      <w:proofErr w:type="spellEnd"/>
      <w:r w:rsidRPr="00E73D4B">
        <w:t xml:space="preserve"> </w:t>
      </w:r>
      <w:proofErr w:type="spellStart"/>
      <w:r w:rsidRPr="00E73D4B">
        <w:t>omfattande</w:t>
      </w:r>
      <w:proofErr w:type="spellEnd"/>
      <w:r w:rsidRPr="00E73D4B">
        <w:t xml:space="preserve"> og </w:t>
      </w:r>
      <w:proofErr w:type="spellStart"/>
      <w:r w:rsidRPr="00E73D4B">
        <w:t>krevjande</w:t>
      </w:r>
      <w:proofErr w:type="spellEnd"/>
      <w:r w:rsidRPr="00E73D4B">
        <w:t xml:space="preserve"> enn </w:t>
      </w:r>
      <w:proofErr w:type="spellStart"/>
      <w:r w:rsidRPr="00E73D4B">
        <w:t>ein</w:t>
      </w:r>
      <w:proofErr w:type="spellEnd"/>
      <w:r w:rsidRPr="00E73D4B">
        <w:t xml:space="preserve"> først trudde. Dette er </w:t>
      </w:r>
      <w:proofErr w:type="spellStart"/>
      <w:r w:rsidRPr="00E73D4B">
        <w:t>eit</w:t>
      </w:r>
      <w:proofErr w:type="spellEnd"/>
      <w:r w:rsidRPr="00E73D4B">
        <w:t xml:space="preserve"> komplekst og samansett fagområde som involverer mange ulike </w:t>
      </w:r>
      <w:proofErr w:type="spellStart"/>
      <w:r w:rsidRPr="00E73D4B">
        <w:t>sektorar</w:t>
      </w:r>
      <w:proofErr w:type="spellEnd"/>
      <w:r w:rsidRPr="00E73D4B">
        <w:t xml:space="preserve">. Det </w:t>
      </w:r>
      <w:proofErr w:type="spellStart"/>
      <w:r w:rsidRPr="00E73D4B">
        <w:t>tek</w:t>
      </w:r>
      <w:proofErr w:type="spellEnd"/>
      <w:r w:rsidRPr="00E73D4B">
        <w:t xml:space="preserve"> tid å få på plass kunnskapsgrunnlaget som handlingsplanen skal </w:t>
      </w:r>
      <w:proofErr w:type="spellStart"/>
      <w:r w:rsidRPr="00E73D4B">
        <w:t>byggje</w:t>
      </w:r>
      <w:proofErr w:type="spellEnd"/>
      <w:r w:rsidRPr="00E73D4B">
        <w:t xml:space="preserve"> på. Som ledd i dette har Miljødirektoratet gjeve Vitskapskomiteen for mat og miljø (VKM) i oppdrag å levere </w:t>
      </w:r>
      <w:proofErr w:type="spellStart"/>
      <w:r w:rsidRPr="00E73D4B">
        <w:t>eit</w:t>
      </w:r>
      <w:proofErr w:type="spellEnd"/>
      <w:r w:rsidRPr="00E73D4B">
        <w:t xml:space="preserve"> kunnskapsgrunnlag og vurdere nytte og kostnad av relevante tiltak. VKM skal levere sin rapport i desember 2023. Siktemålet er ferdigstilling av </w:t>
      </w:r>
      <w:proofErr w:type="spellStart"/>
      <w:r w:rsidRPr="00E73D4B">
        <w:t>ein</w:t>
      </w:r>
      <w:proofErr w:type="spellEnd"/>
      <w:r w:rsidRPr="00E73D4B">
        <w:t xml:space="preserve"> handlingsplan i løpet av 2024. Stortinget vil bli orientert på eigna måte.</w:t>
      </w:r>
    </w:p>
    <w:p w14:paraId="6D2C1023" w14:textId="77777777" w:rsidR="00972395" w:rsidRPr="00E73D4B" w:rsidRDefault="00F120C7" w:rsidP="00E73D4B">
      <w:pPr>
        <w:pStyle w:val="avsnitt-tittel"/>
      </w:pPr>
      <w:proofErr w:type="spellStart"/>
      <w:r w:rsidRPr="00E73D4B">
        <w:t>Forbod</w:t>
      </w:r>
      <w:proofErr w:type="spellEnd"/>
      <w:r w:rsidRPr="00E73D4B">
        <w:t xml:space="preserve"> mot mikroplast i kroppspleieprodukt</w:t>
      </w:r>
    </w:p>
    <w:p w14:paraId="4E73F631" w14:textId="77777777" w:rsidR="00972395" w:rsidRPr="00E73D4B" w:rsidRDefault="00F120C7" w:rsidP="00E73D4B">
      <w:pPr>
        <w:pStyle w:val="avsnitt-undertittel"/>
      </w:pPr>
      <w:r w:rsidRPr="00E73D4B">
        <w:t>Vedtak nr. 681, 23. mai 2016</w:t>
      </w:r>
    </w:p>
    <w:p w14:paraId="51B889CB" w14:textId="77777777" w:rsidR="00972395" w:rsidRPr="00E73D4B" w:rsidRDefault="00F120C7" w:rsidP="00E73D4B">
      <w:pPr>
        <w:pStyle w:val="blokksit"/>
        <w:rPr>
          <w:rStyle w:val="kursiv"/>
        </w:rPr>
      </w:pPr>
      <w:r w:rsidRPr="00E73D4B">
        <w:rPr>
          <w:rStyle w:val="kursiv"/>
        </w:rPr>
        <w:t>«Stortinget ber regjeringen om fremme forslag med sikte på å forby mikroplast i kroppspleieprodukter.»</w:t>
      </w:r>
    </w:p>
    <w:p w14:paraId="2F8B2257" w14:textId="77777777" w:rsidR="00972395" w:rsidRPr="00E73D4B" w:rsidRDefault="00F120C7" w:rsidP="00E73D4B">
      <w:r w:rsidRPr="00E73D4B">
        <w:t xml:space="preserve">Stortinget gjorde vedtaket ved </w:t>
      </w:r>
      <w:proofErr w:type="spellStart"/>
      <w:r w:rsidRPr="00E73D4B">
        <w:t>behandlinga</w:t>
      </w:r>
      <w:proofErr w:type="spellEnd"/>
      <w:r w:rsidRPr="00E73D4B">
        <w:t xml:space="preserve"> av </w:t>
      </w:r>
      <w:proofErr w:type="spellStart"/>
      <w:r w:rsidRPr="00E73D4B">
        <w:t>Dok</w:t>
      </w:r>
      <w:proofErr w:type="spellEnd"/>
      <w:r w:rsidRPr="00E73D4B">
        <w:t xml:space="preserve">. 8:44 S (2015–2016), jf. </w:t>
      </w:r>
      <w:proofErr w:type="spellStart"/>
      <w:r w:rsidRPr="00E73D4B">
        <w:t>Innst</w:t>
      </w:r>
      <w:proofErr w:type="spellEnd"/>
      <w:r w:rsidRPr="00E73D4B">
        <w:t xml:space="preserve">. 282 S (2015–2016), tilrådinga i innstillinga </w:t>
      </w:r>
      <w:proofErr w:type="spellStart"/>
      <w:r w:rsidRPr="00E73D4B">
        <w:t>romartal</w:t>
      </w:r>
      <w:proofErr w:type="spellEnd"/>
      <w:r w:rsidRPr="00E73D4B">
        <w:t xml:space="preserve"> I.</w:t>
      </w:r>
    </w:p>
    <w:p w14:paraId="07B1252C" w14:textId="77777777" w:rsidR="00972395" w:rsidRPr="00E73D4B" w:rsidRDefault="00F120C7" w:rsidP="00E73D4B">
      <w:proofErr w:type="spellStart"/>
      <w:r w:rsidRPr="00E73D4B">
        <w:t>Eit</w:t>
      </w:r>
      <w:proofErr w:type="spellEnd"/>
      <w:r w:rsidRPr="00E73D4B">
        <w:t xml:space="preserve"> forslag til restriksjon </w:t>
      </w:r>
      <w:proofErr w:type="spellStart"/>
      <w:r w:rsidRPr="00E73D4B">
        <w:t>frå</w:t>
      </w:r>
      <w:proofErr w:type="spellEnd"/>
      <w:r w:rsidRPr="00E73D4B">
        <w:t xml:space="preserve"> EUs kjemikaliebyrå under EU/EØS-regelverket REACH mot mikroplast tilsett i produkt som blir </w:t>
      </w:r>
      <w:proofErr w:type="spellStart"/>
      <w:r w:rsidRPr="00E73D4B">
        <w:t>marknadsførte</w:t>
      </w:r>
      <w:proofErr w:type="spellEnd"/>
      <w:r w:rsidRPr="00E73D4B">
        <w:t xml:space="preserve"> i Europa, </w:t>
      </w:r>
      <w:proofErr w:type="spellStart"/>
      <w:r w:rsidRPr="00E73D4B">
        <w:t>vart</w:t>
      </w:r>
      <w:proofErr w:type="spellEnd"/>
      <w:r w:rsidRPr="00E73D4B">
        <w:t xml:space="preserve"> ferdigstilt i 2019. EU-kommisjonen </w:t>
      </w:r>
      <w:proofErr w:type="spellStart"/>
      <w:r w:rsidRPr="00E73D4B">
        <w:t>fremja</w:t>
      </w:r>
      <w:proofErr w:type="spellEnd"/>
      <w:r w:rsidRPr="00E73D4B">
        <w:t xml:space="preserve"> forslag til endring av regelverket den 31. august 2022. Dette vil også omfatte </w:t>
      </w:r>
      <w:proofErr w:type="spellStart"/>
      <w:r w:rsidRPr="00E73D4B">
        <w:t>forbod</w:t>
      </w:r>
      <w:proofErr w:type="spellEnd"/>
      <w:r w:rsidRPr="00E73D4B">
        <w:t xml:space="preserve"> mot mikroplast tilsett i kroppspleieprodukt. </w:t>
      </w:r>
      <w:proofErr w:type="spellStart"/>
      <w:r w:rsidRPr="00E73D4B">
        <w:t>Eit</w:t>
      </w:r>
      <w:proofErr w:type="spellEnd"/>
      <w:r w:rsidRPr="00E73D4B">
        <w:t xml:space="preserve"> </w:t>
      </w:r>
      <w:proofErr w:type="spellStart"/>
      <w:r w:rsidRPr="00E73D4B">
        <w:t>forbod</w:t>
      </w:r>
      <w:proofErr w:type="spellEnd"/>
      <w:r w:rsidRPr="00E73D4B">
        <w:t xml:space="preserve"> er dermed </w:t>
      </w:r>
      <w:proofErr w:type="spellStart"/>
      <w:r w:rsidRPr="00E73D4B">
        <w:t>ikkje</w:t>
      </w:r>
      <w:proofErr w:type="spellEnd"/>
      <w:r w:rsidRPr="00E73D4B">
        <w:t xml:space="preserve"> venta </w:t>
      </w:r>
      <w:proofErr w:type="spellStart"/>
      <w:r w:rsidRPr="00E73D4B">
        <w:t>endeleg</w:t>
      </w:r>
      <w:proofErr w:type="spellEnd"/>
      <w:r w:rsidRPr="00E73D4B">
        <w:t xml:space="preserve"> </w:t>
      </w:r>
      <w:proofErr w:type="spellStart"/>
      <w:r w:rsidRPr="00E73D4B">
        <w:t>vedteke</w:t>
      </w:r>
      <w:proofErr w:type="spellEnd"/>
      <w:r w:rsidRPr="00E73D4B">
        <w:t xml:space="preserve"> før i 2023. Norske miljøstyresmakter vil aktivt følgje arbeidet. Stortinget vil bli orientert på eigna måte.</w:t>
      </w:r>
    </w:p>
    <w:p w14:paraId="31EBB9FD" w14:textId="77777777" w:rsidR="00972395" w:rsidRPr="00E73D4B" w:rsidRDefault="00F120C7" w:rsidP="00E73D4B">
      <w:pPr>
        <w:pStyle w:val="Overskrift1"/>
      </w:pPr>
      <w:r w:rsidRPr="00E73D4B">
        <w:t xml:space="preserve">Kommunal- og </w:t>
      </w:r>
      <w:proofErr w:type="spellStart"/>
      <w:r w:rsidRPr="00E73D4B">
        <w:t>distriktsdepartementet</w:t>
      </w:r>
      <w:proofErr w:type="spellEnd"/>
    </w:p>
    <w:p w14:paraId="3B4AF0CF" w14:textId="68F0C012" w:rsidR="00972395" w:rsidRDefault="00F120C7" w:rsidP="00E73D4B">
      <w:proofErr w:type="spellStart"/>
      <w:r w:rsidRPr="00E73D4B">
        <w:t>Nedanfor</w:t>
      </w:r>
      <w:proofErr w:type="spellEnd"/>
      <w:r w:rsidRPr="00E73D4B">
        <w:t xml:space="preserve"> er </w:t>
      </w:r>
      <w:proofErr w:type="gramStart"/>
      <w:r w:rsidRPr="00E73D4B">
        <w:t>ei oversikt</w:t>
      </w:r>
      <w:proofErr w:type="gramEnd"/>
      <w:r w:rsidRPr="00E73D4B">
        <w:t xml:space="preserve"> over oppfølging av oppmodingsvedtak under Kommunal- og </w:t>
      </w:r>
      <w:proofErr w:type="spellStart"/>
      <w:r w:rsidRPr="00E73D4B">
        <w:t>distriktsdepartementet</w:t>
      </w:r>
      <w:proofErr w:type="spellEnd"/>
      <w:r w:rsidRPr="00E73D4B">
        <w:t xml:space="preserve">. </w:t>
      </w:r>
      <w:proofErr w:type="spellStart"/>
      <w:r w:rsidRPr="00E73D4B">
        <w:t>Oversikta</w:t>
      </w:r>
      <w:proofErr w:type="spellEnd"/>
      <w:r w:rsidRPr="00E73D4B">
        <w:t xml:space="preserve"> </w:t>
      </w:r>
      <w:proofErr w:type="spellStart"/>
      <w:r w:rsidRPr="00E73D4B">
        <w:t>omfattar</w:t>
      </w:r>
      <w:proofErr w:type="spellEnd"/>
      <w:r w:rsidRPr="00E73D4B">
        <w:t xml:space="preserve"> alle vedtak </w:t>
      </w:r>
      <w:proofErr w:type="spellStart"/>
      <w:r w:rsidRPr="00E73D4B">
        <w:t>frå</w:t>
      </w:r>
      <w:proofErr w:type="spellEnd"/>
      <w:r w:rsidRPr="00E73D4B">
        <w:t xml:space="preserve"> stortingssesjonen 2021–2022 og alle vedtak </w:t>
      </w:r>
      <w:proofErr w:type="spellStart"/>
      <w:r w:rsidRPr="00E73D4B">
        <w:t>frå</w:t>
      </w:r>
      <w:proofErr w:type="spellEnd"/>
      <w:r w:rsidRPr="00E73D4B">
        <w:t xml:space="preserve"> </w:t>
      </w:r>
      <w:proofErr w:type="spellStart"/>
      <w:r w:rsidRPr="00E73D4B">
        <w:t>tidlegare</w:t>
      </w:r>
      <w:proofErr w:type="spellEnd"/>
      <w:r w:rsidRPr="00E73D4B">
        <w:t xml:space="preserve"> </w:t>
      </w:r>
      <w:proofErr w:type="spellStart"/>
      <w:r w:rsidRPr="00E73D4B">
        <w:t>sesjonar</w:t>
      </w:r>
      <w:proofErr w:type="spellEnd"/>
      <w:r w:rsidRPr="00E73D4B">
        <w:t xml:space="preserve"> som kontroll- og konstitusjonskomiteen i </w:t>
      </w:r>
      <w:proofErr w:type="spellStart"/>
      <w:r w:rsidRPr="00E73D4B">
        <w:t>Innst</w:t>
      </w:r>
      <w:proofErr w:type="spellEnd"/>
      <w:r w:rsidRPr="00E73D4B">
        <w:t xml:space="preserve">. 141 S (2021–2022) meinte </w:t>
      </w:r>
      <w:proofErr w:type="spellStart"/>
      <w:r w:rsidRPr="00E73D4B">
        <w:t>ikkje</w:t>
      </w:r>
      <w:proofErr w:type="spellEnd"/>
      <w:r w:rsidRPr="00E73D4B">
        <w:t xml:space="preserve"> var </w:t>
      </w:r>
      <w:proofErr w:type="spellStart"/>
      <w:r w:rsidRPr="00E73D4B">
        <w:t>følgde</w:t>
      </w:r>
      <w:proofErr w:type="spellEnd"/>
      <w:r w:rsidRPr="00E73D4B">
        <w:t xml:space="preserve"> opp ferdig. I tabellen </w:t>
      </w:r>
      <w:proofErr w:type="spellStart"/>
      <w:r w:rsidRPr="00E73D4B">
        <w:t>nedanfor</w:t>
      </w:r>
      <w:proofErr w:type="spellEnd"/>
      <w:r w:rsidRPr="00E73D4B">
        <w:t xml:space="preserve"> blir det og opplyst om departementet planlegg at rapporteringa knytt til oppmodingsvedtaket </w:t>
      </w:r>
      <w:proofErr w:type="spellStart"/>
      <w:r w:rsidRPr="00E73D4B">
        <w:t>no</w:t>
      </w:r>
      <w:proofErr w:type="spellEnd"/>
      <w:r w:rsidRPr="00E73D4B">
        <w:t xml:space="preserve"> blir avslutta eller om departementet òg vil rapportere konkret på vedtaket i budsjettproposisjonen for neste år.</w:t>
      </w:r>
    </w:p>
    <w:p w14:paraId="77056EB1" w14:textId="26747BAE" w:rsidR="001C4219" w:rsidRPr="00E73D4B" w:rsidRDefault="001C4219" w:rsidP="001C4219">
      <w:pPr>
        <w:pStyle w:val="tabell-tittel"/>
      </w:pPr>
      <w:r w:rsidRPr="00E73D4B">
        <w:t>Oversikt over oppmodingsvedtak, ordna etter sesjon og nummer</w:t>
      </w:r>
    </w:p>
    <w:p w14:paraId="4504FD21"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517"/>
        <w:gridCol w:w="1275"/>
        <w:gridCol w:w="4721"/>
        <w:gridCol w:w="1687"/>
      </w:tblGrid>
      <w:tr w:rsidR="00972395" w:rsidRPr="00E73D4B" w14:paraId="082A9121" w14:textId="77777777" w:rsidTr="007116DC">
        <w:trPr>
          <w:trHeight w:val="600"/>
        </w:trPr>
        <w:tc>
          <w:tcPr>
            <w:tcW w:w="15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C05767B" w14:textId="77777777" w:rsidR="00972395" w:rsidRPr="00E73D4B" w:rsidRDefault="00F120C7" w:rsidP="001C4219">
            <w:r w:rsidRPr="00E73D4B">
              <w:t>Sesjon</w:t>
            </w:r>
          </w:p>
        </w:tc>
        <w:tc>
          <w:tcPr>
            <w:tcW w:w="12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9F4A6A" w14:textId="77777777" w:rsidR="00972395" w:rsidRPr="00E73D4B" w:rsidRDefault="00F120C7" w:rsidP="001C4219">
            <w:pPr>
              <w:jc w:val="right"/>
            </w:pPr>
            <w:r w:rsidRPr="00E73D4B">
              <w:t>Vedtak nr.</w:t>
            </w:r>
          </w:p>
        </w:tc>
        <w:tc>
          <w:tcPr>
            <w:tcW w:w="472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F6968F" w14:textId="77777777" w:rsidR="00972395" w:rsidRPr="00E73D4B" w:rsidRDefault="00F120C7" w:rsidP="001C4219">
            <w:r w:rsidRPr="00E73D4B">
              <w:t>Stikkord</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BFA9B74" w14:textId="77777777" w:rsidR="00972395" w:rsidRPr="00E73D4B" w:rsidRDefault="00F120C7" w:rsidP="001C4219">
            <w:pPr>
              <w:jc w:val="right"/>
            </w:pPr>
            <w:r w:rsidRPr="00E73D4B">
              <w:t>Rapporteringa blir avslutta (Ja/Nei)</w:t>
            </w:r>
          </w:p>
        </w:tc>
      </w:tr>
      <w:tr w:rsidR="00972395" w:rsidRPr="00E73D4B" w14:paraId="000CA7FD" w14:textId="77777777" w:rsidTr="007116DC">
        <w:trPr>
          <w:trHeight w:val="380"/>
        </w:trPr>
        <w:tc>
          <w:tcPr>
            <w:tcW w:w="1517" w:type="dxa"/>
            <w:tcBorders>
              <w:top w:val="single" w:sz="4" w:space="0" w:color="000000"/>
              <w:left w:val="nil"/>
              <w:bottom w:val="nil"/>
              <w:right w:val="nil"/>
            </w:tcBorders>
            <w:tcMar>
              <w:top w:w="128" w:type="dxa"/>
              <w:left w:w="43" w:type="dxa"/>
              <w:bottom w:w="43" w:type="dxa"/>
              <w:right w:w="43" w:type="dxa"/>
            </w:tcMar>
          </w:tcPr>
          <w:p w14:paraId="640E5D40" w14:textId="77777777" w:rsidR="00972395" w:rsidRPr="00E73D4B" w:rsidRDefault="00F120C7" w:rsidP="001C4219">
            <w:r w:rsidRPr="00E73D4B">
              <w:t>2021–2022</w:t>
            </w:r>
          </w:p>
        </w:tc>
        <w:tc>
          <w:tcPr>
            <w:tcW w:w="1275" w:type="dxa"/>
            <w:tcBorders>
              <w:top w:val="single" w:sz="4" w:space="0" w:color="000000"/>
              <w:left w:val="nil"/>
              <w:bottom w:val="nil"/>
              <w:right w:val="nil"/>
            </w:tcBorders>
            <w:tcMar>
              <w:top w:w="128" w:type="dxa"/>
              <w:left w:w="43" w:type="dxa"/>
              <w:bottom w:w="43" w:type="dxa"/>
              <w:right w:w="43" w:type="dxa"/>
            </w:tcMar>
          </w:tcPr>
          <w:p w14:paraId="161C5E48" w14:textId="77777777" w:rsidR="00972395" w:rsidRPr="00E73D4B" w:rsidRDefault="00F120C7" w:rsidP="001C4219">
            <w:pPr>
              <w:jc w:val="right"/>
            </w:pPr>
            <w:r w:rsidRPr="00E73D4B">
              <w:t>4</w:t>
            </w:r>
          </w:p>
        </w:tc>
        <w:tc>
          <w:tcPr>
            <w:tcW w:w="4721" w:type="dxa"/>
            <w:tcBorders>
              <w:top w:val="single" w:sz="4" w:space="0" w:color="000000"/>
              <w:left w:val="nil"/>
              <w:bottom w:val="nil"/>
              <w:right w:val="nil"/>
            </w:tcBorders>
            <w:tcMar>
              <w:top w:w="128" w:type="dxa"/>
              <w:left w:w="43" w:type="dxa"/>
              <w:bottom w:w="43" w:type="dxa"/>
              <w:right w:w="43" w:type="dxa"/>
            </w:tcMar>
          </w:tcPr>
          <w:p w14:paraId="5959B790" w14:textId="77777777" w:rsidR="00972395" w:rsidRPr="00E73D4B" w:rsidRDefault="00F120C7" w:rsidP="001C4219">
            <w:r w:rsidRPr="00E73D4B">
              <w:t>Mellombels styrking av bustøtte og sosialhjelp</w:t>
            </w:r>
          </w:p>
        </w:tc>
        <w:tc>
          <w:tcPr>
            <w:tcW w:w="1687" w:type="dxa"/>
            <w:tcBorders>
              <w:top w:val="single" w:sz="4" w:space="0" w:color="000000"/>
              <w:left w:val="nil"/>
              <w:bottom w:val="nil"/>
              <w:right w:val="nil"/>
            </w:tcBorders>
            <w:tcMar>
              <w:top w:w="128" w:type="dxa"/>
              <w:left w:w="43" w:type="dxa"/>
              <w:bottom w:w="43" w:type="dxa"/>
              <w:right w:w="43" w:type="dxa"/>
            </w:tcMar>
          </w:tcPr>
          <w:p w14:paraId="61E3ED1F" w14:textId="77777777" w:rsidR="00972395" w:rsidRPr="00E73D4B" w:rsidRDefault="00F120C7" w:rsidP="001C4219">
            <w:pPr>
              <w:jc w:val="right"/>
            </w:pPr>
            <w:r w:rsidRPr="00E73D4B">
              <w:t>Ja</w:t>
            </w:r>
          </w:p>
        </w:tc>
      </w:tr>
      <w:tr w:rsidR="00972395" w:rsidRPr="00E73D4B" w14:paraId="19DBD9A0"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009553B4"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7BB8DC1B" w14:textId="77777777" w:rsidR="00972395" w:rsidRPr="00E73D4B" w:rsidRDefault="00F120C7" w:rsidP="001C4219">
            <w:pPr>
              <w:jc w:val="right"/>
            </w:pPr>
            <w:r w:rsidRPr="00E73D4B">
              <w:t>35 nr. 7</w:t>
            </w:r>
          </w:p>
        </w:tc>
        <w:tc>
          <w:tcPr>
            <w:tcW w:w="4721" w:type="dxa"/>
            <w:tcBorders>
              <w:top w:val="nil"/>
              <w:left w:val="nil"/>
              <w:bottom w:val="nil"/>
              <w:right w:val="nil"/>
            </w:tcBorders>
            <w:tcMar>
              <w:top w:w="128" w:type="dxa"/>
              <w:left w:w="43" w:type="dxa"/>
              <w:bottom w:w="43" w:type="dxa"/>
              <w:right w:w="43" w:type="dxa"/>
            </w:tcMar>
          </w:tcPr>
          <w:p w14:paraId="7DE0FCBF" w14:textId="77777777" w:rsidR="00972395" w:rsidRPr="00E73D4B" w:rsidRDefault="00F120C7" w:rsidP="001C4219">
            <w:r w:rsidRPr="00E73D4B">
              <w:t>Lokal energiproduksjon, energieffektivisering og ladeinfrastruktur i burettslag</w:t>
            </w:r>
          </w:p>
        </w:tc>
        <w:tc>
          <w:tcPr>
            <w:tcW w:w="1687" w:type="dxa"/>
            <w:tcBorders>
              <w:top w:val="nil"/>
              <w:left w:val="nil"/>
              <w:bottom w:val="nil"/>
              <w:right w:val="nil"/>
            </w:tcBorders>
            <w:tcMar>
              <w:top w:w="128" w:type="dxa"/>
              <w:left w:w="43" w:type="dxa"/>
              <w:bottom w:w="43" w:type="dxa"/>
              <w:right w:w="43" w:type="dxa"/>
            </w:tcMar>
          </w:tcPr>
          <w:p w14:paraId="3B4D26F2" w14:textId="77777777" w:rsidR="00972395" w:rsidRPr="00E73D4B" w:rsidRDefault="00F120C7" w:rsidP="001C4219">
            <w:pPr>
              <w:jc w:val="right"/>
            </w:pPr>
            <w:r w:rsidRPr="00E73D4B">
              <w:t>Nei</w:t>
            </w:r>
          </w:p>
        </w:tc>
      </w:tr>
      <w:tr w:rsidR="00972395" w:rsidRPr="00E73D4B" w14:paraId="1C9F7311"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22387C16"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6BFD0ADE" w14:textId="77777777" w:rsidR="00972395" w:rsidRPr="00E73D4B" w:rsidRDefault="00F120C7" w:rsidP="001C4219">
            <w:pPr>
              <w:jc w:val="right"/>
            </w:pPr>
            <w:r w:rsidRPr="00E73D4B">
              <w:t>35 nr. 15</w:t>
            </w:r>
          </w:p>
        </w:tc>
        <w:tc>
          <w:tcPr>
            <w:tcW w:w="4721" w:type="dxa"/>
            <w:tcBorders>
              <w:top w:val="nil"/>
              <w:left w:val="nil"/>
              <w:bottom w:val="nil"/>
              <w:right w:val="nil"/>
            </w:tcBorders>
            <w:tcMar>
              <w:top w:w="128" w:type="dxa"/>
              <w:left w:w="43" w:type="dxa"/>
              <w:bottom w:w="43" w:type="dxa"/>
              <w:right w:w="43" w:type="dxa"/>
            </w:tcMar>
          </w:tcPr>
          <w:p w14:paraId="6596CD4C" w14:textId="77777777" w:rsidR="00972395" w:rsidRPr="00E73D4B" w:rsidRDefault="00F120C7" w:rsidP="001C4219">
            <w:r w:rsidRPr="00E73D4B">
              <w:t xml:space="preserve">Nullutslepp eller fossilfrie </w:t>
            </w:r>
            <w:proofErr w:type="spellStart"/>
            <w:r w:rsidRPr="00E73D4B">
              <w:t>anleggsplassar</w:t>
            </w:r>
            <w:proofErr w:type="spellEnd"/>
            <w:r w:rsidRPr="00E73D4B">
              <w:t xml:space="preserve"> i </w:t>
            </w:r>
            <w:proofErr w:type="spellStart"/>
            <w:r w:rsidRPr="00E73D4B">
              <w:t>planreglar</w:t>
            </w:r>
            <w:proofErr w:type="spellEnd"/>
          </w:p>
        </w:tc>
        <w:tc>
          <w:tcPr>
            <w:tcW w:w="1687" w:type="dxa"/>
            <w:tcBorders>
              <w:top w:val="nil"/>
              <w:left w:val="nil"/>
              <w:bottom w:val="nil"/>
              <w:right w:val="nil"/>
            </w:tcBorders>
            <w:tcMar>
              <w:top w:w="128" w:type="dxa"/>
              <w:left w:w="43" w:type="dxa"/>
              <w:bottom w:w="43" w:type="dxa"/>
              <w:right w:w="43" w:type="dxa"/>
            </w:tcMar>
          </w:tcPr>
          <w:p w14:paraId="654ED71D" w14:textId="77777777" w:rsidR="00972395" w:rsidRPr="00E73D4B" w:rsidRDefault="00F120C7" w:rsidP="001C4219">
            <w:pPr>
              <w:jc w:val="right"/>
            </w:pPr>
            <w:r w:rsidRPr="00E73D4B">
              <w:t>Nei</w:t>
            </w:r>
          </w:p>
        </w:tc>
      </w:tr>
      <w:tr w:rsidR="00972395" w:rsidRPr="00E73D4B" w14:paraId="11D68CD3"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2C0E0C7F"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32023C41" w14:textId="77777777" w:rsidR="00972395" w:rsidRPr="00E73D4B" w:rsidRDefault="00F120C7" w:rsidP="001C4219">
            <w:pPr>
              <w:jc w:val="right"/>
            </w:pPr>
            <w:r w:rsidRPr="00E73D4B">
              <w:t>35 nr. 27</w:t>
            </w:r>
          </w:p>
        </w:tc>
        <w:tc>
          <w:tcPr>
            <w:tcW w:w="4721" w:type="dxa"/>
            <w:tcBorders>
              <w:top w:val="nil"/>
              <w:left w:val="nil"/>
              <w:bottom w:val="nil"/>
              <w:right w:val="nil"/>
            </w:tcBorders>
            <w:tcMar>
              <w:top w:w="128" w:type="dxa"/>
              <w:left w:w="43" w:type="dxa"/>
              <w:bottom w:w="43" w:type="dxa"/>
              <w:right w:w="43" w:type="dxa"/>
            </w:tcMar>
          </w:tcPr>
          <w:p w14:paraId="1ACE5478" w14:textId="77777777" w:rsidR="00972395" w:rsidRPr="00E73D4B" w:rsidRDefault="00F120C7" w:rsidP="001C4219">
            <w:r w:rsidRPr="00E73D4B">
              <w:t xml:space="preserve">Levekår i </w:t>
            </w:r>
            <w:proofErr w:type="spellStart"/>
            <w:r w:rsidRPr="00E73D4B">
              <w:t>byar</w:t>
            </w:r>
            <w:proofErr w:type="spellEnd"/>
          </w:p>
        </w:tc>
        <w:tc>
          <w:tcPr>
            <w:tcW w:w="1687" w:type="dxa"/>
            <w:tcBorders>
              <w:top w:val="nil"/>
              <w:left w:val="nil"/>
              <w:bottom w:val="nil"/>
              <w:right w:val="nil"/>
            </w:tcBorders>
            <w:tcMar>
              <w:top w:w="128" w:type="dxa"/>
              <w:left w:w="43" w:type="dxa"/>
              <w:bottom w:w="43" w:type="dxa"/>
              <w:right w:w="43" w:type="dxa"/>
            </w:tcMar>
          </w:tcPr>
          <w:p w14:paraId="788B44AD" w14:textId="77777777" w:rsidR="00972395" w:rsidRPr="00E73D4B" w:rsidRDefault="00F120C7" w:rsidP="001C4219">
            <w:pPr>
              <w:jc w:val="right"/>
            </w:pPr>
            <w:r w:rsidRPr="00E73D4B">
              <w:t>Nei</w:t>
            </w:r>
          </w:p>
        </w:tc>
      </w:tr>
      <w:tr w:rsidR="00972395" w:rsidRPr="00E73D4B" w14:paraId="6DF0E0AB"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6EE52463"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67B1CA78" w14:textId="77777777" w:rsidR="00972395" w:rsidRPr="00E73D4B" w:rsidRDefault="00F120C7" w:rsidP="001C4219">
            <w:pPr>
              <w:jc w:val="right"/>
            </w:pPr>
            <w:r w:rsidRPr="00E73D4B">
              <w:t>35 nr. 35</w:t>
            </w:r>
          </w:p>
        </w:tc>
        <w:tc>
          <w:tcPr>
            <w:tcW w:w="4721" w:type="dxa"/>
            <w:tcBorders>
              <w:top w:val="nil"/>
              <w:left w:val="nil"/>
              <w:bottom w:val="nil"/>
              <w:right w:val="nil"/>
            </w:tcBorders>
            <w:tcMar>
              <w:top w:w="128" w:type="dxa"/>
              <w:left w:w="43" w:type="dxa"/>
              <w:bottom w:w="43" w:type="dxa"/>
              <w:right w:w="43" w:type="dxa"/>
            </w:tcMar>
          </w:tcPr>
          <w:p w14:paraId="2AB15C00" w14:textId="77777777" w:rsidR="00972395" w:rsidRPr="00E73D4B" w:rsidRDefault="00F120C7" w:rsidP="001C4219">
            <w:proofErr w:type="spellStart"/>
            <w:r w:rsidRPr="00E73D4B">
              <w:t>Blankoskøyter</w:t>
            </w:r>
            <w:proofErr w:type="spellEnd"/>
            <w:r w:rsidRPr="00E73D4B">
              <w:t xml:space="preserve"> og plikt til tinglysing</w:t>
            </w:r>
          </w:p>
        </w:tc>
        <w:tc>
          <w:tcPr>
            <w:tcW w:w="1687" w:type="dxa"/>
            <w:tcBorders>
              <w:top w:val="nil"/>
              <w:left w:val="nil"/>
              <w:bottom w:val="nil"/>
              <w:right w:val="nil"/>
            </w:tcBorders>
            <w:tcMar>
              <w:top w:w="128" w:type="dxa"/>
              <w:left w:w="43" w:type="dxa"/>
              <w:bottom w:w="43" w:type="dxa"/>
              <w:right w:w="43" w:type="dxa"/>
            </w:tcMar>
          </w:tcPr>
          <w:p w14:paraId="71232FE2" w14:textId="77777777" w:rsidR="00972395" w:rsidRPr="00E73D4B" w:rsidRDefault="00F120C7" w:rsidP="001C4219">
            <w:pPr>
              <w:jc w:val="right"/>
            </w:pPr>
            <w:r w:rsidRPr="00E73D4B">
              <w:t>Nei</w:t>
            </w:r>
          </w:p>
        </w:tc>
      </w:tr>
      <w:tr w:rsidR="00972395" w:rsidRPr="00E73D4B" w14:paraId="28E3C48F"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4CE7EBCB"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784DA555" w14:textId="77777777" w:rsidR="00972395" w:rsidRPr="00E73D4B" w:rsidRDefault="00F120C7" w:rsidP="001C4219">
            <w:pPr>
              <w:jc w:val="right"/>
            </w:pPr>
            <w:r w:rsidRPr="00E73D4B">
              <w:t>35 nr. 41</w:t>
            </w:r>
          </w:p>
        </w:tc>
        <w:tc>
          <w:tcPr>
            <w:tcW w:w="4721" w:type="dxa"/>
            <w:tcBorders>
              <w:top w:val="nil"/>
              <w:left w:val="nil"/>
              <w:bottom w:val="nil"/>
              <w:right w:val="nil"/>
            </w:tcBorders>
            <w:tcMar>
              <w:top w:w="128" w:type="dxa"/>
              <w:left w:w="43" w:type="dxa"/>
              <w:bottom w:w="43" w:type="dxa"/>
              <w:right w:w="43" w:type="dxa"/>
            </w:tcMar>
          </w:tcPr>
          <w:p w14:paraId="55CC9EDF" w14:textId="77777777" w:rsidR="00972395" w:rsidRPr="00E73D4B" w:rsidRDefault="00F120C7" w:rsidP="001C4219">
            <w:proofErr w:type="spellStart"/>
            <w:r w:rsidRPr="00E73D4B">
              <w:t>Offentleg</w:t>
            </w:r>
            <w:proofErr w:type="spellEnd"/>
            <w:r w:rsidRPr="00E73D4B">
              <w:t xml:space="preserve"> </w:t>
            </w:r>
            <w:proofErr w:type="spellStart"/>
            <w:r w:rsidRPr="00E73D4B">
              <w:t>utval</w:t>
            </w:r>
            <w:proofErr w:type="spellEnd"/>
            <w:r w:rsidRPr="00E73D4B">
              <w:t xml:space="preserve"> om utfasing av kommersiell drift i </w:t>
            </w:r>
            <w:proofErr w:type="spellStart"/>
            <w:r w:rsidRPr="00E73D4B">
              <w:t>offentlege</w:t>
            </w:r>
            <w:proofErr w:type="spellEnd"/>
            <w:r w:rsidRPr="00E73D4B">
              <w:t xml:space="preserve"> </w:t>
            </w:r>
            <w:proofErr w:type="spellStart"/>
            <w:r w:rsidRPr="00E73D4B">
              <w:t>velferdstenester</w:t>
            </w:r>
            <w:proofErr w:type="spellEnd"/>
          </w:p>
        </w:tc>
        <w:tc>
          <w:tcPr>
            <w:tcW w:w="1687" w:type="dxa"/>
            <w:tcBorders>
              <w:top w:val="nil"/>
              <w:left w:val="nil"/>
              <w:bottom w:val="nil"/>
              <w:right w:val="nil"/>
            </w:tcBorders>
            <w:tcMar>
              <w:top w:w="128" w:type="dxa"/>
              <w:left w:w="43" w:type="dxa"/>
              <w:bottom w:w="43" w:type="dxa"/>
              <w:right w:w="43" w:type="dxa"/>
            </w:tcMar>
          </w:tcPr>
          <w:p w14:paraId="25F7A78E" w14:textId="77777777" w:rsidR="00972395" w:rsidRPr="00E73D4B" w:rsidRDefault="00F120C7" w:rsidP="001C4219">
            <w:pPr>
              <w:jc w:val="right"/>
            </w:pPr>
            <w:r w:rsidRPr="00E73D4B">
              <w:t>Ja</w:t>
            </w:r>
          </w:p>
        </w:tc>
      </w:tr>
      <w:tr w:rsidR="00972395" w:rsidRPr="00E73D4B" w14:paraId="6F84D0BC"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44F870D9"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0A0E18F1" w14:textId="77777777" w:rsidR="00972395" w:rsidRPr="00E73D4B" w:rsidRDefault="00F120C7" w:rsidP="001C4219">
            <w:pPr>
              <w:jc w:val="right"/>
            </w:pPr>
            <w:r w:rsidRPr="00E73D4B">
              <w:t>35 nr. 42</w:t>
            </w:r>
          </w:p>
        </w:tc>
        <w:tc>
          <w:tcPr>
            <w:tcW w:w="4721" w:type="dxa"/>
            <w:tcBorders>
              <w:top w:val="nil"/>
              <w:left w:val="nil"/>
              <w:bottom w:val="nil"/>
              <w:right w:val="nil"/>
            </w:tcBorders>
            <w:tcMar>
              <w:top w:w="128" w:type="dxa"/>
              <w:left w:w="43" w:type="dxa"/>
              <w:bottom w:w="43" w:type="dxa"/>
              <w:right w:w="43" w:type="dxa"/>
            </w:tcMar>
          </w:tcPr>
          <w:p w14:paraId="59DF7C70" w14:textId="77777777" w:rsidR="00972395" w:rsidRPr="00E73D4B" w:rsidRDefault="00F120C7" w:rsidP="001C4219">
            <w:proofErr w:type="spellStart"/>
            <w:r w:rsidRPr="00E73D4B">
              <w:t>Auka</w:t>
            </w:r>
            <w:proofErr w:type="spellEnd"/>
            <w:r w:rsidRPr="00E73D4B">
              <w:t xml:space="preserve"> </w:t>
            </w:r>
            <w:proofErr w:type="spellStart"/>
            <w:r w:rsidRPr="00E73D4B">
              <w:t>openheit</w:t>
            </w:r>
            <w:proofErr w:type="spellEnd"/>
            <w:r w:rsidRPr="00E73D4B">
              <w:t xml:space="preserve"> i </w:t>
            </w:r>
            <w:proofErr w:type="spellStart"/>
            <w:r w:rsidRPr="00E73D4B">
              <w:t>verksemda</w:t>
            </w:r>
            <w:proofErr w:type="spellEnd"/>
            <w:r w:rsidRPr="00E73D4B">
              <w:t xml:space="preserve"> til private </w:t>
            </w:r>
            <w:proofErr w:type="spellStart"/>
            <w:r w:rsidRPr="00E73D4B">
              <w:t>tilbydarar</w:t>
            </w:r>
            <w:proofErr w:type="spellEnd"/>
            <w:r w:rsidRPr="00E73D4B">
              <w:t xml:space="preserve"> av </w:t>
            </w:r>
            <w:proofErr w:type="spellStart"/>
            <w:r w:rsidRPr="00E73D4B">
              <w:t>offentleg</w:t>
            </w:r>
            <w:proofErr w:type="spellEnd"/>
            <w:r w:rsidRPr="00E73D4B">
              <w:t xml:space="preserve"> finansierte </w:t>
            </w:r>
            <w:proofErr w:type="spellStart"/>
            <w:r w:rsidRPr="00E73D4B">
              <w:t>velferdstenester</w:t>
            </w:r>
            <w:proofErr w:type="spellEnd"/>
            <w:r w:rsidRPr="00E73D4B">
              <w:t xml:space="preserve"> </w:t>
            </w:r>
          </w:p>
        </w:tc>
        <w:tc>
          <w:tcPr>
            <w:tcW w:w="1687" w:type="dxa"/>
            <w:tcBorders>
              <w:top w:val="nil"/>
              <w:left w:val="nil"/>
              <w:bottom w:val="nil"/>
              <w:right w:val="nil"/>
            </w:tcBorders>
            <w:tcMar>
              <w:top w:w="128" w:type="dxa"/>
              <w:left w:w="43" w:type="dxa"/>
              <w:bottom w:w="43" w:type="dxa"/>
              <w:right w:w="43" w:type="dxa"/>
            </w:tcMar>
          </w:tcPr>
          <w:p w14:paraId="6DB5B8F0" w14:textId="77777777" w:rsidR="00972395" w:rsidRPr="00E73D4B" w:rsidRDefault="00F120C7" w:rsidP="001C4219">
            <w:pPr>
              <w:jc w:val="right"/>
            </w:pPr>
            <w:r w:rsidRPr="00E73D4B">
              <w:t>Nei</w:t>
            </w:r>
          </w:p>
        </w:tc>
      </w:tr>
      <w:tr w:rsidR="00972395" w:rsidRPr="00E73D4B" w14:paraId="1EB34079"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5548BEBF"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62CA885D" w14:textId="77777777" w:rsidR="00972395" w:rsidRPr="00E73D4B" w:rsidRDefault="00F120C7" w:rsidP="001C4219">
            <w:pPr>
              <w:jc w:val="right"/>
            </w:pPr>
            <w:r w:rsidRPr="00E73D4B">
              <w:t>35 nr. 43</w:t>
            </w:r>
          </w:p>
        </w:tc>
        <w:tc>
          <w:tcPr>
            <w:tcW w:w="4721" w:type="dxa"/>
            <w:tcBorders>
              <w:top w:val="nil"/>
              <w:left w:val="nil"/>
              <w:bottom w:val="nil"/>
              <w:right w:val="nil"/>
            </w:tcBorders>
            <w:tcMar>
              <w:top w:w="128" w:type="dxa"/>
              <w:left w:w="43" w:type="dxa"/>
              <w:bottom w:w="43" w:type="dxa"/>
              <w:right w:w="43" w:type="dxa"/>
            </w:tcMar>
          </w:tcPr>
          <w:p w14:paraId="0EDE55F8" w14:textId="77777777" w:rsidR="00972395" w:rsidRPr="00E73D4B" w:rsidRDefault="00F120C7" w:rsidP="001C4219">
            <w:r w:rsidRPr="00E73D4B">
              <w:t xml:space="preserve">Krav om organisering i sjølvstendig rettssubjekt for selskap som leverer </w:t>
            </w:r>
            <w:proofErr w:type="spellStart"/>
            <w:r w:rsidRPr="00E73D4B">
              <w:t>offentleg</w:t>
            </w:r>
            <w:proofErr w:type="spellEnd"/>
            <w:r w:rsidRPr="00E73D4B">
              <w:t xml:space="preserve"> finansierte </w:t>
            </w:r>
            <w:proofErr w:type="spellStart"/>
            <w:r w:rsidRPr="00E73D4B">
              <w:t>velferdstenester</w:t>
            </w:r>
            <w:proofErr w:type="spellEnd"/>
          </w:p>
        </w:tc>
        <w:tc>
          <w:tcPr>
            <w:tcW w:w="1687" w:type="dxa"/>
            <w:tcBorders>
              <w:top w:val="nil"/>
              <w:left w:val="nil"/>
              <w:bottom w:val="nil"/>
              <w:right w:val="nil"/>
            </w:tcBorders>
            <w:tcMar>
              <w:top w:w="128" w:type="dxa"/>
              <w:left w:w="43" w:type="dxa"/>
              <w:bottom w:w="43" w:type="dxa"/>
              <w:right w:w="43" w:type="dxa"/>
            </w:tcMar>
          </w:tcPr>
          <w:p w14:paraId="0294BA14" w14:textId="77777777" w:rsidR="00972395" w:rsidRPr="00E73D4B" w:rsidRDefault="00F120C7" w:rsidP="001C4219">
            <w:pPr>
              <w:jc w:val="right"/>
            </w:pPr>
            <w:r w:rsidRPr="00E73D4B">
              <w:t>Nei</w:t>
            </w:r>
          </w:p>
        </w:tc>
      </w:tr>
      <w:tr w:rsidR="00972395" w:rsidRPr="00E73D4B" w14:paraId="3CB1697C"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5DBD2611"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3C6A4F4A" w14:textId="77777777" w:rsidR="00972395" w:rsidRPr="00E73D4B" w:rsidRDefault="00F120C7" w:rsidP="001C4219">
            <w:pPr>
              <w:jc w:val="right"/>
            </w:pPr>
            <w:r w:rsidRPr="00E73D4B">
              <w:t>35 nr. 47</w:t>
            </w:r>
          </w:p>
        </w:tc>
        <w:tc>
          <w:tcPr>
            <w:tcW w:w="4721" w:type="dxa"/>
            <w:tcBorders>
              <w:top w:val="nil"/>
              <w:left w:val="nil"/>
              <w:bottom w:val="nil"/>
              <w:right w:val="nil"/>
            </w:tcBorders>
            <w:tcMar>
              <w:top w:w="128" w:type="dxa"/>
              <w:left w:w="43" w:type="dxa"/>
              <w:bottom w:w="43" w:type="dxa"/>
              <w:right w:w="43" w:type="dxa"/>
            </w:tcMar>
          </w:tcPr>
          <w:p w14:paraId="5570A00D" w14:textId="77777777" w:rsidR="00972395" w:rsidRPr="00E73D4B" w:rsidRDefault="00F120C7" w:rsidP="001C4219">
            <w:r w:rsidRPr="00E73D4B">
              <w:t xml:space="preserve">Innretting av styrking av </w:t>
            </w:r>
            <w:proofErr w:type="spellStart"/>
            <w:r w:rsidRPr="00E73D4B">
              <w:t>bustøtteordninga</w:t>
            </w:r>
            <w:proofErr w:type="spellEnd"/>
          </w:p>
        </w:tc>
        <w:tc>
          <w:tcPr>
            <w:tcW w:w="1687" w:type="dxa"/>
            <w:tcBorders>
              <w:top w:val="nil"/>
              <w:left w:val="nil"/>
              <w:bottom w:val="nil"/>
              <w:right w:val="nil"/>
            </w:tcBorders>
            <w:tcMar>
              <w:top w:w="128" w:type="dxa"/>
              <w:left w:w="43" w:type="dxa"/>
              <w:bottom w:w="43" w:type="dxa"/>
              <w:right w:w="43" w:type="dxa"/>
            </w:tcMar>
          </w:tcPr>
          <w:p w14:paraId="5CB8E837" w14:textId="77777777" w:rsidR="00972395" w:rsidRPr="00E73D4B" w:rsidRDefault="00F120C7" w:rsidP="001C4219">
            <w:pPr>
              <w:jc w:val="right"/>
            </w:pPr>
            <w:r w:rsidRPr="00E73D4B">
              <w:t>Ja</w:t>
            </w:r>
          </w:p>
        </w:tc>
      </w:tr>
      <w:tr w:rsidR="00972395" w:rsidRPr="00E73D4B" w14:paraId="1AC06D22"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7D289C46"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1A002EA8" w14:textId="77777777" w:rsidR="00972395" w:rsidRPr="00E73D4B" w:rsidRDefault="00F120C7" w:rsidP="001C4219">
            <w:pPr>
              <w:jc w:val="right"/>
            </w:pPr>
            <w:r w:rsidRPr="00E73D4B">
              <w:t>35 nr. 54</w:t>
            </w:r>
          </w:p>
        </w:tc>
        <w:tc>
          <w:tcPr>
            <w:tcW w:w="4721" w:type="dxa"/>
            <w:tcBorders>
              <w:top w:val="nil"/>
              <w:left w:val="nil"/>
              <w:bottom w:val="nil"/>
              <w:right w:val="nil"/>
            </w:tcBorders>
            <w:tcMar>
              <w:top w:w="128" w:type="dxa"/>
              <w:left w:w="43" w:type="dxa"/>
              <w:bottom w:w="43" w:type="dxa"/>
              <w:right w:w="43" w:type="dxa"/>
            </w:tcMar>
          </w:tcPr>
          <w:p w14:paraId="140A9503" w14:textId="77777777" w:rsidR="00972395" w:rsidRPr="00E73D4B" w:rsidRDefault="00F120C7" w:rsidP="001C4219">
            <w:proofErr w:type="spellStart"/>
            <w:r w:rsidRPr="00E73D4B">
              <w:t>Bustader</w:t>
            </w:r>
            <w:proofErr w:type="spellEnd"/>
            <w:r w:rsidRPr="00E73D4B">
              <w:t xml:space="preserve"> for </w:t>
            </w:r>
            <w:proofErr w:type="spellStart"/>
            <w:r w:rsidRPr="00E73D4B">
              <w:t>studentar</w:t>
            </w:r>
            <w:proofErr w:type="spellEnd"/>
            <w:r w:rsidRPr="00E73D4B">
              <w:t xml:space="preserve"> i kommunale </w:t>
            </w:r>
            <w:proofErr w:type="spellStart"/>
            <w:r w:rsidRPr="00E73D4B">
              <w:t>arealplanar</w:t>
            </w:r>
            <w:proofErr w:type="spellEnd"/>
          </w:p>
        </w:tc>
        <w:tc>
          <w:tcPr>
            <w:tcW w:w="1687" w:type="dxa"/>
            <w:tcBorders>
              <w:top w:val="nil"/>
              <w:left w:val="nil"/>
              <w:bottom w:val="nil"/>
              <w:right w:val="nil"/>
            </w:tcBorders>
            <w:tcMar>
              <w:top w:w="128" w:type="dxa"/>
              <w:left w:w="43" w:type="dxa"/>
              <w:bottom w:w="43" w:type="dxa"/>
              <w:right w:w="43" w:type="dxa"/>
            </w:tcMar>
          </w:tcPr>
          <w:p w14:paraId="75034D7B" w14:textId="77777777" w:rsidR="00972395" w:rsidRPr="00E73D4B" w:rsidRDefault="00F120C7" w:rsidP="001C4219">
            <w:pPr>
              <w:jc w:val="right"/>
            </w:pPr>
            <w:r w:rsidRPr="00E73D4B">
              <w:t>Nei</w:t>
            </w:r>
          </w:p>
        </w:tc>
      </w:tr>
      <w:tr w:rsidR="00972395" w:rsidRPr="00E73D4B" w14:paraId="7FAAD8D8"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63277828"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7C398951" w14:textId="77777777" w:rsidR="00972395" w:rsidRPr="00E73D4B" w:rsidRDefault="00F120C7" w:rsidP="001C4219">
            <w:pPr>
              <w:jc w:val="right"/>
            </w:pPr>
            <w:r w:rsidRPr="00E73D4B">
              <w:t>167</w:t>
            </w:r>
          </w:p>
        </w:tc>
        <w:tc>
          <w:tcPr>
            <w:tcW w:w="4721" w:type="dxa"/>
            <w:tcBorders>
              <w:top w:val="nil"/>
              <w:left w:val="nil"/>
              <w:bottom w:val="nil"/>
              <w:right w:val="nil"/>
            </w:tcBorders>
            <w:tcMar>
              <w:top w:w="128" w:type="dxa"/>
              <w:left w:w="43" w:type="dxa"/>
              <w:bottom w:w="43" w:type="dxa"/>
              <w:right w:w="43" w:type="dxa"/>
            </w:tcMar>
          </w:tcPr>
          <w:p w14:paraId="4655F31E" w14:textId="77777777" w:rsidR="00972395" w:rsidRPr="00E73D4B" w:rsidRDefault="00F120C7" w:rsidP="001C4219">
            <w:r w:rsidRPr="00E73D4B">
              <w:t xml:space="preserve">Arbeidsgruppa som kartlegg kommunesektorens </w:t>
            </w:r>
            <w:proofErr w:type="spellStart"/>
            <w:r w:rsidRPr="00E73D4B">
              <w:t>meirutgifter</w:t>
            </w:r>
            <w:proofErr w:type="spellEnd"/>
            <w:r w:rsidRPr="00E73D4B">
              <w:t xml:space="preserve"> og inntektsbortfall som </w:t>
            </w:r>
            <w:proofErr w:type="spellStart"/>
            <w:r w:rsidRPr="00E73D4B">
              <w:t>følgje</w:t>
            </w:r>
            <w:proofErr w:type="spellEnd"/>
            <w:r w:rsidRPr="00E73D4B">
              <w:t xml:space="preserve"> av koronapandemien</w:t>
            </w:r>
          </w:p>
        </w:tc>
        <w:tc>
          <w:tcPr>
            <w:tcW w:w="1687" w:type="dxa"/>
            <w:tcBorders>
              <w:top w:val="nil"/>
              <w:left w:val="nil"/>
              <w:bottom w:val="nil"/>
              <w:right w:val="nil"/>
            </w:tcBorders>
            <w:tcMar>
              <w:top w:w="128" w:type="dxa"/>
              <w:left w:w="43" w:type="dxa"/>
              <w:bottom w:w="43" w:type="dxa"/>
              <w:right w:w="43" w:type="dxa"/>
            </w:tcMar>
          </w:tcPr>
          <w:p w14:paraId="6A5CA821" w14:textId="77777777" w:rsidR="00972395" w:rsidRPr="00E73D4B" w:rsidRDefault="00F120C7" w:rsidP="001C4219">
            <w:pPr>
              <w:jc w:val="right"/>
            </w:pPr>
            <w:r w:rsidRPr="00E73D4B">
              <w:t>Ja</w:t>
            </w:r>
          </w:p>
        </w:tc>
      </w:tr>
      <w:tr w:rsidR="00972395" w:rsidRPr="00E73D4B" w14:paraId="46399334"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584DD505"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3CF21914" w14:textId="77777777" w:rsidR="00972395" w:rsidRPr="00E73D4B" w:rsidRDefault="00F120C7" w:rsidP="001C4219">
            <w:pPr>
              <w:jc w:val="right"/>
            </w:pPr>
            <w:r w:rsidRPr="00E73D4B">
              <w:t>363</w:t>
            </w:r>
          </w:p>
        </w:tc>
        <w:tc>
          <w:tcPr>
            <w:tcW w:w="4721" w:type="dxa"/>
            <w:tcBorders>
              <w:top w:val="nil"/>
              <w:left w:val="nil"/>
              <w:bottom w:val="nil"/>
              <w:right w:val="nil"/>
            </w:tcBorders>
            <w:tcMar>
              <w:top w:w="128" w:type="dxa"/>
              <w:left w:w="43" w:type="dxa"/>
              <w:bottom w:w="43" w:type="dxa"/>
              <w:right w:w="43" w:type="dxa"/>
            </w:tcMar>
          </w:tcPr>
          <w:p w14:paraId="2EB8DC33" w14:textId="77777777" w:rsidR="00972395" w:rsidRPr="00E73D4B" w:rsidRDefault="00F120C7" w:rsidP="001C4219">
            <w:r w:rsidRPr="00E73D4B">
              <w:t xml:space="preserve">Kompensere </w:t>
            </w:r>
            <w:proofErr w:type="spellStart"/>
            <w:r w:rsidRPr="00E73D4B">
              <w:t>kommunane</w:t>
            </w:r>
            <w:proofErr w:type="spellEnd"/>
            <w:r w:rsidRPr="00E73D4B">
              <w:t xml:space="preserve"> og </w:t>
            </w:r>
            <w:proofErr w:type="spellStart"/>
            <w:r w:rsidRPr="00E73D4B">
              <w:t>fylkeskommunane</w:t>
            </w:r>
            <w:proofErr w:type="spellEnd"/>
            <w:r w:rsidRPr="00E73D4B">
              <w:t xml:space="preserve"> som </w:t>
            </w:r>
            <w:proofErr w:type="spellStart"/>
            <w:r w:rsidRPr="00E73D4B">
              <w:t>følgje</w:t>
            </w:r>
            <w:proofErr w:type="spellEnd"/>
            <w:r w:rsidRPr="00E73D4B">
              <w:t xml:space="preserve"> av smitteverntiltak</w:t>
            </w:r>
          </w:p>
        </w:tc>
        <w:tc>
          <w:tcPr>
            <w:tcW w:w="1687" w:type="dxa"/>
            <w:tcBorders>
              <w:top w:val="nil"/>
              <w:left w:val="nil"/>
              <w:bottom w:val="nil"/>
              <w:right w:val="nil"/>
            </w:tcBorders>
            <w:tcMar>
              <w:top w:w="128" w:type="dxa"/>
              <w:left w:w="43" w:type="dxa"/>
              <w:bottom w:w="43" w:type="dxa"/>
              <w:right w:w="43" w:type="dxa"/>
            </w:tcMar>
          </w:tcPr>
          <w:p w14:paraId="04E45265" w14:textId="77777777" w:rsidR="00972395" w:rsidRPr="00E73D4B" w:rsidRDefault="00F120C7" w:rsidP="001C4219">
            <w:pPr>
              <w:jc w:val="right"/>
            </w:pPr>
            <w:r w:rsidRPr="00E73D4B">
              <w:t>Nei</w:t>
            </w:r>
          </w:p>
        </w:tc>
      </w:tr>
      <w:tr w:rsidR="00972395" w:rsidRPr="00E73D4B" w14:paraId="0D739A01"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29D119AB"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55D27E8D" w14:textId="77777777" w:rsidR="00972395" w:rsidRPr="00E73D4B" w:rsidRDefault="00F120C7" w:rsidP="001C4219">
            <w:pPr>
              <w:jc w:val="right"/>
            </w:pPr>
            <w:r w:rsidRPr="00E73D4B">
              <w:t>413</w:t>
            </w:r>
          </w:p>
        </w:tc>
        <w:tc>
          <w:tcPr>
            <w:tcW w:w="4721" w:type="dxa"/>
            <w:tcBorders>
              <w:top w:val="nil"/>
              <w:left w:val="nil"/>
              <w:bottom w:val="nil"/>
              <w:right w:val="nil"/>
            </w:tcBorders>
            <w:tcMar>
              <w:top w:w="128" w:type="dxa"/>
              <w:left w:w="43" w:type="dxa"/>
              <w:bottom w:w="43" w:type="dxa"/>
              <w:right w:w="43" w:type="dxa"/>
            </w:tcMar>
          </w:tcPr>
          <w:p w14:paraId="074DC15D" w14:textId="77777777" w:rsidR="00972395" w:rsidRPr="00E73D4B" w:rsidRDefault="00F120C7" w:rsidP="001C4219">
            <w:proofErr w:type="spellStart"/>
            <w:r w:rsidRPr="00E73D4B">
              <w:t>Leiarløningar</w:t>
            </w:r>
            <w:proofErr w:type="spellEnd"/>
            <w:r w:rsidRPr="00E73D4B">
              <w:t xml:space="preserve"> i staten</w:t>
            </w:r>
          </w:p>
        </w:tc>
        <w:tc>
          <w:tcPr>
            <w:tcW w:w="1687" w:type="dxa"/>
            <w:tcBorders>
              <w:top w:val="nil"/>
              <w:left w:val="nil"/>
              <w:bottom w:val="nil"/>
              <w:right w:val="nil"/>
            </w:tcBorders>
            <w:tcMar>
              <w:top w:w="128" w:type="dxa"/>
              <w:left w:w="43" w:type="dxa"/>
              <w:bottom w:w="43" w:type="dxa"/>
              <w:right w:w="43" w:type="dxa"/>
            </w:tcMar>
          </w:tcPr>
          <w:p w14:paraId="4CFFD3F7" w14:textId="77777777" w:rsidR="00972395" w:rsidRPr="00E73D4B" w:rsidRDefault="00F120C7" w:rsidP="001C4219">
            <w:pPr>
              <w:jc w:val="right"/>
            </w:pPr>
            <w:r w:rsidRPr="00E73D4B">
              <w:t>Nei</w:t>
            </w:r>
          </w:p>
        </w:tc>
      </w:tr>
      <w:tr w:rsidR="00972395" w:rsidRPr="00E73D4B" w14:paraId="3623A769"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26E7C1BA"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23FFBA3D" w14:textId="77777777" w:rsidR="00972395" w:rsidRPr="00E73D4B" w:rsidRDefault="00F120C7" w:rsidP="001C4219">
            <w:pPr>
              <w:jc w:val="right"/>
            </w:pPr>
            <w:r w:rsidRPr="00E73D4B">
              <w:t>495</w:t>
            </w:r>
          </w:p>
        </w:tc>
        <w:tc>
          <w:tcPr>
            <w:tcW w:w="4721" w:type="dxa"/>
            <w:tcBorders>
              <w:top w:val="nil"/>
              <w:left w:val="nil"/>
              <w:bottom w:val="nil"/>
              <w:right w:val="nil"/>
            </w:tcBorders>
            <w:tcMar>
              <w:top w:w="128" w:type="dxa"/>
              <w:left w:w="43" w:type="dxa"/>
              <w:bottom w:w="43" w:type="dxa"/>
              <w:right w:w="43" w:type="dxa"/>
            </w:tcMar>
          </w:tcPr>
          <w:p w14:paraId="24987C72" w14:textId="77777777" w:rsidR="00972395" w:rsidRPr="00E73D4B" w:rsidRDefault="00F120C7" w:rsidP="001C4219">
            <w:r w:rsidRPr="00E73D4B">
              <w:t xml:space="preserve">Kommunal kompensasjonsordning – </w:t>
            </w:r>
            <w:proofErr w:type="spellStart"/>
            <w:r w:rsidRPr="00E73D4B">
              <w:t>næringar</w:t>
            </w:r>
            <w:proofErr w:type="spellEnd"/>
            <w:r w:rsidRPr="00E73D4B">
              <w:t xml:space="preserve"> med </w:t>
            </w:r>
            <w:proofErr w:type="spellStart"/>
            <w:r w:rsidRPr="00E73D4B">
              <w:t>særlege</w:t>
            </w:r>
            <w:proofErr w:type="spellEnd"/>
            <w:r w:rsidRPr="00E73D4B">
              <w:t xml:space="preserve"> </w:t>
            </w:r>
            <w:proofErr w:type="spellStart"/>
            <w:r w:rsidRPr="00E73D4B">
              <w:t>utfordringar</w:t>
            </w:r>
            <w:proofErr w:type="spellEnd"/>
          </w:p>
        </w:tc>
        <w:tc>
          <w:tcPr>
            <w:tcW w:w="1687" w:type="dxa"/>
            <w:tcBorders>
              <w:top w:val="nil"/>
              <w:left w:val="nil"/>
              <w:bottom w:val="nil"/>
              <w:right w:val="nil"/>
            </w:tcBorders>
            <w:tcMar>
              <w:top w:w="128" w:type="dxa"/>
              <w:left w:w="43" w:type="dxa"/>
              <w:bottom w:w="43" w:type="dxa"/>
              <w:right w:w="43" w:type="dxa"/>
            </w:tcMar>
          </w:tcPr>
          <w:p w14:paraId="08EAE36E" w14:textId="77777777" w:rsidR="00972395" w:rsidRPr="00E73D4B" w:rsidRDefault="00F120C7" w:rsidP="001C4219">
            <w:pPr>
              <w:jc w:val="right"/>
            </w:pPr>
            <w:r w:rsidRPr="00E73D4B">
              <w:t>Ja</w:t>
            </w:r>
          </w:p>
        </w:tc>
      </w:tr>
      <w:tr w:rsidR="00972395" w:rsidRPr="00E73D4B" w14:paraId="67E8B079"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10DA46AE"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20D64B64" w14:textId="77777777" w:rsidR="00972395" w:rsidRPr="00E73D4B" w:rsidRDefault="00F120C7" w:rsidP="001C4219">
            <w:pPr>
              <w:jc w:val="right"/>
            </w:pPr>
            <w:r w:rsidRPr="00E73D4B">
              <w:t>722</w:t>
            </w:r>
          </w:p>
        </w:tc>
        <w:tc>
          <w:tcPr>
            <w:tcW w:w="4721" w:type="dxa"/>
            <w:tcBorders>
              <w:top w:val="nil"/>
              <w:left w:val="nil"/>
              <w:bottom w:val="nil"/>
              <w:right w:val="nil"/>
            </w:tcBorders>
            <w:tcMar>
              <w:top w:w="128" w:type="dxa"/>
              <w:left w:w="43" w:type="dxa"/>
              <w:bottom w:w="43" w:type="dxa"/>
              <w:right w:w="43" w:type="dxa"/>
            </w:tcMar>
          </w:tcPr>
          <w:p w14:paraId="58170E6C" w14:textId="77777777" w:rsidR="00972395" w:rsidRPr="00E73D4B" w:rsidRDefault="00F120C7" w:rsidP="001C4219">
            <w:r w:rsidRPr="00E73D4B">
              <w:t>Vindkraft på land</w:t>
            </w:r>
          </w:p>
        </w:tc>
        <w:tc>
          <w:tcPr>
            <w:tcW w:w="1687" w:type="dxa"/>
            <w:tcBorders>
              <w:top w:val="nil"/>
              <w:left w:val="nil"/>
              <w:bottom w:val="nil"/>
              <w:right w:val="nil"/>
            </w:tcBorders>
            <w:tcMar>
              <w:top w:w="128" w:type="dxa"/>
              <w:left w:w="43" w:type="dxa"/>
              <w:bottom w:w="43" w:type="dxa"/>
              <w:right w:w="43" w:type="dxa"/>
            </w:tcMar>
          </w:tcPr>
          <w:p w14:paraId="07912FF0" w14:textId="77777777" w:rsidR="00972395" w:rsidRPr="00E73D4B" w:rsidRDefault="00F120C7" w:rsidP="001C4219">
            <w:pPr>
              <w:jc w:val="right"/>
            </w:pPr>
            <w:r w:rsidRPr="00E73D4B">
              <w:t>Nei</w:t>
            </w:r>
          </w:p>
        </w:tc>
      </w:tr>
      <w:tr w:rsidR="00972395" w:rsidRPr="00E73D4B" w14:paraId="485A63DB"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64C70B30"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43052C98" w14:textId="77777777" w:rsidR="00972395" w:rsidRPr="00E73D4B" w:rsidRDefault="00F120C7" w:rsidP="001C4219">
            <w:pPr>
              <w:jc w:val="right"/>
            </w:pPr>
            <w:r w:rsidRPr="00E73D4B">
              <w:t>726</w:t>
            </w:r>
          </w:p>
        </w:tc>
        <w:tc>
          <w:tcPr>
            <w:tcW w:w="4721" w:type="dxa"/>
            <w:tcBorders>
              <w:top w:val="nil"/>
              <w:left w:val="nil"/>
              <w:bottom w:val="nil"/>
              <w:right w:val="nil"/>
            </w:tcBorders>
            <w:tcMar>
              <w:top w:w="128" w:type="dxa"/>
              <w:left w:w="43" w:type="dxa"/>
              <w:bottom w:w="43" w:type="dxa"/>
              <w:right w:w="43" w:type="dxa"/>
            </w:tcMar>
          </w:tcPr>
          <w:p w14:paraId="388C9C3C" w14:textId="77777777" w:rsidR="00972395" w:rsidRPr="00E73D4B" w:rsidRDefault="00F120C7" w:rsidP="001C4219">
            <w:r w:rsidRPr="00E73D4B">
              <w:t>Energifleksibel oppvarming</w:t>
            </w:r>
          </w:p>
        </w:tc>
        <w:tc>
          <w:tcPr>
            <w:tcW w:w="1687" w:type="dxa"/>
            <w:tcBorders>
              <w:top w:val="nil"/>
              <w:left w:val="nil"/>
              <w:bottom w:val="nil"/>
              <w:right w:val="nil"/>
            </w:tcBorders>
            <w:tcMar>
              <w:top w:w="128" w:type="dxa"/>
              <w:left w:w="43" w:type="dxa"/>
              <w:bottom w:w="43" w:type="dxa"/>
              <w:right w:w="43" w:type="dxa"/>
            </w:tcMar>
          </w:tcPr>
          <w:p w14:paraId="05527B8C" w14:textId="77777777" w:rsidR="00972395" w:rsidRPr="00E73D4B" w:rsidRDefault="00F120C7" w:rsidP="001C4219">
            <w:pPr>
              <w:jc w:val="right"/>
            </w:pPr>
            <w:r w:rsidRPr="00E73D4B">
              <w:t>Nei</w:t>
            </w:r>
          </w:p>
        </w:tc>
      </w:tr>
      <w:tr w:rsidR="00972395" w:rsidRPr="00E73D4B" w14:paraId="16C442A3"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4EB592A9"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26C84FE3" w14:textId="77777777" w:rsidR="00972395" w:rsidRPr="00E73D4B" w:rsidRDefault="00F120C7" w:rsidP="001C4219">
            <w:pPr>
              <w:jc w:val="right"/>
            </w:pPr>
            <w:r w:rsidRPr="00E73D4B">
              <w:t>790</w:t>
            </w:r>
          </w:p>
        </w:tc>
        <w:tc>
          <w:tcPr>
            <w:tcW w:w="4721" w:type="dxa"/>
            <w:tcBorders>
              <w:top w:val="nil"/>
              <w:left w:val="nil"/>
              <w:bottom w:val="nil"/>
              <w:right w:val="nil"/>
            </w:tcBorders>
            <w:tcMar>
              <w:top w:w="128" w:type="dxa"/>
              <w:left w:w="43" w:type="dxa"/>
              <w:bottom w:w="43" w:type="dxa"/>
              <w:right w:w="43" w:type="dxa"/>
            </w:tcMar>
          </w:tcPr>
          <w:p w14:paraId="6DAD7FEB" w14:textId="77777777" w:rsidR="00972395" w:rsidRPr="00E73D4B" w:rsidRDefault="00F120C7" w:rsidP="001C4219">
            <w:r w:rsidRPr="00E73D4B">
              <w:t>Plan for breibanddekning I</w:t>
            </w:r>
          </w:p>
        </w:tc>
        <w:tc>
          <w:tcPr>
            <w:tcW w:w="1687" w:type="dxa"/>
            <w:tcBorders>
              <w:top w:val="nil"/>
              <w:left w:val="nil"/>
              <w:bottom w:val="nil"/>
              <w:right w:val="nil"/>
            </w:tcBorders>
            <w:tcMar>
              <w:top w:w="128" w:type="dxa"/>
              <w:left w:w="43" w:type="dxa"/>
              <w:bottom w:w="43" w:type="dxa"/>
              <w:right w:w="43" w:type="dxa"/>
            </w:tcMar>
          </w:tcPr>
          <w:p w14:paraId="34114D03" w14:textId="77777777" w:rsidR="00972395" w:rsidRPr="00E73D4B" w:rsidRDefault="00F120C7" w:rsidP="001C4219">
            <w:pPr>
              <w:jc w:val="right"/>
            </w:pPr>
            <w:r w:rsidRPr="00E73D4B">
              <w:t>Ja</w:t>
            </w:r>
          </w:p>
        </w:tc>
      </w:tr>
      <w:tr w:rsidR="00972395" w:rsidRPr="00E73D4B" w14:paraId="1C1152A1"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023D12D4"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7C07F78C" w14:textId="77777777" w:rsidR="00972395" w:rsidRPr="00E73D4B" w:rsidRDefault="00F120C7" w:rsidP="001C4219">
            <w:pPr>
              <w:jc w:val="right"/>
            </w:pPr>
            <w:r w:rsidRPr="00E73D4B">
              <w:t>791</w:t>
            </w:r>
          </w:p>
        </w:tc>
        <w:tc>
          <w:tcPr>
            <w:tcW w:w="4721" w:type="dxa"/>
            <w:tcBorders>
              <w:top w:val="nil"/>
              <w:left w:val="nil"/>
              <w:bottom w:val="nil"/>
              <w:right w:val="nil"/>
            </w:tcBorders>
            <w:tcMar>
              <w:top w:w="128" w:type="dxa"/>
              <w:left w:w="43" w:type="dxa"/>
              <w:bottom w:w="43" w:type="dxa"/>
              <w:right w:w="43" w:type="dxa"/>
            </w:tcMar>
          </w:tcPr>
          <w:p w14:paraId="58B0C054" w14:textId="77777777" w:rsidR="00972395" w:rsidRPr="00E73D4B" w:rsidRDefault="00F120C7" w:rsidP="001C4219">
            <w:r w:rsidRPr="00E73D4B">
              <w:t>Plan for breibanddekning II</w:t>
            </w:r>
          </w:p>
        </w:tc>
        <w:tc>
          <w:tcPr>
            <w:tcW w:w="1687" w:type="dxa"/>
            <w:tcBorders>
              <w:top w:val="nil"/>
              <w:left w:val="nil"/>
              <w:bottom w:val="nil"/>
              <w:right w:val="nil"/>
            </w:tcBorders>
            <w:tcMar>
              <w:top w:w="128" w:type="dxa"/>
              <w:left w:w="43" w:type="dxa"/>
              <w:bottom w:w="43" w:type="dxa"/>
              <w:right w:w="43" w:type="dxa"/>
            </w:tcMar>
          </w:tcPr>
          <w:p w14:paraId="0FCF3AD9" w14:textId="77777777" w:rsidR="00972395" w:rsidRPr="00E73D4B" w:rsidRDefault="00F120C7" w:rsidP="001C4219">
            <w:pPr>
              <w:jc w:val="right"/>
            </w:pPr>
            <w:r w:rsidRPr="00E73D4B">
              <w:t>Nei</w:t>
            </w:r>
          </w:p>
        </w:tc>
      </w:tr>
      <w:tr w:rsidR="00972395" w:rsidRPr="00E73D4B" w14:paraId="00FBA6A2"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5F9B9C04"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6FBD21C3" w14:textId="77777777" w:rsidR="00972395" w:rsidRPr="00E73D4B" w:rsidRDefault="00F120C7" w:rsidP="001C4219">
            <w:pPr>
              <w:jc w:val="right"/>
            </w:pPr>
            <w:r w:rsidRPr="00E73D4B">
              <w:t>792</w:t>
            </w:r>
          </w:p>
        </w:tc>
        <w:tc>
          <w:tcPr>
            <w:tcW w:w="4721" w:type="dxa"/>
            <w:tcBorders>
              <w:top w:val="nil"/>
              <w:left w:val="nil"/>
              <w:bottom w:val="nil"/>
              <w:right w:val="nil"/>
            </w:tcBorders>
            <w:tcMar>
              <w:top w:w="128" w:type="dxa"/>
              <w:left w:w="43" w:type="dxa"/>
              <w:bottom w:w="43" w:type="dxa"/>
              <w:right w:w="43" w:type="dxa"/>
            </w:tcMar>
          </w:tcPr>
          <w:p w14:paraId="45C52DA6" w14:textId="77777777" w:rsidR="00972395" w:rsidRPr="00E73D4B" w:rsidRDefault="00F120C7" w:rsidP="001C4219">
            <w:r w:rsidRPr="00E73D4B">
              <w:t>Frikommuneforsøk</w:t>
            </w:r>
          </w:p>
        </w:tc>
        <w:tc>
          <w:tcPr>
            <w:tcW w:w="1687" w:type="dxa"/>
            <w:tcBorders>
              <w:top w:val="nil"/>
              <w:left w:val="nil"/>
              <w:bottom w:val="nil"/>
              <w:right w:val="nil"/>
            </w:tcBorders>
            <w:tcMar>
              <w:top w:w="128" w:type="dxa"/>
              <w:left w:w="43" w:type="dxa"/>
              <w:bottom w:w="43" w:type="dxa"/>
              <w:right w:w="43" w:type="dxa"/>
            </w:tcMar>
          </w:tcPr>
          <w:p w14:paraId="3875243A" w14:textId="77777777" w:rsidR="00972395" w:rsidRPr="00E73D4B" w:rsidRDefault="00F120C7" w:rsidP="001C4219">
            <w:pPr>
              <w:jc w:val="right"/>
            </w:pPr>
            <w:r w:rsidRPr="00E73D4B">
              <w:t>Nei</w:t>
            </w:r>
          </w:p>
        </w:tc>
      </w:tr>
      <w:tr w:rsidR="00972395" w:rsidRPr="00E73D4B" w14:paraId="43996359"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513434FF"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5AE1F18E" w14:textId="77777777" w:rsidR="00972395" w:rsidRPr="00E73D4B" w:rsidRDefault="00F120C7" w:rsidP="001C4219">
            <w:pPr>
              <w:jc w:val="right"/>
            </w:pPr>
            <w:r w:rsidRPr="00E73D4B">
              <w:t>817</w:t>
            </w:r>
          </w:p>
        </w:tc>
        <w:tc>
          <w:tcPr>
            <w:tcW w:w="4721" w:type="dxa"/>
            <w:tcBorders>
              <w:top w:val="nil"/>
              <w:left w:val="nil"/>
              <w:bottom w:val="nil"/>
              <w:right w:val="nil"/>
            </w:tcBorders>
            <w:tcMar>
              <w:top w:w="128" w:type="dxa"/>
              <w:left w:w="43" w:type="dxa"/>
              <w:bottom w:w="43" w:type="dxa"/>
              <w:right w:w="43" w:type="dxa"/>
            </w:tcMar>
          </w:tcPr>
          <w:p w14:paraId="28FCAE80" w14:textId="77777777" w:rsidR="00972395" w:rsidRPr="00E73D4B" w:rsidRDefault="00F120C7" w:rsidP="001C4219">
            <w:proofErr w:type="spellStart"/>
            <w:r w:rsidRPr="00E73D4B">
              <w:t>Lønsutval</w:t>
            </w:r>
            <w:proofErr w:type="spellEnd"/>
            <w:r w:rsidRPr="00E73D4B">
              <w:t xml:space="preserve"> for </w:t>
            </w:r>
            <w:proofErr w:type="spellStart"/>
            <w:r w:rsidRPr="00E73D4B">
              <w:t>lønssystemet</w:t>
            </w:r>
            <w:proofErr w:type="spellEnd"/>
            <w:r w:rsidRPr="00E73D4B">
              <w:t xml:space="preserve"> i staten</w:t>
            </w:r>
          </w:p>
        </w:tc>
        <w:tc>
          <w:tcPr>
            <w:tcW w:w="1687" w:type="dxa"/>
            <w:tcBorders>
              <w:top w:val="nil"/>
              <w:left w:val="nil"/>
              <w:bottom w:val="nil"/>
              <w:right w:val="nil"/>
            </w:tcBorders>
            <w:tcMar>
              <w:top w:w="128" w:type="dxa"/>
              <w:left w:w="43" w:type="dxa"/>
              <w:bottom w:w="43" w:type="dxa"/>
              <w:right w:w="43" w:type="dxa"/>
            </w:tcMar>
          </w:tcPr>
          <w:p w14:paraId="00BF3D25" w14:textId="77777777" w:rsidR="00972395" w:rsidRPr="00E73D4B" w:rsidRDefault="00F120C7" w:rsidP="001C4219">
            <w:pPr>
              <w:jc w:val="right"/>
            </w:pPr>
            <w:r w:rsidRPr="00E73D4B">
              <w:t>Ja</w:t>
            </w:r>
          </w:p>
        </w:tc>
      </w:tr>
      <w:tr w:rsidR="00972395" w:rsidRPr="00E73D4B" w14:paraId="0DF02530"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6E851BEE"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038D7386" w14:textId="77777777" w:rsidR="00972395" w:rsidRPr="00E73D4B" w:rsidRDefault="00F120C7" w:rsidP="001C4219">
            <w:pPr>
              <w:jc w:val="right"/>
            </w:pPr>
            <w:r w:rsidRPr="00E73D4B">
              <w:t>818</w:t>
            </w:r>
          </w:p>
        </w:tc>
        <w:tc>
          <w:tcPr>
            <w:tcW w:w="4721" w:type="dxa"/>
            <w:tcBorders>
              <w:top w:val="nil"/>
              <w:left w:val="nil"/>
              <w:bottom w:val="nil"/>
              <w:right w:val="nil"/>
            </w:tcBorders>
            <w:tcMar>
              <w:top w:w="128" w:type="dxa"/>
              <w:left w:w="43" w:type="dxa"/>
              <w:bottom w:w="43" w:type="dxa"/>
              <w:right w:w="43" w:type="dxa"/>
            </w:tcMar>
          </w:tcPr>
          <w:p w14:paraId="64958B1B" w14:textId="77777777" w:rsidR="00972395" w:rsidRPr="00E73D4B" w:rsidRDefault="00F120C7" w:rsidP="001C4219">
            <w:r w:rsidRPr="00E73D4B">
              <w:t xml:space="preserve">Like </w:t>
            </w:r>
            <w:proofErr w:type="spellStart"/>
            <w:r w:rsidRPr="00E73D4B">
              <w:t>hovudtariffavtalar</w:t>
            </w:r>
            <w:proofErr w:type="spellEnd"/>
          </w:p>
        </w:tc>
        <w:tc>
          <w:tcPr>
            <w:tcW w:w="1687" w:type="dxa"/>
            <w:tcBorders>
              <w:top w:val="nil"/>
              <w:left w:val="nil"/>
              <w:bottom w:val="nil"/>
              <w:right w:val="nil"/>
            </w:tcBorders>
            <w:tcMar>
              <w:top w:w="128" w:type="dxa"/>
              <w:left w:w="43" w:type="dxa"/>
              <w:bottom w:w="43" w:type="dxa"/>
              <w:right w:w="43" w:type="dxa"/>
            </w:tcMar>
          </w:tcPr>
          <w:p w14:paraId="58068A2F" w14:textId="77777777" w:rsidR="00972395" w:rsidRPr="00E73D4B" w:rsidRDefault="00F120C7" w:rsidP="001C4219">
            <w:pPr>
              <w:jc w:val="right"/>
            </w:pPr>
            <w:r w:rsidRPr="00E73D4B">
              <w:t>Ja</w:t>
            </w:r>
          </w:p>
        </w:tc>
      </w:tr>
      <w:tr w:rsidR="00972395" w:rsidRPr="00E73D4B" w14:paraId="6813C9D7"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50CF5C6E"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3E19D86E" w14:textId="77777777" w:rsidR="00972395" w:rsidRPr="00E73D4B" w:rsidRDefault="00F120C7" w:rsidP="001C4219">
            <w:pPr>
              <w:jc w:val="right"/>
            </w:pPr>
            <w:r w:rsidRPr="00E73D4B">
              <w:t>828</w:t>
            </w:r>
          </w:p>
        </w:tc>
        <w:tc>
          <w:tcPr>
            <w:tcW w:w="4721" w:type="dxa"/>
            <w:tcBorders>
              <w:top w:val="nil"/>
              <w:left w:val="nil"/>
              <w:bottom w:val="nil"/>
              <w:right w:val="nil"/>
            </w:tcBorders>
            <w:tcMar>
              <w:top w:w="128" w:type="dxa"/>
              <w:left w:w="43" w:type="dxa"/>
              <w:bottom w:w="43" w:type="dxa"/>
              <w:right w:w="43" w:type="dxa"/>
            </w:tcMar>
          </w:tcPr>
          <w:p w14:paraId="0090C018" w14:textId="77777777" w:rsidR="00972395" w:rsidRPr="00E73D4B" w:rsidRDefault="00F120C7" w:rsidP="001C4219">
            <w:proofErr w:type="spellStart"/>
            <w:r w:rsidRPr="00E73D4B">
              <w:t>Meirutgifter</w:t>
            </w:r>
            <w:proofErr w:type="spellEnd"/>
            <w:r w:rsidRPr="00E73D4B">
              <w:t xml:space="preserve"> til pandemien i </w:t>
            </w:r>
            <w:proofErr w:type="spellStart"/>
            <w:r w:rsidRPr="00E73D4B">
              <w:t>kommunane</w:t>
            </w:r>
            <w:proofErr w:type="spellEnd"/>
            <w:r w:rsidRPr="00E73D4B">
              <w:t xml:space="preserve"> og </w:t>
            </w:r>
            <w:proofErr w:type="spellStart"/>
            <w:r w:rsidRPr="00E73D4B">
              <w:t>fylkeskommunane</w:t>
            </w:r>
            <w:proofErr w:type="spellEnd"/>
          </w:p>
        </w:tc>
        <w:tc>
          <w:tcPr>
            <w:tcW w:w="1687" w:type="dxa"/>
            <w:tcBorders>
              <w:top w:val="nil"/>
              <w:left w:val="nil"/>
              <w:bottom w:val="nil"/>
              <w:right w:val="nil"/>
            </w:tcBorders>
            <w:tcMar>
              <w:top w:w="128" w:type="dxa"/>
              <w:left w:w="43" w:type="dxa"/>
              <w:bottom w:w="43" w:type="dxa"/>
              <w:right w:w="43" w:type="dxa"/>
            </w:tcMar>
          </w:tcPr>
          <w:p w14:paraId="4C25FAD0" w14:textId="77777777" w:rsidR="00972395" w:rsidRPr="00E73D4B" w:rsidRDefault="00F120C7" w:rsidP="001C4219">
            <w:pPr>
              <w:jc w:val="right"/>
            </w:pPr>
            <w:r w:rsidRPr="00E73D4B">
              <w:t>Nei</w:t>
            </w:r>
          </w:p>
        </w:tc>
      </w:tr>
      <w:tr w:rsidR="00972395" w:rsidRPr="00E73D4B" w14:paraId="1EBF6CC1"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5A331EF6" w14:textId="77777777" w:rsidR="00972395" w:rsidRPr="00E73D4B" w:rsidRDefault="00F120C7" w:rsidP="001C4219">
            <w:r w:rsidRPr="00E73D4B">
              <w:t>2021–2022</w:t>
            </w:r>
          </w:p>
        </w:tc>
        <w:tc>
          <w:tcPr>
            <w:tcW w:w="1275" w:type="dxa"/>
            <w:tcBorders>
              <w:top w:val="nil"/>
              <w:left w:val="nil"/>
              <w:bottom w:val="nil"/>
              <w:right w:val="nil"/>
            </w:tcBorders>
            <w:tcMar>
              <w:top w:w="128" w:type="dxa"/>
              <w:left w:w="43" w:type="dxa"/>
              <w:bottom w:w="43" w:type="dxa"/>
              <w:right w:w="43" w:type="dxa"/>
            </w:tcMar>
          </w:tcPr>
          <w:p w14:paraId="7637A5BF" w14:textId="77777777" w:rsidR="00972395" w:rsidRPr="00E73D4B" w:rsidRDefault="00F120C7" w:rsidP="001C4219">
            <w:pPr>
              <w:jc w:val="right"/>
            </w:pPr>
            <w:r w:rsidRPr="00E73D4B">
              <w:t>833</w:t>
            </w:r>
          </w:p>
        </w:tc>
        <w:tc>
          <w:tcPr>
            <w:tcW w:w="4721" w:type="dxa"/>
            <w:tcBorders>
              <w:top w:val="nil"/>
              <w:left w:val="nil"/>
              <w:bottom w:val="nil"/>
              <w:right w:val="nil"/>
            </w:tcBorders>
            <w:tcMar>
              <w:top w:w="128" w:type="dxa"/>
              <w:left w:w="43" w:type="dxa"/>
              <w:bottom w:w="43" w:type="dxa"/>
              <w:right w:w="43" w:type="dxa"/>
            </w:tcMar>
          </w:tcPr>
          <w:p w14:paraId="4FDE7D2F" w14:textId="77777777" w:rsidR="00972395" w:rsidRPr="00E73D4B" w:rsidRDefault="00F120C7" w:rsidP="001C4219">
            <w:proofErr w:type="spellStart"/>
            <w:r w:rsidRPr="00E73D4B">
              <w:t>Mellombelse</w:t>
            </w:r>
            <w:proofErr w:type="spellEnd"/>
            <w:r w:rsidRPr="00E73D4B">
              <w:t xml:space="preserve"> </w:t>
            </w:r>
            <w:proofErr w:type="spellStart"/>
            <w:r w:rsidRPr="00E73D4B">
              <w:t>reglar</w:t>
            </w:r>
            <w:proofErr w:type="spellEnd"/>
            <w:r w:rsidRPr="00E73D4B">
              <w:t xml:space="preserve"> i bustøtta i juni–september</w:t>
            </w:r>
          </w:p>
        </w:tc>
        <w:tc>
          <w:tcPr>
            <w:tcW w:w="1687" w:type="dxa"/>
            <w:tcBorders>
              <w:top w:val="nil"/>
              <w:left w:val="nil"/>
              <w:bottom w:val="nil"/>
              <w:right w:val="nil"/>
            </w:tcBorders>
            <w:tcMar>
              <w:top w:w="128" w:type="dxa"/>
              <w:left w:w="43" w:type="dxa"/>
              <w:bottom w:w="43" w:type="dxa"/>
              <w:right w:w="43" w:type="dxa"/>
            </w:tcMar>
          </w:tcPr>
          <w:p w14:paraId="25754406" w14:textId="77777777" w:rsidR="00972395" w:rsidRPr="00E73D4B" w:rsidRDefault="00F120C7" w:rsidP="001C4219">
            <w:pPr>
              <w:jc w:val="right"/>
            </w:pPr>
            <w:r w:rsidRPr="00E73D4B">
              <w:t>Ja</w:t>
            </w:r>
          </w:p>
        </w:tc>
      </w:tr>
      <w:tr w:rsidR="00972395" w:rsidRPr="00E73D4B" w14:paraId="1F74AFB6"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30BBE209" w14:textId="77777777" w:rsidR="00972395" w:rsidRPr="00E73D4B" w:rsidRDefault="00F120C7" w:rsidP="001C4219">
            <w:r w:rsidRPr="00E73D4B">
              <w:t>2020–2021</w:t>
            </w:r>
          </w:p>
        </w:tc>
        <w:tc>
          <w:tcPr>
            <w:tcW w:w="1275" w:type="dxa"/>
            <w:tcBorders>
              <w:top w:val="nil"/>
              <w:left w:val="nil"/>
              <w:bottom w:val="nil"/>
              <w:right w:val="nil"/>
            </w:tcBorders>
            <w:tcMar>
              <w:top w:w="128" w:type="dxa"/>
              <w:left w:w="43" w:type="dxa"/>
              <w:bottom w:w="43" w:type="dxa"/>
              <w:right w:w="43" w:type="dxa"/>
            </w:tcMar>
          </w:tcPr>
          <w:p w14:paraId="32DB3668" w14:textId="77777777" w:rsidR="00972395" w:rsidRPr="00E73D4B" w:rsidRDefault="00F120C7" w:rsidP="001C4219">
            <w:pPr>
              <w:jc w:val="right"/>
            </w:pPr>
            <w:r w:rsidRPr="00E73D4B">
              <w:t>736</w:t>
            </w:r>
          </w:p>
        </w:tc>
        <w:tc>
          <w:tcPr>
            <w:tcW w:w="4721" w:type="dxa"/>
            <w:tcBorders>
              <w:top w:val="nil"/>
              <w:left w:val="nil"/>
              <w:bottom w:val="nil"/>
              <w:right w:val="nil"/>
            </w:tcBorders>
            <w:tcMar>
              <w:top w:w="128" w:type="dxa"/>
              <w:left w:w="43" w:type="dxa"/>
              <w:bottom w:w="43" w:type="dxa"/>
              <w:right w:w="43" w:type="dxa"/>
            </w:tcMar>
          </w:tcPr>
          <w:p w14:paraId="1EC30408" w14:textId="77777777" w:rsidR="00972395" w:rsidRPr="00E73D4B" w:rsidRDefault="00F120C7" w:rsidP="001C4219">
            <w:r w:rsidRPr="00E73D4B">
              <w:t>Krav til IKT-</w:t>
            </w:r>
            <w:proofErr w:type="spellStart"/>
            <w:r w:rsidRPr="00E73D4B">
              <w:t>sikkerheit</w:t>
            </w:r>
            <w:proofErr w:type="spellEnd"/>
            <w:r w:rsidRPr="00E73D4B">
              <w:t xml:space="preserve"> ved </w:t>
            </w:r>
            <w:proofErr w:type="spellStart"/>
            <w:r w:rsidRPr="00E73D4B">
              <w:t>tenesteutsetting</w:t>
            </w:r>
            <w:proofErr w:type="spellEnd"/>
          </w:p>
        </w:tc>
        <w:tc>
          <w:tcPr>
            <w:tcW w:w="1687" w:type="dxa"/>
            <w:tcBorders>
              <w:top w:val="nil"/>
              <w:left w:val="nil"/>
              <w:bottom w:val="nil"/>
              <w:right w:val="nil"/>
            </w:tcBorders>
            <w:tcMar>
              <w:top w:w="128" w:type="dxa"/>
              <w:left w:w="43" w:type="dxa"/>
              <w:bottom w:w="43" w:type="dxa"/>
              <w:right w:w="43" w:type="dxa"/>
            </w:tcMar>
          </w:tcPr>
          <w:p w14:paraId="3A7E6EFD" w14:textId="77777777" w:rsidR="00972395" w:rsidRPr="00E73D4B" w:rsidRDefault="00F120C7" w:rsidP="001C4219">
            <w:pPr>
              <w:jc w:val="right"/>
            </w:pPr>
            <w:r w:rsidRPr="00E73D4B">
              <w:t>Ja</w:t>
            </w:r>
          </w:p>
        </w:tc>
      </w:tr>
      <w:tr w:rsidR="00972395" w:rsidRPr="00E73D4B" w14:paraId="4FCDE64A"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5A859DC0" w14:textId="77777777" w:rsidR="00972395" w:rsidRPr="00E73D4B" w:rsidRDefault="00F120C7" w:rsidP="001C4219">
            <w:r w:rsidRPr="00E73D4B">
              <w:t>2020–2021</w:t>
            </w:r>
          </w:p>
        </w:tc>
        <w:tc>
          <w:tcPr>
            <w:tcW w:w="1275" w:type="dxa"/>
            <w:tcBorders>
              <w:top w:val="nil"/>
              <w:left w:val="nil"/>
              <w:bottom w:val="nil"/>
              <w:right w:val="nil"/>
            </w:tcBorders>
            <w:tcMar>
              <w:top w:w="128" w:type="dxa"/>
              <w:left w:w="43" w:type="dxa"/>
              <w:bottom w:w="43" w:type="dxa"/>
              <w:right w:w="43" w:type="dxa"/>
            </w:tcMar>
          </w:tcPr>
          <w:p w14:paraId="5301B746" w14:textId="77777777" w:rsidR="00972395" w:rsidRPr="00E73D4B" w:rsidRDefault="00F120C7" w:rsidP="001C4219">
            <w:pPr>
              <w:jc w:val="right"/>
            </w:pPr>
            <w:r w:rsidRPr="00E73D4B">
              <w:t>1060</w:t>
            </w:r>
          </w:p>
        </w:tc>
        <w:tc>
          <w:tcPr>
            <w:tcW w:w="4721" w:type="dxa"/>
            <w:tcBorders>
              <w:top w:val="nil"/>
              <w:left w:val="nil"/>
              <w:bottom w:val="nil"/>
              <w:right w:val="nil"/>
            </w:tcBorders>
            <w:tcMar>
              <w:top w:w="128" w:type="dxa"/>
              <w:left w:w="43" w:type="dxa"/>
              <w:bottom w:w="43" w:type="dxa"/>
              <w:right w:w="43" w:type="dxa"/>
            </w:tcMar>
          </w:tcPr>
          <w:p w14:paraId="03E0E12F" w14:textId="77777777" w:rsidR="00972395" w:rsidRPr="00E73D4B" w:rsidRDefault="00F120C7" w:rsidP="001C4219">
            <w:r w:rsidRPr="00E73D4B">
              <w:t xml:space="preserve">Utgreie rett til høghastigheitsinternett for alle </w:t>
            </w:r>
            <w:proofErr w:type="spellStart"/>
            <w:r w:rsidRPr="00E73D4B">
              <w:t>husstandar</w:t>
            </w:r>
            <w:proofErr w:type="spellEnd"/>
          </w:p>
        </w:tc>
        <w:tc>
          <w:tcPr>
            <w:tcW w:w="1687" w:type="dxa"/>
            <w:tcBorders>
              <w:top w:val="nil"/>
              <w:left w:val="nil"/>
              <w:bottom w:val="nil"/>
              <w:right w:val="nil"/>
            </w:tcBorders>
            <w:tcMar>
              <w:top w:w="128" w:type="dxa"/>
              <w:left w:w="43" w:type="dxa"/>
              <w:bottom w:w="43" w:type="dxa"/>
              <w:right w:w="43" w:type="dxa"/>
            </w:tcMar>
          </w:tcPr>
          <w:p w14:paraId="652B7900" w14:textId="77777777" w:rsidR="00972395" w:rsidRPr="00E73D4B" w:rsidRDefault="00F120C7" w:rsidP="001C4219">
            <w:pPr>
              <w:jc w:val="right"/>
            </w:pPr>
            <w:r w:rsidRPr="00E73D4B">
              <w:t>Nei</w:t>
            </w:r>
          </w:p>
        </w:tc>
      </w:tr>
      <w:tr w:rsidR="00972395" w:rsidRPr="00E73D4B" w14:paraId="14F423C4"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2908974D" w14:textId="77777777" w:rsidR="00972395" w:rsidRPr="00E73D4B" w:rsidRDefault="00F120C7" w:rsidP="001C4219">
            <w:r w:rsidRPr="00E73D4B">
              <w:t>2020–2021</w:t>
            </w:r>
          </w:p>
        </w:tc>
        <w:tc>
          <w:tcPr>
            <w:tcW w:w="1275" w:type="dxa"/>
            <w:tcBorders>
              <w:top w:val="nil"/>
              <w:left w:val="nil"/>
              <w:bottom w:val="nil"/>
              <w:right w:val="nil"/>
            </w:tcBorders>
            <w:tcMar>
              <w:top w:w="128" w:type="dxa"/>
              <w:left w:w="43" w:type="dxa"/>
              <w:bottom w:w="43" w:type="dxa"/>
              <w:right w:w="43" w:type="dxa"/>
            </w:tcMar>
          </w:tcPr>
          <w:p w14:paraId="49A12676" w14:textId="77777777" w:rsidR="00972395" w:rsidRPr="00E73D4B" w:rsidRDefault="00F120C7" w:rsidP="001C4219">
            <w:pPr>
              <w:jc w:val="right"/>
            </w:pPr>
            <w:r w:rsidRPr="00E73D4B">
              <w:t>1066</w:t>
            </w:r>
          </w:p>
        </w:tc>
        <w:tc>
          <w:tcPr>
            <w:tcW w:w="4721" w:type="dxa"/>
            <w:tcBorders>
              <w:top w:val="nil"/>
              <w:left w:val="nil"/>
              <w:bottom w:val="nil"/>
              <w:right w:val="nil"/>
            </w:tcBorders>
            <w:tcMar>
              <w:top w:w="128" w:type="dxa"/>
              <w:left w:w="43" w:type="dxa"/>
              <w:bottom w:w="43" w:type="dxa"/>
              <w:right w:w="43" w:type="dxa"/>
            </w:tcMar>
          </w:tcPr>
          <w:p w14:paraId="464D4D44" w14:textId="77777777" w:rsidR="00972395" w:rsidRPr="00E73D4B" w:rsidRDefault="00F120C7" w:rsidP="001C4219">
            <w:r w:rsidRPr="00E73D4B">
              <w:t xml:space="preserve">Mobil- og internettdekning langs </w:t>
            </w:r>
            <w:proofErr w:type="spellStart"/>
            <w:r w:rsidRPr="00E73D4B">
              <w:t>eksisterande</w:t>
            </w:r>
            <w:proofErr w:type="spellEnd"/>
            <w:r w:rsidRPr="00E73D4B">
              <w:t xml:space="preserve"> </w:t>
            </w:r>
            <w:proofErr w:type="spellStart"/>
            <w:r w:rsidRPr="00E73D4B">
              <w:t>riksvegar</w:t>
            </w:r>
            <w:proofErr w:type="spellEnd"/>
          </w:p>
        </w:tc>
        <w:tc>
          <w:tcPr>
            <w:tcW w:w="1687" w:type="dxa"/>
            <w:tcBorders>
              <w:top w:val="nil"/>
              <w:left w:val="nil"/>
              <w:bottom w:val="nil"/>
              <w:right w:val="nil"/>
            </w:tcBorders>
            <w:tcMar>
              <w:top w:w="128" w:type="dxa"/>
              <w:left w:w="43" w:type="dxa"/>
              <w:bottom w:w="43" w:type="dxa"/>
              <w:right w:w="43" w:type="dxa"/>
            </w:tcMar>
          </w:tcPr>
          <w:p w14:paraId="1E99FFB9" w14:textId="77777777" w:rsidR="00972395" w:rsidRPr="00E73D4B" w:rsidRDefault="00F120C7" w:rsidP="001C4219">
            <w:pPr>
              <w:jc w:val="right"/>
            </w:pPr>
            <w:r w:rsidRPr="00E73D4B">
              <w:t>Nei</w:t>
            </w:r>
          </w:p>
        </w:tc>
      </w:tr>
      <w:tr w:rsidR="00972395" w:rsidRPr="00E73D4B" w14:paraId="501972D5" w14:textId="77777777" w:rsidTr="007116DC">
        <w:trPr>
          <w:trHeight w:val="640"/>
        </w:trPr>
        <w:tc>
          <w:tcPr>
            <w:tcW w:w="1517" w:type="dxa"/>
            <w:tcBorders>
              <w:top w:val="nil"/>
              <w:left w:val="nil"/>
              <w:bottom w:val="nil"/>
              <w:right w:val="nil"/>
            </w:tcBorders>
            <w:tcMar>
              <w:top w:w="128" w:type="dxa"/>
              <w:left w:w="43" w:type="dxa"/>
              <w:bottom w:w="43" w:type="dxa"/>
              <w:right w:w="43" w:type="dxa"/>
            </w:tcMar>
          </w:tcPr>
          <w:p w14:paraId="750CDB95" w14:textId="77777777" w:rsidR="00972395" w:rsidRPr="00E73D4B" w:rsidRDefault="00F120C7" w:rsidP="001C4219">
            <w:r w:rsidRPr="00E73D4B">
              <w:t>2020–2021</w:t>
            </w:r>
          </w:p>
        </w:tc>
        <w:tc>
          <w:tcPr>
            <w:tcW w:w="1275" w:type="dxa"/>
            <w:tcBorders>
              <w:top w:val="nil"/>
              <w:left w:val="nil"/>
              <w:bottom w:val="nil"/>
              <w:right w:val="nil"/>
            </w:tcBorders>
            <w:tcMar>
              <w:top w:w="128" w:type="dxa"/>
              <w:left w:w="43" w:type="dxa"/>
              <w:bottom w:w="43" w:type="dxa"/>
              <w:right w:w="43" w:type="dxa"/>
            </w:tcMar>
          </w:tcPr>
          <w:p w14:paraId="0950EAFA" w14:textId="77777777" w:rsidR="00972395" w:rsidRPr="00E73D4B" w:rsidRDefault="00F120C7" w:rsidP="001C4219">
            <w:pPr>
              <w:jc w:val="right"/>
            </w:pPr>
            <w:r w:rsidRPr="00E73D4B">
              <w:t>1125</w:t>
            </w:r>
          </w:p>
        </w:tc>
        <w:tc>
          <w:tcPr>
            <w:tcW w:w="4721" w:type="dxa"/>
            <w:tcBorders>
              <w:top w:val="nil"/>
              <w:left w:val="nil"/>
              <w:bottom w:val="nil"/>
              <w:right w:val="nil"/>
            </w:tcBorders>
            <w:tcMar>
              <w:top w:w="128" w:type="dxa"/>
              <w:left w:w="43" w:type="dxa"/>
              <w:bottom w:w="43" w:type="dxa"/>
              <w:right w:w="43" w:type="dxa"/>
            </w:tcMar>
          </w:tcPr>
          <w:p w14:paraId="00533870" w14:textId="77777777" w:rsidR="00972395" w:rsidRPr="00E73D4B" w:rsidRDefault="00F120C7" w:rsidP="001C4219">
            <w:r w:rsidRPr="00E73D4B">
              <w:t xml:space="preserve">Behandling av klagesaker der </w:t>
            </w:r>
            <w:proofErr w:type="spellStart"/>
            <w:r w:rsidRPr="00E73D4B">
              <w:t>statsforvaltaren</w:t>
            </w:r>
            <w:proofErr w:type="spellEnd"/>
            <w:r w:rsidRPr="00E73D4B">
              <w:t xml:space="preserve"> er </w:t>
            </w:r>
            <w:proofErr w:type="spellStart"/>
            <w:r w:rsidRPr="00E73D4B">
              <w:t>klagar</w:t>
            </w:r>
            <w:proofErr w:type="spellEnd"/>
            <w:r w:rsidRPr="00E73D4B">
              <w:t xml:space="preserve"> eller part</w:t>
            </w:r>
          </w:p>
        </w:tc>
        <w:tc>
          <w:tcPr>
            <w:tcW w:w="1687" w:type="dxa"/>
            <w:tcBorders>
              <w:top w:val="nil"/>
              <w:left w:val="nil"/>
              <w:bottom w:val="nil"/>
              <w:right w:val="nil"/>
            </w:tcBorders>
            <w:tcMar>
              <w:top w:w="128" w:type="dxa"/>
              <w:left w:w="43" w:type="dxa"/>
              <w:bottom w:w="43" w:type="dxa"/>
              <w:right w:w="43" w:type="dxa"/>
            </w:tcMar>
          </w:tcPr>
          <w:p w14:paraId="13A8DC55" w14:textId="77777777" w:rsidR="00972395" w:rsidRPr="00E73D4B" w:rsidRDefault="00F120C7" w:rsidP="001C4219">
            <w:pPr>
              <w:jc w:val="right"/>
            </w:pPr>
            <w:r w:rsidRPr="00E73D4B">
              <w:t>Ja</w:t>
            </w:r>
          </w:p>
        </w:tc>
      </w:tr>
      <w:tr w:rsidR="00972395" w:rsidRPr="00E73D4B" w14:paraId="11B2EA06"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7B57484C" w14:textId="77777777" w:rsidR="00972395" w:rsidRPr="00E73D4B" w:rsidRDefault="00F120C7" w:rsidP="001C4219">
            <w:r w:rsidRPr="00E73D4B">
              <w:t>2020–2021</w:t>
            </w:r>
          </w:p>
        </w:tc>
        <w:tc>
          <w:tcPr>
            <w:tcW w:w="1275" w:type="dxa"/>
            <w:tcBorders>
              <w:top w:val="nil"/>
              <w:left w:val="nil"/>
              <w:bottom w:val="nil"/>
              <w:right w:val="nil"/>
            </w:tcBorders>
            <w:tcMar>
              <w:top w:w="128" w:type="dxa"/>
              <w:left w:w="43" w:type="dxa"/>
              <w:bottom w:w="43" w:type="dxa"/>
              <w:right w:w="43" w:type="dxa"/>
            </w:tcMar>
          </w:tcPr>
          <w:p w14:paraId="5E7D85BE" w14:textId="77777777" w:rsidR="00972395" w:rsidRPr="00E73D4B" w:rsidRDefault="00F120C7" w:rsidP="001C4219">
            <w:pPr>
              <w:jc w:val="right"/>
            </w:pPr>
            <w:r w:rsidRPr="00E73D4B">
              <w:t>1126</w:t>
            </w:r>
          </w:p>
        </w:tc>
        <w:tc>
          <w:tcPr>
            <w:tcW w:w="4721" w:type="dxa"/>
            <w:tcBorders>
              <w:top w:val="nil"/>
              <w:left w:val="nil"/>
              <w:bottom w:val="nil"/>
              <w:right w:val="nil"/>
            </w:tcBorders>
            <w:tcMar>
              <w:top w:w="128" w:type="dxa"/>
              <w:left w:w="43" w:type="dxa"/>
              <w:bottom w:w="43" w:type="dxa"/>
              <w:right w:w="43" w:type="dxa"/>
            </w:tcMar>
          </w:tcPr>
          <w:p w14:paraId="1080A6DD" w14:textId="77777777" w:rsidR="00972395" w:rsidRPr="00E73D4B" w:rsidRDefault="00F120C7" w:rsidP="001C4219">
            <w:r w:rsidRPr="00E73D4B">
              <w:t xml:space="preserve">Bruk av </w:t>
            </w:r>
            <w:proofErr w:type="spellStart"/>
            <w:r w:rsidRPr="00E73D4B">
              <w:t>dispensasjonar</w:t>
            </w:r>
            <w:proofErr w:type="spellEnd"/>
            <w:r w:rsidRPr="00E73D4B">
              <w:t xml:space="preserve"> i plansaker </w:t>
            </w:r>
          </w:p>
        </w:tc>
        <w:tc>
          <w:tcPr>
            <w:tcW w:w="1687" w:type="dxa"/>
            <w:tcBorders>
              <w:top w:val="nil"/>
              <w:left w:val="nil"/>
              <w:bottom w:val="nil"/>
              <w:right w:val="nil"/>
            </w:tcBorders>
            <w:tcMar>
              <w:top w:w="128" w:type="dxa"/>
              <w:left w:w="43" w:type="dxa"/>
              <w:bottom w:w="43" w:type="dxa"/>
              <w:right w:w="43" w:type="dxa"/>
            </w:tcMar>
          </w:tcPr>
          <w:p w14:paraId="328E21C9" w14:textId="77777777" w:rsidR="00972395" w:rsidRPr="00E73D4B" w:rsidRDefault="00F120C7" w:rsidP="001C4219">
            <w:pPr>
              <w:jc w:val="right"/>
            </w:pPr>
            <w:r w:rsidRPr="00E73D4B">
              <w:t>Ja</w:t>
            </w:r>
          </w:p>
        </w:tc>
      </w:tr>
      <w:tr w:rsidR="00972395" w:rsidRPr="00E73D4B" w14:paraId="7501D675"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17C89F08" w14:textId="77777777" w:rsidR="00972395" w:rsidRPr="00E73D4B" w:rsidRDefault="00F120C7" w:rsidP="001C4219">
            <w:r w:rsidRPr="00E73D4B">
              <w:t>2020–2021</w:t>
            </w:r>
          </w:p>
        </w:tc>
        <w:tc>
          <w:tcPr>
            <w:tcW w:w="1275" w:type="dxa"/>
            <w:tcBorders>
              <w:top w:val="nil"/>
              <w:left w:val="nil"/>
              <w:bottom w:val="nil"/>
              <w:right w:val="nil"/>
            </w:tcBorders>
            <w:tcMar>
              <w:top w:w="128" w:type="dxa"/>
              <w:left w:w="43" w:type="dxa"/>
              <w:bottom w:w="43" w:type="dxa"/>
              <w:right w:w="43" w:type="dxa"/>
            </w:tcMar>
          </w:tcPr>
          <w:p w14:paraId="0689A7E3" w14:textId="77777777" w:rsidR="00972395" w:rsidRPr="00E73D4B" w:rsidRDefault="00F120C7" w:rsidP="001C4219">
            <w:pPr>
              <w:jc w:val="right"/>
            </w:pPr>
            <w:r w:rsidRPr="00E73D4B">
              <w:t>1209</w:t>
            </w:r>
          </w:p>
        </w:tc>
        <w:tc>
          <w:tcPr>
            <w:tcW w:w="4721" w:type="dxa"/>
            <w:tcBorders>
              <w:top w:val="nil"/>
              <w:left w:val="nil"/>
              <w:bottom w:val="nil"/>
              <w:right w:val="nil"/>
            </w:tcBorders>
            <w:tcMar>
              <w:top w:w="128" w:type="dxa"/>
              <w:left w:w="43" w:type="dxa"/>
              <w:bottom w:w="43" w:type="dxa"/>
              <w:right w:w="43" w:type="dxa"/>
            </w:tcMar>
          </w:tcPr>
          <w:p w14:paraId="69FA68DC" w14:textId="77777777" w:rsidR="00972395" w:rsidRPr="00E73D4B" w:rsidRDefault="00F120C7" w:rsidP="001C4219">
            <w:proofErr w:type="spellStart"/>
            <w:r w:rsidRPr="00E73D4B">
              <w:t>Klarare</w:t>
            </w:r>
            <w:proofErr w:type="spellEnd"/>
            <w:r w:rsidRPr="00E73D4B">
              <w:t xml:space="preserve"> </w:t>
            </w:r>
            <w:proofErr w:type="spellStart"/>
            <w:r w:rsidRPr="00E73D4B">
              <w:t>reglar</w:t>
            </w:r>
            <w:proofErr w:type="spellEnd"/>
            <w:r w:rsidRPr="00E73D4B">
              <w:t xml:space="preserve"> for krav til </w:t>
            </w:r>
            <w:proofErr w:type="spellStart"/>
            <w:r w:rsidRPr="00E73D4B">
              <w:t>sløkkevatn</w:t>
            </w:r>
            <w:proofErr w:type="spellEnd"/>
          </w:p>
        </w:tc>
        <w:tc>
          <w:tcPr>
            <w:tcW w:w="1687" w:type="dxa"/>
            <w:tcBorders>
              <w:top w:val="nil"/>
              <w:left w:val="nil"/>
              <w:bottom w:val="nil"/>
              <w:right w:val="nil"/>
            </w:tcBorders>
            <w:tcMar>
              <w:top w:w="128" w:type="dxa"/>
              <w:left w:w="43" w:type="dxa"/>
              <w:bottom w:w="43" w:type="dxa"/>
              <w:right w:w="43" w:type="dxa"/>
            </w:tcMar>
          </w:tcPr>
          <w:p w14:paraId="46959F01" w14:textId="77777777" w:rsidR="00972395" w:rsidRPr="00E73D4B" w:rsidRDefault="00F120C7" w:rsidP="001C4219">
            <w:pPr>
              <w:jc w:val="right"/>
            </w:pPr>
            <w:r w:rsidRPr="00E73D4B">
              <w:t>Nei</w:t>
            </w:r>
          </w:p>
        </w:tc>
      </w:tr>
      <w:tr w:rsidR="00972395" w:rsidRPr="00E73D4B" w14:paraId="0EA5574E"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628D3253" w14:textId="77777777" w:rsidR="00972395" w:rsidRPr="00E73D4B" w:rsidRDefault="00F120C7" w:rsidP="001C4219">
            <w:r w:rsidRPr="00E73D4B">
              <w:t>2020–2021</w:t>
            </w:r>
          </w:p>
        </w:tc>
        <w:tc>
          <w:tcPr>
            <w:tcW w:w="1275" w:type="dxa"/>
            <w:tcBorders>
              <w:top w:val="nil"/>
              <w:left w:val="nil"/>
              <w:bottom w:val="nil"/>
              <w:right w:val="nil"/>
            </w:tcBorders>
            <w:tcMar>
              <w:top w:w="128" w:type="dxa"/>
              <w:left w:w="43" w:type="dxa"/>
              <w:bottom w:w="43" w:type="dxa"/>
              <w:right w:w="43" w:type="dxa"/>
            </w:tcMar>
          </w:tcPr>
          <w:p w14:paraId="5DD082AD" w14:textId="77777777" w:rsidR="00972395" w:rsidRPr="00E73D4B" w:rsidRDefault="00F120C7" w:rsidP="001C4219">
            <w:pPr>
              <w:jc w:val="right"/>
            </w:pPr>
            <w:r w:rsidRPr="00E73D4B">
              <w:t>1252</w:t>
            </w:r>
          </w:p>
        </w:tc>
        <w:tc>
          <w:tcPr>
            <w:tcW w:w="4721" w:type="dxa"/>
            <w:tcBorders>
              <w:top w:val="nil"/>
              <w:left w:val="nil"/>
              <w:bottom w:val="nil"/>
              <w:right w:val="nil"/>
            </w:tcBorders>
            <w:tcMar>
              <w:top w:w="128" w:type="dxa"/>
              <w:left w:w="43" w:type="dxa"/>
              <w:bottom w:w="43" w:type="dxa"/>
              <w:right w:w="43" w:type="dxa"/>
            </w:tcMar>
          </w:tcPr>
          <w:p w14:paraId="23320F99" w14:textId="77777777" w:rsidR="00972395" w:rsidRPr="00E73D4B" w:rsidRDefault="00F120C7" w:rsidP="001C4219">
            <w:proofErr w:type="spellStart"/>
            <w:r w:rsidRPr="00E73D4B">
              <w:t>Helsetenester</w:t>
            </w:r>
            <w:proofErr w:type="spellEnd"/>
            <w:r w:rsidRPr="00E73D4B">
              <w:t xml:space="preserve"> nytta </w:t>
            </w:r>
            <w:proofErr w:type="spellStart"/>
            <w:r w:rsidRPr="00E73D4B">
              <w:t>utanfor</w:t>
            </w:r>
            <w:proofErr w:type="spellEnd"/>
            <w:r w:rsidRPr="00E73D4B">
              <w:t xml:space="preserve"> bustadkommunen</w:t>
            </w:r>
          </w:p>
        </w:tc>
        <w:tc>
          <w:tcPr>
            <w:tcW w:w="1687" w:type="dxa"/>
            <w:tcBorders>
              <w:top w:val="nil"/>
              <w:left w:val="nil"/>
              <w:bottom w:val="nil"/>
              <w:right w:val="nil"/>
            </w:tcBorders>
            <w:tcMar>
              <w:top w:w="128" w:type="dxa"/>
              <w:left w:w="43" w:type="dxa"/>
              <w:bottom w:w="43" w:type="dxa"/>
              <w:right w:w="43" w:type="dxa"/>
            </w:tcMar>
          </w:tcPr>
          <w:p w14:paraId="528D37DF" w14:textId="77777777" w:rsidR="00972395" w:rsidRPr="00E73D4B" w:rsidRDefault="00F120C7" w:rsidP="001C4219">
            <w:pPr>
              <w:jc w:val="right"/>
            </w:pPr>
            <w:r w:rsidRPr="00E73D4B">
              <w:t>Nei</w:t>
            </w:r>
          </w:p>
        </w:tc>
      </w:tr>
      <w:tr w:rsidR="00972395" w:rsidRPr="00E73D4B" w14:paraId="68FCCB52"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78131763" w14:textId="77777777" w:rsidR="00972395" w:rsidRPr="00E73D4B" w:rsidRDefault="00F120C7" w:rsidP="001C4219">
            <w:r w:rsidRPr="00E73D4B">
              <w:t>2018–2019</w:t>
            </w:r>
          </w:p>
        </w:tc>
        <w:tc>
          <w:tcPr>
            <w:tcW w:w="1275" w:type="dxa"/>
            <w:tcBorders>
              <w:top w:val="nil"/>
              <w:left w:val="nil"/>
              <w:bottom w:val="nil"/>
              <w:right w:val="nil"/>
            </w:tcBorders>
            <w:tcMar>
              <w:top w:w="128" w:type="dxa"/>
              <w:left w:w="43" w:type="dxa"/>
              <w:bottom w:w="43" w:type="dxa"/>
              <w:right w:w="43" w:type="dxa"/>
            </w:tcMar>
          </w:tcPr>
          <w:p w14:paraId="0F7518D2" w14:textId="77777777" w:rsidR="00972395" w:rsidRPr="00E73D4B" w:rsidRDefault="00F120C7" w:rsidP="001C4219">
            <w:pPr>
              <w:jc w:val="right"/>
            </w:pPr>
            <w:r w:rsidRPr="00E73D4B">
              <w:t>55</w:t>
            </w:r>
          </w:p>
        </w:tc>
        <w:tc>
          <w:tcPr>
            <w:tcW w:w="4721" w:type="dxa"/>
            <w:tcBorders>
              <w:top w:val="nil"/>
              <w:left w:val="nil"/>
              <w:bottom w:val="nil"/>
              <w:right w:val="nil"/>
            </w:tcBorders>
            <w:tcMar>
              <w:top w:w="128" w:type="dxa"/>
              <w:left w:w="43" w:type="dxa"/>
              <w:bottom w:w="43" w:type="dxa"/>
              <w:right w:w="43" w:type="dxa"/>
            </w:tcMar>
          </w:tcPr>
          <w:p w14:paraId="1A45DA7A" w14:textId="77777777" w:rsidR="00972395" w:rsidRPr="00E73D4B" w:rsidRDefault="00F120C7" w:rsidP="001C4219">
            <w:r w:rsidRPr="00E73D4B">
              <w:t xml:space="preserve">Opplysningsplikt for </w:t>
            </w:r>
            <w:proofErr w:type="spellStart"/>
            <w:r w:rsidRPr="00E73D4B">
              <w:t>statsrådar</w:t>
            </w:r>
            <w:proofErr w:type="spellEnd"/>
            <w:r w:rsidRPr="00E73D4B">
              <w:t xml:space="preserve"> og </w:t>
            </w:r>
            <w:proofErr w:type="spellStart"/>
            <w:r w:rsidRPr="00E73D4B">
              <w:t>statssekretærar</w:t>
            </w:r>
            <w:proofErr w:type="spellEnd"/>
          </w:p>
        </w:tc>
        <w:tc>
          <w:tcPr>
            <w:tcW w:w="1687" w:type="dxa"/>
            <w:tcBorders>
              <w:top w:val="nil"/>
              <w:left w:val="nil"/>
              <w:bottom w:val="nil"/>
              <w:right w:val="nil"/>
            </w:tcBorders>
            <w:tcMar>
              <w:top w:w="128" w:type="dxa"/>
              <w:left w:w="43" w:type="dxa"/>
              <w:bottom w:w="43" w:type="dxa"/>
              <w:right w:w="43" w:type="dxa"/>
            </w:tcMar>
          </w:tcPr>
          <w:p w14:paraId="04DB37EA" w14:textId="77777777" w:rsidR="00972395" w:rsidRPr="00E73D4B" w:rsidRDefault="00F120C7" w:rsidP="001C4219">
            <w:pPr>
              <w:jc w:val="right"/>
            </w:pPr>
            <w:r w:rsidRPr="00E73D4B">
              <w:t>Nei</w:t>
            </w:r>
          </w:p>
        </w:tc>
      </w:tr>
      <w:tr w:rsidR="00972395" w:rsidRPr="00E73D4B" w14:paraId="7D5D9604"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4510F549" w14:textId="77777777" w:rsidR="00972395" w:rsidRPr="00E73D4B" w:rsidRDefault="00F120C7" w:rsidP="001C4219">
            <w:r w:rsidRPr="00E73D4B">
              <w:t>2016–2017</w:t>
            </w:r>
          </w:p>
        </w:tc>
        <w:tc>
          <w:tcPr>
            <w:tcW w:w="1275" w:type="dxa"/>
            <w:tcBorders>
              <w:top w:val="nil"/>
              <w:left w:val="nil"/>
              <w:bottom w:val="nil"/>
              <w:right w:val="nil"/>
            </w:tcBorders>
            <w:tcMar>
              <w:top w:w="128" w:type="dxa"/>
              <w:left w:w="43" w:type="dxa"/>
              <w:bottom w:w="43" w:type="dxa"/>
              <w:right w:w="43" w:type="dxa"/>
            </w:tcMar>
          </w:tcPr>
          <w:p w14:paraId="369ECBF5" w14:textId="77777777" w:rsidR="00972395" w:rsidRPr="00E73D4B" w:rsidRDefault="00F120C7" w:rsidP="001C4219">
            <w:pPr>
              <w:jc w:val="right"/>
            </w:pPr>
            <w:r w:rsidRPr="00E73D4B">
              <w:t>700</w:t>
            </w:r>
          </w:p>
        </w:tc>
        <w:tc>
          <w:tcPr>
            <w:tcW w:w="4721" w:type="dxa"/>
            <w:tcBorders>
              <w:top w:val="nil"/>
              <w:left w:val="nil"/>
              <w:bottom w:val="nil"/>
              <w:right w:val="nil"/>
            </w:tcBorders>
            <w:tcMar>
              <w:top w:w="128" w:type="dxa"/>
              <w:left w:w="43" w:type="dxa"/>
              <w:bottom w:w="43" w:type="dxa"/>
              <w:right w:w="43" w:type="dxa"/>
            </w:tcMar>
          </w:tcPr>
          <w:p w14:paraId="05035910" w14:textId="77777777" w:rsidR="00972395" w:rsidRPr="00E73D4B" w:rsidRDefault="00F120C7" w:rsidP="001C4219">
            <w:r w:rsidRPr="00E73D4B">
              <w:t xml:space="preserve">Stryke </w:t>
            </w:r>
            <w:proofErr w:type="spellStart"/>
            <w:r w:rsidRPr="00E73D4B">
              <w:t>listekandidatar</w:t>
            </w:r>
            <w:proofErr w:type="spellEnd"/>
          </w:p>
        </w:tc>
        <w:tc>
          <w:tcPr>
            <w:tcW w:w="1687" w:type="dxa"/>
            <w:tcBorders>
              <w:top w:val="nil"/>
              <w:left w:val="nil"/>
              <w:bottom w:val="nil"/>
              <w:right w:val="nil"/>
            </w:tcBorders>
            <w:tcMar>
              <w:top w:w="128" w:type="dxa"/>
              <w:left w:w="43" w:type="dxa"/>
              <w:bottom w:w="43" w:type="dxa"/>
              <w:right w:w="43" w:type="dxa"/>
            </w:tcMar>
          </w:tcPr>
          <w:p w14:paraId="6C7C733B" w14:textId="77777777" w:rsidR="00972395" w:rsidRPr="00E73D4B" w:rsidRDefault="00F120C7" w:rsidP="001C4219">
            <w:pPr>
              <w:jc w:val="right"/>
            </w:pPr>
            <w:r w:rsidRPr="00E73D4B">
              <w:t xml:space="preserve">Nei </w:t>
            </w:r>
          </w:p>
        </w:tc>
      </w:tr>
      <w:tr w:rsidR="00972395" w:rsidRPr="00E73D4B" w14:paraId="60ADC7DE" w14:textId="77777777" w:rsidTr="007116DC">
        <w:trPr>
          <w:trHeight w:val="380"/>
        </w:trPr>
        <w:tc>
          <w:tcPr>
            <w:tcW w:w="1517" w:type="dxa"/>
            <w:tcBorders>
              <w:top w:val="nil"/>
              <w:left w:val="nil"/>
              <w:bottom w:val="nil"/>
              <w:right w:val="nil"/>
            </w:tcBorders>
            <w:tcMar>
              <w:top w:w="128" w:type="dxa"/>
              <w:left w:w="43" w:type="dxa"/>
              <w:bottom w:w="43" w:type="dxa"/>
              <w:right w:w="43" w:type="dxa"/>
            </w:tcMar>
          </w:tcPr>
          <w:p w14:paraId="0A5113C3" w14:textId="77777777" w:rsidR="00972395" w:rsidRPr="00E73D4B" w:rsidRDefault="00F120C7" w:rsidP="001C4219">
            <w:r w:rsidRPr="00E73D4B">
              <w:t>2016–2017</w:t>
            </w:r>
          </w:p>
        </w:tc>
        <w:tc>
          <w:tcPr>
            <w:tcW w:w="1275" w:type="dxa"/>
            <w:tcBorders>
              <w:top w:val="nil"/>
              <w:left w:val="nil"/>
              <w:bottom w:val="nil"/>
              <w:right w:val="nil"/>
            </w:tcBorders>
            <w:tcMar>
              <w:top w:w="128" w:type="dxa"/>
              <w:left w:w="43" w:type="dxa"/>
              <w:bottom w:w="43" w:type="dxa"/>
              <w:right w:w="43" w:type="dxa"/>
            </w:tcMar>
          </w:tcPr>
          <w:p w14:paraId="636FE080" w14:textId="77777777" w:rsidR="00972395" w:rsidRPr="00E73D4B" w:rsidRDefault="00F120C7" w:rsidP="001C4219">
            <w:pPr>
              <w:jc w:val="right"/>
            </w:pPr>
            <w:r w:rsidRPr="00E73D4B">
              <w:t>845</w:t>
            </w:r>
          </w:p>
        </w:tc>
        <w:tc>
          <w:tcPr>
            <w:tcW w:w="4721" w:type="dxa"/>
            <w:tcBorders>
              <w:top w:val="nil"/>
              <w:left w:val="nil"/>
              <w:bottom w:val="nil"/>
              <w:right w:val="nil"/>
            </w:tcBorders>
            <w:tcMar>
              <w:top w:w="128" w:type="dxa"/>
              <w:left w:w="43" w:type="dxa"/>
              <w:bottom w:w="43" w:type="dxa"/>
              <w:right w:w="43" w:type="dxa"/>
            </w:tcMar>
          </w:tcPr>
          <w:p w14:paraId="56048556" w14:textId="77777777" w:rsidR="00972395" w:rsidRPr="00E73D4B" w:rsidRDefault="00F120C7" w:rsidP="001C4219">
            <w:r w:rsidRPr="00E73D4B">
              <w:t>Sørsamisk språk</w:t>
            </w:r>
          </w:p>
        </w:tc>
        <w:tc>
          <w:tcPr>
            <w:tcW w:w="1687" w:type="dxa"/>
            <w:tcBorders>
              <w:top w:val="nil"/>
              <w:left w:val="nil"/>
              <w:bottom w:val="nil"/>
              <w:right w:val="nil"/>
            </w:tcBorders>
            <w:tcMar>
              <w:top w:w="128" w:type="dxa"/>
              <w:left w:w="43" w:type="dxa"/>
              <w:bottom w:w="43" w:type="dxa"/>
              <w:right w:w="43" w:type="dxa"/>
            </w:tcMar>
          </w:tcPr>
          <w:p w14:paraId="067C113B" w14:textId="77777777" w:rsidR="00972395" w:rsidRPr="00E73D4B" w:rsidRDefault="00F120C7" w:rsidP="001C4219">
            <w:pPr>
              <w:jc w:val="right"/>
            </w:pPr>
            <w:r w:rsidRPr="00E73D4B">
              <w:t>Nei</w:t>
            </w:r>
          </w:p>
        </w:tc>
      </w:tr>
      <w:tr w:rsidR="00972395" w:rsidRPr="00E73D4B" w14:paraId="57B1FEC8" w14:textId="77777777" w:rsidTr="007116DC">
        <w:trPr>
          <w:trHeight w:val="640"/>
        </w:trPr>
        <w:tc>
          <w:tcPr>
            <w:tcW w:w="1517" w:type="dxa"/>
            <w:tcBorders>
              <w:top w:val="nil"/>
              <w:left w:val="nil"/>
              <w:right w:val="nil"/>
            </w:tcBorders>
            <w:tcMar>
              <w:top w:w="128" w:type="dxa"/>
              <w:left w:w="43" w:type="dxa"/>
              <w:bottom w:w="43" w:type="dxa"/>
              <w:right w:w="43" w:type="dxa"/>
            </w:tcMar>
          </w:tcPr>
          <w:p w14:paraId="05D97BC6" w14:textId="77777777" w:rsidR="00972395" w:rsidRPr="00E73D4B" w:rsidRDefault="00F120C7" w:rsidP="001C4219">
            <w:r w:rsidRPr="00E73D4B">
              <w:t>2015–2016</w:t>
            </w:r>
          </w:p>
        </w:tc>
        <w:tc>
          <w:tcPr>
            <w:tcW w:w="1275" w:type="dxa"/>
            <w:tcBorders>
              <w:top w:val="nil"/>
              <w:left w:val="nil"/>
              <w:right w:val="nil"/>
            </w:tcBorders>
            <w:tcMar>
              <w:top w:w="128" w:type="dxa"/>
              <w:left w:w="43" w:type="dxa"/>
              <w:bottom w:w="43" w:type="dxa"/>
              <w:right w:w="43" w:type="dxa"/>
            </w:tcMar>
          </w:tcPr>
          <w:p w14:paraId="036E1288" w14:textId="77777777" w:rsidR="00972395" w:rsidRPr="00E73D4B" w:rsidRDefault="00F120C7" w:rsidP="001C4219">
            <w:pPr>
              <w:jc w:val="right"/>
            </w:pPr>
            <w:r w:rsidRPr="00E73D4B">
              <w:t>646</w:t>
            </w:r>
          </w:p>
        </w:tc>
        <w:tc>
          <w:tcPr>
            <w:tcW w:w="4721" w:type="dxa"/>
            <w:tcBorders>
              <w:top w:val="nil"/>
              <w:left w:val="nil"/>
              <w:right w:val="nil"/>
            </w:tcBorders>
            <w:tcMar>
              <w:top w:w="128" w:type="dxa"/>
              <w:left w:w="43" w:type="dxa"/>
              <w:bottom w:w="43" w:type="dxa"/>
              <w:right w:w="43" w:type="dxa"/>
            </w:tcMar>
          </w:tcPr>
          <w:p w14:paraId="30C99657" w14:textId="77777777" w:rsidR="00972395" w:rsidRPr="00E73D4B" w:rsidRDefault="00F120C7" w:rsidP="001C4219">
            <w:r w:rsidRPr="00E73D4B">
              <w:t xml:space="preserve">Unntak </w:t>
            </w:r>
            <w:proofErr w:type="spellStart"/>
            <w:r w:rsidRPr="00E73D4B">
              <w:t>frå</w:t>
            </w:r>
            <w:proofErr w:type="spellEnd"/>
            <w:r w:rsidRPr="00E73D4B">
              <w:t xml:space="preserve"> plan- og bygningslova og grannelova ved nasjonal flyktningkrise</w:t>
            </w:r>
          </w:p>
        </w:tc>
        <w:tc>
          <w:tcPr>
            <w:tcW w:w="1687" w:type="dxa"/>
            <w:tcBorders>
              <w:top w:val="nil"/>
              <w:left w:val="nil"/>
              <w:right w:val="nil"/>
            </w:tcBorders>
            <w:tcMar>
              <w:top w:w="128" w:type="dxa"/>
              <w:left w:w="43" w:type="dxa"/>
              <w:bottom w:w="43" w:type="dxa"/>
              <w:right w:w="43" w:type="dxa"/>
            </w:tcMar>
          </w:tcPr>
          <w:p w14:paraId="40996484" w14:textId="77777777" w:rsidR="00972395" w:rsidRPr="00E73D4B" w:rsidRDefault="00F120C7" w:rsidP="001C4219">
            <w:pPr>
              <w:jc w:val="right"/>
            </w:pPr>
            <w:r w:rsidRPr="00E73D4B">
              <w:t>Nei</w:t>
            </w:r>
          </w:p>
        </w:tc>
      </w:tr>
      <w:tr w:rsidR="00972395" w:rsidRPr="00E73D4B" w14:paraId="4886F2B6" w14:textId="77777777" w:rsidTr="007116DC">
        <w:trPr>
          <w:trHeight w:val="380"/>
        </w:trPr>
        <w:tc>
          <w:tcPr>
            <w:tcW w:w="1517" w:type="dxa"/>
            <w:tcBorders>
              <w:top w:val="nil"/>
              <w:left w:val="nil"/>
              <w:bottom w:val="single" w:sz="4" w:space="0" w:color="000000"/>
              <w:right w:val="nil"/>
            </w:tcBorders>
            <w:shd w:val="clear" w:color="auto" w:fill="auto"/>
            <w:tcMar>
              <w:top w:w="128" w:type="dxa"/>
              <w:left w:w="43" w:type="dxa"/>
              <w:bottom w:w="43" w:type="dxa"/>
              <w:right w:w="43" w:type="dxa"/>
            </w:tcMar>
          </w:tcPr>
          <w:p w14:paraId="62882EE6" w14:textId="77777777" w:rsidR="00972395" w:rsidRPr="00E73D4B" w:rsidRDefault="00F120C7" w:rsidP="001C4219">
            <w:r w:rsidRPr="00E73D4B">
              <w:t>2015–2016</w:t>
            </w:r>
          </w:p>
        </w:tc>
        <w:tc>
          <w:tcPr>
            <w:tcW w:w="1275" w:type="dxa"/>
            <w:tcBorders>
              <w:top w:val="nil"/>
              <w:left w:val="nil"/>
              <w:bottom w:val="single" w:sz="4" w:space="0" w:color="000000"/>
              <w:right w:val="nil"/>
            </w:tcBorders>
            <w:shd w:val="clear" w:color="auto" w:fill="auto"/>
            <w:tcMar>
              <w:top w:w="128" w:type="dxa"/>
              <w:left w:w="43" w:type="dxa"/>
              <w:bottom w:w="43" w:type="dxa"/>
              <w:right w:w="43" w:type="dxa"/>
            </w:tcMar>
          </w:tcPr>
          <w:p w14:paraId="1D7C0B24" w14:textId="77777777" w:rsidR="00972395" w:rsidRPr="00E73D4B" w:rsidRDefault="00F120C7" w:rsidP="001C4219">
            <w:pPr>
              <w:jc w:val="right"/>
            </w:pPr>
            <w:r w:rsidRPr="00E73D4B">
              <w:t>861</w:t>
            </w:r>
          </w:p>
        </w:tc>
        <w:tc>
          <w:tcPr>
            <w:tcW w:w="4721" w:type="dxa"/>
            <w:tcBorders>
              <w:top w:val="nil"/>
              <w:left w:val="nil"/>
              <w:bottom w:val="single" w:sz="4" w:space="0" w:color="000000"/>
              <w:right w:val="nil"/>
            </w:tcBorders>
            <w:shd w:val="clear" w:color="auto" w:fill="auto"/>
            <w:tcMar>
              <w:top w:w="128" w:type="dxa"/>
              <w:left w:w="43" w:type="dxa"/>
              <w:bottom w:w="43" w:type="dxa"/>
              <w:right w:w="43" w:type="dxa"/>
            </w:tcMar>
          </w:tcPr>
          <w:p w14:paraId="3AC438E6" w14:textId="77777777" w:rsidR="00972395" w:rsidRPr="00E73D4B" w:rsidRDefault="00F120C7" w:rsidP="001C4219">
            <w:proofErr w:type="spellStart"/>
            <w:r w:rsidRPr="00E73D4B">
              <w:t>Endringar</w:t>
            </w:r>
            <w:proofErr w:type="spellEnd"/>
            <w:r w:rsidRPr="00E73D4B">
              <w:t xml:space="preserve"> i </w:t>
            </w:r>
            <w:proofErr w:type="spellStart"/>
            <w:r w:rsidRPr="00E73D4B">
              <w:t>vallova</w:t>
            </w:r>
            <w:proofErr w:type="spellEnd"/>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tcPr>
          <w:p w14:paraId="14C79AB6" w14:textId="77777777" w:rsidR="00972395" w:rsidRPr="00E73D4B" w:rsidRDefault="00F120C7" w:rsidP="001C4219">
            <w:pPr>
              <w:jc w:val="right"/>
            </w:pPr>
            <w:r w:rsidRPr="00E73D4B">
              <w:t xml:space="preserve">Nei </w:t>
            </w:r>
          </w:p>
        </w:tc>
      </w:tr>
    </w:tbl>
    <w:p w14:paraId="0E3C0AD5" w14:textId="77777777" w:rsidR="00972395" w:rsidRPr="00E73D4B" w:rsidRDefault="00F120C7" w:rsidP="001C4219">
      <w:pPr>
        <w:pStyle w:val="Overskrift2"/>
        <w:numPr>
          <w:ilvl w:val="1"/>
          <w:numId w:val="34"/>
        </w:numPr>
      </w:pPr>
      <w:r w:rsidRPr="00E73D4B">
        <w:t>Stortingssesjon 2021–2022</w:t>
      </w:r>
    </w:p>
    <w:p w14:paraId="307858D5" w14:textId="77777777" w:rsidR="00972395" w:rsidRPr="00E73D4B" w:rsidRDefault="00F120C7" w:rsidP="00E73D4B">
      <w:pPr>
        <w:pStyle w:val="avsnitt-tittel"/>
      </w:pPr>
      <w:r w:rsidRPr="00E73D4B">
        <w:t>Mellombels styrking av bustøtte og sosialhjelp</w:t>
      </w:r>
    </w:p>
    <w:p w14:paraId="13F4B9D9" w14:textId="77777777" w:rsidR="00972395" w:rsidRPr="00E73D4B" w:rsidRDefault="00F120C7" w:rsidP="00E73D4B">
      <w:pPr>
        <w:pStyle w:val="avsnitt-undertittel"/>
      </w:pPr>
      <w:r w:rsidRPr="00E73D4B">
        <w:t>Vedtak nr. 4, 21. oktober 2021</w:t>
      </w:r>
    </w:p>
    <w:p w14:paraId="2E8A84D6" w14:textId="77777777" w:rsidR="00972395" w:rsidRPr="00E73D4B" w:rsidRDefault="00F120C7" w:rsidP="00E73D4B">
      <w:pPr>
        <w:pStyle w:val="blokksit"/>
        <w:rPr>
          <w:rStyle w:val="kursiv"/>
        </w:rPr>
      </w:pPr>
      <w:r w:rsidRPr="00E73D4B">
        <w:rPr>
          <w:rStyle w:val="kursiv"/>
        </w:rPr>
        <w:t>«Stortinget ber regjeringen umiddelbart, innen utløpet av oktober, legge frem forslag om midlertidig styrking av bostøtten og sosialhjelpen for å sikre at folk med dårlig råd har penger til å betale de høye strømregningene som er på vei.»</w:t>
      </w:r>
    </w:p>
    <w:p w14:paraId="1316D8C4" w14:textId="77777777" w:rsidR="00972395" w:rsidRPr="00E73D4B" w:rsidRDefault="00F120C7" w:rsidP="00E73D4B">
      <w:r w:rsidRPr="00E73D4B">
        <w:t xml:space="preserve">Til grunn for vedtaket ligg Hans Majestet Kongens tale til det 166. storting ved dets </w:t>
      </w:r>
      <w:proofErr w:type="spellStart"/>
      <w:r w:rsidRPr="00E73D4B">
        <w:t>opning</w:t>
      </w:r>
      <w:proofErr w:type="spellEnd"/>
      <w:r w:rsidRPr="00E73D4B">
        <w:t xml:space="preserve"> og melding om </w:t>
      </w:r>
      <w:proofErr w:type="spellStart"/>
      <w:r w:rsidRPr="00E73D4B">
        <w:t>Noregs</w:t>
      </w:r>
      <w:proofErr w:type="spellEnd"/>
      <w:r w:rsidRPr="00E73D4B">
        <w:t xml:space="preserve"> rikes tilstand og styring.</w:t>
      </w:r>
    </w:p>
    <w:p w14:paraId="6E869491" w14:textId="77777777" w:rsidR="00972395" w:rsidRPr="00E73D4B" w:rsidRDefault="00F120C7" w:rsidP="00E73D4B">
      <w:r w:rsidRPr="00E73D4B">
        <w:t xml:space="preserve">Regjeringa har </w:t>
      </w:r>
      <w:proofErr w:type="spellStart"/>
      <w:r w:rsidRPr="00E73D4B">
        <w:t>følgt</w:t>
      </w:r>
      <w:proofErr w:type="spellEnd"/>
      <w:r w:rsidRPr="00E73D4B">
        <w:t xml:space="preserve"> opp vedtaket ved å legge fram </w:t>
      </w:r>
      <w:proofErr w:type="spellStart"/>
      <w:r w:rsidRPr="00E73D4B">
        <w:t>Prop</w:t>
      </w:r>
      <w:proofErr w:type="spellEnd"/>
      <w:r w:rsidRPr="00E73D4B">
        <w:t xml:space="preserve">. 8 S (2021–2022) </w:t>
      </w:r>
      <w:proofErr w:type="spellStart"/>
      <w:r w:rsidRPr="00E73D4B">
        <w:rPr>
          <w:rStyle w:val="kursiv"/>
        </w:rPr>
        <w:t>Endringar</w:t>
      </w:r>
      <w:proofErr w:type="spellEnd"/>
      <w:r w:rsidRPr="00E73D4B">
        <w:rPr>
          <w:rStyle w:val="kursiv"/>
        </w:rPr>
        <w:t xml:space="preserve"> i statsbudsjettet 2021 under Kommunal- og moderniseringsdepartementet (ekstra utbetaling til </w:t>
      </w:r>
      <w:proofErr w:type="spellStart"/>
      <w:r w:rsidRPr="00E73D4B">
        <w:rPr>
          <w:rStyle w:val="kursiv"/>
        </w:rPr>
        <w:t>mottakarane</w:t>
      </w:r>
      <w:proofErr w:type="spellEnd"/>
      <w:r w:rsidRPr="00E73D4B">
        <w:rPr>
          <w:rStyle w:val="kursiv"/>
        </w:rPr>
        <w:t xml:space="preserve"> av bustøtte som hjelp til å dekke høge strømutgifter)</w:t>
      </w:r>
      <w:r w:rsidRPr="00E73D4B">
        <w:t xml:space="preserve">. Proposisjonen blei lagt fram 22. oktober 2021 og behandla i Stortinget 9. november 2021. Regjeringa foreslo ei ekstra utbetaling i november på 2 950 kroner per husstand pluss 120 kroner per husstandsmedlem ut over det første, til </w:t>
      </w:r>
      <w:proofErr w:type="spellStart"/>
      <w:r w:rsidRPr="00E73D4B">
        <w:t>dei</w:t>
      </w:r>
      <w:proofErr w:type="spellEnd"/>
      <w:r w:rsidRPr="00E73D4B">
        <w:t xml:space="preserve"> som </w:t>
      </w:r>
      <w:proofErr w:type="spellStart"/>
      <w:r w:rsidRPr="00E73D4B">
        <w:t>fekk</w:t>
      </w:r>
      <w:proofErr w:type="spellEnd"/>
      <w:r w:rsidRPr="00E73D4B">
        <w:t xml:space="preserve"> bustøtte for oktober </w:t>
      </w:r>
      <w:proofErr w:type="spellStart"/>
      <w:r w:rsidRPr="00E73D4B">
        <w:t>månad</w:t>
      </w:r>
      <w:proofErr w:type="spellEnd"/>
      <w:r w:rsidRPr="00E73D4B">
        <w:t xml:space="preserve"> i fylka </w:t>
      </w:r>
      <w:proofErr w:type="spellStart"/>
      <w:r w:rsidRPr="00E73D4B">
        <w:t>Vestland</w:t>
      </w:r>
      <w:proofErr w:type="spellEnd"/>
      <w:r w:rsidRPr="00E73D4B">
        <w:t xml:space="preserve">, Rogaland, Agder, Vestfold og Telemark, Innlandet, Oslo og Viken, og </w:t>
      </w:r>
      <w:proofErr w:type="spellStart"/>
      <w:r w:rsidRPr="00E73D4B">
        <w:t>dessutan</w:t>
      </w:r>
      <w:proofErr w:type="spellEnd"/>
      <w:r w:rsidRPr="00E73D4B">
        <w:t xml:space="preserve"> Røros kommune i Trøndelag. Regjeringa foreslo </w:t>
      </w:r>
      <w:proofErr w:type="spellStart"/>
      <w:r w:rsidRPr="00E73D4B">
        <w:t>ikkje</w:t>
      </w:r>
      <w:proofErr w:type="spellEnd"/>
      <w:r w:rsidRPr="00E73D4B">
        <w:t xml:space="preserve"> </w:t>
      </w:r>
      <w:proofErr w:type="spellStart"/>
      <w:r w:rsidRPr="00E73D4B">
        <w:t>auka</w:t>
      </w:r>
      <w:proofErr w:type="spellEnd"/>
      <w:r w:rsidRPr="00E73D4B">
        <w:t xml:space="preserve"> </w:t>
      </w:r>
      <w:proofErr w:type="spellStart"/>
      <w:r w:rsidRPr="00E73D4B">
        <w:t>midlar</w:t>
      </w:r>
      <w:proofErr w:type="spellEnd"/>
      <w:r w:rsidRPr="00E73D4B">
        <w:t xml:space="preserve"> til </w:t>
      </w:r>
      <w:proofErr w:type="spellStart"/>
      <w:r w:rsidRPr="00E73D4B">
        <w:t>kommunane</w:t>
      </w:r>
      <w:proofErr w:type="spellEnd"/>
      <w:r w:rsidRPr="00E73D4B">
        <w:t xml:space="preserve"> til sosialhjelp, men varsla at Arbeids- og inkluderingsministeren ville minne </w:t>
      </w:r>
      <w:proofErr w:type="spellStart"/>
      <w:r w:rsidRPr="00E73D4B">
        <w:t>kommunane</w:t>
      </w:r>
      <w:proofErr w:type="spellEnd"/>
      <w:r w:rsidRPr="00E73D4B">
        <w:t xml:space="preserve"> om at </w:t>
      </w:r>
      <w:proofErr w:type="spellStart"/>
      <w:r w:rsidRPr="00E73D4B">
        <w:t>dei</w:t>
      </w:r>
      <w:proofErr w:type="spellEnd"/>
      <w:r w:rsidRPr="00E73D4B">
        <w:t xml:space="preserve"> måtte ta omsyn til høge straumutgifter ved utmålinga av sosialhjelp. Denne oppmodinga kom i </w:t>
      </w:r>
      <w:proofErr w:type="spellStart"/>
      <w:r w:rsidRPr="00E73D4B">
        <w:t>eit</w:t>
      </w:r>
      <w:proofErr w:type="spellEnd"/>
      <w:r w:rsidRPr="00E73D4B">
        <w:t xml:space="preserve"> brev </w:t>
      </w:r>
      <w:proofErr w:type="spellStart"/>
      <w:r w:rsidRPr="00E73D4B">
        <w:t>frå</w:t>
      </w:r>
      <w:proofErr w:type="spellEnd"/>
      <w:r w:rsidRPr="00E73D4B">
        <w:t xml:space="preserve"> statsråden til </w:t>
      </w:r>
      <w:proofErr w:type="spellStart"/>
      <w:r w:rsidRPr="00E73D4B">
        <w:t>kommunane</w:t>
      </w:r>
      <w:proofErr w:type="spellEnd"/>
      <w:r w:rsidRPr="00E73D4B">
        <w:t xml:space="preserve"> 3. november 2021.</w:t>
      </w:r>
    </w:p>
    <w:p w14:paraId="3BFE75D0" w14:textId="77777777" w:rsidR="00972395" w:rsidRPr="00E73D4B" w:rsidRDefault="00F120C7" w:rsidP="00E73D4B">
      <w:r w:rsidRPr="00E73D4B">
        <w:t xml:space="preserve">Departementet anser med dette at </w:t>
      </w:r>
      <w:proofErr w:type="spellStart"/>
      <w:r w:rsidRPr="00E73D4B">
        <w:t>oppmodningsvedtaket</w:t>
      </w:r>
      <w:proofErr w:type="spellEnd"/>
      <w:r w:rsidRPr="00E73D4B">
        <w:t xml:space="preserve"> er </w:t>
      </w:r>
      <w:proofErr w:type="spellStart"/>
      <w:r w:rsidRPr="00E73D4B">
        <w:t>følgt</w:t>
      </w:r>
      <w:proofErr w:type="spellEnd"/>
      <w:r w:rsidRPr="00E73D4B">
        <w:t xml:space="preserve"> opp.</w:t>
      </w:r>
    </w:p>
    <w:p w14:paraId="2BFA7F36" w14:textId="77777777" w:rsidR="00972395" w:rsidRPr="00E73D4B" w:rsidRDefault="00F120C7" w:rsidP="00E73D4B">
      <w:pPr>
        <w:pStyle w:val="avsnitt-tittel"/>
      </w:pPr>
      <w:r w:rsidRPr="00E73D4B">
        <w:t>Lokal energiproduksjon, energieffektivisering og ladeinfrastruktur i burettslag</w:t>
      </w:r>
    </w:p>
    <w:p w14:paraId="43EEFB81" w14:textId="77777777" w:rsidR="00972395" w:rsidRPr="00E73D4B" w:rsidRDefault="00F120C7" w:rsidP="00E73D4B">
      <w:pPr>
        <w:pStyle w:val="avsnitt-undertittel"/>
      </w:pPr>
      <w:r w:rsidRPr="00E73D4B">
        <w:t>Vedtak nr. 35 nr. 7, 2. desember 2021</w:t>
      </w:r>
    </w:p>
    <w:p w14:paraId="4233693E" w14:textId="77777777" w:rsidR="00972395" w:rsidRPr="00E73D4B" w:rsidRDefault="00F120C7" w:rsidP="00E73D4B">
      <w:pPr>
        <w:pStyle w:val="blokksit"/>
        <w:rPr>
          <w:rStyle w:val="kursiv"/>
        </w:rPr>
      </w:pPr>
      <w:r w:rsidRPr="00E73D4B">
        <w:rPr>
          <w:rStyle w:val="kursiv"/>
        </w:rPr>
        <w:t>«Stortinget ber regjeringen vurdere ordninger som støtter opp om etablering av lokal energiproduksjon, energieffektivisering og etablering av ladeinfrastruktur i borettslag.»</w:t>
      </w:r>
    </w:p>
    <w:p w14:paraId="49594025" w14:textId="77777777" w:rsidR="00972395" w:rsidRPr="00E73D4B" w:rsidRDefault="00F120C7" w:rsidP="00E73D4B">
      <w:r w:rsidRPr="00E73D4B">
        <w:t xml:space="preserve">Dokumenta som ligg til grunn for vedtaket, er </w:t>
      </w:r>
      <w:proofErr w:type="spellStart"/>
      <w:r w:rsidRPr="00E73D4B">
        <w:t>Innst</w:t>
      </w:r>
      <w:proofErr w:type="spellEnd"/>
      <w:r w:rsidRPr="00E73D4B">
        <w:t>. 2 S (2021–2022) Innstilling fra finanskomiteen om nasjonalbudsjettet 2022 og forslaget til statsbudsjett for 2022.</w:t>
      </w:r>
    </w:p>
    <w:p w14:paraId="7FFEB65C" w14:textId="77777777" w:rsidR="00972395" w:rsidRPr="00E73D4B" w:rsidRDefault="00F120C7" w:rsidP="00E73D4B">
      <w:r w:rsidRPr="00E73D4B">
        <w:t xml:space="preserve">Vedtaket </w:t>
      </w:r>
      <w:proofErr w:type="spellStart"/>
      <w:r w:rsidRPr="00E73D4B">
        <w:t>omfattar</w:t>
      </w:r>
      <w:proofErr w:type="spellEnd"/>
      <w:r w:rsidRPr="00E73D4B">
        <w:t xml:space="preserve"> </w:t>
      </w:r>
      <w:proofErr w:type="spellStart"/>
      <w:r w:rsidRPr="00E73D4B">
        <w:t>fleire</w:t>
      </w:r>
      <w:proofErr w:type="spellEnd"/>
      <w:r w:rsidRPr="00E73D4B">
        <w:t xml:space="preserve"> forhold som fell på </w:t>
      </w:r>
      <w:proofErr w:type="spellStart"/>
      <w:r w:rsidRPr="00E73D4B">
        <w:t>fleire</w:t>
      </w:r>
      <w:proofErr w:type="spellEnd"/>
      <w:r w:rsidRPr="00E73D4B">
        <w:t xml:space="preserve"> departement, og det er overlapp med både gjennomførte og </w:t>
      </w:r>
      <w:proofErr w:type="spellStart"/>
      <w:r w:rsidRPr="00E73D4B">
        <w:t>pågåande</w:t>
      </w:r>
      <w:proofErr w:type="spellEnd"/>
      <w:r w:rsidRPr="00E73D4B">
        <w:t xml:space="preserve"> </w:t>
      </w:r>
      <w:proofErr w:type="spellStart"/>
      <w:r w:rsidRPr="00E73D4B">
        <w:t>prosessar</w:t>
      </w:r>
      <w:proofErr w:type="spellEnd"/>
      <w:r w:rsidRPr="00E73D4B">
        <w:t xml:space="preserve">. Regjeringa jobbar med </w:t>
      </w:r>
      <w:proofErr w:type="spellStart"/>
      <w:r w:rsidRPr="00E73D4B">
        <w:t>fleire</w:t>
      </w:r>
      <w:proofErr w:type="spellEnd"/>
      <w:r w:rsidRPr="00E73D4B">
        <w:t xml:space="preserve"> tiltak for både </w:t>
      </w:r>
      <w:proofErr w:type="spellStart"/>
      <w:r w:rsidRPr="00E73D4B">
        <w:t>auka</w:t>
      </w:r>
      <w:proofErr w:type="spellEnd"/>
      <w:r w:rsidRPr="00E73D4B">
        <w:t xml:space="preserve"> energiproduksjon og energieffektivisering i bygg. Regjeringa vil kartlegge regulatoriske </w:t>
      </w:r>
      <w:proofErr w:type="spellStart"/>
      <w:r w:rsidRPr="00E73D4B">
        <w:t>barrierar</w:t>
      </w:r>
      <w:proofErr w:type="spellEnd"/>
      <w:r w:rsidRPr="00E73D4B">
        <w:t xml:space="preserve"> for </w:t>
      </w:r>
      <w:proofErr w:type="spellStart"/>
      <w:r w:rsidRPr="00E73D4B">
        <w:t>meir</w:t>
      </w:r>
      <w:proofErr w:type="spellEnd"/>
      <w:r w:rsidRPr="00E73D4B">
        <w:t xml:space="preserve"> etablering av lokal energiproduksjon. I statsbudsjettet for 2023 legg Olje- og energidepartementet fram </w:t>
      </w:r>
      <w:proofErr w:type="spellStart"/>
      <w:r w:rsidRPr="00E73D4B">
        <w:t>ein</w:t>
      </w:r>
      <w:proofErr w:type="spellEnd"/>
      <w:r w:rsidRPr="00E73D4B">
        <w:t xml:space="preserve"> plan med tiltak som skal redusere energibruken med 10 </w:t>
      </w:r>
      <w:proofErr w:type="spellStart"/>
      <w:r w:rsidRPr="00E73D4B">
        <w:t>TWh</w:t>
      </w:r>
      <w:proofErr w:type="spellEnd"/>
      <w:r w:rsidRPr="00E73D4B">
        <w:t xml:space="preserve"> </w:t>
      </w:r>
      <w:proofErr w:type="spellStart"/>
      <w:r w:rsidRPr="00E73D4B">
        <w:t>innan</w:t>
      </w:r>
      <w:proofErr w:type="spellEnd"/>
      <w:r w:rsidRPr="00E73D4B">
        <w:t xml:space="preserve"> 2030. Olje- og energidepartementet og Kommunal- og </w:t>
      </w:r>
      <w:proofErr w:type="spellStart"/>
      <w:r w:rsidRPr="00E73D4B">
        <w:t>distriktsdepartementet</w:t>
      </w:r>
      <w:proofErr w:type="spellEnd"/>
      <w:r w:rsidRPr="00E73D4B">
        <w:t xml:space="preserve"> arbeider med </w:t>
      </w:r>
      <w:proofErr w:type="spellStart"/>
      <w:r w:rsidRPr="00E73D4B">
        <w:t>ein</w:t>
      </w:r>
      <w:proofErr w:type="spellEnd"/>
      <w:r w:rsidRPr="00E73D4B">
        <w:t xml:space="preserve"> langsiktig strategi for energieffektivisering ved renovering av </w:t>
      </w:r>
      <w:proofErr w:type="spellStart"/>
      <w:r w:rsidRPr="00E73D4B">
        <w:t>bygningar</w:t>
      </w:r>
      <w:proofErr w:type="spellEnd"/>
      <w:r w:rsidRPr="00E73D4B">
        <w:t xml:space="preserve">. </w:t>
      </w:r>
      <w:proofErr w:type="spellStart"/>
      <w:r w:rsidRPr="00E73D4B">
        <w:t>Vidare</w:t>
      </w:r>
      <w:proofErr w:type="spellEnd"/>
      <w:r w:rsidRPr="00E73D4B">
        <w:t xml:space="preserve"> skal Energikommisjonen vurdere potensial og ulike </w:t>
      </w:r>
      <w:proofErr w:type="spellStart"/>
      <w:r w:rsidRPr="00E73D4B">
        <w:t>verkemiddel</w:t>
      </w:r>
      <w:proofErr w:type="spellEnd"/>
      <w:r w:rsidRPr="00E73D4B">
        <w:t xml:space="preserve"> for energieffektivisering i ulike </w:t>
      </w:r>
      <w:proofErr w:type="spellStart"/>
      <w:r w:rsidRPr="00E73D4B">
        <w:t>sektorar</w:t>
      </w:r>
      <w:proofErr w:type="spellEnd"/>
      <w:r w:rsidRPr="00E73D4B">
        <w:t xml:space="preserve">. </w:t>
      </w:r>
      <w:proofErr w:type="spellStart"/>
      <w:r w:rsidRPr="00E73D4B">
        <w:t>Andelseigarar</w:t>
      </w:r>
      <w:proofErr w:type="spellEnd"/>
      <w:r w:rsidRPr="00E73D4B">
        <w:t xml:space="preserve"> i burettslag er gitt rett til å </w:t>
      </w:r>
      <w:proofErr w:type="spellStart"/>
      <w:r w:rsidRPr="00E73D4B">
        <w:t>setje</w:t>
      </w:r>
      <w:proofErr w:type="spellEnd"/>
      <w:r w:rsidRPr="00E73D4B">
        <w:t xml:space="preserve"> opp ladepunkt. Det er krav i </w:t>
      </w:r>
      <w:proofErr w:type="spellStart"/>
      <w:r w:rsidRPr="00E73D4B">
        <w:t>byggteknisk</w:t>
      </w:r>
      <w:proofErr w:type="spellEnd"/>
      <w:r w:rsidRPr="00E73D4B">
        <w:t xml:space="preserve"> forskrift om at nye bygg skal </w:t>
      </w:r>
      <w:proofErr w:type="spellStart"/>
      <w:r w:rsidRPr="00E73D4B">
        <w:t>vere</w:t>
      </w:r>
      <w:proofErr w:type="spellEnd"/>
      <w:r w:rsidRPr="00E73D4B">
        <w:t xml:space="preserve"> ladeklare, og regjeringa jobbar med </w:t>
      </w:r>
      <w:proofErr w:type="spellStart"/>
      <w:r w:rsidRPr="00E73D4B">
        <w:t>ein</w:t>
      </w:r>
      <w:proofErr w:type="spellEnd"/>
      <w:r w:rsidRPr="00E73D4B">
        <w:t xml:space="preserve"> nasjonal ladestrategi.</w:t>
      </w:r>
    </w:p>
    <w:p w14:paraId="69A6EF57" w14:textId="77777777" w:rsidR="00972395" w:rsidRPr="00E73D4B" w:rsidRDefault="00F120C7" w:rsidP="00E73D4B">
      <w:r w:rsidRPr="00E73D4B">
        <w:t xml:space="preserve">Regjeringa vil vurdere heilskapen i </w:t>
      </w:r>
      <w:proofErr w:type="spellStart"/>
      <w:r w:rsidRPr="00E73D4B">
        <w:t>verkemidla</w:t>
      </w:r>
      <w:proofErr w:type="spellEnd"/>
      <w:r w:rsidRPr="00E73D4B">
        <w:t xml:space="preserve">, og sjå tiltak i </w:t>
      </w:r>
      <w:proofErr w:type="spellStart"/>
      <w:r w:rsidRPr="00E73D4B">
        <w:t>samanheng</w:t>
      </w:r>
      <w:proofErr w:type="spellEnd"/>
      <w:r w:rsidRPr="00E73D4B">
        <w:t xml:space="preserve"> slik at </w:t>
      </w:r>
      <w:proofErr w:type="spellStart"/>
      <w:r w:rsidRPr="00E73D4B">
        <w:t>dei</w:t>
      </w:r>
      <w:proofErr w:type="spellEnd"/>
      <w:r w:rsidRPr="00E73D4B">
        <w:t xml:space="preserve"> gir best </w:t>
      </w:r>
      <w:proofErr w:type="spellStart"/>
      <w:r w:rsidRPr="00E73D4B">
        <w:t>mogleg</w:t>
      </w:r>
      <w:proofErr w:type="spellEnd"/>
      <w:r w:rsidRPr="00E73D4B">
        <w:t xml:space="preserve"> verknad. Regjeringa vil </w:t>
      </w:r>
      <w:proofErr w:type="spellStart"/>
      <w:r w:rsidRPr="00E73D4B">
        <w:t>kome</w:t>
      </w:r>
      <w:proofErr w:type="spellEnd"/>
      <w:r w:rsidRPr="00E73D4B">
        <w:t xml:space="preserve"> tilbake til Stortinget med ei vurdering av det eventuelle behovet for nye </w:t>
      </w:r>
      <w:proofErr w:type="spellStart"/>
      <w:r w:rsidRPr="00E73D4B">
        <w:t>ordningar</w:t>
      </w:r>
      <w:proofErr w:type="spellEnd"/>
      <w:r w:rsidRPr="00E73D4B">
        <w:t xml:space="preserve"> i samband med </w:t>
      </w:r>
      <w:proofErr w:type="spellStart"/>
      <w:r w:rsidRPr="00E73D4B">
        <w:t>dei</w:t>
      </w:r>
      <w:proofErr w:type="spellEnd"/>
      <w:r w:rsidRPr="00E73D4B">
        <w:t xml:space="preserve"> andre </w:t>
      </w:r>
      <w:proofErr w:type="spellStart"/>
      <w:r w:rsidRPr="00E73D4B">
        <w:t>prosessane</w:t>
      </w:r>
      <w:proofErr w:type="spellEnd"/>
      <w:r w:rsidRPr="00E73D4B">
        <w:t>.</w:t>
      </w:r>
    </w:p>
    <w:p w14:paraId="4438C9A0" w14:textId="77777777" w:rsidR="00972395" w:rsidRPr="00E73D4B" w:rsidRDefault="00F120C7" w:rsidP="00E73D4B">
      <w:pPr>
        <w:pStyle w:val="avsnitt-tittel"/>
      </w:pPr>
      <w:r w:rsidRPr="00E73D4B">
        <w:t xml:space="preserve">Nullutslepp eller fossilfrie </w:t>
      </w:r>
      <w:proofErr w:type="spellStart"/>
      <w:r w:rsidRPr="00E73D4B">
        <w:t>anleggsplassar</w:t>
      </w:r>
      <w:proofErr w:type="spellEnd"/>
      <w:r w:rsidRPr="00E73D4B">
        <w:t xml:space="preserve"> i </w:t>
      </w:r>
      <w:proofErr w:type="spellStart"/>
      <w:r w:rsidRPr="00E73D4B">
        <w:t>planreglar</w:t>
      </w:r>
      <w:proofErr w:type="spellEnd"/>
    </w:p>
    <w:p w14:paraId="519BE3FA" w14:textId="77777777" w:rsidR="00972395" w:rsidRPr="00E73D4B" w:rsidRDefault="00F120C7" w:rsidP="00E73D4B">
      <w:pPr>
        <w:pStyle w:val="avsnitt-undertittel"/>
      </w:pPr>
      <w:r w:rsidRPr="00E73D4B">
        <w:t>Vedtak nr. 35 nr. 15, 2. desember 2021</w:t>
      </w:r>
    </w:p>
    <w:p w14:paraId="6485DA64" w14:textId="77777777" w:rsidR="00972395" w:rsidRPr="00E73D4B" w:rsidRDefault="00F120C7" w:rsidP="00E73D4B">
      <w:pPr>
        <w:pStyle w:val="blokksit"/>
        <w:rPr>
          <w:rStyle w:val="kursiv"/>
        </w:rPr>
      </w:pPr>
      <w:r w:rsidRPr="00E73D4B">
        <w:rPr>
          <w:rStyle w:val="kursiv"/>
        </w:rPr>
        <w:t>«Stortinget ber regjeringen utrede muligheten for å endre plan- og bygningsloven for å sikre at kommunene har hjemmel til å kunne stille krav om nullutslipp eller fossilfrie anleggsplasser i planbestemmelser.»</w:t>
      </w:r>
    </w:p>
    <w:p w14:paraId="7E180FBB" w14:textId="77777777" w:rsidR="00972395" w:rsidRPr="00E73D4B" w:rsidRDefault="00F120C7" w:rsidP="00E73D4B">
      <w:r w:rsidRPr="00E73D4B">
        <w:t xml:space="preserve">Dokumenta som ligg til grunn for vedtaket, er Meld. St. 1 (2021–2022) </w:t>
      </w:r>
      <w:r w:rsidRPr="00E73D4B">
        <w:rPr>
          <w:rStyle w:val="kursiv"/>
        </w:rPr>
        <w:t>Nasjonalbudsjettet 2022</w:t>
      </w:r>
      <w:r w:rsidRPr="00E73D4B">
        <w:t xml:space="preserve"> og </w:t>
      </w:r>
      <w:proofErr w:type="spellStart"/>
      <w:r w:rsidRPr="00E73D4B">
        <w:t>Innst</w:t>
      </w:r>
      <w:proofErr w:type="spellEnd"/>
      <w:r w:rsidRPr="00E73D4B">
        <w:t>. 2 S (2021–2022).</w:t>
      </w:r>
    </w:p>
    <w:p w14:paraId="7C207E3A"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har oppretta ei arbeidsgruppe med Klima- og miljødepartementet for å greia ut korleis </w:t>
      </w:r>
      <w:proofErr w:type="spellStart"/>
      <w:r w:rsidRPr="00E73D4B">
        <w:t>kommunane</w:t>
      </w:r>
      <w:proofErr w:type="spellEnd"/>
      <w:r w:rsidRPr="00E73D4B">
        <w:t xml:space="preserve"> skal kunne stille klimakrav til </w:t>
      </w:r>
      <w:proofErr w:type="spellStart"/>
      <w:r w:rsidRPr="00E73D4B">
        <w:t>byggjeplassar</w:t>
      </w:r>
      <w:proofErr w:type="spellEnd"/>
      <w:r w:rsidRPr="00E73D4B">
        <w:t xml:space="preserve">, </w:t>
      </w:r>
      <w:proofErr w:type="spellStart"/>
      <w:r w:rsidRPr="00E73D4B">
        <w:t>anten</w:t>
      </w:r>
      <w:proofErr w:type="spellEnd"/>
      <w:r w:rsidRPr="00E73D4B">
        <w:t xml:space="preserve"> gjennom plan- og bygningslova eller </w:t>
      </w:r>
      <w:proofErr w:type="spellStart"/>
      <w:r w:rsidRPr="00E73D4B">
        <w:t>forureiningslova</w:t>
      </w:r>
      <w:proofErr w:type="spellEnd"/>
      <w:r w:rsidRPr="00E73D4B">
        <w:t xml:space="preserve">. Arbeidsgruppa har gitt Miljødirektoratet i oppdrag å greia ut korleis </w:t>
      </w:r>
      <w:proofErr w:type="spellStart"/>
      <w:r w:rsidRPr="00E73D4B">
        <w:t>ein</w:t>
      </w:r>
      <w:proofErr w:type="spellEnd"/>
      <w:r w:rsidRPr="00E73D4B">
        <w:t xml:space="preserve"> lovheimel kan </w:t>
      </w:r>
      <w:proofErr w:type="spellStart"/>
      <w:r w:rsidRPr="00E73D4B">
        <w:t>innrettast</w:t>
      </w:r>
      <w:proofErr w:type="spellEnd"/>
      <w:r w:rsidRPr="00E73D4B">
        <w:t xml:space="preserve">. Miljødirektoratet har frist 1. oktober 2022. Etter dette vil departementa </w:t>
      </w:r>
      <w:proofErr w:type="spellStart"/>
      <w:r w:rsidRPr="00E73D4B">
        <w:t>følgje</w:t>
      </w:r>
      <w:proofErr w:type="spellEnd"/>
      <w:r w:rsidRPr="00E73D4B">
        <w:t xml:space="preserve"> opp utgreiinga og </w:t>
      </w:r>
      <w:proofErr w:type="spellStart"/>
      <w:r w:rsidRPr="00E73D4B">
        <w:t>kome</w:t>
      </w:r>
      <w:proofErr w:type="spellEnd"/>
      <w:r w:rsidRPr="00E73D4B">
        <w:t xml:space="preserve"> tilbake til Stortinget.</w:t>
      </w:r>
    </w:p>
    <w:p w14:paraId="05977CAC" w14:textId="77777777" w:rsidR="00972395" w:rsidRPr="00E73D4B" w:rsidRDefault="00F120C7" w:rsidP="00E73D4B">
      <w:pPr>
        <w:pStyle w:val="avsnitt-tittel"/>
      </w:pPr>
      <w:r w:rsidRPr="00E73D4B">
        <w:t xml:space="preserve">Levekår i </w:t>
      </w:r>
      <w:proofErr w:type="spellStart"/>
      <w:r w:rsidRPr="00E73D4B">
        <w:t>byar</w:t>
      </w:r>
      <w:proofErr w:type="spellEnd"/>
    </w:p>
    <w:p w14:paraId="1F9680DE" w14:textId="77777777" w:rsidR="00972395" w:rsidRPr="00E73D4B" w:rsidRDefault="00F120C7" w:rsidP="00E73D4B">
      <w:pPr>
        <w:pStyle w:val="avsnitt-undertittel"/>
      </w:pPr>
      <w:r w:rsidRPr="00E73D4B">
        <w:t>Vedtak nr. 35 nr. 27, 2. desember 2021</w:t>
      </w:r>
    </w:p>
    <w:p w14:paraId="6BDA88D5" w14:textId="77777777" w:rsidR="00972395" w:rsidRPr="00E73D4B" w:rsidRDefault="00F120C7" w:rsidP="00E73D4B">
      <w:pPr>
        <w:pStyle w:val="blokksit"/>
        <w:rPr>
          <w:rStyle w:val="kursiv"/>
        </w:rPr>
      </w:pPr>
      <w:r w:rsidRPr="00E73D4B">
        <w:rPr>
          <w:rStyle w:val="kursiv"/>
        </w:rPr>
        <w:t>«Stortinget ber regjeringen komme tilbake til Stortinget med en egen sak om levekår i byer innen utgangen av 2022, saken skal blant annet vurdere Jenssen-utvalgets forslag.»</w:t>
      </w:r>
    </w:p>
    <w:p w14:paraId="39C03875" w14:textId="77777777" w:rsidR="00972395" w:rsidRPr="00E73D4B" w:rsidRDefault="00F120C7" w:rsidP="00E73D4B">
      <w:r w:rsidRPr="00E73D4B">
        <w:t xml:space="preserve">Dokumenta som ligg til grunn for vedtaket, er Meld. St. 1 (2021–2022) </w:t>
      </w:r>
      <w:r w:rsidRPr="00E73D4B">
        <w:rPr>
          <w:rStyle w:val="kursiv"/>
        </w:rPr>
        <w:t>Nasjonalbudsjettet 2022</w:t>
      </w:r>
      <w:r w:rsidRPr="00E73D4B">
        <w:t xml:space="preserve"> og </w:t>
      </w:r>
      <w:proofErr w:type="spellStart"/>
      <w:r w:rsidRPr="00E73D4B">
        <w:t>Innst</w:t>
      </w:r>
      <w:proofErr w:type="spellEnd"/>
      <w:r w:rsidRPr="00E73D4B">
        <w:t>. 2 S (2021–2022).</w:t>
      </w:r>
    </w:p>
    <w:p w14:paraId="1E42BBB2" w14:textId="77777777" w:rsidR="00972395" w:rsidRPr="00E73D4B" w:rsidRDefault="00F120C7" w:rsidP="00E73D4B">
      <w:r w:rsidRPr="00E73D4B">
        <w:t xml:space="preserve">Regjeringa vil legga fram ei melding til Stortinget i 2023 om levekår i </w:t>
      </w:r>
      <w:proofErr w:type="spellStart"/>
      <w:r w:rsidRPr="00E73D4B">
        <w:t>byar</w:t>
      </w:r>
      <w:proofErr w:type="spellEnd"/>
      <w:r w:rsidRPr="00E73D4B">
        <w:t xml:space="preserve">. </w:t>
      </w:r>
      <w:proofErr w:type="spellStart"/>
      <w:r w:rsidRPr="00E73D4B">
        <w:t>Fleire</w:t>
      </w:r>
      <w:proofErr w:type="spellEnd"/>
      <w:r w:rsidRPr="00E73D4B">
        <w:t xml:space="preserve"> av forslaga i Jenssen-</w:t>
      </w:r>
      <w:proofErr w:type="spellStart"/>
      <w:r w:rsidRPr="00E73D4B">
        <w:t>utvalets</w:t>
      </w:r>
      <w:proofErr w:type="spellEnd"/>
      <w:r w:rsidRPr="00E73D4B">
        <w:t xml:space="preserve"> utgreiing blir òg </w:t>
      </w:r>
      <w:proofErr w:type="spellStart"/>
      <w:r w:rsidRPr="00E73D4B">
        <w:t>følgd</w:t>
      </w:r>
      <w:proofErr w:type="spellEnd"/>
      <w:r w:rsidRPr="00E73D4B">
        <w:t xml:space="preserve"> opp i egne </w:t>
      </w:r>
      <w:proofErr w:type="spellStart"/>
      <w:r w:rsidRPr="00E73D4B">
        <w:t>prosessar</w:t>
      </w:r>
      <w:proofErr w:type="spellEnd"/>
      <w:r w:rsidRPr="00E73D4B">
        <w:t>.</w:t>
      </w:r>
    </w:p>
    <w:p w14:paraId="01275151" w14:textId="77777777" w:rsidR="00972395" w:rsidRPr="00E73D4B" w:rsidRDefault="00F120C7" w:rsidP="00E73D4B">
      <w:pPr>
        <w:pStyle w:val="avsnitt-tittel"/>
      </w:pPr>
      <w:proofErr w:type="spellStart"/>
      <w:r w:rsidRPr="00E73D4B">
        <w:t>Blankoskøyter</w:t>
      </w:r>
      <w:proofErr w:type="spellEnd"/>
      <w:r w:rsidRPr="00E73D4B">
        <w:t xml:space="preserve"> og plikt til tinglysing</w:t>
      </w:r>
    </w:p>
    <w:p w14:paraId="5C674600" w14:textId="77777777" w:rsidR="00972395" w:rsidRPr="00E73D4B" w:rsidRDefault="00F120C7" w:rsidP="00E73D4B">
      <w:pPr>
        <w:pStyle w:val="avsnitt-undertittel"/>
      </w:pPr>
      <w:r w:rsidRPr="00E73D4B">
        <w:t>Vedtak nr. 35 nr. 35, 2. desember 2021</w:t>
      </w:r>
    </w:p>
    <w:p w14:paraId="00F542F9" w14:textId="77777777" w:rsidR="00972395" w:rsidRPr="00E73D4B" w:rsidRDefault="00F120C7" w:rsidP="00E73D4B">
      <w:pPr>
        <w:pStyle w:val="blokksit"/>
        <w:rPr>
          <w:rStyle w:val="kursiv"/>
        </w:rPr>
      </w:pPr>
      <w:r w:rsidRPr="00E73D4B">
        <w:rPr>
          <w:rStyle w:val="kursiv"/>
        </w:rPr>
        <w:t xml:space="preserve">«Stortinget ber regjeringen utrede bruken av </w:t>
      </w:r>
      <w:proofErr w:type="spellStart"/>
      <w:r w:rsidRPr="00E73D4B">
        <w:rPr>
          <w:rStyle w:val="kursiv"/>
        </w:rPr>
        <w:t>blankoskjøter</w:t>
      </w:r>
      <w:proofErr w:type="spellEnd"/>
      <w:r w:rsidRPr="00E73D4B">
        <w:rPr>
          <w:rStyle w:val="kursiv"/>
        </w:rPr>
        <w:t xml:space="preserve"> og plikt til tinglysing ved eiendomskjøp.»</w:t>
      </w:r>
    </w:p>
    <w:p w14:paraId="5C1708A5" w14:textId="77777777" w:rsidR="00972395" w:rsidRPr="00E73D4B" w:rsidRDefault="00F120C7" w:rsidP="00E73D4B">
      <w:r w:rsidRPr="00E73D4B">
        <w:t xml:space="preserve">Dokumenta som ligg til grunn for vedtaket, er Meld. St. 1 (2021–2022) </w:t>
      </w:r>
      <w:r w:rsidRPr="00E73D4B">
        <w:rPr>
          <w:rStyle w:val="kursiv"/>
        </w:rPr>
        <w:t>Nasjonalbudsjettet 2022</w:t>
      </w:r>
      <w:r w:rsidRPr="00E73D4B">
        <w:t xml:space="preserve"> og </w:t>
      </w:r>
      <w:proofErr w:type="spellStart"/>
      <w:r w:rsidRPr="00E73D4B">
        <w:t>Innst</w:t>
      </w:r>
      <w:proofErr w:type="spellEnd"/>
      <w:r w:rsidRPr="00E73D4B">
        <w:t>. 2 S (2021–2022).</w:t>
      </w:r>
    </w:p>
    <w:p w14:paraId="7AB39900"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Justis- og beredskapsdepartementet og Finansdepartementet har </w:t>
      </w:r>
      <w:proofErr w:type="spellStart"/>
      <w:r w:rsidRPr="00E73D4B">
        <w:t>teke</w:t>
      </w:r>
      <w:proofErr w:type="spellEnd"/>
      <w:r w:rsidRPr="00E73D4B">
        <w:t xml:space="preserve"> ei første vurdering av spørsmålet. Departementa </w:t>
      </w:r>
      <w:proofErr w:type="spellStart"/>
      <w:r w:rsidRPr="00E73D4B">
        <w:t>fann</w:t>
      </w:r>
      <w:proofErr w:type="spellEnd"/>
      <w:r w:rsidRPr="00E73D4B">
        <w:t xml:space="preserve"> at det er behov for ei </w:t>
      </w:r>
      <w:proofErr w:type="spellStart"/>
      <w:r w:rsidRPr="00E73D4B">
        <w:t>grundigare</w:t>
      </w:r>
      <w:proofErr w:type="spellEnd"/>
      <w:r w:rsidRPr="00E73D4B">
        <w:t xml:space="preserve"> kartlegging av </w:t>
      </w:r>
      <w:proofErr w:type="spellStart"/>
      <w:r w:rsidRPr="00E73D4B">
        <w:t>utfordringane</w:t>
      </w:r>
      <w:proofErr w:type="spellEnd"/>
      <w:r w:rsidRPr="00E73D4B">
        <w:t xml:space="preserve"> knytte til skjult </w:t>
      </w:r>
      <w:proofErr w:type="spellStart"/>
      <w:r w:rsidRPr="00E73D4B">
        <w:t>eigeskap</w:t>
      </w:r>
      <w:proofErr w:type="spellEnd"/>
      <w:r w:rsidRPr="00E73D4B">
        <w:t xml:space="preserve"> til fast </w:t>
      </w:r>
      <w:proofErr w:type="spellStart"/>
      <w:r w:rsidRPr="00E73D4B">
        <w:t>eigedom</w:t>
      </w:r>
      <w:proofErr w:type="spellEnd"/>
      <w:r w:rsidRPr="00E73D4B">
        <w:t xml:space="preserve"> før det tas stilling til kva </w:t>
      </w:r>
      <w:proofErr w:type="spellStart"/>
      <w:r w:rsidRPr="00E73D4B">
        <w:t>regelendringar</w:t>
      </w:r>
      <w:proofErr w:type="spellEnd"/>
      <w:r w:rsidRPr="00E73D4B">
        <w:t xml:space="preserve"> eller andre </w:t>
      </w:r>
      <w:proofErr w:type="spellStart"/>
      <w:r w:rsidRPr="00E73D4B">
        <w:t>verkemiddel</w:t>
      </w:r>
      <w:proofErr w:type="spellEnd"/>
      <w:r w:rsidRPr="00E73D4B">
        <w:t xml:space="preserve"> som kan være </w:t>
      </w:r>
      <w:proofErr w:type="spellStart"/>
      <w:r w:rsidRPr="00E73D4B">
        <w:t>føremålstenlege</w:t>
      </w:r>
      <w:proofErr w:type="spellEnd"/>
      <w:r w:rsidRPr="00E73D4B">
        <w:t xml:space="preserve">. Departementa </w:t>
      </w:r>
      <w:proofErr w:type="spellStart"/>
      <w:r w:rsidRPr="00E73D4B">
        <w:t>oppfattar</w:t>
      </w:r>
      <w:proofErr w:type="spellEnd"/>
      <w:r w:rsidRPr="00E73D4B">
        <w:t xml:space="preserve"> det slik at det først og fremst er behovet for å </w:t>
      </w:r>
      <w:proofErr w:type="spellStart"/>
      <w:r w:rsidRPr="00E73D4B">
        <w:t>motverke</w:t>
      </w:r>
      <w:proofErr w:type="spellEnd"/>
      <w:r w:rsidRPr="00E73D4B">
        <w:t xml:space="preserve"> kriminalitet som kvitvasking og </w:t>
      </w:r>
      <w:proofErr w:type="spellStart"/>
      <w:r w:rsidRPr="00E73D4B">
        <w:t>skatteunndraging</w:t>
      </w:r>
      <w:proofErr w:type="spellEnd"/>
      <w:r w:rsidRPr="00E73D4B">
        <w:t xml:space="preserve"> gjennom skjult </w:t>
      </w:r>
      <w:proofErr w:type="spellStart"/>
      <w:r w:rsidRPr="00E73D4B">
        <w:t>eigeskap</w:t>
      </w:r>
      <w:proofErr w:type="spellEnd"/>
      <w:r w:rsidRPr="00E73D4B">
        <w:t xml:space="preserve"> til fast </w:t>
      </w:r>
      <w:proofErr w:type="spellStart"/>
      <w:r w:rsidRPr="00E73D4B">
        <w:t>eigedom</w:t>
      </w:r>
      <w:proofErr w:type="spellEnd"/>
      <w:r w:rsidRPr="00E73D4B">
        <w:t xml:space="preserve"> som gir grunn til å vurdere tiltak. Slike omsyn blir ivaretatt mellom anna med kvitvaskingslova, straffelova, skatteforvaltningslova og politilova, </w:t>
      </w:r>
      <w:proofErr w:type="spellStart"/>
      <w:r w:rsidRPr="00E73D4B">
        <w:t>medan</w:t>
      </w:r>
      <w:proofErr w:type="spellEnd"/>
      <w:r w:rsidRPr="00E73D4B">
        <w:t xml:space="preserve"> </w:t>
      </w:r>
      <w:proofErr w:type="spellStart"/>
      <w:r w:rsidRPr="00E73D4B">
        <w:t>føremålet</w:t>
      </w:r>
      <w:proofErr w:type="spellEnd"/>
      <w:r w:rsidRPr="00E73D4B">
        <w:t xml:space="preserve"> med </w:t>
      </w:r>
      <w:proofErr w:type="spellStart"/>
      <w:r w:rsidRPr="00E73D4B">
        <w:t>tinglysingsreglane</w:t>
      </w:r>
      <w:proofErr w:type="spellEnd"/>
      <w:r w:rsidRPr="00E73D4B">
        <w:t xml:space="preserve"> primært </w:t>
      </w:r>
      <w:proofErr w:type="spellStart"/>
      <w:r w:rsidRPr="00E73D4B">
        <w:t>siktar</w:t>
      </w:r>
      <w:proofErr w:type="spellEnd"/>
      <w:r w:rsidRPr="00E73D4B">
        <w:t xml:space="preserve"> seg inn mot å beskytte </w:t>
      </w:r>
      <w:proofErr w:type="spellStart"/>
      <w:r w:rsidRPr="00E73D4B">
        <w:t>rettane</w:t>
      </w:r>
      <w:proofErr w:type="spellEnd"/>
      <w:r w:rsidRPr="00E73D4B">
        <w:t xml:space="preserve"> til </w:t>
      </w:r>
      <w:proofErr w:type="spellStart"/>
      <w:r w:rsidRPr="00E73D4B">
        <w:t>eigarar</w:t>
      </w:r>
      <w:proofErr w:type="spellEnd"/>
      <w:r w:rsidRPr="00E73D4B">
        <w:t xml:space="preserve">, </w:t>
      </w:r>
      <w:proofErr w:type="spellStart"/>
      <w:r w:rsidRPr="00E73D4B">
        <w:t>panthavarar</w:t>
      </w:r>
      <w:proofErr w:type="spellEnd"/>
      <w:r w:rsidRPr="00E73D4B">
        <w:t xml:space="preserve"> og andre som har </w:t>
      </w:r>
      <w:proofErr w:type="spellStart"/>
      <w:r w:rsidRPr="00E73D4B">
        <w:t>rettar</w:t>
      </w:r>
      <w:proofErr w:type="spellEnd"/>
      <w:r w:rsidRPr="00E73D4B">
        <w:t xml:space="preserve"> i fast </w:t>
      </w:r>
      <w:proofErr w:type="spellStart"/>
      <w:r w:rsidRPr="00E73D4B">
        <w:t>eigedom</w:t>
      </w:r>
      <w:proofErr w:type="spellEnd"/>
      <w:r w:rsidRPr="00E73D4B">
        <w:t xml:space="preserve">. Med denne bakgrunnen har Finansdepartementet gitt Skattedirektoratet i oppdrag å </w:t>
      </w:r>
      <w:proofErr w:type="spellStart"/>
      <w:r w:rsidRPr="00E73D4B">
        <w:t>kartleggje</w:t>
      </w:r>
      <w:proofErr w:type="spellEnd"/>
      <w:r w:rsidRPr="00E73D4B">
        <w:t xml:space="preserve"> og greia ut om problema ved skjult </w:t>
      </w:r>
      <w:proofErr w:type="spellStart"/>
      <w:r w:rsidRPr="00E73D4B">
        <w:t>eigeskap</w:t>
      </w:r>
      <w:proofErr w:type="spellEnd"/>
      <w:r w:rsidRPr="00E73D4B">
        <w:t xml:space="preserve"> til fast </w:t>
      </w:r>
      <w:proofErr w:type="spellStart"/>
      <w:r w:rsidRPr="00E73D4B">
        <w:t>eigedom</w:t>
      </w:r>
      <w:proofErr w:type="spellEnd"/>
      <w:r w:rsidRPr="00E73D4B">
        <w:t xml:space="preserve"> </w:t>
      </w:r>
      <w:proofErr w:type="spellStart"/>
      <w:r w:rsidRPr="00E73D4B">
        <w:t>innanfor</w:t>
      </w:r>
      <w:proofErr w:type="spellEnd"/>
      <w:r w:rsidRPr="00E73D4B">
        <w:t xml:space="preserve"> Skatteetatens ansvarsområde. Fristen for oppdraget er satt til 31. desember 2022.</w:t>
      </w:r>
    </w:p>
    <w:p w14:paraId="5701925B" w14:textId="77777777" w:rsidR="00972395" w:rsidRPr="00E73D4B" w:rsidRDefault="00F120C7" w:rsidP="00E73D4B">
      <w:r w:rsidRPr="00E73D4B">
        <w:t xml:space="preserve">Regjeringa vil </w:t>
      </w:r>
      <w:proofErr w:type="spellStart"/>
      <w:r w:rsidRPr="00E73D4B">
        <w:t>kome</w:t>
      </w:r>
      <w:proofErr w:type="spellEnd"/>
      <w:r w:rsidRPr="00E73D4B">
        <w:t xml:space="preserve"> tilbake til saka når kartlegginga er ferdig.</w:t>
      </w:r>
    </w:p>
    <w:p w14:paraId="7258828D" w14:textId="77777777" w:rsidR="00972395" w:rsidRPr="00E73D4B" w:rsidRDefault="00F120C7" w:rsidP="00E73D4B">
      <w:pPr>
        <w:pStyle w:val="avsnitt-tittel"/>
      </w:pPr>
      <w:proofErr w:type="spellStart"/>
      <w:r w:rsidRPr="00E73D4B">
        <w:t>Offentleg</w:t>
      </w:r>
      <w:proofErr w:type="spellEnd"/>
      <w:r w:rsidRPr="00E73D4B">
        <w:t xml:space="preserve"> </w:t>
      </w:r>
      <w:proofErr w:type="spellStart"/>
      <w:r w:rsidRPr="00E73D4B">
        <w:t>utval</w:t>
      </w:r>
      <w:proofErr w:type="spellEnd"/>
      <w:r w:rsidRPr="00E73D4B">
        <w:t xml:space="preserve"> om utfasing av kommersiell drift i </w:t>
      </w:r>
      <w:proofErr w:type="spellStart"/>
      <w:r w:rsidRPr="00E73D4B">
        <w:t>offentlege</w:t>
      </w:r>
      <w:proofErr w:type="spellEnd"/>
      <w:r w:rsidRPr="00E73D4B">
        <w:t xml:space="preserve"> </w:t>
      </w:r>
      <w:proofErr w:type="spellStart"/>
      <w:r w:rsidRPr="00E73D4B">
        <w:t>velferdstenester</w:t>
      </w:r>
      <w:proofErr w:type="spellEnd"/>
    </w:p>
    <w:p w14:paraId="48953EBA" w14:textId="77777777" w:rsidR="00972395" w:rsidRPr="00E73D4B" w:rsidRDefault="00F120C7" w:rsidP="00E73D4B">
      <w:pPr>
        <w:pStyle w:val="avsnitt-undertittel"/>
      </w:pPr>
      <w:r w:rsidRPr="00E73D4B">
        <w:t>Vedtak nr. 35 nr. 41, 2. desember 2021</w:t>
      </w:r>
    </w:p>
    <w:p w14:paraId="209447CE" w14:textId="77777777" w:rsidR="00972395" w:rsidRPr="00E73D4B" w:rsidRDefault="00F120C7" w:rsidP="00E73D4B">
      <w:pPr>
        <w:pStyle w:val="blokksit"/>
        <w:rPr>
          <w:rStyle w:val="kursiv"/>
        </w:rPr>
      </w:pPr>
      <w:r w:rsidRPr="00E73D4B">
        <w:rPr>
          <w:rStyle w:val="kursiv"/>
        </w:rPr>
        <w:t>«Stortinget ber regjeringen innen mars 2022 nedsette et offentlig utvalg som skal utrede hvordan kommersiell drift kan utfases i ulike skattefinansierte velferdstjenester, og legge fram en egen nullprofittmodell for hver slik sektor. Utvalget skal også foreslå en juridisk definisjon for ideelle driftsformer.»</w:t>
      </w:r>
    </w:p>
    <w:p w14:paraId="73936254" w14:textId="77777777" w:rsidR="00972395" w:rsidRPr="00E73D4B" w:rsidRDefault="00F120C7" w:rsidP="00E73D4B">
      <w:r w:rsidRPr="00E73D4B">
        <w:t xml:space="preserve">Dokumenta som ligg til grunn for vedtaket, er Meld. St. 1 (2021–2022) </w:t>
      </w:r>
      <w:r w:rsidRPr="00E73D4B">
        <w:rPr>
          <w:rStyle w:val="kursiv"/>
        </w:rPr>
        <w:t>Nasjonalbudsjettet 2022</w:t>
      </w:r>
      <w:r w:rsidRPr="00E73D4B">
        <w:t xml:space="preserve"> og </w:t>
      </w:r>
      <w:proofErr w:type="spellStart"/>
      <w:r w:rsidRPr="00E73D4B">
        <w:t>Innst</w:t>
      </w:r>
      <w:proofErr w:type="spellEnd"/>
      <w:r w:rsidRPr="00E73D4B">
        <w:t>. 2 S (2021–2022).</w:t>
      </w:r>
    </w:p>
    <w:p w14:paraId="78302F11" w14:textId="77777777" w:rsidR="00972395" w:rsidRPr="00E73D4B" w:rsidRDefault="00F120C7" w:rsidP="00E73D4B">
      <w:r w:rsidRPr="00E73D4B">
        <w:t xml:space="preserve">Regjeringa </w:t>
      </w:r>
      <w:proofErr w:type="spellStart"/>
      <w:r w:rsidRPr="00E73D4B">
        <w:t>oppnemnde</w:t>
      </w:r>
      <w:proofErr w:type="spellEnd"/>
      <w:r w:rsidRPr="00E73D4B">
        <w:t xml:space="preserve"> i statsråd 12. august 2022 </w:t>
      </w:r>
      <w:proofErr w:type="spellStart"/>
      <w:r w:rsidRPr="00E73D4B">
        <w:t>eit</w:t>
      </w:r>
      <w:proofErr w:type="spellEnd"/>
      <w:r w:rsidRPr="00E73D4B">
        <w:t xml:space="preserve"> </w:t>
      </w:r>
      <w:proofErr w:type="spellStart"/>
      <w:r w:rsidRPr="00E73D4B">
        <w:t>offentleg</w:t>
      </w:r>
      <w:proofErr w:type="spellEnd"/>
      <w:r w:rsidRPr="00E73D4B">
        <w:t xml:space="preserve"> </w:t>
      </w:r>
      <w:proofErr w:type="spellStart"/>
      <w:r w:rsidRPr="00E73D4B">
        <w:t>utval</w:t>
      </w:r>
      <w:proofErr w:type="spellEnd"/>
      <w:r w:rsidRPr="00E73D4B">
        <w:t xml:space="preserve"> som skal greie ut korleis kommersiell drift kan </w:t>
      </w:r>
      <w:proofErr w:type="spellStart"/>
      <w:r w:rsidRPr="00E73D4B">
        <w:t>utfasast</w:t>
      </w:r>
      <w:proofErr w:type="spellEnd"/>
      <w:r w:rsidRPr="00E73D4B">
        <w:t xml:space="preserve"> i ulike skattefinansierte </w:t>
      </w:r>
      <w:proofErr w:type="spellStart"/>
      <w:r w:rsidRPr="00E73D4B">
        <w:t>velferdstenester</w:t>
      </w:r>
      <w:proofErr w:type="spellEnd"/>
      <w:r w:rsidRPr="00E73D4B">
        <w:t xml:space="preserve">. Departementet meiner med dette at oppmodingsvedtaket er </w:t>
      </w:r>
      <w:proofErr w:type="spellStart"/>
      <w:r w:rsidRPr="00E73D4B">
        <w:t>følgt</w:t>
      </w:r>
      <w:proofErr w:type="spellEnd"/>
      <w:r w:rsidRPr="00E73D4B">
        <w:t xml:space="preserve"> opp.</w:t>
      </w:r>
    </w:p>
    <w:p w14:paraId="6B8A976F" w14:textId="77777777" w:rsidR="00972395" w:rsidRPr="00E73D4B" w:rsidRDefault="00F120C7" w:rsidP="00E73D4B">
      <w:pPr>
        <w:pStyle w:val="avsnitt-tittel"/>
      </w:pPr>
      <w:proofErr w:type="spellStart"/>
      <w:r w:rsidRPr="00E73D4B">
        <w:t>Auka</w:t>
      </w:r>
      <w:proofErr w:type="spellEnd"/>
      <w:r w:rsidRPr="00E73D4B">
        <w:t xml:space="preserve"> </w:t>
      </w:r>
      <w:proofErr w:type="spellStart"/>
      <w:r w:rsidRPr="00E73D4B">
        <w:t>openheit</w:t>
      </w:r>
      <w:proofErr w:type="spellEnd"/>
      <w:r w:rsidRPr="00E73D4B">
        <w:t xml:space="preserve"> i </w:t>
      </w:r>
      <w:proofErr w:type="spellStart"/>
      <w:r w:rsidRPr="00E73D4B">
        <w:t>verksemda</w:t>
      </w:r>
      <w:proofErr w:type="spellEnd"/>
      <w:r w:rsidRPr="00E73D4B">
        <w:t xml:space="preserve"> til private </w:t>
      </w:r>
      <w:proofErr w:type="spellStart"/>
      <w:r w:rsidRPr="00E73D4B">
        <w:t>tilbydarar</w:t>
      </w:r>
      <w:proofErr w:type="spellEnd"/>
      <w:r w:rsidRPr="00E73D4B">
        <w:t xml:space="preserve"> av </w:t>
      </w:r>
      <w:proofErr w:type="spellStart"/>
      <w:r w:rsidRPr="00E73D4B">
        <w:t>offentleg</w:t>
      </w:r>
      <w:proofErr w:type="spellEnd"/>
      <w:r w:rsidRPr="00E73D4B">
        <w:t xml:space="preserve"> finansierte </w:t>
      </w:r>
      <w:proofErr w:type="spellStart"/>
      <w:r w:rsidRPr="00E73D4B">
        <w:t>velferdstenester</w:t>
      </w:r>
      <w:proofErr w:type="spellEnd"/>
    </w:p>
    <w:p w14:paraId="3EE06BB2" w14:textId="77777777" w:rsidR="00972395" w:rsidRPr="00E73D4B" w:rsidRDefault="00F120C7" w:rsidP="00E73D4B">
      <w:pPr>
        <w:pStyle w:val="avsnitt-undertittel"/>
      </w:pPr>
      <w:r w:rsidRPr="00E73D4B">
        <w:t>Vedtak nr. 35 nr. 42, 2. desember 2021</w:t>
      </w:r>
    </w:p>
    <w:p w14:paraId="42905492" w14:textId="77777777" w:rsidR="00972395" w:rsidRPr="00E73D4B" w:rsidRDefault="00F120C7" w:rsidP="00E73D4B">
      <w:pPr>
        <w:pStyle w:val="blokksit"/>
        <w:rPr>
          <w:rStyle w:val="kursiv"/>
        </w:rPr>
      </w:pPr>
      <w:r w:rsidRPr="00E73D4B">
        <w:rPr>
          <w:rStyle w:val="kursiv"/>
        </w:rPr>
        <w:t>«Stortinget ber regjeringen fremme nødvendige tiltak for å sikre økt åpenhet og transparens i virksomheten til private tilbydere av offentlig finansierte velferdstjenester, herunder et offentlig register over alle private virksomheter som leverer offentlig finansierte velferdstjenester.»</w:t>
      </w:r>
    </w:p>
    <w:p w14:paraId="360934C4" w14:textId="77777777" w:rsidR="00972395" w:rsidRPr="00E73D4B" w:rsidRDefault="00F120C7" w:rsidP="00E73D4B">
      <w:r w:rsidRPr="00E73D4B">
        <w:t xml:space="preserve">Dokumenta som ligg til grunn for vedtaket, er Meld. St. 1 (2021–2022) </w:t>
      </w:r>
      <w:r w:rsidRPr="00E73D4B">
        <w:rPr>
          <w:rStyle w:val="kursiv"/>
        </w:rPr>
        <w:t>Nasjonalbudsjettet 2022</w:t>
      </w:r>
      <w:r w:rsidRPr="00E73D4B">
        <w:t xml:space="preserve"> og </w:t>
      </w:r>
      <w:proofErr w:type="spellStart"/>
      <w:r w:rsidRPr="00E73D4B">
        <w:t>Innst</w:t>
      </w:r>
      <w:proofErr w:type="spellEnd"/>
      <w:r w:rsidRPr="00E73D4B">
        <w:t>. 2 S (2021–2022).</w:t>
      </w:r>
    </w:p>
    <w:p w14:paraId="1A3A00DF" w14:textId="77777777" w:rsidR="00972395" w:rsidRPr="00E73D4B" w:rsidRDefault="00F120C7" w:rsidP="00E73D4B">
      <w:r w:rsidRPr="00E73D4B">
        <w:t xml:space="preserve">Private </w:t>
      </w:r>
      <w:proofErr w:type="spellStart"/>
      <w:r w:rsidRPr="00E73D4B">
        <w:t>tilbydarar</w:t>
      </w:r>
      <w:proofErr w:type="spellEnd"/>
      <w:r w:rsidRPr="00E73D4B">
        <w:t xml:space="preserve"> av </w:t>
      </w:r>
      <w:proofErr w:type="spellStart"/>
      <w:r w:rsidRPr="00E73D4B">
        <w:t>offentleg</w:t>
      </w:r>
      <w:proofErr w:type="spellEnd"/>
      <w:r w:rsidRPr="00E73D4B">
        <w:t xml:space="preserve"> finansierte </w:t>
      </w:r>
      <w:proofErr w:type="spellStart"/>
      <w:r w:rsidRPr="00E73D4B">
        <w:t>velferdstenester</w:t>
      </w:r>
      <w:proofErr w:type="spellEnd"/>
      <w:r w:rsidRPr="00E73D4B">
        <w:t xml:space="preserve"> </w:t>
      </w:r>
      <w:proofErr w:type="spellStart"/>
      <w:r w:rsidRPr="00E73D4B">
        <w:t>omfattar</w:t>
      </w:r>
      <w:proofErr w:type="spellEnd"/>
      <w:r w:rsidRPr="00E73D4B">
        <w:t xml:space="preserve"> både </w:t>
      </w:r>
      <w:proofErr w:type="spellStart"/>
      <w:r w:rsidRPr="00E73D4B">
        <w:t>verksemder</w:t>
      </w:r>
      <w:proofErr w:type="spellEnd"/>
      <w:r w:rsidRPr="00E73D4B">
        <w:t xml:space="preserve"> som driv kommersielt og </w:t>
      </w:r>
      <w:proofErr w:type="spellStart"/>
      <w:r w:rsidRPr="00E73D4B">
        <w:t>verksemder</w:t>
      </w:r>
      <w:proofErr w:type="spellEnd"/>
      <w:r w:rsidRPr="00E73D4B">
        <w:t xml:space="preserve"> som har </w:t>
      </w:r>
      <w:proofErr w:type="spellStart"/>
      <w:r w:rsidRPr="00E73D4B">
        <w:t>eit</w:t>
      </w:r>
      <w:proofErr w:type="spellEnd"/>
      <w:r w:rsidRPr="00E73D4B">
        <w:t xml:space="preserve"> ideelt </w:t>
      </w:r>
      <w:proofErr w:type="spellStart"/>
      <w:r w:rsidRPr="00E73D4B">
        <w:t>føremål</w:t>
      </w:r>
      <w:proofErr w:type="spellEnd"/>
      <w:r w:rsidRPr="00E73D4B">
        <w:t xml:space="preserve">. Det </w:t>
      </w:r>
      <w:proofErr w:type="spellStart"/>
      <w:r w:rsidRPr="00E73D4B">
        <w:t>offentlege</w:t>
      </w:r>
      <w:proofErr w:type="spellEnd"/>
      <w:r w:rsidRPr="00E73D4B">
        <w:t xml:space="preserve"> </w:t>
      </w:r>
      <w:proofErr w:type="spellStart"/>
      <w:r w:rsidRPr="00E73D4B">
        <w:t>utvalet</w:t>
      </w:r>
      <w:proofErr w:type="spellEnd"/>
      <w:r w:rsidRPr="00E73D4B">
        <w:t xml:space="preserve"> som skal greie ut utfasing av kommersiell drift i </w:t>
      </w:r>
      <w:proofErr w:type="spellStart"/>
      <w:r w:rsidRPr="00E73D4B">
        <w:t>offentlege</w:t>
      </w:r>
      <w:proofErr w:type="spellEnd"/>
      <w:r w:rsidRPr="00E73D4B">
        <w:t xml:space="preserve"> </w:t>
      </w:r>
      <w:proofErr w:type="spellStart"/>
      <w:r w:rsidRPr="00E73D4B">
        <w:t>velferdstenester</w:t>
      </w:r>
      <w:proofErr w:type="spellEnd"/>
      <w:r w:rsidRPr="00E73D4B">
        <w:t xml:space="preserve">, har som </w:t>
      </w:r>
      <w:proofErr w:type="spellStart"/>
      <w:r w:rsidRPr="00E73D4B">
        <w:t>ein</w:t>
      </w:r>
      <w:proofErr w:type="spellEnd"/>
      <w:r w:rsidRPr="00E73D4B">
        <w:t xml:space="preserve"> del av mandatet sitt å gi </w:t>
      </w:r>
      <w:proofErr w:type="spellStart"/>
      <w:r w:rsidRPr="00E73D4B">
        <w:t>ein</w:t>
      </w:r>
      <w:proofErr w:type="spellEnd"/>
      <w:r w:rsidRPr="00E73D4B">
        <w:t xml:space="preserve"> juridisk definisjon av ideell </w:t>
      </w:r>
      <w:proofErr w:type="spellStart"/>
      <w:r w:rsidRPr="00E73D4B">
        <w:t>verksemd</w:t>
      </w:r>
      <w:proofErr w:type="spellEnd"/>
      <w:r w:rsidRPr="00E73D4B">
        <w:t xml:space="preserve"> og vise korleis ideelle </w:t>
      </w:r>
      <w:proofErr w:type="spellStart"/>
      <w:r w:rsidRPr="00E73D4B">
        <w:t>aktørar</w:t>
      </w:r>
      <w:proofErr w:type="spellEnd"/>
      <w:r w:rsidRPr="00E73D4B">
        <w:t xml:space="preserve"> kan </w:t>
      </w:r>
      <w:proofErr w:type="spellStart"/>
      <w:r w:rsidRPr="00E73D4B">
        <w:t>registrerast</w:t>
      </w:r>
      <w:proofErr w:type="spellEnd"/>
      <w:r w:rsidRPr="00E73D4B">
        <w:t xml:space="preserve">, eksempelvis etter </w:t>
      </w:r>
      <w:proofErr w:type="spellStart"/>
      <w:r w:rsidRPr="00E73D4B">
        <w:t>ein</w:t>
      </w:r>
      <w:proofErr w:type="spellEnd"/>
      <w:r w:rsidRPr="00E73D4B">
        <w:t xml:space="preserve"> modell lik Frivillighetsregisteret. I etterkant av at </w:t>
      </w:r>
      <w:proofErr w:type="spellStart"/>
      <w:r w:rsidRPr="00E73D4B">
        <w:t>utvalet</w:t>
      </w:r>
      <w:proofErr w:type="spellEnd"/>
      <w:r w:rsidRPr="00E73D4B">
        <w:t xml:space="preserve"> har avlevert utgreiinga, vil Kommunal- og </w:t>
      </w:r>
      <w:proofErr w:type="spellStart"/>
      <w:r w:rsidRPr="00E73D4B">
        <w:t>distriktsdepartementet</w:t>
      </w:r>
      <w:proofErr w:type="spellEnd"/>
      <w:r w:rsidRPr="00E73D4B">
        <w:t xml:space="preserve"> i samarbeid med Nærings- og fiskeridepartementet, som har ansvaret for Brønnøysundregisteret, vurdere korleis dette kan </w:t>
      </w:r>
      <w:proofErr w:type="spellStart"/>
      <w:r w:rsidRPr="00E73D4B">
        <w:t>følgast</w:t>
      </w:r>
      <w:proofErr w:type="spellEnd"/>
      <w:r w:rsidRPr="00E73D4B">
        <w:t xml:space="preserve"> opp.</w:t>
      </w:r>
    </w:p>
    <w:p w14:paraId="3E40314B"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eigna måte.</w:t>
      </w:r>
    </w:p>
    <w:p w14:paraId="3FAFF29F" w14:textId="77777777" w:rsidR="00972395" w:rsidRPr="00E73D4B" w:rsidRDefault="00F120C7" w:rsidP="00E73D4B">
      <w:pPr>
        <w:pStyle w:val="avsnitt-tittel"/>
      </w:pPr>
      <w:r w:rsidRPr="00E73D4B">
        <w:t xml:space="preserve">Krav om organisering i sjølvstendig rettssubjekt for selskap som leverer </w:t>
      </w:r>
      <w:proofErr w:type="spellStart"/>
      <w:r w:rsidRPr="00E73D4B">
        <w:t>offentleg</w:t>
      </w:r>
      <w:proofErr w:type="spellEnd"/>
      <w:r w:rsidRPr="00E73D4B">
        <w:t xml:space="preserve"> finansierte </w:t>
      </w:r>
      <w:proofErr w:type="spellStart"/>
      <w:r w:rsidRPr="00E73D4B">
        <w:t>velferdstenester</w:t>
      </w:r>
      <w:proofErr w:type="spellEnd"/>
    </w:p>
    <w:p w14:paraId="5BFB9893" w14:textId="77777777" w:rsidR="00972395" w:rsidRPr="00E73D4B" w:rsidRDefault="00F120C7" w:rsidP="00E73D4B">
      <w:pPr>
        <w:pStyle w:val="avsnitt-undertittel"/>
      </w:pPr>
      <w:r w:rsidRPr="00E73D4B">
        <w:t>Vedtak nr. 35 nr. 43, 2. desember 2021</w:t>
      </w:r>
    </w:p>
    <w:p w14:paraId="5E191EEF" w14:textId="77777777" w:rsidR="00972395" w:rsidRPr="00E73D4B" w:rsidRDefault="00F120C7" w:rsidP="00E73D4B">
      <w:pPr>
        <w:pStyle w:val="blokksit"/>
        <w:rPr>
          <w:rStyle w:val="kursiv"/>
        </w:rPr>
      </w:pPr>
      <w:r w:rsidRPr="00E73D4B">
        <w:rPr>
          <w:rStyle w:val="kursiv"/>
        </w:rPr>
        <w:t>«Stortinget ber regjeringen utrede forslag om å stille krav til at selskaper som leverer offentlig finansierte velferdstjenester, organiseres i egne rettssubjekter hvor det ikke er tillatt å drive annen virksomhet enn offentlig finansierte velferdstjenester.»</w:t>
      </w:r>
    </w:p>
    <w:p w14:paraId="04C4A75F" w14:textId="77777777" w:rsidR="00972395" w:rsidRPr="00E73D4B" w:rsidRDefault="00F120C7" w:rsidP="00E73D4B">
      <w:r w:rsidRPr="00E73D4B">
        <w:t xml:space="preserve">Dokumenta som ligg til grunn for vedtaket, er Meld. St. 1 (2021–2022) </w:t>
      </w:r>
      <w:r w:rsidRPr="00E73D4B">
        <w:rPr>
          <w:rStyle w:val="kursiv"/>
        </w:rPr>
        <w:t>Nasjonalbudsjettet 2022</w:t>
      </w:r>
      <w:r w:rsidRPr="00E73D4B">
        <w:t xml:space="preserve"> og </w:t>
      </w:r>
      <w:proofErr w:type="spellStart"/>
      <w:r w:rsidRPr="00E73D4B">
        <w:t>Innst</w:t>
      </w:r>
      <w:proofErr w:type="spellEnd"/>
      <w:r w:rsidRPr="00E73D4B">
        <w:t>. 2 S (2021–2022).</w:t>
      </w:r>
    </w:p>
    <w:p w14:paraId="0755943F" w14:textId="77777777" w:rsidR="00972395" w:rsidRPr="00E73D4B" w:rsidRDefault="00F120C7" w:rsidP="00E73D4B">
      <w:r w:rsidRPr="00E73D4B">
        <w:t xml:space="preserve">Det </w:t>
      </w:r>
      <w:proofErr w:type="spellStart"/>
      <w:r w:rsidRPr="00E73D4B">
        <w:t>offentlege</w:t>
      </w:r>
      <w:proofErr w:type="spellEnd"/>
      <w:r w:rsidRPr="00E73D4B">
        <w:t xml:space="preserve"> </w:t>
      </w:r>
      <w:proofErr w:type="spellStart"/>
      <w:r w:rsidRPr="00E73D4B">
        <w:t>utvalet</w:t>
      </w:r>
      <w:proofErr w:type="spellEnd"/>
      <w:r w:rsidRPr="00E73D4B">
        <w:t xml:space="preserve"> som skal greie ut utfasing av kommersiell drift i </w:t>
      </w:r>
      <w:proofErr w:type="spellStart"/>
      <w:r w:rsidRPr="00E73D4B">
        <w:t>offentlege</w:t>
      </w:r>
      <w:proofErr w:type="spellEnd"/>
      <w:r w:rsidRPr="00E73D4B">
        <w:t xml:space="preserve"> </w:t>
      </w:r>
      <w:proofErr w:type="spellStart"/>
      <w:r w:rsidRPr="00E73D4B">
        <w:t>velferdstenester</w:t>
      </w:r>
      <w:proofErr w:type="spellEnd"/>
      <w:r w:rsidRPr="00E73D4B">
        <w:t xml:space="preserve"> har som </w:t>
      </w:r>
      <w:proofErr w:type="spellStart"/>
      <w:r w:rsidRPr="00E73D4B">
        <w:t>ein</w:t>
      </w:r>
      <w:proofErr w:type="spellEnd"/>
      <w:r w:rsidRPr="00E73D4B">
        <w:t xml:space="preserve"> del av mandatet sitt å vurdere korleis kommersielle </w:t>
      </w:r>
      <w:proofErr w:type="spellStart"/>
      <w:r w:rsidRPr="00E73D4B">
        <w:t>aktørar</w:t>
      </w:r>
      <w:proofErr w:type="spellEnd"/>
      <w:r w:rsidRPr="00E73D4B">
        <w:t xml:space="preserve"> kan </w:t>
      </w:r>
      <w:proofErr w:type="spellStart"/>
      <w:r w:rsidRPr="00E73D4B">
        <w:t>regulerast</w:t>
      </w:r>
      <w:proofErr w:type="spellEnd"/>
      <w:r w:rsidRPr="00E73D4B">
        <w:t xml:space="preserve"> </w:t>
      </w:r>
      <w:proofErr w:type="spellStart"/>
      <w:r w:rsidRPr="00E73D4B">
        <w:t>sterkare</w:t>
      </w:r>
      <w:proofErr w:type="spellEnd"/>
      <w:r w:rsidRPr="00E73D4B">
        <w:t xml:space="preserve">. </w:t>
      </w:r>
      <w:proofErr w:type="spellStart"/>
      <w:r w:rsidRPr="00E73D4B">
        <w:t>Eit</w:t>
      </w:r>
      <w:proofErr w:type="spellEnd"/>
      <w:r w:rsidRPr="00E73D4B">
        <w:t xml:space="preserve"> krav om organisering av slik </w:t>
      </w:r>
      <w:proofErr w:type="spellStart"/>
      <w:r w:rsidRPr="00E73D4B">
        <w:t>verksemd</w:t>
      </w:r>
      <w:proofErr w:type="spellEnd"/>
      <w:r w:rsidRPr="00E73D4B">
        <w:t xml:space="preserve"> som sjølvstendig rettssubjekt, er </w:t>
      </w:r>
      <w:proofErr w:type="spellStart"/>
      <w:r w:rsidRPr="00E73D4B">
        <w:t>eitt</w:t>
      </w:r>
      <w:proofErr w:type="spellEnd"/>
      <w:r w:rsidRPr="00E73D4B">
        <w:t xml:space="preserve"> av </w:t>
      </w:r>
      <w:proofErr w:type="spellStart"/>
      <w:r w:rsidRPr="00E73D4B">
        <w:t>fleire</w:t>
      </w:r>
      <w:proofErr w:type="spellEnd"/>
      <w:r w:rsidRPr="00E73D4B">
        <w:t xml:space="preserve"> tiltak som </w:t>
      </w:r>
      <w:proofErr w:type="spellStart"/>
      <w:r w:rsidRPr="00E73D4B">
        <w:t>utvalet</w:t>
      </w:r>
      <w:proofErr w:type="spellEnd"/>
      <w:r w:rsidRPr="00E73D4B">
        <w:t xml:space="preserve"> skal utgreie.</w:t>
      </w:r>
    </w:p>
    <w:p w14:paraId="7924F938"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eigna måte i etterkant av </w:t>
      </w:r>
      <w:proofErr w:type="spellStart"/>
      <w:r w:rsidRPr="00E73D4B">
        <w:t>utvalet</w:t>
      </w:r>
      <w:proofErr w:type="spellEnd"/>
      <w:r w:rsidRPr="00E73D4B">
        <w:t xml:space="preserve"> sitt arbeid.</w:t>
      </w:r>
    </w:p>
    <w:p w14:paraId="1A79CC5C" w14:textId="77777777" w:rsidR="00972395" w:rsidRPr="00E73D4B" w:rsidRDefault="00F120C7" w:rsidP="00E73D4B">
      <w:pPr>
        <w:pStyle w:val="avsnitt-tittel"/>
      </w:pPr>
      <w:r w:rsidRPr="00E73D4B">
        <w:t xml:space="preserve">Innretting av styrking av </w:t>
      </w:r>
      <w:proofErr w:type="spellStart"/>
      <w:r w:rsidRPr="00E73D4B">
        <w:t>bustøtteordninga</w:t>
      </w:r>
      <w:proofErr w:type="spellEnd"/>
    </w:p>
    <w:p w14:paraId="4DA1B85E" w14:textId="77777777" w:rsidR="00972395" w:rsidRPr="00E73D4B" w:rsidRDefault="00F120C7" w:rsidP="00E73D4B">
      <w:pPr>
        <w:pStyle w:val="avsnitt-undertittel"/>
      </w:pPr>
      <w:r w:rsidRPr="00E73D4B">
        <w:t>Vedtak nr. 35 nr. 47, 2. desember 2021</w:t>
      </w:r>
    </w:p>
    <w:p w14:paraId="502ACAE9" w14:textId="77777777" w:rsidR="00972395" w:rsidRPr="00E73D4B" w:rsidRDefault="00F120C7" w:rsidP="00E73D4B">
      <w:pPr>
        <w:pStyle w:val="blokksit"/>
        <w:rPr>
          <w:rStyle w:val="kursiv"/>
        </w:rPr>
      </w:pPr>
      <w:r w:rsidRPr="00E73D4B">
        <w:rPr>
          <w:rStyle w:val="kursiv"/>
        </w:rPr>
        <w:t>«Stortinget ber regjeringen innrette endringen i bevilgning til bostøtte slik at flere med lave inntekter og høye boutgifter får bostøtte og slik at bostøtten dekker en større del av boutgiften.»</w:t>
      </w:r>
    </w:p>
    <w:p w14:paraId="14B7218B" w14:textId="77777777" w:rsidR="00972395" w:rsidRPr="00E73D4B" w:rsidRDefault="00F120C7" w:rsidP="00E73D4B">
      <w:r w:rsidRPr="00E73D4B">
        <w:t xml:space="preserve">Dokumenta som ligg til grunn for vedtaket, er Meld. St. 1 (2021–2022), </w:t>
      </w:r>
      <w:proofErr w:type="spellStart"/>
      <w:r w:rsidRPr="00E73D4B">
        <w:t>Prop</w:t>
      </w:r>
      <w:proofErr w:type="spellEnd"/>
      <w:r w:rsidRPr="00E73D4B">
        <w:t xml:space="preserve">. 1 S (2021–2022), </w:t>
      </w:r>
      <w:proofErr w:type="spellStart"/>
      <w:r w:rsidRPr="00E73D4B">
        <w:t>Prop</w:t>
      </w:r>
      <w:proofErr w:type="spellEnd"/>
      <w:r w:rsidRPr="00E73D4B">
        <w:t xml:space="preserve">. 1 S Tillegg (2021–2022) og </w:t>
      </w:r>
      <w:proofErr w:type="spellStart"/>
      <w:r w:rsidRPr="00E73D4B">
        <w:t>Innst</w:t>
      </w:r>
      <w:proofErr w:type="spellEnd"/>
      <w:r w:rsidRPr="00E73D4B">
        <w:t>. 2 S (2021–2022).</w:t>
      </w:r>
    </w:p>
    <w:p w14:paraId="508E7D41" w14:textId="77777777" w:rsidR="00972395" w:rsidRPr="00E73D4B" w:rsidRDefault="00F120C7" w:rsidP="00E73D4B">
      <w:r w:rsidRPr="00E73D4B">
        <w:t xml:space="preserve">Vedtaket viser til at Stortinget vedtok ei </w:t>
      </w:r>
      <w:proofErr w:type="spellStart"/>
      <w:r w:rsidRPr="00E73D4B">
        <w:t>auke</w:t>
      </w:r>
      <w:proofErr w:type="spellEnd"/>
      <w:r w:rsidRPr="00E73D4B">
        <w:t xml:space="preserve"> i løyvinga til bustøtte på 100 mill. kroner. På bakgrunn av </w:t>
      </w:r>
      <w:proofErr w:type="spellStart"/>
      <w:r w:rsidRPr="00E73D4B">
        <w:t>auka</w:t>
      </w:r>
      <w:proofErr w:type="spellEnd"/>
      <w:r w:rsidRPr="00E73D4B">
        <w:t xml:space="preserve"> blei alle </w:t>
      </w:r>
      <w:proofErr w:type="spellStart"/>
      <w:r w:rsidRPr="00E73D4B">
        <w:t>buutgiftstak</w:t>
      </w:r>
      <w:proofErr w:type="spellEnd"/>
      <w:r w:rsidRPr="00E73D4B">
        <w:t xml:space="preserve"> </w:t>
      </w:r>
      <w:proofErr w:type="spellStart"/>
      <w:r w:rsidRPr="00E73D4B">
        <w:t>auka</w:t>
      </w:r>
      <w:proofErr w:type="spellEnd"/>
      <w:r w:rsidRPr="00E73D4B">
        <w:t xml:space="preserve"> med 2 100 kroner </w:t>
      </w:r>
      <w:proofErr w:type="spellStart"/>
      <w:r w:rsidRPr="00E73D4B">
        <w:t>frå</w:t>
      </w:r>
      <w:proofErr w:type="spellEnd"/>
      <w:r w:rsidRPr="00E73D4B">
        <w:t xml:space="preserve"> 1. januar 2022, og progresjonssatsen i </w:t>
      </w:r>
      <w:proofErr w:type="spellStart"/>
      <w:r w:rsidRPr="00E73D4B">
        <w:t>eigendelen</w:t>
      </w:r>
      <w:proofErr w:type="spellEnd"/>
      <w:r w:rsidRPr="00E73D4B">
        <w:t xml:space="preserve"> blei samstundes sett varig ned </w:t>
      </w:r>
      <w:proofErr w:type="spellStart"/>
      <w:r w:rsidRPr="00E73D4B">
        <w:t>frå</w:t>
      </w:r>
      <w:proofErr w:type="spellEnd"/>
      <w:r w:rsidRPr="00E73D4B">
        <w:t xml:space="preserve"> 0,28 pst. til 0,27 pst. Dette var venta å føre til at om lag 1 700 nye </w:t>
      </w:r>
      <w:proofErr w:type="spellStart"/>
      <w:r w:rsidRPr="00E73D4B">
        <w:t>mottakarar</w:t>
      </w:r>
      <w:proofErr w:type="spellEnd"/>
      <w:r w:rsidRPr="00E73D4B">
        <w:t xml:space="preserve"> ville få 130 kroner per </w:t>
      </w:r>
      <w:proofErr w:type="spellStart"/>
      <w:r w:rsidRPr="00E73D4B">
        <w:t>månad</w:t>
      </w:r>
      <w:proofErr w:type="spellEnd"/>
      <w:r w:rsidRPr="00E73D4B">
        <w:t xml:space="preserve"> i snitt. </w:t>
      </w:r>
      <w:proofErr w:type="spellStart"/>
      <w:r w:rsidRPr="00E73D4B">
        <w:t>Eksisterande</w:t>
      </w:r>
      <w:proofErr w:type="spellEnd"/>
      <w:r w:rsidRPr="00E73D4B">
        <w:t xml:space="preserve"> </w:t>
      </w:r>
      <w:proofErr w:type="spellStart"/>
      <w:r w:rsidRPr="00E73D4B">
        <w:t>mottakarar</w:t>
      </w:r>
      <w:proofErr w:type="spellEnd"/>
      <w:r w:rsidRPr="00E73D4B">
        <w:t xml:space="preserve"> blei venta å få i snitt 90 kroner </w:t>
      </w:r>
      <w:proofErr w:type="spellStart"/>
      <w:r w:rsidRPr="00E73D4B">
        <w:t>meir</w:t>
      </w:r>
      <w:proofErr w:type="spellEnd"/>
      <w:r w:rsidRPr="00E73D4B">
        <w:t xml:space="preserve"> per </w:t>
      </w:r>
      <w:proofErr w:type="spellStart"/>
      <w:r w:rsidRPr="00E73D4B">
        <w:t>månad</w:t>
      </w:r>
      <w:proofErr w:type="spellEnd"/>
      <w:r w:rsidRPr="00E73D4B">
        <w:t xml:space="preserve">. Tiltaket var venta å koste 100 mill. kroner i 2022 og ha </w:t>
      </w:r>
      <w:proofErr w:type="spellStart"/>
      <w:r w:rsidRPr="00E73D4B">
        <w:t>ein</w:t>
      </w:r>
      <w:proofErr w:type="spellEnd"/>
      <w:r w:rsidRPr="00E73D4B">
        <w:t xml:space="preserve"> heilårs verknad på 109 mill. kroner i 2023.</w:t>
      </w:r>
    </w:p>
    <w:p w14:paraId="05680374"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02592EA5" w14:textId="77777777" w:rsidR="00972395" w:rsidRPr="00E73D4B" w:rsidRDefault="00F120C7" w:rsidP="00E73D4B">
      <w:pPr>
        <w:pStyle w:val="avsnitt-tittel"/>
      </w:pPr>
      <w:proofErr w:type="spellStart"/>
      <w:r w:rsidRPr="00E73D4B">
        <w:t>Bustader</w:t>
      </w:r>
      <w:proofErr w:type="spellEnd"/>
      <w:r w:rsidRPr="00E73D4B">
        <w:t xml:space="preserve"> for </w:t>
      </w:r>
      <w:proofErr w:type="spellStart"/>
      <w:r w:rsidRPr="00E73D4B">
        <w:t>studentar</w:t>
      </w:r>
      <w:proofErr w:type="spellEnd"/>
      <w:r w:rsidRPr="00E73D4B">
        <w:t xml:space="preserve"> i kommunale </w:t>
      </w:r>
      <w:proofErr w:type="spellStart"/>
      <w:r w:rsidRPr="00E73D4B">
        <w:t>arealplanar</w:t>
      </w:r>
      <w:proofErr w:type="spellEnd"/>
    </w:p>
    <w:p w14:paraId="325F1794" w14:textId="77777777" w:rsidR="00972395" w:rsidRPr="00E73D4B" w:rsidRDefault="00F120C7" w:rsidP="00E73D4B">
      <w:pPr>
        <w:pStyle w:val="avsnitt-undertittel"/>
      </w:pPr>
      <w:r w:rsidRPr="00E73D4B">
        <w:t>Vedtak nr. 35 nr. 54, 2. desember 2021</w:t>
      </w:r>
    </w:p>
    <w:p w14:paraId="051865FC" w14:textId="77777777" w:rsidR="00972395" w:rsidRPr="00E73D4B" w:rsidRDefault="00F120C7" w:rsidP="00E73D4B">
      <w:pPr>
        <w:pStyle w:val="blokksit"/>
        <w:rPr>
          <w:rStyle w:val="kursiv"/>
        </w:rPr>
      </w:pPr>
      <w:r w:rsidRPr="00E73D4B">
        <w:rPr>
          <w:rStyle w:val="kursiv"/>
        </w:rPr>
        <w:t>«Stortinget ber regjeringen vurdere forslag til endringer i plan- og bygningsloven om at studentboliger blir et eget formål i kommunale arealplaner, innen utgangen av 2022.»</w:t>
      </w:r>
    </w:p>
    <w:p w14:paraId="140D172B" w14:textId="77777777" w:rsidR="00972395" w:rsidRPr="00E73D4B" w:rsidRDefault="00F120C7" w:rsidP="00E73D4B">
      <w:r w:rsidRPr="00E73D4B">
        <w:t xml:space="preserve">Dokumenta som ligg til grunn for vedtaket, er Meld. St. 1 (2021–2022) </w:t>
      </w:r>
      <w:r w:rsidRPr="00E73D4B">
        <w:rPr>
          <w:rStyle w:val="kursiv"/>
        </w:rPr>
        <w:t>Nasjonalbudsjettet 2022</w:t>
      </w:r>
      <w:r w:rsidRPr="00E73D4B">
        <w:t xml:space="preserve"> og </w:t>
      </w:r>
      <w:proofErr w:type="spellStart"/>
      <w:r w:rsidRPr="00E73D4B">
        <w:t>Innst</w:t>
      </w:r>
      <w:proofErr w:type="spellEnd"/>
      <w:r w:rsidRPr="00E73D4B">
        <w:t>. 2 S (2021–2022).</w:t>
      </w:r>
    </w:p>
    <w:p w14:paraId="553E7CF3"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har gitt Oslo </w:t>
      </w:r>
      <w:proofErr w:type="spellStart"/>
      <w:r w:rsidRPr="00E73D4B">
        <w:t>Economics</w:t>
      </w:r>
      <w:proofErr w:type="spellEnd"/>
      <w:r w:rsidRPr="00E73D4B">
        <w:t xml:space="preserve"> i oppdrag å vurdere behovet til </w:t>
      </w:r>
      <w:proofErr w:type="spellStart"/>
      <w:r w:rsidRPr="00E73D4B">
        <w:t>kommunane</w:t>
      </w:r>
      <w:proofErr w:type="spellEnd"/>
      <w:r w:rsidRPr="00E73D4B">
        <w:t xml:space="preserve"> for å </w:t>
      </w:r>
      <w:proofErr w:type="spellStart"/>
      <w:r w:rsidRPr="00E73D4B">
        <w:t>gjere</w:t>
      </w:r>
      <w:proofErr w:type="spellEnd"/>
      <w:r w:rsidRPr="00E73D4B">
        <w:t xml:space="preserve"> </w:t>
      </w:r>
      <w:proofErr w:type="spellStart"/>
      <w:r w:rsidRPr="00E73D4B">
        <w:t>bustader</w:t>
      </w:r>
      <w:proofErr w:type="spellEnd"/>
      <w:r w:rsidRPr="00E73D4B">
        <w:t xml:space="preserve"> for </w:t>
      </w:r>
      <w:proofErr w:type="spellStart"/>
      <w:r w:rsidRPr="00E73D4B">
        <w:t>studentar</w:t>
      </w:r>
      <w:proofErr w:type="spellEnd"/>
      <w:r w:rsidRPr="00E73D4B">
        <w:t xml:space="preserve"> til </w:t>
      </w:r>
      <w:proofErr w:type="spellStart"/>
      <w:r w:rsidRPr="00E73D4B">
        <w:t>eit</w:t>
      </w:r>
      <w:proofErr w:type="spellEnd"/>
      <w:r w:rsidRPr="00E73D4B">
        <w:t xml:space="preserve"> eige </w:t>
      </w:r>
      <w:proofErr w:type="spellStart"/>
      <w:r w:rsidRPr="00E73D4B">
        <w:t>arealføremål</w:t>
      </w:r>
      <w:proofErr w:type="spellEnd"/>
      <w:r w:rsidRPr="00E73D4B">
        <w:t xml:space="preserve">, relevansen av </w:t>
      </w:r>
      <w:proofErr w:type="spellStart"/>
      <w:r w:rsidRPr="00E73D4B">
        <w:t>eit</w:t>
      </w:r>
      <w:proofErr w:type="spellEnd"/>
      <w:r w:rsidRPr="00E73D4B">
        <w:t xml:space="preserve"> lovforslag, og prinsipielle og juridiske </w:t>
      </w:r>
      <w:proofErr w:type="spellStart"/>
      <w:r w:rsidRPr="00E73D4B">
        <w:t>problemstillingar</w:t>
      </w:r>
      <w:proofErr w:type="spellEnd"/>
      <w:r w:rsidRPr="00E73D4B">
        <w:t xml:space="preserve"> knytt til dette. Oslo </w:t>
      </w:r>
      <w:proofErr w:type="spellStart"/>
      <w:r w:rsidRPr="00E73D4B">
        <w:t>Economics</w:t>
      </w:r>
      <w:proofErr w:type="spellEnd"/>
      <w:r w:rsidRPr="00E73D4B">
        <w:t xml:space="preserve"> leverte </w:t>
      </w:r>
      <w:proofErr w:type="spellStart"/>
      <w:r w:rsidRPr="00E73D4B">
        <w:t>vurderingane</w:t>
      </w:r>
      <w:proofErr w:type="spellEnd"/>
      <w:r w:rsidRPr="00E73D4B">
        <w:t xml:space="preserve"> sine til departementet den 6. juli 2022. På grunn av </w:t>
      </w:r>
      <w:proofErr w:type="spellStart"/>
      <w:r w:rsidRPr="00E73D4B">
        <w:t>dei</w:t>
      </w:r>
      <w:proofErr w:type="spellEnd"/>
      <w:r w:rsidRPr="00E73D4B">
        <w:t xml:space="preserve"> økonomiske rammene er notatet </w:t>
      </w:r>
      <w:proofErr w:type="spellStart"/>
      <w:r w:rsidRPr="00E73D4B">
        <w:t>ikkje</w:t>
      </w:r>
      <w:proofErr w:type="spellEnd"/>
      <w:r w:rsidRPr="00E73D4B">
        <w:t xml:space="preserve"> ei fullstendig utgreiing. Mellom anna er </w:t>
      </w:r>
      <w:proofErr w:type="spellStart"/>
      <w:r w:rsidRPr="00E73D4B">
        <w:t>ikkje</w:t>
      </w:r>
      <w:proofErr w:type="spellEnd"/>
      <w:r w:rsidRPr="00E73D4B">
        <w:t xml:space="preserve"> </w:t>
      </w:r>
      <w:proofErr w:type="spellStart"/>
      <w:r w:rsidRPr="00E73D4B">
        <w:t>dei</w:t>
      </w:r>
      <w:proofErr w:type="spellEnd"/>
      <w:r w:rsidRPr="00E73D4B">
        <w:t xml:space="preserve"> samfunnsøkonomiske verknadene av ei lovendring vurdert, heller </w:t>
      </w:r>
      <w:proofErr w:type="spellStart"/>
      <w:r w:rsidRPr="00E73D4B">
        <w:t>ikkje</w:t>
      </w:r>
      <w:proofErr w:type="spellEnd"/>
      <w:r w:rsidRPr="00E73D4B">
        <w:t xml:space="preserve"> </w:t>
      </w:r>
      <w:proofErr w:type="spellStart"/>
      <w:r w:rsidRPr="00E73D4B">
        <w:t>moglege</w:t>
      </w:r>
      <w:proofErr w:type="spellEnd"/>
      <w:r w:rsidRPr="00E73D4B">
        <w:t xml:space="preserve"> verknader for sentrale </w:t>
      </w:r>
      <w:proofErr w:type="spellStart"/>
      <w:r w:rsidRPr="00E73D4B">
        <w:t>aktørar</w:t>
      </w:r>
      <w:proofErr w:type="spellEnd"/>
      <w:r w:rsidRPr="00E73D4B">
        <w:t xml:space="preserve"> som til dømes </w:t>
      </w:r>
      <w:proofErr w:type="spellStart"/>
      <w:r w:rsidRPr="00E73D4B">
        <w:t>studentane</w:t>
      </w:r>
      <w:proofErr w:type="spellEnd"/>
      <w:r w:rsidRPr="00E73D4B">
        <w:t xml:space="preserve"> sjølve, studentsamskipnadene og </w:t>
      </w:r>
      <w:proofErr w:type="spellStart"/>
      <w:r w:rsidRPr="00E73D4B">
        <w:t>byggjeselskap</w:t>
      </w:r>
      <w:proofErr w:type="spellEnd"/>
      <w:r w:rsidRPr="00E73D4B">
        <w:t>.</w:t>
      </w:r>
    </w:p>
    <w:p w14:paraId="594C562F"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meiner det er nødvendig å </w:t>
      </w:r>
      <w:proofErr w:type="spellStart"/>
      <w:r w:rsidRPr="00E73D4B">
        <w:t>kartleggje</w:t>
      </w:r>
      <w:proofErr w:type="spellEnd"/>
      <w:r w:rsidRPr="00E73D4B">
        <w:t xml:space="preserve"> verknadene av </w:t>
      </w:r>
      <w:proofErr w:type="spellStart"/>
      <w:r w:rsidRPr="00E73D4B">
        <w:t>eit</w:t>
      </w:r>
      <w:proofErr w:type="spellEnd"/>
      <w:r w:rsidRPr="00E73D4B">
        <w:t xml:space="preserve"> lovforslag </w:t>
      </w:r>
      <w:proofErr w:type="spellStart"/>
      <w:r w:rsidRPr="00E73D4B">
        <w:t>meir</w:t>
      </w:r>
      <w:proofErr w:type="spellEnd"/>
      <w:r w:rsidRPr="00E73D4B">
        <w:t xml:space="preserve"> for å kunne konkludere om departementet skal sende </w:t>
      </w:r>
      <w:proofErr w:type="spellStart"/>
      <w:r w:rsidRPr="00E73D4B">
        <w:t>eit</w:t>
      </w:r>
      <w:proofErr w:type="spellEnd"/>
      <w:r w:rsidRPr="00E73D4B">
        <w:t xml:space="preserve"> lovforslag på </w:t>
      </w:r>
      <w:proofErr w:type="spellStart"/>
      <w:r w:rsidRPr="00E73D4B">
        <w:t>høyring</w:t>
      </w:r>
      <w:proofErr w:type="spellEnd"/>
      <w:r w:rsidRPr="00E73D4B">
        <w:t xml:space="preserve">. Departementet vil </w:t>
      </w:r>
      <w:proofErr w:type="spellStart"/>
      <w:r w:rsidRPr="00E73D4B">
        <w:t>hausten</w:t>
      </w:r>
      <w:proofErr w:type="spellEnd"/>
      <w:r w:rsidRPr="00E73D4B">
        <w:t xml:space="preserve"> 2022 </w:t>
      </w:r>
      <w:proofErr w:type="spellStart"/>
      <w:r w:rsidRPr="00E73D4B">
        <w:t>følgje</w:t>
      </w:r>
      <w:proofErr w:type="spellEnd"/>
      <w:r w:rsidRPr="00E73D4B">
        <w:t xml:space="preserve"> opp </w:t>
      </w:r>
      <w:proofErr w:type="spellStart"/>
      <w:r w:rsidRPr="00E73D4B">
        <w:t>vurderingane</w:t>
      </w:r>
      <w:proofErr w:type="spellEnd"/>
      <w:r w:rsidRPr="00E73D4B">
        <w:t xml:space="preserve"> </w:t>
      </w:r>
      <w:proofErr w:type="spellStart"/>
      <w:r w:rsidRPr="00E73D4B">
        <w:t>frå</w:t>
      </w:r>
      <w:proofErr w:type="spellEnd"/>
      <w:r w:rsidRPr="00E73D4B">
        <w:t xml:space="preserve"> Oslo </w:t>
      </w:r>
      <w:proofErr w:type="spellStart"/>
      <w:r w:rsidRPr="00E73D4B">
        <w:t>Economics</w:t>
      </w:r>
      <w:proofErr w:type="spellEnd"/>
      <w:r w:rsidRPr="00E73D4B">
        <w:t xml:space="preserve"> og involvere Kunnskapsdepartementet og andre sentrale </w:t>
      </w:r>
      <w:proofErr w:type="spellStart"/>
      <w:r w:rsidRPr="00E73D4B">
        <w:t>aktørar</w:t>
      </w:r>
      <w:proofErr w:type="spellEnd"/>
      <w:r w:rsidRPr="00E73D4B">
        <w:t xml:space="preserve">. Departementet vil deretter </w:t>
      </w:r>
      <w:proofErr w:type="spellStart"/>
      <w:r w:rsidRPr="00E73D4B">
        <w:t>kome</w:t>
      </w:r>
      <w:proofErr w:type="spellEnd"/>
      <w:r w:rsidRPr="00E73D4B">
        <w:t xml:space="preserve"> tilbake til saka.</w:t>
      </w:r>
    </w:p>
    <w:p w14:paraId="60933618" w14:textId="77777777" w:rsidR="00972395" w:rsidRPr="00E73D4B" w:rsidRDefault="00F120C7" w:rsidP="00E73D4B">
      <w:pPr>
        <w:pStyle w:val="avsnitt-tittel"/>
      </w:pPr>
      <w:r w:rsidRPr="00E73D4B">
        <w:t xml:space="preserve">Arbeidsgruppa som kartlegg kommunesektorens </w:t>
      </w:r>
      <w:proofErr w:type="spellStart"/>
      <w:r w:rsidRPr="00E73D4B">
        <w:t>meirutgifter</w:t>
      </w:r>
      <w:proofErr w:type="spellEnd"/>
      <w:r w:rsidRPr="00E73D4B">
        <w:t xml:space="preserve"> og inntektsbortfall som </w:t>
      </w:r>
      <w:proofErr w:type="spellStart"/>
      <w:r w:rsidRPr="00E73D4B">
        <w:t>følgje</w:t>
      </w:r>
      <w:proofErr w:type="spellEnd"/>
      <w:r w:rsidRPr="00E73D4B">
        <w:t xml:space="preserve"> av koronapandemien</w:t>
      </w:r>
    </w:p>
    <w:p w14:paraId="0A8F1B93" w14:textId="77777777" w:rsidR="00972395" w:rsidRPr="00E73D4B" w:rsidRDefault="00F120C7" w:rsidP="00E73D4B">
      <w:pPr>
        <w:pStyle w:val="avsnitt-undertittel"/>
      </w:pPr>
      <w:r w:rsidRPr="00E73D4B">
        <w:t>Vedtak nr. 167, 16. desember 2021</w:t>
      </w:r>
    </w:p>
    <w:p w14:paraId="2F219C9D" w14:textId="77777777" w:rsidR="00972395" w:rsidRPr="00E73D4B" w:rsidRDefault="00F120C7" w:rsidP="00E73D4B">
      <w:pPr>
        <w:pStyle w:val="blokksit"/>
        <w:rPr>
          <w:rStyle w:val="kursiv"/>
        </w:rPr>
      </w:pPr>
      <w:r w:rsidRPr="00E73D4B">
        <w:rPr>
          <w:rStyle w:val="kursiv"/>
        </w:rPr>
        <w:t>«Stortinget ber regjeringen vurdere å forlenge mandatet til arbeidsgruppen som kartlegger kommunesektorens merutgifter og inntektsbortfall som følge av koronapandemien til hele 2022.»</w:t>
      </w:r>
    </w:p>
    <w:p w14:paraId="3781EE14"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 S Tillegg 1 (2021–2022) og </w:t>
      </w:r>
      <w:proofErr w:type="spellStart"/>
      <w:r w:rsidRPr="00E73D4B">
        <w:t>Innst</w:t>
      </w:r>
      <w:proofErr w:type="spellEnd"/>
      <w:r w:rsidRPr="00E73D4B">
        <w:t>. 16 S (2021–2022).</w:t>
      </w:r>
    </w:p>
    <w:p w14:paraId="0E975434" w14:textId="77777777" w:rsidR="00972395" w:rsidRPr="00E73D4B" w:rsidRDefault="00F120C7" w:rsidP="00E73D4B">
      <w:r w:rsidRPr="00E73D4B">
        <w:t xml:space="preserve">Spørsmålet om å forlenge mandatet til arbeidsgruppa blei vurdert i </w:t>
      </w:r>
      <w:proofErr w:type="spellStart"/>
      <w:r w:rsidRPr="00E73D4B">
        <w:t>Prop</w:t>
      </w:r>
      <w:proofErr w:type="spellEnd"/>
      <w:r w:rsidRPr="00E73D4B">
        <w:t xml:space="preserve">. 110 S (2021–2022) </w:t>
      </w:r>
      <w:r w:rsidRPr="00E73D4B">
        <w:rPr>
          <w:rStyle w:val="kursiv"/>
        </w:rPr>
        <w:t>Kommuneproposisjonen 2023</w:t>
      </w:r>
      <w:r w:rsidRPr="00E73D4B">
        <w:t xml:space="preserve">. På bakgrunn av at samfunnet i løpet av våren 2022 var på veg tilbake til </w:t>
      </w:r>
      <w:proofErr w:type="spellStart"/>
      <w:r w:rsidRPr="00E73D4B">
        <w:t>ein</w:t>
      </w:r>
      <w:proofErr w:type="spellEnd"/>
      <w:r w:rsidRPr="00E73D4B">
        <w:t xml:space="preserve"> tilnærma normalsituasjon, var vurderinga til regjeringa at det </w:t>
      </w:r>
      <w:proofErr w:type="spellStart"/>
      <w:r w:rsidRPr="00E73D4B">
        <w:t>ikkje</w:t>
      </w:r>
      <w:proofErr w:type="spellEnd"/>
      <w:r w:rsidRPr="00E73D4B">
        <w:t xml:space="preserve"> var behov for å forlenge mandatet til arbeidsgruppa. Det var </w:t>
      </w:r>
      <w:proofErr w:type="spellStart"/>
      <w:r w:rsidRPr="00E73D4B">
        <w:t>ikkje</w:t>
      </w:r>
      <w:proofErr w:type="spellEnd"/>
      <w:r w:rsidRPr="00E73D4B">
        <w:t xml:space="preserve"> merknader til dette i innstillinga </w:t>
      </w:r>
      <w:proofErr w:type="spellStart"/>
      <w:r w:rsidRPr="00E73D4B">
        <w:t>frå</w:t>
      </w:r>
      <w:proofErr w:type="spellEnd"/>
      <w:r w:rsidRPr="00E73D4B">
        <w:t xml:space="preserve"> kommunal- og forvaltningskomiteen (</w:t>
      </w:r>
      <w:proofErr w:type="spellStart"/>
      <w:r w:rsidRPr="00E73D4B">
        <w:t>Innst</w:t>
      </w:r>
      <w:proofErr w:type="spellEnd"/>
      <w:r w:rsidRPr="00E73D4B">
        <w:t>. 460 S (2021–2022)).</w:t>
      </w:r>
    </w:p>
    <w:p w14:paraId="5E8607AF"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56E1B8A3" w14:textId="77777777" w:rsidR="00972395" w:rsidRPr="00E73D4B" w:rsidRDefault="00F120C7" w:rsidP="00E73D4B">
      <w:pPr>
        <w:pStyle w:val="avsnitt-tittel"/>
      </w:pPr>
      <w:r w:rsidRPr="00E73D4B">
        <w:t xml:space="preserve">Kompensere </w:t>
      </w:r>
      <w:proofErr w:type="spellStart"/>
      <w:r w:rsidRPr="00E73D4B">
        <w:t>kommunane</w:t>
      </w:r>
      <w:proofErr w:type="spellEnd"/>
      <w:r w:rsidRPr="00E73D4B">
        <w:t xml:space="preserve"> og </w:t>
      </w:r>
      <w:proofErr w:type="spellStart"/>
      <w:r w:rsidRPr="00E73D4B">
        <w:t>fylkeskommunane</w:t>
      </w:r>
      <w:proofErr w:type="spellEnd"/>
      <w:r w:rsidRPr="00E73D4B">
        <w:t xml:space="preserve"> som </w:t>
      </w:r>
      <w:proofErr w:type="spellStart"/>
      <w:r w:rsidRPr="00E73D4B">
        <w:t>følgje</w:t>
      </w:r>
      <w:proofErr w:type="spellEnd"/>
      <w:r w:rsidRPr="00E73D4B">
        <w:t xml:space="preserve"> av smitteverntiltak</w:t>
      </w:r>
    </w:p>
    <w:p w14:paraId="2C752CEB" w14:textId="77777777" w:rsidR="00972395" w:rsidRPr="00E73D4B" w:rsidRDefault="00F120C7" w:rsidP="00E73D4B">
      <w:pPr>
        <w:pStyle w:val="avsnitt-undertittel"/>
      </w:pPr>
      <w:r w:rsidRPr="00E73D4B">
        <w:t>Vedtak nr. 363, 24. januar 2022</w:t>
      </w:r>
    </w:p>
    <w:p w14:paraId="2648F5D6" w14:textId="77777777" w:rsidR="00972395" w:rsidRPr="00E73D4B" w:rsidRDefault="00F120C7" w:rsidP="00E73D4B">
      <w:pPr>
        <w:pStyle w:val="blokksit"/>
        <w:rPr>
          <w:rStyle w:val="kursiv"/>
        </w:rPr>
      </w:pPr>
      <w:r w:rsidRPr="00E73D4B">
        <w:rPr>
          <w:rStyle w:val="kursiv"/>
        </w:rPr>
        <w:t>«Stortinget ber regjeringen kompensere kommunene og fylkeskommunene for merutgifter og mindreinntekter som følge av nasjonale, regionale og lokale smitteverntiltak.»</w:t>
      </w:r>
    </w:p>
    <w:p w14:paraId="580BCAA3"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51 S (2021–2022) </w:t>
      </w:r>
      <w:r w:rsidRPr="00E73D4B">
        <w:rPr>
          <w:rStyle w:val="kursiv"/>
        </w:rPr>
        <w:t>Endringer i statsbudsjettet 2022 (økonomiske tiltak i møte med pandemien og ekstraordinære strømutgifter)</w:t>
      </w:r>
      <w:r w:rsidRPr="00E73D4B">
        <w:t xml:space="preserve"> og </w:t>
      </w:r>
      <w:proofErr w:type="spellStart"/>
      <w:r w:rsidRPr="00E73D4B">
        <w:t>Innst</w:t>
      </w:r>
      <w:proofErr w:type="spellEnd"/>
      <w:r w:rsidRPr="00E73D4B">
        <w:t>. 119 S (2021–2022).</w:t>
      </w:r>
    </w:p>
    <w:p w14:paraId="5769BC62" w14:textId="77777777" w:rsidR="00972395" w:rsidRPr="00E73D4B" w:rsidRDefault="00F120C7" w:rsidP="00E73D4B">
      <w:r w:rsidRPr="00E73D4B">
        <w:t xml:space="preserve">Arbeidsgruppa som kartlegg kommunesektorens </w:t>
      </w:r>
      <w:proofErr w:type="spellStart"/>
      <w:r w:rsidRPr="00E73D4B">
        <w:t>meirutgifter</w:t>
      </w:r>
      <w:proofErr w:type="spellEnd"/>
      <w:r w:rsidRPr="00E73D4B">
        <w:t xml:space="preserve"> og inntektsbortfall som </w:t>
      </w:r>
      <w:proofErr w:type="spellStart"/>
      <w:r w:rsidRPr="00E73D4B">
        <w:t>følgje</w:t>
      </w:r>
      <w:proofErr w:type="spellEnd"/>
      <w:r w:rsidRPr="00E73D4B">
        <w:t xml:space="preserve"> av koronapandemien, har lagt fram rapport om </w:t>
      </w:r>
      <w:proofErr w:type="spellStart"/>
      <w:r w:rsidRPr="00E73D4B">
        <w:t>dei</w:t>
      </w:r>
      <w:proofErr w:type="spellEnd"/>
      <w:r w:rsidRPr="00E73D4B">
        <w:t xml:space="preserve"> økonomiske </w:t>
      </w:r>
      <w:proofErr w:type="spellStart"/>
      <w:r w:rsidRPr="00E73D4B">
        <w:t>konsekvensane</w:t>
      </w:r>
      <w:proofErr w:type="spellEnd"/>
      <w:r w:rsidRPr="00E73D4B">
        <w:t xml:space="preserve"> av pandemien i 1. halvår 2022. Regjeringa vil i nysalderinga av statsbudsjettet for 2022 komme tilbake til saka.</w:t>
      </w:r>
    </w:p>
    <w:p w14:paraId="0E6CEE65" w14:textId="77777777" w:rsidR="00972395" w:rsidRPr="00E73D4B" w:rsidRDefault="00F120C7" w:rsidP="00E73D4B">
      <w:pPr>
        <w:pStyle w:val="avsnitt-tittel"/>
      </w:pPr>
      <w:proofErr w:type="spellStart"/>
      <w:r w:rsidRPr="00E73D4B">
        <w:t>Leiarløningar</w:t>
      </w:r>
      <w:proofErr w:type="spellEnd"/>
      <w:r w:rsidRPr="00E73D4B">
        <w:t xml:space="preserve"> i staten</w:t>
      </w:r>
    </w:p>
    <w:p w14:paraId="040256A9" w14:textId="77777777" w:rsidR="00972395" w:rsidRPr="00E73D4B" w:rsidRDefault="00F120C7" w:rsidP="00E73D4B">
      <w:pPr>
        <w:pStyle w:val="avsnitt-undertittel"/>
      </w:pPr>
      <w:r w:rsidRPr="00E73D4B">
        <w:t>Vedtak nr. 413, 3. mars 2022</w:t>
      </w:r>
    </w:p>
    <w:p w14:paraId="68C34D2F" w14:textId="77777777" w:rsidR="00972395" w:rsidRPr="00E73D4B" w:rsidRDefault="00F120C7" w:rsidP="00E73D4B">
      <w:pPr>
        <w:pStyle w:val="blokksit"/>
        <w:rPr>
          <w:rStyle w:val="kursiv"/>
        </w:rPr>
      </w:pPr>
      <w:r w:rsidRPr="00E73D4B">
        <w:rPr>
          <w:rStyle w:val="kursiv"/>
        </w:rPr>
        <w:t>«Stortinget ber regjeringen komme tilbake til Stortinget på egnet måte når utvalget som skal gjennomgå lederlønnssystemet i staten, har lagt frem sin rapport.»</w:t>
      </w:r>
    </w:p>
    <w:p w14:paraId="27750255"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Kirsti </w:t>
      </w:r>
      <w:proofErr w:type="spellStart"/>
      <w:r w:rsidRPr="00E73D4B">
        <w:t>Bergstø</w:t>
      </w:r>
      <w:proofErr w:type="spellEnd"/>
      <w:r w:rsidRPr="00E73D4B">
        <w:t xml:space="preserve">, Audun Lysbakken, Grete Wold og Freddy André </w:t>
      </w:r>
      <w:proofErr w:type="spellStart"/>
      <w:r w:rsidRPr="00E73D4B">
        <w:t>Øvstegård</w:t>
      </w:r>
      <w:proofErr w:type="spellEnd"/>
      <w:r w:rsidRPr="00E73D4B">
        <w:t xml:space="preserve"> om </w:t>
      </w:r>
      <w:proofErr w:type="spellStart"/>
      <w:r w:rsidRPr="00E73D4B">
        <w:t>lønsmoderasjon</w:t>
      </w:r>
      <w:proofErr w:type="spellEnd"/>
      <w:r w:rsidRPr="00E73D4B">
        <w:t xml:space="preserve"> for høgtlønte i staten, jf. Dokument 8:22 S (2021–2022) og </w:t>
      </w:r>
      <w:proofErr w:type="spellStart"/>
      <w:r w:rsidRPr="00E73D4B">
        <w:t>Innst</w:t>
      </w:r>
      <w:proofErr w:type="spellEnd"/>
      <w:r w:rsidRPr="00E73D4B">
        <w:t>. 156 S (2021–2022).</w:t>
      </w:r>
    </w:p>
    <w:p w14:paraId="4EE72CD4" w14:textId="77777777" w:rsidR="00972395" w:rsidRPr="00E73D4B" w:rsidRDefault="00F120C7" w:rsidP="00E73D4B">
      <w:proofErr w:type="spellStart"/>
      <w:r w:rsidRPr="00E73D4B">
        <w:t>Leiarlønsutvalet</w:t>
      </w:r>
      <w:proofErr w:type="spellEnd"/>
      <w:r w:rsidRPr="00E73D4B">
        <w:t xml:space="preserve"> </w:t>
      </w:r>
      <w:proofErr w:type="spellStart"/>
      <w:r w:rsidRPr="00E73D4B">
        <w:t>overlevera</w:t>
      </w:r>
      <w:proofErr w:type="spellEnd"/>
      <w:r w:rsidRPr="00E73D4B">
        <w:t xml:space="preserve"> </w:t>
      </w:r>
      <w:proofErr w:type="spellStart"/>
      <w:r w:rsidRPr="00E73D4B">
        <w:t>si</w:t>
      </w:r>
      <w:proofErr w:type="spellEnd"/>
      <w:r w:rsidRPr="00E73D4B">
        <w:t xml:space="preserve"> rapport til kommunal- og </w:t>
      </w:r>
      <w:proofErr w:type="spellStart"/>
      <w:r w:rsidRPr="00E73D4B">
        <w:t>distriktsministeren</w:t>
      </w:r>
      <w:proofErr w:type="spellEnd"/>
      <w:r w:rsidRPr="00E73D4B">
        <w:t xml:space="preserve"> 15. juni 2022. Regjeringa er </w:t>
      </w:r>
      <w:proofErr w:type="spellStart"/>
      <w:r w:rsidRPr="00E73D4B">
        <w:t>oppteken</w:t>
      </w:r>
      <w:proofErr w:type="spellEnd"/>
      <w:r w:rsidRPr="00E73D4B">
        <w:t xml:space="preserve"> av å bidra til å </w:t>
      </w:r>
      <w:proofErr w:type="spellStart"/>
      <w:r w:rsidRPr="00E73D4B">
        <w:t>rekruttera</w:t>
      </w:r>
      <w:proofErr w:type="spellEnd"/>
      <w:r w:rsidRPr="00E73D4B">
        <w:t xml:space="preserve"> og </w:t>
      </w:r>
      <w:proofErr w:type="spellStart"/>
      <w:r w:rsidRPr="00E73D4B">
        <w:t>behalda</w:t>
      </w:r>
      <w:proofErr w:type="spellEnd"/>
      <w:r w:rsidRPr="00E73D4B">
        <w:t xml:space="preserve"> dyktige </w:t>
      </w:r>
      <w:proofErr w:type="spellStart"/>
      <w:r w:rsidRPr="00E73D4B">
        <w:t>leiarar</w:t>
      </w:r>
      <w:proofErr w:type="spellEnd"/>
      <w:r w:rsidRPr="00E73D4B">
        <w:t xml:space="preserve"> i staten, samstundes som det </w:t>
      </w:r>
      <w:proofErr w:type="spellStart"/>
      <w:r w:rsidRPr="00E73D4B">
        <w:t>sikrast</w:t>
      </w:r>
      <w:proofErr w:type="spellEnd"/>
      <w:r w:rsidRPr="00E73D4B">
        <w:t xml:space="preserve"> at </w:t>
      </w:r>
      <w:proofErr w:type="spellStart"/>
      <w:r w:rsidRPr="00E73D4B">
        <w:t>leiarlønsutviklinga</w:t>
      </w:r>
      <w:proofErr w:type="spellEnd"/>
      <w:r w:rsidRPr="00E73D4B">
        <w:t xml:space="preserve"> </w:t>
      </w:r>
      <w:proofErr w:type="spellStart"/>
      <w:r w:rsidRPr="00E73D4B">
        <w:t>ikkje</w:t>
      </w:r>
      <w:proofErr w:type="spellEnd"/>
      <w:r w:rsidRPr="00E73D4B">
        <w:t xml:space="preserve"> overskrid det som er </w:t>
      </w:r>
      <w:proofErr w:type="spellStart"/>
      <w:r w:rsidRPr="00E73D4B">
        <w:t>gjennomsnittleg</w:t>
      </w:r>
      <w:proofErr w:type="spellEnd"/>
      <w:r w:rsidRPr="00E73D4B">
        <w:t xml:space="preserve"> </w:t>
      </w:r>
      <w:proofErr w:type="spellStart"/>
      <w:r w:rsidRPr="00E73D4B">
        <w:t>lønsutvikling</w:t>
      </w:r>
      <w:proofErr w:type="spellEnd"/>
      <w:r w:rsidRPr="00E73D4B">
        <w:t xml:space="preserve"> i samfunnet. I Hurdalsplattforma går det fram at regjeringa vil lage nye retningslinjer for </w:t>
      </w:r>
      <w:proofErr w:type="spellStart"/>
      <w:r w:rsidRPr="00E73D4B">
        <w:t>leiarløningar</w:t>
      </w:r>
      <w:proofErr w:type="spellEnd"/>
      <w:r w:rsidRPr="00E73D4B">
        <w:t xml:space="preserve"> og andre type </w:t>
      </w:r>
      <w:proofErr w:type="spellStart"/>
      <w:r w:rsidRPr="00E73D4B">
        <w:t>godtgjersler</w:t>
      </w:r>
      <w:proofErr w:type="spellEnd"/>
      <w:r w:rsidRPr="00E73D4B">
        <w:t xml:space="preserve"> for </w:t>
      </w:r>
      <w:proofErr w:type="spellStart"/>
      <w:r w:rsidRPr="00E73D4B">
        <w:t>leiarar</w:t>
      </w:r>
      <w:proofErr w:type="spellEnd"/>
      <w:r w:rsidRPr="00E73D4B">
        <w:t xml:space="preserve"> i staten, som bidrar til reduserte </w:t>
      </w:r>
      <w:proofErr w:type="spellStart"/>
      <w:r w:rsidRPr="00E73D4B">
        <w:t>lønsforskjellar</w:t>
      </w:r>
      <w:proofErr w:type="spellEnd"/>
      <w:r w:rsidRPr="00E73D4B">
        <w:t xml:space="preserve">. </w:t>
      </w:r>
      <w:proofErr w:type="spellStart"/>
      <w:r w:rsidRPr="00E73D4B">
        <w:t>Utvalets</w:t>
      </w:r>
      <w:proofErr w:type="spellEnd"/>
      <w:r w:rsidRPr="00E73D4B">
        <w:t xml:space="preserve"> rapport vil være </w:t>
      </w:r>
      <w:proofErr w:type="spellStart"/>
      <w:r w:rsidRPr="00E73D4B">
        <w:t>eit</w:t>
      </w:r>
      <w:proofErr w:type="spellEnd"/>
      <w:r w:rsidRPr="00E73D4B">
        <w:t xml:space="preserve"> viktig bidrag i dette arbeidet.</w:t>
      </w:r>
    </w:p>
    <w:p w14:paraId="15AF9277" w14:textId="77777777" w:rsidR="00972395" w:rsidRPr="00E73D4B" w:rsidRDefault="00F120C7" w:rsidP="00E73D4B">
      <w:r w:rsidRPr="00E73D4B">
        <w:t xml:space="preserve">Regjeringa må </w:t>
      </w:r>
      <w:proofErr w:type="spellStart"/>
      <w:r w:rsidRPr="00E73D4B">
        <w:t>halda</w:t>
      </w:r>
      <w:proofErr w:type="spellEnd"/>
      <w:r w:rsidRPr="00E73D4B">
        <w:t xml:space="preserve"> seg til inngåtte </w:t>
      </w:r>
      <w:proofErr w:type="spellStart"/>
      <w:r w:rsidRPr="00E73D4B">
        <w:t>tariffavtalar</w:t>
      </w:r>
      <w:proofErr w:type="spellEnd"/>
      <w:r w:rsidRPr="00E73D4B">
        <w:t xml:space="preserve"> med </w:t>
      </w:r>
      <w:proofErr w:type="spellStart"/>
      <w:r w:rsidRPr="00E73D4B">
        <w:t>hovudsamanslutningane</w:t>
      </w:r>
      <w:proofErr w:type="spellEnd"/>
      <w:r w:rsidRPr="00E73D4B">
        <w:t xml:space="preserve">, og kan </w:t>
      </w:r>
      <w:proofErr w:type="spellStart"/>
      <w:r w:rsidRPr="00E73D4B">
        <w:t>ikkje</w:t>
      </w:r>
      <w:proofErr w:type="spellEnd"/>
      <w:r w:rsidRPr="00E73D4B">
        <w:t xml:space="preserve"> </w:t>
      </w:r>
      <w:proofErr w:type="spellStart"/>
      <w:r w:rsidRPr="00E73D4B">
        <w:t>einsidig</w:t>
      </w:r>
      <w:proofErr w:type="spellEnd"/>
      <w:r w:rsidRPr="00E73D4B">
        <w:t xml:space="preserve"> endre systema for korleis </w:t>
      </w:r>
      <w:proofErr w:type="spellStart"/>
      <w:r w:rsidRPr="00E73D4B">
        <w:t>ein</w:t>
      </w:r>
      <w:proofErr w:type="spellEnd"/>
      <w:r w:rsidRPr="00E73D4B">
        <w:t xml:space="preserve"> </w:t>
      </w:r>
      <w:proofErr w:type="spellStart"/>
      <w:r w:rsidRPr="00E73D4B">
        <w:t>lønar</w:t>
      </w:r>
      <w:proofErr w:type="spellEnd"/>
      <w:r w:rsidRPr="00E73D4B">
        <w:t xml:space="preserve"> </w:t>
      </w:r>
      <w:proofErr w:type="spellStart"/>
      <w:r w:rsidRPr="00E73D4B">
        <w:t>leiarar</w:t>
      </w:r>
      <w:proofErr w:type="spellEnd"/>
      <w:r w:rsidRPr="00E73D4B">
        <w:t xml:space="preserve"> i staten. Det vil derfor </w:t>
      </w:r>
      <w:proofErr w:type="spellStart"/>
      <w:r w:rsidRPr="00E73D4B">
        <w:t>vere</w:t>
      </w:r>
      <w:proofErr w:type="spellEnd"/>
      <w:r w:rsidRPr="00E73D4B">
        <w:t xml:space="preserve"> tett dialog med </w:t>
      </w:r>
      <w:proofErr w:type="spellStart"/>
      <w:r w:rsidRPr="00E73D4B">
        <w:t>hovudsamanslutningane</w:t>
      </w:r>
      <w:proofErr w:type="spellEnd"/>
      <w:r w:rsidRPr="00E73D4B">
        <w:t xml:space="preserve"> i dette arbeidet. Kommunal- og </w:t>
      </w:r>
      <w:proofErr w:type="spellStart"/>
      <w:r w:rsidRPr="00E73D4B">
        <w:t>distriktsdepartementet</w:t>
      </w:r>
      <w:proofErr w:type="spellEnd"/>
      <w:r w:rsidRPr="00E73D4B">
        <w:t xml:space="preserve"> har </w:t>
      </w:r>
      <w:proofErr w:type="spellStart"/>
      <w:r w:rsidRPr="00E73D4B">
        <w:t>allereie</w:t>
      </w:r>
      <w:proofErr w:type="spellEnd"/>
      <w:r w:rsidRPr="00E73D4B">
        <w:t xml:space="preserve"> </w:t>
      </w:r>
      <w:proofErr w:type="spellStart"/>
      <w:r w:rsidRPr="00E73D4B">
        <w:t>avheld</w:t>
      </w:r>
      <w:proofErr w:type="spellEnd"/>
      <w:r w:rsidRPr="00E73D4B">
        <w:t xml:space="preserve"> </w:t>
      </w:r>
      <w:proofErr w:type="spellStart"/>
      <w:r w:rsidRPr="00E73D4B">
        <w:t>innleiande</w:t>
      </w:r>
      <w:proofErr w:type="spellEnd"/>
      <w:r w:rsidRPr="00E73D4B">
        <w:t xml:space="preserve"> møter med </w:t>
      </w:r>
      <w:proofErr w:type="spellStart"/>
      <w:r w:rsidRPr="00E73D4B">
        <w:t>hovudsamanslutningane</w:t>
      </w:r>
      <w:proofErr w:type="spellEnd"/>
      <w:r w:rsidRPr="00E73D4B">
        <w:t>.</w:t>
      </w:r>
    </w:p>
    <w:p w14:paraId="0B92A3B8"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eigna måte.</w:t>
      </w:r>
    </w:p>
    <w:p w14:paraId="139F7E12" w14:textId="77777777" w:rsidR="00972395" w:rsidRPr="00E73D4B" w:rsidRDefault="00F120C7" w:rsidP="00E73D4B">
      <w:pPr>
        <w:pStyle w:val="avsnitt-tittel"/>
      </w:pPr>
      <w:r w:rsidRPr="00E73D4B">
        <w:t xml:space="preserve">Kommunal kompensasjonsordning – </w:t>
      </w:r>
      <w:proofErr w:type="spellStart"/>
      <w:r w:rsidRPr="00E73D4B">
        <w:t>næringar</w:t>
      </w:r>
      <w:proofErr w:type="spellEnd"/>
      <w:r w:rsidRPr="00E73D4B">
        <w:t xml:space="preserve"> med </w:t>
      </w:r>
      <w:proofErr w:type="spellStart"/>
      <w:r w:rsidRPr="00E73D4B">
        <w:t>særlege</w:t>
      </w:r>
      <w:proofErr w:type="spellEnd"/>
      <w:r w:rsidRPr="00E73D4B">
        <w:t xml:space="preserve"> </w:t>
      </w:r>
      <w:proofErr w:type="spellStart"/>
      <w:r w:rsidRPr="00E73D4B">
        <w:t>utfordringar</w:t>
      </w:r>
      <w:proofErr w:type="spellEnd"/>
    </w:p>
    <w:p w14:paraId="68B4432A" w14:textId="77777777" w:rsidR="00972395" w:rsidRPr="00E73D4B" w:rsidRDefault="00F120C7" w:rsidP="00E73D4B">
      <w:pPr>
        <w:pStyle w:val="avsnitt-undertittel"/>
      </w:pPr>
      <w:r w:rsidRPr="00E73D4B">
        <w:t>Vedtak nr. 495, 26. april 2022</w:t>
      </w:r>
    </w:p>
    <w:p w14:paraId="66819F29" w14:textId="77777777" w:rsidR="00972395" w:rsidRPr="00E73D4B" w:rsidRDefault="00F120C7" w:rsidP="00E73D4B">
      <w:pPr>
        <w:pStyle w:val="blokksit"/>
        <w:rPr>
          <w:rStyle w:val="kursiv"/>
        </w:rPr>
      </w:pPr>
      <w:r w:rsidRPr="00E73D4B">
        <w:rPr>
          <w:rStyle w:val="kursiv"/>
        </w:rPr>
        <w:t>«Stortinget ber regjeringen ved tildeling fra den kommunale kompensasjonsordningen prioritere næringer som har særlige utfordringer knyttet til ettervirkningene av pandemien, og der det tar tid før driftssituasjonen og omsetningen er tilbake på normalt nivå.»</w:t>
      </w:r>
    </w:p>
    <w:p w14:paraId="15C3E03B"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Guri Melby, Sveinung Rotevatn, Grunde Almeland og Alfred Jens Bjørlo om omstillings- og stimuleringstiltak for reiselivet og serverings-, kultur- og utelivsbransjen etter koronapandemien, jf. Dokument 8:94 S (2021–2022) og </w:t>
      </w:r>
      <w:proofErr w:type="spellStart"/>
      <w:r w:rsidRPr="00E73D4B">
        <w:t>Innst</w:t>
      </w:r>
      <w:proofErr w:type="spellEnd"/>
      <w:r w:rsidRPr="00E73D4B">
        <w:t>. 242 S (2021–2022).</w:t>
      </w:r>
    </w:p>
    <w:p w14:paraId="167E0656" w14:textId="77777777" w:rsidR="00972395" w:rsidRPr="00E73D4B" w:rsidRDefault="00F120C7" w:rsidP="00E73D4B">
      <w:r w:rsidRPr="00E73D4B">
        <w:t xml:space="preserve">Stortinget vedtok den kommunale kompensasjonsordninga for lokale </w:t>
      </w:r>
      <w:proofErr w:type="spellStart"/>
      <w:r w:rsidRPr="00E73D4B">
        <w:t>verksemder</w:t>
      </w:r>
      <w:proofErr w:type="spellEnd"/>
      <w:r w:rsidRPr="00E73D4B">
        <w:t xml:space="preserve"> i januar 2021, (jf. </w:t>
      </w:r>
      <w:proofErr w:type="spellStart"/>
      <w:r w:rsidRPr="00E73D4B">
        <w:t>Prop</w:t>
      </w:r>
      <w:proofErr w:type="spellEnd"/>
      <w:r w:rsidRPr="00E73D4B">
        <w:t xml:space="preserve">. 195 S (2020–2021) </w:t>
      </w:r>
      <w:r w:rsidRPr="00E73D4B">
        <w:rPr>
          <w:rStyle w:val="kursiv"/>
        </w:rPr>
        <w:t>Tilleggsbevilgninger og omprioriteringer i statsbudsjettet 2021,</w:t>
      </w:r>
      <w:r w:rsidRPr="00E73D4B">
        <w:t xml:space="preserve"> og </w:t>
      </w:r>
      <w:proofErr w:type="spellStart"/>
      <w:r w:rsidRPr="00E73D4B">
        <w:t>Prop</w:t>
      </w:r>
      <w:proofErr w:type="spellEnd"/>
      <w:r w:rsidRPr="00E73D4B">
        <w:t xml:space="preserve">. 79 S (2020–2021) </w:t>
      </w:r>
      <w:r w:rsidRPr="00E73D4B">
        <w:rPr>
          <w:rStyle w:val="kursiv"/>
        </w:rPr>
        <w:t>Økonomiske tiltak i møte med pandemien</w:t>
      </w:r>
      <w:r w:rsidRPr="00E73D4B">
        <w:t xml:space="preserve"> og </w:t>
      </w:r>
      <w:proofErr w:type="spellStart"/>
      <w:r w:rsidRPr="00E73D4B">
        <w:t>Prop</w:t>
      </w:r>
      <w:proofErr w:type="spellEnd"/>
      <w:r w:rsidRPr="00E73D4B">
        <w:t xml:space="preserve">. 51 S (2021–2022) </w:t>
      </w:r>
      <w:r w:rsidRPr="00E73D4B">
        <w:rPr>
          <w:rStyle w:val="kursiv"/>
        </w:rPr>
        <w:t>Endringer i statsbudsjettet 2022 (økonomiske tiltak i møte med pandemien og ekstraordinære strømutgifter</w:t>
      </w:r>
      <w:r w:rsidRPr="00E73D4B">
        <w:t xml:space="preserve">). </w:t>
      </w:r>
      <w:proofErr w:type="spellStart"/>
      <w:r w:rsidRPr="00E73D4B">
        <w:t>Føremålet</w:t>
      </w:r>
      <w:proofErr w:type="spellEnd"/>
      <w:r w:rsidRPr="00E73D4B">
        <w:t xml:space="preserve"> med ordninga var å </w:t>
      </w:r>
      <w:proofErr w:type="spellStart"/>
      <w:r w:rsidRPr="00E73D4B">
        <w:t>setje</w:t>
      </w:r>
      <w:proofErr w:type="spellEnd"/>
      <w:r w:rsidRPr="00E73D4B">
        <w:t xml:space="preserve"> </w:t>
      </w:r>
      <w:proofErr w:type="spellStart"/>
      <w:r w:rsidRPr="00E73D4B">
        <w:t>kommunane</w:t>
      </w:r>
      <w:proofErr w:type="spellEnd"/>
      <w:r w:rsidRPr="00E73D4B">
        <w:t xml:space="preserve"> betre i stand til å kompensere lokale </w:t>
      </w:r>
      <w:proofErr w:type="spellStart"/>
      <w:r w:rsidRPr="00E73D4B">
        <w:t>verksemder</w:t>
      </w:r>
      <w:proofErr w:type="spellEnd"/>
      <w:r w:rsidRPr="00E73D4B">
        <w:t xml:space="preserve"> som blei ramma av lokale eller nasjonale smitteverntiltak og som har hatt omsetningsfall og/eller </w:t>
      </w:r>
      <w:proofErr w:type="spellStart"/>
      <w:r w:rsidRPr="00E73D4B">
        <w:t>auka</w:t>
      </w:r>
      <w:proofErr w:type="spellEnd"/>
      <w:r w:rsidRPr="00E73D4B">
        <w:t xml:space="preserve"> </w:t>
      </w:r>
      <w:proofErr w:type="spellStart"/>
      <w:r w:rsidRPr="00E73D4B">
        <w:t>kostnadar</w:t>
      </w:r>
      <w:proofErr w:type="spellEnd"/>
      <w:r w:rsidRPr="00E73D4B">
        <w:t xml:space="preserve"> som </w:t>
      </w:r>
      <w:proofErr w:type="spellStart"/>
      <w:r w:rsidRPr="00E73D4B">
        <w:t>følgje</w:t>
      </w:r>
      <w:proofErr w:type="spellEnd"/>
      <w:r w:rsidRPr="00E73D4B">
        <w:t xml:space="preserve"> av dette. Ordninga skulle også verke som ei ventilordning for </w:t>
      </w:r>
      <w:proofErr w:type="spellStart"/>
      <w:r w:rsidRPr="00E73D4B">
        <w:t>verksemder</w:t>
      </w:r>
      <w:proofErr w:type="spellEnd"/>
      <w:r w:rsidRPr="00E73D4B">
        <w:t xml:space="preserve"> som hadde falt heilt eller delvis </w:t>
      </w:r>
      <w:proofErr w:type="spellStart"/>
      <w:r w:rsidRPr="00E73D4B">
        <w:t>utanfor</w:t>
      </w:r>
      <w:proofErr w:type="spellEnd"/>
      <w:r w:rsidRPr="00E73D4B">
        <w:t xml:space="preserve"> den generelle kompensasjonsordninga. Ordninga blei også notifisert i tråd med det </w:t>
      </w:r>
      <w:proofErr w:type="spellStart"/>
      <w:r w:rsidRPr="00E73D4B">
        <w:t>mellombelse</w:t>
      </w:r>
      <w:proofErr w:type="spellEnd"/>
      <w:r w:rsidRPr="00E73D4B">
        <w:t xml:space="preserve"> regelverket for statsstøtte til </w:t>
      </w:r>
      <w:proofErr w:type="spellStart"/>
      <w:r w:rsidRPr="00E73D4B">
        <w:t>verksemder</w:t>
      </w:r>
      <w:proofErr w:type="spellEnd"/>
      <w:r w:rsidRPr="00E73D4B">
        <w:t xml:space="preserve"> som var ramma av pandemien.</w:t>
      </w:r>
    </w:p>
    <w:p w14:paraId="7BC5CEFB" w14:textId="77777777" w:rsidR="00972395" w:rsidRPr="00E73D4B" w:rsidRDefault="00F120C7" w:rsidP="00E73D4B">
      <w:r w:rsidRPr="00E73D4B">
        <w:t xml:space="preserve">Regjeringa har tildelt </w:t>
      </w:r>
      <w:proofErr w:type="spellStart"/>
      <w:r w:rsidRPr="00E73D4B">
        <w:t>kommunane</w:t>
      </w:r>
      <w:proofErr w:type="spellEnd"/>
      <w:r w:rsidRPr="00E73D4B">
        <w:t xml:space="preserve"> </w:t>
      </w:r>
      <w:proofErr w:type="spellStart"/>
      <w:r w:rsidRPr="00E73D4B">
        <w:t>midlar</w:t>
      </w:r>
      <w:proofErr w:type="spellEnd"/>
      <w:r w:rsidRPr="00E73D4B">
        <w:t xml:space="preserve"> i tråd med </w:t>
      </w:r>
      <w:proofErr w:type="spellStart"/>
      <w:r w:rsidRPr="00E73D4B">
        <w:t>føremålet</w:t>
      </w:r>
      <w:proofErr w:type="spellEnd"/>
      <w:r w:rsidRPr="00E73D4B">
        <w:t xml:space="preserve"> til ordninga, slik det er fastsett av Stortinget. Det kan derfor </w:t>
      </w:r>
      <w:proofErr w:type="spellStart"/>
      <w:r w:rsidRPr="00E73D4B">
        <w:t>ikkje</w:t>
      </w:r>
      <w:proofErr w:type="spellEnd"/>
      <w:r w:rsidRPr="00E73D4B">
        <w:t xml:space="preserve"> tildelast </w:t>
      </w:r>
      <w:proofErr w:type="spellStart"/>
      <w:r w:rsidRPr="00E73D4B">
        <w:t>midlar</w:t>
      </w:r>
      <w:proofErr w:type="spellEnd"/>
      <w:r w:rsidRPr="00E73D4B">
        <w:t xml:space="preserve"> </w:t>
      </w:r>
      <w:proofErr w:type="spellStart"/>
      <w:r w:rsidRPr="00E73D4B">
        <w:t>frå</w:t>
      </w:r>
      <w:proofErr w:type="spellEnd"/>
      <w:r w:rsidRPr="00E73D4B">
        <w:t xml:space="preserve"> ordninga av omsyn til </w:t>
      </w:r>
      <w:proofErr w:type="spellStart"/>
      <w:r w:rsidRPr="00E73D4B">
        <w:t>etterverknader</w:t>
      </w:r>
      <w:proofErr w:type="spellEnd"/>
      <w:r w:rsidRPr="00E73D4B">
        <w:t xml:space="preserve"> </w:t>
      </w:r>
      <w:proofErr w:type="spellStart"/>
      <w:r w:rsidRPr="00E73D4B">
        <w:t>frå</w:t>
      </w:r>
      <w:proofErr w:type="spellEnd"/>
      <w:r w:rsidRPr="00E73D4B">
        <w:t xml:space="preserve"> pandemien. Regjeringa har derfor ført tilbake 250 mill. kroner til statskassa i revidert nasjonalbudsjett for 2023 </w:t>
      </w:r>
      <w:proofErr w:type="spellStart"/>
      <w:r w:rsidRPr="00E73D4B">
        <w:t>frå</w:t>
      </w:r>
      <w:proofErr w:type="spellEnd"/>
      <w:r w:rsidRPr="00E73D4B">
        <w:t xml:space="preserve"> ordninga si ramme. Dette ettersom det </w:t>
      </w:r>
      <w:proofErr w:type="spellStart"/>
      <w:r w:rsidRPr="00E73D4B">
        <w:t>ikkje</w:t>
      </w:r>
      <w:proofErr w:type="spellEnd"/>
      <w:r w:rsidRPr="00E73D4B">
        <w:t xml:space="preserve"> lenger var grunnlag for å kompensere lokale </w:t>
      </w:r>
      <w:proofErr w:type="spellStart"/>
      <w:r w:rsidRPr="00E73D4B">
        <w:t>verksemder</w:t>
      </w:r>
      <w:proofErr w:type="spellEnd"/>
      <w:r w:rsidRPr="00E73D4B">
        <w:t xml:space="preserve"> i tråd med </w:t>
      </w:r>
      <w:proofErr w:type="spellStart"/>
      <w:r w:rsidRPr="00E73D4B">
        <w:t>føremålet</w:t>
      </w:r>
      <w:proofErr w:type="spellEnd"/>
      <w:r w:rsidRPr="00E73D4B">
        <w:t xml:space="preserve"> til ordninga, </w:t>
      </w:r>
      <w:proofErr w:type="spellStart"/>
      <w:r w:rsidRPr="00E73D4B">
        <w:t>sidan</w:t>
      </w:r>
      <w:proofErr w:type="spellEnd"/>
      <w:r w:rsidRPr="00E73D4B">
        <w:t xml:space="preserve"> smittevernstiltaka blei avvikla vinteren 2022.</w:t>
      </w:r>
    </w:p>
    <w:p w14:paraId="6EA266CC"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674E8470" w14:textId="77777777" w:rsidR="00972395" w:rsidRPr="00E73D4B" w:rsidRDefault="00F120C7" w:rsidP="00E73D4B">
      <w:pPr>
        <w:pStyle w:val="avsnitt-tittel"/>
      </w:pPr>
      <w:r w:rsidRPr="00E73D4B">
        <w:t>Vindkraft på land</w:t>
      </w:r>
    </w:p>
    <w:p w14:paraId="4A3B9EEB" w14:textId="77777777" w:rsidR="00972395" w:rsidRPr="00E73D4B" w:rsidRDefault="00F120C7" w:rsidP="00E73D4B">
      <w:pPr>
        <w:pStyle w:val="avsnitt-undertittel"/>
      </w:pPr>
      <w:r w:rsidRPr="00E73D4B">
        <w:t>Vedtak nr. 722, 10. juni 2022</w:t>
      </w:r>
    </w:p>
    <w:p w14:paraId="6C4C7C3A" w14:textId="77777777" w:rsidR="00972395" w:rsidRPr="00E73D4B" w:rsidRDefault="00F120C7" w:rsidP="00E73D4B">
      <w:pPr>
        <w:pStyle w:val="blokksit"/>
        <w:rPr>
          <w:rStyle w:val="kursiv"/>
        </w:rPr>
      </w:pPr>
      <w:r w:rsidRPr="00E73D4B">
        <w:rPr>
          <w:rStyle w:val="kursiv"/>
        </w:rPr>
        <w:t>«Stortinget ber regjeringen snarest mulig sende på høring forslag til endringer i plan- og bygningsloven for behandling av vindkraft på land, slik at nye vindkraftanlegg kan behandles etter både energiloven og plan- og bygningsloven, med sikte på ikrafttredelse av lovendringen 1. januar 2023.»</w:t>
      </w:r>
    </w:p>
    <w:p w14:paraId="4D46BBA0" w14:textId="77777777" w:rsidR="00972395" w:rsidRPr="00E73D4B" w:rsidRDefault="00F120C7" w:rsidP="00E73D4B">
      <w:r w:rsidRPr="00E73D4B">
        <w:t xml:space="preserve">Dokumenta som ligg til grunn for vedtaket, er Meld. St. 11 (2021–2022) Tilleggsmelding til Meld. St. 36 (2020–2021) </w:t>
      </w:r>
      <w:r w:rsidRPr="00E73D4B">
        <w:rPr>
          <w:rStyle w:val="kursiv"/>
        </w:rPr>
        <w:t>Energi til arbeid – langsiktig verdiskaping fra norske energiressurser</w:t>
      </w:r>
      <w:r w:rsidRPr="00E73D4B">
        <w:t xml:space="preserve"> og </w:t>
      </w:r>
      <w:proofErr w:type="spellStart"/>
      <w:r w:rsidRPr="00E73D4B">
        <w:t>Innst</w:t>
      </w:r>
      <w:proofErr w:type="spellEnd"/>
      <w:r w:rsidRPr="00E73D4B">
        <w:t>. 446 S (2021–2022).</w:t>
      </w:r>
    </w:p>
    <w:p w14:paraId="2D98BB06" w14:textId="77777777" w:rsidR="00972395" w:rsidRPr="00E73D4B" w:rsidRDefault="00F120C7" w:rsidP="00E73D4B">
      <w:r w:rsidRPr="00E73D4B">
        <w:t xml:space="preserve">Oppfølging av vedtaket må </w:t>
      </w:r>
      <w:proofErr w:type="spellStart"/>
      <w:r w:rsidRPr="00E73D4B">
        <w:t>sjåast</w:t>
      </w:r>
      <w:proofErr w:type="spellEnd"/>
      <w:r w:rsidRPr="00E73D4B">
        <w:t xml:space="preserve"> i </w:t>
      </w:r>
      <w:proofErr w:type="spellStart"/>
      <w:r w:rsidRPr="00E73D4B">
        <w:t>samanheng</w:t>
      </w:r>
      <w:proofErr w:type="spellEnd"/>
      <w:r w:rsidRPr="00E73D4B">
        <w:t xml:space="preserve"> med oppfølging av oppmodingsvedtak nr. 143, 1. desember 2020 om å «innlemme planlegging og bygging av vindkraftanlegg i plan- og bygningsloven». Dette </w:t>
      </w:r>
      <w:proofErr w:type="spellStart"/>
      <w:r w:rsidRPr="00E73D4B">
        <w:t>omtalast</w:t>
      </w:r>
      <w:proofErr w:type="spellEnd"/>
      <w:r w:rsidRPr="00E73D4B">
        <w:t xml:space="preserve"> i budsjettproposisjonen </w:t>
      </w:r>
      <w:proofErr w:type="spellStart"/>
      <w:r w:rsidRPr="00E73D4B">
        <w:t>frå</w:t>
      </w:r>
      <w:proofErr w:type="spellEnd"/>
      <w:r w:rsidRPr="00E73D4B">
        <w:t xml:space="preserve"> Olje- og energidepartementet.</w:t>
      </w:r>
    </w:p>
    <w:p w14:paraId="574B9D1C"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og Olje- og energidepartementet samarbeider om </w:t>
      </w:r>
      <w:proofErr w:type="spellStart"/>
      <w:r w:rsidRPr="00E73D4B">
        <w:t>eit</w:t>
      </w:r>
      <w:proofErr w:type="spellEnd"/>
      <w:r w:rsidRPr="00E73D4B">
        <w:t xml:space="preserve"> </w:t>
      </w:r>
      <w:proofErr w:type="spellStart"/>
      <w:r w:rsidRPr="00E73D4B">
        <w:t>høyringsnotat</w:t>
      </w:r>
      <w:proofErr w:type="spellEnd"/>
      <w:r w:rsidRPr="00E73D4B">
        <w:t xml:space="preserve"> med forslag til oppfølging av vedtaket. Notatet vil bli sendt på </w:t>
      </w:r>
      <w:proofErr w:type="spellStart"/>
      <w:r w:rsidRPr="00E73D4B">
        <w:t>høyring</w:t>
      </w:r>
      <w:proofErr w:type="spellEnd"/>
      <w:r w:rsidRPr="00E73D4B">
        <w:t xml:space="preserve"> </w:t>
      </w:r>
      <w:proofErr w:type="spellStart"/>
      <w:r w:rsidRPr="00E73D4B">
        <w:t>hausten</w:t>
      </w:r>
      <w:proofErr w:type="spellEnd"/>
      <w:r w:rsidRPr="00E73D4B">
        <w:t xml:space="preserve"> 2022. Det er </w:t>
      </w:r>
      <w:proofErr w:type="spellStart"/>
      <w:r w:rsidRPr="00E73D4B">
        <w:t>ikkje</w:t>
      </w:r>
      <w:proofErr w:type="spellEnd"/>
      <w:r w:rsidRPr="00E73D4B">
        <w:t xml:space="preserve"> realistisk at ei lovendring vil kunne tre i kraft </w:t>
      </w:r>
      <w:proofErr w:type="spellStart"/>
      <w:r w:rsidRPr="00E73D4B">
        <w:t>frå</w:t>
      </w:r>
      <w:proofErr w:type="spellEnd"/>
      <w:r w:rsidRPr="00E73D4B">
        <w:t xml:space="preserve"> 1. januar 2023.</w:t>
      </w:r>
    </w:p>
    <w:p w14:paraId="0AD72367" w14:textId="77777777" w:rsidR="00972395" w:rsidRPr="00E73D4B" w:rsidRDefault="00F120C7" w:rsidP="00E73D4B">
      <w:pPr>
        <w:pStyle w:val="avsnitt-tittel"/>
      </w:pPr>
      <w:r w:rsidRPr="00E73D4B">
        <w:t>Energifleksibel oppvarming</w:t>
      </w:r>
    </w:p>
    <w:p w14:paraId="7A75CCEE" w14:textId="77777777" w:rsidR="00972395" w:rsidRPr="00E73D4B" w:rsidRDefault="00F120C7" w:rsidP="00E73D4B">
      <w:pPr>
        <w:pStyle w:val="avsnitt-undertittel"/>
      </w:pPr>
      <w:r w:rsidRPr="00E73D4B">
        <w:t>Vedtak nr. 726, 10. juni 2022</w:t>
      </w:r>
    </w:p>
    <w:p w14:paraId="1443AE3D" w14:textId="77777777" w:rsidR="00972395" w:rsidRPr="00E73D4B" w:rsidRDefault="00F120C7" w:rsidP="00E73D4B">
      <w:pPr>
        <w:pStyle w:val="blokksit"/>
        <w:rPr>
          <w:rStyle w:val="kursiv"/>
        </w:rPr>
      </w:pPr>
      <w:r w:rsidRPr="00E73D4B">
        <w:rPr>
          <w:rStyle w:val="kursiv"/>
        </w:rPr>
        <w:t xml:space="preserve">«Stortinget ber regjeringen utrede energieffekten og konsekvenser for </w:t>
      </w:r>
      <w:proofErr w:type="spellStart"/>
      <w:r w:rsidRPr="00E73D4B">
        <w:rPr>
          <w:rStyle w:val="kursiv"/>
        </w:rPr>
        <w:t>byggekostnadene</w:t>
      </w:r>
      <w:proofErr w:type="spellEnd"/>
      <w:r w:rsidRPr="00E73D4B">
        <w:rPr>
          <w:rStyle w:val="kursiv"/>
        </w:rPr>
        <w:t xml:space="preserve"> av å stramme inn kravet til energifleksibel oppvarming, og vurdere hvor mye kravet kan strammes inn.»</w:t>
      </w:r>
    </w:p>
    <w:p w14:paraId="038023AB" w14:textId="77777777" w:rsidR="00972395" w:rsidRPr="00E73D4B" w:rsidRDefault="00F120C7" w:rsidP="00E73D4B">
      <w:r w:rsidRPr="00E73D4B">
        <w:t xml:space="preserve">Dokumenta som ligg til grunn for vedtaket, er </w:t>
      </w:r>
      <w:proofErr w:type="spellStart"/>
      <w:r w:rsidRPr="00E73D4B">
        <w:t>Innst</w:t>
      </w:r>
      <w:proofErr w:type="spellEnd"/>
      <w:r w:rsidRPr="00E73D4B">
        <w:t xml:space="preserve">. 446 S (2021–2022) Innstilling fra energi- og miljøkomiteen om Meld. St. 36 (2020–2021) </w:t>
      </w:r>
      <w:r w:rsidRPr="00E73D4B">
        <w:rPr>
          <w:rStyle w:val="kursiv"/>
        </w:rPr>
        <w:t>Energi til arbeid – langsiktig verdiskaping fra norske energiressurser</w:t>
      </w:r>
      <w:r w:rsidRPr="00E73D4B">
        <w:t xml:space="preserve">, Meld. St. 11 (2021–2022) Tilleggsmelding til Meld. St. 36 (2020–2021), representantforslag om å forlenge strømkompensasjonen, representantforslag om å </w:t>
      </w:r>
      <w:proofErr w:type="spellStart"/>
      <w:r w:rsidRPr="00E73D4B">
        <w:t>byggje</w:t>
      </w:r>
      <w:proofErr w:type="spellEnd"/>
      <w:r w:rsidRPr="00E73D4B">
        <w:t xml:space="preserve"> opp </w:t>
      </w:r>
      <w:proofErr w:type="spellStart"/>
      <w:r w:rsidRPr="00E73D4B">
        <w:t>ein</w:t>
      </w:r>
      <w:proofErr w:type="spellEnd"/>
      <w:r w:rsidRPr="00E73D4B">
        <w:t xml:space="preserve"> kraftfull norsk havvindsatsing, representantforslag om energipolitikk for framtida, representantforslag om hurtigspor for </w:t>
      </w:r>
      <w:proofErr w:type="spellStart"/>
      <w:r w:rsidRPr="00E73D4B">
        <w:t>flytande</w:t>
      </w:r>
      <w:proofErr w:type="spellEnd"/>
      <w:r w:rsidRPr="00E73D4B">
        <w:t xml:space="preserve"> havvind, representantforslag om uavhengige </w:t>
      </w:r>
      <w:proofErr w:type="spellStart"/>
      <w:r w:rsidRPr="00E73D4B">
        <w:t>konsekvensutgreiingar</w:t>
      </w:r>
      <w:proofErr w:type="spellEnd"/>
      <w:r w:rsidRPr="00E73D4B">
        <w:t xml:space="preserve"> i </w:t>
      </w:r>
      <w:proofErr w:type="spellStart"/>
      <w:r w:rsidRPr="00E73D4B">
        <w:t>vindkraftsakar</w:t>
      </w:r>
      <w:proofErr w:type="spellEnd"/>
      <w:r w:rsidRPr="00E73D4B">
        <w:t xml:space="preserve"> og representantforslag om energi for framtida.</w:t>
      </w:r>
    </w:p>
    <w:p w14:paraId="65E511DD" w14:textId="77777777" w:rsidR="00972395" w:rsidRPr="00E73D4B" w:rsidRDefault="00F120C7" w:rsidP="00E73D4B">
      <w:r w:rsidRPr="00E73D4B">
        <w:t xml:space="preserve">Regjeringa er </w:t>
      </w:r>
      <w:proofErr w:type="spellStart"/>
      <w:r w:rsidRPr="00E73D4B">
        <w:t>oppteken</w:t>
      </w:r>
      <w:proofErr w:type="spellEnd"/>
      <w:r w:rsidRPr="00E73D4B">
        <w:t xml:space="preserve"> av at energikrava til bygg er på </w:t>
      </w:r>
      <w:proofErr w:type="spellStart"/>
      <w:r w:rsidRPr="00E73D4B">
        <w:t>eit</w:t>
      </w:r>
      <w:proofErr w:type="spellEnd"/>
      <w:r w:rsidRPr="00E73D4B">
        <w:t xml:space="preserve"> hensiktsmessig nivå, som balanserer omsyn til </w:t>
      </w:r>
      <w:proofErr w:type="spellStart"/>
      <w:r w:rsidRPr="00E73D4B">
        <w:t>energiutfordringar</w:t>
      </w:r>
      <w:proofErr w:type="spellEnd"/>
      <w:r w:rsidRPr="00E73D4B">
        <w:t xml:space="preserve">, miljø og klima, samstundes som </w:t>
      </w:r>
      <w:proofErr w:type="spellStart"/>
      <w:r w:rsidRPr="00E73D4B">
        <w:t>byggjekostnadane</w:t>
      </w:r>
      <w:proofErr w:type="spellEnd"/>
      <w:r w:rsidRPr="00E73D4B">
        <w:t xml:space="preserve"> blir </w:t>
      </w:r>
      <w:proofErr w:type="spellStart"/>
      <w:r w:rsidRPr="00E73D4B">
        <w:t>haldne</w:t>
      </w:r>
      <w:proofErr w:type="spellEnd"/>
      <w:r w:rsidRPr="00E73D4B">
        <w:t xml:space="preserve"> så låge som </w:t>
      </w:r>
      <w:proofErr w:type="spellStart"/>
      <w:r w:rsidRPr="00E73D4B">
        <w:t>mogleg</w:t>
      </w:r>
      <w:proofErr w:type="spellEnd"/>
      <w:r w:rsidRPr="00E73D4B">
        <w:t xml:space="preserve">. Kommunal- og </w:t>
      </w:r>
      <w:proofErr w:type="spellStart"/>
      <w:r w:rsidRPr="00E73D4B">
        <w:t>distriktsdepartementet</w:t>
      </w:r>
      <w:proofErr w:type="spellEnd"/>
      <w:r w:rsidRPr="00E73D4B">
        <w:t xml:space="preserve"> vurderer kva effekt skjerpa krav vil gi, og kva som vil </w:t>
      </w:r>
      <w:proofErr w:type="spellStart"/>
      <w:r w:rsidRPr="00E73D4B">
        <w:t>vere</w:t>
      </w:r>
      <w:proofErr w:type="spellEnd"/>
      <w:r w:rsidRPr="00E73D4B">
        <w:t xml:space="preserve"> </w:t>
      </w:r>
      <w:proofErr w:type="spellStart"/>
      <w:r w:rsidRPr="00E73D4B">
        <w:t>konsekvensane</w:t>
      </w:r>
      <w:proofErr w:type="spellEnd"/>
      <w:r w:rsidRPr="00E73D4B">
        <w:t xml:space="preserve"> for </w:t>
      </w:r>
      <w:proofErr w:type="spellStart"/>
      <w:r w:rsidRPr="00E73D4B">
        <w:t>byggjekostnadane</w:t>
      </w:r>
      <w:proofErr w:type="spellEnd"/>
      <w:r w:rsidRPr="00E73D4B">
        <w:t>.</w:t>
      </w:r>
    </w:p>
    <w:p w14:paraId="1FEB34B6" w14:textId="77777777" w:rsidR="00972395" w:rsidRPr="00E73D4B" w:rsidRDefault="00F120C7" w:rsidP="00E73D4B">
      <w:pPr>
        <w:pStyle w:val="avsnitt-tittel"/>
      </w:pPr>
      <w:r w:rsidRPr="00E73D4B">
        <w:t>Plan for breibanddekning I</w:t>
      </w:r>
    </w:p>
    <w:p w14:paraId="1D51F366" w14:textId="77777777" w:rsidR="00972395" w:rsidRPr="00E73D4B" w:rsidRDefault="00F120C7" w:rsidP="00E73D4B">
      <w:pPr>
        <w:pStyle w:val="avsnitt-undertittel"/>
      </w:pPr>
      <w:r w:rsidRPr="00E73D4B">
        <w:t>Vedtak nr. 790, 14. juni 2022</w:t>
      </w:r>
    </w:p>
    <w:p w14:paraId="6BF35C41" w14:textId="77777777" w:rsidR="00972395" w:rsidRPr="00E73D4B" w:rsidRDefault="00F120C7" w:rsidP="00E73D4B">
      <w:pPr>
        <w:pStyle w:val="blokksit"/>
        <w:rPr>
          <w:rStyle w:val="kursiv"/>
        </w:rPr>
      </w:pPr>
      <w:r w:rsidRPr="00E73D4B">
        <w:rPr>
          <w:rStyle w:val="kursiv"/>
        </w:rPr>
        <w:t>«Stortinget ber regjeringen komme tilbake i statsbudsjettet for 2023 med status og plan for hvordan det kan legges til rette for at alle husstander og virksomheter i Norge skal ha tilbud om minimum 100 Mbit/s nedlastingshastighet og 10 Mbit/s opplastingshastighet i 2025.»</w:t>
      </w:r>
    </w:p>
    <w:p w14:paraId="72271F66"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110 S (2021–2022) </w:t>
      </w:r>
      <w:r w:rsidRPr="00E73D4B">
        <w:rPr>
          <w:rStyle w:val="kursiv"/>
        </w:rPr>
        <w:t>Kommuneproposisjonen 2023</w:t>
      </w:r>
      <w:r w:rsidRPr="00E73D4B">
        <w:t xml:space="preserve"> og </w:t>
      </w:r>
      <w:proofErr w:type="spellStart"/>
      <w:r w:rsidRPr="00E73D4B">
        <w:t>Innst</w:t>
      </w:r>
      <w:proofErr w:type="spellEnd"/>
      <w:r w:rsidRPr="00E73D4B">
        <w:t>. 460 S (2021–2022).</w:t>
      </w:r>
    </w:p>
    <w:p w14:paraId="61EC7A92" w14:textId="77777777" w:rsidR="00972395" w:rsidRPr="00E73D4B" w:rsidRDefault="00F120C7" w:rsidP="00E73D4B">
      <w:proofErr w:type="spellStart"/>
      <w:r w:rsidRPr="00E73D4B">
        <w:t>Hovudlinja</w:t>
      </w:r>
      <w:proofErr w:type="spellEnd"/>
      <w:r w:rsidRPr="00E73D4B">
        <w:t xml:space="preserve"> i norsk breibandpolitikk er </w:t>
      </w:r>
      <w:proofErr w:type="spellStart"/>
      <w:r w:rsidRPr="00E73D4B">
        <w:t>marknadsbasert</w:t>
      </w:r>
      <w:proofErr w:type="spellEnd"/>
      <w:r w:rsidRPr="00E73D4B">
        <w:t xml:space="preserve"> utbygging. Slik har det </w:t>
      </w:r>
      <w:proofErr w:type="spellStart"/>
      <w:r w:rsidRPr="00E73D4B">
        <w:t>vore</w:t>
      </w:r>
      <w:proofErr w:type="spellEnd"/>
      <w:r w:rsidRPr="00E73D4B">
        <w:t xml:space="preserve"> i over 20 år, og det har ført til store </w:t>
      </w:r>
      <w:proofErr w:type="spellStart"/>
      <w:r w:rsidRPr="00E73D4B">
        <w:t>investeringar</w:t>
      </w:r>
      <w:proofErr w:type="spellEnd"/>
      <w:r w:rsidRPr="00E73D4B">
        <w:t xml:space="preserve"> i utbygging av breiband </w:t>
      </w:r>
      <w:proofErr w:type="spellStart"/>
      <w:r w:rsidRPr="00E73D4B">
        <w:t>frå</w:t>
      </w:r>
      <w:proofErr w:type="spellEnd"/>
      <w:r w:rsidRPr="00E73D4B">
        <w:t xml:space="preserve"> kommersielle </w:t>
      </w:r>
      <w:proofErr w:type="spellStart"/>
      <w:r w:rsidRPr="00E73D4B">
        <w:t>aktørar</w:t>
      </w:r>
      <w:proofErr w:type="spellEnd"/>
      <w:r w:rsidRPr="00E73D4B">
        <w:t xml:space="preserve">. Samstundes </w:t>
      </w:r>
      <w:proofErr w:type="spellStart"/>
      <w:r w:rsidRPr="00E73D4B">
        <w:t>finst</w:t>
      </w:r>
      <w:proofErr w:type="spellEnd"/>
      <w:r w:rsidRPr="00E73D4B">
        <w:t xml:space="preserve"> det </w:t>
      </w:r>
      <w:proofErr w:type="spellStart"/>
      <w:r w:rsidRPr="00E73D4B">
        <w:t>husstandar</w:t>
      </w:r>
      <w:proofErr w:type="spellEnd"/>
      <w:r w:rsidRPr="00E73D4B">
        <w:t xml:space="preserve"> og </w:t>
      </w:r>
      <w:proofErr w:type="spellStart"/>
      <w:r w:rsidRPr="00E73D4B">
        <w:t>verksemder</w:t>
      </w:r>
      <w:proofErr w:type="spellEnd"/>
      <w:r w:rsidRPr="00E73D4B">
        <w:t xml:space="preserve"> i område </w:t>
      </w:r>
      <w:proofErr w:type="spellStart"/>
      <w:r w:rsidRPr="00E73D4B">
        <w:t>utan</w:t>
      </w:r>
      <w:proofErr w:type="spellEnd"/>
      <w:r w:rsidRPr="00E73D4B">
        <w:t xml:space="preserve"> kommersielt grunnlag for utbygging som </w:t>
      </w:r>
      <w:proofErr w:type="spellStart"/>
      <w:r w:rsidRPr="00E73D4B">
        <w:t>manglar</w:t>
      </w:r>
      <w:proofErr w:type="spellEnd"/>
      <w:r w:rsidRPr="00E73D4B">
        <w:t xml:space="preserve"> slikt breiband. I Hurdalsplattformen er det varsla at regjeringa meiner staten må ta </w:t>
      </w:r>
      <w:proofErr w:type="spellStart"/>
      <w:r w:rsidRPr="00E73D4B">
        <w:t>eit</w:t>
      </w:r>
      <w:proofErr w:type="spellEnd"/>
      <w:r w:rsidRPr="00E73D4B">
        <w:t xml:space="preserve"> større ansvar for utbygging i </w:t>
      </w:r>
      <w:proofErr w:type="gramStart"/>
      <w:r w:rsidRPr="00E73D4B">
        <w:t>slike område</w:t>
      </w:r>
      <w:proofErr w:type="gramEnd"/>
      <w:r w:rsidRPr="00E73D4B">
        <w:t xml:space="preserve">. Regjeringa foreslår derfor </w:t>
      </w:r>
      <w:proofErr w:type="spellStart"/>
      <w:r w:rsidRPr="00E73D4B">
        <w:t>ein</w:t>
      </w:r>
      <w:proofErr w:type="spellEnd"/>
      <w:r w:rsidRPr="00E73D4B">
        <w:t xml:space="preserve"> </w:t>
      </w:r>
      <w:proofErr w:type="spellStart"/>
      <w:r w:rsidRPr="00E73D4B">
        <w:t>betydeleg</w:t>
      </w:r>
      <w:proofErr w:type="spellEnd"/>
      <w:r w:rsidRPr="00E73D4B">
        <w:t xml:space="preserve"> </w:t>
      </w:r>
      <w:proofErr w:type="spellStart"/>
      <w:r w:rsidRPr="00E73D4B">
        <w:t>auke</w:t>
      </w:r>
      <w:proofErr w:type="spellEnd"/>
      <w:r w:rsidRPr="00E73D4B">
        <w:t xml:space="preserve"> på kap. 541, post 60 Breibandutbygging.</w:t>
      </w:r>
    </w:p>
    <w:p w14:paraId="4827303E" w14:textId="77777777" w:rsidR="00972395" w:rsidRPr="00E73D4B" w:rsidRDefault="00F120C7" w:rsidP="00E73D4B">
      <w:r w:rsidRPr="00E73D4B">
        <w:t xml:space="preserve">Regjeringa meiner målet om at alle </w:t>
      </w:r>
      <w:proofErr w:type="spellStart"/>
      <w:r w:rsidRPr="00E73D4B">
        <w:t>husstandar</w:t>
      </w:r>
      <w:proofErr w:type="spellEnd"/>
      <w:r w:rsidRPr="00E73D4B">
        <w:t xml:space="preserve"> og </w:t>
      </w:r>
      <w:proofErr w:type="spellStart"/>
      <w:r w:rsidRPr="00E73D4B">
        <w:t>verksemder</w:t>
      </w:r>
      <w:proofErr w:type="spellEnd"/>
      <w:r w:rsidRPr="00E73D4B">
        <w:t xml:space="preserve"> skal ha </w:t>
      </w:r>
      <w:proofErr w:type="spellStart"/>
      <w:r w:rsidRPr="00E73D4B">
        <w:t>tilbod</w:t>
      </w:r>
      <w:proofErr w:type="spellEnd"/>
      <w:r w:rsidRPr="00E73D4B">
        <w:t xml:space="preserve"> om minst 100 Mbit/s nedlastingshastigheit og minst 10 Mbit/s </w:t>
      </w:r>
      <w:proofErr w:type="spellStart"/>
      <w:r w:rsidRPr="00E73D4B">
        <w:t>opplastingshastigheit</w:t>
      </w:r>
      <w:proofErr w:type="spellEnd"/>
      <w:r w:rsidRPr="00E73D4B">
        <w:t xml:space="preserve"> </w:t>
      </w:r>
      <w:proofErr w:type="spellStart"/>
      <w:r w:rsidRPr="00E73D4B">
        <w:t>innan</w:t>
      </w:r>
      <w:proofErr w:type="spellEnd"/>
      <w:r w:rsidRPr="00E73D4B">
        <w:t xml:space="preserve"> utgangen av 2025 er </w:t>
      </w:r>
      <w:proofErr w:type="spellStart"/>
      <w:r w:rsidRPr="00E73D4B">
        <w:t>mogleg</w:t>
      </w:r>
      <w:proofErr w:type="spellEnd"/>
      <w:r w:rsidRPr="00E73D4B">
        <w:t xml:space="preserve"> å nå med den foreslåtte løyvinga. 93,6 pst. av </w:t>
      </w:r>
      <w:proofErr w:type="spellStart"/>
      <w:r w:rsidRPr="00E73D4B">
        <w:t>husstandane</w:t>
      </w:r>
      <w:proofErr w:type="spellEnd"/>
      <w:r w:rsidRPr="00E73D4B">
        <w:t xml:space="preserve"> hadde </w:t>
      </w:r>
      <w:proofErr w:type="spellStart"/>
      <w:r w:rsidRPr="00E73D4B">
        <w:t>tilbod</w:t>
      </w:r>
      <w:proofErr w:type="spellEnd"/>
      <w:r w:rsidRPr="00E73D4B">
        <w:t xml:space="preserve"> om minst 100 Mbit/s </w:t>
      </w:r>
      <w:proofErr w:type="spellStart"/>
      <w:r w:rsidRPr="00E73D4B">
        <w:t>nedlasting</w:t>
      </w:r>
      <w:proofErr w:type="spellEnd"/>
      <w:r w:rsidRPr="00E73D4B">
        <w:t xml:space="preserve"> og minst 10 Mbit/s opplasting per første halvår 2022. </w:t>
      </w:r>
    </w:p>
    <w:p w14:paraId="2272A85F" w14:textId="77777777" w:rsidR="00972395" w:rsidRPr="00E73D4B" w:rsidRDefault="00F120C7" w:rsidP="00E73D4B">
      <w:r w:rsidRPr="00E73D4B">
        <w:t xml:space="preserve">Regjeringa sine mål og </w:t>
      </w:r>
      <w:proofErr w:type="spellStart"/>
      <w:r w:rsidRPr="00E73D4B">
        <w:t>prioriteringar</w:t>
      </w:r>
      <w:proofErr w:type="spellEnd"/>
      <w:r w:rsidRPr="00E73D4B">
        <w:t xml:space="preserve"> for utbygging av </w:t>
      </w:r>
      <w:proofErr w:type="spellStart"/>
      <w:r w:rsidRPr="00E73D4B">
        <w:t>høghastigheits</w:t>
      </w:r>
      <w:proofErr w:type="spellEnd"/>
      <w:r w:rsidRPr="00E73D4B">
        <w:t xml:space="preserve"> breiband er </w:t>
      </w:r>
      <w:proofErr w:type="spellStart"/>
      <w:r w:rsidRPr="00E73D4B">
        <w:t>nærare</w:t>
      </w:r>
      <w:proofErr w:type="spellEnd"/>
      <w:r w:rsidRPr="00E73D4B">
        <w:t xml:space="preserve"> omtalt i del I pkt. 1.4 og i programkategori 13.40.</w:t>
      </w:r>
    </w:p>
    <w:p w14:paraId="23B202EE"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7F2723B2" w14:textId="77777777" w:rsidR="00972395" w:rsidRPr="00E73D4B" w:rsidRDefault="00F120C7" w:rsidP="00E73D4B">
      <w:pPr>
        <w:pStyle w:val="avsnitt-tittel"/>
      </w:pPr>
      <w:r w:rsidRPr="00E73D4B">
        <w:t>Plan for breibanddekning II</w:t>
      </w:r>
    </w:p>
    <w:p w14:paraId="1B916F8F" w14:textId="77777777" w:rsidR="00972395" w:rsidRPr="00E73D4B" w:rsidRDefault="00F120C7" w:rsidP="00E73D4B">
      <w:pPr>
        <w:pStyle w:val="avsnitt-undertittel"/>
      </w:pPr>
      <w:r w:rsidRPr="00E73D4B">
        <w:t>Vedtak nr. 791, 14. juni 2022</w:t>
      </w:r>
    </w:p>
    <w:p w14:paraId="35717939" w14:textId="77777777" w:rsidR="00972395" w:rsidRPr="00E73D4B" w:rsidRDefault="00F120C7" w:rsidP="00E73D4B">
      <w:pPr>
        <w:pStyle w:val="blokksit"/>
        <w:rPr>
          <w:rStyle w:val="kursiv"/>
        </w:rPr>
      </w:pPr>
      <w:r w:rsidRPr="00E73D4B">
        <w:rPr>
          <w:rStyle w:val="kursiv"/>
        </w:rPr>
        <w:t xml:space="preserve">«Stortinget ber regjeringen komme tilbake i statsbudsjettet for 2023 med status og plan for hvordan det kan legges til rette for at alle norske nødmeldingssentraler, rådhus og andre viktige offentlige administrasjonsbygg, skoler og transportknutepunkter skal ha tilbud om minst 1 </w:t>
      </w:r>
      <w:proofErr w:type="spellStart"/>
      <w:r w:rsidRPr="00E73D4B">
        <w:rPr>
          <w:rStyle w:val="kursiv"/>
        </w:rPr>
        <w:t>Gbit</w:t>
      </w:r>
      <w:proofErr w:type="spellEnd"/>
      <w:r w:rsidRPr="00E73D4B">
        <w:rPr>
          <w:rStyle w:val="kursiv"/>
        </w:rPr>
        <w:t>/s nedlastingshastighet og minst 100 Mbit/s opplastingshastighet innen utgangen av 2025.»</w:t>
      </w:r>
    </w:p>
    <w:p w14:paraId="5D4442FE"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110 S (2021–2022) </w:t>
      </w:r>
      <w:r w:rsidRPr="00E73D4B">
        <w:rPr>
          <w:rStyle w:val="kursiv"/>
        </w:rPr>
        <w:t>Kommuneproposisjonen 2023</w:t>
      </w:r>
      <w:r w:rsidRPr="00E73D4B">
        <w:t xml:space="preserve"> og </w:t>
      </w:r>
      <w:proofErr w:type="spellStart"/>
      <w:r w:rsidRPr="00E73D4B">
        <w:t>Innst</w:t>
      </w:r>
      <w:proofErr w:type="spellEnd"/>
      <w:r w:rsidRPr="00E73D4B">
        <w:t>. 460 S (2021–2022).</w:t>
      </w:r>
    </w:p>
    <w:p w14:paraId="1ECAE876" w14:textId="77777777" w:rsidR="00972395" w:rsidRPr="00E73D4B" w:rsidRDefault="00F120C7" w:rsidP="00E73D4B">
      <w:r w:rsidRPr="00E73D4B">
        <w:t xml:space="preserve">Dekninga for </w:t>
      </w:r>
      <w:proofErr w:type="spellStart"/>
      <w:r w:rsidRPr="00E73D4B">
        <w:t>dei</w:t>
      </w:r>
      <w:proofErr w:type="spellEnd"/>
      <w:r w:rsidRPr="00E73D4B">
        <w:t xml:space="preserve"> konkrete </w:t>
      </w:r>
      <w:proofErr w:type="spellStart"/>
      <w:r w:rsidRPr="00E73D4B">
        <w:t>institusjonane</w:t>
      </w:r>
      <w:proofErr w:type="spellEnd"/>
      <w:r w:rsidRPr="00E73D4B">
        <w:t xml:space="preserve"> og </w:t>
      </w:r>
      <w:proofErr w:type="spellStart"/>
      <w:r w:rsidRPr="00E73D4B">
        <w:t>stadane</w:t>
      </w:r>
      <w:proofErr w:type="spellEnd"/>
      <w:r w:rsidRPr="00E73D4B">
        <w:t xml:space="preserve"> som er </w:t>
      </w:r>
      <w:proofErr w:type="spellStart"/>
      <w:r w:rsidRPr="00E73D4B">
        <w:t>nemnt</w:t>
      </w:r>
      <w:proofErr w:type="spellEnd"/>
      <w:r w:rsidRPr="00E73D4B">
        <w:t xml:space="preserve"> i oppmodingsvedtaket er </w:t>
      </w:r>
      <w:proofErr w:type="spellStart"/>
      <w:r w:rsidRPr="00E73D4B">
        <w:t>tidlegare</w:t>
      </w:r>
      <w:proofErr w:type="spellEnd"/>
      <w:r w:rsidRPr="00E73D4B">
        <w:t xml:space="preserve"> estimert til å </w:t>
      </w:r>
      <w:proofErr w:type="spellStart"/>
      <w:r w:rsidRPr="00E73D4B">
        <w:t>vere</w:t>
      </w:r>
      <w:proofErr w:type="spellEnd"/>
      <w:r w:rsidRPr="00E73D4B">
        <w:t xml:space="preserve"> svært god, og </w:t>
      </w:r>
      <w:proofErr w:type="spellStart"/>
      <w:r w:rsidRPr="00E73D4B">
        <w:t>ein</w:t>
      </w:r>
      <w:proofErr w:type="spellEnd"/>
      <w:r w:rsidRPr="00E73D4B">
        <w:t xml:space="preserve"> analyse </w:t>
      </w:r>
      <w:proofErr w:type="spellStart"/>
      <w:r w:rsidRPr="00E73D4B">
        <w:t>frå</w:t>
      </w:r>
      <w:proofErr w:type="spellEnd"/>
      <w:r w:rsidRPr="00E73D4B">
        <w:t xml:space="preserve"> 2021 viser at det kan koste i underkant av 100 mill. kroner å dekke </w:t>
      </w:r>
      <w:proofErr w:type="spellStart"/>
      <w:r w:rsidRPr="00E73D4B">
        <w:t>dei</w:t>
      </w:r>
      <w:proofErr w:type="spellEnd"/>
      <w:r w:rsidRPr="00E73D4B">
        <w:t xml:space="preserve"> som </w:t>
      </w:r>
      <w:proofErr w:type="spellStart"/>
      <w:r w:rsidRPr="00E73D4B">
        <w:t>manglar</w:t>
      </w:r>
      <w:proofErr w:type="spellEnd"/>
      <w:r w:rsidRPr="00E73D4B">
        <w:t xml:space="preserve"> </w:t>
      </w:r>
      <w:proofErr w:type="spellStart"/>
      <w:r w:rsidRPr="00E73D4B">
        <w:t>gigabithastigheiter</w:t>
      </w:r>
      <w:proofErr w:type="spellEnd"/>
      <w:r w:rsidRPr="00E73D4B">
        <w:t xml:space="preserve">. </w:t>
      </w:r>
      <w:proofErr w:type="spellStart"/>
      <w:r w:rsidRPr="00E73D4B">
        <w:t>Tala</w:t>
      </w:r>
      <w:proofErr w:type="spellEnd"/>
      <w:r w:rsidRPr="00E73D4B">
        <w:t xml:space="preserve"> er usikre. Derfor arbeider Nasjonal kommunikasjonsmyndigheit </w:t>
      </w:r>
      <w:proofErr w:type="spellStart"/>
      <w:r w:rsidRPr="00E73D4B">
        <w:t>no</w:t>
      </w:r>
      <w:proofErr w:type="spellEnd"/>
      <w:r w:rsidRPr="00E73D4B">
        <w:t xml:space="preserve"> med å skaffe oppdaterte og detaljerte </w:t>
      </w:r>
      <w:proofErr w:type="spellStart"/>
      <w:r w:rsidRPr="00E73D4B">
        <w:t>dekningstal</w:t>
      </w:r>
      <w:proofErr w:type="spellEnd"/>
      <w:r w:rsidRPr="00E73D4B">
        <w:t>.</w:t>
      </w:r>
    </w:p>
    <w:p w14:paraId="6944B6B4" w14:textId="77777777" w:rsidR="00972395" w:rsidRPr="00E73D4B" w:rsidRDefault="00F120C7" w:rsidP="00E73D4B">
      <w:r w:rsidRPr="00E73D4B">
        <w:t xml:space="preserve">Departementet vil vurdere </w:t>
      </w:r>
      <w:proofErr w:type="spellStart"/>
      <w:r w:rsidRPr="00E73D4B">
        <w:t>desse</w:t>
      </w:r>
      <w:proofErr w:type="spellEnd"/>
      <w:r w:rsidRPr="00E73D4B">
        <w:t xml:space="preserve"> </w:t>
      </w:r>
      <w:proofErr w:type="spellStart"/>
      <w:r w:rsidRPr="00E73D4B">
        <w:t>tala</w:t>
      </w:r>
      <w:proofErr w:type="spellEnd"/>
      <w:r w:rsidRPr="00E73D4B">
        <w:t xml:space="preserve"> når </w:t>
      </w:r>
      <w:proofErr w:type="spellStart"/>
      <w:r w:rsidRPr="00E73D4B">
        <w:t>dei</w:t>
      </w:r>
      <w:proofErr w:type="spellEnd"/>
      <w:r w:rsidRPr="00E73D4B">
        <w:t xml:space="preserve"> er klare og vil vurdere om det er behov for </w:t>
      </w:r>
      <w:proofErr w:type="spellStart"/>
      <w:r w:rsidRPr="00E73D4B">
        <w:t>ytterlegare</w:t>
      </w:r>
      <w:proofErr w:type="spellEnd"/>
      <w:r w:rsidRPr="00E73D4B">
        <w:t xml:space="preserve"> utgreiing, og vil </w:t>
      </w:r>
      <w:proofErr w:type="spellStart"/>
      <w:r w:rsidRPr="00E73D4B">
        <w:t>kome</w:t>
      </w:r>
      <w:proofErr w:type="spellEnd"/>
      <w:r w:rsidRPr="00E73D4B">
        <w:t xml:space="preserve"> tilbake til Stortinget om saka på eigna måte.</w:t>
      </w:r>
    </w:p>
    <w:p w14:paraId="0C220E4E" w14:textId="77777777" w:rsidR="00972395" w:rsidRPr="00E73D4B" w:rsidRDefault="00F120C7" w:rsidP="00E73D4B">
      <w:pPr>
        <w:pStyle w:val="avsnitt-tittel"/>
      </w:pPr>
      <w:r w:rsidRPr="00E73D4B">
        <w:t>Frikommuneforsøk</w:t>
      </w:r>
    </w:p>
    <w:p w14:paraId="118B83EE" w14:textId="77777777" w:rsidR="00972395" w:rsidRPr="00E73D4B" w:rsidRDefault="00F120C7" w:rsidP="00E73D4B">
      <w:pPr>
        <w:pStyle w:val="avsnitt-undertittel"/>
      </w:pPr>
      <w:r w:rsidRPr="00E73D4B">
        <w:t>Vedtak nr. 792, 14. juni 2022</w:t>
      </w:r>
    </w:p>
    <w:p w14:paraId="305100C7" w14:textId="77777777" w:rsidR="00972395" w:rsidRPr="00E73D4B" w:rsidRDefault="00F120C7" w:rsidP="00E73D4B">
      <w:pPr>
        <w:pStyle w:val="blokksit"/>
        <w:rPr>
          <w:rStyle w:val="kursiv"/>
        </w:rPr>
      </w:pPr>
      <w:r w:rsidRPr="00E73D4B">
        <w:rPr>
          <w:rStyle w:val="kursiv"/>
        </w:rPr>
        <w:t>«Stortinget ber regjeringen legge til rette for etablering av frikommuneforsøk etter inspirasjon fra Danmark og komme til Stortinget med en sak om dette senest i forbindelse med statsbudsjettet for 2023.»</w:t>
      </w:r>
    </w:p>
    <w:p w14:paraId="2E97986D"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110 S (2021–2022) Kommuneproposisjonen 2023 og </w:t>
      </w:r>
      <w:proofErr w:type="spellStart"/>
      <w:r w:rsidRPr="00E73D4B">
        <w:t>Innst</w:t>
      </w:r>
      <w:proofErr w:type="spellEnd"/>
      <w:r w:rsidRPr="00E73D4B">
        <w:t>. 460 S (2021–2022).</w:t>
      </w:r>
    </w:p>
    <w:p w14:paraId="08BF680A" w14:textId="77777777" w:rsidR="00972395" w:rsidRPr="00E73D4B" w:rsidRDefault="00F120C7" w:rsidP="00E73D4B">
      <w:r w:rsidRPr="00E73D4B">
        <w:t xml:space="preserve">I Hurdalsplattforma varsla regjeringa at den vil gi større fridom til kommunale og regionale </w:t>
      </w:r>
      <w:proofErr w:type="spellStart"/>
      <w:r w:rsidRPr="00E73D4B">
        <w:t>myndigheiter</w:t>
      </w:r>
      <w:proofErr w:type="spellEnd"/>
      <w:r w:rsidRPr="00E73D4B">
        <w:t xml:space="preserve">, som </w:t>
      </w:r>
      <w:proofErr w:type="spellStart"/>
      <w:r w:rsidRPr="00E73D4B">
        <w:t>ein</w:t>
      </w:r>
      <w:proofErr w:type="spellEnd"/>
      <w:r w:rsidRPr="00E73D4B">
        <w:t xml:space="preserve"> del av </w:t>
      </w:r>
      <w:proofErr w:type="spellStart"/>
      <w:r w:rsidRPr="00E73D4B">
        <w:t>tillitsreforma</w:t>
      </w:r>
      <w:proofErr w:type="spellEnd"/>
      <w:r w:rsidRPr="00E73D4B">
        <w:t xml:space="preserve">. Forsøk </w:t>
      </w:r>
      <w:proofErr w:type="spellStart"/>
      <w:r w:rsidRPr="00E73D4B">
        <w:t>gjer</w:t>
      </w:r>
      <w:proofErr w:type="spellEnd"/>
      <w:r w:rsidRPr="00E73D4B">
        <w:t xml:space="preserve"> det </w:t>
      </w:r>
      <w:proofErr w:type="spellStart"/>
      <w:r w:rsidRPr="00E73D4B">
        <w:t>mogleg</w:t>
      </w:r>
      <w:proofErr w:type="spellEnd"/>
      <w:r w:rsidRPr="00E73D4B">
        <w:t xml:space="preserve"> å drive innovasjon og utprøving der </w:t>
      </w:r>
      <w:proofErr w:type="spellStart"/>
      <w:r w:rsidRPr="00E73D4B">
        <w:t>kommunane</w:t>
      </w:r>
      <w:proofErr w:type="spellEnd"/>
      <w:r w:rsidRPr="00E73D4B">
        <w:t xml:space="preserve"> får unntak </w:t>
      </w:r>
      <w:proofErr w:type="spellStart"/>
      <w:r w:rsidRPr="00E73D4B">
        <w:t>frå</w:t>
      </w:r>
      <w:proofErr w:type="spellEnd"/>
      <w:r w:rsidRPr="00E73D4B">
        <w:t xml:space="preserve"> krav i lov og forskrift. Forsøkslova gir heimel for å igangsette forsøk, og </w:t>
      </w:r>
      <w:proofErr w:type="spellStart"/>
      <w:r w:rsidRPr="00E73D4B">
        <w:t>ein</w:t>
      </w:r>
      <w:proofErr w:type="spellEnd"/>
      <w:r w:rsidRPr="00E73D4B">
        <w:t xml:space="preserve"> del andre lover har spesifikke </w:t>
      </w:r>
      <w:proofErr w:type="spellStart"/>
      <w:r w:rsidRPr="00E73D4B">
        <w:t>heimlar</w:t>
      </w:r>
      <w:proofErr w:type="spellEnd"/>
      <w:r w:rsidRPr="00E73D4B">
        <w:t xml:space="preserve"> for å gi unntak </w:t>
      </w:r>
      <w:proofErr w:type="spellStart"/>
      <w:r w:rsidRPr="00E73D4B">
        <w:t>frå</w:t>
      </w:r>
      <w:proofErr w:type="spellEnd"/>
      <w:r w:rsidRPr="00E73D4B">
        <w:t xml:space="preserve"> lovkrav gjennom forsøk.</w:t>
      </w:r>
    </w:p>
    <w:p w14:paraId="32070453" w14:textId="77777777" w:rsidR="00972395" w:rsidRPr="00E73D4B" w:rsidRDefault="00F120C7" w:rsidP="00E73D4B">
      <w:r w:rsidRPr="00E73D4B">
        <w:t xml:space="preserve">Regjeringa arbeider </w:t>
      </w:r>
      <w:proofErr w:type="spellStart"/>
      <w:r w:rsidRPr="00E73D4B">
        <w:t>no</w:t>
      </w:r>
      <w:proofErr w:type="spellEnd"/>
      <w:r w:rsidRPr="00E73D4B">
        <w:t xml:space="preserve"> med sikte på å etablere ei frikommuneordning </w:t>
      </w:r>
      <w:proofErr w:type="spellStart"/>
      <w:r w:rsidRPr="00E73D4B">
        <w:t>innanfor</w:t>
      </w:r>
      <w:proofErr w:type="spellEnd"/>
      <w:r w:rsidRPr="00E73D4B">
        <w:t xml:space="preserve"> </w:t>
      </w:r>
      <w:proofErr w:type="spellStart"/>
      <w:r w:rsidRPr="00E73D4B">
        <w:t>gjeldande</w:t>
      </w:r>
      <w:proofErr w:type="spellEnd"/>
      <w:r w:rsidRPr="00E73D4B">
        <w:t xml:space="preserve"> </w:t>
      </w:r>
      <w:proofErr w:type="spellStart"/>
      <w:r w:rsidRPr="00E73D4B">
        <w:t>forsøksheimlar</w:t>
      </w:r>
      <w:proofErr w:type="spellEnd"/>
      <w:r w:rsidRPr="00E73D4B">
        <w:t xml:space="preserve">. Regjeringa tar sikte på i løpet av første halvår 2023 å invitere </w:t>
      </w:r>
      <w:proofErr w:type="spellStart"/>
      <w:r w:rsidRPr="00E73D4B">
        <w:t>kommunar</w:t>
      </w:r>
      <w:proofErr w:type="spellEnd"/>
      <w:r w:rsidRPr="00E73D4B">
        <w:t xml:space="preserve"> og </w:t>
      </w:r>
      <w:proofErr w:type="spellStart"/>
      <w:r w:rsidRPr="00E73D4B">
        <w:t>fylkeskommunar</w:t>
      </w:r>
      <w:proofErr w:type="spellEnd"/>
      <w:r w:rsidRPr="00E73D4B">
        <w:t xml:space="preserve"> til å </w:t>
      </w:r>
      <w:proofErr w:type="spellStart"/>
      <w:r w:rsidRPr="00E73D4B">
        <w:t>søkje</w:t>
      </w:r>
      <w:proofErr w:type="spellEnd"/>
      <w:r w:rsidRPr="00E73D4B">
        <w:t xml:space="preserve"> om deltaking i forsøk </w:t>
      </w:r>
      <w:proofErr w:type="spellStart"/>
      <w:r w:rsidRPr="00E73D4B">
        <w:t>innanfor</w:t>
      </w:r>
      <w:proofErr w:type="spellEnd"/>
      <w:r w:rsidRPr="00E73D4B">
        <w:t xml:space="preserve"> </w:t>
      </w:r>
      <w:proofErr w:type="spellStart"/>
      <w:r w:rsidRPr="00E73D4B">
        <w:t>utvalde</w:t>
      </w:r>
      <w:proofErr w:type="spellEnd"/>
      <w:r w:rsidRPr="00E73D4B">
        <w:t xml:space="preserve"> lovområder. </w:t>
      </w:r>
      <w:proofErr w:type="spellStart"/>
      <w:r w:rsidRPr="00E73D4B">
        <w:t>Særleg</w:t>
      </w:r>
      <w:proofErr w:type="spellEnd"/>
      <w:r w:rsidRPr="00E73D4B">
        <w:t xml:space="preserve"> aktuelle område kan til dømes </w:t>
      </w:r>
      <w:proofErr w:type="spellStart"/>
      <w:r w:rsidRPr="00E73D4B">
        <w:t>vere</w:t>
      </w:r>
      <w:proofErr w:type="spellEnd"/>
      <w:r w:rsidRPr="00E73D4B">
        <w:t xml:space="preserve"> integrering, helse, omsorg, oppvekst, opplæring, miljø, plan og bygg. Kommunal- og </w:t>
      </w:r>
      <w:proofErr w:type="spellStart"/>
      <w:r w:rsidRPr="00E73D4B">
        <w:t>distriktsdepartementet</w:t>
      </w:r>
      <w:proofErr w:type="spellEnd"/>
      <w:r w:rsidRPr="00E73D4B">
        <w:t xml:space="preserve"> og aktuelle fagdepartement kan etter ei vurdering av søknadene gi unntak </w:t>
      </w:r>
      <w:proofErr w:type="spellStart"/>
      <w:r w:rsidRPr="00E73D4B">
        <w:t>frå</w:t>
      </w:r>
      <w:proofErr w:type="spellEnd"/>
      <w:r w:rsidRPr="00E73D4B">
        <w:t xml:space="preserve"> </w:t>
      </w:r>
      <w:proofErr w:type="spellStart"/>
      <w:r w:rsidRPr="00E73D4B">
        <w:t>gjeldande</w:t>
      </w:r>
      <w:proofErr w:type="spellEnd"/>
      <w:r w:rsidRPr="00E73D4B">
        <w:t xml:space="preserve"> lovkrav med heimel i forsøkslova eller </w:t>
      </w:r>
      <w:proofErr w:type="spellStart"/>
      <w:r w:rsidRPr="00E73D4B">
        <w:t>forsøksheimlar</w:t>
      </w:r>
      <w:proofErr w:type="spellEnd"/>
      <w:r w:rsidRPr="00E73D4B">
        <w:t xml:space="preserve"> i særlover. Forsøka bør ha </w:t>
      </w:r>
      <w:proofErr w:type="spellStart"/>
      <w:r w:rsidRPr="00E73D4B">
        <w:t>ein</w:t>
      </w:r>
      <w:proofErr w:type="spellEnd"/>
      <w:r w:rsidRPr="00E73D4B">
        <w:t xml:space="preserve"> </w:t>
      </w:r>
      <w:proofErr w:type="spellStart"/>
      <w:r w:rsidRPr="00E73D4B">
        <w:t>varigheit</w:t>
      </w:r>
      <w:proofErr w:type="spellEnd"/>
      <w:r w:rsidRPr="00E73D4B">
        <w:t xml:space="preserve"> som er </w:t>
      </w:r>
      <w:proofErr w:type="spellStart"/>
      <w:r w:rsidRPr="00E73D4B">
        <w:t>tilstrekkeleg</w:t>
      </w:r>
      <w:proofErr w:type="spellEnd"/>
      <w:r w:rsidRPr="00E73D4B">
        <w:t xml:space="preserve"> lang til å vurdere om </w:t>
      </w:r>
      <w:proofErr w:type="spellStart"/>
      <w:r w:rsidRPr="00E73D4B">
        <w:t>føremålet</w:t>
      </w:r>
      <w:proofErr w:type="spellEnd"/>
      <w:r w:rsidRPr="00E73D4B">
        <w:t xml:space="preserve"> med forsøket blir oppnådd, normalt tre til fire år.</w:t>
      </w:r>
    </w:p>
    <w:p w14:paraId="523DC2F0" w14:textId="77777777" w:rsidR="00972395" w:rsidRPr="00E73D4B" w:rsidRDefault="00F120C7" w:rsidP="00E73D4B">
      <w:r w:rsidRPr="00E73D4B">
        <w:t xml:space="preserve">Regjeringa tar sikte på å etablere </w:t>
      </w:r>
      <w:proofErr w:type="spellStart"/>
      <w:r w:rsidRPr="00E73D4B">
        <w:t>eit</w:t>
      </w:r>
      <w:proofErr w:type="spellEnd"/>
      <w:r w:rsidRPr="00E73D4B">
        <w:t xml:space="preserve"> opplegg for evaluering og erfaringsutveksling som del av ordninga med frikommuneforsøk.</w:t>
      </w:r>
    </w:p>
    <w:p w14:paraId="266C4269" w14:textId="77777777" w:rsidR="00972395" w:rsidRPr="00E73D4B" w:rsidRDefault="00F120C7" w:rsidP="00E73D4B">
      <w:r w:rsidRPr="00E73D4B">
        <w:t xml:space="preserve">Departementet vil invitere KS til </w:t>
      </w:r>
      <w:proofErr w:type="spellStart"/>
      <w:r w:rsidRPr="00E73D4B">
        <w:t>eit</w:t>
      </w:r>
      <w:proofErr w:type="spellEnd"/>
      <w:r w:rsidRPr="00E73D4B">
        <w:t xml:space="preserve"> samarbeid om oppfølging av </w:t>
      </w:r>
      <w:proofErr w:type="spellStart"/>
      <w:r w:rsidRPr="00E73D4B">
        <w:t>kommunar</w:t>
      </w:r>
      <w:proofErr w:type="spellEnd"/>
      <w:r w:rsidRPr="00E73D4B">
        <w:t xml:space="preserve"> som blir tatt opp i forsøksordninga.</w:t>
      </w:r>
    </w:p>
    <w:p w14:paraId="223C8C17" w14:textId="77777777" w:rsidR="00972395" w:rsidRPr="00E73D4B" w:rsidRDefault="00F120C7" w:rsidP="00E73D4B">
      <w:pPr>
        <w:pStyle w:val="avsnitt-tittel"/>
      </w:pPr>
      <w:proofErr w:type="spellStart"/>
      <w:r w:rsidRPr="00E73D4B">
        <w:t>Lønsutval</w:t>
      </w:r>
      <w:proofErr w:type="spellEnd"/>
      <w:r w:rsidRPr="00E73D4B">
        <w:t xml:space="preserve"> for </w:t>
      </w:r>
      <w:proofErr w:type="spellStart"/>
      <w:r w:rsidRPr="00E73D4B">
        <w:t>lønssystemet</w:t>
      </w:r>
      <w:proofErr w:type="spellEnd"/>
      <w:r w:rsidRPr="00E73D4B">
        <w:t xml:space="preserve"> i staten</w:t>
      </w:r>
    </w:p>
    <w:p w14:paraId="07D70EF3" w14:textId="77777777" w:rsidR="00972395" w:rsidRPr="00E73D4B" w:rsidRDefault="00F120C7" w:rsidP="00E73D4B">
      <w:pPr>
        <w:pStyle w:val="avsnitt-undertittel"/>
      </w:pPr>
      <w:r w:rsidRPr="00E73D4B">
        <w:t>Vedtak nr. 817, 17. juni 2022</w:t>
      </w:r>
    </w:p>
    <w:p w14:paraId="6065236B" w14:textId="77777777" w:rsidR="00972395" w:rsidRPr="00E73D4B" w:rsidRDefault="00F120C7" w:rsidP="00E73D4B">
      <w:pPr>
        <w:pStyle w:val="blokksit"/>
        <w:rPr>
          <w:rStyle w:val="kursiv"/>
        </w:rPr>
      </w:pPr>
      <w:r w:rsidRPr="00E73D4B">
        <w:rPr>
          <w:rStyle w:val="kursiv"/>
        </w:rPr>
        <w:t>«Stortinget ber regjeringen sette ned et lønnsutvalg som ser på lønnssystemet i staten og legger fram sine anbefalinger i god tid før hovedforhandlingene i 2024 begynner.»</w:t>
      </w:r>
    </w:p>
    <w:p w14:paraId="230CA0FB"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128 S (2021–2022) </w:t>
      </w:r>
      <w:proofErr w:type="spellStart"/>
      <w:r w:rsidRPr="00E73D4B">
        <w:rPr>
          <w:rStyle w:val="kursiv"/>
        </w:rPr>
        <w:t>Endringar</w:t>
      </w:r>
      <w:proofErr w:type="spellEnd"/>
      <w:r w:rsidRPr="00E73D4B">
        <w:rPr>
          <w:rStyle w:val="kursiv"/>
        </w:rPr>
        <w:t xml:space="preserve"> i statsbudsjettet 2022</w:t>
      </w:r>
      <w:r w:rsidRPr="00E73D4B">
        <w:t xml:space="preserve"> under Finansdepartementet og Kommunal- og </w:t>
      </w:r>
      <w:proofErr w:type="spellStart"/>
      <w:r w:rsidRPr="00E73D4B">
        <w:t>distriktsdepartementet</w:t>
      </w:r>
      <w:proofErr w:type="spellEnd"/>
      <w:r w:rsidRPr="00E73D4B">
        <w:t xml:space="preserve"> </w:t>
      </w:r>
      <w:r w:rsidRPr="00E73D4B">
        <w:rPr>
          <w:rStyle w:val="kursiv"/>
        </w:rPr>
        <w:t>(</w:t>
      </w:r>
      <w:proofErr w:type="spellStart"/>
      <w:r w:rsidRPr="00E73D4B">
        <w:rPr>
          <w:rStyle w:val="kursiv"/>
        </w:rPr>
        <w:t>Lønsregulering</w:t>
      </w:r>
      <w:proofErr w:type="spellEnd"/>
      <w:r w:rsidRPr="00E73D4B">
        <w:rPr>
          <w:rStyle w:val="kursiv"/>
        </w:rPr>
        <w:t xml:space="preserve"> for </w:t>
      </w:r>
      <w:proofErr w:type="spellStart"/>
      <w:r w:rsidRPr="00E73D4B">
        <w:rPr>
          <w:rStyle w:val="kursiv"/>
        </w:rPr>
        <w:t>arbeidstakarar</w:t>
      </w:r>
      <w:proofErr w:type="spellEnd"/>
      <w:r w:rsidRPr="00E73D4B">
        <w:rPr>
          <w:rStyle w:val="kursiv"/>
        </w:rPr>
        <w:t xml:space="preserve"> i det </w:t>
      </w:r>
      <w:proofErr w:type="spellStart"/>
      <w:r w:rsidRPr="00E73D4B">
        <w:rPr>
          <w:rStyle w:val="kursiv"/>
        </w:rPr>
        <w:t>statlege</w:t>
      </w:r>
      <w:proofErr w:type="spellEnd"/>
      <w:r w:rsidRPr="00E73D4B">
        <w:rPr>
          <w:rStyle w:val="kursiv"/>
        </w:rPr>
        <w:t xml:space="preserve"> tariffområdet 2022 m.m.)</w:t>
      </w:r>
      <w:r w:rsidRPr="00E73D4B">
        <w:t xml:space="preserve"> og </w:t>
      </w:r>
      <w:proofErr w:type="spellStart"/>
      <w:r w:rsidRPr="00E73D4B">
        <w:t>Innst</w:t>
      </w:r>
      <w:proofErr w:type="spellEnd"/>
      <w:r w:rsidRPr="00E73D4B">
        <w:t>. 466 S (2021–2022).</w:t>
      </w:r>
    </w:p>
    <w:p w14:paraId="3688803F" w14:textId="77777777" w:rsidR="00972395" w:rsidRPr="00E73D4B" w:rsidRDefault="00F120C7" w:rsidP="00E73D4B">
      <w:r w:rsidRPr="00E73D4B">
        <w:t xml:space="preserve">Departementet vil invitere alle </w:t>
      </w:r>
      <w:proofErr w:type="spellStart"/>
      <w:r w:rsidRPr="00E73D4B">
        <w:t>hovudsammenslutningane</w:t>
      </w:r>
      <w:proofErr w:type="spellEnd"/>
      <w:r w:rsidRPr="00E73D4B">
        <w:t xml:space="preserve"> til </w:t>
      </w:r>
      <w:proofErr w:type="spellStart"/>
      <w:r w:rsidRPr="00E73D4B">
        <w:t>eit</w:t>
      </w:r>
      <w:proofErr w:type="spellEnd"/>
      <w:r w:rsidRPr="00E73D4B">
        <w:t xml:space="preserve"> partssammensatt </w:t>
      </w:r>
      <w:proofErr w:type="spellStart"/>
      <w:r w:rsidRPr="00E73D4B">
        <w:t>utval</w:t>
      </w:r>
      <w:proofErr w:type="spellEnd"/>
      <w:r w:rsidRPr="00E73D4B">
        <w:t xml:space="preserve"> med representasjon </w:t>
      </w:r>
      <w:proofErr w:type="spellStart"/>
      <w:r w:rsidRPr="00E73D4B">
        <w:t>frå</w:t>
      </w:r>
      <w:proofErr w:type="spellEnd"/>
      <w:r w:rsidRPr="00E73D4B">
        <w:t xml:space="preserve"> alle </w:t>
      </w:r>
      <w:proofErr w:type="spellStart"/>
      <w:r w:rsidRPr="00E73D4B">
        <w:t>hovudsamanslutningane</w:t>
      </w:r>
      <w:proofErr w:type="spellEnd"/>
      <w:r w:rsidRPr="00E73D4B">
        <w:t xml:space="preserve"> i staten. </w:t>
      </w:r>
      <w:proofErr w:type="spellStart"/>
      <w:r w:rsidRPr="00E73D4B">
        <w:t>Utvalet</w:t>
      </w:r>
      <w:proofErr w:type="spellEnd"/>
      <w:r w:rsidRPr="00E73D4B">
        <w:t xml:space="preserve"> vil kunne gi sine </w:t>
      </w:r>
      <w:proofErr w:type="spellStart"/>
      <w:r w:rsidRPr="00E73D4B">
        <w:t>tilrådingar</w:t>
      </w:r>
      <w:proofErr w:type="spellEnd"/>
      <w:r w:rsidRPr="00E73D4B">
        <w:t xml:space="preserve"> i god tid før </w:t>
      </w:r>
      <w:proofErr w:type="spellStart"/>
      <w:r w:rsidRPr="00E73D4B">
        <w:t>hovudtariffoppgjeret</w:t>
      </w:r>
      <w:proofErr w:type="spellEnd"/>
      <w:r w:rsidRPr="00E73D4B">
        <w:t xml:space="preserve"> i 2024.</w:t>
      </w:r>
    </w:p>
    <w:p w14:paraId="2DACBA2B"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566ECFD2" w14:textId="77777777" w:rsidR="00972395" w:rsidRPr="00E73D4B" w:rsidRDefault="00F120C7" w:rsidP="00E73D4B">
      <w:pPr>
        <w:pStyle w:val="avsnitt-tittel"/>
      </w:pPr>
      <w:r w:rsidRPr="00E73D4B">
        <w:t xml:space="preserve">Like </w:t>
      </w:r>
      <w:proofErr w:type="spellStart"/>
      <w:r w:rsidRPr="00E73D4B">
        <w:t>hovudtariffavtalar</w:t>
      </w:r>
      <w:proofErr w:type="spellEnd"/>
    </w:p>
    <w:p w14:paraId="7427A113" w14:textId="77777777" w:rsidR="00972395" w:rsidRPr="00E73D4B" w:rsidRDefault="00F120C7" w:rsidP="00E73D4B">
      <w:pPr>
        <w:pStyle w:val="avsnitt-undertittel"/>
      </w:pPr>
      <w:r w:rsidRPr="00E73D4B">
        <w:t>Vedtak nr. 818, 17. juni 2022</w:t>
      </w:r>
    </w:p>
    <w:p w14:paraId="2F5B446C" w14:textId="77777777" w:rsidR="00972395" w:rsidRPr="00E73D4B" w:rsidRDefault="00F120C7" w:rsidP="00E73D4B">
      <w:pPr>
        <w:pStyle w:val="blokksit"/>
        <w:rPr>
          <w:rStyle w:val="kursiv"/>
        </w:rPr>
      </w:pPr>
      <w:r w:rsidRPr="00E73D4B">
        <w:rPr>
          <w:rStyle w:val="kursiv"/>
        </w:rPr>
        <w:t>«Stortinget ber regjeringen starte et arbeid for å oppnå likelydende hovedtariffavtaler til hovedoppgjøret i 2024.»</w:t>
      </w:r>
    </w:p>
    <w:p w14:paraId="5B5CBA13"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128 S (2021–2022) </w:t>
      </w:r>
      <w:proofErr w:type="spellStart"/>
      <w:r w:rsidRPr="00E73D4B">
        <w:rPr>
          <w:rStyle w:val="kursiv"/>
        </w:rPr>
        <w:t>Endringar</w:t>
      </w:r>
      <w:proofErr w:type="spellEnd"/>
      <w:r w:rsidRPr="00E73D4B">
        <w:rPr>
          <w:rStyle w:val="kursiv"/>
        </w:rPr>
        <w:t xml:space="preserve"> i statsbudsjettet 2022 under Finansdepartementet og Kommunal- og </w:t>
      </w:r>
      <w:proofErr w:type="spellStart"/>
      <w:r w:rsidRPr="00E73D4B">
        <w:rPr>
          <w:rStyle w:val="kursiv"/>
        </w:rPr>
        <w:t>distriktsdepartementet</w:t>
      </w:r>
      <w:proofErr w:type="spellEnd"/>
      <w:r w:rsidRPr="00E73D4B">
        <w:rPr>
          <w:rStyle w:val="kursiv"/>
        </w:rPr>
        <w:t xml:space="preserve"> (</w:t>
      </w:r>
      <w:proofErr w:type="spellStart"/>
      <w:r w:rsidRPr="00E73D4B">
        <w:rPr>
          <w:rStyle w:val="kursiv"/>
        </w:rPr>
        <w:t>Lønsregulering</w:t>
      </w:r>
      <w:proofErr w:type="spellEnd"/>
      <w:r w:rsidRPr="00E73D4B">
        <w:rPr>
          <w:rStyle w:val="kursiv"/>
        </w:rPr>
        <w:t xml:space="preserve"> for </w:t>
      </w:r>
      <w:proofErr w:type="spellStart"/>
      <w:r w:rsidRPr="00E73D4B">
        <w:rPr>
          <w:rStyle w:val="kursiv"/>
        </w:rPr>
        <w:t>arbeidstakarar</w:t>
      </w:r>
      <w:proofErr w:type="spellEnd"/>
      <w:r w:rsidRPr="00E73D4B">
        <w:rPr>
          <w:rStyle w:val="kursiv"/>
        </w:rPr>
        <w:t xml:space="preserve"> i det </w:t>
      </w:r>
      <w:proofErr w:type="spellStart"/>
      <w:r w:rsidRPr="00E73D4B">
        <w:rPr>
          <w:rStyle w:val="kursiv"/>
        </w:rPr>
        <w:t>statlege</w:t>
      </w:r>
      <w:proofErr w:type="spellEnd"/>
      <w:r w:rsidRPr="00E73D4B">
        <w:rPr>
          <w:rStyle w:val="kursiv"/>
        </w:rPr>
        <w:t xml:space="preserve"> tariffområdet 2022 m.m.)</w:t>
      </w:r>
      <w:r w:rsidRPr="00E73D4B">
        <w:t xml:space="preserve"> og </w:t>
      </w:r>
      <w:proofErr w:type="spellStart"/>
      <w:r w:rsidRPr="00E73D4B">
        <w:t>Innst</w:t>
      </w:r>
      <w:proofErr w:type="spellEnd"/>
      <w:r w:rsidRPr="00E73D4B">
        <w:t>. 466 S (2021–2022).</w:t>
      </w:r>
    </w:p>
    <w:p w14:paraId="0F5B58C0" w14:textId="77777777" w:rsidR="00972395" w:rsidRPr="00E73D4B" w:rsidRDefault="00F120C7" w:rsidP="00E73D4B">
      <w:r w:rsidRPr="00E73D4B">
        <w:t xml:space="preserve">Regjeringa har som mål å få </w:t>
      </w:r>
      <w:proofErr w:type="spellStart"/>
      <w:r w:rsidRPr="00E73D4B">
        <w:t>hovudsamanslutningane</w:t>
      </w:r>
      <w:proofErr w:type="spellEnd"/>
      <w:r w:rsidRPr="00E73D4B">
        <w:t xml:space="preserve"> til å samle seg om like </w:t>
      </w:r>
      <w:proofErr w:type="spellStart"/>
      <w:r w:rsidRPr="00E73D4B">
        <w:t>hovudtariffavtalar</w:t>
      </w:r>
      <w:proofErr w:type="spellEnd"/>
      <w:r w:rsidRPr="00E73D4B">
        <w:t xml:space="preserve"> på sikt. </w:t>
      </w:r>
      <w:proofErr w:type="spellStart"/>
      <w:r w:rsidRPr="00E73D4B">
        <w:t>Partane</w:t>
      </w:r>
      <w:proofErr w:type="spellEnd"/>
      <w:r w:rsidRPr="00E73D4B">
        <w:t xml:space="preserve"> gjorde viktige tiltak for å oppnå dette i årets </w:t>
      </w:r>
      <w:proofErr w:type="spellStart"/>
      <w:r w:rsidRPr="00E73D4B">
        <w:t>tariffoppgjer</w:t>
      </w:r>
      <w:proofErr w:type="spellEnd"/>
      <w:r w:rsidRPr="00E73D4B">
        <w:t xml:space="preserve">. Kommunal- og </w:t>
      </w:r>
      <w:proofErr w:type="spellStart"/>
      <w:r w:rsidRPr="00E73D4B">
        <w:t>distriktsdepartementet</w:t>
      </w:r>
      <w:proofErr w:type="spellEnd"/>
      <w:r w:rsidRPr="00E73D4B">
        <w:t xml:space="preserve"> har starta arbeidet, og vil gå i dialog med alle </w:t>
      </w:r>
      <w:proofErr w:type="spellStart"/>
      <w:r w:rsidRPr="00E73D4B">
        <w:t>hovudsamanslutningane</w:t>
      </w:r>
      <w:proofErr w:type="spellEnd"/>
      <w:r w:rsidRPr="00E73D4B">
        <w:t xml:space="preserve"> i staten med sikte på å </w:t>
      </w:r>
      <w:proofErr w:type="spellStart"/>
      <w:r w:rsidRPr="00E73D4B">
        <w:t>kome</w:t>
      </w:r>
      <w:proofErr w:type="spellEnd"/>
      <w:r w:rsidRPr="00E73D4B">
        <w:t xml:space="preserve"> til </w:t>
      </w:r>
      <w:proofErr w:type="spellStart"/>
      <w:r w:rsidRPr="00E73D4B">
        <w:t>einigheit</w:t>
      </w:r>
      <w:proofErr w:type="spellEnd"/>
      <w:r w:rsidRPr="00E73D4B">
        <w:t xml:space="preserve"> om like </w:t>
      </w:r>
      <w:proofErr w:type="spellStart"/>
      <w:r w:rsidRPr="00E73D4B">
        <w:t>hovudtariffavtalar</w:t>
      </w:r>
      <w:proofErr w:type="spellEnd"/>
      <w:r w:rsidRPr="00E73D4B">
        <w:t xml:space="preserve"> i </w:t>
      </w:r>
      <w:proofErr w:type="spellStart"/>
      <w:r w:rsidRPr="00E73D4B">
        <w:t>hovudtariffoppgjeret</w:t>
      </w:r>
      <w:proofErr w:type="spellEnd"/>
      <w:r w:rsidRPr="00E73D4B">
        <w:t xml:space="preserve"> i 2024.</w:t>
      </w:r>
    </w:p>
    <w:p w14:paraId="3E687C2A"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49703CDC" w14:textId="77777777" w:rsidR="00972395" w:rsidRPr="00E73D4B" w:rsidRDefault="00F120C7" w:rsidP="00E73D4B">
      <w:pPr>
        <w:pStyle w:val="avsnitt-tittel"/>
      </w:pPr>
      <w:proofErr w:type="spellStart"/>
      <w:r w:rsidRPr="00E73D4B">
        <w:t>Meirutgifter</w:t>
      </w:r>
      <w:proofErr w:type="spellEnd"/>
      <w:r w:rsidRPr="00E73D4B">
        <w:t xml:space="preserve"> til pandemien i </w:t>
      </w:r>
      <w:proofErr w:type="spellStart"/>
      <w:r w:rsidRPr="00E73D4B">
        <w:t>kommunane</w:t>
      </w:r>
      <w:proofErr w:type="spellEnd"/>
      <w:r w:rsidRPr="00E73D4B">
        <w:t xml:space="preserve"> og </w:t>
      </w:r>
      <w:proofErr w:type="spellStart"/>
      <w:r w:rsidRPr="00E73D4B">
        <w:t>fylkeskommunane</w:t>
      </w:r>
      <w:proofErr w:type="spellEnd"/>
    </w:p>
    <w:p w14:paraId="71DBA972" w14:textId="77777777" w:rsidR="00972395" w:rsidRPr="00E73D4B" w:rsidRDefault="00F120C7" w:rsidP="00E73D4B">
      <w:pPr>
        <w:pStyle w:val="avsnitt-undertittel"/>
      </w:pPr>
      <w:r w:rsidRPr="00E73D4B">
        <w:t>Vedtak nr. 828, 17. juni 2022</w:t>
      </w:r>
    </w:p>
    <w:p w14:paraId="13007F57" w14:textId="77777777" w:rsidR="00972395" w:rsidRPr="00E73D4B" w:rsidRDefault="00F120C7" w:rsidP="00E73D4B">
      <w:pPr>
        <w:pStyle w:val="blokksit"/>
        <w:rPr>
          <w:rStyle w:val="kursiv"/>
        </w:rPr>
      </w:pPr>
      <w:r w:rsidRPr="00E73D4B">
        <w:rPr>
          <w:rStyle w:val="kursiv"/>
        </w:rPr>
        <w:t>«Stortinget ber regjeringen fremme forslag i nysalderingen av statsbudsjettet for 2022 om å kompensere merutgifter til pandemien i kommunene og fylkeskommunene i perioden 2020 til første halvår 2022.»</w:t>
      </w:r>
    </w:p>
    <w:p w14:paraId="1521E913" w14:textId="77777777" w:rsidR="00972395" w:rsidRPr="00E73D4B" w:rsidRDefault="00F120C7" w:rsidP="00E73D4B">
      <w:r w:rsidRPr="00E73D4B">
        <w:t xml:space="preserve">Dokumenta som ligg til grunn for vedtaket, er Meld. St. 2 (2021–2022) </w:t>
      </w:r>
      <w:r w:rsidRPr="00E73D4B">
        <w:rPr>
          <w:rStyle w:val="kursiv"/>
        </w:rPr>
        <w:t>Revidert nasjonalbudsjett 2022</w:t>
      </w:r>
      <w:r w:rsidRPr="00E73D4B">
        <w:t xml:space="preserve"> og </w:t>
      </w:r>
      <w:proofErr w:type="spellStart"/>
      <w:r w:rsidRPr="00E73D4B">
        <w:t>Innst</w:t>
      </w:r>
      <w:proofErr w:type="spellEnd"/>
      <w:r w:rsidRPr="00E73D4B">
        <w:t>. 450 S (2021–2022).</w:t>
      </w:r>
    </w:p>
    <w:p w14:paraId="50F747C8" w14:textId="77777777" w:rsidR="00972395" w:rsidRPr="00E73D4B" w:rsidRDefault="00F120C7" w:rsidP="00E73D4B">
      <w:r w:rsidRPr="00E73D4B">
        <w:t xml:space="preserve">Arbeidsgruppa som kartlegg kommunesektorens </w:t>
      </w:r>
      <w:proofErr w:type="spellStart"/>
      <w:r w:rsidRPr="00E73D4B">
        <w:t>meirutgifter</w:t>
      </w:r>
      <w:proofErr w:type="spellEnd"/>
      <w:r w:rsidRPr="00E73D4B">
        <w:t xml:space="preserve"> og inntektsbortfall som </w:t>
      </w:r>
      <w:proofErr w:type="spellStart"/>
      <w:r w:rsidRPr="00E73D4B">
        <w:t>følgje</w:t>
      </w:r>
      <w:proofErr w:type="spellEnd"/>
      <w:r w:rsidRPr="00E73D4B">
        <w:t xml:space="preserve"> av koronapandemien, har lagt fram rapport om </w:t>
      </w:r>
      <w:proofErr w:type="spellStart"/>
      <w:r w:rsidRPr="00E73D4B">
        <w:t>dei</w:t>
      </w:r>
      <w:proofErr w:type="spellEnd"/>
      <w:r w:rsidRPr="00E73D4B">
        <w:t xml:space="preserve"> økonomiske </w:t>
      </w:r>
      <w:proofErr w:type="spellStart"/>
      <w:r w:rsidRPr="00E73D4B">
        <w:t>konsekvensane</w:t>
      </w:r>
      <w:proofErr w:type="spellEnd"/>
      <w:r w:rsidRPr="00E73D4B">
        <w:t xml:space="preserve"> av pandemien i 1. halvår 2022. Regjeringa vil i nysalderinga av statsbudsjettet for 2022 komme tilbake til saka.</w:t>
      </w:r>
    </w:p>
    <w:p w14:paraId="3989A13E" w14:textId="77777777" w:rsidR="00972395" w:rsidRPr="00E73D4B" w:rsidRDefault="00F120C7" w:rsidP="00E73D4B">
      <w:pPr>
        <w:pStyle w:val="avsnitt-tittel"/>
      </w:pPr>
      <w:proofErr w:type="spellStart"/>
      <w:r w:rsidRPr="00E73D4B">
        <w:t>Mellombelse</w:t>
      </w:r>
      <w:proofErr w:type="spellEnd"/>
      <w:r w:rsidRPr="00E73D4B">
        <w:t xml:space="preserve"> </w:t>
      </w:r>
      <w:proofErr w:type="spellStart"/>
      <w:r w:rsidRPr="00E73D4B">
        <w:t>reglar</w:t>
      </w:r>
      <w:proofErr w:type="spellEnd"/>
      <w:r w:rsidRPr="00E73D4B">
        <w:t xml:space="preserve"> i bustøtta i juni–september</w:t>
      </w:r>
    </w:p>
    <w:p w14:paraId="6FFB9C57" w14:textId="77777777" w:rsidR="00972395" w:rsidRPr="00E73D4B" w:rsidRDefault="00F120C7" w:rsidP="00E73D4B">
      <w:pPr>
        <w:pStyle w:val="avsnitt-undertittel"/>
      </w:pPr>
      <w:r w:rsidRPr="00E73D4B">
        <w:t>Vedtak nr. 833, 17. juni 2022</w:t>
      </w:r>
    </w:p>
    <w:p w14:paraId="22A9A720" w14:textId="77777777" w:rsidR="00972395" w:rsidRPr="00E73D4B" w:rsidRDefault="00F120C7" w:rsidP="00E73D4B">
      <w:pPr>
        <w:pStyle w:val="blokksit"/>
        <w:rPr>
          <w:rStyle w:val="kursiv"/>
        </w:rPr>
      </w:pPr>
      <w:r w:rsidRPr="00E73D4B">
        <w:rPr>
          <w:rStyle w:val="kursiv"/>
        </w:rPr>
        <w:t xml:space="preserve">«Stortinget ber regjeringen videreføre det midlertidige regelverket for bostøtte jf. </w:t>
      </w:r>
      <w:proofErr w:type="spellStart"/>
      <w:r w:rsidRPr="00E73D4B">
        <w:rPr>
          <w:rStyle w:val="kursiv"/>
        </w:rPr>
        <w:t>innst</w:t>
      </w:r>
      <w:proofErr w:type="spellEnd"/>
      <w:r w:rsidRPr="00E73D4B">
        <w:rPr>
          <w:rStyle w:val="kursiv"/>
        </w:rPr>
        <w:t>. 251 S (2021–2022) for månedene juni, juli, august og september.»</w:t>
      </w:r>
    </w:p>
    <w:p w14:paraId="617D314B" w14:textId="77777777" w:rsidR="00972395" w:rsidRPr="00E73D4B" w:rsidRDefault="00F120C7" w:rsidP="00E73D4B">
      <w:r w:rsidRPr="00E73D4B">
        <w:t>Dokumenta som ligg til grunn for vedtaket, er Meld. St. 2 (2021–2022</w:t>
      </w:r>
      <w:r w:rsidRPr="00E73D4B">
        <w:rPr>
          <w:rStyle w:val="kursiv"/>
        </w:rPr>
        <w:t>) Revidert nasjonalbudsjett 2022</w:t>
      </w:r>
      <w:r w:rsidRPr="00E73D4B">
        <w:t xml:space="preserve"> og </w:t>
      </w:r>
      <w:proofErr w:type="spellStart"/>
      <w:r w:rsidRPr="00E73D4B">
        <w:t>Innst</w:t>
      </w:r>
      <w:proofErr w:type="spellEnd"/>
      <w:r w:rsidRPr="00E73D4B">
        <w:t>. 450 S (2021–2022).</w:t>
      </w:r>
    </w:p>
    <w:p w14:paraId="1AD8ECB4" w14:textId="77777777" w:rsidR="00972395" w:rsidRPr="00E73D4B" w:rsidRDefault="00F120C7" w:rsidP="00E73D4B">
      <w:r w:rsidRPr="00E73D4B">
        <w:t xml:space="preserve">Dei </w:t>
      </w:r>
      <w:proofErr w:type="spellStart"/>
      <w:r w:rsidRPr="00E73D4B">
        <w:t>mellombelse</w:t>
      </w:r>
      <w:proofErr w:type="spellEnd"/>
      <w:r w:rsidRPr="00E73D4B">
        <w:t xml:space="preserve"> </w:t>
      </w:r>
      <w:proofErr w:type="spellStart"/>
      <w:r w:rsidRPr="00E73D4B">
        <w:t>reglane</w:t>
      </w:r>
      <w:proofErr w:type="spellEnd"/>
      <w:r w:rsidRPr="00E73D4B">
        <w:t xml:space="preserve"> i forskrift om bustøtte som var </w:t>
      </w:r>
      <w:proofErr w:type="spellStart"/>
      <w:r w:rsidRPr="00E73D4B">
        <w:t>vedteke</w:t>
      </w:r>
      <w:proofErr w:type="spellEnd"/>
      <w:r w:rsidRPr="00E73D4B">
        <w:t xml:space="preserve"> for </w:t>
      </w:r>
      <w:proofErr w:type="spellStart"/>
      <w:r w:rsidRPr="00E73D4B">
        <w:t>månadene</w:t>
      </w:r>
      <w:proofErr w:type="spellEnd"/>
      <w:r w:rsidRPr="00E73D4B">
        <w:t xml:space="preserve"> mars til og med mai og </w:t>
      </w:r>
      <w:proofErr w:type="spellStart"/>
      <w:r w:rsidRPr="00E73D4B">
        <w:t>vidare</w:t>
      </w:r>
      <w:proofErr w:type="spellEnd"/>
      <w:r w:rsidRPr="00E73D4B">
        <w:t xml:space="preserve"> </w:t>
      </w:r>
      <w:proofErr w:type="spellStart"/>
      <w:r w:rsidRPr="00E73D4B">
        <w:t>frå</w:t>
      </w:r>
      <w:proofErr w:type="spellEnd"/>
      <w:r w:rsidRPr="00E73D4B">
        <w:t xml:space="preserve"> oktober til desember, blei innarbeidd for </w:t>
      </w:r>
      <w:proofErr w:type="spellStart"/>
      <w:r w:rsidRPr="00E73D4B">
        <w:t>dei</w:t>
      </w:r>
      <w:proofErr w:type="spellEnd"/>
      <w:r w:rsidRPr="00E73D4B">
        <w:t xml:space="preserve"> </w:t>
      </w:r>
      <w:proofErr w:type="spellStart"/>
      <w:r w:rsidRPr="00E73D4B">
        <w:t>mellomliggande</w:t>
      </w:r>
      <w:proofErr w:type="spellEnd"/>
      <w:r w:rsidRPr="00E73D4B">
        <w:t xml:space="preserve"> </w:t>
      </w:r>
      <w:proofErr w:type="spellStart"/>
      <w:r w:rsidRPr="00E73D4B">
        <w:t>månadene</w:t>
      </w:r>
      <w:proofErr w:type="spellEnd"/>
      <w:r w:rsidRPr="00E73D4B">
        <w:t xml:space="preserve"> ved endringsforskrift 21. juni 2022.</w:t>
      </w:r>
    </w:p>
    <w:p w14:paraId="0EFD82CB"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2E8F7193" w14:textId="77777777" w:rsidR="00972395" w:rsidRPr="00E73D4B" w:rsidRDefault="00F120C7" w:rsidP="00E73D4B">
      <w:pPr>
        <w:pStyle w:val="Overskrift2"/>
      </w:pPr>
      <w:r w:rsidRPr="00E73D4B">
        <w:t>Stortingssesjon 2020–2021</w:t>
      </w:r>
    </w:p>
    <w:p w14:paraId="5004E759" w14:textId="77777777" w:rsidR="00972395" w:rsidRPr="00E73D4B" w:rsidRDefault="00F120C7" w:rsidP="00E73D4B">
      <w:pPr>
        <w:pStyle w:val="avsnitt-tittel"/>
      </w:pPr>
      <w:r w:rsidRPr="00E73D4B">
        <w:t>Krav til IKT-</w:t>
      </w:r>
      <w:proofErr w:type="spellStart"/>
      <w:r w:rsidRPr="00E73D4B">
        <w:t>sikkerheit</w:t>
      </w:r>
      <w:proofErr w:type="spellEnd"/>
      <w:r w:rsidRPr="00E73D4B">
        <w:t xml:space="preserve"> ved </w:t>
      </w:r>
      <w:proofErr w:type="spellStart"/>
      <w:r w:rsidRPr="00E73D4B">
        <w:t>tenesteutsetting</w:t>
      </w:r>
      <w:proofErr w:type="spellEnd"/>
    </w:p>
    <w:p w14:paraId="672C1E17" w14:textId="77777777" w:rsidR="00972395" w:rsidRPr="00E73D4B" w:rsidRDefault="00F120C7" w:rsidP="00E73D4B">
      <w:pPr>
        <w:pStyle w:val="avsnitt-undertittel"/>
      </w:pPr>
      <w:r w:rsidRPr="00E73D4B">
        <w:t>Vedtak nr. 736, 11. mars 2021</w:t>
      </w:r>
    </w:p>
    <w:p w14:paraId="228B539D" w14:textId="77777777" w:rsidR="00972395" w:rsidRPr="00E73D4B" w:rsidRDefault="00F120C7" w:rsidP="00E73D4B">
      <w:pPr>
        <w:pStyle w:val="blokksit"/>
        <w:rPr>
          <w:rStyle w:val="kursiv"/>
        </w:rPr>
      </w:pPr>
      <w:r w:rsidRPr="00E73D4B">
        <w:rPr>
          <w:rStyle w:val="kursiv"/>
        </w:rPr>
        <w:t>«Stortinget ber regjeringen etablere strengere nasjonale krav til IKT-sikkerhet ved tjenesteutsetting. Disse kan bygge på NSMs anbefalte minimumskrav ved tjenesteutsetting og bør utvikles i samarbeid mellom arbeidslivets parter og sektorekspertise.»</w:t>
      </w:r>
    </w:p>
    <w:p w14:paraId="56138028" w14:textId="77777777" w:rsidR="00972395" w:rsidRPr="00E73D4B" w:rsidRDefault="00F120C7" w:rsidP="00E73D4B">
      <w:r w:rsidRPr="00E73D4B">
        <w:t>Dokumenta som ligg til grunn for vedtaket, er Meld. St. 5 (2020–2021)</w:t>
      </w:r>
      <w:r w:rsidRPr="00E73D4B">
        <w:rPr>
          <w:rStyle w:val="kursiv"/>
        </w:rPr>
        <w:t xml:space="preserve"> Samfunnssikkerhet i en usikker verden</w:t>
      </w:r>
      <w:r w:rsidRPr="00E73D4B">
        <w:t xml:space="preserve"> og </w:t>
      </w:r>
      <w:proofErr w:type="spellStart"/>
      <w:r w:rsidRPr="00E73D4B">
        <w:t>Innst</w:t>
      </w:r>
      <w:proofErr w:type="spellEnd"/>
      <w:r w:rsidRPr="00E73D4B">
        <w:t>. 275 S (2020–2021).</w:t>
      </w:r>
    </w:p>
    <w:p w14:paraId="45285B5E" w14:textId="77777777" w:rsidR="00972395" w:rsidRPr="00E73D4B" w:rsidRDefault="00F120C7" w:rsidP="00E73D4B">
      <w:r w:rsidRPr="00E73D4B">
        <w:t xml:space="preserve">Det er stor variasjon i </w:t>
      </w:r>
      <w:proofErr w:type="spellStart"/>
      <w:r w:rsidRPr="00E73D4B">
        <w:t>offentlege</w:t>
      </w:r>
      <w:proofErr w:type="spellEnd"/>
      <w:r w:rsidRPr="00E73D4B">
        <w:t xml:space="preserve"> IKT-system. Kva krav til trygging som skal </w:t>
      </w:r>
      <w:proofErr w:type="spellStart"/>
      <w:r w:rsidRPr="00E73D4B">
        <w:t>stillast</w:t>
      </w:r>
      <w:proofErr w:type="spellEnd"/>
      <w:r w:rsidRPr="00E73D4B">
        <w:t xml:space="preserve"> dersom </w:t>
      </w:r>
      <w:proofErr w:type="spellStart"/>
      <w:r w:rsidRPr="00E73D4B">
        <w:t>ein</w:t>
      </w:r>
      <w:proofErr w:type="spellEnd"/>
      <w:r w:rsidRPr="00E73D4B">
        <w:t xml:space="preserve"> vel å sette ut ei </w:t>
      </w:r>
      <w:proofErr w:type="spellStart"/>
      <w:r w:rsidRPr="00E73D4B">
        <w:t>teneste</w:t>
      </w:r>
      <w:proofErr w:type="spellEnd"/>
      <w:r w:rsidRPr="00E73D4B">
        <w:t xml:space="preserve">, må derfor </w:t>
      </w:r>
      <w:proofErr w:type="spellStart"/>
      <w:r w:rsidRPr="00E73D4B">
        <w:t>vere</w:t>
      </w:r>
      <w:proofErr w:type="spellEnd"/>
      <w:r w:rsidRPr="00E73D4B">
        <w:t xml:space="preserve"> basert på </w:t>
      </w:r>
      <w:proofErr w:type="spellStart"/>
      <w:r w:rsidRPr="00E73D4B">
        <w:t>vurderingar</w:t>
      </w:r>
      <w:proofErr w:type="spellEnd"/>
      <w:r w:rsidRPr="00E73D4B">
        <w:t xml:space="preserve"> av risiko og </w:t>
      </w:r>
      <w:proofErr w:type="spellStart"/>
      <w:r w:rsidRPr="00E73D4B">
        <w:t>sårbarheit</w:t>
      </w:r>
      <w:proofErr w:type="spellEnd"/>
      <w:r w:rsidRPr="00E73D4B">
        <w:t xml:space="preserve"> for </w:t>
      </w:r>
      <w:proofErr w:type="spellStart"/>
      <w:r w:rsidRPr="00E73D4B">
        <w:t>dei</w:t>
      </w:r>
      <w:proofErr w:type="spellEnd"/>
      <w:r w:rsidRPr="00E73D4B">
        <w:t xml:space="preserve"> aktuelle </w:t>
      </w:r>
      <w:proofErr w:type="spellStart"/>
      <w:r w:rsidRPr="00E73D4B">
        <w:t>løysingane</w:t>
      </w:r>
      <w:proofErr w:type="spellEnd"/>
      <w:r w:rsidRPr="00E73D4B">
        <w:t xml:space="preserve"> og den informasjonen </w:t>
      </w:r>
      <w:proofErr w:type="spellStart"/>
      <w:r w:rsidRPr="00E73D4B">
        <w:t>dei</w:t>
      </w:r>
      <w:proofErr w:type="spellEnd"/>
      <w:r w:rsidRPr="00E73D4B">
        <w:t xml:space="preserve"> skal behandle. Det er generelt strenge krav til datatryggleik i </w:t>
      </w:r>
      <w:proofErr w:type="spellStart"/>
      <w:r w:rsidRPr="00E73D4B">
        <w:t>offentleg</w:t>
      </w:r>
      <w:proofErr w:type="spellEnd"/>
      <w:r w:rsidRPr="00E73D4B">
        <w:t xml:space="preserve"> sektor. Alle forvaltningsorgan skal blant anna ha internkontroll av informasjonstryggleik. Det å gjennomføre analyser av risiko og </w:t>
      </w:r>
      <w:proofErr w:type="spellStart"/>
      <w:r w:rsidRPr="00E73D4B">
        <w:t>sårbarheit</w:t>
      </w:r>
      <w:proofErr w:type="spellEnd"/>
      <w:r w:rsidRPr="00E73D4B">
        <w:t xml:space="preserve"> er </w:t>
      </w:r>
      <w:proofErr w:type="spellStart"/>
      <w:r w:rsidRPr="00E73D4B">
        <w:t>ein</w:t>
      </w:r>
      <w:proofErr w:type="spellEnd"/>
      <w:r w:rsidRPr="00E73D4B">
        <w:t xml:space="preserve"> del av internkontrollen. Digitaliseringsdirektoratet har utvikla rettleiing for denne type internkontroll.</w:t>
      </w:r>
    </w:p>
    <w:p w14:paraId="38460103" w14:textId="77777777" w:rsidR="00972395" w:rsidRPr="00E73D4B" w:rsidRDefault="00F120C7" w:rsidP="00E73D4B">
      <w:r w:rsidRPr="00E73D4B">
        <w:t xml:space="preserve">Nærings- og fiskeridepartementet og Forsvarsdepartementet ga i 2019 ut </w:t>
      </w:r>
      <w:r w:rsidRPr="00E73D4B">
        <w:rPr>
          <w:rStyle w:val="kursiv"/>
        </w:rPr>
        <w:t>Veileder om ivaretakelse av sikkerhet i offentlige anskaffelser,</w:t>
      </w:r>
      <w:r w:rsidRPr="00E73D4B">
        <w:t xml:space="preserve"> som </w:t>
      </w:r>
      <w:proofErr w:type="spellStart"/>
      <w:r w:rsidRPr="00E73D4B">
        <w:t>særleg</w:t>
      </w:r>
      <w:proofErr w:type="spellEnd"/>
      <w:r w:rsidRPr="00E73D4B">
        <w:t xml:space="preserve"> tar føre seg </w:t>
      </w:r>
      <w:proofErr w:type="spellStart"/>
      <w:r w:rsidRPr="00E73D4B">
        <w:t>samanhengen</w:t>
      </w:r>
      <w:proofErr w:type="spellEnd"/>
      <w:r w:rsidRPr="00E73D4B">
        <w:t xml:space="preserve"> mellom tryggingslova og regelverket for </w:t>
      </w:r>
      <w:proofErr w:type="spellStart"/>
      <w:r w:rsidRPr="00E73D4B">
        <w:t>offentlege</w:t>
      </w:r>
      <w:proofErr w:type="spellEnd"/>
      <w:r w:rsidRPr="00E73D4B">
        <w:t xml:space="preserve"> innkjøp.</w:t>
      </w:r>
    </w:p>
    <w:p w14:paraId="70A19E16" w14:textId="77777777" w:rsidR="00972395" w:rsidRPr="00E73D4B" w:rsidRDefault="00F120C7" w:rsidP="00E73D4B">
      <w:r w:rsidRPr="00E73D4B">
        <w:t xml:space="preserve">Regjeringa er kjent med at det trass dette er mange </w:t>
      </w:r>
      <w:proofErr w:type="spellStart"/>
      <w:r w:rsidRPr="00E73D4B">
        <w:t>verksemder</w:t>
      </w:r>
      <w:proofErr w:type="spellEnd"/>
      <w:r w:rsidRPr="00E73D4B">
        <w:t xml:space="preserve"> som har </w:t>
      </w:r>
      <w:proofErr w:type="spellStart"/>
      <w:r w:rsidRPr="00E73D4B">
        <w:t>utfordringar</w:t>
      </w:r>
      <w:proofErr w:type="spellEnd"/>
      <w:r w:rsidRPr="00E73D4B">
        <w:t xml:space="preserve"> med kompetanse på IKT-innkjøp og digital tryggleik. </w:t>
      </w:r>
      <w:proofErr w:type="spellStart"/>
      <w:r w:rsidRPr="00E73D4B">
        <w:t>Desse</w:t>
      </w:r>
      <w:proofErr w:type="spellEnd"/>
      <w:r w:rsidRPr="00E73D4B">
        <w:t xml:space="preserve"> </w:t>
      </w:r>
      <w:proofErr w:type="spellStart"/>
      <w:r w:rsidRPr="00E73D4B">
        <w:t>verksemdene</w:t>
      </w:r>
      <w:proofErr w:type="spellEnd"/>
      <w:r w:rsidRPr="00E73D4B">
        <w:t xml:space="preserve"> treng ekstra støtte for å stille rette krav til tryggleik når </w:t>
      </w:r>
      <w:proofErr w:type="spellStart"/>
      <w:r w:rsidRPr="00E73D4B">
        <w:t>dei</w:t>
      </w:r>
      <w:proofErr w:type="spellEnd"/>
      <w:r w:rsidRPr="00E73D4B">
        <w:t xml:space="preserve"> sett ut </w:t>
      </w:r>
      <w:proofErr w:type="spellStart"/>
      <w:r w:rsidRPr="00E73D4B">
        <w:t>tenester</w:t>
      </w:r>
      <w:proofErr w:type="spellEnd"/>
      <w:r w:rsidRPr="00E73D4B">
        <w:t xml:space="preserve"> i </w:t>
      </w:r>
      <w:proofErr w:type="spellStart"/>
      <w:r w:rsidRPr="00E73D4B">
        <w:t>marknaden</w:t>
      </w:r>
      <w:proofErr w:type="spellEnd"/>
      <w:r w:rsidRPr="00E73D4B">
        <w:t xml:space="preserve">. Regjeringa har derfor etablert </w:t>
      </w:r>
      <w:proofErr w:type="spellStart"/>
      <w:r w:rsidRPr="00E73D4B">
        <w:t>ein</w:t>
      </w:r>
      <w:proofErr w:type="spellEnd"/>
      <w:r w:rsidRPr="00E73D4B">
        <w:t xml:space="preserve"> </w:t>
      </w:r>
      <w:proofErr w:type="spellStart"/>
      <w:r w:rsidRPr="00E73D4B">
        <w:t>marknadsplass</w:t>
      </w:r>
      <w:proofErr w:type="spellEnd"/>
      <w:r w:rsidRPr="00E73D4B">
        <w:t xml:space="preserve"> for </w:t>
      </w:r>
      <w:proofErr w:type="spellStart"/>
      <w:r w:rsidRPr="00E73D4B">
        <w:t>skytenester</w:t>
      </w:r>
      <w:proofErr w:type="spellEnd"/>
      <w:r w:rsidRPr="00E73D4B">
        <w:t xml:space="preserve"> hos Direktoratet for forvaltning og økonomistyring (DFØ). </w:t>
      </w:r>
      <w:proofErr w:type="spellStart"/>
      <w:r w:rsidRPr="00E73D4B">
        <w:t>Marknadsplassen</w:t>
      </w:r>
      <w:proofErr w:type="spellEnd"/>
      <w:r w:rsidRPr="00E73D4B">
        <w:t xml:space="preserve"> vil gi </w:t>
      </w:r>
      <w:proofErr w:type="spellStart"/>
      <w:r w:rsidRPr="00E73D4B">
        <w:t>offentlege</w:t>
      </w:r>
      <w:proofErr w:type="spellEnd"/>
      <w:r w:rsidRPr="00E73D4B">
        <w:t xml:space="preserve"> </w:t>
      </w:r>
      <w:proofErr w:type="spellStart"/>
      <w:r w:rsidRPr="00E73D4B">
        <w:t>innkjøparar</w:t>
      </w:r>
      <w:proofErr w:type="spellEnd"/>
      <w:r w:rsidRPr="00E73D4B">
        <w:t xml:space="preserve"> i stat og kommune hjelp til å finne og skaffe seg sikre og kostnadseffektive </w:t>
      </w:r>
      <w:proofErr w:type="spellStart"/>
      <w:r w:rsidRPr="00E73D4B">
        <w:t>skytenester</w:t>
      </w:r>
      <w:proofErr w:type="spellEnd"/>
      <w:r w:rsidRPr="00E73D4B">
        <w:t>.</w:t>
      </w:r>
    </w:p>
    <w:p w14:paraId="033AB592" w14:textId="77777777" w:rsidR="00972395" w:rsidRPr="00E73D4B" w:rsidRDefault="00F120C7" w:rsidP="00E73D4B">
      <w:r w:rsidRPr="00E73D4B">
        <w:t xml:space="preserve">På </w:t>
      </w:r>
      <w:proofErr w:type="spellStart"/>
      <w:r w:rsidRPr="00E73D4B">
        <w:t>nokre</w:t>
      </w:r>
      <w:proofErr w:type="spellEnd"/>
      <w:r w:rsidRPr="00E73D4B">
        <w:t xml:space="preserve"> område vil </w:t>
      </w:r>
      <w:proofErr w:type="spellStart"/>
      <w:r w:rsidRPr="00E73D4B">
        <w:t>marknadsplassen</w:t>
      </w:r>
      <w:proofErr w:type="spellEnd"/>
      <w:r w:rsidRPr="00E73D4B">
        <w:t xml:space="preserve"> lyse ut felles rammeavtaler med felles, sentrale krav til tryggleik. På denne måten blir det stilt </w:t>
      </w:r>
      <w:proofErr w:type="spellStart"/>
      <w:r w:rsidRPr="00E73D4B">
        <w:t>tilstrekkeleg</w:t>
      </w:r>
      <w:proofErr w:type="spellEnd"/>
      <w:r w:rsidRPr="00E73D4B">
        <w:t xml:space="preserve"> strenge krav, tilpassa </w:t>
      </w:r>
      <w:proofErr w:type="spellStart"/>
      <w:r w:rsidRPr="00E73D4B">
        <w:t>dei</w:t>
      </w:r>
      <w:proofErr w:type="spellEnd"/>
      <w:r w:rsidRPr="00E73D4B">
        <w:t xml:space="preserve"> ulike </w:t>
      </w:r>
      <w:proofErr w:type="spellStart"/>
      <w:r w:rsidRPr="00E73D4B">
        <w:t>tenestene</w:t>
      </w:r>
      <w:proofErr w:type="spellEnd"/>
      <w:r w:rsidRPr="00E73D4B">
        <w:t xml:space="preserve"> og informasjonen </w:t>
      </w:r>
      <w:proofErr w:type="spellStart"/>
      <w:r w:rsidRPr="00E73D4B">
        <w:t>dei</w:t>
      </w:r>
      <w:proofErr w:type="spellEnd"/>
      <w:r w:rsidRPr="00E73D4B">
        <w:t xml:space="preserve"> skal behandle. På andre område vil </w:t>
      </w:r>
      <w:proofErr w:type="spellStart"/>
      <w:r w:rsidRPr="00E73D4B">
        <w:t>marknadsplassen</w:t>
      </w:r>
      <w:proofErr w:type="spellEnd"/>
      <w:r w:rsidRPr="00E73D4B">
        <w:t xml:space="preserve"> sette opp minstekrav til tryggleik som </w:t>
      </w:r>
      <w:proofErr w:type="spellStart"/>
      <w:r w:rsidRPr="00E73D4B">
        <w:t>dei</w:t>
      </w:r>
      <w:proofErr w:type="spellEnd"/>
      <w:r w:rsidRPr="00E73D4B">
        <w:t xml:space="preserve"> ulike </w:t>
      </w:r>
      <w:proofErr w:type="spellStart"/>
      <w:r w:rsidRPr="00E73D4B">
        <w:t>verksemdene</w:t>
      </w:r>
      <w:proofErr w:type="spellEnd"/>
      <w:r w:rsidRPr="00E73D4B">
        <w:t xml:space="preserve"> kan bruke i eigne innkjøp.</w:t>
      </w:r>
    </w:p>
    <w:p w14:paraId="7E545403" w14:textId="77777777" w:rsidR="00972395" w:rsidRPr="00E73D4B" w:rsidRDefault="00F120C7" w:rsidP="00E73D4B">
      <w:r w:rsidRPr="00E73D4B">
        <w:t xml:space="preserve">DFØ samarbeider med både Nasjonalt tryggingsorgan (NSM), Datatilsynet og Digitaliseringsdirektoratet når </w:t>
      </w:r>
      <w:proofErr w:type="spellStart"/>
      <w:r w:rsidRPr="00E73D4B">
        <w:t>dei</w:t>
      </w:r>
      <w:proofErr w:type="spellEnd"/>
      <w:r w:rsidRPr="00E73D4B">
        <w:t xml:space="preserve"> skal utforme krava. Krava blir formidla både til </w:t>
      </w:r>
      <w:proofErr w:type="spellStart"/>
      <w:r w:rsidRPr="00E73D4B">
        <w:t>kundar</w:t>
      </w:r>
      <w:proofErr w:type="spellEnd"/>
      <w:r w:rsidRPr="00E73D4B">
        <w:t xml:space="preserve"> og </w:t>
      </w:r>
      <w:proofErr w:type="spellStart"/>
      <w:r w:rsidRPr="00E73D4B">
        <w:t>leverandørar</w:t>
      </w:r>
      <w:proofErr w:type="spellEnd"/>
      <w:r w:rsidRPr="00E73D4B">
        <w:t xml:space="preserve"> på </w:t>
      </w:r>
      <w:proofErr w:type="spellStart"/>
      <w:r w:rsidRPr="00E73D4B">
        <w:t>marknadsplassen</w:t>
      </w:r>
      <w:proofErr w:type="spellEnd"/>
      <w:r w:rsidRPr="00E73D4B">
        <w:t xml:space="preserve">. Både det å inngå rammeavtaler og å etablere nye krav til tryggleik skjer </w:t>
      </w:r>
      <w:proofErr w:type="spellStart"/>
      <w:r w:rsidRPr="00E73D4B">
        <w:t>fortløpande</w:t>
      </w:r>
      <w:proofErr w:type="spellEnd"/>
      <w:r w:rsidRPr="00E73D4B">
        <w:t xml:space="preserve">, slik at </w:t>
      </w:r>
      <w:proofErr w:type="spellStart"/>
      <w:r w:rsidRPr="00E73D4B">
        <w:t>tilbodet</w:t>
      </w:r>
      <w:proofErr w:type="spellEnd"/>
      <w:r w:rsidRPr="00E73D4B">
        <w:t xml:space="preserve"> stadig blir betre. All rettleiing og </w:t>
      </w:r>
      <w:proofErr w:type="spellStart"/>
      <w:r w:rsidRPr="00E73D4B">
        <w:t>anbefalingar</w:t>
      </w:r>
      <w:proofErr w:type="spellEnd"/>
      <w:r w:rsidRPr="00E73D4B">
        <w:t xml:space="preserve"> om krav til tryggleik i </w:t>
      </w:r>
      <w:proofErr w:type="spellStart"/>
      <w:r w:rsidRPr="00E73D4B">
        <w:t>offentlege</w:t>
      </w:r>
      <w:proofErr w:type="spellEnd"/>
      <w:r w:rsidRPr="00E73D4B">
        <w:t xml:space="preserve"> innkjøp </w:t>
      </w:r>
      <w:proofErr w:type="spellStart"/>
      <w:r w:rsidRPr="00E73D4B">
        <w:t>finst</w:t>
      </w:r>
      <w:proofErr w:type="spellEnd"/>
      <w:r w:rsidRPr="00E73D4B">
        <w:t xml:space="preserve"> på DFØ sine nettsider anskaffelser.no.</w:t>
      </w:r>
    </w:p>
    <w:p w14:paraId="0427FD38" w14:textId="77777777" w:rsidR="00972395" w:rsidRPr="00E73D4B" w:rsidRDefault="00F120C7" w:rsidP="00E73D4B">
      <w:r w:rsidRPr="00E73D4B">
        <w:t xml:space="preserve">Departementet meiner med dette at </w:t>
      </w:r>
      <w:proofErr w:type="spellStart"/>
      <w:r w:rsidRPr="00E73D4B">
        <w:t>oppmodningsvedtaket</w:t>
      </w:r>
      <w:proofErr w:type="spellEnd"/>
      <w:r w:rsidRPr="00E73D4B">
        <w:t xml:space="preserve"> er </w:t>
      </w:r>
      <w:proofErr w:type="spellStart"/>
      <w:r w:rsidRPr="00E73D4B">
        <w:t>følgt</w:t>
      </w:r>
      <w:proofErr w:type="spellEnd"/>
      <w:r w:rsidRPr="00E73D4B">
        <w:t xml:space="preserve"> opp.</w:t>
      </w:r>
    </w:p>
    <w:p w14:paraId="0D29F6C8" w14:textId="77777777" w:rsidR="00972395" w:rsidRPr="00E73D4B" w:rsidRDefault="00F120C7" w:rsidP="00E73D4B">
      <w:pPr>
        <w:pStyle w:val="avsnitt-tittel"/>
      </w:pPr>
      <w:r w:rsidRPr="00E73D4B">
        <w:t xml:space="preserve">Utgreie rett til høghastigheitsinternett for alle </w:t>
      </w:r>
      <w:proofErr w:type="spellStart"/>
      <w:r w:rsidRPr="00E73D4B">
        <w:t>husstandar</w:t>
      </w:r>
      <w:proofErr w:type="spellEnd"/>
    </w:p>
    <w:p w14:paraId="1DED1B4B" w14:textId="77777777" w:rsidR="00972395" w:rsidRPr="00E73D4B" w:rsidRDefault="00F120C7" w:rsidP="00E73D4B">
      <w:pPr>
        <w:pStyle w:val="avsnitt-undertittel"/>
      </w:pPr>
      <w:r w:rsidRPr="00E73D4B">
        <w:t>Vedtak nr. 1060, 1. juni 2021</w:t>
      </w:r>
    </w:p>
    <w:p w14:paraId="2C3CCE69" w14:textId="77777777" w:rsidR="00972395" w:rsidRPr="00E73D4B" w:rsidRDefault="00F120C7" w:rsidP="00E73D4B">
      <w:pPr>
        <w:pStyle w:val="blokksit"/>
        <w:rPr>
          <w:rStyle w:val="kursiv"/>
        </w:rPr>
      </w:pPr>
      <w:r w:rsidRPr="00E73D4B">
        <w:rPr>
          <w:rStyle w:val="kursiv"/>
        </w:rPr>
        <w:t>«Stortinget ber regjeringen utrede en rett til høyhastighetsinternett for alle husstander i Norge.»</w:t>
      </w:r>
    </w:p>
    <w:p w14:paraId="33C75488" w14:textId="77777777" w:rsidR="00972395" w:rsidRPr="00E73D4B" w:rsidRDefault="00F120C7" w:rsidP="00E73D4B">
      <w:r w:rsidRPr="00E73D4B">
        <w:t xml:space="preserve">Dokumenta som ligg til grunn for vedtaket, er Meld. St. 28 (2020–2021) </w:t>
      </w:r>
      <w:r w:rsidRPr="00E73D4B">
        <w:rPr>
          <w:rStyle w:val="kursiv"/>
        </w:rPr>
        <w:t>Vår felles digitale grunnmur – Mobil-, bredbånds- og internettjenester</w:t>
      </w:r>
      <w:r w:rsidRPr="00E73D4B">
        <w:t xml:space="preserve">, Dokument 8:151 S (2020–2021) og </w:t>
      </w:r>
      <w:proofErr w:type="spellStart"/>
      <w:r w:rsidRPr="00E73D4B">
        <w:t>Innst</w:t>
      </w:r>
      <w:proofErr w:type="spellEnd"/>
      <w:r w:rsidRPr="00E73D4B">
        <w:t>. 511 S (2020–2021).</w:t>
      </w:r>
    </w:p>
    <w:p w14:paraId="0102BCB4" w14:textId="77777777" w:rsidR="00972395" w:rsidRPr="00E73D4B" w:rsidRDefault="00F120C7" w:rsidP="00E73D4B">
      <w:r w:rsidRPr="00E73D4B">
        <w:t xml:space="preserve">Regjeringa har ambisiøse mål for breibanddekning, inkludert at alle </w:t>
      </w:r>
      <w:proofErr w:type="spellStart"/>
      <w:r w:rsidRPr="00E73D4B">
        <w:t>husstandar</w:t>
      </w:r>
      <w:proofErr w:type="spellEnd"/>
      <w:r w:rsidRPr="00E73D4B">
        <w:t xml:space="preserve"> skal ha </w:t>
      </w:r>
      <w:proofErr w:type="spellStart"/>
      <w:r w:rsidRPr="00E73D4B">
        <w:t>tilbod</w:t>
      </w:r>
      <w:proofErr w:type="spellEnd"/>
      <w:r w:rsidRPr="00E73D4B">
        <w:t xml:space="preserve"> om minst 100 Mbit/s nedlastingshastigheit </w:t>
      </w:r>
      <w:proofErr w:type="spellStart"/>
      <w:r w:rsidRPr="00E73D4B">
        <w:t>innan</w:t>
      </w:r>
      <w:proofErr w:type="spellEnd"/>
      <w:r w:rsidRPr="00E73D4B">
        <w:t xml:space="preserve"> 2025. Regjeringa foreslår også </w:t>
      </w:r>
      <w:proofErr w:type="spellStart"/>
      <w:r w:rsidRPr="00E73D4B">
        <w:t>ein</w:t>
      </w:r>
      <w:proofErr w:type="spellEnd"/>
      <w:r w:rsidRPr="00E73D4B">
        <w:t xml:space="preserve"> kraftig </w:t>
      </w:r>
      <w:proofErr w:type="spellStart"/>
      <w:r w:rsidRPr="00E73D4B">
        <w:t>auke</w:t>
      </w:r>
      <w:proofErr w:type="spellEnd"/>
      <w:r w:rsidRPr="00E73D4B">
        <w:t xml:space="preserve"> på kap. 541, post 60 Breibandutbygging i 2023, og denne </w:t>
      </w:r>
      <w:proofErr w:type="spellStart"/>
      <w:r w:rsidRPr="00E73D4B">
        <w:t>auken</w:t>
      </w:r>
      <w:proofErr w:type="spellEnd"/>
      <w:r w:rsidRPr="00E73D4B">
        <w:t xml:space="preserve"> </w:t>
      </w:r>
      <w:proofErr w:type="spellStart"/>
      <w:r w:rsidRPr="00E73D4B">
        <w:t>legg</w:t>
      </w:r>
      <w:proofErr w:type="spellEnd"/>
      <w:r w:rsidRPr="00E73D4B">
        <w:t xml:space="preserve"> til rette for å nå målet om at alle </w:t>
      </w:r>
      <w:proofErr w:type="spellStart"/>
      <w:r w:rsidRPr="00E73D4B">
        <w:t>husstandar</w:t>
      </w:r>
      <w:proofErr w:type="spellEnd"/>
      <w:r w:rsidRPr="00E73D4B">
        <w:t xml:space="preserve"> og </w:t>
      </w:r>
      <w:proofErr w:type="spellStart"/>
      <w:r w:rsidRPr="00E73D4B">
        <w:t>verksemder</w:t>
      </w:r>
      <w:proofErr w:type="spellEnd"/>
      <w:r w:rsidRPr="00E73D4B">
        <w:t xml:space="preserve"> skal ha </w:t>
      </w:r>
      <w:proofErr w:type="spellStart"/>
      <w:r w:rsidRPr="00E73D4B">
        <w:t>høghastigheits</w:t>
      </w:r>
      <w:proofErr w:type="spellEnd"/>
      <w:r w:rsidRPr="00E73D4B">
        <w:t xml:space="preserve"> breiband med bruk av </w:t>
      </w:r>
      <w:proofErr w:type="spellStart"/>
      <w:r w:rsidRPr="00E73D4B">
        <w:t>eksisterande</w:t>
      </w:r>
      <w:proofErr w:type="spellEnd"/>
      <w:r w:rsidRPr="00E73D4B">
        <w:t xml:space="preserve"> </w:t>
      </w:r>
      <w:proofErr w:type="spellStart"/>
      <w:r w:rsidRPr="00E73D4B">
        <w:t>verkemiddel</w:t>
      </w:r>
      <w:proofErr w:type="spellEnd"/>
      <w:r w:rsidRPr="00E73D4B">
        <w:t>.</w:t>
      </w:r>
    </w:p>
    <w:p w14:paraId="610DE9F4" w14:textId="77777777" w:rsidR="00972395" w:rsidRPr="00E73D4B" w:rsidRDefault="00F120C7" w:rsidP="00E73D4B">
      <w:r w:rsidRPr="00E73D4B">
        <w:t xml:space="preserve">Regjeringa vil i parallell med og i lys av utviklinga </w:t>
      </w:r>
      <w:proofErr w:type="spellStart"/>
      <w:r w:rsidRPr="00E73D4B">
        <w:t>dei</w:t>
      </w:r>
      <w:proofErr w:type="spellEnd"/>
      <w:r w:rsidRPr="00E73D4B">
        <w:t xml:space="preserve"> neste åra greie ut behovet for og </w:t>
      </w:r>
      <w:proofErr w:type="spellStart"/>
      <w:r w:rsidRPr="00E73D4B">
        <w:t>moglege</w:t>
      </w:r>
      <w:proofErr w:type="spellEnd"/>
      <w:r w:rsidRPr="00E73D4B">
        <w:t xml:space="preserve"> </w:t>
      </w:r>
      <w:proofErr w:type="spellStart"/>
      <w:r w:rsidRPr="00E73D4B">
        <w:t>innretningar</w:t>
      </w:r>
      <w:proofErr w:type="spellEnd"/>
      <w:r w:rsidRPr="00E73D4B">
        <w:t xml:space="preserve"> av </w:t>
      </w:r>
      <w:proofErr w:type="spellStart"/>
      <w:r w:rsidRPr="00E73D4B">
        <w:t>ein</w:t>
      </w:r>
      <w:proofErr w:type="spellEnd"/>
      <w:r w:rsidRPr="00E73D4B">
        <w:t xml:space="preserve"> rett til </w:t>
      </w:r>
      <w:proofErr w:type="spellStart"/>
      <w:r w:rsidRPr="00E73D4B">
        <w:t>høghastigheits</w:t>
      </w:r>
      <w:proofErr w:type="spellEnd"/>
      <w:r w:rsidRPr="00E73D4B">
        <w:t xml:space="preserve"> internett til alle, jf. Hurdalsplattformen, og vil </w:t>
      </w:r>
      <w:proofErr w:type="spellStart"/>
      <w:r w:rsidRPr="00E73D4B">
        <w:t>kome</w:t>
      </w:r>
      <w:proofErr w:type="spellEnd"/>
      <w:r w:rsidRPr="00E73D4B">
        <w:t xml:space="preserve"> tilbake til Stortinget om saka på eigna måte.</w:t>
      </w:r>
    </w:p>
    <w:p w14:paraId="6DD5280E" w14:textId="77777777" w:rsidR="00972395" w:rsidRPr="00E73D4B" w:rsidRDefault="00F120C7" w:rsidP="00E73D4B">
      <w:pPr>
        <w:pStyle w:val="avsnitt-tittel"/>
      </w:pPr>
      <w:r w:rsidRPr="00E73D4B">
        <w:t xml:space="preserve">Mobil- og internettdekning langs </w:t>
      </w:r>
      <w:proofErr w:type="spellStart"/>
      <w:r w:rsidRPr="00E73D4B">
        <w:t>eksisterande</w:t>
      </w:r>
      <w:proofErr w:type="spellEnd"/>
      <w:r w:rsidRPr="00E73D4B">
        <w:t xml:space="preserve"> </w:t>
      </w:r>
      <w:proofErr w:type="spellStart"/>
      <w:r w:rsidRPr="00E73D4B">
        <w:t>riksvegar</w:t>
      </w:r>
      <w:proofErr w:type="spellEnd"/>
    </w:p>
    <w:p w14:paraId="256E9467" w14:textId="77777777" w:rsidR="00972395" w:rsidRPr="00E73D4B" w:rsidRDefault="00F120C7" w:rsidP="00E73D4B">
      <w:pPr>
        <w:pStyle w:val="avsnitt-undertittel"/>
      </w:pPr>
      <w:r w:rsidRPr="00E73D4B">
        <w:t>Vedtak nr. 1066, 1. juni 2021</w:t>
      </w:r>
    </w:p>
    <w:p w14:paraId="1E3FFBE0" w14:textId="77777777" w:rsidR="00972395" w:rsidRPr="00E73D4B" w:rsidRDefault="00F120C7" w:rsidP="00E73D4B">
      <w:pPr>
        <w:pStyle w:val="blokksit"/>
        <w:rPr>
          <w:rStyle w:val="kursiv"/>
        </w:rPr>
      </w:pPr>
      <w:r w:rsidRPr="00E73D4B">
        <w:rPr>
          <w:rStyle w:val="kursiv"/>
        </w:rPr>
        <w:t>«Stortinget ber regjeringen utarbeide en plan for utbygging av mobil- og internettdekning langs eksisterende riksveier, som spesifiserer dekningshull og kostnadene for utbedring av disse, og innarbeide dette i revidert nasjonalbudsjett for 2022.»</w:t>
      </w:r>
    </w:p>
    <w:p w14:paraId="17AE8CA8" w14:textId="77777777" w:rsidR="00972395" w:rsidRPr="00E73D4B" w:rsidRDefault="00F120C7" w:rsidP="00E73D4B">
      <w:r w:rsidRPr="00E73D4B">
        <w:t xml:space="preserve">Dokumenta som ligg til grunn for vedtaket, er Meld. St. 28 (2020–2021) </w:t>
      </w:r>
      <w:r w:rsidRPr="00E73D4B">
        <w:rPr>
          <w:rStyle w:val="kursiv"/>
        </w:rPr>
        <w:t>Vår felles digitale grunnmur – Mobil-, bredbånds- og internettjenester</w:t>
      </w:r>
      <w:r w:rsidRPr="00E73D4B">
        <w:t xml:space="preserve"> og </w:t>
      </w:r>
      <w:proofErr w:type="spellStart"/>
      <w:r w:rsidRPr="00E73D4B">
        <w:t>Innst</w:t>
      </w:r>
      <w:proofErr w:type="spellEnd"/>
      <w:r w:rsidRPr="00E73D4B">
        <w:t>. 511 S (2020–2021).</w:t>
      </w:r>
    </w:p>
    <w:p w14:paraId="1E56B910" w14:textId="77777777" w:rsidR="00972395" w:rsidRPr="00E73D4B" w:rsidRDefault="00F120C7" w:rsidP="00E73D4B">
      <w:r w:rsidRPr="00E73D4B">
        <w:t xml:space="preserve">I </w:t>
      </w:r>
      <w:proofErr w:type="spellStart"/>
      <w:r w:rsidRPr="00E73D4B">
        <w:t>Prop</w:t>
      </w:r>
      <w:proofErr w:type="spellEnd"/>
      <w:r w:rsidRPr="00E73D4B">
        <w:t xml:space="preserve">. 115 S (2021–2022) </w:t>
      </w:r>
      <w:r w:rsidRPr="00E73D4B">
        <w:rPr>
          <w:rStyle w:val="kursiv"/>
        </w:rPr>
        <w:t>Tilleggsbevilgninger og omprioriteringer i statsbudsjettet 2022</w:t>
      </w:r>
      <w:r w:rsidRPr="00E73D4B">
        <w:t xml:space="preserve"> er det opplyst om at det er gjennomført ei ekstern utgreiing for å </w:t>
      </w:r>
      <w:proofErr w:type="spellStart"/>
      <w:r w:rsidRPr="00E73D4B">
        <w:t>følgje</w:t>
      </w:r>
      <w:proofErr w:type="spellEnd"/>
      <w:r w:rsidRPr="00E73D4B">
        <w:t xml:space="preserve"> opp vedtaket og at Kommunal- og </w:t>
      </w:r>
      <w:proofErr w:type="spellStart"/>
      <w:r w:rsidRPr="00E73D4B">
        <w:t>distriktsdepartementet</w:t>
      </w:r>
      <w:proofErr w:type="spellEnd"/>
      <w:r w:rsidRPr="00E73D4B">
        <w:t xml:space="preserve"> vil vurdere behovet for </w:t>
      </w:r>
      <w:proofErr w:type="spellStart"/>
      <w:r w:rsidRPr="00E73D4B">
        <w:t>ytterlegare</w:t>
      </w:r>
      <w:proofErr w:type="spellEnd"/>
      <w:r w:rsidRPr="00E73D4B">
        <w:t xml:space="preserve"> utgreiing. Departementet har sett i gang arbeidet med ei ny utgreiing, fordi dette er nødvendig for å sikre ei </w:t>
      </w:r>
      <w:proofErr w:type="spellStart"/>
      <w:r w:rsidRPr="00E73D4B">
        <w:t>tilstrekkeleg</w:t>
      </w:r>
      <w:proofErr w:type="spellEnd"/>
      <w:r w:rsidRPr="00E73D4B">
        <w:t xml:space="preserve"> kartlegging av dekningssituasjonen og </w:t>
      </w:r>
      <w:proofErr w:type="spellStart"/>
      <w:r w:rsidRPr="00E73D4B">
        <w:t>eit</w:t>
      </w:r>
      <w:proofErr w:type="spellEnd"/>
      <w:r w:rsidRPr="00E73D4B">
        <w:t xml:space="preserve"> </w:t>
      </w:r>
      <w:proofErr w:type="spellStart"/>
      <w:r w:rsidRPr="00E73D4B">
        <w:t>meir</w:t>
      </w:r>
      <w:proofErr w:type="spellEnd"/>
      <w:r w:rsidRPr="00E73D4B">
        <w:t xml:space="preserve"> presist anslag på </w:t>
      </w:r>
      <w:proofErr w:type="spellStart"/>
      <w:r w:rsidRPr="00E73D4B">
        <w:t>kostnadar</w:t>
      </w:r>
      <w:proofErr w:type="spellEnd"/>
      <w:r w:rsidRPr="00E73D4B">
        <w:t xml:space="preserve"> for å </w:t>
      </w:r>
      <w:proofErr w:type="spellStart"/>
      <w:r w:rsidRPr="00E73D4B">
        <w:t>utbetre</w:t>
      </w:r>
      <w:proofErr w:type="spellEnd"/>
      <w:r w:rsidRPr="00E73D4B">
        <w:t xml:space="preserve"> dekningshola.</w:t>
      </w:r>
    </w:p>
    <w:p w14:paraId="00065EDA"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om saka på eigna måte.</w:t>
      </w:r>
    </w:p>
    <w:p w14:paraId="0F7181FA" w14:textId="77777777" w:rsidR="00972395" w:rsidRPr="00E73D4B" w:rsidRDefault="00F120C7" w:rsidP="00E73D4B">
      <w:pPr>
        <w:pStyle w:val="avsnitt-tittel"/>
      </w:pPr>
      <w:r w:rsidRPr="00E73D4B">
        <w:t xml:space="preserve">Behandling av klagesaker der </w:t>
      </w:r>
      <w:proofErr w:type="spellStart"/>
      <w:r w:rsidRPr="00E73D4B">
        <w:t>statsforvaltaren</w:t>
      </w:r>
      <w:proofErr w:type="spellEnd"/>
      <w:r w:rsidRPr="00E73D4B">
        <w:t xml:space="preserve"> er </w:t>
      </w:r>
      <w:proofErr w:type="spellStart"/>
      <w:r w:rsidRPr="00E73D4B">
        <w:t>klagar</w:t>
      </w:r>
      <w:proofErr w:type="spellEnd"/>
      <w:r w:rsidRPr="00E73D4B">
        <w:t xml:space="preserve"> eller part</w:t>
      </w:r>
    </w:p>
    <w:p w14:paraId="109410D1" w14:textId="77777777" w:rsidR="00972395" w:rsidRPr="00E73D4B" w:rsidRDefault="00F120C7" w:rsidP="00E73D4B">
      <w:pPr>
        <w:pStyle w:val="avsnitt-undertittel"/>
      </w:pPr>
      <w:r w:rsidRPr="00E73D4B">
        <w:t>Vedtak nr. 1125, 4. juni 2021</w:t>
      </w:r>
    </w:p>
    <w:p w14:paraId="1B55DD84" w14:textId="77777777" w:rsidR="00972395" w:rsidRPr="00E73D4B" w:rsidRDefault="00F120C7" w:rsidP="00E73D4B">
      <w:pPr>
        <w:pStyle w:val="blokksit"/>
        <w:rPr>
          <w:rStyle w:val="kursiv"/>
        </w:rPr>
      </w:pPr>
      <w:r w:rsidRPr="00E73D4B">
        <w:rPr>
          <w:rStyle w:val="kursiv"/>
        </w:rPr>
        <w:t>«Stortinget ber regjeringen vurdere hvordan klagesaker i forbindelse med dispensasjoner etter plan- og bygningsloven bedre kan håndteres, ressursmessig og tidsmessig, i saker der statsforvalteren selv er klager eller på annen måte part i saken.»</w:t>
      </w:r>
    </w:p>
    <w:p w14:paraId="481FCC17"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169 L (2020–2021) </w:t>
      </w:r>
      <w:r w:rsidRPr="00E73D4B">
        <w:rPr>
          <w:rStyle w:val="kursiv"/>
        </w:rPr>
        <w:t>Endringer i plan- og bygningsloven m.m. (regional plan, dispensasjon m.m.)</w:t>
      </w:r>
      <w:r w:rsidRPr="00E73D4B">
        <w:t xml:space="preserve">, </w:t>
      </w:r>
      <w:proofErr w:type="spellStart"/>
      <w:r w:rsidRPr="00E73D4B">
        <w:t>Innst</w:t>
      </w:r>
      <w:proofErr w:type="spellEnd"/>
      <w:r w:rsidRPr="00E73D4B">
        <w:t>. 606 L (2020–2021) og Lovvedtak 150 (2020–2021).</w:t>
      </w:r>
    </w:p>
    <w:p w14:paraId="06E56C65" w14:textId="77777777" w:rsidR="00972395" w:rsidRPr="00E73D4B" w:rsidRDefault="00F120C7" w:rsidP="00E73D4B">
      <w:r w:rsidRPr="00E73D4B">
        <w:t xml:space="preserve">Vedtaket er </w:t>
      </w:r>
      <w:proofErr w:type="spellStart"/>
      <w:r w:rsidRPr="00E73D4B">
        <w:t>vareteke</w:t>
      </w:r>
      <w:proofErr w:type="spellEnd"/>
      <w:r w:rsidRPr="00E73D4B">
        <w:t xml:space="preserve"> gjennom styringsdialogen departementet har med embeta. Det er også gjennomført ei kartlegging av klager </w:t>
      </w:r>
      <w:proofErr w:type="spellStart"/>
      <w:r w:rsidRPr="00E73D4B">
        <w:t>frå</w:t>
      </w:r>
      <w:proofErr w:type="spellEnd"/>
      <w:r w:rsidRPr="00E73D4B">
        <w:t xml:space="preserve"> </w:t>
      </w:r>
      <w:proofErr w:type="spellStart"/>
      <w:r w:rsidRPr="00E73D4B">
        <w:t>statsforvaltaren</w:t>
      </w:r>
      <w:proofErr w:type="spellEnd"/>
      <w:r w:rsidRPr="00E73D4B">
        <w:t xml:space="preserve">. Oppdraget til </w:t>
      </w:r>
      <w:proofErr w:type="spellStart"/>
      <w:r w:rsidRPr="00E73D4B">
        <w:t>statsforvaltaren</w:t>
      </w:r>
      <w:proofErr w:type="spellEnd"/>
      <w:r w:rsidRPr="00E73D4B">
        <w:t xml:space="preserve"> om kartlegging av klager, </w:t>
      </w:r>
      <w:proofErr w:type="spellStart"/>
      <w:r w:rsidRPr="00E73D4B">
        <w:t>medrekna</w:t>
      </w:r>
      <w:proofErr w:type="spellEnd"/>
      <w:r w:rsidRPr="00E73D4B">
        <w:t xml:space="preserve"> tema og grunngiving for klaga, er teken inn i tildelingsbrevet for 2021 og 2022.</w:t>
      </w:r>
    </w:p>
    <w:p w14:paraId="2A7C1098"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74957002" w14:textId="77777777" w:rsidR="00972395" w:rsidRPr="00E73D4B" w:rsidRDefault="00F120C7" w:rsidP="00E73D4B">
      <w:pPr>
        <w:pStyle w:val="avsnitt-tittel"/>
      </w:pPr>
      <w:r w:rsidRPr="00E73D4B">
        <w:t xml:space="preserve">Bruk av </w:t>
      </w:r>
      <w:proofErr w:type="spellStart"/>
      <w:r w:rsidRPr="00E73D4B">
        <w:t>dispensasjonar</w:t>
      </w:r>
      <w:proofErr w:type="spellEnd"/>
      <w:r w:rsidRPr="00E73D4B">
        <w:t xml:space="preserve"> i plansaker</w:t>
      </w:r>
    </w:p>
    <w:p w14:paraId="23F6DFEF" w14:textId="77777777" w:rsidR="00972395" w:rsidRPr="00E73D4B" w:rsidRDefault="00F120C7" w:rsidP="00E73D4B">
      <w:pPr>
        <w:pStyle w:val="avsnitt-undertittel"/>
      </w:pPr>
      <w:r w:rsidRPr="00E73D4B">
        <w:t>Vedtak nr. 1126, 4. juni 2021</w:t>
      </w:r>
    </w:p>
    <w:p w14:paraId="50F99A2E" w14:textId="77777777" w:rsidR="00972395" w:rsidRPr="00E73D4B" w:rsidRDefault="00F120C7" w:rsidP="00E73D4B">
      <w:pPr>
        <w:pStyle w:val="blokksit"/>
        <w:rPr>
          <w:rStyle w:val="kursiv"/>
        </w:rPr>
      </w:pPr>
      <w:r w:rsidRPr="00E73D4B">
        <w:rPr>
          <w:rStyle w:val="kursiv"/>
        </w:rPr>
        <w:t>«Stortinget ber regjeringen vurdere hvordan det best kan sikres et riktig og godt kunnskapsgrunnlag for å få oversikt over i hvilke typer saker norske kommuner benytter seg av dispensasjonsbestemmelsen i plan- og bygningsloven.»</w:t>
      </w:r>
    </w:p>
    <w:p w14:paraId="129CC60F"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169 L (2020–2021) </w:t>
      </w:r>
      <w:r w:rsidRPr="00E73D4B">
        <w:rPr>
          <w:rStyle w:val="kursiv"/>
        </w:rPr>
        <w:t>Endringer i plan- og bygningsloven m.m. (regional plan, dispensasjon m.m.)</w:t>
      </w:r>
      <w:r w:rsidRPr="00E73D4B">
        <w:t xml:space="preserve">, </w:t>
      </w:r>
      <w:proofErr w:type="spellStart"/>
      <w:r w:rsidRPr="00E73D4B">
        <w:t>Innst</w:t>
      </w:r>
      <w:proofErr w:type="spellEnd"/>
      <w:r w:rsidRPr="00E73D4B">
        <w:t>. 606 L (2020–2021) og Lovvedtak 150 (2020–2021).</w:t>
      </w:r>
    </w:p>
    <w:p w14:paraId="2366DDC8"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bruker Kommune-Stat-Rapportering (KOSTRA) for å </w:t>
      </w:r>
      <w:proofErr w:type="spellStart"/>
      <w:r w:rsidRPr="00E73D4B">
        <w:t>følgje</w:t>
      </w:r>
      <w:proofErr w:type="spellEnd"/>
      <w:r w:rsidRPr="00E73D4B">
        <w:t xml:space="preserve"> med på bruken av </w:t>
      </w:r>
      <w:proofErr w:type="spellStart"/>
      <w:r w:rsidRPr="00E73D4B">
        <w:t>dispensasjonar</w:t>
      </w:r>
      <w:proofErr w:type="spellEnd"/>
      <w:r w:rsidRPr="00E73D4B">
        <w:t xml:space="preserve"> i </w:t>
      </w:r>
      <w:proofErr w:type="spellStart"/>
      <w:r w:rsidRPr="00E73D4B">
        <w:t>kommunane</w:t>
      </w:r>
      <w:proofErr w:type="spellEnd"/>
      <w:r w:rsidRPr="00E73D4B">
        <w:t xml:space="preserve">. KOSTRA gir informasjon om </w:t>
      </w:r>
      <w:proofErr w:type="spellStart"/>
      <w:r w:rsidRPr="00E73D4B">
        <w:t>talet</w:t>
      </w:r>
      <w:proofErr w:type="spellEnd"/>
      <w:r w:rsidRPr="00E73D4B">
        <w:t xml:space="preserve"> på </w:t>
      </w:r>
      <w:proofErr w:type="spellStart"/>
      <w:r w:rsidRPr="00E73D4B">
        <w:t>byggjeløyve</w:t>
      </w:r>
      <w:proofErr w:type="spellEnd"/>
      <w:r w:rsidRPr="00E73D4B">
        <w:t xml:space="preserve"> som er innvilga ved dispensasjon </w:t>
      </w:r>
      <w:proofErr w:type="spellStart"/>
      <w:r w:rsidRPr="00E73D4B">
        <w:t>frå</w:t>
      </w:r>
      <w:proofErr w:type="spellEnd"/>
      <w:r w:rsidRPr="00E73D4B">
        <w:t xml:space="preserve"> vedtatte planar. Rapporteringa gir også informasjon om </w:t>
      </w:r>
      <w:proofErr w:type="spellStart"/>
      <w:r w:rsidRPr="00E73D4B">
        <w:t>dispensasjonar</w:t>
      </w:r>
      <w:proofErr w:type="spellEnd"/>
      <w:r w:rsidRPr="00E73D4B">
        <w:t xml:space="preserve"> i landbruks-, natur- og friluftsområde, i strandsona langs sjø og vassdrag, og i område regulert til bevaring. Gjennom kart- og planforskrifta er det også </w:t>
      </w:r>
      <w:proofErr w:type="spellStart"/>
      <w:r w:rsidRPr="00E73D4B">
        <w:t>eit</w:t>
      </w:r>
      <w:proofErr w:type="spellEnd"/>
      <w:r w:rsidRPr="00E73D4B">
        <w:t xml:space="preserve"> krav om at </w:t>
      </w:r>
      <w:proofErr w:type="spellStart"/>
      <w:r w:rsidRPr="00E73D4B">
        <w:t>dispensasjonar</w:t>
      </w:r>
      <w:proofErr w:type="spellEnd"/>
      <w:r w:rsidRPr="00E73D4B">
        <w:t xml:space="preserve"> </w:t>
      </w:r>
      <w:proofErr w:type="spellStart"/>
      <w:r w:rsidRPr="00E73D4B">
        <w:t>frå</w:t>
      </w:r>
      <w:proofErr w:type="spellEnd"/>
      <w:r w:rsidRPr="00E73D4B">
        <w:t xml:space="preserve"> vedtatte </w:t>
      </w:r>
      <w:proofErr w:type="spellStart"/>
      <w:r w:rsidRPr="00E73D4B">
        <w:t>arealplanar</w:t>
      </w:r>
      <w:proofErr w:type="spellEnd"/>
      <w:r w:rsidRPr="00E73D4B">
        <w:t xml:space="preserve"> </w:t>
      </w:r>
      <w:proofErr w:type="spellStart"/>
      <w:r w:rsidRPr="00E73D4B">
        <w:t>registrerast</w:t>
      </w:r>
      <w:proofErr w:type="spellEnd"/>
      <w:r w:rsidRPr="00E73D4B">
        <w:t xml:space="preserve"> i digitalt planregister. Dagens system medfører til </w:t>
      </w:r>
      <w:proofErr w:type="gramStart"/>
      <w:r w:rsidRPr="00E73D4B">
        <w:t>ei viss grad</w:t>
      </w:r>
      <w:proofErr w:type="gramEnd"/>
      <w:r w:rsidRPr="00E73D4B">
        <w:t xml:space="preserve"> ei dobbeltrapportering for </w:t>
      </w:r>
      <w:proofErr w:type="spellStart"/>
      <w:r w:rsidRPr="00E73D4B">
        <w:t>kommunane</w:t>
      </w:r>
      <w:proofErr w:type="spellEnd"/>
      <w:r w:rsidRPr="00E73D4B">
        <w:t>.</w:t>
      </w:r>
    </w:p>
    <w:p w14:paraId="3C56FB34" w14:textId="77777777" w:rsidR="00972395" w:rsidRPr="00E73D4B" w:rsidRDefault="00F120C7" w:rsidP="00E73D4B">
      <w:r w:rsidRPr="00E73D4B">
        <w:t xml:space="preserve">Det er </w:t>
      </w:r>
      <w:proofErr w:type="spellStart"/>
      <w:r w:rsidRPr="00E73D4B">
        <w:t>kontinuerleg</w:t>
      </w:r>
      <w:proofErr w:type="spellEnd"/>
      <w:r w:rsidRPr="00E73D4B">
        <w:t xml:space="preserve"> </w:t>
      </w:r>
      <w:proofErr w:type="spellStart"/>
      <w:r w:rsidRPr="00E73D4B">
        <w:t>oppmerksemd</w:t>
      </w:r>
      <w:proofErr w:type="spellEnd"/>
      <w:r w:rsidRPr="00E73D4B">
        <w:t xml:space="preserve"> på å </w:t>
      </w:r>
      <w:proofErr w:type="spellStart"/>
      <w:r w:rsidRPr="00E73D4B">
        <w:t>forbetre</w:t>
      </w:r>
      <w:proofErr w:type="spellEnd"/>
      <w:r w:rsidRPr="00E73D4B">
        <w:t xml:space="preserve"> kvaliteten på rapporteringa. Samstundes er det </w:t>
      </w:r>
      <w:proofErr w:type="spellStart"/>
      <w:r w:rsidRPr="00E73D4B">
        <w:t>ønskjeleg</w:t>
      </w:r>
      <w:proofErr w:type="spellEnd"/>
      <w:r w:rsidRPr="00E73D4B">
        <w:t xml:space="preserve"> å avgrense </w:t>
      </w:r>
      <w:proofErr w:type="spellStart"/>
      <w:r w:rsidRPr="00E73D4B">
        <w:t>kommunane</w:t>
      </w:r>
      <w:proofErr w:type="spellEnd"/>
      <w:r w:rsidRPr="00E73D4B">
        <w:t xml:space="preserve"> si dobbeltrapportering gjennom KOSTRA og det digitale planregisteret. Statistisk sentralbyrå (SSB) har under utvikling </w:t>
      </w:r>
      <w:proofErr w:type="spellStart"/>
      <w:r w:rsidRPr="00E73D4B">
        <w:t>eKOSTRA</w:t>
      </w:r>
      <w:proofErr w:type="spellEnd"/>
      <w:r w:rsidRPr="00E73D4B">
        <w:t xml:space="preserve">. Gjennom </w:t>
      </w:r>
      <w:proofErr w:type="spellStart"/>
      <w:r w:rsidRPr="00E73D4B">
        <w:t>eKOSTRA</w:t>
      </w:r>
      <w:proofErr w:type="spellEnd"/>
      <w:r w:rsidRPr="00E73D4B">
        <w:t xml:space="preserve"> vil data om enkelte </w:t>
      </w:r>
      <w:proofErr w:type="spellStart"/>
      <w:r w:rsidRPr="00E73D4B">
        <w:t>hendingar</w:t>
      </w:r>
      <w:proofErr w:type="spellEnd"/>
      <w:r w:rsidRPr="00E73D4B">
        <w:t xml:space="preserve">, som til dømes data knytte til </w:t>
      </w:r>
      <w:proofErr w:type="spellStart"/>
      <w:r w:rsidRPr="00E73D4B">
        <w:t>dispensasjonar</w:t>
      </w:r>
      <w:proofErr w:type="spellEnd"/>
      <w:r w:rsidRPr="00E73D4B">
        <w:t xml:space="preserve">, </w:t>
      </w:r>
      <w:proofErr w:type="spellStart"/>
      <w:r w:rsidRPr="00E73D4B">
        <w:t>hentast</w:t>
      </w:r>
      <w:proofErr w:type="spellEnd"/>
      <w:r w:rsidRPr="00E73D4B">
        <w:t xml:space="preserve"> direkte </w:t>
      </w:r>
      <w:proofErr w:type="spellStart"/>
      <w:r w:rsidRPr="00E73D4B">
        <w:t>frå</w:t>
      </w:r>
      <w:proofErr w:type="spellEnd"/>
      <w:r w:rsidRPr="00E73D4B">
        <w:t xml:space="preserve"> </w:t>
      </w:r>
      <w:proofErr w:type="spellStart"/>
      <w:r w:rsidRPr="00E73D4B">
        <w:t>dei</w:t>
      </w:r>
      <w:proofErr w:type="spellEnd"/>
      <w:r w:rsidRPr="00E73D4B">
        <w:t xml:space="preserve"> kommunale sakssystema, mellom anna direkte </w:t>
      </w:r>
      <w:proofErr w:type="spellStart"/>
      <w:r w:rsidRPr="00E73D4B">
        <w:t>frå</w:t>
      </w:r>
      <w:proofErr w:type="spellEnd"/>
      <w:r w:rsidRPr="00E73D4B">
        <w:t xml:space="preserve"> det digitale planregisteret. </w:t>
      </w:r>
    </w:p>
    <w:p w14:paraId="6FEFC08C" w14:textId="77777777" w:rsidR="00972395" w:rsidRPr="00E73D4B" w:rsidRDefault="00F120C7" w:rsidP="00E73D4B">
      <w:r w:rsidRPr="00E73D4B">
        <w:t xml:space="preserve">Departementet har </w:t>
      </w:r>
      <w:proofErr w:type="spellStart"/>
      <w:r w:rsidRPr="00E73D4B">
        <w:t>forventningar</w:t>
      </w:r>
      <w:proofErr w:type="spellEnd"/>
      <w:r w:rsidRPr="00E73D4B">
        <w:t xml:space="preserve"> om at utviklinga av </w:t>
      </w:r>
      <w:proofErr w:type="spellStart"/>
      <w:r w:rsidRPr="00E73D4B">
        <w:t>eKOSTRA</w:t>
      </w:r>
      <w:proofErr w:type="spellEnd"/>
      <w:r w:rsidRPr="00E73D4B">
        <w:t xml:space="preserve"> vil gi betre kvalitet på informasjonen som kan </w:t>
      </w:r>
      <w:proofErr w:type="spellStart"/>
      <w:r w:rsidRPr="00E73D4B">
        <w:t>hentast</w:t>
      </w:r>
      <w:proofErr w:type="spellEnd"/>
      <w:r w:rsidRPr="00E73D4B">
        <w:t xml:space="preserve"> ut </w:t>
      </w:r>
      <w:proofErr w:type="spellStart"/>
      <w:r w:rsidRPr="00E73D4B">
        <w:t>frå</w:t>
      </w:r>
      <w:proofErr w:type="spellEnd"/>
      <w:r w:rsidRPr="00E73D4B">
        <w:t xml:space="preserve"> systemet, og gi god oversikt over </w:t>
      </w:r>
      <w:proofErr w:type="spellStart"/>
      <w:r w:rsidRPr="00E73D4B">
        <w:t>kommunane</w:t>
      </w:r>
      <w:proofErr w:type="spellEnd"/>
      <w:r w:rsidRPr="00E73D4B">
        <w:t xml:space="preserve"> si dispensasjonspraksis. Samstundes vil dobbeltrapporteringa </w:t>
      </w:r>
      <w:proofErr w:type="spellStart"/>
      <w:r w:rsidRPr="00E73D4B">
        <w:t>reduserast</w:t>
      </w:r>
      <w:proofErr w:type="spellEnd"/>
      <w:r w:rsidRPr="00E73D4B">
        <w:t xml:space="preserve">, og </w:t>
      </w:r>
      <w:proofErr w:type="spellStart"/>
      <w:r w:rsidRPr="00E73D4B">
        <w:t>kommunane</w:t>
      </w:r>
      <w:proofErr w:type="spellEnd"/>
      <w:r w:rsidRPr="00E73D4B">
        <w:t xml:space="preserve"> si </w:t>
      </w:r>
      <w:proofErr w:type="spellStart"/>
      <w:r w:rsidRPr="00E73D4B">
        <w:t>rapporteringsbør</w:t>
      </w:r>
      <w:proofErr w:type="spellEnd"/>
      <w:r w:rsidRPr="00E73D4B">
        <w:t xml:space="preserve"> </w:t>
      </w:r>
      <w:proofErr w:type="spellStart"/>
      <w:r w:rsidRPr="00E73D4B">
        <w:t>begrensast</w:t>
      </w:r>
      <w:proofErr w:type="spellEnd"/>
      <w:r w:rsidRPr="00E73D4B">
        <w:t>.</w:t>
      </w:r>
    </w:p>
    <w:p w14:paraId="5BBA9FB6" w14:textId="77777777" w:rsidR="00972395" w:rsidRPr="00E73D4B" w:rsidRDefault="00F120C7" w:rsidP="00E73D4B">
      <w:r w:rsidRPr="00E73D4B">
        <w:t xml:space="preserve">Departementet har også bestilt </w:t>
      </w:r>
      <w:proofErr w:type="spellStart"/>
      <w:r w:rsidRPr="00E73D4B">
        <w:t>ein</w:t>
      </w:r>
      <w:proofErr w:type="spellEnd"/>
      <w:r w:rsidRPr="00E73D4B">
        <w:t xml:space="preserve"> casestudie for å få </w:t>
      </w:r>
      <w:proofErr w:type="spellStart"/>
      <w:r w:rsidRPr="00E73D4B">
        <w:t>meir</w:t>
      </w:r>
      <w:proofErr w:type="spellEnd"/>
      <w:r w:rsidRPr="00E73D4B">
        <w:t xml:space="preserve"> kunnskap om i kva for </w:t>
      </w:r>
      <w:proofErr w:type="spellStart"/>
      <w:r w:rsidRPr="00E73D4B">
        <w:t>typar</w:t>
      </w:r>
      <w:proofErr w:type="spellEnd"/>
      <w:r w:rsidRPr="00E73D4B">
        <w:t xml:space="preserve"> </w:t>
      </w:r>
      <w:proofErr w:type="spellStart"/>
      <w:r w:rsidRPr="00E73D4B">
        <w:t>sakar</w:t>
      </w:r>
      <w:proofErr w:type="spellEnd"/>
      <w:r w:rsidRPr="00E73D4B">
        <w:t xml:space="preserve"> det gis dispensasjon, kva som er grunngivinga for å </w:t>
      </w:r>
      <w:proofErr w:type="spellStart"/>
      <w:r w:rsidRPr="00E73D4B">
        <w:t>søkje</w:t>
      </w:r>
      <w:proofErr w:type="spellEnd"/>
      <w:r w:rsidRPr="00E73D4B">
        <w:t xml:space="preserve"> om dispensasjon, og </w:t>
      </w:r>
      <w:proofErr w:type="gramStart"/>
      <w:r w:rsidRPr="00E73D4B">
        <w:t>ei oversikt</w:t>
      </w:r>
      <w:proofErr w:type="gramEnd"/>
      <w:r w:rsidRPr="00E73D4B">
        <w:t xml:space="preserve"> over tiltak og </w:t>
      </w:r>
      <w:proofErr w:type="spellStart"/>
      <w:r w:rsidRPr="00E73D4B">
        <w:t>verkemiddel</w:t>
      </w:r>
      <w:proofErr w:type="spellEnd"/>
      <w:r w:rsidRPr="00E73D4B">
        <w:t xml:space="preserve"> som kan redusere omfanget av </w:t>
      </w:r>
      <w:proofErr w:type="spellStart"/>
      <w:r w:rsidRPr="00E73D4B">
        <w:t>dispensasjonar</w:t>
      </w:r>
      <w:proofErr w:type="spellEnd"/>
      <w:r w:rsidRPr="00E73D4B">
        <w:t xml:space="preserve">. Departementet arbeider </w:t>
      </w:r>
      <w:proofErr w:type="spellStart"/>
      <w:r w:rsidRPr="00E73D4B">
        <w:t>kontinuerleg</w:t>
      </w:r>
      <w:proofErr w:type="spellEnd"/>
      <w:r w:rsidRPr="00E73D4B">
        <w:t xml:space="preserve"> med å </w:t>
      </w:r>
      <w:proofErr w:type="spellStart"/>
      <w:r w:rsidRPr="00E73D4B">
        <w:t>forbetre</w:t>
      </w:r>
      <w:proofErr w:type="spellEnd"/>
      <w:r w:rsidRPr="00E73D4B">
        <w:t xml:space="preserve"> og effektivisere </w:t>
      </w:r>
      <w:proofErr w:type="spellStart"/>
      <w:r w:rsidRPr="00E73D4B">
        <w:t>planprosessane</w:t>
      </w:r>
      <w:proofErr w:type="spellEnd"/>
      <w:r w:rsidRPr="00E73D4B">
        <w:t xml:space="preserve"> og forenkle regelverket i plan- og bygningslova. Det er </w:t>
      </w:r>
      <w:proofErr w:type="spellStart"/>
      <w:r w:rsidRPr="00E73D4B">
        <w:t>eit</w:t>
      </w:r>
      <w:proofErr w:type="spellEnd"/>
      <w:r w:rsidRPr="00E73D4B">
        <w:t xml:space="preserve"> mål å redusere </w:t>
      </w:r>
      <w:proofErr w:type="spellStart"/>
      <w:r w:rsidRPr="00E73D4B">
        <w:t>talet</w:t>
      </w:r>
      <w:proofErr w:type="spellEnd"/>
      <w:r w:rsidRPr="00E73D4B">
        <w:t xml:space="preserve"> </w:t>
      </w:r>
      <w:proofErr w:type="spellStart"/>
      <w:r w:rsidRPr="00E73D4B">
        <w:t>dispensasjonar</w:t>
      </w:r>
      <w:proofErr w:type="spellEnd"/>
      <w:r w:rsidRPr="00E73D4B">
        <w:t xml:space="preserve"> </w:t>
      </w:r>
      <w:proofErr w:type="spellStart"/>
      <w:r w:rsidRPr="00E73D4B">
        <w:t>frå</w:t>
      </w:r>
      <w:proofErr w:type="spellEnd"/>
      <w:r w:rsidRPr="00E73D4B">
        <w:t xml:space="preserve"> </w:t>
      </w:r>
      <w:proofErr w:type="spellStart"/>
      <w:r w:rsidRPr="00E73D4B">
        <w:t>arealplanar</w:t>
      </w:r>
      <w:proofErr w:type="spellEnd"/>
      <w:r w:rsidRPr="00E73D4B">
        <w:t xml:space="preserve">. Slike </w:t>
      </w:r>
      <w:proofErr w:type="spellStart"/>
      <w:r w:rsidRPr="00E73D4B">
        <w:t>dispensasjonar</w:t>
      </w:r>
      <w:proofErr w:type="spellEnd"/>
      <w:r w:rsidRPr="00E73D4B">
        <w:t xml:space="preserve"> krev </w:t>
      </w:r>
      <w:proofErr w:type="spellStart"/>
      <w:r w:rsidRPr="00E73D4B">
        <w:t>mykje</w:t>
      </w:r>
      <w:proofErr w:type="spellEnd"/>
      <w:r w:rsidRPr="00E73D4B">
        <w:t xml:space="preserve"> </w:t>
      </w:r>
      <w:proofErr w:type="spellStart"/>
      <w:r w:rsidRPr="00E73D4B">
        <w:t>ressursar</w:t>
      </w:r>
      <w:proofErr w:type="spellEnd"/>
      <w:r w:rsidRPr="00E73D4B">
        <w:t xml:space="preserve"> både </w:t>
      </w:r>
      <w:proofErr w:type="spellStart"/>
      <w:r w:rsidRPr="00E73D4B">
        <w:t>frå</w:t>
      </w:r>
      <w:proofErr w:type="spellEnd"/>
      <w:r w:rsidRPr="00E73D4B">
        <w:t xml:space="preserve"> kommunen, </w:t>
      </w:r>
      <w:proofErr w:type="spellStart"/>
      <w:r w:rsidRPr="00E73D4B">
        <w:t>tiltakshavar</w:t>
      </w:r>
      <w:proofErr w:type="spellEnd"/>
      <w:r w:rsidRPr="00E73D4B">
        <w:t xml:space="preserve">, </w:t>
      </w:r>
      <w:proofErr w:type="spellStart"/>
      <w:r w:rsidRPr="00E73D4B">
        <w:t>berørde</w:t>
      </w:r>
      <w:proofErr w:type="spellEnd"/>
      <w:r w:rsidRPr="00E73D4B">
        <w:t xml:space="preserve"> sektorstyresmakter, </w:t>
      </w:r>
      <w:proofErr w:type="spellStart"/>
      <w:r w:rsidRPr="00E73D4B">
        <w:t>naboar</w:t>
      </w:r>
      <w:proofErr w:type="spellEnd"/>
      <w:r w:rsidRPr="00E73D4B">
        <w:t xml:space="preserve"> og andre </w:t>
      </w:r>
      <w:proofErr w:type="spellStart"/>
      <w:r w:rsidRPr="00E73D4B">
        <w:t>partar</w:t>
      </w:r>
      <w:proofErr w:type="spellEnd"/>
      <w:r w:rsidRPr="00E73D4B">
        <w:t xml:space="preserve">. Casestudien vil bidra til å gi betre kunnskap om </w:t>
      </w:r>
      <w:proofErr w:type="spellStart"/>
      <w:r w:rsidRPr="00E73D4B">
        <w:t>kommunane</w:t>
      </w:r>
      <w:proofErr w:type="spellEnd"/>
      <w:r w:rsidRPr="00E73D4B">
        <w:t xml:space="preserve"> si dispensasjonspraksis.</w:t>
      </w:r>
    </w:p>
    <w:p w14:paraId="218DF5D7" w14:textId="77777777" w:rsidR="00972395" w:rsidRPr="00E73D4B" w:rsidRDefault="00F120C7" w:rsidP="00E73D4B">
      <w:r w:rsidRPr="00E73D4B">
        <w:t xml:space="preserve">Departementet vil </w:t>
      </w:r>
      <w:proofErr w:type="spellStart"/>
      <w:r w:rsidRPr="00E73D4B">
        <w:t>følgje</w:t>
      </w:r>
      <w:proofErr w:type="spellEnd"/>
      <w:r w:rsidRPr="00E73D4B">
        <w:t xml:space="preserve"> utviklinga for å sikre </w:t>
      </w:r>
      <w:proofErr w:type="spellStart"/>
      <w:r w:rsidRPr="00E73D4B">
        <w:t>eit</w:t>
      </w:r>
      <w:proofErr w:type="spellEnd"/>
      <w:r w:rsidRPr="00E73D4B">
        <w:t xml:space="preserve"> riktig og godt kunnskapsgrunnlag om </w:t>
      </w:r>
      <w:proofErr w:type="spellStart"/>
      <w:r w:rsidRPr="00E73D4B">
        <w:t>dispensasjonar</w:t>
      </w:r>
      <w:proofErr w:type="spellEnd"/>
      <w:r w:rsidRPr="00E73D4B">
        <w:t xml:space="preserve"> gitt i </w:t>
      </w:r>
      <w:proofErr w:type="spellStart"/>
      <w:r w:rsidRPr="00E73D4B">
        <w:t>medhald</w:t>
      </w:r>
      <w:proofErr w:type="spellEnd"/>
      <w:r w:rsidRPr="00E73D4B">
        <w:t xml:space="preserve"> av plan- og bygningslova.</w:t>
      </w:r>
    </w:p>
    <w:p w14:paraId="5E1D0216" w14:textId="77777777" w:rsidR="00972395" w:rsidRPr="00E73D4B" w:rsidRDefault="00F120C7" w:rsidP="00E73D4B">
      <w:r w:rsidRPr="00E73D4B">
        <w:t xml:space="preserve">Departementet meiner med dette at oppmodingsvedtaket er </w:t>
      </w:r>
      <w:proofErr w:type="spellStart"/>
      <w:r w:rsidRPr="00E73D4B">
        <w:t>følgt</w:t>
      </w:r>
      <w:proofErr w:type="spellEnd"/>
      <w:r w:rsidRPr="00E73D4B">
        <w:t xml:space="preserve"> opp.</w:t>
      </w:r>
    </w:p>
    <w:p w14:paraId="19E5DCB0" w14:textId="77777777" w:rsidR="00972395" w:rsidRPr="00E73D4B" w:rsidRDefault="00F120C7" w:rsidP="00E73D4B">
      <w:pPr>
        <w:pStyle w:val="avsnitt-tittel"/>
      </w:pPr>
      <w:proofErr w:type="spellStart"/>
      <w:r w:rsidRPr="00E73D4B">
        <w:t>Klarare</w:t>
      </w:r>
      <w:proofErr w:type="spellEnd"/>
      <w:r w:rsidRPr="00E73D4B">
        <w:t xml:space="preserve"> </w:t>
      </w:r>
      <w:proofErr w:type="spellStart"/>
      <w:r w:rsidRPr="00E73D4B">
        <w:t>reglar</w:t>
      </w:r>
      <w:proofErr w:type="spellEnd"/>
      <w:r w:rsidRPr="00E73D4B">
        <w:t xml:space="preserve"> for krav til </w:t>
      </w:r>
      <w:proofErr w:type="spellStart"/>
      <w:r w:rsidRPr="00E73D4B">
        <w:t>sløkkevatn</w:t>
      </w:r>
      <w:proofErr w:type="spellEnd"/>
    </w:p>
    <w:p w14:paraId="2250057C" w14:textId="77777777" w:rsidR="00972395" w:rsidRPr="00E73D4B" w:rsidRDefault="00F120C7" w:rsidP="00E73D4B">
      <w:pPr>
        <w:pStyle w:val="avsnitt-undertittel"/>
      </w:pPr>
      <w:r w:rsidRPr="00E73D4B">
        <w:t>Vedtak nr. 1209, 10. juni 2021</w:t>
      </w:r>
    </w:p>
    <w:p w14:paraId="72EF2CB4" w14:textId="77777777" w:rsidR="00972395" w:rsidRPr="00E73D4B" w:rsidRDefault="00F120C7" w:rsidP="00E73D4B">
      <w:pPr>
        <w:pStyle w:val="blokksit"/>
        <w:rPr>
          <w:rStyle w:val="kursiv"/>
        </w:rPr>
      </w:pPr>
      <w:r w:rsidRPr="00E73D4B">
        <w:rPr>
          <w:rStyle w:val="kursiv"/>
        </w:rPr>
        <w:t xml:space="preserve">«Stortinget ber regjeringen om å oppstille klare vilkår i regelverket for i hvilke tilfeller kommunene kan fravike de preaksepterte løsningene i </w:t>
      </w:r>
      <w:proofErr w:type="spellStart"/>
      <w:r w:rsidRPr="00E73D4B">
        <w:rPr>
          <w:rStyle w:val="kursiv"/>
        </w:rPr>
        <w:t>byggteknisk</w:t>
      </w:r>
      <w:proofErr w:type="spellEnd"/>
      <w:r w:rsidRPr="00E73D4B">
        <w:rPr>
          <w:rStyle w:val="kursiv"/>
        </w:rPr>
        <w:t xml:space="preserve"> forskrift (TEK17) § 11-17 og forskrift om brannforebygging § 21 til ugunst for utbygger hvor det </w:t>
      </w:r>
      <w:proofErr w:type="spellStart"/>
      <w:r w:rsidRPr="00E73D4B">
        <w:rPr>
          <w:rStyle w:val="kursiv"/>
        </w:rPr>
        <w:t>brannprosjekteres</w:t>
      </w:r>
      <w:proofErr w:type="spellEnd"/>
      <w:r w:rsidRPr="00E73D4B">
        <w:rPr>
          <w:rStyle w:val="kursiv"/>
        </w:rPr>
        <w:t xml:space="preserve"> med tankbil.»</w:t>
      </w:r>
    </w:p>
    <w:p w14:paraId="5C92DA3E"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Hans Andreas </w:t>
      </w:r>
      <w:proofErr w:type="spellStart"/>
      <w:r w:rsidRPr="00E73D4B">
        <w:t>Limi</w:t>
      </w:r>
      <w:proofErr w:type="spellEnd"/>
      <w:r w:rsidRPr="00E73D4B">
        <w:t xml:space="preserve">, Erlend Wiborg, Per-Willy Amundsen, Kjell-Børge Freiberg og Helge André Njåstad om å sikre </w:t>
      </w:r>
      <w:proofErr w:type="spellStart"/>
      <w:r w:rsidRPr="00E73D4B">
        <w:t>meir</w:t>
      </w:r>
      <w:proofErr w:type="spellEnd"/>
      <w:r w:rsidRPr="00E73D4B">
        <w:t xml:space="preserve"> </w:t>
      </w:r>
      <w:proofErr w:type="spellStart"/>
      <w:r w:rsidRPr="00E73D4B">
        <w:t>føreseielege</w:t>
      </w:r>
      <w:proofErr w:type="spellEnd"/>
      <w:r w:rsidRPr="00E73D4B">
        <w:t xml:space="preserve"> </w:t>
      </w:r>
      <w:proofErr w:type="spellStart"/>
      <w:r w:rsidRPr="00E73D4B">
        <w:t>reglar</w:t>
      </w:r>
      <w:proofErr w:type="spellEnd"/>
      <w:r w:rsidRPr="00E73D4B">
        <w:t xml:space="preserve"> for krav til </w:t>
      </w:r>
      <w:proofErr w:type="spellStart"/>
      <w:r w:rsidRPr="00E73D4B">
        <w:t>sløkkevatn</w:t>
      </w:r>
      <w:proofErr w:type="spellEnd"/>
      <w:r w:rsidRPr="00E73D4B">
        <w:t xml:space="preserve">, jf. Dokument 8:238 S (2020–2021) og </w:t>
      </w:r>
      <w:proofErr w:type="spellStart"/>
      <w:r w:rsidRPr="00E73D4B">
        <w:t>Innst</w:t>
      </w:r>
      <w:proofErr w:type="spellEnd"/>
      <w:r w:rsidRPr="00E73D4B">
        <w:t>. 583 S (2020–2021).</w:t>
      </w:r>
    </w:p>
    <w:p w14:paraId="08CB6940"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har ansvar for </w:t>
      </w:r>
      <w:proofErr w:type="spellStart"/>
      <w:r w:rsidRPr="00E73D4B">
        <w:t>byggteknisk</w:t>
      </w:r>
      <w:proofErr w:type="spellEnd"/>
      <w:r w:rsidRPr="00E73D4B">
        <w:t xml:space="preserve"> forskrift og Justis- og beredskapsdepartementet har ansvaret for forskrift om </w:t>
      </w:r>
      <w:proofErr w:type="spellStart"/>
      <w:r w:rsidRPr="00E73D4B">
        <w:t>brannførebygging</w:t>
      </w:r>
      <w:proofErr w:type="spellEnd"/>
      <w:r w:rsidRPr="00E73D4B">
        <w:t>.</w:t>
      </w:r>
    </w:p>
    <w:p w14:paraId="7E915EDD" w14:textId="77777777" w:rsidR="00972395" w:rsidRPr="00E73D4B" w:rsidRDefault="00F120C7" w:rsidP="00E73D4B">
      <w:r w:rsidRPr="00E73D4B">
        <w:t xml:space="preserve">Direktoratet for </w:t>
      </w:r>
      <w:proofErr w:type="spellStart"/>
      <w:r w:rsidRPr="00E73D4B">
        <w:t>byggkvalitet</w:t>
      </w:r>
      <w:proofErr w:type="spellEnd"/>
      <w:r w:rsidRPr="00E73D4B">
        <w:t xml:space="preserve"> (</w:t>
      </w:r>
      <w:proofErr w:type="spellStart"/>
      <w:r w:rsidRPr="00E73D4B">
        <w:t>DiBK</w:t>
      </w:r>
      <w:proofErr w:type="spellEnd"/>
      <w:r w:rsidRPr="00E73D4B">
        <w:t xml:space="preserve">) har, i samarbeid med Direktoratet for samfunnstryggleik og beredskap (DSB), utarbeidd </w:t>
      </w:r>
      <w:proofErr w:type="spellStart"/>
      <w:r w:rsidRPr="00E73D4B">
        <w:t>eit</w:t>
      </w:r>
      <w:proofErr w:type="spellEnd"/>
      <w:r w:rsidRPr="00E73D4B">
        <w:t xml:space="preserve"> forslag til korleis </w:t>
      </w:r>
      <w:proofErr w:type="spellStart"/>
      <w:r w:rsidRPr="00E73D4B">
        <w:t>rettleiaren</w:t>
      </w:r>
      <w:proofErr w:type="spellEnd"/>
      <w:r w:rsidRPr="00E73D4B">
        <w:t xml:space="preserve"> til det relevante kravet i </w:t>
      </w:r>
      <w:proofErr w:type="spellStart"/>
      <w:r w:rsidRPr="00E73D4B">
        <w:t>byggteknisk</w:t>
      </w:r>
      <w:proofErr w:type="spellEnd"/>
      <w:r w:rsidRPr="00E73D4B">
        <w:t xml:space="preserve"> forskrift kan bli </w:t>
      </w:r>
      <w:proofErr w:type="spellStart"/>
      <w:r w:rsidRPr="00E73D4B">
        <w:t>tydelegare</w:t>
      </w:r>
      <w:proofErr w:type="spellEnd"/>
      <w:r w:rsidRPr="00E73D4B">
        <w:t xml:space="preserve">. Kommunal- og </w:t>
      </w:r>
      <w:proofErr w:type="spellStart"/>
      <w:r w:rsidRPr="00E73D4B">
        <w:t>distriktsdepartementet</w:t>
      </w:r>
      <w:proofErr w:type="spellEnd"/>
      <w:r w:rsidRPr="00E73D4B">
        <w:t xml:space="preserve"> vurderer </w:t>
      </w:r>
      <w:proofErr w:type="spellStart"/>
      <w:r w:rsidRPr="00E73D4B">
        <w:t>no</w:t>
      </w:r>
      <w:proofErr w:type="spellEnd"/>
      <w:r w:rsidRPr="00E73D4B">
        <w:t xml:space="preserve"> forslaget.</w:t>
      </w:r>
    </w:p>
    <w:p w14:paraId="29F14158" w14:textId="77777777" w:rsidR="00972395" w:rsidRPr="00E73D4B" w:rsidRDefault="00F120C7" w:rsidP="00E73D4B">
      <w:pPr>
        <w:pStyle w:val="avsnitt-tittel"/>
      </w:pPr>
      <w:proofErr w:type="spellStart"/>
      <w:r w:rsidRPr="00E73D4B">
        <w:t>Helsetenester</w:t>
      </w:r>
      <w:proofErr w:type="spellEnd"/>
      <w:r w:rsidRPr="00E73D4B">
        <w:t xml:space="preserve"> nytta </w:t>
      </w:r>
      <w:proofErr w:type="spellStart"/>
      <w:r w:rsidRPr="00E73D4B">
        <w:t>utanfor</w:t>
      </w:r>
      <w:proofErr w:type="spellEnd"/>
      <w:r w:rsidRPr="00E73D4B">
        <w:t xml:space="preserve"> bustadkommunen</w:t>
      </w:r>
    </w:p>
    <w:p w14:paraId="27648697" w14:textId="77777777" w:rsidR="00972395" w:rsidRPr="00E73D4B" w:rsidRDefault="00F120C7" w:rsidP="00E73D4B">
      <w:pPr>
        <w:pStyle w:val="avsnitt-undertittel"/>
      </w:pPr>
      <w:r w:rsidRPr="00E73D4B">
        <w:t>Vedtak nr. 1252, 16. juni 2021</w:t>
      </w:r>
    </w:p>
    <w:p w14:paraId="568C1C7B" w14:textId="77777777" w:rsidR="00972395" w:rsidRPr="00E73D4B" w:rsidRDefault="00F120C7" w:rsidP="00E73D4B">
      <w:pPr>
        <w:pStyle w:val="blokksit"/>
        <w:rPr>
          <w:rStyle w:val="kursiv"/>
        </w:rPr>
      </w:pPr>
      <w:r w:rsidRPr="00E73D4B">
        <w:rPr>
          <w:rStyle w:val="kursiv"/>
        </w:rPr>
        <w:t>«Stortinget ber regjeringen i oppfølgingen av utredningen fra Inntektssystemutvalget vurdere lovverket slik at helsetjenester benyttet utenfor bostedskommunen i større grad kan belastes den kommunen tjenestemottaker betaler skatt til.»</w:t>
      </w:r>
    </w:p>
    <w:p w14:paraId="582D7B6A"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192 S (2020–2021) </w:t>
      </w:r>
      <w:r w:rsidRPr="00E73D4B">
        <w:rPr>
          <w:rStyle w:val="kursiv"/>
        </w:rPr>
        <w:t>Kommuneproposisjonen 2022</w:t>
      </w:r>
      <w:r w:rsidRPr="00E73D4B">
        <w:t xml:space="preserve"> og </w:t>
      </w:r>
      <w:proofErr w:type="spellStart"/>
      <w:r w:rsidRPr="00E73D4B">
        <w:t>Innst</w:t>
      </w:r>
      <w:proofErr w:type="spellEnd"/>
      <w:r w:rsidRPr="00E73D4B">
        <w:t>. 660 S (2020–2021).</w:t>
      </w:r>
    </w:p>
    <w:p w14:paraId="63E47E74" w14:textId="77777777" w:rsidR="00972395" w:rsidRPr="00E73D4B" w:rsidRDefault="00F120C7" w:rsidP="00E73D4B">
      <w:r w:rsidRPr="00E73D4B">
        <w:t xml:space="preserve">Kommunen skal, i samhøve med helse- og </w:t>
      </w:r>
      <w:proofErr w:type="spellStart"/>
      <w:r w:rsidRPr="00E73D4B">
        <w:t>omsorgstenestelova</w:t>
      </w:r>
      <w:proofErr w:type="spellEnd"/>
      <w:r w:rsidRPr="00E73D4B">
        <w:t xml:space="preserve">, </w:t>
      </w:r>
      <w:proofErr w:type="spellStart"/>
      <w:r w:rsidRPr="00E73D4B">
        <w:t>sørgje</w:t>
      </w:r>
      <w:proofErr w:type="spellEnd"/>
      <w:r w:rsidRPr="00E73D4B">
        <w:t xml:space="preserve"> for at </w:t>
      </w:r>
      <w:proofErr w:type="spellStart"/>
      <w:r w:rsidRPr="00E73D4B">
        <w:t>personar</w:t>
      </w:r>
      <w:proofErr w:type="spellEnd"/>
      <w:r w:rsidRPr="00E73D4B">
        <w:t xml:space="preserve"> som </w:t>
      </w:r>
      <w:proofErr w:type="spellStart"/>
      <w:r w:rsidRPr="00E73D4B">
        <w:t>oppheld</w:t>
      </w:r>
      <w:proofErr w:type="spellEnd"/>
      <w:r w:rsidRPr="00E73D4B">
        <w:t xml:space="preserve"> seg i kommunen har </w:t>
      </w:r>
      <w:proofErr w:type="spellStart"/>
      <w:r w:rsidRPr="00E73D4B">
        <w:t>tilbod</w:t>
      </w:r>
      <w:proofErr w:type="spellEnd"/>
      <w:r w:rsidRPr="00E73D4B">
        <w:t xml:space="preserve"> om nødvendige helse- og </w:t>
      </w:r>
      <w:proofErr w:type="spellStart"/>
      <w:r w:rsidRPr="00E73D4B">
        <w:t>omsorgstenester</w:t>
      </w:r>
      <w:proofErr w:type="spellEnd"/>
      <w:r w:rsidRPr="00E73D4B">
        <w:t xml:space="preserve">. Helse- og </w:t>
      </w:r>
      <w:proofErr w:type="spellStart"/>
      <w:r w:rsidRPr="00E73D4B">
        <w:t>omsorgstenestene</w:t>
      </w:r>
      <w:proofErr w:type="spellEnd"/>
      <w:r w:rsidRPr="00E73D4B">
        <w:t xml:space="preserve"> i </w:t>
      </w:r>
      <w:proofErr w:type="spellStart"/>
      <w:r w:rsidRPr="00E73D4B">
        <w:t>kommunane</w:t>
      </w:r>
      <w:proofErr w:type="spellEnd"/>
      <w:r w:rsidRPr="00E73D4B">
        <w:t xml:space="preserve"> blir i </w:t>
      </w:r>
      <w:proofErr w:type="spellStart"/>
      <w:r w:rsidRPr="00E73D4B">
        <w:t>hovudsak</w:t>
      </w:r>
      <w:proofErr w:type="spellEnd"/>
      <w:r w:rsidRPr="00E73D4B">
        <w:t xml:space="preserve"> finansierte av frie inntekter, som blir fordelte med utgangspunkt i folkeregistrerte </w:t>
      </w:r>
      <w:proofErr w:type="spellStart"/>
      <w:r w:rsidRPr="00E73D4B">
        <w:t>innbyggjarar</w:t>
      </w:r>
      <w:proofErr w:type="spellEnd"/>
      <w:r w:rsidRPr="00E73D4B">
        <w:t xml:space="preserve"> i kommunen. Dette kan gi </w:t>
      </w:r>
      <w:proofErr w:type="spellStart"/>
      <w:r w:rsidRPr="00E73D4B">
        <w:t>kommunar</w:t>
      </w:r>
      <w:proofErr w:type="spellEnd"/>
      <w:r w:rsidRPr="00E73D4B">
        <w:t xml:space="preserve"> med mange </w:t>
      </w:r>
      <w:proofErr w:type="spellStart"/>
      <w:r w:rsidRPr="00E73D4B">
        <w:t>hyttebebuarar</w:t>
      </w:r>
      <w:proofErr w:type="spellEnd"/>
      <w:r w:rsidRPr="00E73D4B">
        <w:t xml:space="preserve"> utgifter som </w:t>
      </w:r>
      <w:proofErr w:type="spellStart"/>
      <w:r w:rsidRPr="00E73D4B">
        <w:t>dei</w:t>
      </w:r>
      <w:proofErr w:type="spellEnd"/>
      <w:r w:rsidRPr="00E73D4B">
        <w:t xml:space="preserve"> frie inntektene </w:t>
      </w:r>
      <w:proofErr w:type="spellStart"/>
      <w:r w:rsidRPr="00E73D4B">
        <w:t>ikkje</w:t>
      </w:r>
      <w:proofErr w:type="spellEnd"/>
      <w:r w:rsidRPr="00E73D4B">
        <w:t xml:space="preserve"> dekker. Samstundes har </w:t>
      </w:r>
      <w:proofErr w:type="spellStart"/>
      <w:r w:rsidRPr="00E73D4B">
        <w:t>hyttekommunane</w:t>
      </w:r>
      <w:proofErr w:type="spellEnd"/>
      <w:r w:rsidRPr="00E73D4B">
        <w:t xml:space="preserve"> også andre </w:t>
      </w:r>
      <w:proofErr w:type="spellStart"/>
      <w:r w:rsidRPr="00E73D4B">
        <w:t>typar</w:t>
      </w:r>
      <w:proofErr w:type="spellEnd"/>
      <w:r w:rsidRPr="00E73D4B">
        <w:t xml:space="preserve"> inntekter </w:t>
      </w:r>
      <w:proofErr w:type="spellStart"/>
      <w:r w:rsidRPr="00E73D4B">
        <w:t>frå</w:t>
      </w:r>
      <w:proofErr w:type="spellEnd"/>
      <w:r w:rsidRPr="00E73D4B">
        <w:t xml:space="preserve"> </w:t>
      </w:r>
      <w:proofErr w:type="spellStart"/>
      <w:r w:rsidRPr="00E73D4B">
        <w:t>hyttebebuarane</w:t>
      </w:r>
      <w:proofErr w:type="spellEnd"/>
      <w:r w:rsidRPr="00E73D4B">
        <w:t xml:space="preserve">, som kommunale avgifter, </w:t>
      </w:r>
      <w:proofErr w:type="spellStart"/>
      <w:r w:rsidRPr="00E73D4B">
        <w:t>eigedomsskatt</w:t>
      </w:r>
      <w:proofErr w:type="spellEnd"/>
      <w:r w:rsidRPr="00E73D4B">
        <w:t xml:space="preserve"> og positive ringverknader for lokalsamfunna.</w:t>
      </w:r>
    </w:p>
    <w:p w14:paraId="4FD40606" w14:textId="77777777" w:rsidR="00972395" w:rsidRPr="00E73D4B" w:rsidRDefault="00F120C7" w:rsidP="00E73D4B">
      <w:proofErr w:type="spellStart"/>
      <w:r w:rsidRPr="00E73D4B">
        <w:t>Fleire</w:t>
      </w:r>
      <w:proofErr w:type="spellEnd"/>
      <w:r w:rsidRPr="00E73D4B">
        <w:t xml:space="preserve"> </w:t>
      </w:r>
      <w:proofErr w:type="spellStart"/>
      <w:r w:rsidRPr="00E73D4B">
        <w:t>offentlege</w:t>
      </w:r>
      <w:proofErr w:type="spellEnd"/>
      <w:r w:rsidRPr="00E73D4B">
        <w:t xml:space="preserve"> </w:t>
      </w:r>
      <w:proofErr w:type="spellStart"/>
      <w:r w:rsidRPr="00E73D4B">
        <w:t>utval</w:t>
      </w:r>
      <w:proofErr w:type="spellEnd"/>
      <w:r w:rsidRPr="00E73D4B">
        <w:t xml:space="preserve"> har </w:t>
      </w:r>
      <w:proofErr w:type="spellStart"/>
      <w:r w:rsidRPr="00E73D4B">
        <w:t>peikt</w:t>
      </w:r>
      <w:proofErr w:type="spellEnd"/>
      <w:r w:rsidRPr="00E73D4B">
        <w:t xml:space="preserve"> på problemstillinga med finansiering av </w:t>
      </w:r>
      <w:proofErr w:type="spellStart"/>
      <w:r w:rsidRPr="00E73D4B">
        <w:t>helsetenester</w:t>
      </w:r>
      <w:proofErr w:type="spellEnd"/>
      <w:r w:rsidRPr="00E73D4B">
        <w:t xml:space="preserve"> til </w:t>
      </w:r>
      <w:proofErr w:type="spellStart"/>
      <w:r w:rsidRPr="00E73D4B">
        <w:t>personar</w:t>
      </w:r>
      <w:proofErr w:type="spellEnd"/>
      <w:r w:rsidRPr="00E73D4B">
        <w:t xml:space="preserve"> </w:t>
      </w:r>
      <w:proofErr w:type="spellStart"/>
      <w:r w:rsidRPr="00E73D4B">
        <w:t>utanfor</w:t>
      </w:r>
      <w:proofErr w:type="spellEnd"/>
      <w:r w:rsidRPr="00E73D4B">
        <w:t xml:space="preserve"> bustadkommunen. </w:t>
      </w:r>
      <w:proofErr w:type="spellStart"/>
      <w:r w:rsidRPr="00E73D4B">
        <w:t>Inntektssystemutvalet</w:t>
      </w:r>
      <w:proofErr w:type="spellEnd"/>
      <w:r w:rsidRPr="00E73D4B">
        <w:t xml:space="preserve">, som leverte utgreiinga si 29. august, vurderte heile inntektssystemet for </w:t>
      </w:r>
      <w:proofErr w:type="spellStart"/>
      <w:r w:rsidRPr="00E73D4B">
        <w:t>kommunane</w:t>
      </w:r>
      <w:proofErr w:type="spellEnd"/>
      <w:r w:rsidRPr="00E73D4B">
        <w:t xml:space="preserve">, også denne problemstillinga. Regjeringa vil vurdere problemstillinga i </w:t>
      </w:r>
      <w:proofErr w:type="spellStart"/>
      <w:r w:rsidRPr="00E73D4B">
        <w:t>samanheng</w:t>
      </w:r>
      <w:proofErr w:type="spellEnd"/>
      <w:r w:rsidRPr="00E73D4B">
        <w:t xml:space="preserve"> med oppfølginga av </w:t>
      </w:r>
      <w:proofErr w:type="spellStart"/>
      <w:r w:rsidRPr="00E73D4B">
        <w:t>inntektssystemutvalet</w:t>
      </w:r>
      <w:proofErr w:type="spellEnd"/>
      <w:r w:rsidRPr="00E73D4B">
        <w:t xml:space="preserve">, og </w:t>
      </w:r>
      <w:proofErr w:type="spellStart"/>
      <w:r w:rsidRPr="00E73D4B">
        <w:t>kome</w:t>
      </w:r>
      <w:proofErr w:type="spellEnd"/>
      <w:r w:rsidRPr="00E73D4B">
        <w:t xml:space="preserve"> tilbake til Stortinget om saka på eigna måte.</w:t>
      </w:r>
    </w:p>
    <w:p w14:paraId="13F804E0" w14:textId="77777777" w:rsidR="00972395" w:rsidRPr="00E73D4B" w:rsidRDefault="00F120C7" w:rsidP="00E73D4B">
      <w:pPr>
        <w:pStyle w:val="Overskrift2"/>
      </w:pPr>
      <w:r w:rsidRPr="00E73D4B">
        <w:t>Stortingssesjon 2018–2019</w:t>
      </w:r>
    </w:p>
    <w:p w14:paraId="2CDFC00C" w14:textId="77777777" w:rsidR="00972395" w:rsidRPr="00E73D4B" w:rsidRDefault="00F120C7" w:rsidP="00E73D4B">
      <w:pPr>
        <w:pStyle w:val="avsnitt-tittel"/>
      </w:pPr>
      <w:r w:rsidRPr="00E73D4B">
        <w:t xml:space="preserve">Opplysningsplikt for </w:t>
      </w:r>
      <w:proofErr w:type="spellStart"/>
      <w:r w:rsidRPr="00E73D4B">
        <w:t>statsrådar</w:t>
      </w:r>
      <w:proofErr w:type="spellEnd"/>
      <w:r w:rsidRPr="00E73D4B">
        <w:t xml:space="preserve"> og </w:t>
      </w:r>
      <w:proofErr w:type="spellStart"/>
      <w:r w:rsidRPr="00E73D4B">
        <w:t>statssekretærar</w:t>
      </w:r>
      <w:proofErr w:type="spellEnd"/>
    </w:p>
    <w:p w14:paraId="1ED74874" w14:textId="77777777" w:rsidR="00972395" w:rsidRPr="00E73D4B" w:rsidRDefault="00F120C7" w:rsidP="00E73D4B">
      <w:pPr>
        <w:pStyle w:val="avsnitt-undertittel"/>
      </w:pPr>
      <w:r w:rsidRPr="00E73D4B">
        <w:t>Vedtak nr. 55, 27. november 2018</w:t>
      </w:r>
    </w:p>
    <w:p w14:paraId="4403578B" w14:textId="77777777" w:rsidR="00972395" w:rsidRPr="00E73D4B" w:rsidRDefault="00F120C7" w:rsidP="00E73D4B">
      <w:pPr>
        <w:pStyle w:val="blokksit"/>
        <w:rPr>
          <w:rStyle w:val="kursiv"/>
        </w:rPr>
      </w:pPr>
      <w:r w:rsidRPr="00E73D4B">
        <w:rPr>
          <w:rStyle w:val="kursiv"/>
        </w:rPr>
        <w:t>«Stortinget ber regjeringen utrede og sende på høring forslag om endring i lov om registrering av regjeringsmedlemmers verv og økonomiske interesserer. Herunder opplysningsplikt for statsråder og statssekretærer til å registrere sine tidligere oppdragsgivere og oppdragenes innhold der vedkommende, de siste to år før tiltredelse, har arbeidet med å fremme politiske eller næringsmessige interesser.»</w:t>
      </w:r>
    </w:p>
    <w:p w14:paraId="4F423B53"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Karin Andersen, Torgeir </w:t>
      </w:r>
      <w:proofErr w:type="spellStart"/>
      <w:r w:rsidRPr="00E73D4B">
        <w:t>Knag</w:t>
      </w:r>
      <w:proofErr w:type="spellEnd"/>
      <w:r w:rsidRPr="00E73D4B">
        <w:t xml:space="preserve"> Fylkesnes, Kari Elisabeth </w:t>
      </w:r>
      <w:proofErr w:type="spellStart"/>
      <w:r w:rsidRPr="00E73D4B">
        <w:t>Kaski</w:t>
      </w:r>
      <w:proofErr w:type="spellEnd"/>
      <w:r w:rsidRPr="00E73D4B">
        <w:t xml:space="preserve">, Gina Barstad og Marius Meisfjord </w:t>
      </w:r>
      <w:proofErr w:type="spellStart"/>
      <w:r w:rsidRPr="00E73D4B">
        <w:t>Jøsevold</w:t>
      </w:r>
      <w:proofErr w:type="spellEnd"/>
      <w:r w:rsidRPr="00E73D4B">
        <w:t xml:space="preserve"> om opplysningsplikt for </w:t>
      </w:r>
      <w:proofErr w:type="spellStart"/>
      <w:r w:rsidRPr="00E73D4B">
        <w:t>statsrådar</w:t>
      </w:r>
      <w:proofErr w:type="spellEnd"/>
      <w:r w:rsidRPr="00E73D4B">
        <w:t xml:space="preserve"> og </w:t>
      </w:r>
      <w:proofErr w:type="spellStart"/>
      <w:r w:rsidRPr="00E73D4B">
        <w:t>statssekretærar</w:t>
      </w:r>
      <w:proofErr w:type="spellEnd"/>
      <w:r w:rsidRPr="00E73D4B">
        <w:t xml:space="preserve">, jf. Dokument 8:108 LS (2017–2018) og </w:t>
      </w:r>
      <w:proofErr w:type="spellStart"/>
      <w:r w:rsidRPr="00E73D4B">
        <w:t>Innst</w:t>
      </w:r>
      <w:proofErr w:type="spellEnd"/>
      <w:r w:rsidRPr="00E73D4B">
        <w:t>. 54 L (2018–2019).</w:t>
      </w:r>
    </w:p>
    <w:p w14:paraId="3AEAB219" w14:textId="77777777" w:rsidR="00972395" w:rsidRPr="00E73D4B" w:rsidRDefault="00F120C7" w:rsidP="00E73D4B">
      <w:r w:rsidRPr="00E73D4B">
        <w:t xml:space="preserve">Departementet sette </w:t>
      </w:r>
      <w:proofErr w:type="spellStart"/>
      <w:r w:rsidRPr="00E73D4B">
        <w:t>hausten</w:t>
      </w:r>
      <w:proofErr w:type="spellEnd"/>
      <w:r w:rsidRPr="00E73D4B">
        <w:t xml:space="preserve"> 2019 ned ei arbeidsgruppe for å utgreie forslaget. Arbeidsgruppa blei leia av Regjeringsadvokaten og hadde </w:t>
      </w:r>
      <w:proofErr w:type="spellStart"/>
      <w:r w:rsidRPr="00E73D4B">
        <w:t>medlemmar</w:t>
      </w:r>
      <w:proofErr w:type="spellEnd"/>
      <w:r w:rsidRPr="00E73D4B">
        <w:t xml:space="preserve"> </w:t>
      </w:r>
      <w:proofErr w:type="spellStart"/>
      <w:r w:rsidRPr="00E73D4B">
        <w:t>frå</w:t>
      </w:r>
      <w:proofErr w:type="spellEnd"/>
      <w:r w:rsidRPr="00E73D4B">
        <w:t xml:space="preserve"> Justis- og beredskapsdepartementet og Kommunal- og </w:t>
      </w:r>
      <w:proofErr w:type="spellStart"/>
      <w:r w:rsidRPr="00E73D4B">
        <w:t>distriktsdepartementet</w:t>
      </w:r>
      <w:proofErr w:type="spellEnd"/>
      <w:r w:rsidRPr="00E73D4B">
        <w:t xml:space="preserve">. Arbeidsgruppa leverte si utgreiing i juni 2022. Departementet vil gå gjennom utgreiinga og </w:t>
      </w:r>
      <w:proofErr w:type="spellStart"/>
      <w:r w:rsidRPr="00E73D4B">
        <w:t>kome</w:t>
      </w:r>
      <w:proofErr w:type="spellEnd"/>
      <w:r w:rsidRPr="00E73D4B">
        <w:t xml:space="preserve"> tilbake til Stortinget om saka på eigna måte.</w:t>
      </w:r>
    </w:p>
    <w:p w14:paraId="58BF45D8" w14:textId="77777777" w:rsidR="00972395" w:rsidRPr="00E73D4B" w:rsidRDefault="00F120C7" w:rsidP="00E73D4B">
      <w:pPr>
        <w:pStyle w:val="Overskrift2"/>
      </w:pPr>
      <w:r w:rsidRPr="00E73D4B">
        <w:t>Stortingssesjon 2016–2017</w:t>
      </w:r>
    </w:p>
    <w:p w14:paraId="3CE7445D" w14:textId="77777777" w:rsidR="00972395" w:rsidRPr="00E73D4B" w:rsidRDefault="00F120C7" w:rsidP="00E73D4B">
      <w:pPr>
        <w:pStyle w:val="avsnitt-tittel"/>
      </w:pPr>
      <w:r w:rsidRPr="00E73D4B">
        <w:t xml:space="preserve">Stryke </w:t>
      </w:r>
      <w:proofErr w:type="spellStart"/>
      <w:r w:rsidRPr="00E73D4B">
        <w:t>listekandidatar</w:t>
      </w:r>
      <w:proofErr w:type="spellEnd"/>
    </w:p>
    <w:p w14:paraId="0F3675E9" w14:textId="77777777" w:rsidR="00972395" w:rsidRPr="00E73D4B" w:rsidRDefault="00F120C7" w:rsidP="00E73D4B">
      <w:pPr>
        <w:pStyle w:val="avsnitt-undertittel"/>
      </w:pPr>
      <w:r w:rsidRPr="00E73D4B">
        <w:t>Vedtak nr. 700, 23. mai 2017</w:t>
      </w:r>
    </w:p>
    <w:p w14:paraId="3756221E" w14:textId="77777777" w:rsidR="00972395" w:rsidRPr="00E73D4B" w:rsidRDefault="00F120C7" w:rsidP="00E73D4B">
      <w:pPr>
        <w:pStyle w:val="blokksit"/>
        <w:rPr>
          <w:rStyle w:val="kursiv"/>
        </w:rPr>
      </w:pPr>
      <w:r w:rsidRPr="00E73D4B">
        <w:rPr>
          <w:rStyle w:val="kursiv"/>
        </w:rPr>
        <w:t>«Stortinget ber regjeringen fremme forslag om å gjeninnføre velgernes mulighet til å stryke listekandidater ved fylkestings- og kommunestyrevalg.»</w:t>
      </w:r>
    </w:p>
    <w:p w14:paraId="7E67B4C2"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Helge André Njåstad, Ingebjørg Amanda </w:t>
      </w:r>
      <w:proofErr w:type="spellStart"/>
      <w:r w:rsidRPr="00E73D4B">
        <w:t>Godskesen</w:t>
      </w:r>
      <w:proofErr w:type="spellEnd"/>
      <w:r w:rsidRPr="00E73D4B">
        <w:t xml:space="preserve">, Harald T. Nesvik, Ingjerd Schou, Michael Tetzschner og Frank J. Jenssen om å tillate </w:t>
      </w:r>
      <w:proofErr w:type="spellStart"/>
      <w:r w:rsidRPr="00E73D4B">
        <w:t>stryking</w:t>
      </w:r>
      <w:proofErr w:type="spellEnd"/>
      <w:r w:rsidRPr="00E73D4B">
        <w:t xml:space="preserve"> av </w:t>
      </w:r>
      <w:proofErr w:type="spellStart"/>
      <w:r w:rsidRPr="00E73D4B">
        <w:t>listekandidatar</w:t>
      </w:r>
      <w:proofErr w:type="spellEnd"/>
      <w:r w:rsidRPr="00E73D4B">
        <w:t xml:space="preserve"> ved fylkestings- og </w:t>
      </w:r>
      <w:proofErr w:type="spellStart"/>
      <w:r w:rsidRPr="00E73D4B">
        <w:t>kommunestyreval</w:t>
      </w:r>
      <w:proofErr w:type="spellEnd"/>
      <w:r w:rsidRPr="00E73D4B">
        <w:t xml:space="preserve">, jf. Dokument 8:14 S og </w:t>
      </w:r>
      <w:proofErr w:type="spellStart"/>
      <w:r w:rsidRPr="00E73D4B">
        <w:t>Innst</w:t>
      </w:r>
      <w:proofErr w:type="spellEnd"/>
      <w:r w:rsidRPr="00E73D4B">
        <w:t>. 306 S (2016–2017).</w:t>
      </w:r>
    </w:p>
    <w:p w14:paraId="6B8E6AD6" w14:textId="77777777" w:rsidR="00972395" w:rsidRPr="00E73D4B" w:rsidRDefault="00F120C7" w:rsidP="00E73D4B">
      <w:r w:rsidRPr="00E73D4B">
        <w:t xml:space="preserve">Departementet bad </w:t>
      </w:r>
      <w:proofErr w:type="spellStart"/>
      <w:r w:rsidRPr="00E73D4B">
        <w:t>vallovutvalet</w:t>
      </w:r>
      <w:proofErr w:type="spellEnd"/>
      <w:r w:rsidRPr="00E73D4B">
        <w:t xml:space="preserve"> vurdere om det bør </w:t>
      </w:r>
      <w:proofErr w:type="spellStart"/>
      <w:r w:rsidRPr="00E73D4B">
        <w:t>vere</w:t>
      </w:r>
      <w:proofErr w:type="spellEnd"/>
      <w:r w:rsidRPr="00E73D4B">
        <w:t xml:space="preserve"> adgang til å stryke </w:t>
      </w:r>
      <w:proofErr w:type="spellStart"/>
      <w:r w:rsidRPr="00E73D4B">
        <w:t>listekandidatar</w:t>
      </w:r>
      <w:proofErr w:type="spellEnd"/>
      <w:r w:rsidRPr="00E73D4B">
        <w:t xml:space="preserve"> ved fylkestings- og </w:t>
      </w:r>
      <w:proofErr w:type="spellStart"/>
      <w:r w:rsidRPr="00E73D4B">
        <w:t>kommunestyreval</w:t>
      </w:r>
      <w:proofErr w:type="spellEnd"/>
      <w:r w:rsidRPr="00E73D4B">
        <w:t xml:space="preserve">, som </w:t>
      </w:r>
      <w:proofErr w:type="spellStart"/>
      <w:r w:rsidRPr="00E73D4B">
        <w:t>ein</w:t>
      </w:r>
      <w:proofErr w:type="spellEnd"/>
      <w:r w:rsidRPr="00E73D4B">
        <w:t xml:space="preserve"> del av </w:t>
      </w:r>
      <w:proofErr w:type="spellStart"/>
      <w:r w:rsidRPr="00E73D4B">
        <w:t>utvalets</w:t>
      </w:r>
      <w:proofErr w:type="spellEnd"/>
      <w:r w:rsidRPr="00E73D4B">
        <w:t xml:space="preserve"> arbeid. </w:t>
      </w:r>
      <w:proofErr w:type="spellStart"/>
      <w:r w:rsidRPr="00E73D4B">
        <w:t>Vallovutvalet</w:t>
      </w:r>
      <w:proofErr w:type="spellEnd"/>
      <w:r w:rsidRPr="00E73D4B">
        <w:t xml:space="preserve"> la fram </w:t>
      </w:r>
      <w:proofErr w:type="spellStart"/>
      <w:r w:rsidRPr="00E73D4B">
        <w:t>si</w:t>
      </w:r>
      <w:proofErr w:type="spellEnd"/>
      <w:r w:rsidRPr="00E73D4B">
        <w:t xml:space="preserve"> utgreiing 27. mai 2020, og utgreiinga har </w:t>
      </w:r>
      <w:proofErr w:type="spellStart"/>
      <w:r w:rsidRPr="00E73D4B">
        <w:t>vore</w:t>
      </w:r>
      <w:proofErr w:type="spellEnd"/>
      <w:r w:rsidRPr="00E73D4B">
        <w:t xml:space="preserve"> på </w:t>
      </w:r>
      <w:proofErr w:type="spellStart"/>
      <w:r w:rsidRPr="00E73D4B">
        <w:t>høyring</w:t>
      </w:r>
      <w:proofErr w:type="spellEnd"/>
      <w:r w:rsidRPr="00E73D4B">
        <w:t xml:space="preserve">. </w:t>
      </w:r>
      <w:proofErr w:type="spellStart"/>
      <w:r w:rsidRPr="00E73D4B">
        <w:t>Fleirtalet</w:t>
      </w:r>
      <w:proofErr w:type="spellEnd"/>
      <w:r w:rsidRPr="00E73D4B">
        <w:t xml:space="preserve"> i </w:t>
      </w:r>
      <w:proofErr w:type="spellStart"/>
      <w:r w:rsidRPr="00E73D4B">
        <w:t>vallovutvalet</w:t>
      </w:r>
      <w:proofErr w:type="spellEnd"/>
      <w:r w:rsidRPr="00E73D4B">
        <w:t xml:space="preserve"> vil </w:t>
      </w:r>
      <w:proofErr w:type="spellStart"/>
      <w:r w:rsidRPr="00E73D4B">
        <w:t>ikkje</w:t>
      </w:r>
      <w:proofErr w:type="spellEnd"/>
      <w:r w:rsidRPr="00E73D4B">
        <w:t xml:space="preserve"> innføre </w:t>
      </w:r>
      <w:proofErr w:type="spellStart"/>
      <w:r w:rsidRPr="00E73D4B">
        <w:t>moglegheit</w:t>
      </w:r>
      <w:proofErr w:type="spellEnd"/>
      <w:r w:rsidRPr="00E73D4B">
        <w:t xml:space="preserve"> til å stryke </w:t>
      </w:r>
      <w:proofErr w:type="spellStart"/>
      <w:r w:rsidRPr="00E73D4B">
        <w:t>kandidatar</w:t>
      </w:r>
      <w:proofErr w:type="spellEnd"/>
      <w:r w:rsidRPr="00E73D4B">
        <w:t xml:space="preserve"> ved </w:t>
      </w:r>
      <w:proofErr w:type="spellStart"/>
      <w:r w:rsidRPr="00E73D4B">
        <w:t>lokalval</w:t>
      </w:r>
      <w:proofErr w:type="spellEnd"/>
      <w:r w:rsidRPr="00E73D4B">
        <w:t xml:space="preserve"> igjen. Departementet tar sikte på å foreslå ny </w:t>
      </w:r>
      <w:proofErr w:type="spellStart"/>
      <w:r w:rsidRPr="00E73D4B">
        <w:t>vallov</w:t>
      </w:r>
      <w:proofErr w:type="spellEnd"/>
      <w:r w:rsidRPr="00E73D4B">
        <w:t xml:space="preserve"> for Stortinget våren 2023.</w:t>
      </w:r>
    </w:p>
    <w:p w14:paraId="51A59764" w14:textId="77777777" w:rsidR="00972395" w:rsidRPr="00E73D4B" w:rsidRDefault="00F120C7" w:rsidP="00E73D4B">
      <w:pPr>
        <w:pStyle w:val="avsnitt-tittel"/>
      </w:pPr>
      <w:r w:rsidRPr="00E73D4B">
        <w:t>Sørsamisk språk</w:t>
      </w:r>
    </w:p>
    <w:p w14:paraId="58ADB6B6" w14:textId="77777777" w:rsidR="00972395" w:rsidRPr="00E73D4B" w:rsidRDefault="00F120C7" w:rsidP="00E73D4B">
      <w:pPr>
        <w:pStyle w:val="avsnitt-undertittel"/>
      </w:pPr>
      <w:r w:rsidRPr="00E73D4B">
        <w:t>Vedtak nr. 845, 8. juni 2017</w:t>
      </w:r>
    </w:p>
    <w:p w14:paraId="1B4746BA" w14:textId="77777777" w:rsidR="00972395" w:rsidRPr="00E73D4B" w:rsidRDefault="00F120C7" w:rsidP="00E73D4B">
      <w:pPr>
        <w:pStyle w:val="blokksit"/>
        <w:rPr>
          <w:rStyle w:val="kursiv"/>
        </w:rPr>
      </w:pPr>
      <w:r w:rsidRPr="00E73D4B">
        <w:rPr>
          <w:rStyle w:val="kursiv"/>
        </w:rPr>
        <w:t>«Stortinget ber regjeringen i oppfølgingen av NOU 2016: 18 Hjertespråket om å ha en særlig oppmerksomhet rettet mot sørsamisk språk og sammenhengene mellom språk, kultur og næring, og komme tilbake til Stortinget på en egnet måte med konkrete forslag til oppfølging av dette.»</w:t>
      </w:r>
    </w:p>
    <w:p w14:paraId="1871028C"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1 S (2017–2018) for Kommunal- og moderniseringsdepartementet og </w:t>
      </w:r>
      <w:proofErr w:type="spellStart"/>
      <w:r w:rsidRPr="00E73D4B">
        <w:t>Innst</w:t>
      </w:r>
      <w:proofErr w:type="spellEnd"/>
      <w:r w:rsidRPr="00E73D4B">
        <w:t>. 16 S (2017–2018).</w:t>
      </w:r>
    </w:p>
    <w:p w14:paraId="427B7872" w14:textId="77777777" w:rsidR="00972395" w:rsidRPr="00E73D4B" w:rsidRDefault="00F120C7" w:rsidP="00E73D4B">
      <w:r w:rsidRPr="00E73D4B">
        <w:t xml:space="preserve">Regjeringa følgjer opp </w:t>
      </w:r>
      <w:proofErr w:type="spellStart"/>
      <w:r w:rsidRPr="00E73D4B">
        <w:t>oppmodningsvedtaket</w:t>
      </w:r>
      <w:proofErr w:type="spellEnd"/>
      <w:r w:rsidRPr="00E73D4B">
        <w:t xml:space="preserve"> som ledd i oppfølginga av NOU 2016: 18 Hjertespråket. Kommunal- og </w:t>
      </w:r>
      <w:proofErr w:type="spellStart"/>
      <w:r w:rsidRPr="00E73D4B">
        <w:t>distriktsdepartementet</w:t>
      </w:r>
      <w:proofErr w:type="spellEnd"/>
      <w:r w:rsidRPr="00E73D4B">
        <w:t xml:space="preserve"> sendte lovforslag om </w:t>
      </w:r>
      <w:proofErr w:type="spellStart"/>
      <w:r w:rsidRPr="00E73D4B">
        <w:t>endringar</w:t>
      </w:r>
      <w:proofErr w:type="spellEnd"/>
      <w:r w:rsidRPr="00E73D4B">
        <w:t xml:space="preserve"> i </w:t>
      </w:r>
      <w:proofErr w:type="spellStart"/>
      <w:r w:rsidRPr="00E73D4B">
        <w:t>språkreglane</w:t>
      </w:r>
      <w:proofErr w:type="spellEnd"/>
      <w:r w:rsidRPr="00E73D4B">
        <w:t xml:space="preserve"> i samelova på </w:t>
      </w:r>
      <w:proofErr w:type="spellStart"/>
      <w:r w:rsidRPr="00E73D4B">
        <w:t>høyring</w:t>
      </w:r>
      <w:proofErr w:type="spellEnd"/>
      <w:r w:rsidRPr="00E73D4B">
        <w:t xml:space="preserve"> i august 2021, med </w:t>
      </w:r>
      <w:proofErr w:type="spellStart"/>
      <w:r w:rsidRPr="00E73D4B">
        <w:t>høyringsfrist</w:t>
      </w:r>
      <w:proofErr w:type="spellEnd"/>
      <w:r w:rsidRPr="00E73D4B">
        <w:t xml:space="preserve"> november 2021. Departementet vil </w:t>
      </w:r>
      <w:proofErr w:type="spellStart"/>
      <w:r w:rsidRPr="00E73D4B">
        <w:t>kome</w:t>
      </w:r>
      <w:proofErr w:type="spellEnd"/>
      <w:r w:rsidRPr="00E73D4B">
        <w:t xml:space="preserve"> tilbake til Stortinget om saka på eigna måte.</w:t>
      </w:r>
    </w:p>
    <w:p w14:paraId="15C8811D" w14:textId="77777777" w:rsidR="00972395" w:rsidRPr="00E73D4B" w:rsidRDefault="00F120C7" w:rsidP="00E73D4B">
      <w:pPr>
        <w:pStyle w:val="Overskrift2"/>
      </w:pPr>
      <w:r w:rsidRPr="00E73D4B">
        <w:t>Stortingssesjon 2015–2016</w:t>
      </w:r>
    </w:p>
    <w:p w14:paraId="480DE4E4" w14:textId="77777777" w:rsidR="00972395" w:rsidRPr="00E73D4B" w:rsidRDefault="00F120C7" w:rsidP="00E73D4B">
      <w:pPr>
        <w:pStyle w:val="avsnitt-tittel"/>
      </w:pPr>
      <w:r w:rsidRPr="00E73D4B">
        <w:t xml:space="preserve">Unntak </w:t>
      </w:r>
      <w:proofErr w:type="spellStart"/>
      <w:r w:rsidRPr="00E73D4B">
        <w:t>frå</w:t>
      </w:r>
      <w:proofErr w:type="spellEnd"/>
      <w:r w:rsidRPr="00E73D4B">
        <w:t xml:space="preserve"> plan- og bygningslova og grannelova ved nasjonal flyktningkrise</w:t>
      </w:r>
    </w:p>
    <w:p w14:paraId="5812D0E0" w14:textId="77777777" w:rsidR="00972395" w:rsidRPr="00E73D4B" w:rsidRDefault="00F120C7" w:rsidP="00E73D4B">
      <w:pPr>
        <w:pStyle w:val="avsnitt-undertittel"/>
      </w:pPr>
      <w:r w:rsidRPr="00E73D4B">
        <w:t>Vedtak nr. 646, 10. mai 2016</w:t>
      </w:r>
    </w:p>
    <w:p w14:paraId="64E3F73E" w14:textId="77777777" w:rsidR="00972395" w:rsidRPr="00E73D4B" w:rsidRDefault="00F120C7" w:rsidP="00E73D4B">
      <w:pPr>
        <w:pStyle w:val="blokksit"/>
        <w:rPr>
          <w:rStyle w:val="kursiv"/>
        </w:rPr>
      </w:pPr>
      <w:r w:rsidRPr="00E73D4B">
        <w:rPr>
          <w:rStyle w:val="kursiv"/>
        </w:rP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14:paraId="1890E582"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43 L (2015–2016) </w:t>
      </w:r>
      <w:r w:rsidRPr="00E73D4B">
        <w:rPr>
          <w:rStyle w:val="kursiv"/>
        </w:rPr>
        <w:t xml:space="preserve">Endringer i plan- og bygningsloven (unntak ved kriser, katastrofer eller andre ekstraordinære situasjoner i fredstid) </w:t>
      </w:r>
      <w:r w:rsidRPr="00E73D4B">
        <w:t xml:space="preserve">og </w:t>
      </w:r>
      <w:proofErr w:type="spellStart"/>
      <w:r w:rsidRPr="00E73D4B">
        <w:t>Innst</w:t>
      </w:r>
      <w:proofErr w:type="spellEnd"/>
      <w:r w:rsidRPr="00E73D4B">
        <w:t>. 229 L (2015–2016).</w:t>
      </w:r>
    </w:p>
    <w:p w14:paraId="09C179DB" w14:textId="77777777" w:rsidR="00972395" w:rsidRPr="00E73D4B" w:rsidRDefault="00F120C7" w:rsidP="00E73D4B">
      <w:r w:rsidRPr="00E73D4B">
        <w:t xml:space="preserve">Departementet har </w:t>
      </w:r>
      <w:proofErr w:type="spellStart"/>
      <w:r w:rsidRPr="00E73D4B">
        <w:t>fremja</w:t>
      </w:r>
      <w:proofErr w:type="spellEnd"/>
      <w:r w:rsidRPr="00E73D4B">
        <w:t xml:space="preserve"> proposisjon om </w:t>
      </w:r>
      <w:proofErr w:type="spellStart"/>
      <w:r w:rsidRPr="00E73D4B">
        <w:t>mellombelse</w:t>
      </w:r>
      <w:proofErr w:type="spellEnd"/>
      <w:r w:rsidRPr="00E73D4B">
        <w:t xml:space="preserve"> </w:t>
      </w:r>
      <w:proofErr w:type="spellStart"/>
      <w:r w:rsidRPr="00E73D4B">
        <w:t>lovendringar</w:t>
      </w:r>
      <w:proofErr w:type="spellEnd"/>
      <w:r w:rsidRPr="00E73D4B">
        <w:t xml:space="preserve"> for å handtere pandemi (2020 og 2021) og </w:t>
      </w:r>
      <w:proofErr w:type="spellStart"/>
      <w:r w:rsidRPr="00E73D4B">
        <w:t>auka</w:t>
      </w:r>
      <w:proofErr w:type="spellEnd"/>
      <w:r w:rsidRPr="00E73D4B">
        <w:t xml:space="preserve"> framkomst av </w:t>
      </w:r>
      <w:proofErr w:type="spellStart"/>
      <w:r w:rsidRPr="00E73D4B">
        <w:t>flyktningar</w:t>
      </w:r>
      <w:proofErr w:type="spellEnd"/>
      <w:r w:rsidRPr="00E73D4B">
        <w:t xml:space="preserve"> som </w:t>
      </w:r>
      <w:proofErr w:type="spellStart"/>
      <w:r w:rsidRPr="00E73D4B">
        <w:t>følgje</w:t>
      </w:r>
      <w:proofErr w:type="spellEnd"/>
      <w:r w:rsidRPr="00E73D4B">
        <w:t xml:space="preserve"> av invasjonen av Ukraina (2022), som Stortinget har vedtatt. </w:t>
      </w:r>
      <w:proofErr w:type="spellStart"/>
      <w:r w:rsidRPr="00E73D4B">
        <w:t>Gjeldande</w:t>
      </w:r>
      <w:proofErr w:type="spellEnd"/>
      <w:r w:rsidRPr="00E73D4B">
        <w:t xml:space="preserve"> beredskapsføresegn for å handtere </w:t>
      </w:r>
      <w:proofErr w:type="spellStart"/>
      <w:r w:rsidRPr="00E73D4B">
        <w:t>auka</w:t>
      </w:r>
      <w:proofErr w:type="spellEnd"/>
      <w:r w:rsidRPr="00E73D4B">
        <w:t xml:space="preserve"> </w:t>
      </w:r>
      <w:proofErr w:type="spellStart"/>
      <w:r w:rsidRPr="00E73D4B">
        <w:t>framkomstar</w:t>
      </w:r>
      <w:proofErr w:type="spellEnd"/>
      <w:r w:rsidRPr="00E73D4B">
        <w:t xml:space="preserve">, gjeld fram til 1. juli 2023. Arbeidet med å </w:t>
      </w:r>
      <w:proofErr w:type="spellStart"/>
      <w:r w:rsidRPr="00E73D4B">
        <w:t>følgje</w:t>
      </w:r>
      <w:proofErr w:type="spellEnd"/>
      <w:r w:rsidRPr="00E73D4B">
        <w:t xml:space="preserve"> opp </w:t>
      </w:r>
      <w:proofErr w:type="spellStart"/>
      <w:r w:rsidRPr="00E73D4B">
        <w:t>oppmodningsvedtaket</w:t>
      </w:r>
      <w:proofErr w:type="spellEnd"/>
      <w:r w:rsidRPr="00E73D4B">
        <w:t xml:space="preserve"> har som </w:t>
      </w:r>
      <w:proofErr w:type="spellStart"/>
      <w:r w:rsidRPr="00E73D4B">
        <w:t>følgje</w:t>
      </w:r>
      <w:proofErr w:type="spellEnd"/>
      <w:r w:rsidRPr="00E73D4B">
        <w:t xml:space="preserve"> av dette blitt forsinka. Departementet tar sikte på å evaluere beredskapsføresegna etter at ho har gått ut.</w:t>
      </w:r>
    </w:p>
    <w:p w14:paraId="5E6C80ED"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om saka på eigna måte.</w:t>
      </w:r>
    </w:p>
    <w:p w14:paraId="039AF10C" w14:textId="77777777" w:rsidR="00972395" w:rsidRPr="00E73D4B" w:rsidRDefault="00F120C7" w:rsidP="00E73D4B">
      <w:pPr>
        <w:pStyle w:val="avsnitt-tittel"/>
      </w:pPr>
      <w:proofErr w:type="spellStart"/>
      <w:r w:rsidRPr="00E73D4B">
        <w:t>Endringar</w:t>
      </w:r>
      <w:proofErr w:type="spellEnd"/>
      <w:r w:rsidRPr="00E73D4B">
        <w:t xml:space="preserve"> i </w:t>
      </w:r>
      <w:proofErr w:type="spellStart"/>
      <w:r w:rsidRPr="00E73D4B">
        <w:t>vallova</w:t>
      </w:r>
      <w:proofErr w:type="spellEnd"/>
    </w:p>
    <w:p w14:paraId="6A1E10E1" w14:textId="77777777" w:rsidR="00972395" w:rsidRPr="00E73D4B" w:rsidRDefault="00F120C7" w:rsidP="00E73D4B">
      <w:pPr>
        <w:pStyle w:val="avsnitt-undertittel"/>
      </w:pPr>
      <w:r w:rsidRPr="00E73D4B">
        <w:t>Vedtak nr. 861, 10. juni 2016</w:t>
      </w:r>
    </w:p>
    <w:p w14:paraId="1E7A786F" w14:textId="77777777" w:rsidR="00972395" w:rsidRPr="00E73D4B" w:rsidRDefault="00F120C7" w:rsidP="00E73D4B">
      <w:pPr>
        <w:pStyle w:val="blokksit"/>
        <w:rPr>
          <w:rStyle w:val="kursiv"/>
        </w:rPr>
      </w:pPr>
      <w:r w:rsidRPr="00E73D4B">
        <w:rPr>
          <w:rStyle w:val="kursiv"/>
        </w:rPr>
        <w:t>«Stortinget ber regjeringen komme tilbake med et nytt forslag til endringer i valgloven § 7-2 og § 11-5 første ledd (personvalg ved stortingsvalg), hvor også merknader og forslag i denne innstilling er vurdert. Lovendringen foreslås iverksatt fra stortingsvalget i 2021.»</w:t>
      </w:r>
    </w:p>
    <w:p w14:paraId="5B6AF4FE" w14:textId="77777777" w:rsidR="00972395" w:rsidRPr="00E73D4B" w:rsidRDefault="00F120C7" w:rsidP="00E73D4B">
      <w:r w:rsidRPr="00E73D4B">
        <w:t xml:space="preserve">Dokumenta som ligg til grunn for vedtaket, er </w:t>
      </w:r>
      <w:proofErr w:type="spellStart"/>
      <w:r w:rsidRPr="00E73D4B">
        <w:t>Prop</w:t>
      </w:r>
      <w:proofErr w:type="spellEnd"/>
      <w:r w:rsidRPr="00E73D4B">
        <w:t xml:space="preserve">. 73 L (2015–2016) </w:t>
      </w:r>
      <w:proofErr w:type="spellStart"/>
      <w:r w:rsidRPr="00E73D4B">
        <w:rPr>
          <w:rStyle w:val="kursiv"/>
        </w:rPr>
        <w:t>Endringar</w:t>
      </w:r>
      <w:proofErr w:type="spellEnd"/>
      <w:r w:rsidRPr="00E73D4B">
        <w:rPr>
          <w:rStyle w:val="kursiv"/>
        </w:rPr>
        <w:t xml:space="preserve"> i valgloven (</w:t>
      </w:r>
      <w:proofErr w:type="spellStart"/>
      <w:r w:rsidRPr="00E73D4B">
        <w:rPr>
          <w:rStyle w:val="kursiv"/>
        </w:rPr>
        <w:t>personval</w:t>
      </w:r>
      <w:proofErr w:type="spellEnd"/>
      <w:r w:rsidRPr="00E73D4B">
        <w:rPr>
          <w:rStyle w:val="kursiv"/>
        </w:rPr>
        <w:t xml:space="preserve"> ved </w:t>
      </w:r>
      <w:proofErr w:type="spellStart"/>
      <w:r w:rsidRPr="00E73D4B">
        <w:rPr>
          <w:rStyle w:val="kursiv"/>
        </w:rPr>
        <w:t>stortingsval</w:t>
      </w:r>
      <w:proofErr w:type="spellEnd"/>
      <w:r w:rsidRPr="00E73D4B">
        <w:rPr>
          <w:rStyle w:val="kursiv"/>
        </w:rPr>
        <w:t>, frist for godkjenning av førehandsstemmer mv.)</w:t>
      </w:r>
      <w:r w:rsidRPr="00E73D4B">
        <w:t xml:space="preserve"> og </w:t>
      </w:r>
      <w:proofErr w:type="spellStart"/>
      <w:r w:rsidRPr="00E73D4B">
        <w:t>Innst</w:t>
      </w:r>
      <w:proofErr w:type="spellEnd"/>
      <w:r w:rsidRPr="00E73D4B">
        <w:t>. 402 L (2015–2016).</w:t>
      </w:r>
    </w:p>
    <w:p w14:paraId="314596BB" w14:textId="77777777" w:rsidR="00972395" w:rsidRPr="00E73D4B" w:rsidRDefault="00F120C7" w:rsidP="00E73D4B">
      <w:r w:rsidRPr="00E73D4B">
        <w:t xml:space="preserve">Vurdering av </w:t>
      </w:r>
      <w:proofErr w:type="spellStart"/>
      <w:r w:rsidRPr="00E73D4B">
        <w:t>personvalordninga</w:t>
      </w:r>
      <w:proofErr w:type="spellEnd"/>
      <w:r w:rsidRPr="00E73D4B">
        <w:t xml:space="preserve"> ved </w:t>
      </w:r>
      <w:proofErr w:type="spellStart"/>
      <w:r w:rsidRPr="00E73D4B">
        <w:t>stortingsval</w:t>
      </w:r>
      <w:proofErr w:type="spellEnd"/>
      <w:r w:rsidRPr="00E73D4B">
        <w:t xml:space="preserve"> var </w:t>
      </w:r>
      <w:proofErr w:type="spellStart"/>
      <w:r w:rsidRPr="00E73D4B">
        <w:t>ein</w:t>
      </w:r>
      <w:proofErr w:type="spellEnd"/>
      <w:r w:rsidRPr="00E73D4B">
        <w:t xml:space="preserve"> del av mandatet til </w:t>
      </w:r>
      <w:proofErr w:type="spellStart"/>
      <w:r w:rsidRPr="00E73D4B">
        <w:t>vallovutvalet</w:t>
      </w:r>
      <w:proofErr w:type="spellEnd"/>
      <w:r w:rsidRPr="00E73D4B">
        <w:t xml:space="preserve">, som la fram </w:t>
      </w:r>
      <w:proofErr w:type="spellStart"/>
      <w:r w:rsidRPr="00E73D4B">
        <w:t>si</w:t>
      </w:r>
      <w:proofErr w:type="spellEnd"/>
      <w:r w:rsidRPr="00E73D4B">
        <w:t xml:space="preserve"> utgreiing 27. mai 2020. </w:t>
      </w:r>
      <w:proofErr w:type="spellStart"/>
      <w:r w:rsidRPr="00E73D4B">
        <w:t>Fleirtalet</w:t>
      </w:r>
      <w:proofErr w:type="spellEnd"/>
      <w:r w:rsidRPr="00E73D4B">
        <w:t xml:space="preserve"> i </w:t>
      </w:r>
      <w:proofErr w:type="spellStart"/>
      <w:r w:rsidRPr="00E73D4B">
        <w:t>utvalet</w:t>
      </w:r>
      <w:proofErr w:type="spellEnd"/>
      <w:r w:rsidRPr="00E73D4B">
        <w:t xml:space="preserve"> meiner det bør </w:t>
      </w:r>
      <w:proofErr w:type="spellStart"/>
      <w:r w:rsidRPr="00E73D4B">
        <w:t>innførast</w:t>
      </w:r>
      <w:proofErr w:type="spellEnd"/>
      <w:r w:rsidRPr="00E73D4B">
        <w:t xml:space="preserve"> ei ordning med </w:t>
      </w:r>
      <w:proofErr w:type="spellStart"/>
      <w:r w:rsidRPr="00E73D4B">
        <w:t>eit</w:t>
      </w:r>
      <w:proofErr w:type="spellEnd"/>
      <w:r w:rsidRPr="00E73D4B">
        <w:t xml:space="preserve"> moderat innslag av </w:t>
      </w:r>
      <w:proofErr w:type="spellStart"/>
      <w:r w:rsidRPr="00E73D4B">
        <w:t>personval</w:t>
      </w:r>
      <w:proofErr w:type="spellEnd"/>
      <w:r w:rsidRPr="00E73D4B">
        <w:t xml:space="preserve"> ved </w:t>
      </w:r>
      <w:proofErr w:type="spellStart"/>
      <w:r w:rsidRPr="00E73D4B">
        <w:t>stortingsval</w:t>
      </w:r>
      <w:proofErr w:type="spellEnd"/>
      <w:r w:rsidRPr="00E73D4B">
        <w:t xml:space="preserve">. Utgreiinga har </w:t>
      </w:r>
      <w:proofErr w:type="spellStart"/>
      <w:r w:rsidRPr="00E73D4B">
        <w:t>vore</w:t>
      </w:r>
      <w:proofErr w:type="spellEnd"/>
      <w:r w:rsidRPr="00E73D4B">
        <w:t xml:space="preserve"> på </w:t>
      </w:r>
      <w:proofErr w:type="spellStart"/>
      <w:r w:rsidRPr="00E73D4B">
        <w:t>høyring</w:t>
      </w:r>
      <w:proofErr w:type="spellEnd"/>
      <w:r w:rsidRPr="00E73D4B">
        <w:t xml:space="preserve">. Departementet tar sikte på å foreslå ny </w:t>
      </w:r>
      <w:proofErr w:type="spellStart"/>
      <w:r w:rsidRPr="00E73D4B">
        <w:t>vallov</w:t>
      </w:r>
      <w:proofErr w:type="spellEnd"/>
      <w:r w:rsidRPr="00E73D4B">
        <w:t xml:space="preserve"> for Stortinget våren 2023.</w:t>
      </w:r>
    </w:p>
    <w:p w14:paraId="55B45155" w14:textId="77777777" w:rsidR="00972395" w:rsidRPr="00E73D4B" w:rsidRDefault="00F120C7" w:rsidP="00E73D4B">
      <w:pPr>
        <w:pStyle w:val="Overskrift1"/>
      </w:pPr>
      <w:r w:rsidRPr="00E73D4B">
        <w:t xml:space="preserve">Kultur- og </w:t>
      </w:r>
      <w:proofErr w:type="spellStart"/>
      <w:r w:rsidRPr="00E73D4B">
        <w:t>likestillingsdepartmentet</w:t>
      </w:r>
      <w:proofErr w:type="spellEnd"/>
    </w:p>
    <w:p w14:paraId="01A11C13" w14:textId="0C4B203F" w:rsidR="00972395" w:rsidRDefault="00F120C7" w:rsidP="00E73D4B">
      <w:r w:rsidRPr="00E73D4B">
        <w:t xml:space="preserve">Nedenfor gis en oversikt over oppfølging av anmodnings- og utredningsvedtak under Kultur- og likestillingsdepartementet. Oversikten inkluderer alle vedtak fra stortingssesjonen 2021–2022, samt de vedtakene fra tidligere stortingssesjoner som kontroll- og konstitusjonskomiteen i </w:t>
      </w:r>
      <w:proofErr w:type="spellStart"/>
      <w:r w:rsidRPr="00E73D4B">
        <w:t>Innst</w:t>
      </w:r>
      <w:proofErr w:type="spellEnd"/>
      <w:r w:rsidRPr="00E73D4B">
        <w:t>. 141 S (2021–2022) mente ikke var kvittert ut. I tabellen nedenfor angis det også hvorvidt departementet planlegger om rapporteringen knyttet til anmodningsvedtaket nå avsluttes, eller om departementet vil rapportere konkret på vedtaket også i neste års budsjettproposisjon.</w:t>
      </w:r>
    </w:p>
    <w:p w14:paraId="3920C2F1" w14:textId="38E357EA" w:rsidR="001C4219" w:rsidRPr="00E73D4B" w:rsidRDefault="001C4219" w:rsidP="001C4219">
      <w:pPr>
        <w:pStyle w:val="tabell-tittel"/>
      </w:pPr>
      <w:r w:rsidRPr="00E73D4B">
        <w:t>Oversikt over anmodnings- og utredningsvedtak, ordnet etter sesjon og nummer</w:t>
      </w:r>
    </w:p>
    <w:p w14:paraId="1CBEB17D"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560"/>
        <w:gridCol w:w="1232"/>
        <w:gridCol w:w="4820"/>
        <w:gridCol w:w="1588"/>
      </w:tblGrid>
      <w:tr w:rsidR="00972395" w:rsidRPr="00E73D4B" w14:paraId="3CFAA143" w14:textId="77777777" w:rsidTr="007116DC">
        <w:trPr>
          <w:trHeight w:val="860"/>
        </w:trPr>
        <w:tc>
          <w:tcPr>
            <w:tcW w:w="1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320707" w14:textId="77777777" w:rsidR="00972395" w:rsidRPr="00E73D4B" w:rsidRDefault="00F120C7" w:rsidP="001C4219">
            <w:r w:rsidRPr="00E73D4B">
              <w:t>Sesjon</w:t>
            </w:r>
          </w:p>
        </w:tc>
        <w:tc>
          <w:tcPr>
            <w:tcW w:w="123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446517" w14:textId="77777777" w:rsidR="00972395" w:rsidRPr="00E73D4B" w:rsidRDefault="00F120C7" w:rsidP="001C4219">
            <w:pPr>
              <w:jc w:val="right"/>
            </w:pPr>
            <w:r w:rsidRPr="00E73D4B">
              <w:t xml:space="preserve">Vedtak nr. </w:t>
            </w:r>
          </w:p>
        </w:tc>
        <w:tc>
          <w:tcPr>
            <w:tcW w:w="4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E7237B" w14:textId="77777777" w:rsidR="00972395" w:rsidRPr="00E73D4B" w:rsidRDefault="00F120C7" w:rsidP="001C4219">
            <w:r w:rsidRPr="00E73D4B">
              <w:t>Stikkord</w:t>
            </w:r>
          </w:p>
        </w:tc>
        <w:tc>
          <w:tcPr>
            <w:tcW w:w="158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64916C1" w14:textId="77777777" w:rsidR="00972395" w:rsidRPr="00E73D4B" w:rsidRDefault="00F120C7" w:rsidP="001C4219">
            <w:pPr>
              <w:jc w:val="right"/>
            </w:pPr>
            <w:r w:rsidRPr="00E73D4B">
              <w:t xml:space="preserve">Rapportering </w:t>
            </w:r>
            <w:r w:rsidRPr="00E73D4B">
              <w:br/>
              <w:t xml:space="preserve">avsluttes </w:t>
            </w:r>
            <w:r w:rsidRPr="00E73D4B">
              <w:br/>
              <w:t>(Ja/Nei)</w:t>
            </w:r>
          </w:p>
        </w:tc>
      </w:tr>
      <w:tr w:rsidR="00972395" w:rsidRPr="00E73D4B" w14:paraId="08DC6026" w14:textId="77777777" w:rsidTr="007116DC">
        <w:trPr>
          <w:trHeight w:val="380"/>
        </w:trPr>
        <w:tc>
          <w:tcPr>
            <w:tcW w:w="1560" w:type="dxa"/>
            <w:tcBorders>
              <w:top w:val="single" w:sz="4" w:space="0" w:color="000000"/>
              <w:left w:val="nil"/>
              <w:bottom w:val="nil"/>
              <w:right w:val="nil"/>
            </w:tcBorders>
            <w:tcMar>
              <w:top w:w="128" w:type="dxa"/>
              <w:left w:w="43" w:type="dxa"/>
              <w:bottom w:w="43" w:type="dxa"/>
              <w:right w:w="43" w:type="dxa"/>
            </w:tcMar>
          </w:tcPr>
          <w:p w14:paraId="76095530" w14:textId="77777777" w:rsidR="00972395" w:rsidRPr="00E73D4B" w:rsidRDefault="00F120C7" w:rsidP="001C4219">
            <w:r w:rsidRPr="00E73D4B">
              <w:t>2021–2022</w:t>
            </w:r>
          </w:p>
        </w:tc>
        <w:tc>
          <w:tcPr>
            <w:tcW w:w="1232" w:type="dxa"/>
            <w:tcBorders>
              <w:top w:val="single" w:sz="4" w:space="0" w:color="000000"/>
              <w:left w:val="nil"/>
              <w:bottom w:val="nil"/>
              <w:right w:val="nil"/>
            </w:tcBorders>
            <w:tcMar>
              <w:top w:w="128" w:type="dxa"/>
              <w:left w:w="43" w:type="dxa"/>
              <w:bottom w:w="43" w:type="dxa"/>
              <w:right w:w="43" w:type="dxa"/>
            </w:tcMar>
          </w:tcPr>
          <w:p w14:paraId="5F160813" w14:textId="77777777" w:rsidR="00972395" w:rsidRPr="00E73D4B" w:rsidRDefault="00F120C7" w:rsidP="001C4219">
            <w:pPr>
              <w:jc w:val="right"/>
            </w:pPr>
            <w:r w:rsidRPr="00E73D4B">
              <w:t>35, nr. 48</w:t>
            </w:r>
          </w:p>
        </w:tc>
        <w:tc>
          <w:tcPr>
            <w:tcW w:w="4820" w:type="dxa"/>
            <w:tcBorders>
              <w:top w:val="single" w:sz="4" w:space="0" w:color="000000"/>
              <w:left w:val="nil"/>
              <w:bottom w:val="nil"/>
              <w:right w:val="nil"/>
            </w:tcBorders>
            <w:tcMar>
              <w:top w:w="128" w:type="dxa"/>
              <w:left w:w="43" w:type="dxa"/>
              <w:bottom w:w="43" w:type="dxa"/>
              <w:right w:w="43" w:type="dxa"/>
            </w:tcMar>
          </w:tcPr>
          <w:p w14:paraId="6B40A1A2" w14:textId="77777777" w:rsidR="00972395" w:rsidRPr="00E73D4B" w:rsidRDefault="00F120C7" w:rsidP="001C4219">
            <w:r w:rsidRPr="00E73D4B">
              <w:t>Mål om å sikre et trygt arbeidsliv</w:t>
            </w:r>
          </w:p>
        </w:tc>
        <w:tc>
          <w:tcPr>
            <w:tcW w:w="1588" w:type="dxa"/>
            <w:tcBorders>
              <w:top w:val="single" w:sz="4" w:space="0" w:color="000000"/>
              <w:left w:val="nil"/>
              <w:bottom w:val="nil"/>
              <w:right w:val="nil"/>
            </w:tcBorders>
            <w:tcMar>
              <w:top w:w="128" w:type="dxa"/>
              <w:left w:w="43" w:type="dxa"/>
              <w:bottom w:w="43" w:type="dxa"/>
              <w:right w:w="43" w:type="dxa"/>
            </w:tcMar>
          </w:tcPr>
          <w:p w14:paraId="2985B0CD" w14:textId="77777777" w:rsidR="00972395" w:rsidRPr="00E73D4B" w:rsidRDefault="00F120C7" w:rsidP="001C4219">
            <w:pPr>
              <w:jc w:val="right"/>
            </w:pPr>
            <w:r w:rsidRPr="00E73D4B">
              <w:t>Ja</w:t>
            </w:r>
          </w:p>
        </w:tc>
      </w:tr>
      <w:tr w:rsidR="00972395" w:rsidRPr="00E73D4B" w14:paraId="6D6C2BBA" w14:textId="77777777" w:rsidTr="007116DC">
        <w:trPr>
          <w:trHeight w:val="880"/>
        </w:trPr>
        <w:tc>
          <w:tcPr>
            <w:tcW w:w="1560" w:type="dxa"/>
            <w:tcBorders>
              <w:top w:val="nil"/>
              <w:left w:val="nil"/>
              <w:bottom w:val="nil"/>
              <w:right w:val="nil"/>
            </w:tcBorders>
            <w:tcMar>
              <w:top w:w="128" w:type="dxa"/>
              <w:left w:w="43" w:type="dxa"/>
              <w:bottom w:w="43" w:type="dxa"/>
              <w:right w:w="43" w:type="dxa"/>
            </w:tcMar>
          </w:tcPr>
          <w:p w14:paraId="096143B6" w14:textId="77777777" w:rsidR="00972395" w:rsidRPr="00E73D4B" w:rsidRDefault="00F120C7" w:rsidP="001C4219">
            <w:r w:rsidRPr="00E73D4B">
              <w:t>2021–2022</w:t>
            </w:r>
          </w:p>
        </w:tc>
        <w:tc>
          <w:tcPr>
            <w:tcW w:w="1232" w:type="dxa"/>
            <w:tcBorders>
              <w:top w:val="nil"/>
              <w:left w:val="nil"/>
              <w:bottom w:val="nil"/>
              <w:right w:val="nil"/>
            </w:tcBorders>
            <w:tcMar>
              <w:top w:w="128" w:type="dxa"/>
              <w:left w:w="43" w:type="dxa"/>
              <w:bottom w:w="43" w:type="dxa"/>
              <w:right w:w="43" w:type="dxa"/>
            </w:tcMar>
          </w:tcPr>
          <w:p w14:paraId="736F4F8B" w14:textId="77777777" w:rsidR="00972395" w:rsidRPr="00E73D4B" w:rsidRDefault="00F120C7" w:rsidP="001C4219">
            <w:pPr>
              <w:jc w:val="right"/>
            </w:pPr>
            <w:r w:rsidRPr="00E73D4B">
              <w:t>397</w:t>
            </w:r>
          </w:p>
        </w:tc>
        <w:tc>
          <w:tcPr>
            <w:tcW w:w="4820" w:type="dxa"/>
            <w:tcBorders>
              <w:top w:val="nil"/>
              <w:left w:val="nil"/>
              <w:bottom w:val="nil"/>
              <w:right w:val="nil"/>
            </w:tcBorders>
            <w:tcMar>
              <w:top w:w="128" w:type="dxa"/>
              <w:left w:w="43" w:type="dxa"/>
              <w:bottom w:w="43" w:type="dxa"/>
              <w:right w:w="43" w:type="dxa"/>
            </w:tcMar>
          </w:tcPr>
          <w:p w14:paraId="104B6AB4" w14:textId="77777777" w:rsidR="00972395" w:rsidRPr="00E73D4B" w:rsidRDefault="00F120C7" w:rsidP="001C4219">
            <w:r w:rsidRPr="00E73D4B">
              <w:t>Sikre økte bevilgninger til enkeltkommuner som ikke har fått tildelt tilstrekkelige midler til å dele ut strømstøtte til frivillige organisasjoner i sin kommune</w:t>
            </w:r>
          </w:p>
        </w:tc>
        <w:tc>
          <w:tcPr>
            <w:tcW w:w="1588" w:type="dxa"/>
            <w:tcBorders>
              <w:top w:val="nil"/>
              <w:left w:val="nil"/>
              <w:bottom w:val="nil"/>
              <w:right w:val="nil"/>
            </w:tcBorders>
            <w:tcMar>
              <w:top w:w="128" w:type="dxa"/>
              <w:left w:w="43" w:type="dxa"/>
              <w:bottom w:w="43" w:type="dxa"/>
              <w:right w:w="43" w:type="dxa"/>
            </w:tcMar>
          </w:tcPr>
          <w:p w14:paraId="384941C0" w14:textId="77777777" w:rsidR="00972395" w:rsidRPr="00E73D4B" w:rsidRDefault="00F120C7" w:rsidP="001C4219">
            <w:pPr>
              <w:jc w:val="right"/>
            </w:pPr>
            <w:r w:rsidRPr="00E73D4B">
              <w:t>Ja</w:t>
            </w:r>
          </w:p>
        </w:tc>
      </w:tr>
      <w:tr w:rsidR="00972395" w:rsidRPr="00E73D4B" w14:paraId="0E1C730E" w14:textId="77777777" w:rsidTr="007116DC">
        <w:trPr>
          <w:trHeight w:val="380"/>
        </w:trPr>
        <w:tc>
          <w:tcPr>
            <w:tcW w:w="1560" w:type="dxa"/>
            <w:tcBorders>
              <w:top w:val="nil"/>
              <w:left w:val="nil"/>
              <w:bottom w:val="nil"/>
              <w:right w:val="nil"/>
            </w:tcBorders>
            <w:tcMar>
              <w:top w:w="128" w:type="dxa"/>
              <w:left w:w="43" w:type="dxa"/>
              <w:bottom w:w="43" w:type="dxa"/>
              <w:right w:w="43" w:type="dxa"/>
            </w:tcMar>
          </w:tcPr>
          <w:p w14:paraId="69D67BA0" w14:textId="77777777" w:rsidR="00972395" w:rsidRPr="00E73D4B" w:rsidRDefault="00F120C7" w:rsidP="001C4219">
            <w:r w:rsidRPr="00E73D4B">
              <w:t>2021–2022</w:t>
            </w:r>
          </w:p>
        </w:tc>
        <w:tc>
          <w:tcPr>
            <w:tcW w:w="1232" w:type="dxa"/>
            <w:tcBorders>
              <w:top w:val="nil"/>
              <w:left w:val="nil"/>
              <w:bottom w:val="nil"/>
              <w:right w:val="nil"/>
            </w:tcBorders>
            <w:tcMar>
              <w:top w:w="128" w:type="dxa"/>
              <w:left w:w="43" w:type="dxa"/>
              <w:bottom w:w="43" w:type="dxa"/>
              <w:right w:w="43" w:type="dxa"/>
            </w:tcMar>
          </w:tcPr>
          <w:p w14:paraId="6451891B" w14:textId="77777777" w:rsidR="00972395" w:rsidRPr="00E73D4B" w:rsidRDefault="00F120C7" w:rsidP="001C4219">
            <w:pPr>
              <w:jc w:val="right"/>
            </w:pPr>
            <w:r w:rsidRPr="00E73D4B">
              <w:t>402</w:t>
            </w:r>
          </w:p>
        </w:tc>
        <w:tc>
          <w:tcPr>
            <w:tcW w:w="4820" w:type="dxa"/>
            <w:tcBorders>
              <w:top w:val="nil"/>
              <w:left w:val="nil"/>
              <w:bottom w:val="nil"/>
              <w:right w:val="nil"/>
            </w:tcBorders>
            <w:tcMar>
              <w:top w:w="128" w:type="dxa"/>
              <w:left w:w="43" w:type="dxa"/>
              <w:bottom w:w="43" w:type="dxa"/>
              <w:right w:w="43" w:type="dxa"/>
            </w:tcMar>
          </w:tcPr>
          <w:p w14:paraId="2705C4CD" w14:textId="77777777" w:rsidR="00972395" w:rsidRPr="00E73D4B" w:rsidRDefault="00F120C7" w:rsidP="001C4219">
            <w:r w:rsidRPr="00E73D4B">
              <w:t>Utvide definisjonen av pengespill på hest</w:t>
            </w:r>
          </w:p>
        </w:tc>
        <w:tc>
          <w:tcPr>
            <w:tcW w:w="1588" w:type="dxa"/>
            <w:tcBorders>
              <w:top w:val="nil"/>
              <w:left w:val="nil"/>
              <w:bottom w:val="nil"/>
              <w:right w:val="nil"/>
            </w:tcBorders>
            <w:tcMar>
              <w:top w:w="128" w:type="dxa"/>
              <w:left w:w="43" w:type="dxa"/>
              <w:bottom w:w="43" w:type="dxa"/>
              <w:right w:w="43" w:type="dxa"/>
            </w:tcMar>
          </w:tcPr>
          <w:p w14:paraId="235BA6D8" w14:textId="77777777" w:rsidR="00972395" w:rsidRPr="00E73D4B" w:rsidRDefault="00F120C7" w:rsidP="001C4219">
            <w:pPr>
              <w:jc w:val="right"/>
            </w:pPr>
            <w:r w:rsidRPr="00E73D4B">
              <w:t>Ja</w:t>
            </w:r>
          </w:p>
        </w:tc>
      </w:tr>
      <w:tr w:rsidR="00972395" w:rsidRPr="00E73D4B" w14:paraId="0A6F2557"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7476979B" w14:textId="77777777" w:rsidR="00972395" w:rsidRPr="00E73D4B" w:rsidRDefault="00F120C7" w:rsidP="001C4219">
            <w:r w:rsidRPr="00E73D4B">
              <w:t>2021–2022</w:t>
            </w:r>
          </w:p>
        </w:tc>
        <w:tc>
          <w:tcPr>
            <w:tcW w:w="1232" w:type="dxa"/>
            <w:tcBorders>
              <w:top w:val="nil"/>
              <w:left w:val="nil"/>
              <w:bottom w:val="nil"/>
              <w:right w:val="nil"/>
            </w:tcBorders>
            <w:tcMar>
              <w:top w:w="128" w:type="dxa"/>
              <w:left w:w="43" w:type="dxa"/>
              <w:bottom w:w="43" w:type="dxa"/>
              <w:right w:w="43" w:type="dxa"/>
            </w:tcMar>
          </w:tcPr>
          <w:p w14:paraId="04A30601" w14:textId="77777777" w:rsidR="00972395" w:rsidRPr="00E73D4B" w:rsidRDefault="00F120C7" w:rsidP="001C4219">
            <w:pPr>
              <w:jc w:val="right"/>
            </w:pPr>
            <w:r w:rsidRPr="00E73D4B">
              <w:t>403</w:t>
            </w:r>
          </w:p>
        </w:tc>
        <w:tc>
          <w:tcPr>
            <w:tcW w:w="4820" w:type="dxa"/>
            <w:tcBorders>
              <w:top w:val="nil"/>
              <w:left w:val="nil"/>
              <w:bottom w:val="nil"/>
              <w:right w:val="nil"/>
            </w:tcBorders>
            <w:tcMar>
              <w:top w:w="128" w:type="dxa"/>
              <w:left w:w="43" w:type="dxa"/>
              <w:bottom w:w="43" w:type="dxa"/>
              <w:right w:w="43" w:type="dxa"/>
            </w:tcMar>
          </w:tcPr>
          <w:p w14:paraId="7D2A0F07" w14:textId="77777777" w:rsidR="00972395" w:rsidRPr="00E73D4B" w:rsidRDefault="00F120C7" w:rsidP="001C4219">
            <w:r w:rsidRPr="00E73D4B">
              <w:t>Følge opp veilederen «Møteplasser for dataspill og datakultur»</w:t>
            </w:r>
          </w:p>
        </w:tc>
        <w:tc>
          <w:tcPr>
            <w:tcW w:w="1588" w:type="dxa"/>
            <w:tcBorders>
              <w:top w:val="nil"/>
              <w:left w:val="nil"/>
              <w:bottom w:val="nil"/>
              <w:right w:val="nil"/>
            </w:tcBorders>
            <w:tcMar>
              <w:top w:w="128" w:type="dxa"/>
              <w:left w:w="43" w:type="dxa"/>
              <w:bottom w:w="43" w:type="dxa"/>
              <w:right w:w="43" w:type="dxa"/>
            </w:tcMar>
          </w:tcPr>
          <w:p w14:paraId="518F885C" w14:textId="77777777" w:rsidR="00972395" w:rsidRPr="00E73D4B" w:rsidRDefault="00F120C7" w:rsidP="001C4219">
            <w:pPr>
              <w:jc w:val="right"/>
            </w:pPr>
            <w:r w:rsidRPr="00E73D4B">
              <w:t>Nei</w:t>
            </w:r>
          </w:p>
        </w:tc>
      </w:tr>
      <w:tr w:rsidR="00972395" w:rsidRPr="00E73D4B" w14:paraId="27FB897A"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64F82E01" w14:textId="77777777" w:rsidR="00972395" w:rsidRPr="00E73D4B" w:rsidRDefault="00F120C7" w:rsidP="001C4219">
            <w:r w:rsidRPr="00E73D4B">
              <w:t>2021–2022</w:t>
            </w:r>
          </w:p>
        </w:tc>
        <w:tc>
          <w:tcPr>
            <w:tcW w:w="1232" w:type="dxa"/>
            <w:tcBorders>
              <w:top w:val="nil"/>
              <w:left w:val="nil"/>
              <w:bottom w:val="nil"/>
              <w:right w:val="nil"/>
            </w:tcBorders>
            <w:tcMar>
              <w:top w:w="128" w:type="dxa"/>
              <w:left w:w="43" w:type="dxa"/>
              <w:bottom w:w="43" w:type="dxa"/>
              <w:right w:w="43" w:type="dxa"/>
            </w:tcMar>
          </w:tcPr>
          <w:p w14:paraId="2009CD6F" w14:textId="77777777" w:rsidR="00972395" w:rsidRPr="00E73D4B" w:rsidRDefault="00F120C7" w:rsidP="001C4219">
            <w:pPr>
              <w:jc w:val="right"/>
            </w:pPr>
            <w:r w:rsidRPr="00E73D4B">
              <w:t>501</w:t>
            </w:r>
          </w:p>
        </w:tc>
        <w:tc>
          <w:tcPr>
            <w:tcW w:w="4820" w:type="dxa"/>
            <w:tcBorders>
              <w:top w:val="nil"/>
              <w:left w:val="nil"/>
              <w:bottom w:val="nil"/>
              <w:right w:val="nil"/>
            </w:tcBorders>
            <w:tcMar>
              <w:top w:w="128" w:type="dxa"/>
              <w:left w:w="43" w:type="dxa"/>
              <w:bottom w:w="43" w:type="dxa"/>
              <w:right w:w="43" w:type="dxa"/>
            </w:tcMar>
          </w:tcPr>
          <w:p w14:paraId="331AD279" w14:textId="77777777" w:rsidR="00972395" w:rsidRPr="00E73D4B" w:rsidRDefault="00F120C7" w:rsidP="001C4219">
            <w:r w:rsidRPr="00E73D4B">
              <w:t>Styrke samarbeidet for en sunnere idrett og forebygging av kroppsmisnøye og spiseforstyrrelser i idretten</w:t>
            </w:r>
          </w:p>
        </w:tc>
        <w:tc>
          <w:tcPr>
            <w:tcW w:w="1588" w:type="dxa"/>
            <w:tcBorders>
              <w:top w:val="nil"/>
              <w:left w:val="nil"/>
              <w:bottom w:val="nil"/>
              <w:right w:val="nil"/>
            </w:tcBorders>
            <w:tcMar>
              <w:top w:w="128" w:type="dxa"/>
              <w:left w:w="43" w:type="dxa"/>
              <w:bottom w:w="43" w:type="dxa"/>
              <w:right w:w="43" w:type="dxa"/>
            </w:tcMar>
          </w:tcPr>
          <w:p w14:paraId="270939CF" w14:textId="77777777" w:rsidR="00972395" w:rsidRPr="00E73D4B" w:rsidRDefault="00F120C7" w:rsidP="001C4219">
            <w:pPr>
              <w:jc w:val="right"/>
            </w:pPr>
            <w:r w:rsidRPr="00E73D4B">
              <w:t>Nei</w:t>
            </w:r>
          </w:p>
        </w:tc>
      </w:tr>
      <w:tr w:rsidR="00972395" w:rsidRPr="00E73D4B" w14:paraId="6A748074" w14:textId="77777777" w:rsidTr="007116DC">
        <w:trPr>
          <w:trHeight w:val="880"/>
        </w:trPr>
        <w:tc>
          <w:tcPr>
            <w:tcW w:w="1560" w:type="dxa"/>
            <w:tcBorders>
              <w:top w:val="nil"/>
              <w:left w:val="nil"/>
              <w:bottom w:val="nil"/>
              <w:right w:val="nil"/>
            </w:tcBorders>
            <w:tcMar>
              <w:top w:w="128" w:type="dxa"/>
              <w:left w:w="43" w:type="dxa"/>
              <w:bottom w:w="43" w:type="dxa"/>
              <w:right w:w="43" w:type="dxa"/>
            </w:tcMar>
          </w:tcPr>
          <w:p w14:paraId="77D5C789" w14:textId="77777777" w:rsidR="00972395" w:rsidRPr="00E73D4B" w:rsidRDefault="00F120C7" w:rsidP="001C4219">
            <w:r w:rsidRPr="00E73D4B">
              <w:t>2021–2022</w:t>
            </w:r>
          </w:p>
        </w:tc>
        <w:tc>
          <w:tcPr>
            <w:tcW w:w="1232" w:type="dxa"/>
            <w:tcBorders>
              <w:top w:val="nil"/>
              <w:left w:val="nil"/>
              <w:bottom w:val="nil"/>
              <w:right w:val="nil"/>
            </w:tcBorders>
            <w:tcMar>
              <w:top w:w="128" w:type="dxa"/>
              <w:left w:w="43" w:type="dxa"/>
              <w:bottom w:w="43" w:type="dxa"/>
              <w:right w:w="43" w:type="dxa"/>
            </w:tcMar>
          </w:tcPr>
          <w:p w14:paraId="5F54D824" w14:textId="77777777" w:rsidR="00972395" w:rsidRPr="00E73D4B" w:rsidRDefault="00F120C7" w:rsidP="001C4219">
            <w:pPr>
              <w:jc w:val="right"/>
            </w:pPr>
            <w:r w:rsidRPr="00E73D4B">
              <w:t>502</w:t>
            </w:r>
          </w:p>
        </w:tc>
        <w:tc>
          <w:tcPr>
            <w:tcW w:w="4820" w:type="dxa"/>
            <w:tcBorders>
              <w:top w:val="nil"/>
              <w:left w:val="nil"/>
              <w:bottom w:val="nil"/>
              <w:right w:val="nil"/>
            </w:tcBorders>
            <w:tcMar>
              <w:top w:w="128" w:type="dxa"/>
              <w:left w:w="43" w:type="dxa"/>
              <w:bottom w:w="43" w:type="dxa"/>
              <w:right w:w="43" w:type="dxa"/>
            </w:tcMar>
          </w:tcPr>
          <w:p w14:paraId="54F4C334" w14:textId="77777777" w:rsidR="00972395" w:rsidRPr="00E73D4B" w:rsidRDefault="00F120C7" w:rsidP="001C4219">
            <w:r w:rsidRPr="00E73D4B">
              <w:t>Handlingsplan for en tryggere idrett og forebygging av kroppsmisnøye og spiseforstyrrelser i idretten – sette ned kompetansegruppe</w:t>
            </w:r>
          </w:p>
        </w:tc>
        <w:tc>
          <w:tcPr>
            <w:tcW w:w="1588" w:type="dxa"/>
            <w:tcBorders>
              <w:top w:val="nil"/>
              <w:left w:val="nil"/>
              <w:bottom w:val="nil"/>
              <w:right w:val="nil"/>
            </w:tcBorders>
            <w:tcMar>
              <w:top w:w="128" w:type="dxa"/>
              <w:left w:w="43" w:type="dxa"/>
              <w:bottom w:w="43" w:type="dxa"/>
              <w:right w:w="43" w:type="dxa"/>
            </w:tcMar>
          </w:tcPr>
          <w:p w14:paraId="4CF191D5" w14:textId="77777777" w:rsidR="00972395" w:rsidRPr="00E73D4B" w:rsidRDefault="00F120C7" w:rsidP="001C4219">
            <w:pPr>
              <w:jc w:val="right"/>
            </w:pPr>
            <w:r w:rsidRPr="00E73D4B">
              <w:t>Nei</w:t>
            </w:r>
          </w:p>
        </w:tc>
      </w:tr>
      <w:tr w:rsidR="00972395" w:rsidRPr="00E73D4B" w14:paraId="05007B13"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1270C772" w14:textId="77777777" w:rsidR="00972395" w:rsidRPr="00E73D4B" w:rsidRDefault="00F120C7" w:rsidP="001C4219">
            <w:r w:rsidRPr="00E73D4B">
              <w:t>2021–2022</w:t>
            </w:r>
          </w:p>
        </w:tc>
        <w:tc>
          <w:tcPr>
            <w:tcW w:w="1232" w:type="dxa"/>
            <w:tcBorders>
              <w:top w:val="nil"/>
              <w:left w:val="nil"/>
              <w:bottom w:val="nil"/>
              <w:right w:val="nil"/>
            </w:tcBorders>
            <w:tcMar>
              <w:top w:w="128" w:type="dxa"/>
              <w:left w:w="43" w:type="dxa"/>
              <w:bottom w:w="43" w:type="dxa"/>
              <w:right w:w="43" w:type="dxa"/>
            </w:tcMar>
          </w:tcPr>
          <w:p w14:paraId="0BA02A12" w14:textId="77777777" w:rsidR="00972395" w:rsidRPr="00E73D4B" w:rsidRDefault="00F120C7" w:rsidP="001C4219">
            <w:pPr>
              <w:jc w:val="right"/>
            </w:pPr>
            <w:r w:rsidRPr="00E73D4B">
              <w:t>503</w:t>
            </w:r>
          </w:p>
        </w:tc>
        <w:tc>
          <w:tcPr>
            <w:tcW w:w="4820" w:type="dxa"/>
            <w:tcBorders>
              <w:top w:val="nil"/>
              <w:left w:val="nil"/>
              <w:bottom w:val="nil"/>
              <w:right w:val="nil"/>
            </w:tcBorders>
            <w:tcMar>
              <w:top w:w="128" w:type="dxa"/>
              <w:left w:w="43" w:type="dxa"/>
              <w:bottom w:w="43" w:type="dxa"/>
              <w:right w:w="43" w:type="dxa"/>
            </w:tcMar>
          </w:tcPr>
          <w:p w14:paraId="1A7ABD39" w14:textId="77777777" w:rsidR="00972395" w:rsidRPr="00E73D4B" w:rsidRDefault="00F120C7" w:rsidP="001C4219">
            <w:r w:rsidRPr="00E73D4B">
              <w:t>Handlingsplan for en tryggere idrett og forebygging av kroppsmisnøye og spiseforstyrrelser i idretten</w:t>
            </w:r>
          </w:p>
        </w:tc>
        <w:tc>
          <w:tcPr>
            <w:tcW w:w="1588" w:type="dxa"/>
            <w:tcBorders>
              <w:top w:val="nil"/>
              <w:left w:val="nil"/>
              <w:bottom w:val="nil"/>
              <w:right w:val="nil"/>
            </w:tcBorders>
            <w:tcMar>
              <w:top w:w="128" w:type="dxa"/>
              <w:left w:w="43" w:type="dxa"/>
              <w:bottom w:w="43" w:type="dxa"/>
              <w:right w:w="43" w:type="dxa"/>
            </w:tcMar>
          </w:tcPr>
          <w:p w14:paraId="71B9EE86" w14:textId="77777777" w:rsidR="00972395" w:rsidRPr="00E73D4B" w:rsidRDefault="00F120C7" w:rsidP="001C4219">
            <w:pPr>
              <w:jc w:val="right"/>
            </w:pPr>
            <w:r w:rsidRPr="00E73D4B">
              <w:t xml:space="preserve">Nei </w:t>
            </w:r>
          </w:p>
        </w:tc>
      </w:tr>
      <w:tr w:rsidR="00972395" w:rsidRPr="00E73D4B" w14:paraId="5CBA2EC1"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7E7E4D0F" w14:textId="77777777" w:rsidR="00972395" w:rsidRPr="00E73D4B" w:rsidRDefault="00F120C7" w:rsidP="001C4219">
            <w:r w:rsidRPr="00E73D4B">
              <w:t>2020–2021</w:t>
            </w:r>
          </w:p>
        </w:tc>
        <w:tc>
          <w:tcPr>
            <w:tcW w:w="1232" w:type="dxa"/>
            <w:tcBorders>
              <w:top w:val="nil"/>
              <w:left w:val="nil"/>
              <w:bottom w:val="nil"/>
              <w:right w:val="nil"/>
            </w:tcBorders>
            <w:tcMar>
              <w:top w:w="128" w:type="dxa"/>
              <w:left w:w="43" w:type="dxa"/>
              <w:bottom w:w="43" w:type="dxa"/>
              <w:right w:w="43" w:type="dxa"/>
            </w:tcMar>
          </w:tcPr>
          <w:p w14:paraId="4E5F2B64" w14:textId="77777777" w:rsidR="00972395" w:rsidRPr="00E73D4B" w:rsidRDefault="00F120C7" w:rsidP="001C4219">
            <w:pPr>
              <w:jc w:val="right"/>
            </w:pPr>
            <w:r w:rsidRPr="00E73D4B">
              <w:t>66</w:t>
            </w:r>
          </w:p>
        </w:tc>
        <w:tc>
          <w:tcPr>
            <w:tcW w:w="4820" w:type="dxa"/>
            <w:tcBorders>
              <w:top w:val="nil"/>
              <w:left w:val="nil"/>
              <w:bottom w:val="nil"/>
              <w:right w:val="nil"/>
            </w:tcBorders>
            <w:tcMar>
              <w:top w:w="128" w:type="dxa"/>
              <w:left w:w="43" w:type="dxa"/>
              <w:bottom w:w="43" w:type="dxa"/>
              <w:right w:w="43" w:type="dxa"/>
            </w:tcMar>
          </w:tcPr>
          <w:p w14:paraId="34106762" w14:textId="77777777" w:rsidR="00972395" w:rsidRPr="00E73D4B" w:rsidRDefault="00F120C7" w:rsidP="001C4219">
            <w:r w:rsidRPr="00E73D4B">
              <w:t>Kriterier for statlig støtte til internasjonale idrettsarrangement som skal arrangeres i Norge</w:t>
            </w:r>
          </w:p>
        </w:tc>
        <w:tc>
          <w:tcPr>
            <w:tcW w:w="1588" w:type="dxa"/>
            <w:tcBorders>
              <w:top w:val="nil"/>
              <w:left w:val="nil"/>
              <w:bottom w:val="nil"/>
              <w:right w:val="nil"/>
            </w:tcBorders>
            <w:tcMar>
              <w:top w:w="128" w:type="dxa"/>
              <w:left w:w="43" w:type="dxa"/>
              <w:bottom w:w="43" w:type="dxa"/>
              <w:right w:w="43" w:type="dxa"/>
            </w:tcMar>
          </w:tcPr>
          <w:p w14:paraId="745ADC16" w14:textId="77777777" w:rsidR="00972395" w:rsidRPr="00E73D4B" w:rsidRDefault="00F120C7" w:rsidP="001C4219">
            <w:pPr>
              <w:jc w:val="right"/>
            </w:pPr>
            <w:r w:rsidRPr="00E73D4B">
              <w:t>Ja</w:t>
            </w:r>
          </w:p>
        </w:tc>
      </w:tr>
      <w:tr w:rsidR="00972395" w:rsidRPr="00E73D4B" w14:paraId="3F4E9C74" w14:textId="77777777" w:rsidTr="007116DC">
        <w:trPr>
          <w:trHeight w:val="380"/>
        </w:trPr>
        <w:tc>
          <w:tcPr>
            <w:tcW w:w="1560" w:type="dxa"/>
            <w:tcBorders>
              <w:top w:val="nil"/>
              <w:left w:val="nil"/>
              <w:bottom w:val="nil"/>
              <w:right w:val="nil"/>
            </w:tcBorders>
            <w:tcMar>
              <w:top w:w="128" w:type="dxa"/>
              <w:left w:w="43" w:type="dxa"/>
              <w:bottom w:w="43" w:type="dxa"/>
              <w:right w:w="43" w:type="dxa"/>
            </w:tcMar>
          </w:tcPr>
          <w:p w14:paraId="6DA07834" w14:textId="77777777" w:rsidR="00972395" w:rsidRPr="00E73D4B" w:rsidRDefault="00F120C7" w:rsidP="001C4219">
            <w:r w:rsidRPr="00E73D4B">
              <w:t>2020–2021</w:t>
            </w:r>
          </w:p>
        </w:tc>
        <w:tc>
          <w:tcPr>
            <w:tcW w:w="1232" w:type="dxa"/>
            <w:tcBorders>
              <w:top w:val="nil"/>
              <w:left w:val="nil"/>
              <w:bottom w:val="nil"/>
              <w:right w:val="nil"/>
            </w:tcBorders>
            <w:tcMar>
              <w:top w:w="128" w:type="dxa"/>
              <w:left w:w="43" w:type="dxa"/>
              <w:bottom w:w="43" w:type="dxa"/>
              <w:right w:w="43" w:type="dxa"/>
            </w:tcMar>
          </w:tcPr>
          <w:p w14:paraId="403057C7" w14:textId="77777777" w:rsidR="00972395" w:rsidRPr="00E73D4B" w:rsidRDefault="00F120C7" w:rsidP="001C4219">
            <w:pPr>
              <w:jc w:val="right"/>
            </w:pPr>
            <w:r w:rsidRPr="00E73D4B">
              <w:t>755</w:t>
            </w:r>
          </w:p>
        </w:tc>
        <w:tc>
          <w:tcPr>
            <w:tcW w:w="4820" w:type="dxa"/>
            <w:tcBorders>
              <w:top w:val="nil"/>
              <w:left w:val="nil"/>
              <w:bottom w:val="nil"/>
              <w:right w:val="nil"/>
            </w:tcBorders>
            <w:tcMar>
              <w:top w:w="128" w:type="dxa"/>
              <w:left w:w="43" w:type="dxa"/>
              <w:bottom w:w="43" w:type="dxa"/>
              <w:right w:w="43" w:type="dxa"/>
            </w:tcMar>
          </w:tcPr>
          <w:p w14:paraId="19A454EC" w14:textId="77777777" w:rsidR="00972395" w:rsidRPr="00E73D4B" w:rsidRDefault="00F120C7" w:rsidP="001C4219">
            <w:r w:rsidRPr="00E73D4B">
              <w:t>Stortingsmelding om seksuell trakassering</w:t>
            </w:r>
          </w:p>
        </w:tc>
        <w:tc>
          <w:tcPr>
            <w:tcW w:w="1588" w:type="dxa"/>
            <w:tcBorders>
              <w:top w:val="nil"/>
              <w:left w:val="nil"/>
              <w:bottom w:val="nil"/>
              <w:right w:val="nil"/>
            </w:tcBorders>
            <w:tcMar>
              <w:top w:w="128" w:type="dxa"/>
              <w:left w:w="43" w:type="dxa"/>
              <w:bottom w:w="43" w:type="dxa"/>
              <w:right w:w="43" w:type="dxa"/>
            </w:tcMar>
          </w:tcPr>
          <w:p w14:paraId="505A9D3A" w14:textId="77777777" w:rsidR="00972395" w:rsidRPr="00E73D4B" w:rsidRDefault="00F120C7" w:rsidP="001C4219">
            <w:pPr>
              <w:jc w:val="right"/>
            </w:pPr>
            <w:r w:rsidRPr="00E73D4B">
              <w:t>Nei</w:t>
            </w:r>
          </w:p>
        </w:tc>
      </w:tr>
      <w:tr w:rsidR="00972395" w:rsidRPr="00E73D4B" w14:paraId="1CA1CB0C" w14:textId="77777777" w:rsidTr="007116DC">
        <w:trPr>
          <w:trHeight w:val="380"/>
        </w:trPr>
        <w:tc>
          <w:tcPr>
            <w:tcW w:w="1560" w:type="dxa"/>
            <w:tcBorders>
              <w:top w:val="nil"/>
              <w:left w:val="nil"/>
              <w:bottom w:val="nil"/>
              <w:right w:val="nil"/>
            </w:tcBorders>
            <w:tcMar>
              <w:top w:w="128" w:type="dxa"/>
              <w:left w:w="43" w:type="dxa"/>
              <w:bottom w:w="43" w:type="dxa"/>
              <w:right w:w="43" w:type="dxa"/>
            </w:tcMar>
          </w:tcPr>
          <w:p w14:paraId="45D4D493" w14:textId="77777777" w:rsidR="00972395" w:rsidRPr="00E73D4B" w:rsidRDefault="00F120C7" w:rsidP="001C4219">
            <w:r w:rsidRPr="00E73D4B">
              <w:t>2020–2021</w:t>
            </w:r>
          </w:p>
        </w:tc>
        <w:tc>
          <w:tcPr>
            <w:tcW w:w="1232" w:type="dxa"/>
            <w:tcBorders>
              <w:top w:val="nil"/>
              <w:left w:val="nil"/>
              <w:bottom w:val="nil"/>
              <w:right w:val="nil"/>
            </w:tcBorders>
            <w:tcMar>
              <w:top w:w="128" w:type="dxa"/>
              <w:left w:w="43" w:type="dxa"/>
              <w:bottom w:w="43" w:type="dxa"/>
              <w:right w:w="43" w:type="dxa"/>
            </w:tcMar>
          </w:tcPr>
          <w:p w14:paraId="10EBDB5B" w14:textId="77777777" w:rsidR="00972395" w:rsidRPr="00E73D4B" w:rsidRDefault="00F120C7" w:rsidP="001C4219">
            <w:pPr>
              <w:jc w:val="right"/>
            </w:pPr>
            <w:r w:rsidRPr="00E73D4B">
              <w:t>788</w:t>
            </w:r>
          </w:p>
        </w:tc>
        <w:tc>
          <w:tcPr>
            <w:tcW w:w="4820" w:type="dxa"/>
            <w:tcBorders>
              <w:top w:val="nil"/>
              <w:left w:val="nil"/>
              <w:bottom w:val="nil"/>
              <w:right w:val="nil"/>
            </w:tcBorders>
            <w:tcMar>
              <w:top w:w="128" w:type="dxa"/>
              <w:left w:w="43" w:type="dxa"/>
              <w:bottom w:w="43" w:type="dxa"/>
              <w:right w:w="43" w:type="dxa"/>
            </w:tcMar>
          </w:tcPr>
          <w:p w14:paraId="434ADE44" w14:textId="77777777" w:rsidR="00972395" w:rsidRPr="00E73D4B" w:rsidRDefault="00F120C7" w:rsidP="001C4219">
            <w:r w:rsidRPr="00E73D4B">
              <w:t>Innlemme symbolspråk i språkloven</w:t>
            </w:r>
          </w:p>
        </w:tc>
        <w:tc>
          <w:tcPr>
            <w:tcW w:w="1588" w:type="dxa"/>
            <w:tcBorders>
              <w:top w:val="nil"/>
              <w:left w:val="nil"/>
              <w:bottom w:val="nil"/>
              <w:right w:val="nil"/>
            </w:tcBorders>
            <w:tcMar>
              <w:top w:w="128" w:type="dxa"/>
              <w:left w:w="43" w:type="dxa"/>
              <w:bottom w:w="43" w:type="dxa"/>
              <w:right w:w="43" w:type="dxa"/>
            </w:tcMar>
          </w:tcPr>
          <w:p w14:paraId="2A3DB6FD" w14:textId="77777777" w:rsidR="00972395" w:rsidRPr="00E73D4B" w:rsidRDefault="00F120C7" w:rsidP="001C4219">
            <w:pPr>
              <w:jc w:val="right"/>
            </w:pPr>
            <w:r w:rsidRPr="00E73D4B">
              <w:t>Nei</w:t>
            </w:r>
          </w:p>
        </w:tc>
      </w:tr>
      <w:tr w:rsidR="00972395" w:rsidRPr="00E73D4B" w14:paraId="407CA2F9" w14:textId="77777777" w:rsidTr="007116DC">
        <w:trPr>
          <w:trHeight w:val="380"/>
        </w:trPr>
        <w:tc>
          <w:tcPr>
            <w:tcW w:w="1560" w:type="dxa"/>
            <w:tcBorders>
              <w:top w:val="nil"/>
              <w:left w:val="nil"/>
              <w:bottom w:val="nil"/>
              <w:right w:val="nil"/>
            </w:tcBorders>
            <w:tcMar>
              <w:top w:w="128" w:type="dxa"/>
              <w:left w:w="43" w:type="dxa"/>
              <w:bottom w:w="43" w:type="dxa"/>
              <w:right w:w="43" w:type="dxa"/>
            </w:tcMar>
          </w:tcPr>
          <w:p w14:paraId="05F75B9D" w14:textId="77777777" w:rsidR="00972395" w:rsidRPr="00E73D4B" w:rsidRDefault="00F120C7" w:rsidP="001C4219">
            <w:r w:rsidRPr="00E73D4B">
              <w:t>2018–2019</w:t>
            </w:r>
          </w:p>
        </w:tc>
        <w:tc>
          <w:tcPr>
            <w:tcW w:w="1232" w:type="dxa"/>
            <w:tcBorders>
              <w:top w:val="nil"/>
              <w:left w:val="nil"/>
              <w:bottom w:val="nil"/>
              <w:right w:val="nil"/>
            </w:tcBorders>
            <w:tcMar>
              <w:top w:w="128" w:type="dxa"/>
              <w:left w:w="43" w:type="dxa"/>
              <w:bottom w:w="43" w:type="dxa"/>
              <w:right w:w="43" w:type="dxa"/>
            </w:tcMar>
          </w:tcPr>
          <w:p w14:paraId="7D8237C0" w14:textId="77777777" w:rsidR="00972395" w:rsidRPr="00E73D4B" w:rsidRDefault="00F120C7" w:rsidP="001C4219">
            <w:pPr>
              <w:jc w:val="right"/>
            </w:pPr>
            <w:r w:rsidRPr="00E73D4B">
              <w:t>706</w:t>
            </w:r>
          </w:p>
        </w:tc>
        <w:tc>
          <w:tcPr>
            <w:tcW w:w="4820" w:type="dxa"/>
            <w:tcBorders>
              <w:top w:val="nil"/>
              <w:left w:val="nil"/>
              <w:bottom w:val="nil"/>
              <w:right w:val="nil"/>
            </w:tcBorders>
            <w:tcMar>
              <w:top w:w="128" w:type="dxa"/>
              <w:left w:w="43" w:type="dxa"/>
              <w:bottom w:w="43" w:type="dxa"/>
              <w:right w:w="43" w:type="dxa"/>
            </w:tcMar>
          </w:tcPr>
          <w:p w14:paraId="07A1B6EA" w14:textId="77777777" w:rsidR="00972395" w:rsidRPr="00E73D4B" w:rsidRDefault="00F120C7" w:rsidP="001C4219">
            <w:r w:rsidRPr="00E73D4B">
              <w:t>Endre forskrift om kringkasting</w:t>
            </w:r>
          </w:p>
        </w:tc>
        <w:tc>
          <w:tcPr>
            <w:tcW w:w="1588" w:type="dxa"/>
            <w:tcBorders>
              <w:top w:val="nil"/>
              <w:left w:val="nil"/>
              <w:bottom w:val="nil"/>
              <w:right w:val="nil"/>
            </w:tcBorders>
            <w:tcMar>
              <w:top w:w="128" w:type="dxa"/>
              <w:left w:w="43" w:type="dxa"/>
              <w:bottom w:w="43" w:type="dxa"/>
              <w:right w:w="43" w:type="dxa"/>
            </w:tcMar>
          </w:tcPr>
          <w:p w14:paraId="61F2F3B7" w14:textId="77777777" w:rsidR="00972395" w:rsidRPr="00E73D4B" w:rsidRDefault="00F120C7" w:rsidP="001C4219">
            <w:pPr>
              <w:jc w:val="right"/>
            </w:pPr>
            <w:r w:rsidRPr="00E73D4B">
              <w:t>Nei</w:t>
            </w:r>
          </w:p>
        </w:tc>
      </w:tr>
      <w:tr w:rsidR="00972395" w:rsidRPr="00E73D4B" w14:paraId="23A369D4" w14:textId="77777777" w:rsidTr="007116DC">
        <w:trPr>
          <w:trHeight w:val="380"/>
        </w:trPr>
        <w:tc>
          <w:tcPr>
            <w:tcW w:w="1560" w:type="dxa"/>
            <w:tcBorders>
              <w:top w:val="nil"/>
              <w:left w:val="nil"/>
              <w:bottom w:val="nil"/>
              <w:right w:val="nil"/>
            </w:tcBorders>
            <w:tcMar>
              <w:top w:w="128" w:type="dxa"/>
              <w:left w:w="43" w:type="dxa"/>
              <w:bottom w:w="43" w:type="dxa"/>
              <w:right w:w="43" w:type="dxa"/>
            </w:tcMar>
          </w:tcPr>
          <w:p w14:paraId="08850F17"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73A096A8" w14:textId="77777777" w:rsidR="00972395" w:rsidRPr="00E73D4B" w:rsidRDefault="00F120C7" w:rsidP="001C4219">
            <w:pPr>
              <w:jc w:val="right"/>
            </w:pPr>
            <w:r w:rsidRPr="00E73D4B">
              <w:t>199</w:t>
            </w:r>
          </w:p>
        </w:tc>
        <w:tc>
          <w:tcPr>
            <w:tcW w:w="4820" w:type="dxa"/>
            <w:tcBorders>
              <w:top w:val="nil"/>
              <w:left w:val="nil"/>
              <w:bottom w:val="nil"/>
              <w:right w:val="nil"/>
            </w:tcBorders>
            <w:tcMar>
              <w:top w:w="128" w:type="dxa"/>
              <w:left w:w="43" w:type="dxa"/>
              <w:bottom w:w="43" w:type="dxa"/>
              <w:right w:w="43" w:type="dxa"/>
            </w:tcMar>
          </w:tcPr>
          <w:p w14:paraId="72C098CC" w14:textId="77777777" w:rsidR="00972395" w:rsidRPr="00E73D4B" w:rsidRDefault="00F120C7" w:rsidP="001C4219">
            <w:r w:rsidRPr="00E73D4B">
              <w:t>Kunstnermelding</w:t>
            </w:r>
          </w:p>
        </w:tc>
        <w:tc>
          <w:tcPr>
            <w:tcW w:w="1588" w:type="dxa"/>
            <w:tcBorders>
              <w:top w:val="nil"/>
              <w:left w:val="nil"/>
              <w:bottom w:val="nil"/>
              <w:right w:val="nil"/>
            </w:tcBorders>
            <w:tcMar>
              <w:top w:w="128" w:type="dxa"/>
              <w:left w:w="43" w:type="dxa"/>
              <w:bottom w:w="43" w:type="dxa"/>
              <w:right w:w="43" w:type="dxa"/>
            </w:tcMar>
          </w:tcPr>
          <w:p w14:paraId="61B2CE5B" w14:textId="77777777" w:rsidR="00972395" w:rsidRPr="00E73D4B" w:rsidRDefault="00F120C7" w:rsidP="001C4219">
            <w:pPr>
              <w:jc w:val="right"/>
            </w:pPr>
            <w:r w:rsidRPr="00E73D4B">
              <w:t>Nei</w:t>
            </w:r>
          </w:p>
        </w:tc>
      </w:tr>
      <w:tr w:rsidR="00972395" w:rsidRPr="00E73D4B" w14:paraId="1500954F" w14:textId="77777777" w:rsidTr="007116DC">
        <w:trPr>
          <w:trHeight w:val="380"/>
        </w:trPr>
        <w:tc>
          <w:tcPr>
            <w:tcW w:w="1560" w:type="dxa"/>
            <w:tcBorders>
              <w:top w:val="nil"/>
              <w:left w:val="nil"/>
              <w:bottom w:val="nil"/>
              <w:right w:val="nil"/>
            </w:tcBorders>
            <w:tcMar>
              <w:top w:w="128" w:type="dxa"/>
              <w:left w:w="43" w:type="dxa"/>
              <w:bottom w:w="43" w:type="dxa"/>
              <w:right w:w="43" w:type="dxa"/>
            </w:tcMar>
          </w:tcPr>
          <w:p w14:paraId="4F1FABA7"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0D090402" w14:textId="77777777" w:rsidR="00972395" w:rsidRPr="00E73D4B" w:rsidRDefault="00F120C7" w:rsidP="001C4219">
            <w:pPr>
              <w:jc w:val="right"/>
            </w:pPr>
            <w:r w:rsidRPr="00E73D4B">
              <w:t>690</w:t>
            </w:r>
          </w:p>
        </w:tc>
        <w:tc>
          <w:tcPr>
            <w:tcW w:w="4820" w:type="dxa"/>
            <w:tcBorders>
              <w:top w:val="nil"/>
              <w:left w:val="nil"/>
              <w:bottom w:val="nil"/>
              <w:right w:val="nil"/>
            </w:tcBorders>
            <w:tcMar>
              <w:top w:w="128" w:type="dxa"/>
              <w:left w:w="43" w:type="dxa"/>
              <w:bottom w:w="43" w:type="dxa"/>
              <w:right w:w="43" w:type="dxa"/>
            </w:tcMar>
          </w:tcPr>
          <w:p w14:paraId="2DEB6824" w14:textId="77777777" w:rsidR="00972395" w:rsidRPr="00E73D4B" w:rsidRDefault="00F120C7" w:rsidP="001C4219">
            <w:r w:rsidRPr="00E73D4B">
              <w:t xml:space="preserve">Sterkere begrensninger på reklame for lovlige </w:t>
            </w:r>
            <w:proofErr w:type="spellStart"/>
            <w:r w:rsidRPr="00E73D4B">
              <w:t>spillaktører</w:t>
            </w:r>
            <w:proofErr w:type="spellEnd"/>
          </w:p>
        </w:tc>
        <w:tc>
          <w:tcPr>
            <w:tcW w:w="1588" w:type="dxa"/>
            <w:tcBorders>
              <w:top w:val="nil"/>
              <w:left w:val="nil"/>
              <w:bottom w:val="nil"/>
              <w:right w:val="nil"/>
            </w:tcBorders>
            <w:tcMar>
              <w:top w:w="128" w:type="dxa"/>
              <w:left w:w="43" w:type="dxa"/>
              <w:bottom w:w="43" w:type="dxa"/>
              <w:right w:w="43" w:type="dxa"/>
            </w:tcMar>
          </w:tcPr>
          <w:p w14:paraId="3B06F562" w14:textId="77777777" w:rsidR="00972395" w:rsidRPr="00E73D4B" w:rsidRDefault="00F120C7" w:rsidP="001C4219">
            <w:pPr>
              <w:jc w:val="right"/>
            </w:pPr>
            <w:r w:rsidRPr="00E73D4B">
              <w:t>Ja</w:t>
            </w:r>
          </w:p>
        </w:tc>
      </w:tr>
      <w:tr w:rsidR="00972395" w:rsidRPr="00E73D4B" w14:paraId="0041010E"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526CAFF8"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2EA7A6BE" w14:textId="77777777" w:rsidR="00972395" w:rsidRPr="00E73D4B" w:rsidRDefault="00F120C7" w:rsidP="001C4219">
            <w:pPr>
              <w:jc w:val="right"/>
            </w:pPr>
            <w:r w:rsidRPr="00E73D4B">
              <w:t>695</w:t>
            </w:r>
          </w:p>
        </w:tc>
        <w:tc>
          <w:tcPr>
            <w:tcW w:w="4820" w:type="dxa"/>
            <w:tcBorders>
              <w:top w:val="nil"/>
              <w:left w:val="nil"/>
              <w:bottom w:val="nil"/>
              <w:right w:val="nil"/>
            </w:tcBorders>
            <w:tcMar>
              <w:top w:w="128" w:type="dxa"/>
              <w:left w:w="43" w:type="dxa"/>
              <w:bottom w:w="43" w:type="dxa"/>
              <w:right w:w="43" w:type="dxa"/>
            </w:tcMar>
          </w:tcPr>
          <w:p w14:paraId="70B4A535" w14:textId="77777777" w:rsidR="00972395" w:rsidRPr="00E73D4B" w:rsidRDefault="00F120C7" w:rsidP="001C4219">
            <w:r w:rsidRPr="00E73D4B">
              <w:t xml:space="preserve">Innføring av DNS-blokkering av nettsidene til uregulerte spillselskaper. </w:t>
            </w:r>
          </w:p>
        </w:tc>
        <w:tc>
          <w:tcPr>
            <w:tcW w:w="1588" w:type="dxa"/>
            <w:tcBorders>
              <w:top w:val="nil"/>
              <w:left w:val="nil"/>
              <w:bottom w:val="nil"/>
              <w:right w:val="nil"/>
            </w:tcBorders>
            <w:tcMar>
              <w:top w:w="128" w:type="dxa"/>
              <w:left w:w="43" w:type="dxa"/>
              <w:bottom w:w="43" w:type="dxa"/>
              <w:right w:w="43" w:type="dxa"/>
            </w:tcMar>
          </w:tcPr>
          <w:p w14:paraId="5D32C874" w14:textId="77777777" w:rsidR="00972395" w:rsidRPr="00E73D4B" w:rsidRDefault="00F120C7" w:rsidP="001C4219">
            <w:pPr>
              <w:jc w:val="right"/>
            </w:pPr>
            <w:r w:rsidRPr="00E73D4B">
              <w:t>Nei</w:t>
            </w:r>
          </w:p>
        </w:tc>
      </w:tr>
      <w:tr w:rsidR="00972395" w:rsidRPr="00E73D4B" w14:paraId="60422B15"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58D233AD"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13155988" w14:textId="77777777" w:rsidR="00972395" w:rsidRPr="00E73D4B" w:rsidRDefault="00F120C7" w:rsidP="001C4219">
            <w:pPr>
              <w:jc w:val="right"/>
            </w:pPr>
            <w:r w:rsidRPr="00E73D4B">
              <w:t>729</w:t>
            </w:r>
          </w:p>
        </w:tc>
        <w:tc>
          <w:tcPr>
            <w:tcW w:w="4820" w:type="dxa"/>
            <w:tcBorders>
              <w:top w:val="nil"/>
              <w:left w:val="nil"/>
              <w:bottom w:val="nil"/>
              <w:right w:val="nil"/>
            </w:tcBorders>
            <w:tcMar>
              <w:top w:w="128" w:type="dxa"/>
              <w:left w:w="43" w:type="dxa"/>
              <w:bottom w:w="43" w:type="dxa"/>
              <w:right w:w="43" w:type="dxa"/>
            </w:tcMar>
          </w:tcPr>
          <w:p w14:paraId="35186490" w14:textId="77777777" w:rsidR="00972395" w:rsidRPr="00E73D4B" w:rsidRDefault="00F120C7" w:rsidP="001C4219">
            <w:r w:rsidRPr="00E73D4B">
              <w:t>Utrede tvisteløsningsordning for fastsetting av rimelig vederlag</w:t>
            </w:r>
          </w:p>
        </w:tc>
        <w:tc>
          <w:tcPr>
            <w:tcW w:w="1588" w:type="dxa"/>
            <w:tcBorders>
              <w:top w:val="nil"/>
              <w:left w:val="nil"/>
              <w:bottom w:val="nil"/>
              <w:right w:val="nil"/>
            </w:tcBorders>
            <w:tcMar>
              <w:top w:w="128" w:type="dxa"/>
              <w:left w:w="43" w:type="dxa"/>
              <w:bottom w:w="43" w:type="dxa"/>
              <w:right w:w="43" w:type="dxa"/>
            </w:tcMar>
          </w:tcPr>
          <w:p w14:paraId="03D6BDF6" w14:textId="77777777" w:rsidR="00972395" w:rsidRPr="00E73D4B" w:rsidRDefault="00F120C7" w:rsidP="001C4219">
            <w:pPr>
              <w:jc w:val="right"/>
            </w:pPr>
            <w:r w:rsidRPr="00E73D4B">
              <w:t>Nei</w:t>
            </w:r>
          </w:p>
        </w:tc>
      </w:tr>
      <w:tr w:rsidR="00972395" w:rsidRPr="00E73D4B" w14:paraId="0F44A568"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657B9E9E"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5280F302" w14:textId="77777777" w:rsidR="00972395" w:rsidRPr="00E73D4B" w:rsidRDefault="00F120C7" w:rsidP="001C4219">
            <w:pPr>
              <w:jc w:val="right"/>
            </w:pPr>
            <w:r w:rsidRPr="00E73D4B">
              <w:t>730</w:t>
            </w:r>
          </w:p>
        </w:tc>
        <w:tc>
          <w:tcPr>
            <w:tcW w:w="4820" w:type="dxa"/>
            <w:tcBorders>
              <w:top w:val="nil"/>
              <w:left w:val="nil"/>
              <w:bottom w:val="nil"/>
              <w:right w:val="nil"/>
            </w:tcBorders>
            <w:tcMar>
              <w:top w:w="128" w:type="dxa"/>
              <w:left w:w="43" w:type="dxa"/>
              <w:bottom w:w="43" w:type="dxa"/>
              <w:right w:w="43" w:type="dxa"/>
            </w:tcMar>
          </w:tcPr>
          <w:p w14:paraId="37F764E0" w14:textId="77777777" w:rsidR="00972395" w:rsidRPr="00E73D4B" w:rsidRDefault="00F120C7" w:rsidP="001C4219">
            <w:r w:rsidRPr="00E73D4B">
              <w:t>Vurdere regler om at leverandører av nettjenester må bidra til at rettighetshavere får vederlag</w:t>
            </w:r>
          </w:p>
        </w:tc>
        <w:tc>
          <w:tcPr>
            <w:tcW w:w="1588" w:type="dxa"/>
            <w:tcBorders>
              <w:top w:val="nil"/>
              <w:left w:val="nil"/>
              <w:bottom w:val="nil"/>
              <w:right w:val="nil"/>
            </w:tcBorders>
            <w:tcMar>
              <w:top w:w="128" w:type="dxa"/>
              <w:left w:w="43" w:type="dxa"/>
              <w:bottom w:w="43" w:type="dxa"/>
              <w:right w:w="43" w:type="dxa"/>
            </w:tcMar>
          </w:tcPr>
          <w:p w14:paraId="28E5B45A" w14:textId="77777777" w:rsidR="00972395" w:rsidRPr="00E73D4B" w:rsidRDefault="00F120C7" w:rsidP="001C4219">
            <w:pPr>
              <w:jc w:val="right"/>
            </w:pPr>
            <w:r w:rsidRPr="00E73D4B">
              <w:t>Nei</w:t>
            </w:r>
          </w:p>
        </w:tc>
      </w:tr>
      <w:tr w:rsidR="00972395" w:rsidRPr="00E73D4B" w14:paraId="4A774DF6"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578A4FE9"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70288245" w14:textId="77777777" w:rsidR="00972395" w:rsidRPr="00E73D4B" w:rsidRDefault="00F120C7" w:rsidP="001C4219">
            <w:pPr>
              <w:jc w:val="right"/>
            </w:pPr>
            <w:r w:rsidRPr="00E73D4B">
              <w:t>731</w:t>
            </w:r>
          </w:p>
        </w:tc>
        <w:tc>
          <w:tcPr>
            <w:tcW w:w="4820" w:type="dxa"/>
            <w:tcBorders>
              <w:top w:val="nil"/>
              <w:left w:val="nil"/>
              <w:bottom w:val="nil"/>
              <w:right w:val="nil"/>
            </w:tcBorders>
            <w:tcMar>
              <w:top w:w="128" w:type="dxa"/>
              <w:left w:w="43" w:type="dxa"/>
              <w:bottom w:w="43" w:type="dxa"/>
              <w:right w:w="43" w:type="dxa"/>
            </w:tcMar>
          </w:tcPr>
          <w:p w14:paraId="5D1A8F18" w14:textId="77777777" w:rsidR="00972395" w:rsidRPr="00E73D4B" w:rsidRDefault="00F120C7" w:rsidP="001C4219">
            <w:r w:rsidRPr="00E73D4B">
              <w:t>Utrede om strømming av åndsverk i klasserom skal bli vederlagspliktig</w:t>
            </w:r>
          </w:p>
        </w:tc>
        <w:tc>
          <w:tcPr>
            <w:tcW w:w="1588" w:type="dxa"/>
            <w:tcBorders>
              <w:top w:val="nil"/>
              <w:left w:val="nil"/>
              <w:bottom w:val="nil"/>
              <w:right w:val="nil"/>
            </w:tcBorders>
            <w:tcMar>
              <w:top w:w="128" w:type="dxa"/>
              <w:left w:w="43" w:type="dxa"/>
              <w:bottom w:w="43" w:type="dxa"/>
              <w:right w:w="43" w:type="dxa"/>
            </w:tcMar>
          </w:tcPr>
          <w:p w14:paraId="5EF079A3" w14:textId="77777777" w:rsidR="00972395" w:rsidRPr="00E73D4B" w:rsidRDefault="00F120C7" w:rsidP="001C4219">
            <w:pPr>
              <w:jc w:val="right"/>
            </w:pPr>
            <w:r w:rsidRPr="00E73D4B">
              <w:t>Nei</w:t>
            </w:r>
          </w:p>
        </w:tc>
      </w:tr>
      <w:tr w:rsidR="00972395" w:rsidRPr="00E73D4B" w14:paraId="54D54C9B"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5DF6B7D9"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5CF7E5BC" w14:textId="77777777" w:rsidR="00972395" w:rsidRPr="00E73D4B" w:rsidRDefault="00F120C7" w:rsidP="001C4219">
            <w:pPr>
              <w:jc w:val="right"/>
            </w:pPr>
            <w:r w:rsidRPr="00E73D4B">
              <w:t>894</w:t>
            </w:r>
          </w:p>
        </w:tc>
        <w:tc>
          <w:tcPr>
            <w:tcW w:w="4820" w:type="dxa"/>
            <w:tcBorders>
              <w:top w:val="nil"/>
              <w:left w:val="nil"/>
              <w:bottom w:val="nil"/>
              <w:right w:val="nil"/>
            </w:tcBorders>
            <w:tcMar>
              <w:top w:w="128" w:type="dxa"/>
              <w:left w:w="43" w:type="dxa"/>
              <w:bottom w:w="43" w:type="dxa"/>
              <w:right w:w="43" w:type="dxa"/>
            </w:tcMar>
          </w:tcPr>
          <w:p w14:paraId="2D353856" w14:textId="77777777" w:rsidR="00972395" w:rsidRPr="00E73D4B" w:rsidRDefault="00F120C7" w:rsidP="001C4219">
            <w:r w:rsidRPr="00E73D4B">
              <w:t>Tiltak i melding til Stortinget om sikring av menneskerettighetene for utviklingshemmede</w:t>
            </w:r>
          </w:p>
        </w:tc>
        <w:tc>
          <w:tcPr>
            <w:tcW w:w="1588" w:type="dxa"/>
            <w:tcBorders>
              <w:top w:val="nil"/>
              <w:left w:val="nil"/>
              <w:bottom w:val="nil"/>
              <w:right w:val="nil"/>
            </w:tcBorders>
            <w:tcMar>
              <w:top w:w="128" w:type="dxa"/>
              <w:left w:w="43" w:type="dxa"/>
              <w:bottom w:w="43" w:type="dxa"/>
              <w:right w:w="43" w:type="dxa"/>
            </w:tcMar>
          </w:tcPr>
          <w:p w14:paraId="6DBF0951" w14:textId="77777777" w:rsidR="00972395" w:rsidRPr="00E73D4B" w:rsidRDefault="00F120C7" w:rsidP="001C4219">
            <w:pPr>
              <w:jc w:val="right"/>
            </w:pPr>
            <w:r w:rsidRPr="00E73D4B">
              <w:t xml:space="preserve">Nei </w:t>
            </w:r>
          </w:p>
        </w:tc>
      </w:tr>
      <w:tr w:rsidR="00972395" w:rsidRPr="00E73D4B" w14:paraId="5F6D266A"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15E8AA9B"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19E5BD0D" w14:textId="77777777" w:rsidR="00972395" w:rsidRPr="00E73D4B" w:rsidRDefault="00F120C7" w:rsidP="001C4219">
            <w:pPr>
              <w:jc w:val="right"/>
            </w:pPr>
            <w:r w:rsidRPr="00E73D4B">
              <w:t>895</w:t>
            </w:r>
          </w:p>
        </w:tc>
        <w:tc>
          <w:tcPr>
            <w:tcW w:w="4820" w:type="dxa"/>
            <w:tcBorders>
              <w:top w:val="nil"/>
              <w:left w:val="nil"/>
              <w:bottom w:val="nil"/>
              <w:right w:val="nil"/>
            </w:tcBorders>
            <w:tcMar>
              <w:top w:w="128" w:type="dxa"/>
              <w:left w:w="43" w:type="dxa"/>
              <w:bottom w:w="43" w:type="dxa"/>
              <w:right w:w="43" w:type="dxa"/>
            </w:tcMar>
          </w:tcPr>
          <w:p w14:paraId="1D924CCE" w14:textId="77777777" w:rsidR="00972395" w:rsidRPr="00E73D4B" w:rsidRDefault="00F120C7" w:rsidP="001C4219">
            <w:r w:rsidRPr="00E73D4B">
              <w:t>Melding til Stortinget om sikring av menneskerettighetene for utviklingshemmede</w:t>
            </w:r>
          </w:p>
        </w:tc>
        <w:tc>
          <w:tcPr>
            <w:tcW w:w="1588" w:type="dxa"/>
            <w:tcBorders>
              <w:top w:val="nil"/>
              <w:left w:val="nil"/>
              <w:bottom w:val="nil"/>
              <w:right w:val="nil"/>
            </w:tcBorders>
            <w:tcMar>
              <w:top w:w="128" w:type="dxa"/>
              <w:left w:w="43" w:type="dxa"/>
              <w:bottom w:w="43" w:type="dxa"/>
              <w:right w:w="43" w:type="dxa"/>
            </w:tcMar>
          </w:tcPr>
          <w:p w14:paraId="10992D57" w14:textId="77777777" w:rsidR="00972395" w:rsidRPr="00E73D4B" w:rsidRDefault="00F120C7" w:rsidP="001C4219">
            <w:pPr>
              <w:jc w:val="right"/>
            </w:pPr>
            <w:r w:rsidRPr="00E73D4B">
              <w:t xml:space="preserve">Nei </w:t>
            </w:r>
          </w:p>
        </w:tc>
      </w:tr>
      <w:tr w:rsidR="00972395" w:rsidRPr="00E73D4B" w14:paraId="3E323617"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7967991B"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16699088" w14:textId="77777777" w:rsidR="00972395" w:rsidRPr="00E73D4B" w:rsidRDefault="00F120C7" w:rsidP="001C4219">
            <w:pPr>
              <w:jc w:val="right"/>
            </w:pPr>
            <w:r w:rsidRPr="00E73D4B">
              <w:t>896</w:t>
            </w:r>
          </w:p>
        </w:tc>
        <w:tc>
          <w:tcPr>
            <w:tcW w:w="4820" w:type="dxa"/>
            <w:tcBorders>
              <w:top w:val="nil"/>
              <w:left w:val="nil"/>
              <w:bottom w:val="nil"/>
              <w:right w:val="nil"/>
            </w:tcBorders>
            <w:tcMar>
              <w:top w:w="128" w:type="dxa"/>
              <w:left w:w="43" w:type="dxa"/>
              <w:bottom w:w="43" w:type="dxa"/>
              <w:right w:w="43" w:type="dxa"/>
            </w:tcMar>
          </w:tcPr>
          <w:p w14:paraId="6ADA5E49" w14:textId="77777777" w:rsidR="00972395" w:rsidRPr="00E73D4B" w:rsidRDefault="00F120C7" w:rsidP="001C4219">
            <w:r w:rsidRPr="00E73D4B">
              <w:t>Melding til Stortinget om sikring av menneskerettighetene for utviklingshemmede – rett til arbeid</w:t>
            </w:r>
          </w:p>
        </w:tc>
        <w:tc>
          <w:tcPr>
            <w:tcW w:w="1588" w:type="dxa"/>
            <w:tcBorders>
              <w:top w:val="nil"/>
              <w:left w:val="nil"/>
              <w:bottom w:val="nil"/>
              <w:right w:val="nil"/>
            </w:tcBorders>
            <w:tcMar>
              <w:top w:w="128" w:type="dxa"/>
              <w:left w:w="43" w:type="dxa"/>
              <w:bottom w:w="43" w:type="dxa"/>
              <w:right w:w="43" w:type="dxa"/>
            </w:tcMar>
          </w:tcPr>
          <w:p w14:paraId="56600F27" w14:textId="77777777" w:rsidR="00972395" w:rsidRPr="00E73D4B" w:rsidRDefault="00F120C7" w:rsidP="001C4219">
            <w:pPr>
              <w:jc w:val="right"/>
            </w:pPr>
            <w:r w:rsidRPr="00E73D4B">
              <w:t xml:space="preserve">Nei </w:t>
            </w:r>
          </w:p>
        </w:tc>
      </w:tr>
      <w:tr w:rsidR="00972395" w:rsidRPr="00E73D4B" w14:paraId="69654686"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2751F1EA"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0DBA6485" w14:textId="77777777" w:rsidR="00972395" w:rsidRPr="00E73D4B" w:rsidRDefault="00F120C7" w:rsidP="001C4219">
            <w:pPr>
              <w:jc w:val="right"/>
            </w:pPr>
            <w:r w:rsidRPr="00E73D4B">
              <w:t>897</w:t>
            </w:r>
          </w:p>
        </w:tc>
        <w:tc>
          <w:tcPr>
            <w:tcW w:w="4820" w:type="dxa"/>
            <w:tcBorders>
              <w:top w:val="nil"/>
              <w:left w:val="nil"/>
              <w:bottom w:val="nil"/>
              <w:right w:val="nil"/>
            </w:tcBorders>
            <w:tcMar>
              <w:top w:w="128" w:type="dxa"/>
              <w:left w:w="43" w:type="dxa"/>
              <w:bottom w:w="43" w:type="dxa"/>
              <w:right w:w="43" w:type="dxa"/>
            </w:tcMar>
          </w:tcPr>
          <w:p w14:paraId="42AEF2DF" w14:textId="77777777" w:rsidR="00972395" w:rsidRPr="00E73D4B" w:rsidRDefault="00F120C7" w:rsidP="001C4219">
            <w:r w:rsidRPr="00E73D4B">
              <w:t>Melding til Stortinget om sikring av menneskerettighetene for utviklingshemmede – rett til helsetjenester</w:t>
            </w:r>
          </w:p>
        </w:tc>
        <w:tc>
          <w:tcPr>
            <w:tcW w:w="1588" w:type="dxa"/>
            <w:tcBorders>
              <w:top w:val="nil"/>
              <w:left w:val="nil"/>
              <w:bottom w:val="nil"/>
              <w:right w:val="nil"/>
            </w:tcBorders>
            <w:tcMar>
              <w:top w:w="128" w:type="dxa"/>
              <w:left w:w="43" w:type="dxa"/>
              <w:bottom w:w="43" w:type="dxa"/>
              <w:right w:w="43" w:type="dxa"/>
            </w:tcMar>
          </w:tcPr>
          <w:p w14:paraId="4CA82376" w14:textId="77777777" w:rsidR="00972395" w:rsidRPr="00E73D4B" w:rsidRDefault="00F120C7" w:rsidP="001C4219">
            <w:pPr>
              <w:jc w:val="right"/>
            </w:pPr>
            <w:r w:rsidRPr="00E73D4B">
              <w:t xml:space="preserve">Nei </w:t>
            </w:r>
          </w:p>
        </w:tc>
      </w:tr>
      <w:tr w:rsidR="00972395" w:rsidRPr="00E73D4B" w14:paraId="4940A40F"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6D4F68A8"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1A6ED70A" w14:textId="77777777" w:rsidR="00972395" w:rsidRPr="00E73D4B" w:rsidRDefault="00F120C7" w:rsidP="001C4219">
            <w:pPr>
              <w:jc w:val="right"/>
            </w:pPr>
            <w:r w:rsidRPr="00E73D4B">
              <w:t>900</w:t>
            </w:r>
          </w:p>
        </w:tc>
        <w:tc>
          <w:tcPr>
            <w:tcW w:w="4820" w:type="dxa"/>
            <w:tcBorders>
              <w:top w:val="nil"/>
              <w:left w:val="nil"/>
              <w:bottom w:val="nil"/>
              <w:right w:val="nil"/>
            </w:tcBorders>
            <w:tcMar>
              <w:top w:w="128" w:type="dxa"/>
              <w:left w:w="43" w:type="dxa"/>
              <w:bottom w:w="43" w:type="dxa"/>
              <w:right w:w="43" w:type="dxa"/>
            </w:tcMar>
          </w:tcPr>
          <w:p w14:paraId="293C6497" w14:textId="77777777" w:rsidR="00972395" w:rsidRPr="00E73D4B" w:rsidRDefault="00F120C7" w:rsidP="001C4219">
            <w:r w:rsidRPr="00E73D4B">
              <w:t>Melding til Stortinget om sikring av menneskerettighetene for utviklingshemmede – universell utforming skolebygg</w:t>
            </w:r>
          </w:p>
        </w:tc>
        <w:tc>
          <w:tcPr>
            <w:tcW w:w="1588" w:type="dxa"/>
            <w:tcBorders>
              <w:top w:val="nil"/>
              <w:left w:val="nil"/>
              <w:bottom w:val="nil"/>
              <w:right w:val="nil"/>
            </w:tcBorders>
            <w:tcMar>
              <w:top w:w="128" w:type="dxa"/>
              <w:left w:w="43" w:type="dxa"/>
              <w:bottom w:w="43" w:type="dxa"/>
              <w:right w:w="43" w:type="dxa"/>
            </w:tcMar>
          </w:tcPr>
          <w:p w14:paraId="0CEBB30D" w14:textId="77777777" w:rsidR="00972395" w:rsidRPr="00E73D4B" w:rsidRDefault="00F120C7" w:rsidP="001C4219">
            <w:pPr>
              <w:jc w:val="right"/>
            </w:pPr>
            <w:r w:rsidRPr="00E73D4B">
              <w:t xml:space="preserve">Nei </w:t>
            </w:r>
          </w:p>
        </w:tc>
      </w:tr>
      <w:tr w:rsidR="00972395" w:rsidRPr="00E73D4B" w14:paraId="585BDEA2"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4FE29EFA"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43F9BA42" w14:textId="77777777" w:rsidR="00972395" w:rsidRPr="00E73D4B" w:rsidRDefault="00F120C7" w:rsidP="001C4219">
            <w:pPr>
              <w:jc w:val="right"/>
            </w:pPr>
            <w:r w:rsidRPr="00E73D4B">
              <w:t>901</w:t>
            </w:r>
          </w:p>
        </w:tc>
        <w:tc>
          <w:tcPr>
            <w:tcW w:w="4820" w:type="dxa"/>
            <w:tcBorders>
              <w:top w:val="nil"/>
              <w:left w:val="nil"/>
              <w:bottom w:val="nil"/>
              <w:right w:val="nil"/>
            </w:tcBorders>
            <w:tcMar>
              <w:top w:w="128" w:type="dxa"/>
              <w:left w:w="43" w:type="dxa"/>
              <w:bottom w:w="43" w:type="dxa"/>
              <w:right w:w="43" w:type="dxa"/>
            </w:tcMar>
          </w:tcPr>
          <w:p w14:paraId="5E6B3CDB" w14:textId="77777777" w:rsidR="00972395" w:rsidRPr="00E73D4B" w:rsidRDefault="00F120C7" w:rsidP="001C4219">
            <w:r w:rsidRPr="00E73D4B">
              <w:t>Melding til Stortinget om sikring av menneskerettighetene for utviklingshemmede – kjøpe og eie bolig</w:t>
            </w:r>
          </w:p>
        </w:tc>
        <w:tc>
          <w:tcPr>
            <w:tcW w:w="1588" w:type="dxa"/>
            <w:tcBorders>
              <w:top w:val="nil"/>
              <w:left w:val="nil"/>
              <w:bottom w:val="nil"/>
              <w:right w:val="nil"/>
            </w:tcBorders>
            <w:tcMar>
              <w:top w:w="128" w:type="dxa"/>
              <w:left w:w="43" w:type="dxa"/>
              <w:bottom w:w="43" w:type="dxa"/>
              <w:right w:w="43" w:type="dxa"/>
            </w:tcMar>
          </w:tcPr>
          <w:p w14:paraId="530A9751" w14:textId="77777777" w:rsidR="00972395" w:rsidRPr="00E73D4B" w:rsidRDefault="00F120C7" w:rsidP="001C4219">
            <w:pPr>
              <w:jc w:val="right"/>
            </w:pPr>
            <w:r w:rsidRPr="00E73D4B">
              <w:t>Nei</w:t>
            </w:r>
          </w:p>
        </w:tc>
      </w:tr>
      <w:tr w:rsidR="00972395" w:rsidRPr="00E73D4B" w14:paraId="69615301"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5778CF62"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50B8B6F8" w14:textId="77777777" w:rsidR="00972395" w:rsidRPr="00E73D4B" w:rsidRDefault="00F120C7" w:rsidP="001C4219">
            <w:pPr>
              <w:jc w:val="right"/>
            </w:pPr>
            <w:r w:rsidRPr="00E73D4B">
              <w:t>902</w:t>
            </w:r>
          </w:p>
        </w:tc>
        <w:tc>
          <w:tcPr>
            <w:tcW w:w="4820" w:type="dxa"/>
            <w:tcBorders>
              <w:top w:val="nil"/>
              <w:left w:val="nil"/>
              <w:bottom w:val="nil"/>
              <w:right w:val="nil"/>
            </w:tcBorders>
            <w:tcMar>
              <w:top w:w="128" w:type="dxa"/>
              <w:left w:w="43" w:type="dxa"/>
              <w:bottom w:w="43" w:type="dxa"/>
              <w:right w:w="43" w:type="dxa"/>
            </w:tcMar>
          </w:tcPr>
          <w:p w14:paraId="5950362A" w14:textId="77777777" w:rsidR="00972395" w:rsidRPr="00E73D4B" w:rsidRDefault="00F120C7" w:rsidP="001C4219">
            <w:r w:rsidRPr="00E73D4B">
              <w:t xml:space="preserve">Melding til Stortinget om sikring av menneskerettighetene for utviklingshemmede – likeverdige tjenester </w:t>
            </w:r>
          </w:p>
        </w:tc>
        <w:tc>
          <w:tcPr>
            <w:tcW w:w="1588" w:type="dxa"/>
            <w:tcBorders>
              <w:top w:val="nil"/>
              <w:left w:val="nil"/>
              <w:bottom w:val="nil"/>
              <w:right w:val="nil"/>
            </w:tcBorders>
            <w:tcMar>
              <w:top w:w="128" w:type="dxa"/>
              <w:left w:w="43" w:type="dxa"/>
              <w:bottom w:w="43" w:type="dxa"/>
              <w:right w:w="43" w:type="dxa"/>
            </w:tcMar>
          </w:tcPr>
          <w:p w14:paraId="753ABC93" w14:textId="77777777" w:rsidR="00972395" w:rsidRPr="00E73D4B" w:rsidRDefault="00F120C7" w:rsidP="001C4219">
            <w:pPr>
              <w:jc w:val="right"/>
            </w:pPr>
            <w:r w:rsidRPr="00E73D4B">
              <w:t>Nei</w:t>
            </w:r>
          </w:p>
        </w:tc>
      </w:tr>
      <w:tr w:rsidR="00972395" w:rsidRPr="00E73D4B" w14:paraId="57A4EF9E"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55BA3417"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636D3151" w14:textId="77777777" w:rsidR="00972395" w:rsidRPr="00E73D4B" w:rsidRDefault="00F120C7" w:rsidP="001C4219">
            <w:pPr>
              <w:jc w:val="right"/>
            </w:pPr>
            <w:r w:rsidRPr="00E73D4B">
              <w:t>903</w:t>
            </w:r>
          </w:p>
        </w:tc>
        <w:tc>
          <w:tcPr>
            <w:tcW w:w="4820" w:type="dxa"/>
            <w:tcBorders>
              <w:top w:val="nil"/>
              <w:left w:val="nil"/>
              <w:bottom w:val="nil"/>
              <w:right w:val="nil"/>
            </w:tcBorders>
            <w:tcMar>
              <w:top w:w="128" w:type="dxa"/>
              <w:left w:w="43" w:type="dxa"/>
              <w:bottom w:w="43" w:type="dxa"/>
              <w:right w:w="43" w:type="dxa"/>
            </w:tcMar>
          </w:tcPr>
          <w:p w14:paraId="6F09DDE5" w14:textId="77777777" w:rsidR="00972395" w:rsidRPr="00E73D4B" w:rsidRDefault="00F120C7" w:rsidP="001C4219">
            <w:r w:rsidRPr="00E73D4B">
              <w:t>Melding til Stortinget om sikring av menneskerettighetene for utviklingshemmede – koordinering av tjenester</w:t>
            </w:r>
          </w:p>
        </w:tc>
        <w:tc>
          <w:tcPr>
            <w:tcW w:w="1588" w:type="dxa"/>
            <w:tcBorders>
              <w:top w:val="nil"/>
              <w:left w:val="nil"/>
              <w:bottom w:val="nil"/>
              <w:right w:val="nil"/>
            </w:tcBorders>
            <w:tcMar>
              <w:top w:w="128" w:type="dxa"/>
              <w:left w:w="43" w:type="dxa"/>
              <w:bottom w:w="43" w:type="dxa"/>
              <w:right w:w="43" w:type="dxa"/>
            </w:tcMar>
          </w:tcPr>
          <w:p w14:paraId="6892827D" w14:textId="77777777" w:rsidR="00972395" w:rsidRPr="00E73D4B" w:rsidRDefault="00F120C7" w:rsidP="001C4219">
            <w:pPr>
              <w:jc w:val="right"/>
            </w:pPr>
            <w:r w:rsidRPr="00E73D4B">
              <w:t>Nei</w:t>
            </w:r>
          </w:p>
        </w:tc>
      </w:tr>
      <w:tr w:rsidR="00972395" w:rsidRPr="00E73D4B" w14:paraId="417A24BA" w14:textId="77777777" w:rsidTr="007116DC">
        <w:trPr>
          <w:trHeight w:val="880"/>
        </w:trPr>
        <w:tc>
          <w:tcPr>
            <w:tcW w:w="1560" w:type="dxa"/>
            <w:tcBorders>
              <w:top w:val="nil"/>
              <w:left w:val="nil"/>
              <w:bottom w:val="nil"/>
              <w:right w:val="nil"/>
            </w:tcBorders>
            <w:tcMar>
              <w:top w:w="128" w:type="dxa"/>
              <w:left w:w="43" w:type="dxa"/>
              <w:bottom w:w="43" w:type="dxa"/>
              <w:right w:w="43" w:type="dxa"/>
            </w:tcMar>
          </w:tcPr>
          <w:p w14:paraId="6D89640D"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4AD036E4" w14:textId="77777777" w:rsidR="00972395" w:rsidRPr="00E73D4B" w:rsidRDefault="00F120C7" w:rsidP="001C4219">
            <w:pPr>
              <w:jc w:val="right"/>
            </w:pPr>
            <w:r w:rsidRPr="00E73D4B">
              <w:t>904</w:t>
            </w:r>
          </w:p>
        </w:tc>
        <w:tc>
          <w:tcPr>
            <w:tcW w:w="4820" w:type="dxa"/>
            <w:tcBorders>
              <w:top w:val="nil"/>
              <w:left w:val="nil"/>
              <w:bottom w:val="nil"/>
              <w:right w:val="nil"/>
            </w:tcBorders>
            <w:tcMar>
              <w:top w:w="128" w:type="dxa"/>
              <w:left w:w="43" w:type="dxa"/>
              <w:bottom w:w="43" w:type="dxa"/>
              <w:right w:w="43" w:type="dxa"/>
            </w:tcMar>
          </w:tcPr>
          <w:p w14:paraId="30D69F85" w14:textId="77777777" w:rsidR="00972395" w:rsidRPr="00E73D4B" w:rsidRDefault="00F120C7" w:rsidP="001C4219">
            <w:r w:rsidRPr="00E73D4B">
              <w:t>Melding til Stortinget om sikring av menneskerettighetene for utviklingshemmede – FN-konvensjonen om rettighetene til mennesker med nedsatt funksjonsevne</w:t>
            </w:r>
          </w:p>
        </w:tc>
        <w:tc>
          <w:tcPr>
            <w:tcW w:w="1588" w:type="dxa"/>
            <w:tcBorders>
              <w:top w:val="nil"/>
              <w:left w:val="nil"/>
              <w:bottom w:val="nil"/>
              <w:right w:val="nil"/>
            </w:tcBorders>
            <w:tcMar>
              <w:top w:w="128" w:type="dxa"/>
              <w:left w:w="43" w:type="dxa"/>
              <w:bottom w:w="43" w:type="dxa"/>
              <w:right w:w="43" w:type="dxa"/>
            </w:tcMar>
          </w:tcPr>
          <w:p w14:paraId="34B2913A" w14:textId="77777777" w:rsidR="00972395" w:rsidRPr="00E73D4B" w:rsidRDefault="00F120C7" w:rsidP="001C4219">
            <w:pPr>
              <w:jc w:val="right"/>
            </w:pPr>
            <w:r w:rsidRPr="00E73D4B">
              <w:t xml:space="preserve">Nei </w:t>
            </w:r>
          </w:p>
        </w:tc>
      </w:tr>
      <w:tr w:rsidR="00972395" w:rsidRPr="00E73D4B" w14:paraId="7FABEBA9"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05DFD86D"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777E93CD" w14:textId="77777777" w:rsidR="00972395" w:rsidRPr="00E73D4B" w:rsidRDefault="00F120C7" w:rsidP="001C4219">
            <w:pPr>
              <w:jc w:val="right"/>
            </w:pPr>
            <w:r w:rsidRPr="00E73D4B">
              <w:t>905</w:t>
            </w:r>
          </w:p>
        </w:tc>
        <w:tc>
          <w:tcPr>
            <w:tcW w:w="4820" w:type="dxa"/>
            <w:tcBorders>
              <w:top w:val="nil"/>
              <w:left w:val="nil"/>
              <w:bottom w:val="nil"/>
              <w:right w:val="nil"/>
            </w:tcBorders>
            <w:tcMar>
              <w:top w:w="128" w:type="dxa"/>
              <w:left w:w="43" w:type="dxa"/>
              <w:bottom w:w="43" w:type="dxa"/>
              <w:right w:w="43" w:type="dxa"/>
            </w:tcMar>
          </w:tcPr>
          <w:p w14:paraId="4DF9273E" w14:textId="77777777" w:rsidR="00972395" w:rsidRPr="00E73D4B" w:rsidRDefault="00F120C7" w:rsidP="001C4219">
            <w:r w:rsidRPr="00E73D4B">
              <w:t>Melding til Stortinget om sikring av menneskerettighetene for utviklingshemmede – fritidsaktiviteter og livssyn</w:t>
            </w:r>
          </w:p>
        </w:tc>
        <w:tc>
          <w:tcPr>
            <w:tcW w:w="1588" w:type="dxa"/>
            <w:tcBorders>
              <w:top w:val="nil"/>
              <w:left w:val="nil"/>
              <w:bottom w:val="nil"/>
              <w:right w:val="nil"/>
            </w:tcBorders>
            <w:tcMar>
              <w:top w:w="128" w:type="dxa"/>
              <w:left w:w="43" w:type="dxa"/>
              <w:bottom w:w="43" w:type="dxa"/>
              <w:right w:w="43" w:type="dxa"/>
            </w:tcMar>
          </w:tcPr>
          <w:p w14:paraId="6A635475" w14:textId="77777777" w:rsidR="00972395" w:rsidRPr="00E73D4B" w:rsidRDefault="00F120C7" w:rsidP="001C4219">
            <w:pPr>
              <w:jc w:val="right"/>
            </w:pPr>
            <w:r w:rsidRPr="00E73D4B">
              <w:t>Nei</w:t>
            </w:r>
          </w:p>
        </w:tc>
      </w:tr>
      <w:tr w:rsidR="00972395" w:rsidRPr="00E73D4B" w14:paraId="4DDAEF2E" w14:textId="77777777" w:rsidTr="007116DC">
        <w:trPr>
          <w:trHeight w:val="640"/>
        </w:trPr>
        <w:tc>
          <w:tcPr>
            <w:tcW w:w="1560" w:type="dxa"/>
            <w:tcBorders>
              <w:top w:val="nil"/>
              <w:left w:val="nil"/>
              <w:bottom w:val="nil"/>
              <w:right w:val="nil"/>
            </w:tcBorders>
            <w:tcMar>
              <w:top w:w="128" w:type="dxa"/>
              <w:left w:w="43" w:type="dxa"/>
              <w:bottom w:w="43" w:type="dxa"/>
              <w:right w:w="43" w:type="dxa"/>
            </w:tcMar>
          </w:tcPr>
          <w:p w14:paraId="017CA676" w14:textId="77777777" w:rsidR="00972395" w:rsidRPr="00E73D4B" w:rsidRDefault="00F120C7" w:rsidP="001C4219">
            <w:r w:rsidRPr="00E73D4B">
              <w:t>2017–2018</w:t>
            </w:r>
          </w:p>
        </w:tc>
        <w:tc>
          <w:tcPr>
            <w:tcW w:w="1232" w:type="dxa"/>
            <w:tcBorders>
              <w:top w:val="nil"/>
              <w:left w:val="nil"/>
              <w:bottom w:val="nil"/>
              <w:right w:val="nil"/>
            </w:tcBorders>
            <w:tcMar>
              <w:top w:w="128" w:type="dxa"/>
              <w:left w:w="43" w:type="dxa"/>
              <w:bottom w:w="43" w:type="dxa"/>
              <w:right w:w="43" w:type="dxa"/>
            </w:tcMar>
          </w:tcPr>
          <w:p w14:paraId="260ABE48" w14:textId="77777777" w:rsidR="00972395" w:rsidRPr="00E73D4B" w:rsidRDefault="00F120C7" w:rsidP="001C4219">
            <w:pPr>
              <w:jc w:val="right"/>
            </w:pPr>
            <w:r w:rsidRPr="00E73D4B">
              <w:t>906</w:t>
            </w:r>
          </w:p>
        </w:tc>
        <w:tc>
          <w:tcPr>
            <w:tcW w:w="4820" w:type="dxa"/>
            <w:tcBorders>
              <w:top w:val="nil"/>
              <w:left w:val="nil"/>
              <w:bottom w:val="nil"/>
              <w:right w:val="nil"/>
            </w:tcBorders>
            <w:tcMar>
              <w:top w:w="128" w:type="dxa"/>
              <w:left w:w="43" w:type="dxa"/>
              <w:bottom w:w="43" w:type="dxa"/>
              <w:right w:w="43" w:type="dxa"/>
            </w:tcMar>
          </w:tcPr>
          <w:p w14:paraId="05329997" w14:textId="77777777" w:rsidR="00972395" w:rsidRPr="00E73D4B" w:rsidRDefault="00F120C7" w:rsidP="001C4219">
            <w:r w:rsidRPr="00E73D4B">
              <w:t>Melding til Stortinget om sikring av menneskerettighetene for utviklingshemmede – skolefritidsordning</w:t>
            </w:r>
          </w:p>
        </w:tc>
        <w:tc>
          <w:tcPr>
            <w:tcW w:w="1588" w:type="dxa"/>
            <w:tcBorders>
              <w:top w:val="nil"/>
              <w:left w:val="nil"/>
              <w:bottom w:val="nil"/>
              <w:right w:val="nil"/>
            </w:tcBorders>
            <w:tcMar>
              <w:top w:w="128" w:type="dxa"/>
              <w:left w:w="43" w:type="dxa"/>
              <w:bottom w:w="43" w:type="dxa"/>
              <w:right w:w="43" w:type="dxa"/>
            </w:tcMar>
          </w:tcPr>
          <w:p w14:paraId="013AF523" w14:textId="77777777" w:rsidR="00972395" w:rsidRPr="00E73D4B" w:rsidRDefault="00F120C7" w:rsidP="001C4219">
            <w:pPr>
              <w:jc w:val="right"/>
            </w:pPr>
            <w:r w:rsidRPr="00E73D4B">
              <w:t>Nei</w:t>
            </w:r>
          </w:p>
        </w:tc>
      </w:tr>
      <w:tr w:rsidR="00972395" w:rsidRPr="00E73D4B" w14:paraId="10D83100" w14:textId="77777777" w:rsidTr="007116DC">
        <w:trPr>
          <w:trHeight w:val="380"/>
        </w:trPr>
        <w:tc>
          <w:tcPr>
            <w:tcW w:w="1560" w:type="dxa"/>
            <w:tcBorders>
              <w:top w:val="nil"/>
              <w:left w:val="nil"/>
              <w:right w:val="nil"/>
            </w:tcBorders>
            <w:tcMar>
              <w:top w:w="128" w:type="dxa"/>
              <w:left w:w="43" w:type="dxa"/>
              <w:bottom w:w="43" w:type="dxa"/>
              <w:right w:w="43" w:type="dxa"/>
            </w:tcMar>
          </w:tcPr>
          <w:p w14:paraId="6316A764" w14:textId="77777777" w:rsidR="00972395" w:rsidRPr="00E73D4B" w:rsidRDefault="00F120C7" w:rsidP="001C4219">
            <w:r w:rsidRPr="00E73D4B">
              <w:t>2016–2017</w:t>
            </w:r>
          </w:p>
        </w:tc>
        <w:tc>
          <w:tcPr>
            <w:tcW w:w="1232" w:type="dxa"/>
            <w:tcBorders>
              <w:top w:val="nil"/>
              <w:left w:val="nil"/>
              <w:right w:val="nil"/>
            </w:tcBorders>
            <w:tcMar>
              <w:top w:w="128" w:type="dxa"/>
              <w:left w:w="43" w:type="dxa"/>
              <w:bottom w:w="43" w:type="dxa"/>
              <w:right w:w="43" w:type="dxa"/>
            </w:tcMar>
          </w:tcPr>
          <w:p w14:paraId="772095B2" w14:textId="77777777" w:rsidR="00972395" w:rsidRPr="00E73D4B" w:rsidRDefault="00F120C7" w:rsidP="001C4219">
            <w:pPr>
              <w:jc w:val="right"/>
            </w:pPr>
            <w:r w:rsidRPr="00E73D4B">
              <w:t>638</w:t>
            </w:r>
          </w:p>
        </w:tc>
        <w:tc>
          <w:tcPr>
            <w:tcW w:w="4820" w:type="dxa"/>
            <w:tcBorders>
              <w:top w:val="nil"/>
              <w:left w:val="nil"/>
              <w:right w:val="nil"/>
            </w:tcBorders>
            <w:tcMar>
              <w:top w:w="128" w:type="dxa"/>
              <w:left w:w="43" w:type="dxa"/>
              <w:bottom w:w="43" w:type="dxa"/>
              <w:right w:w="43" w:type="dxa"/>
            </w:tcMar>
          </w:tcPr>
          <w:p w14:paraId="381BBCDC" w14:textId="77777777" w:rsidR="00972395" w:rsidRPr="00E73D4B" w:rsidRDefault="00F120C7" w:rsidP="001C4219">
            <w:proofErr w:type="spellStart"/>
            <w:r w:rsidRPr="00E73D4B">
              <w:t>Hovedbingospill</w:t>
            </w:r>
            <w:proofErr w:type="spellEnd"/>
            <w:r w:rsidRPr="00E73D4B">
              <w:t xml:space="preserve"> via internett </w:t>
            </w:r>
          </w:p>
        </w:tc>
        <w:tc>
          <w:tcPr>
            <w:tcW w:w="1588" w:type="dxa"/>
            <w:tcBorders>
              <w:top w:val="nil"/>
              <w:left w:val="nil"/>
              <w:right w:val="nil"/>
            </w:tcBorders>
            <w:tcMar>
              <w:top w:w="128" w:type="dxa"/>
              <w:left w:w="43" w:type="dxa"/>
              <w:bottom w:w="43" w:type="dxa"/>
              <w:right w:w="43" w:type="dxa"/>
            </w:tcMar>
          </w:tcPr>
          <w:p w14:paraId="1B290CAE" w14:textId="77777777" w:rsidR="00972395" w:rsidRPr="00E73D4B" w:rsidRDefault="00F120C7" w:rsidP="001C4219">
            <w:pPr>
              <w:jc w:val="right"/>
            </w:pPr>
            <w:r w:rsidRPr="00E73D4B">
              <w:t>Ja</w:t>
            </w:r>
          </w:p>
        </w:tc>
      </w:tr>
      <w:tr w:rsidR="00972395" w:rsidRPr="00E73D4B" w14:paraId="76D93D12" w14:textId="77777777" w:rsidTr="007116DC">
        <w:trPr>
          <w:trHeight w:val="380"/>
        </w:trPr>
        <w:tc>
          <w:tcPr>
            <w:tcW w:w="1560" w:type="dxa"/>
            <w:tcBorders>
              <w:top w:val="nil"/>
              <w:left w:val="nil"/>
              <w:bottom w:val="single" w:sz="4" w:space="0" w:color="000000"/>
              <w:right w:val="nil"/>
            </w:tcBorders>
            <w:shd w:val="clear" w:color="auto" w:fill="auto"/>
            <w:tcMar>
              <w:top w:w="128" w:type="dxa"/>
              <w:left w:w="43" w:type="dxa"/>
              <w:bottom w:w="43" w:type="dxa"/>
              <w:right w:w="43" w:type="dxa"/>
            </w:tcMar>
          </w:tcPr>
          <w:p w14:paraId="50DC92E8" w14:textId="77777777" w:rsidR="00972395" w:rsidRPr="00E73D4B" w:rsidRDefault="00F120C7" w:rsidP="001C4219">
            <w:r w:rsidRPr="00E73D4B">
              <w:t>2014–2015</w:t>
            </w:r>
          </w:p>
        </w:tc>
        <w:tc>
          <w:tcPr>
            <w:tcW w:w="1232" w:type="dxa"/>
            <w:tcBorders>
              <w:top w:val="nil"/>
              <w:left w:val="nil"/>
              <w:bottom w:val="single" w:sz="4" w:space="0" w:color="000000"/>
              <w:right w:val="nil"/>
            </w:tcBorders>
            <w:shd w:val="clear" w:color="auto" w:fill="auto"/>
            <w:tcMar>
              <w:top w:w="128" w:type="dxa"/>
              <w:left w:w="43" w:type="dxa"/>
              <w:bottom w:w="43" w:type="dxa"/>
              <w:right w:w="43" w:type="dxa"/>
            </w:tcMar>
          </w:tcPr>
          <w:p w14:paraId="38FCBA2E" w14:textId="77777777" w:rsidR="00972395" w:rsidRPr="00E73D4B" w:rsidRDefault="00F120C7" w:rsidP="001C4219">
            <w:pPr>
              <w:jc w:val="right"/>
            </w:pPr>
            <w:r w:rsidRPr="00E73D4B">
              <w:t>60</w:t>
            </w:r>
          </w:p>
        </w:tc>
        <w:tc>
          <w:tcPr>
            <w:tcW w:w="4820" w:type="dxa"/>
            <w:tcBorders>
              <w:top w:val="nil"/>
              <w:left w:val="nil"/>
              <w:bottom w:val="single" w:sz="4" w:space="0" w:color="000000"/>
              <w:right w:val="nil"/>
            </w:tcBorders>
            <w:shd w:val="clear" w:color="auto" w:fill="auto"/>
            <w:tcMar>
              <w:top w:w="128" w:type="dxa"/>
              <w:left w:w="43" w:type="dxa"/>
              <w:bottom w:w="43" w:type="dxa"/>
              <w:right w:w="43" w:type="dxa"/>
            </w:tcMar>
          </w:tcPr>
          <w:p w14:paraId="527F3FC4" w14:textId="77777777" w:rsidR="00972395" w:rsidRPr="00E73D4B" w:rsidRDefault="00F120C7" w:rsidP="001C4219">
            <w:r w:rsidRPr="00E73D4B">
              <w:t>Nasjonalgalleriet</w:t>
            </w:r>
          </w:p>
        </w:tc>
        <w:tc>
          <w:tcPr>
            <w:tcW w:w="1588" w:type="dxa"/>
            <w:tcBorders>
              <w:top w:val="nil"/>
              <w:left w:val="nil"/>
              <w:bottom w:val="single" w:sz="4" w:space="0" w:color="000000"/>
              <w:right w:val="nil"/>
            </w:tcBorders>
            <w:shd w:val="clear" w:color="auto" w:fill="auto"/>
            <w:tcMar>
              <w:top w:w="128" w:type="dxa"/>
              <w:left w:w="43" w:type="dxa"/>
              <w:bottom w:w="43" w:type="dxa"/>
              <w:right w:w="43" w:type="dxa"/>
            </w:tcMar>
          </w:tcPr>
          <w:p w14:paraId="76BE1FDC" w14:textId="77777777" w:rsidR="00972395" w:rsidRPr="00E73D4B" w:rsidRDefault="00F120C7" w:rsidP="001C4219">
            <w:pPr>
              <w:jc w:val="right"/>
            </w:pPr>
            <w:r w:rsidRPr="00E73D4B">
              <w:t>Nei</w:t>
            </w:r>
          </w:p>
        </w:tc>
      </w:tr>
    </w:tbl>
    <w:p w14:paraId="77143A19" w14:textId="77777777" w:rsidR="00972395" w:rsidRPr="00E73D4B" w:rsidRDefault="00F120C7" w:rsidP="001C4219">
      <w:pPr>
        <w:pStyle w:val="Overskrift2"/>
        <w:numPr>
          <w:ilvl w:val="1"/>
          <w:numId w:val="35"/>
        </w:numPr>
      </w:pPr>
      <w:r w:rsidRPr="00E73D4B">
        <w:t>Stortingssesjon 2021–2022</w:t>
      </w:r>
    </w:p>
    <w:p w14:paraId="5E05D242" w14:textId="77777777" w:rsidR="00972395" w:rsidRPr="00E73D4B" w:rsidRDefault="00F120C7" w:rsidP="00E73D4B">
      <w:pPr>
        <w:pStyle w:val="avsnitt-tittel"/>
      </w:pPr>
      <w:r w:rsidRPr="00E73D4B">
        <w:t>Mål om å sikre et trygt arbeidsliv</w:t>
      </w:r>
    </w:p>
    <w:p w14:paraId="20600D83" w14:textId="77777777" w:rsidR="00972395" w:rsidRPr="00E73D4B" w:rsidRDefault="00F120C7" w:rsidP="00E73D4B">
      <w:pPr>
        <w:pStyle w:val="avsnitt-undertittel"/>
      </w:pPr>
      <w:r w:rsidRPr="00E73D4B">
        <w:t>Vedtak 35, nr. 48, 2. desember 2021</w:t>
      </w:r>
    </w:p>
    <w:p w14:paraId="1FF324C5" w14:textId="77777777" w:rsidR="00972395" w:rsidRPr="00E73D4B" w:rsidRDefault="00F120C7" w:rsidP="00E73D4B">
      <w:pPr>
        <w:pStyle w:val="blokksit"/>
        <w:rPr>
          <w:rStyle w:val="kursiv"/>
        </w:rPr>
      </w:pPr>
      <w:r w:rsidRPr="00E73D4B">
        <w:rPr>
          <w:rStyle w:val="kursiv"/>
        </w:rPr>
        <w:t>«Stortinget ber regjeringen sikre at blant målene som fremmes for institusjoner som mottar hele sitt tilskudd fra staten, eller gjennom en 70/30-deling, også inkluderes at institusjonene går foran for å sikre et trygt arbeidsliv, med særlig vekt på faste ansettelser og ivaretakelse av opphavsrett.»</w:t>
      </w:r>
    </w:p>
    <w:p w14:paraId="4DD66CA9"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2 S (2021–2022) og Meld. St. 1 (2021–2022) </w:t>
      </w:r>
      <w:r w:rsidRPr="00E73D4B">
        <w:rPr>
          <w:rStyle w:val="kursiv"/>
        </w:rPr>
        <w:t>Nasjonalbudsjettet 2022.</w:t>
      </w:r>
    </w:p>
    <w:p w14:paraId="36137A18" w14:textId="77777777" w:rsidR="00972395" w:rsidRPr="00E73D4B" w:rsidRDefault="00F120C7" w:rsidP="00E73D4B">
      <w:r w:rsidRPr="00E73D4B">
        <w:t xml:space="preserve">Kultur- og likestillingsdepartementet la inn følgende tekst i </w:t>
      </w:r>
      <w:proofErr w:type="spellStart"/>
      <w:r w:rsidRPr="00E73D4B">
        <w:t>tilskuddsbrev</w:t>
      </w:r>
      <w:proofErr w:type="spellEnd"/>
      <w:r w:rsidRPr="00E73D4B">
        <w:t xml:space="preserve"> til aktuelle tilskuddsmottakere for 2022: «De etablerte, offentlig finansierte institusjonene har et særlig ansvar for å sikre gode og forutsigbare arbeidsforhold, og for å sørge for at opphavsretten ivaretas, herunder reglene om rett til rimelig vederlag i åndsverkloven.» Anmodningsvedtaket anses som fulgt opp, og rapporteringen avsluttes.</w:t>
      </w:r>
    </w:p>
    <w:p w14:paraId="243FB75F" w14:textId="77777777" w:rsidR="00972395" w:rsidRPr="00E73D4B" w:rsidRDefault="00F120C7" w:rsidP="00E73D4B">
      <w:pPr>
        <w:pStyle w:val="avsnitt-tittel"/>
      </w:pPr>
      <w:r w:rsidRPr="00E73D4B">
        <w:t>Sikre økte bevilgninger til enkeltkommuner som ikke har fått tildelt tilstrekkelige midler til å dele ut strømstøtte til frivillige organisasjoner i sin kommune.</w:t>
      </w:r>
    </w:p>
    <w:p w14:paraId="3B6A8A62" w14:textId="77777777" w:rsidR="00972395" w:rsidRPr="00E73D4B" w:rsidRDefault="00F120C7" w:rsidP="00E73D4B">
      <w:pPr>
        <w:pStyle w:val="avsnitt-undertittel"/>
      </w:pPr>
      <w:r w:rsidRPr="00E73D4B">
        <w:t>Vedtak nr. 397, 17. februar 2022</w:t>
      </w:r>
    </w:p>
    <w:p w14:paraId="014BA766" w14:textId="77777777" w:rsidR="00972395" w:rsidRPr="00E73D4B" w:rsidRDefault="00F120C7" w:rsidP="00E73D4B">
      <w:pPr>
        <w:pStyle w:val="blokksit"/>
        <w:rPr>
          <w:rStyle w:val="kursiv"/>
        </w:rPr>
      </w:pPr>
      <w:r w:rsidRPr="00E73D4B">
        <w:rPr>
          <w:rStyle w:val="kursiv"/>
        </w:rPr>
        <w:t>«Stortinget ber regjeringen løpende sikre økte bevilgninger til enkeltkommuner som kan dokumentere at de ikke har fått tildelt tilstrekkelige midler til å dele ut støtte til frivillige organisasjoner i sin kommune med om lag tilsvarende dekningsgrad som stønadsordningen for private husholdninger, og komme tilbake med forslag i revidert nasjonalbudsjett for 2022 dersom det blir behov for økte bevilgninger.»</w:t>
      </w:r>
    </w:p>
    <w:p w14:paraId="4E61A6B5"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151 S (2021–2022) og </w:t>
      </w:r>
      <w:proofErr w:type="spellStart"/>
      <w:r w:rsidRPr="00E73D4B">
        <w:t>Prop</w:t>
      </w:r>
      <w:proofErr w:type="spellEnd"/>
      <w:r w:rsidRPr="00E73D4B">
        <w:t xml:space="preserve">. 58 S (2021–2022) </w:t>
      </w:r>
      <w:r w:rsidRPr="00E73D4B">
        <w:rPr>
          <w:rStyle w:val="kursiv"/>
        </w:rPr>
        <w:t>Endringer i statsbudsjettet 2022 under Kultur- og likestillingsdepartementet (midlertidig tilskuddsordning for frivillige organisasjoner som følge av ekstraordinære strømpriser).</w:t>
      </w:r>
    </w:p>
    <w:p w14:paraId="13453F81" w14:textId="77777777" w:rsidR="00972395" w:rsidRPr="00E73D4B" w:rsidRDefault="00F120C7" w:rsidP="00E73D4B">
      <w:r w:rsidRPr="00E73D4B">
        <w:t>Kultur- og likestillingsdepartementet har gitt ekstra bevilgninger til alle kommuner som har rapportert at de ikke fikk tildelt tilstrekkelig midler for å betale ut strømstøtte til frivillige organisasjoner i sin kommune. Det har ikke vært behov for økte bevilgninger.</w:t>
      </w:r>
    </w:p>
    <w:p w14:paraId="62A1FD52" w14:textId="77777777" w:rsidR="00972395" w:rsidRPr="00E73D4B" w:rsidRDefault="00F120C7" w:rsidP="00E73D4B">
      <w:r w:rsidRPr="00E73D4B">
        <w:t>Anmodningsvedtaket anses som fulgt opp, og rapporteringen avsluttes.</w:t>
      </w:r>
    </w:p>
    <w:p w14:paraId="7B801B3C" w14:textId="77777777" w:rsidR="00972395" w:rsidRPr="00E73D4B" w:rsidRDefault="00F120C7" w:rsidP="00E73D4B">
      <w:pPr>
        <w:pStyle w:val="avsnitt-tittel"/>
      </w:pPr>
      <w:r w:rsidRPr="00E73D4B">
        <w:t>Utvide definisjonen av pengespill på hest</w:t>
      </w:r>
    </w:p>
    <w:p w14:paraId="7CA1D4F0" w14:textId="77777777" w:rsidR="00972395" w:rsidRPr="00E73D4B" w:rsidRDefault="00F120C7" w:rsidP="00E73D4B">
      <w:pPr>
        <w:pStyle w:val="avsnitt-undertittel"/>
      </w:pPr>
      <w:r w:rsidRPr="00E73D4B">
        <w:t>Vedtak nr. 402, 1. mars 2022</w:t>
      </w:r>
    </w:p>
    <w:p w14:paraId="6772FD09" w14:textId="77777777" w:rsidR="00972395" w:rsidRPr="00E73D4B" w:rsidRDefault="00F120C7" w:rsidP="00E73D4B">
      <w:pPr>
        <w:pStyle w:val="blokksit"/>
        <w:rPr>
          <w:rStyle w:val="kursiv"/>
        </w:rPr>
      </w:pPr>
      <w:r w:rsidRPr="00E73D4B">
        <w:rPr>
          <w:rStyle w:val="kursiv"/>
        </w:rPr>
        <w:t>«Stortinget ber regjeringen utvide definisjonen av pengespill på hest til også å omfatte digitale og virtuelle spill på hest.»</w:t>
      </w:r>
    </w:p>
    <w:p w14:paraId="41623A3B"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163 L (2021–2022) og </w:t>
      </w:r>
      <w:proofErr w:type="spellStart"/>
      <w:r w:rsidRPr="00E73D4B">
        <w:t>Prop</w:t>
      </w:r>
      <w:proofErr w:type="spellEnd"/>
      <w:r w:rsidRPr="00E73D4B">
        <w:t xml:space="preserve">. 220 L (2020–2021) </w:t>
      </w:r>
      <w:r w:rsidRPr="00E73D4B">
        <w:rPr>
          <w:rStyle w:val="kursiv"/>
        </w:rPr>
        <w:t>Lov om pengespill (pengespilloven).</w:t>
      </w:r>
    </w:p>
    <w:p w14:paraId="7060BBDA" w14:textId="77777777" w:rsidR="00972395" w:rsidRPr="00E73D4B" w:rsidRDefault="00F120C7" w:rsidP="00E73D4B">
      <w:r w:rsidRPr="00E73D4B">
        <w:t>Ved behandlingen av pengespilloven fremmet flertallet i familie- og kulturkomiteen (H, FrP, SV og V) anmodningsvedtaket som ber regjeringen «utvide definisjonen av pengespill på hest til også å omfatte digitale og virtuelle spill på hest». I første behandling av loven fikk dette forslaget flertall, men i forbindelse med annen gangs votering viste KrF til at de hadde stemt for forslaget ved en inkurie, og trakk sin støtte. Anmodningsvedtaket har derfor i realiteten ikke flertall på Stortinget.</w:t>
      </w:r>
    </w:p>
    <w:p w14:paraId="4A1392E8" w14:textId="77777777" w:rsidR="00972395" w:rsidRPr="00E73D4B" w:rsidRDefault="00F120C7" w:rsidP="00E73D4B">
      <w:r w:rsidRPr="00E73D4B">
        <w:t>På denne bakgrunn foreslår regjeringen å oppheve vedtak nr. 402, 1. mars 2022, jf. forslag til vedtak VII. Rapporteringen på anmodningsvedtaket avsluttes.</w:t>
      </w:r>
    </w:p>
    <w:p w14:paraId="6BF799BB" w14:textId="77777777" w:rsidR="00972395" w:rsidRPr="00E73D4B" w:rsidRDefault="00F120C7" w:rsidP="00E73D4B">
      <w:pPr>
        <w:pStyle w:val="avsnitt-tittel"/>
      </w:pPr>
      <w:r w:rsidRPr="00E73D4B">
        <w:t>Følge opp veilederen «Møteplasser for dataspill og datakultur»</w:t>
      </w:r>
    </w:p>
    <w:p w14:paraId="14D197C4" w14:textId="77777777" w:rsidR="00972395" w:rsidRPr="00E73D4B" w:rsidRDefault="00F120C7" w:rsidP="00E73D4B">
      <w:pPr>
        <w:pStyle w:val="avsnitt-undertittel"/>
      </w:pPr>
      <w:r w:rsidRPr="00E73D4B">
        <w:t>Vedtak nr. 403, 1. mars 2022</w:t>
      </w:r>
    </w:p>
    <w:p w14:paraId="47B8055B" w14:textId="77777777" w:rsidR="00972395" w:rsidRPr="00E73D4B" w:rsidRDefault="00F120C7" w:rsidP="00E73D4B">
      <w:pPr>
        <w:pStyle w:val="blokksit"/>
        <w:rPr>
          <w:rStyle w:val="kursiv"/>
        </w:rPr>
      </w:pPr>
      <w:r w:rsidRPr="00E73D4B">
        <w:rPr>
          <w:rStyle w:val="kursiv"/>
        </w:rPr>
        <w:t>«Stortinget ber regjeringen følge opp veilederen «Møteplasser for dataspill og datakultur» og vurdere hvordan man ytterligere kan bidra til å gjøre det enklere for kommuner og andre som ønsker å utvikle attraktive, tilgjengelige og inkluderende møteplasser der barn og ungdom som er interesserte i datakultur, opplever å bli sett og kan føle seg trygge.»</w:t>
      </w:r>
    </w:p>
    <w:p w14:paraId="79B25503"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155 S (2021–2022) og Dokument 8:24 S (2021–2022) </w:t>
      </w:r>
      <w:r w:rsidRPr="00E73D4B">
        <w:rPr>
          <w:rStyle w:val="kursiv"/>
        </w:rPr>
        <w:t xml:space="preserve">Representantforslag om et løft for den digitale </w:t>
      </w:r>
      <w:proofErr w:type="spellStart"/>
      <w:r w:rsidRPr="00E73D4B">
        <w:rPr>
          <w:rStyle w:val="kursiv"/>
        </w:rPr>
        <w:t>spillkulturen</w:t>
      </w:r>
      <w:proofErr w:type="spellEnd"/>
      <w:r w:rsidRPr="00E73D4B">
        <w:rPr>
          <w:rStyle w:val="kursiv"/>
        </w:rPr>
        <w:t>.</w:t>
      </w:r>
    </w:p>
    <w:p w14:paraId="497455F1" w14:textId="77777777" w:rsidR="00972395" w:rsidRPr="00E73D4B" w:rsidRDefault="00F120C7" w:rsidP="00E73D4B">
      <w:r w:rsidRPr="00E73D4B">
        <w:t>Regjeringen vil følge opp vedtaket med den kommende strategien for dataspillpolitikken.</w:t>
      </w:r>
    </w:p>
    <w:p w14:paraId="0F11D027" w14:textId="77777777" w:rsidR="00972395" w:rsidRPr="00E73D4B" w:rsidRDefault="00F120C7" w:rsidP="00E73D4B">
      <w:pPr>
        <w:pStyle w:val="avsnitt-tittel"/>
      </w:pPr>
      <w:r w:rsidRPr="00E73D4B">
        <w:t>Styrke samarbeidet for en sunnere idrett og forebygging av kroppsmisnøye og spiseforstyrrelser i idretten</w:t>
      </w:r>
    </w:p>
    <w:p w14:paraId="396B143A" w14:textId="77777777" w:rsidR="00972395" w:rsidRPr="00E73D4B" w:rsidRDefault="00F120C7" w:rsidP="00E73D4B">
      <w:pPr>
        <w:pStyle w:val="avsnitt-undertittel"/>
      </w:pPr>
      <w:r w:rsidRPr="00E73D4B">
        <w:t>Vedtak 501, 28. april 2022</w:t>
      </w:r>
    </w:p>
    <w:p w14:paraId="5BF3C76A" w14:textId="77777777" w:rsidR="00972395" w:rsidRPr="00E73D4B" w:rsidRDefault="00F120C7" w:rsidP="00E73D4B">
      <w:pPr>
        <w:pStyle w:val="blokksit"/>
        <w:rPr>
          <w:rStyle w:val="kursiv"/>
        </w:rPr>
      </w:pPr>
      <w:r w:rsidRPr="00E73D4B">
        <w:rPr>
          <w:rStyle w:val="kursiv"/>
        </w:rPr>
        <w:t>«Stortinget ber regjeringen om å ha god dialog med idretten for å styrke samarbeidet for en sunnere idrett og å bidra til å hindre kroppsmisnøye og spiseforstyrrelser.»</w:t>
      </w:r>
    </w:p>
    <w:p w14:paraId="32361F40"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246 S (2021–2022) og Dokument 8:71 S (2021–2022) </w:t>
      </w:r>
      <w:r w:rsidRPr="00E73D4B">
        <w:rPr>
          <w:rStyle w:val="kursiv"/>
        </w:rPr>
        <w:t>Representantforslag om en tryggere idrett og forebygging av kroppsmisnøye og spiseforstyrrelser i idretten.</w:t>
      </w:r>
    </w:p>
    <w:p w14:paraId="6159A9BF" w14:textId="77777777" w:rsidR="00972395" w:rsidRPr="00E73D4B" w:rsidRDefault="00F120C7" w:rsidP="00E73D4B">
      <w:r w:rsidRPr="00E73D4B">
        <w:t>Regjeringen kommer tilbake til Stortinget på egnet måte.</w:t>
      </w:r>
    </w:p>
    <w:p w14:paraId="47D1F9E0" w14:textId="77777777" w:rsidR="00972395" w:rsidRPr="00E73D4B" w:rsidRDefault="00F120C7" w:rsidP="00E73D4B">
      <w:pPr>
        <w:pStyle w:val="avsnitt-tittel"/>
      </w:pPr>
      <w:r w:rsidRPr="00E73D4B">
        <w:t>Handlingsplan for en tryggere idrett og forebygging av kroppsmisnøye og spiseforstyrrelser i idretten – sette ned kompetansegruppe</w:t>
      </w:r>
    </w:p>
    <w:p w14:paraId="5D6BD905" w14:textId="77777777" w:rsidR="00972395" w:rsidRPr="00E73D4B" w:rsidRDefault="00F120C7" w:rsidP="00E73D4B">
      <w:pPr>
        <w:pStyle w:val="avsnitt-undertittel"/>
      </w:pPr>
      <w:r w:rsidRPr="00E73D4B">
        <w:t>Vedtak 502, 28. april 2022</w:t>
      </w:r>
    </w:p>
    <w:p w14:paraId="0D717C12" w14:textId="77777777" w:rsidR="00972395" w:rsidRPr="00E73D4B" w:rsidRDefault="00F120C7" w:rsidP="00E73D4B">
      <w:pPr>
        <w:pStyle w:val="blokksit"/>
        <w:rPr>
          <w:rStyle w:val="kursiv"/>
        </w:rPr>
      </w:pPr>
      <w:r w:rsidRPr="00E73D4B">
        <w:rPr>
          <w:rStyle w:val="kursiv"/>
        </w:rPr>
        <w:t>«Stortinget ber regjeringen sette ned en tverrfaglig, koordinerende kompetansegruppe hvor Norges idrettsforbund inviteres til administrativt å lede utarbeidelsen av et forslag til en handlingsplan for en tryggere idrett og forebygging av kroppsmisnøye og spiseforstyrrelser i idretten.»</w:t>
      </w:r>
    </w:p>
    <w:p w14:paraId="55B17D8E"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246 S (2021–2022) og Dokument 8:71 S (2021–2022) </w:t>
      </w:r>
      <w:r w:rsidRPr="00E73D4B">
        <w:rPr>
          <w:rStyle w:val="kursiv"/>
        </w:rPr>
        <w:t>Representantforslag om en tryggere idrett og forebygging av kroppsmisnøye og spiseforstyrrelser i idretten.</w:t>
      </w:r>
    </w:p>
    <w:p w14:paraId="152A8136" w14:textId="77777777" w:rsidR="00972395" w:rsidRPr="00E73D4B" w:rsidRDefault="00F120C7" w:rsidP="00E73D4B">
      <w:r w:rsidRPr="00E73D4B">
        <w:t>Regjeringen kommer tilbake til Stortinget på egnet måte.</w:t>
      </w:r>
    </w:p>
    <w:p w14:paraId="1AABB92E" w14:textId="77777777" w:rsidR="00972395" w:rsidRPr="00E73D4B" w:rsidRDefault="00F120C7" w:rsidP="00E73D4B">
      <w:pPr>
        <w:pStyle w:val="avsnitt-tittel"/>
      </w:pPr>
      <w:r w:rsidRPr="00E73D4B">
        <w:t>Handlingsplan for en tryggere idrett og forebygging av kroppsmisnøye og spiseforstyrrelser i idretten</w:t>
      </w:r>
    </w:p>
    <w:p w14:paraId="48EBD4E7" w14:textId="77777777" w:rsidR="00972395" w:rsidRPr="00E73D4B" w:rsidRDefault="00F120C7" w:rsidP="00E73D4B">
      <w:pPr>
        <w:pStyle w:val="avsnitt-undertittel"/>
      </w:pPr>
      <w:r w:rsidRPr="00E73D4B">
        <w:t>Vedtak 503, 28. april 2022</w:t>
      </w:r>
    </w:p>
    <w:p w14:paraId="1A538ECB" w14:textId="77777777" w:rsidR="00972395" w:rsidRPr="00E73D4B" w:rsidRDefault="00F120C7" w:rsidP="00E73D4B">
      <w:pPr>
        <w:pStyle w:val="blokksit"/>
        <w:rPr>
          <w:rStyle w:val="kursiv"/>
        </w:rPr>
      </w:pPr>
      <w:r w:rsidRPr="00E73D4B">
        <w:rPr>
          <w:rStyle w:val="kursiv"/>
        </w:rPr>
        <w:t>«Stortinget ber regjeringen legge frem et forslag til en handlingsplan for en tryggere idrett og forebygging av kroppsmisnøye og spiseforstyrrelser i idretten, som bygger på forslaget utarbeidet av en tverrfaglig, koordinerende kompetansegruppe. Dette forslaget til handlingsplan skal legges frem i et samarbeid mellom Kulturdepartementet, Helse- og omsorgsdepartementet og Kunnskapsdepartementet.»</w:t>
      </w:r>
    </w:p>
    <w:p w14:paraId="1299B24D"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246 S (2021–2022) og Dokument 8:71 S (2021–2022) </w:t>
      </w:r>
      <w:r w:rsidRPr="00E73D4B">
        <w:rPr>
          <w:rStyle w:val="kursiv"/>
        </w:rPr>
        <w:t>Representantforslag om en tryggere idrett og forebygging av kroppsmisnøye og spiseforstyrrelser i idretten.</w:t>
      </w:r>
    </w:p>
    <w:p w14:paraId="2D5A026D" w14:textId="77777777" w:rsidR="00972395" w:rsidRPr="00E73D4B" w:rsidRDefault="00F120C7" w:rsidP="00E73D4B">
      <w:r w:rsidRPr="00E73D4B">
        <w:t>Regjeringen kommer tilbake til Stortinget på egnet måte.</w:t>
      </w:r>
    </w:p>
    <w:p w14:paraId="711BC9E4" w14:textId="77777777" w:rsidR="00972395" w:rsidRPr="00E73D4B" w:rsidRDefault="00F120C7" w:rsidP="00E73D4B">
      <w:pPr>
        <w:pStyle w:val="Overskrift2"/>
      </w:pPr>
      <w:r w:rsidRPr="00E73D4B">
        <w:t>Stortingssesjon 2020–2021</w:t>
      </w:r>
    </w:p>
    <w:p w14:paraId="521D15CE" w14:textId="77777777" w:rsidR="00972395" w:rsidRPr="00E73D4B" w:rsidRDefault="00F120C7" w:rsidP="00E73D4B">
      <w:pPr>
        <w:pStyle w:val="avsnitt-tittel"/>
      </w:pPr>
      <w:r w:rsidRPr="00E73D4B">
        <w:t>Kriterier for statlig støtte til internasjonale idrettsarrangement som skal arrangeres i Norge</w:t>
      </w:r>
    </w:p>
    <w:p w14:paraId="40DA61EB" w14:textId="77777777" w:rsidR="00972395" w:rsidRPr="00E73D4B" w:rsidRDefault="00F120C7" w:rsidP="00E73D4B">
      <w:pPr>
        <w:pStyle w:val="avsnitt-undertittel"/>
      </w:pPr>
      <w:r w:rsidRPr="00E73D4B">
        <w:t>Vedtak nr. 66, 10. november 2020</w:t>
      </w:r>
    </w:p>
    <w:p w14:paraId="14EB454C" w14:textId="77777777" w:rsidR="00972395" w:rsidRPr="00E73D4B" w:rsidRDefault="00F120C7" w:rsidP="00E73D4B">
      <w:pPr>
        <w:pStyle w:val="blokksit"/>
        <w:rPr>
          <w:rStyle w:val="kursiv"/>
        </w:rPr>
      </w:pPr>
      <w:r w:rsidRPr="00E73D4B">
        <w:rPr>
          <w:rStyle w:val="kursiv"/>
        </w:rPr>
        <w:t>«Stortinget ber regjeringen utrede hvilke kriterier som bør innfris for statlig støtte til internasjonale idrettsarrangement som skal arrangeres i Norge.»</w:t>
      </w:r>
    </w:p>
    <w:p w14:paraId="20CE2EAE"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48 S (2020–2021) og Dokument 8:95 S (2018–2019) </w:t>
      </w:r>
      <w:r w:rsidRPr="00E73D4B">
        <w:rPr>
          <w:rStyle w:val="kursiv"/>
        </w:rPr>
        <w:t>Representantforslag om straffeforfølgning av de som tjener penger på idrettsprestasjoner som følge av doping og krav til endringer i internasjonal idrett.</w:t>
      </w:r>
    </w:p>
    <w:p w14:paraId="20E19A49" w14:textId="77777777" w:rsidR="00972395" w:rsidRPr="00E73D4B" w:rsidRDefault="00F120C7" w:rsidP="00E73D4B">
      <w:r w:rsidRPr="00E73D4B">
        <w:t>Anmodningsvedtaket ble i sin tid fremmet av stortingsrepresentanter fra partiene Høyre, Fremskrittspartiet, Venstre og Kristelig Folkeparti. Disse partiene har i dag 68 av i alt 169 representanter på Stortinget. Med dette som utgangspunkt er det ikke lenger flertallsgrunnlag for dette vedtaket på Stortinget.</w:t>
      </w:r>
    </w:p>
    <w:p w14:paraId="09E8AA87" w14:textId="77777777" w:rsidR="00972395" w:rsidRPr="00E73D4B" w:rsidRDefault="00F120C7" w:rsidP="00E73D4B">
      <w:r w:rsidRPr="00E73D4B">
        <w:t>På denne bakgrunn foreslår regjeringen å oppheve vedtak nr. 66, 10. november 2020, jf. forslag til vedtak VII. Rapporteringen på anmodningsvedtaket avsluttes.</w:t>
      </w:r>
    </w:p>
    <w:p w14:paraId="3DE2C5E0" w14:textId="77777777" w:rsidR="00972395" w:rsidRPr="00E73D4B" w:rsidRDefault="00F120C7" w:rsidP="00E73D4B">
      <w:pPr>
        <w:pStyle w:val="avsnitt-tittel"/>
      </w:pPr>
      <w:r w:rsidRPr="00E73D4B">
        <w:t>Stortingsmelding om seksuell trakassering</w:t>
      </w:r>
    </w:p>
    <w:p w14:paraId="3FCDEB21" w14:textId="77777777" w:rsidR="00972395" w:rsidRPr="00E73D4B" w:rsidRDefault="00F120C7" w:rsidP="00E73D4B">
      <w:pPr>
        <w:pStyle w:val="avsnitt-undertittel"/>
      </w:pPr>
      <w:r w:rsidRPr="00E73D4B">
        <w:t>Vedtak nr. 755, 11. mars 2021</w:t>
      </w:r>
    </w:p>
    <w:p w14:paraId="59C23923" w14:textId="77777777" w:rsidR="00972395" w:rsidRPr="00E73D4B" w:rsidRDefault="00F120C7" w:rsidP="00E73D4B">
      <w:pPr>
        <w:pStyle w:val="blokksit"/>
        <w:rPr>
          <w:rStyle w:val="kursiv"/>
        </w:rPr>
      </w:pPr>
      <w:r w:rsidRPr="00E73D4B">
        <w:rPr>
          <w:rStyle w:val="kursiv"/>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14:paraId="0B16DFFD"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270 S (2020–2021) og Dokument 8:135 S (2019–2020) </w:t>
      </w:r>
      <w:r w:rsidRPr="00E73D4B">
        <w:rPr>
          <w:rStyle w:val="kursiv"/>
        </w:rPr>
        <w:t>Representantforslag om en norsk offentlig utredning om seksuell trakassering.</w:t>
      </w:r>
    </w:p>
    <w:p w14:paraId="079BB273" w14:textId="77777777" w:rsidR="00972395" w:rsidRPr="00E73D4B" w:rsidRDefault="00F120C7" w:rsidP="00E73D4B">
      <w:r w:rsidRPr="00E73D4B">
        <w:t>Regjeringen har igangsatt arbeid med en melding til Stortinget om seksuell trakassering. Meldingen vil kartlegge omfanget av seksuell trakassering, samt foreslå forebyggende tiltak når det gjelder seksuell trakassering i arbeidsliv, opplæringssektoren og på kultur- og fritidsarenaer.</w:t>
      </w:r>
    </w:p>
    <w:p w14:paraId="7B198877" w14:textId="77777777" w:rsidR="00972395" w:rsidRPr="00E73D4B" w:rsidRDefault="00F120C7" w:rsidP="00E73D4B">
      <w:pPr>
        <w:pStyle w:val="avsnitt-tittel"/>
      </w:pPr>
      <w:r w:rsidRPr="00E73D4B">
        <w:t>Innlemme symbolspråk i språkloven</w:t>
      </w:r>
    </w:p>
    <w:p w14:paraId="1D954142" w14:textId="77777777" w:rsidR="00972395" w:rsidRPr="00E73D4B" w:rsidRDefault="00F120C7" w:rsidP="00E73D4B">
      <w:pPr>
        <w:pStyle w:val="avsnitt-undertittel"/>
      </w:pPr>
      <w:r w:rsidRPr="00E73D4B">
        <w:t>Vedtak nr. 788, 25. mars 2021</w:t>
      </w:r>
    </w:p>
    <w:p w14:paraId="01F5368E" w14:textId="77777777" w:rsidR="00972395" w:rsidRPr="00E73D4B" w:rsidRDefault="00F120C7" w:rsidP="00E73D4B">
      <w:pPr>
        <w:pStyle w:val="blokksit"/>
        <w:rPr>
          <w:rStyle w:val="kursiv"/>
        </w:rPr>
      </w:pPr>
      <w:r w:rsidRPr="00E73D4B">
        <w:rPr>
          <w:rStyle w:val="kursiv"/>
        </w:rPr>
        <w:t>«Stortinget ber regjeringen komme tilbake til Stortinget med en sak om symbolspråk, der det foreslås hvordan retten til symbolspråk kan innlemmes i språkloven.»</w:t>
      </w:r>
    </w:p>
    <w:p w14:paraId="373A9431" w14:textId="77777777" w:rsidR="00972395" w:rsidRPr="00E73D4B" w:rsidRDefault="00F120C7" w:rsidP="00E73D4B">
      <w:r w:rsidRPr="00E73D4B">
        <w:t xml:space="preserve">Dokumentene som ligger til grunn for anmodningsvedtaket, er </w:t>
      </w:r>
      <w:proofErr w:type="spellStart"/>
      <w:r w:rsidRPr="00E73D4B">
        <w:t>Innst</w:t>
      </w:r>
      <w:proofErr w:type="spellEnd"/>
      <w:r w:rsidRPr="00E73D4B">
        <w:t xml:space="preserve">. 253 L (2020–2021) og </w:t>
      </w:r>
      <w:proofErr w:type="spellStart"/>
      <w:r w:rsidRPr="00E73D4B">
        <w:t>Prop</w:t>
      </w:r>
      <w:proofErr w:type="spellEnd"/>
      <w:r w:rsidRPr="00E73D4B">
        <w:t xml:space="preserve">. 108 L (2019–2020) </w:t>
      </w:r>
      <w:r w:rsidRPr="00E73D4B">
        <w:rPr>
          <w:rStyle w:val="kursiv"/>
        </w:rPr>
        <w:t>Lov om språk.</w:t>
      </w:r>
    </w:p>
    <w:p w14:paraId="5D53F4E4" w14:textId="77777777" w:rsidR="00972395" w:rsidRPr="00E73D4B" w:rsidRDefault="00F120C7" w:rsidP="00E73D4B">
      <w:r w:rsidRPr="00E73D4B">
        <w:t>Språkloven trådte i kraft fra 1. januar 2022. Språkloven gir ingen konkrete, individuelle rettigheter, bortsett fra de rettene som er videreført fra målloven, og som gjelder nynorsk og bokmål. Formålet med loven er å sikre status og vern for norsk, samiske språk, kvensk, romani, romanes og norsk tegnspråk.</w:t>
      </w:r>
    </w:p>
    <w:p w14:paraId="78E6BE8B" w14:textId="77777777" w:rsidR="00972395" w:rsidRPr="00E73D4B" w:rsidRDefault="00F120C7" w:rsidP="00E73D4B">
      <w:r w:rsidRPr="00E73D4B">
        <w:t xml:space="preserve">Gjennom dialogmøter er det har avklart at interesseorganisasjonene ønsker seg en anerkjennelse av ASK (alternativ og supplerende kommunikasjon) som språk – ut fra en argumentasjon om at ASK er språk på linje med de andre språkene som er omfattet av språkloven. Departementet anerkjenner på den ene siden det viktige likestillingsperspektivet som ligger i en slik argumentasjon. På den annen side viser relevante språkfaglige miljøer til at ASK er et </w:t>
      </w:r>
      <w:proofErr w:type="spellStart"/>
      <w:r w:rsidRPr="00E73D4B">
        <w:t>kommunikativt</w:t>
      </w:r>
      <w:proofErr w:type="spellEnd"/>
      <w:r w:rsidRPr="00E73D4B">
        <w:t xml:space="preserve"> verktøy for å uttrykke språk, men regnes vanligvis ikke som et språk i konvensjonell lingvistisk forstand. Kultur- og likestillingsdepartementet skal arbeide videre med oppfølging av anmodningsvedtaket i samarbeid med Kunnskapsdepartementet og aktuelle aktører i relevante fagmiljøer. Regjeringen kommer etter det tilbake til Stortinget på en egnet måte.</w:t>
      </w:r>
    </w:p>
    <w:p w14:paraId="4728D408" w14:textId="77777777" w:rsidR="00972395" w:rsidRPr="00E73D4B" w:rsidRDefault="00F120C7" w:rsidP="00E73D4B">
      <w:pPr>
        <w:pStyle w:val="Overskrift2"/>
      </w:pPr>
      <w:r w:rsidRPr="00E73D4B">
        <w:t>Stortingssesjon 2018–2019</w:t>
      </w:r>
    </w:p>
    <w:p w14:paraId="045B025D" w14:textId="77777777" w:rsidR="00972395" w:rsidRPr="00E73D4B" w:rsidRDefault="00F120C7" w:rsidP="00E73D4B">
      <w:pPr>
        <w:pStyle w:val="avsnitt-tittel"/>
      </w:pPr>
      <w:r w:rsidRPr="00E73D4B">
        <w:t>Endre forskrift om kringkasting</w:t>
      </w:r>
    </w:p>
    <w:p w14:paraId="327659E4" w14:textId="77777777" w:rsidR="00972395" w:rsidRPr="00E73D4B" w:rsidRDefault="00F120C7" w:rsidP="00E73D4B">
      <w:pPr>
        <w:pStyle w:val="avsnitt-undertittel"/>
      </w:pPr>
      <w:r w:rsidRPr="00E73D4B">
        <w:t>Vedtak nr. 706, 21. juni 2019</w:t>
      </w:r>
    </w:p>
    <w:p w14:paraId="01634AD6" w14:textId="77777777" w:rsidR="00972395" w:rsidRPr="00E73D4B" w:rsidRDefault="00F120C7" w:rsidP="00E73D4B">
      <w:pPr>
        <w:pStyle w:val="blokksit"/>
        <w:rPr>
          <w:rStyle w:val="kursiv"/>
        </w:rPr>
      </w:pPr>
      <w:r w:rsidRPr="00E73D4B">
        <w:rPr>
          <w:rStyle w:val="kursiv"/>
        </w:rPr>
        <w:t>«Stortinget ber regjeringen endre forskrift om kringkasting slik at fotball-VM og fotball-EM for kvinner anses som begivenheter av vesentlig samfunnsmessig betydning, på linje med andre tilsvarende idrettsarrangementer, og sikres vederlagsfri visning.»</w:t>
      </w:r>
    </w:p>
    <w:p w14:paraId="593AA066" w14:textId="77777777" w:rsidR="00972395" w:rsidRPr="00E73D4B" w:rsidRDefault="00F120C7" w:rsidP="00E73D4B">
      <w:r w:rsidRPr="00E73D4B">
        <w:t xml:space="preserve">Vedtaket ble truffet ved behandlingen av </w:t>
      </w:r>
      <w:proofErr w:type="spellStart"/>
      <w:r w:rsidRPr="00E73D4B">
        <w:t>Innst</w:t>
      </w:r>
      <w:proofErr w:type="spellEnd"/>
      <w:r w:rsidRPr="00E73D4B">
        <w:t xml:space="preserve">. 391 S (2018–2019) </w:t>
      </w:r>
      <w:r w:rsidRPr="00E73D4B">
        <w:rPr>
          <w:rStyle w:val="kursiv"/>
        </w:rPr>
        <w:t>Innstilling fra finanskomiteen om revidert nasjonalbudsjett 2019, om tilleggsbevilgninger og omprioriteringer i statsbudsjettet 2019, og om endringer i skatter og avgifter i statsbudsjettet for 2019</w:t>
      </w:r>
      <w:r w:rsidRPr="00E73D4B">
        <w:t>.</w:t>
      </w:r>
    </w:p>
    <w:p w14:paraId="39284CC9" w14:textId="77777777" w:rsidR="00972395" w:rsidRPr="00E73D4B" w:rsidRDefault="00F120C7" w:rsidP="00E73D4B">
      <w:r w:rsidRPr="00E73D4B">
        <w:t>Kultur- og likestillingsdepartementet har i høringsnotat om forslag til gjennomføring av endringsdirektivet til AMT-direktivet foreslått å legge til fotball-VM og fotball-EM for kvinner i listen over viktige begivenheter i kringkastingsforskriften. Regjeringen kommer tilbake til Stortinget på egnet måte.</w:t>
      </w:r>
    </w:p>
    <w:p w14:paraId="5A169741" w14:textId="77777777" w:rsidR="00972395" w:rsidRPr="00E73D4B" w:rsidRDefault="00F120C7" w:rsidP="00E73D4B">
      <w:pPr>
        <w:pStyle w:val="Overskrift2"/>
      </w:pPr>
      <w:r w:rsidRPr="00E73D4B">
        <w:t>Stortingssesjon 2017–2018</w:t>
      </w:r>
    </w:p>
    <w:p w14:paraId="2FB58975" w14:textId="77777777" w:rsidR="00972395" w:rsidRPr="00E73D4B" w:rsidRDefault="00F120C7" w:rsidP="00E73D4B">
      <w:pPr>
        <w:pStyle w:val="avsnitt-tittel"/>
      </w:pPr>
      <w:r w:rsidRPr="00E73D4B">
        <w:t>Kunstnermelding</w:t>
      </w:r>
    </w:p>
    <w:p w14:paraId="6267161C" w14:textId="77777777" w:rsidR="00972395" w:rsidRPr="00E73D4B" w:rsidRDefault="00F120C7" w:rsidP="00E73D4B">
      <w:pPr>
        <w:pStyle w:val="avsnitt-undertittel"/>
      </w:pPr>
      <w:r w:rsidRPr="00E73D4B">
        <w:t>Vedtak nr. 199, 12. desember 2017</w:t>
      </w:r>
    </w:p>
    <w:p w14:paraId="27C80A63" w14:textId="77777777" w:rsidR="00972395" w:rsidRPr="00E73D4B" w:rsidRDefault="00F120C7" w:rsidP="00E73D4B">
      <w:pPr>
        <w:pStyle w:val="blokksit"/>
        <w:rPr>
          <w:rStyle w:val="kursiv"/>
        </w:rPr>
      </w:pPr>
      <w:r w:rsidRPr="00E73D4B">
        <w:rPr>
          <w:rStyle w:val="kursiv"/>
        </w:rPr>
        <w:t>«Stortinget ber regjeringen komme tilbake til Stortinget med en egen Kunstnermelding»</w:t>
      </w:r>
    </w:p>
    <w:p w14:paraId="4043461E" w14:textId="77777777" w:rsidR="00972395" w:rsidRPr="00E73D4B" w:rsidRDefault="00F120C7" w:rsidP="00E73D4B">
      <w:r w:rsidRPr="00E73D4B">
        <w:t xml:space="preserve">Dokumentene som ligger til grunn for vedtaket, er </w:t>
      </w:r>
      <w:proofErr w:type="spellStart"/>
      <w:r w:rsidRPr="00E73D4B">
        <w:t>Innst</w:t>
      </w:r>
      <w:proofErr w:type="spellEnd"/>
      <w:r w:rsidRPr="00E73D4B">
        <w:t xml:space="preserve">. 14 S (2017–2018) og </w:t>
      </w:r>
      <w:proofErr w:type="spellStart"/>
      <w:r w:rsidRPr="00E73D4B">
        <w:t>Prop</w:t>
      </w:r>
      <w:proofErr w:type="spellEnd"/>
      <w:r w:rsidRPr="00E73D4B">
        <w:t>. 1 S (2017–2018).</w:t>
      </w:r>
    </w:p>
    <w:p w14:paraId="6FE5B1AE" w14:textId="77777777" w:rsidR="00972395" w:rsidRPr="00E73D4B" w:rsidRDefault="00F120C7" w:rsidP="00E73D4B">
      <w:r w:rsidRPr="00E73D4B">
        <w:t>Kultur- og likestillingsdepartementet har i lang tid arbeidet med en kunstnermelding. Arbeidet med meldingen har blitt utsatt på grunn av koronapandemiens konsekvenser for kunst- og kulturlivet, med uforutsigbarhet og dårligere oversikt når det gjelder aktivitet og økonomi. Meldingen bygger på målene i Hurdalsplattformen og vil vektlegge kunstneres arbeidsvilkår og sosiale rettigheter, samt muligheter for å virke som kunstner i hele landet. Regjeringen kommer tilbake til Stortinget på egnet måte.</w:t>
      </w:r>
    </w:p>
    <w:p w14:paraId="59DE56AC" w14:textId="77777777" w:rsidR="00972395" w:rsidRPr="00E73D4B" w:rsidRDefault="00F120C7" w:rsidP="00E73D4B">
      <w:pPr>
        <w:pStyle w:val="avsnitt-tittel"/>
      </w:pPr>
      <w:r w:rsidRPr="00E73D4B">
        <w:t>Sterkere begrensninger på reklame for lovlige pengespillaktører</w:t>
      </w:r>
    </w:p>
    <w:p w14:paraId="41AFE511" w14:textId="77777777" w:rsidR="00972395" w:rsidRPr="00E73D4B" w:rsidRDefault="00F120C7" w:rsidP="00E73D4B">
      <w:pPr>
        <w:pStyle w:val="avsnitt-undertittel"/>
      </w:pPr>
      <w:r w:rsidRPr="00E73D4B">
        <w:t>Vedtak nr. 690, 7. mai 2018</w:t>
      </w:r>
    </w:p>
    <w:p w14:paraId="13F39C30" w14:textId="77777777" w:rsidR="00972395" w:rsidRPr="00E73D4B" w:rsidRDefault="00F120C7" w:rsidP="00E73D4B">
      <w:pPr>
        <w:pStyle w:val="blokksit"/>
        <w:rPr>
          <w:rStyle w:val="kursiv"/>
        </w:rPr>
      </w:pPr>
      <w:r w:rsidRPr="00E73D4B">
        <w:rPr>
          <w:rStyle w:val="kursiv"/>
        </w:rPr>
        <w:t>«Stortinget ber regjeringen vurdere sterkere begrensninger på reklame for lovlige pengespillaktører, samt vurdere om andre målemetoder enn pengebruk må brukes i reguleringen av omfanget.»</w:t>
      </w:r>
    </w:p>
    <w:p w14:paraId="03BB9D35" w14:textId="77777777" w:rsidR="00972395" w:rsidRPr="00E73D4B" w:rsidRDefault="00F120C7" w:rsidP="00E73D4B">
      <w:r w:rsidRPr="00E73D4B">
        <w:t xml:space="preserve">Dokumentet som ligger til grunn for anmodningsvedtaket, er </w:t>
      </w:r>
      <w:proofErr w:type="spellStart"/>
      <w:r w:rsidRPr="00E73D4B">
        <w:t>Innst</w:t>
      </w:r>
      <w:proofErr w:type="spellEnd"/>
      <w:r w:rsidRPr="00E73D4B">
        <w:t xml:space="preserve">. 242 S (2017–2018), jf. Dokument 8:110 S (2017–2018) </w:t>
      </w:r>
      <w:r w:rsidRPr="00E73D4B">
        <w:rPr>
          <w:rStyle w:val="kursiv"/>
        </w:rPr>
        <w:t xml:space="preserve">Representantforslag om en mer ansvarlig </w:t>
      </w:r>
      <w:proofErr w:type="spellStart"/>
      <w:r w:rsidRPr="00E73D4B">
        <w:rPr>
          <w:rStyle w:val="kursiv"/>
        </w:rPr>
        <w:t>spillpolitikk</w:t>
      </w:r>
      <w:proofErr w:type="spellEnd"/>
      <w:r w:rsidRPr="00E73D4B">
        <w:t>.</w:t>
      </w:r>
    </w:p>
    <w:p w14:paraId="4F8A9D78" w14:textId="77777777" w:rsidR="00972395" w:rsidRPr="00E73D4B" w:rsidRDefault="00F120C7" w:rsidP="00E73D4B">
      <w:r w:rsidRPr="00E73D4B">
        <w:t>Med virkning fra 1. januar 2021 strammet Kultur- og likestillingsdepartementet inn retningslinjene for markedsføring for Norsk Tipping og Norsk Rikstoto, blant annet med krav om at virkemiddelbruken i markedsføring av høye gevinster og penger til gode formål tones ned. Ny lov om pengespill (pengespilloven) trer i kraft 1. januar 2023. Etter loven kan lovlige pengespill bare markedsføres så langt det er nødvendig for å informere om spilltilbudet og å lede spillelysten i samfunnet til ansvarlige og trygge spilltilbud. Videre er det forbudt å markedsføre pengespill mot mindreårige og direkte mot dem som har reservert seg mot slik markedsføring hos pengespilltilbyderen. Ny pengespillforskrift ble sendt på høring i mai 2022. Her foreslås det ytterligere begrensninger på reklame for lovlige pengespillaktører, herunder et krav om å merke all markedsføring med tydelig informasjon om aldersgrense og kontaktinformasjon til Hjelpelinjen, krav om at markedsføringen skal være balansert i forholdet mellom risiko og ansvarlighet, forbud mot å bruke personer under 18 år i markedsføringen og forbud mot å markedsføre høyrisikospill som kasinospill.</w:t>
      </w:r>
    </w:p>
    <w:p w14:paraId="13C7ECAC" w14:textId="77777777" w:rsidR="00972395" w:rsidRPr="00E73D4B" w:rsidRDefault="00F120C7" w:rsidP="00E73D4B">
      <w:r w:rsidRPr="00E73D4B">
        <w:t xml:space="preserve">Når det gjelder anmodningen om å vurdere andre målemetoder enn pengebruk i regulering av omfanget, ble det i høringsnotatet til ny pengespillforskrift vurdert at det ikke er hensiktsmessig å ta i bruk målemetoder basert på verken pengebruk, rekkevidde eller effekt i reguleringen av omfanget av markedsføring av pengespill. Dette henger sammen med at det allerede er innført og foreslått sterkere begrensninger på innholdet og omfanget av de lovlige pengespilltilbydernes markedsføring både i ny pengespillov og i dette forslaget til ny pengespillforskrift, herunder den nevnte nødvendighetsavgrensningen i ny pengespillov, med de presiseringer som er gitt i forslag til ny pengespillforskrift. Det ble vist til at de begrensningene som allerede er innført eller foreslått, herunder strengere regulering av hvilke pengespill som kan markedsføres og begrensninger i markedsføringens innhold, også vil bidra til å begrense det totale markedsføringstrykket for pengespill i Norge. Dette reduserer behovet for å innføre krav til bruk av konkrete målemetoder for å regulere omfanget av markedsføringen. Det ble </w:t>
      </w:r>
      <w:proofErr w:type="gramStart"/>
      <w:r w:rsidRPr="00E73D4B">
        <w:t>for øvrig</w:t>
      </w:r>
      <w:proofErr w:type="gramEnd"/>
      <w:r w:rsidRPr="00E73D4B">
        <w:t xml:space="preserve"> vist til at pengespillmarkedet er preget av en rask utvikling i teknologi og spilltilbud, og det er vanskelig å skulle spå utviklingen fram i tid. Enerettstilbydernes behov for å møte den ulovlige konkurransen fra utenlandske pengespillselskap gjør derfor at det ikke vurderes som formålstjenlig å fastsette noen konkret grense for omfanget av markedsføringen for de statlig kontrollerte spillene.</w:t>
      </w:r>
    </w:p>
    <w:p w14:paraId="77CF416C" w14:textId="77777777" w:rsidR="00972395" w:rsidRPr="00E73D4B" w:rsidRDefault="00F120C7" w:rsidP="00E73D4B">
      <w:r w:rsidRPr="00E73D4B">
        <w:t>Anmodningsvedtaket anses som fulgt opp, og rapporteringen avsluttes.</w:t>
      </w:r>
    </w:p>
    <w:p w14:paraId="650DBC40" w14:textId="77777777" w:rsidR="00972395" w:rsidRPr="00E73D4B" w:rsidRDefault="00F120C7" w:rsidP="00E73D4B">
      <w:pPr>
        <w:pStyle w:val="avsnitt-tittel"/>
      </w:pPr>
      <w:r w:rsidRPr="00E73D4B">
        <w:t>Innføring av DNS-blokkering av nettsidene til uregulerte spillselskaper</w:t>
      </w:r>
    </w:p>
    <w:p w14:paraId="5AFBD25E" w14:textId="77777777" w:rsidR="00972395" w:rsidRPr="00E73D4B" w:rsidRDefault="00F120C7" w:rsidP="00E73D4B">
      <w:pPr>
        <w:pStyle w:val="avsnitt-undertittel"/>
      </w:pPr>
      <w:r w:rsidRPr="00E73D4B">
        <w:t>Vedtak nr. 695, 7. mai 2018</w:t>
      </w:r>
    </w:p>
    <w:p w14:paraId="09C2484D" w14:textId="77777777" w:rsidR="00972395" w:rsidRPr="00E73D4B" w:rsidRDefault="00F120C7" w:rsidP="00E73D4B">
      <w:pPr>
        <w:pStyle w:val="blokksit"/>
        <w:rPr>
          <w:rStyle w:val="kursiv"/>
        </w:rPr>
      </w:pPr>
      <w:r w:rsidRPr="00E73D4B">
        <w:rPr>
          <w:rStyle w:val="kursiv"/>
        </w:rPr>
        <w:t>«Stortinget ber regjeringen stanse pengespill hos uregulerte pengespillselskaper ved å innføre DNS-blokkering av nettsidene deres. Regjeringen bes i budsjett for 2019 omtale fremdriftsplanen for dette arbeidet.»</w:t>
      </w:r>
    </w:p>
    <w:p w14:paraId="7D5C77E1" w14:textId="77777777" w:rsidR="00972395" w:rsidRPr="00E73D4B" w:rsidRDefault="00F120C7" w:rsidP="00E73D4B">
      <w:r w:rsidRPr="00E73D4B">
        <w:t xml:space="preserve">Dokumentet som ligger til grunn for anmodningsvedtaket, er </w:t>
      </w:r>
      <w:proofErr w:type="spellStart"/>
      <w:r w:rsidRPr="00E73D4B">
        <w:t>Innst</w:t>
      </w:r>
      <w:proofErr w:type="spellEnd"/>
      <w:r w:rsidRPr="00E73D4B">
        <w:t xml:space="preserve">. 242 S (2017–2018). jf. Dokument 8:110 S (2017–2018) </w:t>
      </w:r>
      <w:r w:rsidRPr="00E73D4B">
        <w:rPr>
          <w:rStyle w:val="kursiv"/>
        </w:rPr>
        <w:t xml:space="preserve">Representantforslag om en mer ansvarlig </w:t>
      </w:r>
      <w:proofErr w:type="spellStart"/>
      <w:r w:rsidRPr="00E73D4B">
        <w:rPr>
          <w:rStyle w:val="kursiv"/>
        </w:rPr>
        <w:t>spillpolitikk</w:t>
      </w:r>
      <w:proofErr w:type="spellEnd"/>
      <w:r w:rsidRPr="00E73D4B">
        <w:rPr>
          <w:rStyle w:val="kursiv"/>
        </w:rPr>
        <w:t>.</w:t>
      </w:r>
    </w:p>
    <w:p w14:paraId="5F6FDEA2" w14:textId="77777777" w:rsidR="00972395" w:rsidRPr="00E73D4B" w:rsidRDefault="00F120C7" w:rsidP="00E73D4B">
      <w:r w:rsidRPr="00E73D4B">
        <w:t>Kultur- og likestillingsdepartementet sendte 21. september 2021 et lovforslag på høring om DNS-blokkering på nettsider med uregulerte pengespill. Departementet kommer tilbake til Stortinget på egnet måte.</w:t>
      </w:r>
    </w:p>
    <w:p w14:paraId="61BCDC45" w14:textId="77777777" w:rsidR="00972395" w:rsidRPr="00E73D4B" w:rsidRDefault="00F120C7" w:rsidP="00E73D4B">
      <w:pPr>
        <w:pStyle w:val="avsnitt-tittel"/>
      </w:pPr>
      <w:r w:rsidRPr="00E73D4B">
        <w:t>Utrede tvisteløsningsordning for fastsetting av rimelig vederlag</w:t>
      </w:r>
    </w:p>
    <w:p w14:paraId="255B20BB" w14:textId="77777777" w:rsidR="00972395" w:rsidRPr="00E73D4B" w:rsidRDefault="00F120C7" w:rsidP="00E73D4B">
      <w:pPr>
        <w:pStyle w:val="avsnitt-undertittel"/>
      </w:pPr>
      <w:r w:rsidRPr="00E73D4B">
        <w:t>Vedtak nr. 729, 15. mai 2018</w:t>
      </w:r>
    </w:p>
    <w:p w14:paraId="34035B5C" w14:textId="77777777" w:rsidR="00972395" w:rsidRPr="00E73D4B" w:rsidRDefault="00F120C7" w:rsidP="00E73D4B">
      <w:pPr>
        <w:pStyle w:val="blokksit"/>
        <w:rPr>
          <w:rStyle w:val="kursiv"/>
        </w:rPr>
      </w:pPr>
      <w:r w:rsidRPr="00E73D4B">
        <w:rPr>
          <w:rStyle w:val="kursiv"/>
        </w:rPr>
        <w:t>«Stortinget ber regjeringen utrede en tvisteløsningsordning for fastsetting av rimelig vederlag og komme tilbake til Stortinget med egen sak på egnet måte.»</w:t>
      </w:r>
    </w:p>
    <w:p w14:paraId="7FD49F73" w14:textId="77777777" w:rsidR="00972395" w:rsidRPr="00E73D4B" w:rsidRDefault="00F120C7" w:rsidP="00E73D4B">
      <w:r w:rsidRPr="00E73D4B">
        <w:t xml:space="preserve">Dokumentet som ligger til grunn for anmodningsvedtaket, er </w:t>
      </w:r>
      <w:proofErr w:type="spellStart"/>
      <w:r w:rsidRPr="00E73D4B">
        <w:t>Innst</w:t>
      </w:r>
      <w:proofErr w:type="spellEnd"/>
      <w:r w:rsidRPr="00E73D4B">
        <w:t xml:space="preserve">. 258 L (2017–2018), jf. </w:t>
      </w:r>
      <w:proofErr w:type="spellStart"/>
      <w:r w:rsidRPr="00E73D4B">
        <w:t>Prop</w:t>
      </w:r>
      <w:proofErr w:type="spellEnd"/>
      <w:r w:rsidRPr="00E73D4B">
        <w:t>. 104 L (2016–2017)</w:t>
      </w:r>
      <w:r w:rsidRPr="00E73D4B">
        <w:rPr>
          <w:rStyle w:val="kursiv"/>
        </w:rPr>
        <w:t xml:space="preserve"> Lov om opphavsrett til åndsverk (åndsverkloven).</w:t>
      </w:r>
    </w:p>
    <w:p w14:paraId="1AF6067A" w14:textId="77777777" w:rsidR="00972395" w:rsidRPr="00E73D4B" w:rsidRDefault="00F120C7" w:rsidP="00E73D4B">
      <w:r w:rsidRPr="00E73D4B">
        <w:t>Departementet vil utrede saken og sende et forslag på alminnelig høring, og deretter komme tilbake til Stortinget. Utredningen vil skje i sammenheng med gjennomføringen av EUs digitalmarkedsdirektiv ((EU) 2019/790).</w:t>
      </w:r>
    </w:p>
    <w:p w14:paraId="6B6327FF" w14:textId="77777777" w:rsidR="00972395" w:rsidRPr="00E73D4B" w:rsidRDefault="00F120C7" w:rsidP="00E73D4B">
      <w:pPr>
        <w:pStyle w:val="avsnitt-tittel"/>
      </w:pPr>
      <w:r w:rsidRPr="00E73D4B">
        <w:t>Vurdere regler om at leverandører av nettjenester må bidra til at rettighetshavere får vederlag</w:t>
      </w:r>
    </w:p>
    <w:p w14:paraId="56024BE2" w14:textId="77777777" w:rsidR="00972395" w:rsidRPr="00E73D4B" w:rsidRDefault="00F120C7" w:rsidP="00E73D4B">
      <w:pPr>
        <w:pStyle w:val="avsnitt-undertittel"/>
      </w:pPr>
      <w:r w:rsidRPr="00E73D4B">
        <w:t>Vedtak nr. 730, 15. mai 2018</w:t>
      </w:r>
    </w:p>
    <w:p w14:paraId="31260CD2" w14:textId="77777777" w:rsidR="00972395" w:rsidRPr="00E73D4B" w:rsidRDefault="00F120C7" w:rsidP="00E73D4B">
      <w:pPr>
        <w:pStyle w:val="blokksit"/>
        <w:rPr>
          <w:rStyle w:val="kursiv"/>
        </w:rPr>
      </w:pPr>
      <w:r w:rsidRPr="00E73D4B">
        <w:rPr>
          <w:rStyle w:val="kursiv"/>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1BC6A776" w14:textId="77777777" w:rsidR="00972395" w:rsidRPr="00E73D4B" w:rsidRDefault="00F120C7" w:rsidP="00E73D4B">
      <w:r w:rsidRPr="00E73D4B">
        <w:t xml:space="preserve">Dokumentet som ligger til grunn for anmodningsvedtaket, er </w:t>
      </w:r>
      <w:proofErr w:type="spellStart"/>
      <w:r w:rsidRPr="00E73D4B">
        <w:t>Innst</w:t>
      </w:r>
      <w:proofErr w:type="spellEnd"/>
      <w:r w:rsidRPr="00E73D4B">
        <w:t xml:space="preserve">. 258 L (2017–2018), jf. </w:t>
      </w:r>
      <w:proofErr w:type="spellStart"/>
      <w:r w:rsidRPr="00E73D4B">
        <w:t>Prop</w:t>
      </w:r>
      <w:proofErr w:type="spellEnd"/>
      <w:r w:rsidRPr="00E73D4B">
        <w:t xml:space="preserve">. 104 L (2016–2017) </w:t>
      </w:r>
      <w:r w:rsidRPr="00E73D4B">
        <w:rPr>
          <w:rStyle w:val="kursiv"/>
        </w:rPr>
        <w:t>Lov om opphavsrett til åndsverk (åndsverkloven).</w:t>
      </w:r>
    </w:p>
    <w:p w14:paraId="2F13252C" w14:textId="77777777" w:rsidR="00972395" w:rsidRPr="00E73D4B" w:rsidRDefault="00F120C7" w:rsidP="00E73D4B">
      <w:r w:rsidRPr="00E73D4B">
        <w:t xml:space="preserve">Den såkalte </w:t>
      </w:r>
      <w:proofErr w:type="spellStart"/>
      <w:r w:rsidRPr="00E73D4B">
        <w:t>verdigap</w:t>
      </w:r>
      <w:proofErr w:type="spellEnd"/>
      <w:r w:rsidRPr="00E73D4B">
        <w:t>-problematikken gjelder i hele Europa og er omfattet av digitalmarkedsdirektivet ((EU) 2019/790). Anmodningsvedtaket vil bli behandlet i forbindelse med gjennomføringen av direktivet. Departementet vil komme tilbake til Stortinget på egnet måte.</w:t>
      </w:r>
    </w:p>
    <w:p w14:paraId="0C85D185" w14:textId="77777777" w:rsidR="00972395" w:rsidRPr="00E73D4B" w:rsidRDefault="00F120C7" w:rsidP="00E73D4B">
      <w:pPr>
        <w:pStyle w:val="avsnitt-tittel"/>
      </w:pPr>
      <w:r w:rsidRPr="00E73D4B">
        <w:t>Utrede om strømming av åndsverk i klasserom skal bli vederlagspliktig</w:t>
      </w:r>
    </w:p>
    <w:p w14:paraId="04C38834" w14:textId="77777777" w:rsidR="00972395" w:rsidRPr="00E73D4B" w:rsidRDefault="00F120C7" w:rsidP="00E73D4B">
      <w:pPr>
        <w:pStyle w:val="avsnitt-undertittel"/>
      </w:pPr>
      <w:r w:rsidRPr="00E73D4B">
        <w:t>Vedtak nr. 731, 15. mai 2018</w:t>
      </w:r>
    </w:p>
    <w:p w14:paraId="5C4CDECC" w14:textId="77777777" w:rsidR="00972395" w:rsidRPr="00E73D4B" w:rsidRDefault="00F120C7" w:rsidP="00E73D4B">
      <w:pPr>
        <w:pStyle w:val="blokksit"/>
        <w:rPr>
          <w:rStyle w:val="kursiv"/>
        </w:rPr>
      </w:pPr>
      <w:r w:rsidRPr="00E73D4B">
        <w:rPr>
          <w:rStyle w:val="kursiv"/>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0C0C22E3" w14:textId="77777777" w:rsidR="00972395" w:rsidRPr="00E73D4B" w:rsidRDefault="00F120C7" w:rsidP="00E73D4B">
      <w:r w:rsidRPr="00E73D4B">
        <w:t xml:space="preserve">Dokumentet som ligger til grunn for anmodningsvedtaket, er </w:t>
      </w:r>
      <w:proofErr w:type="spellStart"/>
      <w:r w:rsidRPr="00E73D4B">
        <w:t>Innst</w:t>
      </w:r>
      <w:proofErr w:type="spellEnd"/>
      <w:r w:rsidRPr="00E73D4B">
        <w:t xml:space="preserve">. 258 L (2017–2018), jf. </w:t>
      </w:r>
      <w:proofErr w:type="spellStart"/>
      <w:r w:rsidRPr="00E73D4B">
        <w:t>Prop</w:t>
      </w:r>
      <w:proofErr w:type="spellEnd"/>
      <w:r w:rsidRPr="00E73D4B">
        <w:t xml:space="preserve">. 104 L (2016–2017) </w:t>
      </w:r>
      <w:r w:rsidRPr="00E73D4B">
        <w:rPr>
          <w:rStyle w:val="kursiv"/>
        </w:rPr>
        <w:t>Lov om opphavsrett til åndsverk (åndsverkloven).</w:t>
      </w:r>
    </w:p>
    <w:p w14:paraId="48A30BB9" w14:textId="77777777" w:rsidR="00972395" w:rsidRPr="00E73D4B" w:rsidRDefault="00F120C7" w:rsidP="00E73D4B">
      <w:r w:rsidRPr="00E73D4B">
        <w:t xml:space="preserve">Regjeringen vil følge opp anmodningsvedtaket i forbindelse med den varslede gjennomgangen av åndsverklovens undervisningsbestemmelser. Dette vil skje når EUs digitalmarkedsdirektiv ((EU) 2019/790) skal gjennomføres i norsk rett, jf. også omtale i </w:t>
      </w:r>
      <w:proofErr w:type="spellStart"/>
      <w:r w:rsidRPr="00E73D4B">
        <w:t>Prop</w:t>
      </w:r>
      <w:proofErr w:type="spellEnd"/>
      <w:r w:rsidRPr="00E73D4B">
        <w:t xml:space="preserve">. 104 L (2016–2017) </w:t>
      </w:r>
      <w:r w:rsidRPr="00E73D4B">
        <w:rPr>
          <w:rStyle w:val="kursiv"/>
        </w:rPr>
        <w:t>Lov om opphavsrett til åndsverk mv. (åndsverkloven)</w:t>
      </w:r>
      <w:r w:rsidRPr="00E73D4B">
        <w:t>. Departementet vil komme tilbake til Stortinget på egnet måte.</w:t>
      </w:r>
    </w:p>
    <w:p w14:paraId="320586F5" w14:textId="77777777" w:rsidR="00972395" w:rsidRPr="00E73D4B" w:rsidRDefault="00F120C7" w:rsidP="00E73D4B">
      <w:pPr>
        <w:pStyle w:val="avsnitt-tittel"/>
      </w:pPr>
      <w:r w:rsidRPr="00E73D4B">
        <w:t>Tiltak i melding til Stortinget om sikring av menneskerettighetene for utviklingshemmede</w:t>
      </w:r>
    </w:p>
    <w:p w14:paraId="19173B2D" w14:textId="77777777" w:rsidR="00972395" w:rsidRPr="00E73D4B" w:rsidRDefault="00F120C7" w:rsidP="00E73D4B">
      <w:pPr>
        <w:pStyle w:val="avsnitt-undertittel"/>
      </w:pPr>
      <w:r w:rsidRPr="00E73D4B">
        <w:t>Vedtak nr. 894, 12. juni 2018</w:t>
      </w:r>
    </w:p>
    <w:p w14:paraId="2B45DC7B" w14:textId="77777777" w:rsidR="00972395" w:rsidRPr="00E73D4B" w:rsidRDefault="00F120C7" w:rsidP="00E73D4B">
      <w:pPr>
        <w:pStyle w:val="blokksit"/>
        <w:rPr>
          <w:rStyle w:val="kursiv"/>
        </w:rPr>
      </w:pPr>
      <w:r w:rsidRPr="00E73D4B">
        <w:rPr>
          <w:rStyle w:val="kursiv"/>
        </w:rPr>
        <w:t>«Stortinget ber regjeringen legge frem en Stortingsmelding med forslag til tiltak for at utviklingshemmede skal få oppfylt sine menneskerettigheter på lik linje med andre.»</w:t>
      </w:r>
    </w:p>
    <w:p w14:paraId="322817D4" w14:textId="77777777" w:rsidR="00972395" w:rsidRPr="00E73D4B" w:rsidRDefault="00F120C7" w:rsidP="00E73D4B">
      <w:r w:rsidRPr="00E73D4B">
        <w:t xml:space="preserve">Dokumentet som ligger til grunn for vedtaket, er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4726DBE2" w14:textId="77777777" w:rsidR="00972395" w:rsidRPr="00E73D4B" w:rsidRDefault="00F120C7" w:rsidP="00E73D4B">
      <w:r w:rsidRPr="00E73D4B">
        <w:t xml:space="preserve">Anmodningsvedtak nr. 894 blir oppfattet som Stortingets </w:t>
      </w:r>
      <w:proofErr w:type="spellStart"/>
      <w:r w:rsidRPr="00E73D4B">
        <w:t>hovedvedtak</w:t>
      </w:r>
      <w:proofErr w:type="spellEnd"/>
      <w:r w:rsidRPr="00E73D4B">
        <w:t xml:space="preserve"> knyttet til representantforslaget om rettigheter og likeverd for utviklingshemmede og om tiltak som styrker de grunnleggende rettighetene til mennesker med utviklingshemming. Stortinget ber regjeringen legge fram en stortingsmelding om rettighetene til utviklingshemmede. Vedtakene nr. 895–906, med unntak av vedtak 898, er knyttet til tema og innhold i stortingsmeldingen. Kultur- og likestillingsdepartementet vil koordinere regjeringens oppfølging av vedtak 894 og tilknyttede vedtak under dette.</w:t>
      </w:r>
    </w:p>
    <w:p w14:paraId="38CE4BF6" w14:textId="77777777" w:rsidR="00972395" w:rsidRPr="00E73D4B" w:rsidRDefault="00F120C7" w:rsidP="00E73D4B">
      <w:r w:rsidRPr="00E73D4B">
        <w:t>Anmodningsvedtaket vil bli fulgt opp i stortingsmelding om menneskerettighetene til personer med utviklingshemming.</w:t>
      </w:r>
    </w:p>
    <w:p w14:paraId="5D44F48E" w14:textId="77777777" w:rsidR="00972395" w:rsidRPr="00E73D4B" w:rsidRDefault="00F120C7" w:rsidP="00E73D4B">
      <w:pPr>
        <w:pStyle w:val="avsnitt-tittel"/>
      </w:pPr>
      <w:r w:rsidRPr="00E73D4B">
        <w:t>Melding til Stortinget om sikring av menneskerettighetene for utviklingshemmede</w:t>
      </w:r>
    </w:p>
    <w:p w14:paraId="3966E3C6" w14:textId="77777777" w:rsidR="00972395" w:rsidRPr="00E73D4B" w:rsidRDefault="00F120C7" w:rsidP="00E73D4B">
      <w:pPr>
        <w:pStyle w:val="avsnitt-undertittel"/>
      </w:pPr>
      <w:r w:rsidRPr="00E73D4B">
        <w:t>Vedtak nr. 895, 12. juni 2018</w:t>
      </w:r>
    </w:p>
    <w:p w14:paraId="3B3CE3E5"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menneskerettigheter der det legges vekt på utviklingshemmede rett til å uttrykke sin mening eller hevde sin rett på lik linje med andre.»</w:t>
      </w:r>
    </w:p>
    <w:p w14:paraId="29FF8E2D"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4BFE20D9" w14:textId="77777777" w:rsidR="00972395" w:rsidRPr="00E73D4B" w:rsidRDefault="00F120C7" w:rsidP="00E73D4B">
      <w:r w:rsidRPr="00E73D4B">
        <w:t>Anmodningsvedtaket vil bli fulgt opp i stortingsmelding om menneskerettighetene til personer med utviklingshemming.</w:t>
      </w:r>
    </w:p>
    <w:p w14:paraId="6F3F1020" w14:textId="77777777" w:rsidR="00972395" w:rsidRPr="00E73D4B" w:rsidRDefault="00F120C7" w:rsidP="00E73D4B">
      <w:pPr>
        <w:pStyle w:val="avsnitt-tittel"/>
      </w:pPr>
      <w:r w:rsidRPr="00E73D4B">
        <w:t>Melding til Stortinget om sikring av menneskerettighetene for utviklingshemmede – rett til arbeid</w:t>
      </w:r>
    </w:p>
    <w:p w14:paraId="615AA006" w14:textId="77777777" w:rsidR="00972395" w:rsidRPr="00E73D4B" w:rsidRDefault="00F120C7" w:rsidP="00E73D4B">
      <w:pPr>
        <w:pStyle w:val="avsnitt-undertittel"/>
      </w:pPr>
      <w:r w:rsidRPr="00E73D4B">
        <w:t>Vedtak 896, 12. juni 2018</w:t>
      </w:r>
    </w:p>
    <w:p w14:paraId="6CB9DE85"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menneskerettigheter der det legges vekt på tiltak som sikrer utviklingshemmede retten til arbeid, herunder tilrettelagt yrkesfagutdanning.»</w:t>
      </w:r>
    </w:p>
    <w:p w14:paraId="319A7413"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0D63DC24" w14:textId="77777777" w:rsidR="00972395" w:rsidRPr="00E73D4B" w:rsidRDefault="00F120C7" w:rsidP="00E73D4B">
      <w:r w:rsidRPr="00E73D4B">
        <w:t>Anmodningsvedtaket vil bli fulgt opp i stortingsmelding om menneskerettighetene til personer med utviklingshemming.</w:t>
      </w:r>
    </w:p>
    <w:p w14:paraId="4B00FF62" w14:textId="77777777" w:rsidR="00972395" w:rsidRPr="00E73D4B" w:rsidRDefault="00F120C7" w:rsidP="00E73D4B">
      <w:pPr>
        <w:pStyle w:val="avsnitt-tittel"/>
      </w:pPr>
      <w:r w:rsidRPr="00E73D4B">
        <w:t>Melding til Stortinget om sikring av menneskerettighetene for utviklingshemmede – rett til helsetjenester</w:t>
      </w:r>
    </w:p>
    <w:p w14:paraId="0052362F" w14:textId="77777777" w:rsidR="00972395" w:rsidRPr="00E73D4B" w:rsidRDefault="00F120C7" w:rsidP="00E73D4B">
      <w:pPr>
        <w:pStyle w:val="avsnitt-undertittel"/>
      </w:pPr>
      <w:r w:rsidRPr="00E73D4B">
        <w:t>Vedtak 897, 12. juni 2018</w:t>
      </w:r>
    </w:p>
    <w:p w14:paraId="6CF56BE8"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menneskerettigheter der det legges vekt på utviklingshemmedes rett til lik tilgang til helsetjenester av god kvalitet som resten av befolkningen.»</w:t>
      </w:r>
    </w:p>
    <w:p w14:paraId="1E39A463"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24642AA1" w14:textId="77777777" w:rsidR="00972395" w:rsidRPr="00E73D4B" w:rsidRDefault="00F120C7" w:rsidP="00E73D4B">
      <w:r w:rsidRPr="00E73D4B">
        <w:t>Anmodningsvedtaket vil bli fulgt opp i stortingsmelding om menneskerettighetene til personer med utviklingshemming.</w:t>
      </w:r>
    </w:p>
    <w:p w14:paraId="31C432F6" w14:textId="77777777" w:rsidR="00972395" w:rsidRPr="00E73D4B" w:rsidRDefault="00F120C7" w:rsidP="00E73D4B">
      <w:pPr>
        <w:pStyle w:val="avsnitt-tittel"/>
      </w:pPr>
      <w:r w:rsidRPr="00E73D4B">
        <w:t>Melding til Stortinget om sikring av menneskerettighetene for utviklingshemmede – universell utforming skolebygg</w:t>
      </w:r>
    </w:p>
    <w:p w14:paraId="4EE3E45A" w14:textId="77777777" w:rsidR="00972395" w:rsidRPr="00E73D4B" w:rsidRDefault="00F120C7" w:rsidP="00E73D4B">
      <w:pPr>
        <w:pStyle w:val="avsnitt-undertittel"/>
      </w:pPr>
      <w:r w:rsidRPr="00E73D4B">
        <w:t>Vedtak 900, 12. juni 2018</w:t>
      </w:r>
    </w:p>
    <w:p w14:paraId="17BC3A7F"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menneskerettigheter der det legges vekt på tilrettelagt undervisning for utviklingshemmede elever i den ordinære skolen, herunder universell utforming av eksisterende skolebygg.»</w:t>
      </w:r>
    </w:p>
    <w:p w14:paraId="2B1CDFE6"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0DC63228" w14:textId="77777777" w:rsidR="00972395" w:rsidRPr="00E73D4B" w:rsidRDefault="00F120C7" w:rsidP="00E73D4B">
      <w:r w:rsidRPr="00E73D4B">
        <w:t>Anmodningsvedtaket vil bli fulgt opp i menneskerettighetene til personer med utviklingshemming.</w:t>
      </w:r>
    </w:p>
    <w:p w14:paraId="077ED378" w14:textId="77777777" w:rsidR="00972395" w:rsidRPr="00E73D4B" w:rsidRDefault="00F120C7" w:rsidP="00E73D4B">
      <w:pPr>
        <w:pStyle w:val="avsnitt-tittel"/>
      </w:pPr>
      <w:r w:rsidRPr="00E73D4B">
        <w:t>Melding til Stortinget om sikring av menneskerettighetene for utviklingshemmede – kjøpe og eie bolig</w:t>
      </w:r>
    </w:p>
    <w:p w14:paraId="27835925" w14:textId="77777777" w:rsidR="00972395" w:rsidRPr="00E73D4B" w:rsidRDefault="00F120C7" w:rsidP="00E73D4B">
      <w:pPr>
        <w:pStyle w:val="avsnitt-undertittel"/>
      </w:pPr>
      <w:r w:rsidRPr="00E73D4B">
        <w:t>Vedtak 901, 12. juni 2018</w:t>
      </w:r>
    </w:p>
    <w:p w14:paraId="74FF9CE8"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menneskerettigheter der det legges vekt på at utviklingshemmede skal ha samme mulighet til å kjøpe og eie egen bolig som andre.»</w:t>
      </w:r>
    </w:p>
    <w:p w14:paraId="0D336087"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070AD26B" w14:textId="77777777" w:rsidR="00972395" w:rsidRPr="00E73D4B" w:rsidRDefault="00F120C7" w:rsidP="00E73D4B">
      <w:r w:rsidRPr="00E73D4B">
        <w:t>Anmodningsvedtaket vil bli fulgt opp i menneskerettighetene til personer med utviklingshemming.</w:t>
      </w:r>
    </w:p>
    <w:p w14:paraId="45370F43" w14:textId="77777777" w:rsidR="00972395" w:rsidRPr="00E73D4B" w:rsidRDefault="00F120C7" w:rsidP="00E73D4B">
      <w:pPr>
        <w:pStyle w:val="avsnitt-tittel"/>
      </w:pPr>
      <w:r w:rsidRPr="00E73D4B">
        <w:t>Melding til Stortinget om sikring av menneskerettighetene for utviklingshemmede – likeverdige tjenester</w:t>
      </w:r>
    </w:p>
    <w:p w14:paraId="6C51669D" w14:textId="77777777" w:rsidR="00972395" w:rsidRPr="00E73D4B" w:rsidRDefault="00F120C7" w:rsidP="00E73D4B">
      <w:pPr>
        <w:pStyle w:val="avsnitt-undertittel"/>
      </w:pPr>
      <w:r w:rsidRPr="00E73D4B">
        <w:t>Vedtak nr. 902, 12. juni 2018</w:t>
      </w:r>
    </w:p>
    <w:p w14:paraId="09DA76BF"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14:paraId="1D0A2B78"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2A326945" w14:textId="77777777" w:rsidR="00972395" w:rsidRPr="00E73D4B" w:rsidRDefault="00F120C7" w:rsidP="00E73D4B">
      <w:r w:rsidRPr="00E73D4B">
        <w:t>Anmodningsvedtaket vil bli fulgt opp i menneskerettighetene til personer med utviklingshemming.</w:t>
      </w:r>
    </w:p>
    <w:p w14:paraId="6AFD4B43" w14:textId="77777777" w:rsidR="00972395" w:rsidRPr="00E73D4B" w:rsidRDefault="00F120C7" w:rsidP="00E73D4B">
      <w:pPr>
        <w:pStyle w:val="avsnitt-tittel"/>
      </w:pPr>
      <w:r w:rsidRPr="00E73D4B">
        <w:t>Melding til Stortinget om sikring av menneskerettighetene for utviklingshemmede – koordinering av tjenester</w:t>
      </w:r>
    </w:p>
    <w:p w14:paraId="123D4952" w14:textId="77777777" w:rsidR="00972395" w:rsidRPr="00E73D4B" w:rsidRDefault="00F120C7" w:rsidP="00E73D4B">
      <w:pPr>
        <w:pStyle w:val="avsnitt-undertittel"/>
      </w:pPr>
      <w:r w:rsidRPr="00E73D4B">
        <w:t>Vedtak 903, 12. juni 2018</w:t>
      </w:r>
    </w:p>
    <w:p w14:paraId="54328B8E"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menneskerettigheter der det legges vekt på å sikre god koordinering av tjenestene til utviklingshemmede i overgangssituasjoner og mellom løpende tjenester, internt i kommunene, og mellom kommune, fylkeskommune og stat.»</w:t>
      </w:r>
    </w:p>
    <w:p w14:paraId="3220AC57"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2A8052B5" w14:textId="77777777" w:rsidR="00972395" w:rsidRPr="00E73D4B" w:rsidRDefault="00F120C7" w:rsidP="00E73D4B">
      <w:r w:rsidRPr="00E73D4B">
        <w:t>Anmodningsvedtaket vil bli fulgt opp i om menneskerettighetene til personer med utviklingshemming.</w:t>
      </w:r>
    </w:p>
    <w:p w14:paraId="17F1C013" w14:textId="77777777" w:rsidR="00972395" w:rsidRPr="00E73D4B" w:rsidRDefault="00F120C7" w:rsidP="00E73D4B">
      <w:pPr>
        <w:pStyle w:val="avsnitt-tittel"/>
      </w:pPr>
      <w:r w:rsidRPr="00E73D4B">
        <w:t>Melding til Stortinget om sikring av menneskerettighetene for utviklingshemmede – FN-konvensjonen om rettighetene til mennesker med nedsatt funksjonsevne</w:t>
      </w:r>
    </w:p>
    <w:p w14:paraId="306255F8" w14:textId="77777777" w:rsidR="00972395" w:rsidRPr="00E73D4B" w:rsidRDefault="00F120C7" w:rsidP="00E73D4B">
      <w:pPr>
        <w:pStyle w:val="avsnitt-undertittel"/>
      </w:pPr>
      <w:r w:rsidRPr="00E73D4B">
        <w:t>Vedtak nr. 904, 12. juni 2018</w:t>
      </w:r>
    </w:p>
    <w:p w14:paraId="4788E65B"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tilnærming på departementsnivå for hvordan man skal nå politiske målsettinger for utviklingshemmede, og sikre en koordinert innsats.»</w:t>
      </w:r>
    </w:p>
    <w:p w14:paraId="69FA1409"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39DF9B73" w14:textId="77777777" w:rsidR="00972395" w:rsidRPr="00E73D4B" w:rsidRDefault="00F120C7" w:rsidP="00E73D4B">
      <w:r w:rsidRPr="00E73D4B">
        <w:t>Anmodningsvedtaket vil bli fulgt opp i om menneskerettighetene til personer med utviklingshemming.</w:t>
      </w:r>
    </w:p>
    <w:p w14:paraId="525B601F" w14:textId="77777777" w:rsidR="00972395" w:rsidRPr="00E73D4B" w:rsidRDefault="00F120C7" w:rsidP="00E73D4B">
      <w:pPr>
        <w:pStyle w:val="avsnitt-tittel"/>
      </w:pPr>
      <w:r w:rsidRPr="00E73D4B">
        <w:t>Melding til Stortinget om sikring av menneskerettighetene for utviklingshemmede – fritidsaktiviteter og livssyn</w:t>
      </w:r>
    </w:p>
    <w:p w14:paraId="16835AD5" w14:textId="77777777" w:rsidR="00972395" w:rsidRPr="00E73D4B" w:rsidRDefault="00F120C7" w:rsidP="00E73D4B">
      <w:pPr>
        <w:pStyle w:val="avsnitt-undertittel"/>
      </w:pPr>
      <w:r w:rsidRPr="00E73D4B">
        <w:t>Vedtak 905, 12. juni 2018</w:t>
      </w:r>
    </w:p>
    <w:p w14:paraId="4840617D" w14:textId="77777777" w:rsidR="00972395" w:rsidRPr="00E73D4B" w:rsidRDefault="00F120C7" w:rsidP="00E73D4B">
      <w:pPr>
        <w:pStyle w:val="blokksit"/>
        <w:rPr>
          <w:rStyle w:val="kursiv"/>
        </w:rPr>
      </w:pPr>
      <w:r w:rsidRPr="00E73D4B">
        <w:rPr>
          <w:rStyle w:val="kursiv"/>
        </w:rPr>
        <w:t>«Stortinget ber regjeringen legge frem en Stortingsmelding om sikring av utviklingshemmedes menneskerettigheter der det legges vekt på å sikre alle muligheter til å drive med meningsfylte fritidsaktiviteter og muligheter for livssynsutøvelse.»</w:t>
      </w:r>
    </w:p>
    <w:p w14:paraId="68E8D685"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477A8B8D" w14:textId="77777777" w:rsidR="00972395" w:rsidRPr="00E73D4B" w:rsidRDefault="00F120C7" w:rsidP="00E73D4B">
      <w:r w:rsidRPr="00E73D4B">
        <w:t>Anmodningsvedtaket vil bli fulgt opp i om menneskerettighetene til personer med utviklingshemming.</w:t>
      </w:r>
    </w:p>
    <w:p w14:paraId="434874E4" w14:textId="77777777" w:rsidR="00972395" w:rsidRPr="00E73D4B" w:rsidRDefault="00F120C7" w:rsidP="00E73D4B">
      <w:pPr>
        <w:pStyle w:val="avsnitt-tittel"/>
      </w:pPr>
      <w:r w:rsidRPr="00E73D4B">
        <w:t>Melding til Stortinget om sikring av menneskerettighetene for utviklingshemmede – skolefritidsordning</w:t>
      </w:r>
    </w:p>
    <w:p w14:paraId="4DB93268" w14:textId="77777777" w:rsidR="00972395" w:rsidRPr="00E73D4B" w:rsidRDefault="00F120C7" w:rsidP="00E73D4B">
      <w:pPr>
        <w:pStyle w:val="avsnitt-undertittel"/>
      </w:pPr>
      <w:r w:rsidRPr="00E73D4B">
        <w:t>Vedtak 906, 12. juni 2018</w:t>
      </w:r>
    </w:p>
    <w:p w14:paraId="54CFA8FB" w14:textId="77777777" w:rsidR="00972395" w:rsidRPr="00E73D4B" w:rsidRDefault="00F120C7" w:rsidP="00E73D4B">
      <w:pPr>
        <w:pStyle w:val="blokksit"/>
        <w:rPr>
          <w:rStyle w:val="kursiv"/>
        </w:rPr>
      </w:pPr>
      <w:r w:rsidRPr="00E73D4B">
        <w:rPr>
          <w:rStyle w:val="kursiv"/>
        </w:rPr>
        <w:t>«Stortinget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w:t>
      </w:r>
      <w:proofErr w:type="spellStart"/>
      <w:r w:rsidRPr="00E73D4B">
        <w:rPr>
          <w:rStyle w:val="kursiv"/>
        </w:rPr>
        <w:t>årstrinn</w:t>
      </w:r>
      <w:proofErr w:type="spellEnd"/>
      <w:r w:rsidRPr="00E73D4B">
        <w:rPr>
          <w:rStyle w:val="kursiv"/>
        </w:rPr>
        <w:t xml:space="preserve">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14:paraId="3D927FEC" w14:textId="77777777" w:rsidR="00972395" w:rsidRPr="00E73D4B" w:rsidRDefault="00F120C7" w:rsidP="00E73D4B">
      <w:r w:rsidRPr="00E73D4B">
        <w:t xml:space="preserve">Anmodningsvedtaket ble gjort i forbindelse med behandling av et representantforslag om rettigheter og likeverd for utviklingshemmede og om tiltak som styrker de grunnleggende rettighetene til mennesker med utviklingshemming, jf. Dokument 8:172 S (2017–2018) og </w:t>
      </w:r>
      <w:proofErr w:type="spellStart"/>
      <w:r w:rsidRPr="00E73D4B">
        <w:t>Innst</w:t>
      </w:r>
      <w:proofErr w:type="spellEnd"/>
      <w:r w:rsidRPr="00E73D4B">
        <w:t>. 377 S (2017–2018).</w:t>
      </w:r>
    </w:p>
    <w:p w14:paraId="3842594D" w14:textId="77777777" w:rsidR="00972395" w:rsidRPr="00E73D4B" w:rsidRDefault="00F120C7" w:rsidP="00E73D4B">
      <w:r w:rsidRPr="00E73D4B">
        <w:t>Anmodningsvedtaket vil bli fulgt opp i om menneskerettighetene til personer med utviklingshemming.</w:t>
      </w:r>
    </w:p>
    <w:p w14:paraId="6468AD45" w14:textId="77777777" w:rsidR="00972395" w:rsidRPr="00E73D4B" w:rsidRDefault="00F120C7" w:rsidP="00E73D4B">
      <w:pPr>
        <w:pStyle w:val="Overskrift2"/>
      </w:pPr>
      <w:r w:rsidRPr="00E73D4B">
        <w:t>Stortingssesjon 2016–2017</w:t>
      </w:r>
    </w:p>
    <w:p w14:paraId="1ECC2927" w14:textId="77777777" w:rsidR="00972395" w:rsidRPr="00E73D4B" w:rsidRDefault="00F120C7" w:rsidP="00E73D4B">
      <w:pPr>
        <w:pStyle w:val="avsnitt-tittel"/>
      </w:pPr>
      <w:proofErr w:type="spellStart"/>
      <w:r w:rsidRPr="00E73D4B">
        <w:t>Hovedbingospill</w:t>
      </w:r>
      <w:proofErr w:type="spellEnd"/>
      <w:r w:rsidRPr="00E73D4B">
        <w:t xml:space="preserve"> via internett</w:t>
      </w:r>
    </w:p>
    <w:p w14:paraId="19538507" w14:textId="77777777" w:rsidR="00972395" w:rsidRPr="00E73D4B" w:rsidRDefault="00F120C7" w:rsidP="00E73D4B">
      <w:pPr>
        <w:pStyle w:val="avsnitt-undertittel"/>
      </w:pPr>
      <w:r w:rsidRPr="00E73D4B">
        <w:t>Vedtak nr. 638, 2. mai 2017</w:t>
      </w:r>
    </w:p>
    <w:p w14:paraId="34231870" w14:textId="77777777" w:rsidR="00972395" w:rsidRPr="00E73D4B" w:rsidRDefault="00F120C7" w:rsidP="00E73D4B">
      <w:pPr>
        <w:pStyle w:val="blokksit"/>
        <w:rPr>
          <w:rStyle w:val="kursiv"/>
        </w:rPr>
      </w:pPr>
      <w:r w:rsidRPr="00E73D4B">
        <w:rPr>
          <w:rStyle w:val="kursiv"/>
        </w:rPr>
        <w:t xml:space="preserve">«Stortinget ber regjeringen innen to år evaluere effektene av at det åpnes for at spillere kan delta i </w:t>
      </w:r>
      <w:proofErr w:type="spellStart"/>
      <w:r w:rsidRPr="00E73D4B">
        <w:rPr>
          <w:rStyle w:val="kursiv"/>
        </w:rPr>
        <w:t>hovedbingospill</w:t>
      </w:r>
      <w:proofErr w:type="spellEnd"/>
      <w:r w:rsidRPr="00E73D4B">
        <w:rPr>
          <w:rStyle w:val="kursiv"/>
        </w:rPr>
        <w:t xml:space="preserve"> via internett.»</w:t>
      </w:r>
    </w:p>
    <w:p w14:paraId="416D51AF" w14:textId="77777777" w:rsidR="00972395" w:rsidRPr="00E73D4B" w:rsidRDefault="00F120C7" w:rsidP="00E73D4B">
      <w:r w:rsidRPr="00E73D4B">
        <w:t xml:space="preserve">Dokumentet som ligger til grunn for anmodningsvedtaket, er </w:t>
      </w:r>
      <w:proofErr w:type="spellStart"/>
      <w:r w:rsidRPr="00E73D4B">
        <w:t>Innst</w:t>
      </w:r>
      <w:proofErr w:type="spellEnd"/>
      <w:r w:rsidRPr="00E73D4B">
        <w:t xml:space="preserve">. 250 S (2016–2017), jf. Meld. St. 12 (2016–2017) </w:t>
      </w:r>
      <w:r w:rsidRPr="00E73D4B">
        <w:rPr>
          <w:rStyle w:val="kursiv"/>
        </w:rPr>
        <w:t xml:space="preserve">Alt å vinne – </w:t>
      </w:r>
      <w:proofErr w:type="spellStart"/>
      <w:r w:rsidRPr="00E73D4B">
        <w:rPr>
          <w:rStyle w:val="kursiv"/>
        </w:rPr>
        <w:t>Ein</w:t>
      </w:r>
      <w:proofErr w:type="spellEnd"/>
      <w:r w:rsidRPr="00E73D4B">
        <w:rPr>
          <w:rStyle w:val="kursiv"/>
        </w:rPr>
        <w:t xml:space="preserve"> </w:t>
      </w:r>
      <w:proofErr w:type="spellStart"/>
      <w:r w:rsidRPr="00E73D4B">
        <w:rPr>
          <w:rStyle w:val="kursiv"/>
        </w:rPr>
        <w:t>ansvarleg</w:t>
      </w:r>
      <w:proofErr w:type="spellEnd"/>
      <w:r w:rsidRPr="00E73D4B">
        <w:rPr>
          <w:rStyle w:val="kursiv"/>
        </w:rPr>
        <w:t xml:space="preserve"> og aktiv pengespelpolitikk.</w:t>
      </w:r>
    </w:p>
    <w:p w14:paraId="19E38DFA" w14:textId="77777777" w:rsidR="00972395" w:rsidRPr="00E73D4B" w:rsidRDefault="00F120C7" w:rsidP="00E73D4B">
      <w:r w:rsidRPr="00E73D4B">
        <w:t xml:space="preserve">Departementet har mottatt Lotteritilsynets evaluering av effektene av at det ble åpnet for hovedspill via internett. Når det gjaldt muligheten til å spille hovedspill på internett, konkluderte Lotteritilsynet med at det vil være forsvarlig å videreføre denne muligheten under forutsetning av at muligheten til pause og utestengelse videreføres. I tillegg bør det ifølge Lotteritilsynet også ses på innføring av nye ansvarlighetsverktøy. Forslag til ny pengespillforskrift ble sendt på høring i mai 2022. Som del av dette forslaget ble det foreslått å innføre flere nye ansvarlighetstiltak for bingo, herunder forslag om å innføre tapsgrenser og obligatorisk </w:t>
      </w:r>
      <w:proofErr w:type="spellStart"/>
      <w:r w:rsidRPr="00E73D4B">
        <w:t>spillpause</w:t>
      </w:r>
      <w:proofErr w:type="spellEnd"/>
      <w:r w:rsidRPr="00E73D4B">
        <w:t xml:space="preserve"> for elektronisk hovedspill og databingo. Hovedspill på nett vil også være omfattet av dette. Det ble på denne bakgrunn foreslått i høringsnotatet at muligheten til å spille hovedspill på nett videreføres.</w:t>
      </w:r>
    </w:p>
    <w:p w14:paraId="49CA7CC5" w14:textId="77777777" w:rsidR="00972395" w:rsidRPr="00E73D4B" w:rsidRDefault="00F120C7" w:rsidP="00E73D4B">
      <w:r w:rsidRPr="00E73D4B">
        <w:t>Anmodningsvedtaket anses som fulgt opp, og rapporteringen avsluttes.</w:t>
      </w:r>
    </w:p>
    <w:p w14:paraId="7821804F" w14:textId="77777777" w:rsidR="00972395" w:rsidRPr="00E73D4B" w:rsidRDefault="00F120C7" w:rsidP="00E73D4B">
      <w:pPr>
        <w:pStyle w:val="Overskrift2"/>
      </w:pPr>
      <w:r w:rsidRPr="00E73D4B">
        <w:t>Stortingssesjon 2014–2015</w:t>
      </w:r>
    </w:p>
    <w:p w14:paraId="3844425F" w14:textId="77777777" w:rsidR="00972395" w:rsidRPr="00E73D4B" w:rsidRDefault="00F120C7" w:rsidP="00E73D4B">
      <w:pPr>
        <w:pStyle w:val="avsnitt-tittel"/>
      </w:pPr>
      <w:r w:rsidRPr="00E73D4B">
        <w:t>Nasjonalgalleriet</w:t>
      </w:r>
    </w:p>
    <w:p w14:paraId="2DB3111A" w14:textId="77777777" w:rsidR="00972395" w:rsidRPr="00E73D4B" w:rsidRDefault="00F120C7" w:rsidP="00E73D4B">
      <w:pPr>
        <w:pStyle w:val="avsnitt-undertittel"/>
      </w:pPr>
      <w:r w:rsidRPr="00E73D4B">
        <w:t>Vedtak nr. 60, 1. desember 2014</w:t>
      </w:r>
    </w:p>
    <w:p w14:paraId="49A3DD13" w14:textId="77777777" w:rsidR="00972395" w:rsidRPr="00E73D4B" w:rsidRDefault="00F120C7" w:rsidP="00E73D4B">
      <w:pPr>
        <w:pStyle w:val="blokksit"/>
        <w:rPr>
          <w:rStyle w:val="kursiv"/>
        </w:rPr>
      </w:pPr>
      <w:r w:rsidRPr="00E73D4B">
        <w:rPr>
          <w:rStyle w:val="kursiv"/>
        </w:rPr>
        <w:t>«Stortinget ber regjeringen vurdere om Nasjonalgalleriet kan være en del av Nasjonalmuseet for kunst, arkitektur og design uten ny totalrenovering.»</w:t>
      </w:r>
    </w:p>
    <w:p w14:paraId="2E64F872" w14:textId="77777777" w:rsidR="00972395" w:rsidRPr="00E73D4B" w:rsidRDefault="00F120C7" w:rsidP="00E73D4B">
      <w:r w:rsidRPr="00E73D4B">
        <w:t xml:space="preserve">Dokumentet som ligger til grunn for anmodningsvedtaket, er </w:t>
      </w:r>
      <w:proofErr w:type="spellStart"/>
      <w:r w:rsidRPr="00E73D4B">
        <w:t>Innst</w:t>
      </w:r>
      <w:proofErr w:type="spellEnd"/>
      <w:r w:rsidRPr="00E73D4B">
        <w:t>. 2 S Tillegg 1 (2014–2015) fra finanskomiteen om nasjonalbudsjettet for 2015 og forslaget til statsbudsjett for 2015.</w:t>
      </w:r>
    </w:p>
    <w:p w14:paraId="729BFF62" w14:textId="77777777" w:rsidR="00972395" w:rsidRPr="00E73D4B" w:rsidRDefault="00F120C7" w:rsidP="00E73D4B">
      <w:r w:rsidRPr="00E73D4B">
        <w:t>Statsbygg er gitt i oppdrag å se nærmere på muligheten for å etablere en ny moderne scene for Nationaltheatret på Tullinløkka. I den forbindelse skal det også vurderes om en del av arealbehovet kan dekkes ved å plassere publikumsarealer og en del andre teaterfunksjoner i deler av bygningen Nasjonalgalleriet. Det er naturlig å avvente utfallet av denne mulighetsstudien før det eventuelt arbeides videre med andre alternativer. Departementet vil komme tilbake til Stortinget på egnet måte.</w:t>
      </w:r>
    </w:p>
    <w:p w14:paraId="65A147DD" w14:textId="77777777" w:rsidR="00972395" w:rsidRPr="00E73D4B" w:rsidRDefault="00F120C7" w:rsidP="00E73D4B">
      <w:pPr>
        <w:pStyle w:val="Overskrift1"/>
      </w:pPr>
      <w:proofErr w:type="spellStart"/>
      <w:r w:rsidRPr="00E73D4B">
        <w:t>Kunnskapsdepartmentet</w:t>
      </w:r>
      <w:proofErr w:type="spellEnd"/>
    </w:p>
    <w:p w14:paraId="774ECD76" w14:textId="77777777" w:rsidR="00972395" w:rsidRPr="00E73D4B" w:rsidRDefault="00F120C7" w:rsidP="00E73D4B">
      <w:proofErr w:type="spellStart"/>
      <w:r w:rsidRPr="00E73D4B">
        <w:t>Nedanfor</w:t>
      </w:r>
      <w:proofErr w:type="spellEnd"/>
      <w:r w:rsidRPr="00E73D4B">
        <w:t xml:space="preserve"> er </w:t>
      </w:r>
      <w:proofErr w:type="gramStart"/>
      <w:r w:rsidRPr="00E73D4B">
        <w:t>ei oversikt</w:t>
      </w:r>
      <w:proofErr w:type="gramEnd"/>
      <w:r w:rsidRPr="00E73D4B">
        <w:t xml:space="preserve"> over oppfølging av oppmodingsvedtak under Kunnskapsdepartementet. </w:t>
      </w:r>
      <w:proofErr w:type="spellStart"/>
      <w:r w:rsidRPr="00E73D4B">
        <w:t>Oversikta</w:t>
      </w:r>
      <w:proofErr w:type="spellEnd"/>
      <w:r w:rsidRPr="00E73D4B">
        <w:t xml:space="preserve"> </w:t>
      </w:r>
      <w:proofErr w:type="spellStart"/>
      <w:r w:rsidRPr="00E73D4B">
        <w:t>omfattar</w:t>
      </w:r>
      <w:proofErr w:type="spellEnd"/>
      <w:r w:rsidRPr="00E73D4B">
        <w:t xml:space="preserve"> alle vedtak </w:t>
      </w:r>
      <w:proofErr w:type="spellStart"/>
      <w:r w:rsidRPr="00E73D4B">
        <w:t>frå</w:t>
      </w:r>
      <w:proofErr w:type="spellEnd"/>
      <w:r w:rsidRPr="00E73D4B">
        <w:t xml:space="preserve"> stortingssesjonen 2021–2022 og alle vedtak </w:t>
      </w:r>
      <w:proofErr w:type="spellStart"/>
      <w:r w:rsidRPr="00E73D4B">
        <w:t>frå</w:t>
      </w:r>
      <w:proofErr w:type="spellEnd"/>
      <w:r w:rsidRPr="00E73D4B">
        <w:t xml:space="preserve"> </w:t>
      </w:r>
      <w:proofErr w:type="spellStart"/>
      <w:r w:rsidRPr="00E73D4B">
        <w:t>tidlegare</w:t>
      </w:r>
      <w:proofErr w:type="spellEnd"/>
      <w:r w:rsidRPr="00E73D4B">
        <w:t xml:space="preserve"> </w:t>
      </w:r>
      <w:proofErr w:type="spellStart"/>
      <w:r w:rsidRPr="00E73D4B">
        <w:t>sesjonar</w:t>
      </w:r>
      <w:proofErr w:type="spellEnd"/>
      <w:r w:rsidRPr="00E73D4B">
        <w:t xml:space="preserve"> som kontroll- og konstitusjonskomiteen i </w:t>
      </w:r>
      <w:proofErr w:type="spellStart"/>
      <w:r w:rsidRPr="00E73D4B">
        <w:t>Innst</w:t>
      </w:r>
      <w:proofErr w:type="spellEnd"/>
      <w:r w:rsidRPr="00E73D4B">
        <w:t xml:space="preserve">. 141 S (2021–2022) meinte </w:t>
      </w:r>
      <w:proofErr w:type="spellStart"/>
      <w:r w:rsidRPr="00E73D4B">
        <w:t>ikkje</w:t>
      </w:r>
      <w:proofErr w:type="spellEnd"/>
      <w:r w:rsidRPr="00E73D4B">
        <w:t xml:space="preserve"> var </w:t>
      </w:r>
      <w:proofErr w:type="spellStart"/>
      <w:r w:rsidRPr="00E73D4B">
        <w:t>følgde</w:t>
      </w:r>
      <w:proofErr w:type="spellEnd"/>
      <w:r w:rsidRPr="00E73D4B">
        <w:t xml:space="preserve"> opp ferdig (50 stk.).</w:t>
      </w:r>
    </w:p>
    <w:p w14:paraId="252D2274" w14:textId="77777777" w:rsidR="00972395" w:rsidRPr="00E73D4B" w:rsidRDefault="00F120C7" w:rsidP="00E73D4B">
      <w:r w:rsidRPr="00E73D4B">
        <w:t xml:space="preserve">I kolonnen lengst til høgre i tabell 11.1 er det ført opp om departementet </w:t>
      </w:r>
      <w:proofErr w:type="spellStart"/>
      <w:r w:rsidRPr="00E73D4B">
        <w:t>reknar</w:t>
      </w:r>
      <w:proofErr w:type="spellEnd"/>
      <w:r w:rsidRPr="00E73D4B">
        <w:t xml:space="preserve"> med at rapporteringa om vedtaket </w:t>
      </w:r>
      <w:proofErr w:type="spellStart"/>
      <w:r w:rsidRPr="00E73D4B">
        <w:t>no</w:t>
      </w:r>
      <w:proofErr w:type="spellEnd"/>
      <w:r w:rsidRPr="00E73D4B">
        <w:t xml:space="preserve"> blir avslutta, eller om det vil rapportere konkret om det i budsjettframlegget neste år òg. Ei rapportering som </w:t>
      </w:r>
      <w:proofErr w:type="spellStart"/>
      <w:r w:rsidRPr="00E73D4B">
        <w:t>inneber</w:t>
      </w:r>
      <w:proofErr w:type="spellEnd"/>
      <w:r w:rsidRPr="00E73D4B">
        <w:t xml:space="preserve"> at departementet skal legge fram ei konkret sak for Stortinget, vil normalt først bli avslutta når slikt framlegg er gjort.</w:t>
      </w:r>
    </w:p>
    <w:p w14:paraId="4F8F75E9" w14:textId="04926F6C" w:rsidR="00972395" w:rsidRDefault="00F120C7" w:rsidP="00E73D4B">
      <w:proofErr w:type="spellStart"/>
      <w:r w:rsidRPr="00E73D4B">
        <w:t>Sjølv</w:t>
      </w:r>
      <w:proofErr w:type="spellEnd"/>
      <w:r w:rsidRPr="00E73D4B">
        <w:t xml:space="preserve"> om det i tabellen er oppgitt at rapporteringa blir avslutta, vil det stundom </w:t>
      </w:r>
      <w:proofErr w:type="spellStart"/>
      <w:r w:rsidRPr="00E73D4B">
        <w:t>vere</w:t>
      </w:r>
      <w:proofErr w:type="spellEnd"/>
      <w:r w:rsidRPr="00E73D4B">
        <w:t xml:space="preserve"> slik at oppfølginga av alle sider av vedtaket </w:t>
      </w:r>
      <w:proofErr w:type="spellStart"/>
      <w:r w:rsidRPr="00E73D4B">
        <w:t>ikkje</w:t>
      </w:r>
      <w:proofErr w:type="spellEnd"/>
      <w:r w:rsidRPr="00E73D4B">
        <w:t xml:space="preserve"> er sluttført. Dette kan til dømes gjelde oppmoding om å vareta </w:t>
      </w:r>
      <w:proofErr w:type="spellStart"/>
      <w:r w:rsidRPr="00E73D4B">
        <w:t>særlege</w:t>
      </w:r>
      <w:proofErr w:type="spellEnd"/>
      <w:r w:rsidRPr="00E73D4B">
        <w:t xml:space="preserve"> omsyn i politikkutforminga på </w:t>
      </w:r>
      <w:proofErr w:type="spellStart"/>
      <w:r w:rsidRPr="00E73D4B">
        <w:t>eit</w:t>
      </w:r>
      <w:proofErr w:type="spellEnd"/>
      <w:r w:rsidRPr="00E73D4B">
        <w:t xml:space="preserve"> område, og der oppfølginga vil kunne gå over </w:t>
      </w:r>
      <w:proofErr w:type="spellStart"/>
      <w:r w:rsidRPr="00E73D4B">
        <w:t>fleire</w:t>
      </w:r>
      <w:proofErr w:type="spellEnd"/>
      <w:r w:rsidRPr="00E73D4B">
        <w:t xml:space="preserve"> år. I slike </w:t>
      </w:r>
      <w:proofErr w:type="spellStart"/>
      <w:r w:rsidRPr="00E73D4B">
        <w:t>tilfelle</w:t>
      </w:r>
      <w:proofErr w:type="spellEnd"/>
      <w:r w:rsidRPr="00E73D4B">
        <w:t xml:space="preserve"> blir Stortinget orientert om oppfølginga slik som </w:t>
      </w:r>
      <w:proofErr w:type="spellStart"/>
      <w:r w:rsidRPr="00E73D4B">
        <w:t>elles</w:t>
      </w:r>
      <w:proofErr w:type="spellEnd"/>
      <w:r w:rsidRPr="00E73D4B">
        <w:t xml:space="preserve"> gjennom omtale av det relevante politikkområdet i andre dokument til Stortinget.</w:t>
      </w:r>
    </w:p>
    <w:p w14:paraId="00C932CB" w14:textId="41AE3DD5" w:rsidR="001C4219" w:rsidRPr="00E73D4B" w:rsidRDefault="001C4219" w:rsidP="001C4219">
      <w:pPr>
        <w:pStyle w:val="tabell-tittel"/>
      </w:pPr>
      <w:r w:rsidRPr="00E73D4B">
        <w:t>Oppmodingsvedtak</w:t>
      </w:r>
    </w:p>
    <w:p w14:paraId="4DAB4735"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418"/>
        <w:gridCol w:w="1233"/>
        <w:gridCol w:w="5287"/>
        <w:gridCol w:w="1262"/>
      </w:tblGrid>
      <w:tr w:rsidR="00972395" w:rsidRPr="00E73D4B" w14:paraId="6F22FE02" w14:textId="77777777" w:rsidTr="007116DC">
        <w:trPr>
          <w:trHeight w:val="600"/>
        </w:trPr>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9DDABB0" w14:textId="77777777" w:rsidR="00972395" w:rsidRPr="00E73D4B" w:rsidRDefault="00F120C7" w:rsidP="001C4219">
            <w:r w:rsidRPr="00E73D4B">
              <w:t>Sesjon</w:t>
            </w:r>
          </w:p>
        </w:tc>
        <w:tc>
          <w:tcPr>
            <w:tcW w:w="123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10467F" w14:textId="77777777" w:rsidR="00972395" w:rsidRPr="00E73D4B" w:rsidRDefault="00F120C7" w:rsidP="001C4219">
            <w:pPr>
              <w:jc w:val="right"/>
            </w:pPr>
            <w:r w:rsidRPr="00E73D4B">
              <w:t>Vedtak nr.</w:t>
            </w:r>
          </w:p>
        </w:tc>
        <w:tc>
          <w:tcPr>
            <w:tcW w:w="52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6D3B85" w14:textId="77777777" w:rsidR="00972395" w:rsidRPr="00E73D4B" w:rsidRDefault="00F120C7" w:rsidP="001C4219">
            <w:r w:rsidRPr="00E73D4B">
              <w:t>Stikkord</w:t>
            </w:r>
          </w:p>
        </w:tc>
        <w:tc>
          <w:tcPr>
            <w:tcW w:w="126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913ECC" w14:textId="77777777" w:rsidR="00972395" w:rsidRPr="00E73D4B" w:rsidRDefault="00F120C7" w:rsidP="001C4219">
            <w:pPr>
              <w:jc w:val="right"/>
            </w:pPr>
            <w:proofErr w:type="spellStart"/>
            <w:r w:rsidRPr="00E73D4B">
              <w:t>Følgt</w:t>
            </w:r>
            <w:proofErr w:type="spellEnd"/>
            <w:r w:rsidRPr="00E73D4B">
              <w:t xml:space="preserve"> opp (ja/nei) </w:t>
            </w:r>
          </w:p>
        </w:tc>
      </w:tr>
      <w:tr w:rsidR="00972395" w:rsidRPr="00E73D4B" w14:paraId="1C2AE21D" w14:textId="77777777" w:rsidTr="007116DC">
        <w:trPr>
          <w:trHeight w:val="380"/>
        </w:trPr>
        <w:tc>
          <w:tcPr>
            <w:tcW w:w="1418" w:type="dxa"/>
            <w:tcBorders>
              <w:top w:val="single" w:sz="4" w:space="0" w:color="000000"/>
              <w:left w:val="nil"/>
              <w:bottom w:val="nil"/>
              <w:right w:val="nil"/>
            </w:tcBorders>
            <w:tcMar>
              <w:top w:w="128" w:type="dxa"/>
              <w:left w:w="43" w:type="dxa"/>
              <w:bottom w:w="43" w:type="dxa"/>
              <w:right w:w="43" w:type="dxa"/>
            </w:tcMar>
          </w:tcPr>
          <w:p w14:paraId="2C779421" w14:textId="77777777" w:rsidR="00972395" w:rsidRPr="00E73D4B" w:rsidRDefault="00F120C7" w:rsidP="001C4219">
            <w:r w:rsidRPr="00E73D4B">
              <w:t>2021–2022</w:t>
            </w:r>
          </w:p>
        </w:tc>
        <w:tc>
          <w:tcPr>
            <w:tcW w:w="1233" w:type="dxa"/>
            <w:tcBorders>
              <w:top w:val="single" w:sz="4" w:space="0" w:color="000000"/>
              <w:left w:val="nil"/>
              <w:bottom w:val="nil"/>
              <w:right w:val="nil"/>
            </w:tcBorders>
            <w:tcMar>
              <w:top w:w="128" w:type="dxa"/>
              <w:left w:w="43" w:type="dxa"/>
              <w:bottom w:w="43" w:type="dxa"/>
              <w:right w:w="43" w:type="dxa"/>
            </w:tcMar>
          </w:tcPr>
          <w:p w14:paraId="027A8424" w14:textId="77777777" w:rsidR="00972395" w:rsidRPr="00E73D4B" w:rsidRDefault="00F120C7" w:rsidP="001C4219">
            <w:pPr>
              <w:jc w:val="right"/>
            </w:pPr>
            <w:r w:rsidRPr="00E73D4B">
              <w:t>35, pkt. 44</w:t>
            </w:r>
          </w:p>
        </w:tc>
        <w:tc>
          <w:tcPr>
            <w:tcW w:w="5287" w:type="dxa"/>
            <w:tcBorders>
              <w:top w:val="single" w:sz="4" w:space="0" w:color="000000"/>
              <w:left w:val="nil"/>
              <w:bottom w:val="nil"/>
              <w:right w:val="nil"/>
            </w:tcBorders>
            <w:tcMar>
              <w:top w:w="128" w:type="dxa"/>
              <w:left w:w="43" w:type="dxa"/>
              <w:bottom w:w="43" w:type="dxa"/>
              <w:right w:w="43" w:type="dxa"/>
            </w:tcMar>
          </w:tcPr>
          <w:p w14:paraId="312C1DDD" w14:textId="77777777" w:rsidR="00972395" w:rsidRPr="00E73D4B" w:rsidRDefault="00F120C7" w:rsidP="001C4219">
            <w:r w:rsidRPr="00E73D4B">
              <w:t xml:space="preserve">Meldeplikt ved overføring av </w:t>
            </w:r>
            <w:proofErr w:type="spellStart"/>
            <w:r w:rsidRPr="00E73D4B">
              <w:t>eigedomsrett</w:t>
            </w:r>
            <w:proofErr w:type="spellEnd"/>
            <w:r w:rsidRPr="00E73D4B">
              <w:t xml:space="preserve"> til barnehage</w:t>
            </w:r>
          </w:p>
        </w:tc>
        <w:tc>
          <w:tcPr>
            <w:tcW w:w="1262" w:type="dxa"/>
            <w:tcBorders>
              <w:top w:val="single" w:sz="4" w:space="0" w:color="000000"/>
              <w:left w:val="nil"/>
              <w:bottom w:val="nil"/>
              <w:right w:val="nil"/>
            </w:tcBorders>
            <w:tcMar>
              <w:top w:w="128" w:type="dxa"/>
              <w:left w:w="43" w:type="dxa"/>
              <w:bottom w:w="43" w:type="dxa"/>
              <w:right w:w="43" w:type="dxa"/>
            </w:tcMar>
          </w:tcPr>
          <w:p w14:paraId="04827764" w14:textId="77777777" w:rsidR="00972395" w:rsidRPr="00E73D4B" w:rsidRDefault="00F120C7" w:rsidP="001C4219">
            <w:pPr>
              <w:jc w:val="right"/>
            </w:pPr>
            <w:r w:rsidRPr="00E73D4B">
              <w:t>Nei</w:t>
            </w:r>
          </w:p>
        </w:tc>
      </w:tr>
      <w:tr w:rsidR="00972395" w:rsidRPr="00E73D4B" w14:paraId="0D344C92" w14:textId="77777777" w:rsidTr="007116DC">
        <w:trPr>
          <w:trHeight w:val="640"/>
        </w:trPr>
        <w:tc>
          <w:tcPr>
            <w:tcW w:w="1418" w:type="dxa"/>
            <w:tcBorders>
              <w:top w:val="nil"/>
              <w:left w:val="nil"/>
              <w:bottom w:val="nil"/>
              <w:right w:val="nil"/>
            </w:tcBorders>
            <w:tcMar>
              <w:top w:w="128" w:type="dxa"/>
              <w:left w:w="43" w:type="dxa"/>
              <w:bottom w:w="43" w:type="dxa"/>
              <w:right w:w="43" w:type="dxa"/>
            </w:tcMar>
          </w:tcPr>
          <w:p w14:paraId="34314183" w14:textId="77777777" w:rsidR="00972395" w:rsidRPr="00E73D4B" w:rsidRDefault="00F120C7" w:rsidP="001C4219">
            <w:r w:rsidRPr="00E73D4B">
              <w:t>2021–2022</w:t>
            </w:r>
          </w:p>
        </w:tc>
        <w:tc>
          <w:tcPr>
            <w:tcW w:w="1233" w:type="dxa"/>
            <w:tcBorders>
              <w:top w:val="nil"/>
              <w:left w:val="nil"/>
              <w:bottom w:val="nil"/>
              <w:right w:val="nil"/>
            </w:tcBorders>
            <w:tcMar>
              <w:top w:w="128" w:type="dxa"/>
              <w:left w:w="43" w:type="dxa"/>
              <w:bottom w:w="43" w:type="dxa"/>
              <w:right w:w="43" w:type="dxa"/>
            </w:tcMar>
          </w:tcPr>
          <w:p w14:paraId="60AB034C" w14:textId="77777777" w:rsidR="00972395" w:rsidRPr="00E73D4B" w:rsidRDefault="00F120C7" w:rsidP="001C4219">
            <w:pPr>
              <w:jc w:val="right"/>
            </w:pPr>
            <w:r w:rsidRPr="00E73D4B">
              <w:t>35, pkt. 45</w:t>
            </w:r>
          </w:p>
        </w:tc>
        <w:tc>
          <w:tcPr>
            <w:tcW w:w="5287" w:type="dxa"/>
            <w:tcBorders>
              <w:top w:val="nil"/>
              <w:left w:val="nil"/>
              <w:bottom w:val="nil"/>
              <w:right w:val="nil"/>
            </w:tcBorders>
            <w:tcMar>
              <w:top w:w="128" w:type="dxa"/>
              <w:left w:w="43" w:type="dxa"/>
              <w:bottom w:w="43" w:type="dxa"/>
              <w:right w:w="43" w:type="dxa"/>
            </w:tcMar>
          </w:tcPr>
          <w:p w14:paraId="1BAA6A1B" w14:textId="77777777" w:rsidR="00972395" w:rsidRPr="00E73D4B" w:rsidRDefault="00F120C7" w:rsidP="001C4219">
            <w:r w:rsidRPr="00E73D4B">
              <w:t xml:space="preserve">Gjeninnføre rett for </w:t>
            </w:r>
            <w:proofErr w:type="spellStart"/>
            <w:r w:rsidRPr="00E73D4B">
              <w:t>kommunane</w:t>
            </w:r>
            <w:proofErr w:type="spellEnd"/>
            <w:r w:rsidRPr="00E73D4B">
              <w:t xml:space="preserve"> til å føre tilsyn med private </w:t>
            </w:r>
            <w:proofErr w:type="spellStart"/>
            <w:r w:rsidRPr="00E73D4B">
              <w:t>barnehagar</w:t>
            </w:r>
            <w:proofErr w:type="spellEnd"/>
          </w:p>
        </w:tc>
        <w:tc>
          <w:tcPr>
            <w:tcW w:w="1262" w:type="dxa"/>
            <w:tcBorders>
              <w:top w:val="nil"/>
              <w:left w:val="nil"/>
              <w:bottom w:val="nil"/>
              <w:right w:val="nil"/>
            </w:tcBorders>
            <w:tcMar>
              <w:top w:w="128" w:type="dxa"/>
              <w:left w:w="43" w:type="dxa"/>
              <w:bottom w:w="43" w:type="dxa"/>
              <w:right w:w="43" w:type="dxa"/>
            </w:tcMar>
          </w:tcPr>
          <w:p w14:paraId="73B54C12" w14:textId="77777777" w:rsidR="00972395" w:rsidRPr="00E73D4B" w:rsidRDefault="00F120C7" w:rsidP="001C4219">
            <w:pPr>
              <w:jc w:val="right"/>
            </w:pPr>
            <w:r w:rsidRPr="00E73D4B">
              <w:t>Nei</w:t>
            </w:r>
          </w:p>
        </w:tc>
      </w:tr>
      <w:tr w:rsidR="00972395" w:rsidRPr="00E73D4B" w14:paraId="1D6C7D5B"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A6A4499" w14:textId="77777777" w:rsidR="00972395" w:rsidRPr="00E73D4B" w:rsidRDefault="00F120C7" w:rsidP="001C4219">
            <w:r w:rsidRPr="00E73D4B">
              <w:t>2021–2022</w:t>
            </w:r>
          </w:p>
        </w:tc>
        <w:tc>
          <w:tcPr>
            <w:tcW w:w="1233" w:type="dxa"/>
            <w:tcBorders>
              <w:top w:val="nil"/>
              <w:left w:val="nil"/>
              <w:bottom w:val="nil"/>
              <w:right w:val="nil"/>
            </w:tcBorders>
            <w:tcMar>
              <w:top w:w="128" w:type="dxa"/>
              <w:left w:w="43" w:type="dxa"/>
              <w:bottom w:w="43" w:type="dxa"/>
              <w:right w:w="43" w:type="dxa"/>
            </w:tcMar>
          </w:tcPr>
          <w:p w14:paraId="49D666F7" w14:textId="77777777" w:rsidR="00972395" w:rsidRPr="00E73D4B" w:rsidRDefault="00F120C7" w:rsidP="001C4219">
            <w:pPr>
              <w:jc w:val="right"/>
            </w:pPr>
            <w:r w:rsidRPr="00E73D4B">
              <w:t>35, pkt. 53</w:t>
            </w:r>
          </w:p>
        </w:tc>
        <w:tc>
          <w:tcPr>
            <w:tcW w:w="5287" w:type="dxa"/>
            <w:tcBorders>
              <w:top w:val="nil"/>
              <w:left w:val="nil"/>
              <w:bottom w:val="nil"/>
              <w:right w:val="nil"/>
            </w:tcBorders>
            <w:tcMar>
              <w:top w:w="128" w:type="dxa"/>
              <w:left w:w="43" w:type="dxa"/>
              <w:bottom w:w="43" w:type="dxa"/>
              <w:right w:w="43" w:type="dxa"/>
            </w:tcMar>
          </w:tcPr>
          <w:p w14:paraId="4138F336" w14:textId="77777777" w:rsidR="00972395" w:rsidRPr="00E73D4B" w:rsidRDefault="00F120C7" w:rsidP="001C4219">
            <w:r w:rsidRPr="00E73D4B">
              <w:t xml:space="preserve">Kartlegging av </w:t>
            </w:r>
            <w:proofErr w:type="spellStart"/>
            <w:r w:rsidRPr="00E73D4B">
              <w:t>utfordringar</w:t>
            </w:r>
            <w:proofErr w:type="spellEnd"/>
            <w:r w:rsidRPr="00E73D4B">
              <w:t xml:space="preserve"> for praktisk opplæring i </w:t>
            </w:r>
            <w:proofErr w:type="spellStart"/>
            <w:r w:rsidRPr="00E73D4B">
              <w:t>skulen</w:t>
            </w:r>
            <w:proofErr w:type="spellEnd"/>
          </w:p>
        </w:tc>
        <w:tc>
          <w:tcPr>
            <w:tcW w:w="1262" w:type="dxa"/>
            <w:tcBorders>
              <w:top w:val="nil"/>
              <w:left w:val="nil"/>
              <w:bottom w:val="nil"/>
              <w:right w:val="nil"/>
            </w:tcBorders>
            <w:tcMar>
              <w:top w:w="128" w:type="dxa"/>
              <w:left w:w="43" w:type="dxa"/>
              <w:bottom w:w="43" w:type="dxa"/>
              <w:right w:w="43" w:type="dxa"/>
            </w:tcMar>
          </w:tcPr>
          <w:p w14:paraId="40D74485" w14:textId="77777777" w:rsidR="00972395" w:rsidRPr="00E73D4B" w:rsidRDefault="00F120C7" w:rsidP="001C4219">
            <w:pPr>
              <w:jc w:val="right"/>
            </w:pPr>
            <w:r w:rsidRPr="00E73D4B">
              <w:t>Nei</w:t>
            </w:r>
          </w:p>
        </w:tc>
      </w:tr>
      <w:tr w:rsidR="00972395" w:rsidRPr="00E73D4B" w14:paraId="578C748A"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6611DA22" w14:textId="77777777" w:rsidR="00972395" w:rsidRPr="00E73D4B" w:rsidRDefault="00F120C7" w:rsidP="001C4219">
            <w:r w:rsidRPr="00E73D4B">
              <w:t>2021–2022</w:t>
            </w:r>
          </w:p>
        </w:tc>
        <w:tc>
          <w:tcPr>
            <w:tcW w:w="1233" w:type="dxa"/>
            <w:tcBorders>
              <w:top w:val="nil"/>
              <w:left w:val="nil"/>
              <w:bottom w:val="nil"/>
              <w:right w:val="nil"/>
            </w:tcBorders>
            <w:tcMar>
              <w:top w:w="128" w:type="dxa"/>
              <w:left w:w="43" w:type="dxa"/>
              <w:bottom w:w="43" w:type="dxa"/>
              <w:right w:w="43" w:type="dxa"/>
            </w:tcMar>
          </w:tcPr>
          <w:p w14:paraId="55EA2E88" w14:textId="77777777" w:rsidR="00972395" w:rsidRPr="00E73D4B" w:rsidRDefault="00F120C7" w:rsidP="001C4219">
            <w:pPr>
              <w:jc w:val="right"/>
            </w:pPr>
            <w:r w:rsidRPr="00E73D4B">
              <w:t>374</w:t>
            </w:r>
          </w:p>
        </w:tc>
        <w:tc>
          <w:tcPr>
            <w:tcW w:w="5287" w:type="dxa"/>
            <w:tcBorders>
              <w:top w:val="nil"/>
              <w:left w:val="nil"/>
              <w:bottom w:val="nil"/>
              <w:right w:val="nil"/>
            </w:tcBorders>
            <w:tcMar>
              <w:top w:w="128" w:type="dxa"/>
              <w:left w:w="43" w:type="dxa"/>
              <w:bottom w:w="43" w:type="dxa"/>
              <w:right w:w="43" w:type="dxa"/>
            </w:tcMar>
          </w:tcPr>
          <w:p w14:paraId="1407EBA1" w14:textId="77777777" w:rsidR="00972395" w:rsidRPr="00E73D4B" w:rsidRDefault="00F120C7" w:rsidP="001C4219">
            <w:r w:rsidRPr="00E73D4B">
              <w:t>Styrking av praktisk læring</w:t>
            </w:r>
          </w:p>
        </w:tc>
        <w:tc>
          <w:tcPr>
            <w:tcW w:w="1262" w:type="dxa"/>
            <w:tcBorders>
              <w:top w:val="nil"/>
              <w:left w:val="nil"/>
              <w:bottom w:val="nil"/>
              <w:right w:val="nil"/>
            </w:tcBorders>
            <w:tcMar>
              <w:top w:w="128" w:type="dxa"/>
              <w:left w:w="43" w:type="dxa"/>
              <w:bottom w:w="43" w:type="dxa"/>
              <w:right w:w="43" w:type="dxa"/>
            </w:tcMar>
          </w:tcPr>
          <w:p w14:paraId="0EE73943" w14:textId="77777777" w:rsidR="00972395" w:rsidRPr="00E73D4B" w:rsidRDefault="00F120C7" w:rsidP="001C4219">
            <w:pPr>
              <w:jc w:val="right"/>
            </w:pPr>
            <w:r w:rsidRPr="00E73D4B">
              <w:t>Nei</w:t>
            </w:r>
          </w:p>
        </w:tc>
      </w:tr>
      <w:tr w:rsidR="00972395" w:rsidRPr="00E73D4B" w14:paraId="2AF49F4A"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425FAAA0" w14:textId="77777777" w:rsidR="00972395" w:rsidRPr="00E73D4B" w:rsidRDefault="00F120C7" w:rsidP="001C4219">
            <w:r w:rsidRPr="00E73D4B">
              <w:t>2021–2022</w:t>
            </w:r>
          </w:p>
        </w:tc>
        <w:tc>
          <w:tcPr>
            <w:tcW w:w="1233" w:type="dxa"/>
            <w:tcBorders>
              <w:top w:val="nil"/>
              <w:left w:val="nil"/>
              <w:bottom w:val="nil"/>
              <w:right w:val="nil"/>
            </w:tcBorders>
            <w:tcMar>
              <w:top w:w="128" w:type="dxa"/>
              <w:left w:w="43" w:type="dxa"/>
              <w:bottom w:w="43" w:type="dxa"/>
              <w:right w:w="43" w:type="dxa"/>
            </w:tcMar>
          </w:tcPr>
          <w:p w14:paraId="6B218374" w14:textId="77777777" w:rsidR="00972395" w:rsidRPr="00E73D4B" w:rsidRDefault="00F120C7" w:rsidP="001C4219">
            <w:pPr>
              <w:jc w:val="right"/>
            </w:pPr>
            <w:r w:rsidRPr="00E73D4B">
              <w:t>494</w:t>
            </w:r>
          </w:p>
        </w:tc>
        <w:tc>
          <w:tcPr>
            <w:tcW w:w="5287" w:type="dxa"/>
            <w:tcBorders>
              <w:top w:val="nil"/>
              <w:left w:val="nil"/>
              <w:bottom w:val="nil"/>
              <w:right w:val="nil"/>
            </w:tcBorders>
            <w:tcMar>
              <w:top w:w="128" w:type="dxa"/>
              <w:left w:w="43" w:type="dxa"/>
              <w:bottom w:w="43" w:type="dxa"/>
              <w:right w:w="43" w:type="dxa"/>
            </w:tcMar>
          </w:tcPr>
          <w:p w14:paraId="7FBCF658" w14:textId="77777777" w:rsidR="00972395" w:rsidRPr="00E73D4B" w:rsidRDefault="00F120C7" w:rsidP="001C4219">
            <w:proofErr w:type="spellStart"/>
            <w:r w:rsidRPr="00E73D4B">
              <w:t>Konsekvensar</w:t>
            </w:r>
            <w:proofErr w:type="spellEnd"/>
            <w:r w:rsidRPr="00E73D4B">
              <w:t xml:space="preserve"> av covid-19-pandemien</w:t>
            </w:r>
          </w:p>
        </w:tc>
        <w:tc>
          <w:tcPr>
            <w:tcW w:w="1262" w:type="dxa"/>
            <w:tcBorders>
              <w:top w:val="nil"/>
              <w:left w:val="nil"/>
              <w:bottom w:val="nil"/>
              <w:right w:val="nil"/>
            </w:tcBorders>
            <w:tcMar>
              <w:top w:w="128" w:type="dxa"/>
              <w:left w:w="43" w:type="dxa"/>
              <w:bottom w:w="43" w:type="dxa"/>
              <w:right w:w="43" w:type="dxa"/>
            </w:tcMar>
          </w:tcPr>
          <w:p w14:paraId="0F437BE4" w14:textId="77777777" w:rsidR="00972395" w:rsidRPr="00E73D4B" w:rsidRDefault="00F120C7" w:rsidP="001C4219">
            <w:pPr>
              <w:jc w:val="right"/>
            </w:pPr>
            <w:r w:rsidRPr="00E73D4B">
              <w:t>Ja</w:t>
            </w:r>
          </w:p>
        </w:tc>
      </w:tr>
      <w:tr w:rsidR="00972395" w:rsidRPr="00E73D4B" w14:paraId="726AC7D5"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58F9BF9" w14:textId="77777777" w:rsidR="00972395" w:rsidRPr="00E73D4B" w:rsidRDefault="00F120C7" w:rsidP="001C4219">
            <w:r w:rsidRPr="00E73D4B">
              <w:t>2021–2022</w:t>
            </w:r>
          </w:p>
        </w:tc>
        <w:tc>
          <w:tcPr>
            <w:tcW w:w="1233" w:type="dxa"/>
            <w:tcBorders>
              <w:top w:val="nil"/>
              <w:left w:val="nil"/>
              <w:bottom w:val="nil"/>
              <w:right w:val="nil"/>
            </w:tcBorders>
            <w:tcMar>
              <w:top w:w="128" w:type="dxa"/>
              <w:left w:w="43" w:type="dxa"/>
              <w:bottom w:w="43" w:type="dxa"/>
              <w:right w:w="43" w:type="dxa"/>
            </w:tcMar>
          </w:tcPr>
          <w:p w14:paraId="715F5ADF" w14:textId="77777777" w:rsidR="00972395" w:rsidRPr="00E73D4B" w:rsidRDefault="00F120C7" w:rsidP="001C4219">
            <w:pPr>
              <w:jc w:val="right"/>
            </w:pPr>
            <w:r w:rsidRPr="00E73D4B">
              <w:t>526</w:t>
            </w:r>
          </w:p>
        </w:tc>
        <w:tc>
          <w:tcPr>
            <w:tcW w:w="5287" w:type="dxa"/>
            <w:tcBorders>
              <w:top w:val="nil"/>
              <w:left w:val="nil"/>
              <w:bottom w:val="nil"/>
              <w:right w:val="nil"/>
            </w:tcBorders>
            <w:tcMar>
              <w:top w:w="128" w:type="dxa"/>
              <w:left w:w="43" w:type="dxa"/>
              <w:bottom w:w="43" w:type="dxa"/>
              <w:right w:w="43" w:type="dxa"/>
            </w:tcMar>
          </w:tcPr>
          <w:p w14:paraId="722E1EC9" w14:textId="77777777" w:rsidR="00972395" w:rsidRPr="00E73D4B" w:rsidRDefault="00F120C7" w:rsidP="001C4219">
            <w:r w:rsidRPr="00E73D4B">
              <w:rPr>
                <w:rStyle w:val="regular"/>
              </w:rPr>
              <w:t xml:space="preserve">Følge opp </w:t>
            </w:r>
            <w:proofErr w:type="spellStart"/>
            <w:r w:rsidRPr="00E73D4B">
              <w:rPr>
                <w:rStyle w:val="regular"/>
              </w:rPr>
              <w:t>intensjonane</w:t>
            </w:r>
            <w:proofErr w:type="spellEnd"/>
            <w:r w:rsidRPr="00E73D4B">
              <w:rPr>
                <w:rStyle w:val="regular"/>
              </w:rPr>
              <w:t xml:space="preserve"> om </w:t>
            </w:r>
            <w:proofErr w:type="spellStart"/>
            <w:r w:rsidRPr="00E73D4B">
              <w:rPr>
                <w:rStyle w:val="regular"/>
              </w:rPr>
              <w:t>berekraft</w:t>
            </w:r>
            <w:proofErr w:type="spellEnd"/>
            <w:r w:rsidRPr="00E73D4B">
              <w:rPr>
                <w:rStyle w:val="regular"/>
              </w:rPr>
              <w:t xml:space="preserve"> i </w:t>
            </w:r>
            <w:proofErr w:type="spellStart"/>
            <w:r w:rsidRPr="00E73D4B">
              <w:rPr>
                <w:rStyle w:val="regular"/>
              </w:rPr>
              <w:t>læreplanane</w:t>
            </w:r>
            <w:proofErr w:type="spellEnd"/>
            <w:r w:rsidRPr="00E73D4B">
              <w:rPr>
                <w:rStyle w:val="regular"/>
              </w:rPr>
              <w:t xml:space="preserve"> </w:t>
            </w:r>
          </w:p>
        </w:tc>
        <w:tc>
          <w:tcPr>
            <w:tcW w:w="1262" w:type="dxa"/>
            <w:tcBorders>
              <w:top w:val="nil"/>
              <w:left w:val="nil"/>
              <w:bottom w:val="nil"/>
              <w:right w:val="nil"/>
            </w:tcBorders>
            <w:tcMar>
              <w:top w:w="128" w:type="dxa"/>
              <w:left w:w="43" w:type="dxa"/>
              <w:bottom w:w="43" w:type="dxa"/>
              <w:right w:w="43" w:type="dxa"/>
            </w:tcMar>
          </w:tcPr>
          <w:p w14:paraId="6E5FF5EF" w14:textId="77777777" w:rsidR="00972395" w:rsidRPr="00E73D4B" w:rsidRDefault="00F120C7" w:rsidP="001C4219">
            <w:pPr>
              <w:jc w:val="right"/>
            </w:pPr>
            <w:r w:rsidRPr="00E73D4B">
              <w:t>Ja</w:t>
            </w:r>
          </w:p>
        </w:tc>
      </w:tr>
      <w:tr w:rsidR="00972395" w:rsidRPr="00E73D4B" w14:paraId="57D925C8"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58139E2" w14:textId="77777777" w:rsidR="00972395" w:rsidRPr="00E73D4B" w:rsidRDefault="00F120C7" w:rsidP="001C4219">
            <w:r w:rsidRPr="00E73D4B">
              <w:t>2021–2022</w:t>
            </w:r>
          </w:p>
        </w:tc>
        <w:tc>
          <w:tcPr>
            <w:tcW w:w="1233" w:type="dxa"/>
            <w:tcBorders>
              <w:top w:val="nil"/>
              <w:left w:val="nil"/>
              <w:bottom w:val="nil"/>
              <w:right w:val="nil"/>
            </w:tcBorders>
            <w:tcMar>
              <w:top w:w="128" w:type="dxa"/>
              <w:left w:w="43" w:type="dxa"/>
              <w:bottom w:w="43" w:type="dxa"/>
              <w:right w:w="43" w:type="dxa"/>
            </w:tcMar>
          </w:tcPr>
          <w:p w14:paraId="49963E2F" w14:textId="77777777" w:rsidR="00972395" w:rsidRPr="00E73D4B" w:rsidRDefault="00F120C7" w:rsidP="001C4219">
            <w:pPr>
              <w:jc w:val="right"/>
            </w:pPr>
            <w:r w:rsidRPr="00E73D4B">
              <w:t>655</w:t>
            </w:r>
          </w:p>
        </w:tc>
        <w:tc>
          <w:tcPr>
            <w:tcW w:w="5287" w:type="dxa"/>
            <w:tcBorders>
              <w:top w:val="nil"/>
              <w:left w:val="nil"/>
              <w:bottom w:val="nil"/>
              <w:right w:val="nil"/>
            </w:tcBorders>
            <w:tcMar>
              <w:top w:w="128" w:type="dxa"/>
              <w:left w:w="43" w:type="dxa"/>
              <w:bottom w:w="43" w:type="dxa"/>
              <w:right w:w="43" w:type="dxa"/>
            </w:tcMar>
          </w:tcPr>
          <w:p w14:paraId="23DC7BED" w14:textId="77777777" w:rsidR="00972395" w:rsidRPr="00E73D4B" w:rsidRDefault="00F120C7" w:rsidP="001C4219">
            <w:proofErr w:type="spellStart"/>
            <w:r w:rsidRPr="00E73D4B">
              <w:rPr>
                <w:rStyle w:val="regular"/>
              </w:rPr>
              <w:t>Tilbod</w:t>
            </w:r>
            <w:proofErr w:type="spellEnd"/>
            <w:r w:rsidRPr="00E73D4B">
              <w:rPr>
                <w:rStyle w:val="regular"/>
              </w:rPr>
              <w:t xml:space="preserve"> til ukrainske barn før registrering og/eller </w:t>
            </w:r>
            <w:proofErr w:type="spellStart"/>
            <w:r w:rsidRPr="00E73D4B">
              <w:rPr>
                <w:rStyle w:val="regular"/>
              </w:rPr>
              <w:t>busetjing</w:t>
            </w:r>
            <w:proofErr w:type="spellEnd"/>
          </w:p>
        </w:tc>
        <w:tc>
          <w:tcPr>
            <w:tcW w:w="1262" w:type="dxa"/>
            <w:tcBorders>
              <w:top w:val="nil"/>
              <w:left w:val="nil"/>
              <w:bottom w:val="nil"/>
              <w:right w:val="nil"/>
            </w:tcBorders>
            <w:tcMar>
              <w:top w:w="128" w:type="dxa"/>
              <w:left w:w="43" w:type="dxa"/>
              <w:bottom w:w="43" w:type="dxa"/>
              <w:right w:w="43" w:type="dxa"/>
            </w:tcMar>
          </w:tcPr>
          <w:p w14:paraId="5C8AE752" w14:textId="77777777" w:rsidR="00972395" w:rsidRPr="00E73D4B" w:rsidRDefault="00F120C7" w:rsidP="001C4219">
            <w:pPr>
              <w:jc w:val="right"/>
            </w:pPr>
            <w:r w:rsidRPr="00E73D4B">
              <w:t>Ja</w:t>
            </w:r>
          </w:p>
        </w:tc>
      </w:tr>
      <w:tr w:rsidR="00972395" w:rsidRPr="00E73D4B" w14:paraId="4DE97E25" w14:textId="77777777" w:rsidTr="007116DC">
        <w:trPr>
          <w:trHeight w:val="640"/>
        </w:trPr>
        <w:tc>
          <w:tcPr>
            <w:tcW w:w="1418" w:type="dxa"/>
            <w:tcBorders>
              <w:top w:val="nil"/>
              <w:left w:val="nil"/>
              <w:bottom w:val="nil"/>
              <w:right w:val="nil"/>
            </w:tcBorders>
            <w:tcMar>
              <w:top w:w="128" w:type="dxa"/>
              <w:left w:w="43" w:type="dxa"/>
              <w:bottom w:w="43" w:type="dxa"/>
              <w:right w:w="43" w:type="dxa"/>
            </w:tcMar>
          </w:tcPr>
          <w:p w14:paraId="408B4033"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392AB680" w14:textId="77777777" w:rsidR="00972395" w:rsidRPr="00E73D4B" w:rsidRDefault="00F120C7" w:rsidP="001C4219">
            <w:pPr>
              <w:jc w:val="right"/>
            </w:pPr>
            <w:r w:rsidRPr="00E73D4B">
              <w:t>16</w:t>
            </w:r>
          </w:p>
        </w:tc>
        <w:tc>
          <w:tcPr>
            <w:tcW w:w="5287" w:type="dxa"/>
            <w:tcBorders>
              <w:top w:val="nil"/>
              <w:left w:val="nil"/>
              <w:bottom w:val="nil"/>
              <w:right w:val="nil"/>
            </w:tcBorders>
            <w:tcMar>
              <w:top w:w="128" w:type="dxa"/>
              <w:left w:w="43" w:type="dxa"/>
              <w:bottom w:w="43" w:type="dxa"/>
              <w:right w:w="43" w:type="dxa"/>
            </w:tcMar>
          </w:tcPr>
          <w:p w14:paraId="36A81B66" w14:textId="77777777" w:rsidR="00972395" w:rsidRPr="00E73D4B" w:rsidRDefault="00F120C7" w:rsidP="001C4219">
            <w:r w:rsidRPr="00E73D4B">
              <w:t xml:space="preserve">Gjennomgang av </w:t>
            </w:r>
            <w:proofErr w:type="spellStart"/>
            <w:r w:rsidRPr="00E73D4B">
              <w:t>finansieringskategoriane</w:t>
            </w:r>
            <w:proofErr w:type="spellEnd"/>
            <w:r w:rsidRPr="00E73D4B">
              <w:t xml:space="preserve"> i </w:t>
            </w:r>
            <w:proofErr w:type="spellStart"/>
            <w:r w:rsidRPr="00E73D4B">
              <w:t>høgare</w:t>
            </w:r>
            <w:proofErr w:type="spellEnd"/>
            <w:r w:rsidRPr="00E73D4B">
              <w:t xml:space="preserve"> utdanning</w:t>
            </w:r>
          </w:p>
        </w:tc>
        <w:tc>
          <w:tcPr>
            <w:tcW w:w="1262" w:type="dxa"/>
            <w:tcBorders>
              <w:top w:val="nil"/>
              <w:left w:val="nil"/>
              <w:bottom w:val="nil"/>
              <w:right w:val="nil"/>
            </w:tcBorders>
            <w:tcMar>
              <w:top w:w="128" w:type="dxa"/>
              <w:left w:w="43" w:type="dxa"/>
              <w:bottom w:w="43" w:type="dxa"/>
              <w:right w:w="43" w:type="dxa"/>
            </w:tcMar>
          </w:tcPr>
          <w:p w14:paraId="6A2FFC28" w14:textId="77777777" w:rsidR="00972395" w:rsidRPr="00E73D4B" w:rsidRDefault="00F120C7" w:rsidP="001C4219">
            <w:pPr>
              <w:jc w:val="right"/>
            </w:pPr>
            <w:r w:rsidRPr="00E73D4B">
              <w:t>Nei</w:t>
            </w:r>
          </w:p>
        </w:tc>
      </w:tr>
      <w:tr w:rsidR="00972395" w:rsidRPr="00E73D4B" w14:paraId="051F8CC6" w14:textId="77777777" w:rsidTr="007116DC">
        <w:trPr>
          <w:trHeight w:val="640"/>
        </w:trPr>
        <w:tc>
          <w:tcPr>
            <w:tcW w:w="1418" w:type="dxa"/>
            <w:tcBorders>
              <w:top w:val="nil"/>
              <w:left w:val="nil"/>
              <w:bottom w:val="nil"/>
              <w:right w:val="nil"/>
            </w:tcBorders>
            <w:tcMar>
              <w:top w:w="128" w:type="dxa"/>
              <w:left w:w="43" w:type="dxa"/>
              <w:bottom w:w="43" w:type="dxa"/>
              <w:right w:w="43" w:type="dxa"/>
            </w:tcMar>
          </w:tcPr>
          <w:p w14:paraId="119935B3"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3DADC8DA" w14:textId="77777777" w:rsidR="00972395" w:rsidRPr="00E73D4B" w:rsidRDefault="00F120C7" w:rsidP="001C4219">
            <w:pPr>
              <w:jc w:val="right"/>
            </w:pPr>
            <w:r w:rsidRPr="00E73D4B">
              <w:t>30</w:t>
            </w:r>
          </w:p>
        </w:tc>
        <w:tc>
          <w:tcPr>
            <w:tcW w:w="5287" w:type="dxa"/>
            <w:tcBorders>
              <w:top w:val="nil"/>
              <w:left w:val="nil"/>
              <w:bottom w:val="nil"/>
              <w:right w:val="nil"/>
            </w:tcBorders>
            <w:tcMar>
              <w:top w:w="128" w:type="dxa"/>
              <w:left w:w="43" w:type="dxa"/>
              <w:bottom w:w="43" w:type="dxa"/>
              <w:right w:w="43" w:type="dxa"/>
            </w:tcMar>
          </w:tcPr>
          <w:p w14:paraId="4EFF2F35" w14:textId="77777777" w:rsidR="00972395" w:rsidRPr="00E73D4B" w:rsidRDefault="00F120C7" w:rsidP="001C4219">
            <w:r w:rsidRPr="00E73D4B">
              <w:t>Ordning i Statens lånekasse for utdanning for autorisasjon av helsepersonell</w:t>
            </w:r>
          </w:p>
        </w:tc>
        <w:tc>
          <w:tcPr>
            <w:tcW w:w="1262" w:type="dxa"/>
            <w:tcBorders>
              <w:top w:val="nil"/>
              <w:left w:val="nil"/>
              <w:bottom w:val="nil"/>
              <w:right w:val="nil"/>
            </w:tcBorders>
            <w:tcMar>
              <w:top w:w="128" w:type="dxa"/>
              <w:left w:w="43" w:type="dxa"/>
              <w:bottom w:w="43" w:type="dxa"/>
              <w:right w:w="43" w:type="dxa"/>
            </w:tcMar>
          </w:tcPr>
          <w:p w14:paraId="2EC2E031" w14:textId="77777777" w:rsidR="00972395" w:rsidRPr="00E73D4B" w:rsidRDefault="00F120C7" w:rsidP="001C4219">
            <w:pPr>
              <w:jc w:val="right"/>
            </w:pPr>
            <w:r w:rsidRPr="00E73D4B">
              <w:t>Ja</w:t>
            </w:r>
          </w:p>
        </w:tc>
      </w:tr>
      <w:tr w:rsidR="00972395" w:rsidRPr="00E73D4B" w14:paraId="0A0B3D11"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6683AA8"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079F17C0" w14:textId="77777777" w:rsidR="00972395" w:rsidRPr="00E73D4B" w:rsidRDefault="00F120C7" w:rsidP="001C4219">
            <w:pPr>
              <w:jc w:val="right"/>
            </w:pPr>
            <w:r w:rsidRPr="00E73D4B">
              <w:t>79</w:t>
            </w:r>
          </w:p>
        </w:tc>
        <w:tc>
          <w:tcPr>
            <w:tcW w:w="5287" w:type="dxa"/>
            <w:tcBorders>
              <w:top w:val="nil"/>
              <w:left w:val="nil"/>
              <w:bottom w:val="nil"/>
              <w:right w:val="nil"/>
            </w:tcBorders>
            <w:tcMar>
              <w:top w:w="128" w:type="dxa"/>
              <w:left w:w="43" w:type="dxa"/>
              <w:bottom w:w="43" w:type="dxa"/>
              <w:right w:w="43" w:type="dxa"/>
            </w:tcMar>
          </w:tcPr>
          <w:p w14:paraId="7D5ED69F" w14:textId="77777777" w:rsidR="00972395" w:rsidRPr="00E73D4B" w:rsidRDefault="00F120C7" w:rsidP="001C4219">
            <w:r w:rsidRPr="00E73D4B">
              <w:t xml:space="preserve">Politiattest for </w:t>
            </w:r>
            <w:proofErr w:type="spellStart"/>
            <w:r w:rsidRPr="00E73D4B">
              <w:t>tilsetjing</w:t>
            </w:r>
            <w:proofErr w:type="spellEnd"/>
            <w:r w:rsidRPr="00E73D4B">
              <w:t xml:space="preserve"> i </w:t>
            </w:r>
            <w:proofErr w:type="spellStart"/>
            <w:r w:rsidRPr="00E73D4B">
              <w:t>skular</w:t>
            </w:r>
            <w:proofErr w:type="spellEnd"/>
            <w:r w:rsidRPr="00E73D4B">
              <w:t xml:space="preserve"> og </w:t>
            </w:r>
            <w:proofErr w:type="spellStart"/>
            <w:r w:rsidRPr="00E73D4B">
              <w:t>barnehagar</w:t>
            </w:r>
            <w:proofErr w:type="spellEnd"/>
          </w:p>
        </w:tc>
        <w:tc>
          <w:tcPr>
            <w:tcW w:w="1262" w:type="dxa"/>
            <w:tcBorders>
              <w:top w:val="nil"/>
              <w:left w:val="nil"/>
              <w:bottom w:val="nil"/>
              <w:right w:val="nil"/>
            </w:tcBorders>
            <w:tcMar>
              <w:top w:w="128" w:type="dxa"/>
              <w:left w:w="43" w:type="dxa"/>
              <w:bottom w:w="43" w:type="dxa"/>
              <w:right w:w="43" w:type="dxa"/>
            </w:tcMar>
          </w:tcPr>
          <w:p w14:paraId="3A5C829B" w14:textId="77777777" w:rsidR="00972395" w:rsidRPr="00E73D4B" w:rsidRDefault="00F120C7" w:rsidP="001C4219">
            <w:pPr>
              <w:jc w:val="right"/>
            </w:pPr>
            <w:r w:rsidRPr="00E73D4B">
              <w:t>Nei</w:t>
            </w:r>
          </w:p>
        </w:tc>
      </w:tr>
      <w:tr w:rsidR="00972395" w:rsidRPr="00E73D4B" w14:paraId="2E3E0968" w14:textId="77777777" w:rsidTr="007116DC">
        <w:trPr>
          <w:trHeight w:val="640"/>
        </w:trPr>
        <w:tc>
          <w:tcPr>
            <w:tcW w:w="1418" w:type="dxa"/>
            <w:tcBorders>
              <w:top w:val="nil"/>
              <w:left w:val="nil"/>
              <w:bottom w:val="nil"/>
              <w:right w:val="nil"/>
            </w:tcBorders>
            <w:tcMar>
              <w:top w:w="128" w:type="dxa"/>
              <w:left w:w="43" w:type="dxa"/>
              <w:bottom w:w="43" w:type="dxa"/>
              <w:right w:w="43" w:type="dxa"/>
            </w:tcMar>
          </w:tcPr>
          <w:p w14:paraId="6C3276F6"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670AA7A3" w14:textId="77777777" w:rsidR="00972395" w:rsidRPr="00E73D4B" w:rsidRDefault="00F120C7" w:rsidP="001C4219">
            <w:pPr>
              <w:jc w:val="right"/>
            </w:pPr>
            <w:r w:rsidRPr="00E73D4B">
              <w:t>182</w:t>
            </w:r>
          </w:p>
        </w:tc>
        <w:tc>
          <w:tcPr>
            <w:tcW w:w="5287" w:type="dxa"/>
            <w:tcBorders>
              <w:top w:val="nil"/>
              <w:left w:val="nil"/>
              <w:bottom w:val="nil"/>
              <w:right w:val="nil"/>
            </w:tcBorders>
            <w:tcMar>
              <w:top w:w="128" w:type="dxa"/>
              <w:left w:w="43" w:type="dxa"/>
              <w:bottom w:w="43" w:type="dxa"/>
              <w:right w:w="43" w:type="dxa"/>
            </w:tcMar>
          </w:tcPr>
          <w:p w14:paraId="1ECE0430" w14:textId="77777777" w:rsidR="00972395" w:rsidRPr="00E73D4B" w:rsidRDefault="00F120C7" w:rsidP="001C4219">
            <w:r w:rsidRPr="00E73D4B">
              <w:t xml:space="preserve">Greie ut Østfold-modellen for </w:t>
            </w:r>
            <w:proofErr w:type="spellStart"/>
            <w:r w:rsidRPr="00E73D4B">
              <w:t>lærekandidatar</w:t>
            </w:r>
            <w:proofErr w:type="spellEnd"/>
            <w:r w:rsidRPr="00E73D4B">
              <w:t xml:space="preserve"> med tilretteleggingsbehov</w:t>
            </w:r>
          </w:p>
        </w:tc>
        <w:tc>
          <w:tcPr>
            <w:tcW w:w="1262" w:type="dxa"/>
            <w:tcBorders>
              <w:top w:val="nil"/>
              <w:left w:val="nil"/>
              <w:bottom w:val="nil"/>
              <w:right w:val="nil"/>
            </w:tcBorders>
            <w:tcMar>
              <w:top w:w="128" w:type="dxa"/>
              <w:left w:w="43" w:type="dxa"/>
              <w:bottom w:w="43" w:type="dxa"/>
              <w:right w:w="43" w:type="dxa"/>
            </w:tcMar>
          </w:tcPr>
          <w:p w14:paraId="60837576" w14:textId="77777777" w:rsidR="00972395" w:rsidRPr="00E73D4B" w:rsidRDefault="00F120C7" w:rsidP="001C4219">
            <w:pPr>
              <w:jc w:val="right"/>
            </w:pPr>
            <w:r w:rsidRPr="00E73D4B">
              <w:t>Nei</w:t>
            </w:r>
          </w:p>
        </w:tc>
      </w:tr>
      <w:tr w:rsidR="00972395" w:rsidRPr="00E73D4B" w14:paraId="2858D1F2"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CFBB6F2"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7FA6256C" w14:textId="77777777" w:rsidR="00972395" w:rsidRPr="00E73D4B" w:rsidRDefault="00F120C7" w:rsidP="001C4219">
            <w:pPr>
              <w:jc w:val="right"/>
            </w:pPr>
            <w:r w:rsidRPr="00E73D4B">
              <w:t>684</w:t>
            </w:r>
          </w:p>
        </w:tc>
        <w:tc>
          <w:tcPr>
            <w:tcW w:w="5287" w:type="dxa"/>
            <w:tcBorders>
              <w:top w:val="nil"/>
              <w:left w:val="nil"/>
              <w:bottom w:val="nil"/>
              <w:right w:val="nil"/>
            </w:tcBorders>
            <w:tcMar>
              <w:top w:w="128" w:type="dxa"/>
              <w:left w:w="43" w:type="dxa"/>
              <w:bottom w:w="43" w:type="dxa"/>
              <w:right w:w="43" w:type="dxa"/>
            </w:tcMar>
          </w:tcPr>
          <w:p w14:paraId="23F69354" w14:textId="77777777" w:rsidR="00972395" w:rsidRPr="00E73D4B" w:rsidRDefault="00F120C7" w:rsidP="001C4219">
            <w:r w:rsidRPr="00E73D4B">
              <w:t xml:space="preserve">Finansiering av </w:t>
            </w:r>
            <w:proofErr w:type="spellStart"/>
            <w:r w:rsidRPr="00E73D4B">
              <w:t>studieopphald</w:t>
            </w:r>
            <w:proofErr w:type="spellEnd"/>
            <w:r w:rsidRPr="00E73D4B">
              <w:t xml:space="preserve"> i utlandet</w:t>
            </w:r>
          </w:p>
        </w:tc>
        <w:tc>
          <w:tcPr>
            <w:tcW w:w="1262" w:type="dxa"/>
            <w:tcBorders>
              <w:top w:val="nil"/>
              <w:left w:val="nil"/>
              <w:bottom w:val="nil"/>
              <w:right w:val="nil"/>
            </w:tcBorders>
            <w:tcMar>
              <w:top w:w="128" w:type="dxa"/>
              <w:left w:w="43" w:type="dxa"/>
              <w:bottom w:w="43" w:type="dxa"/>
              <w:right w:w="43" w:type="dxa"/>
            </w:tcMar>
          </w:tcPr>
          <w:p w14:paraId="457EB0FE" w14:textId="77777777" w:rsidR="00972395" w:rsidRPr="00E73D4B" w:rsidRDefault="00F120C7" w:rsidP="001C4219">
            <w:pPr>
              <w:jc w:val="right"/>
            </w:pPr>
            <w:r w:rsidRPr="00E73D4B">
              <w:t>Ja</w:t>
            </w:r>
          </w:p>
        </w:tc>
      </w:tr>
      <w:tr w:rsidR="00972395" w:rsidRPr="00E73D4B" w14:paraId="40F990EC"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727B0A4D"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7547208F" w14:textId="77777777" w:rsidR="00972395" w:rsidRPr="00E73D4B" w:rsidRDefault="00F120C7" w:rsidP="001C4219">
            <w:pPr>
              <w:jc w:val="right"/>
            </w:pPr>
            <w:r w:rsidRPr="00E73D4B">
              <w:t>685</w:t>
            </w:r>
          </w:p>
        </w:tc>
        <w:tc>
          <w:tcPr>
            <w:tcW w:w="5287" w:type="dxa"/>
            <w:tcBorders>
              <w:top w:val="nil"/>
              <w:left w:val="nil"/>
              <w:bottom w:val="nil"/>
              <w:right w:val="nil"/>
            </w:tcBorders>
            <w:tcMar>
              <w:top w:w="128" w:type="dxa"/>
              <w:left w:w="43" w:type="dxa"/>
              <w:bottom w:w="43" w:type="dxa"/>
              <w:right w:w="43" w:type="dxa"/>
            </w:tcMar>
          </w:tcPr>
          <w:p w14:paraId="44B90011" w14:textId="77777777" w:rsidR="00972395" w:rsidRPr="00E73D4B" w:rsidRDefault="00F120C7" w:rsidP="001C4219">
            <w:proofErr w:type="spellStart"/>
            <w:r w:rsidRPr="00E73D4B">
              <w:t>Auka</w:t>
            </w:r>
            <w:proofErr w:type="spellEnd"/>
            <w:r w:rsidRPr="00E73D4B">
              <w:t xml:space="preserve"> studiemobilitet for </w:t>
            </w:r>
            <w:proofErr w:type="spellStart"/>
            <w:r w:rsidRPr="00E73D4B">
              <w:t>studentar</w:t>
            </w:r>
            <w:proofErr w:type="spellEnd"/>
            <w:r w:rsidRPr="00E73D4B">
              <w:t xml:space="preserve"> med tilretteleggingsbehov</w:t>
            </w:r>
          </w:p>
        </w:tc>
        <w:tc>
          <w:tcPr>
            <w:tcW w:w="1262" w:type="dxa"/>
            <w:tcBorders>
              <w:top w:val="nil"/>
              <w:left w:val="nil"/>
              <w:bottom w:val="nil"/>
              <w:right w:val="nil"/>
            </w:tcBorders>
            <w:tcMar>
              <w:top w:w="128" w:type="dxa"/>
              <w:left w:w="43" w:type="dxa"/>
              <w:bottom w:w="43" w:type="dxa"/>
              <w:right w:w="43" w:type="dxa"/>
            </w:tcMar>
          </w:tcPr>
          <w:p w14:paraId="0844583B" w14:textId="77777777" w:rsidR="00972395" w:rsidRPr="00E73D4B" w:rsidRDefault="00F120C7" w:rsidP="001C4219">
            <w:pPr>
              <w:jc w:val="right"/>
            </w:pPr>
            <w:r w:rsidRPr="00E73D4B">
              <w:t>Ja</w:t>
            </w:r>
          </w:p>
        </w:tc>
      </w:tr>
      <w:tr w:rsidR="00972395" w:rsidRPr="00E73D4B" w14:paraId="468E2237"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41397E22"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55A8B45E" w14:textId="77777777" w:rsidR="00972395" w:rsidRPr="00E73D4B" w:rsidRDefault="00F120C7" w:rsidP="001C4219">
            <w:pPr>
              <w:jc w:val="right"/>
            </w:pPr>
            <w:r w:rsidRPr="00E73D4B">
              <w:t>687</w:t>
            </w:r>
          </w:p>
        </w:tc>
        <w:tc>
          <w:tcPr>
            <w:tcW w:w="5287" w:type="dxa"/>
            <w:tcBorders>
              <w:top w:val="nil"/>
              <w:left w:val="nil"/>
              <w:bottom w:val="nil"/>
              <w:right w:val="nil"/>
            </w:tcBorders>
            <w:tcMar>
              <w:top w:w="128" w:type="dxa"/>
              <w:left w:w="43" w:type="dxa"/>
              <w:bottom w:w="43" w:type="dxa"/>
              <w:right w:w="43" w:type="dxa"/>
            </w:tcMar>
          </w:tcPr>
          <w:p w14:paraId="441C6811" w14:textId="77777777" w:rsidR="00972395" w:rsidRPr="00E73D4B" w:rsidRDefault="00F120C7" w:rsidP="001C4219">
            <w:r w:rsidRPr="00E73D4B">
              <w:t xml:space="preserve">Betre </w:t>
            </w:r>
            <w:proofErr w:type="spellStart"/>
            <w:r w:rsidRPr="00E73D4B">
              <w:t>godkjenningsordningar</w:t>
            </w:r>
            <w:proofErr w:type="spellEnd"/>
            <w:r w:rsidRPr="00E73D4B">
              <w:t xml:space="preserve"> for </w:t>
            </w:r>
            <w:proofErr w:type="spellStart"/>
            <w:r w:rsidRPr="00E73D4B">
              <w:t>utanlandsk</w:t>
            </w:r>
            <w:proofErr w:type="spellEnd"/>
            <w:r w:rsidRPr="00E73D4B">
              <w:t xml:space="preserve"> utdanning</w:t>
            </w:r>
          </w:p>
        </w:tc>
        <w:tc>
          <w:tcPr>
            <w:tcW w:w="1262" w:type="dxa"/>
            <w:tcBorders>
              <w:top w:val="nil"/>
              <w:left w:val="nil"/>
              <w:bottom w:val="nil"/>
              <w:right w:val="nil"/>
            </w:tcBorders>
            <w:tcMar>
              <w:top w:w="128" w:type="dxa"/>
              <w:left w:w="43" w:type="dxa"/>
              <w:bottom w:w="43" w:type="dxa"/>
              <w:right w:w="43" w:type="dxa"/>
            </w:tcMar>
          </w:tcPr>
          <w:p w14:paraId="10D13FED" w14:textId="77777777" w:rsidR="00972395" w:rsidRPr="00E73D4B" w:rsidRDefault="00F120C7" w:rsidP="001C4219">
            <w:pPr>
              <w:jc w:val="right"/>
            </w:pPr>
            <w:r w:rsidRPr="00E73D4B">
              <w:t>Ja</w:t>
            </w:r>
          </w:p>
        </w:tc>
      </w:tr>
      <w:tr w:rsidR="00972395" w:rsidRPr="00E73D4B" w14:paraId="46172B8D"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55C37DE2"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47C12224" w14:textId="77777777" w:rsidR="00972395" w:rsidRPr="00E73D4B" w:rsidRDefault="00F120C7" w:rsidP="001C4219">
            <w:pPr>
              <w:jc w:val="right"/>
            </w:pPr>
            <w:r w:rsidRPr="00E73D4B">
              <w:t>832</w:t>
            </w:r>
          </w:p>
        </w:tc>
        <w:tc>
          <w:tcPr>
            <w:tcW w:w="5287" w:type="dxa"/>
            <w:tcBorders>
              <w:top w:val="nil"/>
              <w:left w:val="nil"/>
              <w:bottom w:val="nil"/>
              <w:right w:val="nil"/>
            </w:tcBorders>
            <w:tcMar>
              <w:top w:w="128" w:type="dxa"/>
              <w:left w:w="43" w:type="dxa"/>
              <w:bottom w:w="43" w:type="dxa"/>
              <w:right w:w="43" w:type="dxa"/>
            </w:tcMar>
          </w:tcPr>
          <w:p w14:paraId="57478D27" w14:textId="77777777" w:rsidR="00972395" w:rsidRPr="00E73D4B" w:rsidRDefault="00F120C7" w:rsidP="001C4219">
            <w:proofErr w:type="spellStart"/>
            <w:r w:rsidRPr="00E73D4B">
              <w:t>Skuleskip</w:t>
            </w:r>
            <w:proofErr w:type="spellEnd"/>
            <w:r w:rsidRPr="00E73D4B">
              <w:t xml:space="preserve"> i Nord-</w:t>
            </w:r>
            <w:proofErr w:type="spellStart"/>
            <w:r w:rsidRPr="00E73D4B">
              <w:t>Noreg</w:t>
            </w:r>
            <w:proofErr w:type="spellEnd"/>
          </w:p>
        </w:tc>
        <w:tc>
          <w:tcPr>
            <w:tcW w:w="1262" w:type="dxa"/>
            <w:tcBorders>
              <w:top w:val="nil"/>
              <w:left w:val="nil"/>
              <w:bottom w:val="nil"/>
              <w:right w:val="nil"/>
            </w:tcBorders>
            <w:tcMar>
              <w:top w:w="128" w:type="dxa"/>
              <w:left w:w="43" w:type="dxa"/>
              <w:bottom w:w="43" w:type="dxa"/>
              <w:right w:w="43" w:type="dxa"/>
            </w:tcMar>
          </w:tcPr>
          <w:p w14:paraId="6EFEF558" w14:textId="77777777" w:rsidR="00972395" w:rsidRPr="00E73D4B" w:rsidRDefault="00F120C7" w:rsidP="001C4219">
            <w:pPr>
              <w:jc w:val="right"/>
            </w:pPr>
            <w:r w:rsidRPr="00E73D4B">
              <w:t>Ja</w:t>
            </w:r>
          </w:p>
        </w:tc>
      </w:tr>
      <w:tr w:rsidR="00972395" w:rsidRPr="00E73D4B" w14:paraId="2E55A921"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1EEA05C"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3A8A9E9F" w14:textId="77777777" w:rsidR="00972395" w:rsidRPr="00E73D4B" w:rsidRDefault="00F120C7" w:rsidP="001C4219">
            <w:pPr>
              <w:jc w:val="right"/>
            </w:pPr>
            <w:r w:rsidRPr="00E73D4B">
              <w:t>937</w:t>
            </w:r>
          </w:p>
        </w:tc>
        <w:tc>
          <w:tcPr>
            <w:tcW w:w="5287" w:type="dxa"/>
            <w:tcBorders>
              <w:top w:val="nil"/>
              <w:left w:val="nil"/>
              <w:bottom w:val="nil"/>
              <w:right w:val="nil"/>
            </w:tcBorders>
            <w:tcMar>
              <w:top w:w="128" w:type="dxa"/>
              <w:left w:w="43" w:type="dxa"/>
              <w:bottom w:w="43" w:type="dxa"/>
              <w:right w:w="43" w:type="dxa"/>
            </w:tcMar>
          </w:tcPr>
          <w:p w14:paraId="72F41240" w14:textId="77777777" w:rsidR="00972395" w:rsidRPr="00E73D4B" w:rsidRDefault="00F120C7" w:rsidP="001C4219">
            <w:proofErr w:type="spellStart"/>
            <w:r w:rsidRPr="00E73D4B">
              <w:t>Fråfall</w:t>
            </w:r>
            <w:proofErr w:type="spellEnd"/>
            <w:r w:rsidRPr="00E73D4B">
              <w:t xml:space="preserve"> og </w:t>
            </w:r>
            <w:proofErr w:type="spellStart"/>
            <w:r w:rsidRPr="00E73D4B">
              <w:t>forseinkingar</w:t>
            </w:r>
            <w:proofErr w:type="spellEnd"/>
            <w:r w:rsidRPr="00E73D4B">
              <w:t xml:space="preserve"> i </w:t>
            </w:r>
            <w:proofErr w:type="spellStart"/>
            <w:r w:rsidRPr="00E73D4B">
              <w:t>høgare</w:t>
            </w:r>
            <w:proofErr w:type="spellEnd"/>
            <w:r w:rsidRPr="00E73D4B">
              <w:t xml:space="preserve"> utdanning</w:t>
            </w:r>
          </w:p>
        </w:tc>
        <w:tc>
          <w:tcPr>
            <w:tcW w:w="1262" w:type="dxa"/>
            <w:tcBorders>
              <w:top w:val="nil"/>
              <w:left w:val="nil"/>
              <w:bottom w:val="nil"/>
              <w:right w:val="nil"/>
            </w:tcBorders>
            <w:tcMar>
              <w:top w:w="128" w:type="dxa"/>
              <w:left w:w="43" w:type="dxa"/>
              <w:bottom w:w="43" w:type="dxa"/>
              <w:right w:w="43" w:type="dxa"/>
            </w:tcMar>
          </w:tcPr>
          <w:p w14:paraId="186D25F3" w14:textId="77777777" w:rsidR="00972395" w:rsidRPr="00E73D4B" w:rsidRDefault="00F120C7" w:rsidP="001C4219">
            <w:pPr>
              <w:jc w:val="right"/>
            </w:pPr>
            <w:r w:rsidRPr="00E73D4B">
              <w:t>Ja</w:t>
            </w:r>
          </w:p>
        </w:tc>
      </w:tr>
      <w:tr w:rsidR="00972395" w:rsidRPr="00E73D4B" w14:paraId="2C30D8C0" w14:textId="77777777" w:rsidTr="007116DC">
        <w:trPr>
          <w:trHeight w:val="640"/>
        </w:trPr>
        <w:tc>
          <w:tcPr>
            <w:tcW w:w="1418" w:type="dxa"/>
            <w:tcBorders>
              <w:top w:val="nil"/>
              <w:left w:val="nil"/>
              <w:bottom w:val="nil"/>
              <w:right w:val="nil"/>
            </w:tcBorders>
            <w:tcMar>
              <w:top w:w="128" w:type="dxa"/>
              <w:left w:w="43" w:type="dxa"/>
              <w:bottom w:w="43" w:type="dxa"/>
              <w:right w:w="43" w:type="dxa"/>
            </w:tcMar>
          </w:tcPr>
          <w:p w14:paraId="27462644"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4936B8EC" w14:textId="77777777" w:rsidR="00972395" w:rsidRPr="00E73D4B" w:rsidRDefault="00F120C7" w:rsidP="001C4219">
            <w:pPr>
              <w:jc w:val="right"/>
            </w:pPr>
            <w:r w:rsidRPr="00E73D4B">
              <w:t>941</w:t>
            </w:r>
          </w:p>
        </w:tc>
        <w:tc>
          <w:tcPr>
            <w:tcW w:w="5287" w:type="dxa"/>
            <w:tcBorders>
              <w:top w:val="nil"/>
              <w:left w:val="nil"/>
              <w:bottom w:val="nil"/>
              <w:right w:val="nil"/>
            </w:tcBorders>
            <w:tcMar>
              <w:top w:w="128" w:type="dxa"/>
              <w:left w:w="43" w:type="dxa"/>
              <w:bottom w:w="43" w:type="dxa"/>
              <w:right w:w="43" w:type="dxa"/>
            </w:tcMar>
          </w:tcPr>
          <w:p w14:paraId="536114BE" w14:textId="77777777" w:rsidR="00972395" w:rsidRPr="00E73D4B" w:rsidRDefault="00F120C7" w:rsidP="001C4219">
            <w:r w:rsidRPr="00E73D4B">
              <w:t xml:space="preserve">Opptrappingsplan for </w:t>
            </w:r>
            <w:proofErr w:type="spellStart"/>
            <w:r w:rsidRPr="00E73D4B">
              <w:t>studieplassar</w:t>
            </w:r>
            <w:proofErr w:type="spellEnd"/>
            <w:r w:rsidRPr="00E73D4B">
              <w:t xml:space="preserve"> i medisin, helsefag, sjukepleie og psykologi</w:t>
            </w:r>
          </w:p>
        </w:tc>
        <w:tc>
          <w:tcPr>
            <w:tcW w:w="1262" w:type="dxa"/>
            <w:tcBorders>
              <w:top w:val="nil"/>
              <w:left w:val="nil"/>
              <w:bottom w:val="nil"/>
              <w:right w:val="nil"/>
            </w:tcBorders>
            <w:tcMar>
              <w:top w:w="128" w:type="dxa"/>
              <w:left w:w="43" w:type="dxa"/>
              <w:bottom w:w="43" w:type="dxa"/>
              <w:right w:w="43" w:type="dxa"/>
            </w:tcMar>
          </w:tcPr>
          <w:p w14:paraId="4E65A326" w14:textId="77777777" w:rsidR="00972395" w:rsidRPr="00E73D4B" w:rsidRDefault="00F120C7" w:rsidP="001C4219">
            <w:pPr>
              <w:jc w:val="right"/>
            </w:pPr>
            <w:r w:rsidRPr="00E73D4B">
              <w:t>Nei</w:t>
            </w:r>
          </w:p>
        </w:tc>
      </w:tr>
      <w:tr w:rsidR="00972395" w:rsidRPr="00E73D4B" w14:paraId="346E6D29"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68F7FF76"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0D10372C" w14:textId="77777777" w:rsidR="00972395" w:rsidRPr="00E73D4B" w:rsidRDefault="00F120C7" w:rsidP="001C4219">
            <w:pPr>
              <w:jc w:val="right"/>
            </w:pPr>
            <w:r w:rsidRPr="00E73D4B">
              <w:t>942</w:t>
            </w:r>
          </w:p>
        </w:tc>
        <w:tc>
          <w:tcPr>
            <w:tcW w:w="5287" w:type="dxa"/>
            <w:tcBorders>
              <w:top w:val="nil"/>
              <w:left w:val="nil"/>
              <w:bottom w:val="nil"/>
              <w:right w:val="nil"/>
            </w:tcBorders>
            <w:tcMar>
              <w:top w:w="128" w:type="dxa"/>
              <w:left w:w="43" w:type="dxa"/>
              <w:bottom w:w="43" w:type="dxa"/>
              <w:right w:w="43" w:type="dxa"/>
            </w:tcMar>
          </w:tcPr>
          <w:p w14:paraId="42215CA4" w14:textId="77777777" w:rsidR="00972395" w:rsidRPr="00E73D4B" w:rsidRDefault="00F120C7" w:rsidP="001C4219">
            <w:r w:rsidRPr="00E73D4B">
              <w:t xml:space="preserve">Styrke rådgivings- og </w:t>
            </w:r>
            <w:proofErr w:type="spellStart"/>
            <w:r w:rsidRPr="00E73D4B">
              <w:t>rettleiingstenesta</w:t>
            </w:r>
            <w:proofErr w:type="spellEnd"/>
            <w:r w:rsidRPr="00E73D4B">
              <w:t xml:space="preserve"> i </w:t>
            </w:r>
            <w:proofErr w:type="spellStart"/>
            <w:r w:rsidRPr="00E73D4B">
              <w:t>skulen</w:t>
            </w:r>
            <w:proofErr w:type="spellEnd"/>
          </w:p>
        </w:tc>
        <w:tc>
          <w:tcPr>
            <w:tcW w:w="1262" w:type="dxa"/>
            <w:tcBorders>
              <w:top w:val="nil"/>
              <w:left w:val="nil"/>
              <w:bottom w:val="nil"/>
              <w:right w:val="nil"/>
            </w:tcBorders>
            <w:tcMar>
              <w:top w:w="128" w:type="dxa"/>
              <w:left w:w="43" w:type="dxa"/>
              <w:bottom w:w="43" w:type="dxa"/>
              <w:right w:w="43" w:type="dxa"/>
            </w:tcMar>
          </w:tcPr>
          <w:p w14:paraId="14EBC843" w14:textId="77777777" w:rsidR="00972395" w:rsidRPr="00E73D4B" w:rsidRDefault="00F120C7" w:rsidP="001C4219">
            <w:pPr>
              <w:jc w:val="right"/>
            </w:pPr>
            <w:r w:rsidRPr="00E73D4B">
              <w:t>Nei</w:t>
            </w:r>
          </w:p>
        </w:tc>
      </w:tr>
      <w:tr w:rsidR="00972395" w:rsidRPr="00E73D4B" w14:paraId="76895052"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B5E87ED"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44915442" w14:textId="77777777" w:rsidR="00972395" w:rsidRPr="00E73D4B" w:rsidRDefault="00F120C7" w:rsidP="001C4219">
            <w:pPr>
              <w:jc w:val="right"/>
            </w:pPr>
            <w:r w:rsidRPr="00E73D4B">
              <w:t>943</w:t>
            </w:r>
          </w:p>
        </w:tc>
        <w:tc>
          <w:tcPr>
            <w:tcW w:w="5287" w:type="dxa"/>
            <w:tcBorders>
              <w:top w:val="nil"/>
              <w:left w:val="nil"/>
              <w:bottom w:val="nil"/>
              <w:right w:val="nil"/>
            </w:tcBorders>
            <w:tcMar>
              <w:top w:w="128" w:type="dxa"/>
              <w:left w:w="43" w:type="dxa"/>
              <w:bottom w:w="43" w:type="dxa"/>
              <w:right w:w="43" w:type="dxa"/>
            </w:tcMar>
          </w:tcPr>
          <w:p w14:paraId="165A348E" w14:textId="77777777" w:rsidR="00972395" w:rsidRPr="00E73D4B" w:rsidRDefault="00F120C7" w:rsidP="001C4219">
            <w:r w:rsidRPr="00E73D4B">
              <w:t>Krav til minstestandard på teknisk utstyr på yrkesfag</w:t>
            </w:r>
          </w:p>
        </w:tc>
        <w:tc>
          <w:tcPr>
            <w:tcW w:w="1262" w:type="dxa"/>
            <w:tcBorders>
              <w:top w:val="nil"/>
              <w:left w:val="nil"/>
              <w:bottom w:val="nil"/>
              <w:right w:val="nil"/>
            </w:tcBorders>
            <w:tcMar>
              <w:top w:w="128" w:type="dxa"/>
              <w:left w:w="43" w:type="dxa"/>
              <w:bottom w:w="43" w:type="dxa"/>
              <w:right w:w="43" w:type="dxa"/>
            </w:tcMar>
          </w:tcPr>
          <w:p w14:paraId="1D9EF77E" w14:textId="77777777" w:rsidR="00972395" w:rsidRPr="00E73D4B" w:rsidRDefault="00F120C7" w:rsidP="001C4219">
            <w:pPr>
              <w:jc w:val="right"/>
            </w:pPr>
            <w:r w:rsidRPr="00E73D4B">
              <w:t>Ja</w:t>
            </w:r>
          </w:p>
        </w:tc>
      </w:tr>
      <w:tr w:rsidR="00972395" w:rsidRPr="00E73D4B" w14:paraId="089CD35E"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CDB58CC"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55EA3917" w14:textId="77777777" w:rsidR="00972395" w:rsidRPr="00E73D4B" w:rsidRDefault="00F120C7" w:rsidP="001C4219">
            <w:pPr>
              <w:jc w:val="right"/>
            </w:pPr>
            <w:r w:rsidRPr="00E73D4B">
              <w:t>944</w:t>
            </w:r>
          </w:p>
        </w:tc>
        <w:tc>
          <w:tcPr>
            <w:tcW w:w="5287" w:type="dxa"/>
            <w:tcBorders>
              <w:top w:val="nil"/>
              <w:left w:val="nil"/>
              <w:bottom w:val="nil"/>
              <w:right w:val="nil"/>
            </w:tcBorders>
            <w:tcMar>
              <w:top w:w="128" w:type="dxa"/>
              <w:left w:w="43" w:type="dxa"/>
              <w:bottom w:w="43" w:type="dxa"/>
              <w:right w:w="43" w:type="dxa"/>
            </w:tcMar>
          </w:tcPr>
          <w:p w14:paraId="159CFCED" w14:textId="77777777" w:rsidR="00972395" w:rsidRPr="00E73D4B" w:rsidRDefault="00F120C7" w:rsidP="001C4219">
            <w:r w:rsidRPr="00E73D4B">
              <w:t xml:space="preserve">Kunnskap om </w:t>
            </w:r>
            <w:proofErr w:type="spellStart"/>
            <w:r w:rsidRPr="00E73D4B">
              <w:t>fagskuleutdanning</w:t>
            </w:r>
            <w:proofErr w:type="spellEnd"/>
            <w:r w:rsidRPr="00E73D4B">
              <w:t xml:space="preserve"> i </w:t>
            </w:r>
            <w:proofErr w:type="spellStart"/>
            <w:r w:rsidRPr="00E73D4B">
              <w:t>rådgivingstenesta</w:t>
            </w:r>
            <w:proofErr w:type="spellEnd"/>
          </w:p>
        </w:tc>
        <w:tc>
          <w:tcPr>
            <w:tcW w:w="1262" w:type="dxa"/>
            <w:tcBorders>
              <w:top w:val="nil"/>
              <w:left w:val="nil"/>
              <w:bottom w:val="nil"/>
              <w:right w:val="nil"/>
            </w:tcBorders>
            <w:tcMar>
              <w:top w:w="128" w:type="dxa"/>
              <w:left w:w="43" w:type="dxa"/>
              <w:bottom w:w="43" w:type="dxa"/>
              <w:right w:w="43" w:type="dxa"/>
            </w:tcMar>
          </w:tcPr>
          <w:p w14:paraId="429FD435" w14:textId="77777777" w:rsidR="00972395" w:rsidRPr="00E73D4B" w:rsidRDefault="00F120C7" w:rsidP="001C4219">
            <w:pPr>
              <w:jc w:val="right"/>
            </w:pPr>
            <w:r w:rsidRPr="00E73D4B">
              <w:t>Ja</w:t>
            </w:r>
          </w:p>
        </w:tc>
      </w:tr>
      <w:tr w:rsidR="00972395" w:rsidRPr="00E73D4B" w14:paraId="77B233E3"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3657606"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666D727C" w14:textId="77777777" w:rsidR="00972395" w:rsidRPr="00E73D4B" w:rsidRDefault="00F120C7" w:rsidP="001C4219">
            <w:pPr>
              <w:jc w:val="right"/>
            </w:pPr>
            <w:r w:rsidRPr="00E73D4B">
              <w:t>945</w:t>
            </w:r>
          </w:p>
        </w:tc>
        <w:tc>
          <w:tcPr>
            <w:tcW w:w="5287" w:type="dxa"/>
            <w:tcBorders>
              <w:top w:val="nil"/>
              <w:left w:val="nil"/>
              <w:bottom w:val="nil"/>
              <w:right w:val="nil"/>
            </w:tcBorders>
            <w:tcMar>
              <w:top w:w="128" w:type="dxa"/>
              <w:left w:w="43" w:type="dxa"/>
              <w:bottom w:w="43" w:type="dxa"/>
              <w:right w:w="43" w:type="dxa"/>
            </w:tcMar>
          </w:tcPr>
          <w:p w14:paraId="0FCDE2A1" w14:textId="77777777" w:rsidR="00972395" w:rsidRPr="00E73D4B" w:rsidRDefault="00F120C7" w:rsidP="001C4219">
            <w:r w:rsidRPr="00E73D4B">
              <w:t xml:space="preserve">Rekrutteringsstipend for </w:t>
            </w:r>
            <w:proofErr w:type="spellStart"/>
            <w:r w:rsidRPr="00E73D4B">
              <w:t>yrkesfaglærarutdanning</w:t>
            </w:r>
            <w:proofErr w:type="spellEnd"/>
          </w:p>
        </w:tc>
        <w:tc>
          <w:tcPr>
            <w:tcW w:w="1262" w:type="dxa"/>
            <w:tcBorders>
              <w:top w:val="nil"/>
              <w:left w:val="nil"/>
              <w:bottom w:val="nil"/>
              <w:right w:val="nil"/>
            </w:tcBorders>
            <w:tcMar>
              <w:top w:w="128" w:type="dxa"/>
              <w:left w:w="43" w:type="dxa"/>
              <w:bottom w:w="43" w:type="dxa"/>
              <w:right w:w="43" w:type="dxa"/>
            </w:tcMar>
          </w:tcPr>
          <w:p w14:paraId="687BFD52" w14:textId="77777777" w:rsidR="00972395" w:rsidRPr="00E73D4B" w:rsidRDefault="00F120C7" w:rsidP="001C4219">
            <w:pPr>
              <w:jc w:val="right"/>
            </w:pPr>
            <w:r w:rsidRPr="00E73D4B">
              <w:t>Ja</w:t>
            </w:r>
          </w:p>
        </w:tc>
      </w:tr>
      <w:tr w:rsidR="00972395" w:rsidRPr="00E73D4B" w14:paraId="1CCF7583"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A7D8A66"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0D331325" w14:textId="77777777" w:rsidR="00972395" w:rsidRPr="00E73D4B" w:rsidRDefault="00F120C7" w:rsidP="001C4219">
            <w:pPr>
              <w:jc w:val="right"/>
            </w:pPr>
            <w:r w:rsidRPr="00E73D4B">
              <w:t>946</w:t>
            </w:r>
          </w:p>
        </w:tc>
        <w:tc>
          <w:tcPr>
            <w:tcW w:w="5287" w:type="dxa"/>
            <w:tcBorders>
              <w:top w:val="nil"/>
              <w:left w:val="nil"/>
              <w:bottom w:val="nil"/>
              <w:right w:val="nil"/>
            </w:tcBorders>
            <w:tcMar>
              <w:top w:w="128" w:type="dxa"/>
              <w:left w:w="43" w:type="dxa"/>
              <w:bottom w:w="43" w:type="dxa"/>
              <w:right w:w="43" w:type="dxa"/>
            </w:tcMar>
          </w:tcPr>
          <w:p w14:paraId="7B722CBB" w14:textId="77777777" w:rsidR="00972395" w:rsidRPr="00E73D4B" w:rsidRDefault="00F120C7" w:rsidP="001C4219">
            <w:r w:rsidRPr="00E73D4B">
              <w:t xml:space="preserve">Hospiteringsordning for </w:t>
            </w:r>
            <w:proofErr w:type="spellStart"/>
            <w:r w:rsidRPr="00E73D4B">
              <w:t>yrkesfaglærarar</w:t>
            </w:r>
            <w:proofErr w:type="spellEnd"/>
          </w:p>
        </w:tc>
        <w:tc>
          <w:tcPr>
            <w:tcW w:w="1262" w:type="dxa"/>
            <w:tcBorders>
              <w:top w:val="nil"/>
              <w:left w:val="nil"/>
              <w:bottom w:val="nil"/>
              <w:right w:val="nil"/>
            </w:tcBorders>
            <w:tcMar>
              <w:top w:w="128" w:type="dxa"/>
              <w:left w:w="43" w:type="dxa"/>
              <w:bottom w:w="43" w:type="dxa"/>
              <w:right w:w="43" w:type="dxa"/>
            </w:tcMar>
          </w:tcPr>
          <w:p w14:paraId="662B0E46" w14:textId="77777777" w:rsidR="00972395" w:rsidRPr="00E73D4B" w:rsidRDefault="00F120C7" w:rsidP="001C4219">
            <w:pPr>
              <w:jc w:val="right"/>
            </w:pPr>
            <w:r w:rsidRPr="00E73D4B">
              <w:t xml:space="preserve">Ja </w:t>
            </w:r>
          </w:p>
        </w:tc>
      </w:tr>
      <w:tr w:rsidR="00972395" w:rsidRPr="00E73D4B" w14:paraId="43798998"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5DDBF383"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5A19C905" w14:textId="77777777" w:rsidR="00972395" w:rsidRPr="00E73D4B" w:rsidRDefault="00F120C7" w:rsidP="001C4219">
            <w:pPr>
              <w:jc w:val="right"/>
            </w:pPr>
            <w:r w:rsidRPr="00E73D4B">
              <w:t>947</w:t>
            </w:r>
          </w:p>
        </w:tc>
        <w:tc>
          <w:tcPr>
            <w:tcW w:w="5287" w:type="dxa"/>
            <w:tcBorders>
              <w:top w:val="nil"/>
              <w:left w:val="nil"/>
              <w:bottom w:val="nil"/>
              <w:right w:val="nil"/>
            </w:tcBorders>
            <w:tcMar>
              <w:top w:w="128" w:type="dxa"/>
              <w:left w:w="43" w:type="dxa"/>
              <w:bottom w:w="43" w:type="dxa"/>
              <w:right w:w="43" w:type="dxa"/>
            </w:tcMar>
          </w:tcPr>
          <w:p w14:paraId="2A41BC41" w14:textId="77777777" w:rsidR="00972395" w:rsidRPr="00E73D4B" w:rsidRDefault="00F120C7" w:rsidP="001C4219">
            <w:r w:rsidRPr="00E73D4B">
              <w:t>Yrkesopplæringa tilpassa arbeidslivet</w:t>
            </w:r>
          </w:p>
        </w:tc>
        <w:tc>
          <w:tcPr>
            <w:tcW w:w="1262" w:type="dxa"/>
            <w:tcBorders>
              <w:top w:val="nil"/>
              <w:left w:val="nil"/>
              <w:bottom w:val="nil"/>
              <w:right w:val="nil"/>
            </w:tcBorders>
            <w:tcMar>
              <w:top w:w="128" w:type="dxa"/>
              <w:left w:w="43" w:type="dxa"/>
              <w:bottom w:w="43" w:type="dxa"/>
              <w:right w:w="43" w:type="dxa"/>
            </w:tcMar>
          </w:tcPr>
          <w:p w14:paraId="36DFD19F" w14:textId="77777777" w:rsidR="00972395" w:rsidRPr="00E73D4B" w:rsidRDefault="00F120C7" w:rsidP="001C4219">
            <w:pPr>
              <w:jc w:val="right"/>
            </w:pPr>
            <w:r w:rsidRPr="00E73D4B">
              <w:t>Ja</w:t>
            </w:r>
          </w:p>
        </w:tc>
      </w:tr>
      <w:tr w:rsidR="00972395" w:rsidRPr="00E73D4B" w14:paraId="1E77D9D1"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8A054FA"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29E8BC9C" w14:textId="77777777" w:rsidR="00972395" w:rsidRPr="00E73D4B" w:rsidRDefault="00F120C7" w:rsidP="001C4219">
            <w:pPr>
              <w:jc w:val="right"/>
            </w:pPr>
            <w:r w:rsidRPr="00E73D4B">
              <w:t>948</w:t>
            </w:r>
          </w:p>
        </w:tc>
        <w:tc>
          <w:tcPr>
            <w:tcW w:w="5287" w:type="dxa"/>
            <w:tcBorders>
              <w:top w:val="nil"/>
              <w:left w:val="nil"/>
              <w:bottom w:val="nil"/>
              <w:right w:val="nil"/>
            </w:tcBorders>
            <w:tcMar>
              <w:top w:w="128" w:type="dxa"/>
              <w:left w:w="43" w:type="dxa"/>
              <w:bottom w:w="43" w:type="dxa"/>
              <w:right w:w="43" w:type="dxa"/>
            </w:tcMar>
          </w:tcPr>
          <w:p w14:paraId="60987294" w14:textId="77777777" w:rsidR="00972395" w:rsidRPr="00E73D4B" w:rsidRDefault="00F120C7" w:rsidP="001C4219">
            <w:r w:rsidRPr="00E73D4B">
              <w:t>Prøveforsøk i yrkesfag etter Steigen-modellen</w:t>
            </w:r>
          </w:p>
        </w:tc>
        <w:tc>
          <w:tcPr>
            <w:tcW w:w="1262" w:type="dxa"/>
            <w:tcBorders>
              <w:top w:val="nil"/>
              <w:left w:val="nil"/>
              <w:bottom w:val="nil"/>
              <w:right w:val="nil"/>
            </w:tcBorders>
            <w:tcMar>
              <w:top w:w="128" w:type="dxa"/>
              <w:left w:w="43" w:type="dxa"/>
              <w:bottom w:w="43" w:type="dxa"/>
              <w:right w:w="43" w:type="dxa"/>
            </w:tcMar>
          </w:tcPr>
          <w:p w14:paraId="537083A9" w14:textId="77777777" w:rsidR="00972395" w:rsidRPr="00E73D4B" w:rsidRDefault="00F120C7" w:rsidP="001C4219">
            <w:pPr>
              <w:jc w:val="right"/>
            </w:pPr>
            <w:r w:rsidRPr="00E73D4B">
              <w:t>Ja</w:t>
            </w:r>
          </w:p>
        </w:tc>
      </w:tr>
      <w:tr w:rsidR="00972395" w:rsidRPr="00E73D4B" w14:paraId="04725F80"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76EBDE38"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51B90C7E" w14:textId="77777777" w:rsidR="00972395" w:rsidRPr="00E73D4B" w:rsidRDefault="00F120C7" w:rsidP="001C4219">
            <w:pPr>
              <w:jc w:val="right"/>
            </w:pPr>
            <w:r w:rsidRPr="00E73D4B">
              <w:t>949</w:t>
            </w:r>
          </w:p>
        </w:tc>
        <w:tc>
          <w:tcPr>
            <w:tcW w:w="5287" w:type="dxa"/>
            <w:tcBorders>
              <w:top w:val="nil"/>
              <w:left w:val="nil"/>
              <w:bottom w:val="nil"/>
              <w:right w:val="nil"/>
            </w:tcBorders>
            <w:tcMar>
              <w:top w:w="128" w:type="dxa"/>
              <w:left w:w="43" w:type="dxa"/>
              <w:bottom w:w="43" w:type="dxa"/>
              <w:right w:w="43" w:type="dxa"/>
            </w:tcMar>
          </w:tcPr>
          <w:p w14:paraId="43212B3E" w14:textId="77777777" w:rsidR="00972395" w:rsidRPr="00E73D4B" w:rsidRDefault="00F120C7" w:rsidP="001C4219">
            <w:r w:rsidRPr="00E73D4B">
              <w:t xml:space="preserve">Undervisningsutstyr i tekniske fag i </w:t>
            </w:r>
            <w:proofErr w:type="spellStart"/>
            <w:r w:rsidRPr="00E73D4B">
              <w:t>vidaregåande</w:t>
            </w:r>
            <w:proofErr w:type="spellEnd"/>
          </w:p>
        </w:tc>
        <w:tc>
          <w:tcPr>
            <w:tcW w:w="1262" w:type="dxa"/>
            <w:tcBorders>
              <w:top w:val="nil"/>
              <w:left w:val="nil"/>
              <w:bottom w:val="nil"/>
              <w:right w:val="nil"/>
            </w:tcBorders>
            <w:tcMar>
              <w:top w:w="128" w:type="dxa"/>
              <w:left w:w="43" w:type="dxa"/>
              <w:bottom w:w="43" w:type="dxa"/>
              <w:right w:w="43" w:type="dxa"/>
            </w:tcMar>
          </w:tcPr>
          <w:p w14:paraId="6A84D1D2" w14:textId="77777777" w:rsidR="00972395" w:rsidRPr="00E73D4B" w:rsidRDefault="00F120C7" w:rsidP="001C4219">
            <w:pPr>
              <w:jc w:val="right"/>
            </w:pPr>
            <w:r w:rsidRPr="00E73D4B">
              <w:t>Ja</w:t>
            </w:r>
          </w:p>
        </w:tc>
      </w:tr>
      <w:tr w:rsidR="00972395" w:rsidRPr="00E73D4B" w14:paraId="577B959A"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32C66ECB"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01952B8E" w14:textId="77777777" w:rsidR="00972395" w:rsidRPr="00E73D4B" w:rsidRDefault="00F120C7" w:rsidP="001C4219">
            <w:pPr>
              <w:jc w:val="right"/>
            </w:pPr>
            <w:r w:rsidRPr="00E73D4B">
              <w:t>950</w:t>
            </w:r>
          </w:p>
        </w:tc>
        <w:tc>
          <w:tcPr>
            <w:tcW w:w="5287" w:type="dxa"/>
            <w:tcBorders>
              <w:top w:val="nil"/>
              <w:left w:val="nil"/>
              <w:bottom w:val="nil"/>
              <w:right w:val="nil"/>
            </w:tcBorders>
            <w:tcMar>
              <w:top w:w="128" w:type="dxa"/>
              <w:left w:w="43" w:type="dxa"/>
              <w:bottom w:w="43" w:type="dxa"/>
              <w:right w:w="43" w:type="dxa"/>
            </w:tcMar>
          </w:tcPr>
          <w:p w14:paraId="52B496D7" w14:textId="77777777" w:rsidR="00972395" w:rsidRPr="00E73D4B" w:rsidRDefault="00F120C7" w:rsidP="001C4219">
            <w:proofErr w:type="spellStart"/>
            <w:r w:rsidRPr="00E73D4B">
              <w:t>Auka</w:t>
            </w:r>
            <w:proofErr w:type="spellEnd"/>
            <w:r w:rsidRPr="00E73D4B">
              <w:t xml:space="preserve"> utstyrsstipend</w:t>
            </w:r>
          </w:p>
        </w:tc>
        <w:tc>
          <w:tcPr>
            <w:tcW w:w="1262" w:type="dxa"/>
            <w:tcBorders>
              <w:top w:val="nil"/>
              <w:left w:val="nil"/>
              <w:bottom w:val="nil"/>
              <w:right w:val="nil"/>
            </w:tcBorders>
            <w:tcMar>
              <w:top w:w="128" w:type="dxa"/>
              <w:left w:w="43" w:type="dxa"/>
              <w:bottom w:w="43" w:type="dxa"/>
              <w:right w:w="43" w:type="dxa"/>
            </w:tcMar>
          </w:tcPr>
          <w:p w14:paraId="750B8F0B" w14:textId="77777777" w:rsidR="00972395" w:rsidRPr="00E73D4B" w:rsidRDefault="00F120C7" w:rsidP="001C4219">
            <w:pPr>
              <w:jc w:val="right"/>
            </w:pPr>
            <w:r w:rsidRPr="00E73D4B">
              <w:t>Ja</w:t>
            </w:r>
          </w:p>
        </w:tc>
      </w:tr>
      <w:tr w:rsidR="00972395" w:rsidRPr="00E73D4B" w14:paraId="26688915"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3B27117B"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64D68209" w14:textId="77777777" w:rsidR="00972395" w:rsidRPr="00E73D4B" w:rsidRDefault="00F120C7" w:rsidP="001C4219">
            <w:pPr>
              <w:jc w:val="right"/>
            </w:pPr>
            <w:r w:rsidRPr="00E73D4B">
              <w:t>971</w:t>
            </w:r>
          </w:p>
        </w:tc>
        <w:tc>
          <w:tcPr>
            <w:tcW w:w="5287" w:type="dxa"/>
            <w:tcBorders>
              <w:top w:val="nil"/>
              <w:left w:val="nil"/>
              <w:bottom w:val="nil"/>
              <w:right w:val="nil"/>
            </w:tcBorders>
            <w:tcMar>
              <w:top w:w="128" w:type="dxa"/>
              <w:left w:w="43" w:type="dxa"/>
              <w:bottom w:w="43" w:type="dxa"/>
              <w:right w:w="43" w:type="dxa"/>
            </w:tcMar>
          </w:tcPr>
          <w:p w14:paraId="144771C2" w14:textId="77777777" w:rsidR="00972395" w:rsidRPr="00E73D4B" w:rsidRDefault="00F120C7" w:rsidP="001C4219">
            <w:r w:rsidRPr="00E73D4B">
              <w:t xml:space="preserve">Tilgang til </w:t>
            </w:r>
            <w:proofErr w:type="spellStart"/>
            <w:r w:rsidRPr="00E73D4B">
              <w:t>skulebygg</w:t>
            </w:r>
            <w:proofErr w:type="spellEnd"/>
            <w:r w:rsidRPr="00E73D4B">
              <w:t xml:space="preserve"> for </w:t>
            </w:r>
            <w:proofErr w:type="spellStart"/>
            <w:r w:rsidRPr="00E73D4B">
              <w:t>organisasjonar</w:t>
            </w:r>
            <w:proofErr w:type="spellEnd"/>
          </w:p>
        </w:tc>
        <w:tc>
          <w:tcPr>
            <w:tcW w:w="1262" w:type="dxa"/>
            <w:tcBorders>
              <w:top w:val="nil"/>
              <w:left w:val="nil"/>
              <w:bottom w:val="nil"/>
              <w:right w:val="nil"/>
            </w:tcBorders>
            <w:tcMar>
              <w:top w:w="128" w:type="dxa"/>
              <w:left w:w="43" w:type="dxa"/>
              <w:bottom w:w="43" w:type="dxa"/>
              <w:right w:w="43" w:type="dxa"/>
            </w:tcMar>
          </w:tcPr>
          <w:p w14:paraId="13E3D4D4" w14:textId="77777777" w:rsidR="00972395" w:rsidRPr="00E73D4B" w:rsidRDefault="00F120C7" w:rsidP="001C4219">
            <w:pPr>
              <w:jc w:val="right"/>
            </w:pPr>
            <w:r w:rsidRPr="00E73D4B">
              <w:t>Ja</w:t>
            </w:r>
          </w:p>
        </w:tc>
      </w:tr>
      <w:tr w:rsidR="00972395" w:rsidRPr="00E73D4B" w14:paraId="4643A5EF"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35FA9B9"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57FECF6F" w14:textId="77777777" w:rsidR="00972395" w:rsidRPr="00E73D4B" w:rsidRDefault="00F120C7" w:rsidP="001C4219">
            <w:pPr>
              <w:jc w:val="right"/>
            </w:pPr>
            <w:r w:rsidRPr="00E73D4B">
              <w:t>1016</w:t>
            </w:r>
          </w:p>
        </w:tc>
        <w:tc>
          <w:tcPr>
            <w:tcW w:w="5287" w:type="dxa"/>
            <w:tcBorders>
              <w:top w:val="nil"/>
              <w:left w:val="nil"/>
              <w:bottom w:val="nil"/>
              <w:right w:val="nil"/>
            </w:tcBorders>
            <w:tcMar>
              <w:top w:w="128" w:type="dxa"/>
              <w:left w:w="43" w:type="dxa"/>
              <w:bottom w:w="43" w:type="dxa"/>
              <w:right w:w="43" w:type="dxa"/>
            </w:tcMar>
          </w:tcPr>
          <w:p w14:paraId="6568BC20" w14:textId="77777777" w:rsidR="00972395" w:rsidRPr="00E73D4B" w:rsidRDefault="00F120C7" w:rsidP="001C4219">
            <w:proofErr w:type="spellStart"/>
            <w:r w:rsidRPr="00E73D4B">
              <w:t>Eksamensoppgåver</w:t>
            </w:r>
            <w:proofErr w:type="spellEnd"/>
            <w:r w:rsidRPr="00E73D4B">
              <w:t xml:space="preserve"> og skriftspråk</w:t>
            </w:r>
          </w:p>
        </w:tc>
        <w:tc>
          <w:tcPr>
            <w:tcW w:w="1262" w:type="dxa"/>
            <w:tcBorders>
              <w:top w:val="nil"/>
              <w:left w:val="nil"/>
              <w:bottom w:val="nil"/>
              <w:right w:val="nil"/>
            </w:tcBorders>
            <w:tcMar>
              <w:top w:w="128" w:type="dxa"/>
              <w:left w:w="43" w:type="dxa"/>
              <w:bottom w:w="43" w:type="dxa"/>
              <w:right w:w="43" w:type="dxa"/>
            </w:tcMar>
          </w:tcPr>
          <w:p w14:paraId="7E05F98E" w14:textId="77777777" w:rsidR="00972395" w:rsidRPr="00E73D4B" w:rsidRDefault="00F120C7" w:rsidP="001C4219">
            <w:pPr>
              <w:jc w:val="right"/>
            </w:pPr>
            <w:r w:rsidRPr="00E73D4B">
              <w:t>Ja</w:t>
            </w:r>
          </w:p>
        </w:tc>
      </w:tr>
      <w:tr w:rsidR="00972395" w:rsidRPr="00E73D4B" w14:paraId="0F70EC29"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C41AAA7"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6E3C8090" w14:textId="77777777" w:rsidR="00972395" w:rsidRPr="00E73D4B" w:rsidRDefault="00F120C7" w:rsidP="001C4219">
            <w:pPr>
              <w:jc w:val="right"/>
            </w:pPr>
            <w:r w:rsidRPr="00E73D4B">
              <w:t>1017</w:t>
            </w:r>
          </w:p>
        </w:tc>
        <w:tc>
          <w:tcPr>
            <w:tcW w:w="5287" w:type="dxa"/>
            <w:tcBorders>
              <w:top w:val="nil"/>
              <w:left w:val="nil"/>
              <w:bottom w:val="nil"/>
              <w:right w:val="nil"/>
            </w:tcBorders>
            <w:tcMar>
              <w:top w:w="128" w:type="dxa"/>
              <w:left w:w="43" w:type="dxa"/>
              <w:bottom w:w="43" w:type="dxa"/>
              <w:right w:w="43" w:type="dxa"/>
            </w:tcMar>
          </w:tcPr>
          <w:p w14:paraId="221D017C" w14:textId="77777777" w:rsidR="00972395" w:rsidRPr="00E73D4B" w:rsidRDefault="00F120C7" w:rsidP="001C4219">
            <w:proofErr w:type="spellStart"/>
            <w:r w:rsidRPr="00E73D4B">
              <w:t>Opplæringslova</w:t>
            </w:r>
            <w:proofErr w:type="spellEnd"/>
            <w:r w:rsidRPr="00E73D4B">
              <w:t>, barnehagelova og FNs barnekonvensjon</w:t>
            </w:r>
          </w:p>
        </w:tc>
        <w:tc>
          <w:tcPr>
            <w:tcW w:w="1262" w:type="dxa"/>
            <w:tcBorders>
              <w:top w:val="nil"/>
              <w:left w:val="nil"/>
              <w:bottom w:val="nil"/>
              <w:right w:val="nil"/>
            </w:tcBorders>
            <w:tcMar>
              <w:top w:w="128" w:type="dxa"/>
              <w:left w:w="43" w:type="dxa"/>
              <w:bottom w:w="43" w:type="dxa"/>
              <w:right w:w="43" w:type="dxa"/>
            </w:tcMar>
          </w:tcPr>
          <w:p w14:paraId="4DCEBE8C" w14:textId="77777777" w:rsidR="00972395" w:rsidRPr="00E73D4B" w:rsidRDefault="00F120C7" w:rsidP="001C4219">
            <w:pPr>
              <w:jc w:val="right"/>
            </w:pPr>
            <w:r w:rsidRPr="00E73D4B">
              <w:t>Nei</w:t>
            </w:r>
          </w:p>
        </w:tc>
      </w:tr>
      <w:tr w:rsidR="00972395" w:rsidRPr="00E73D4B" w14:paraId="63BB99D9"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7A209890"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4F89CAF1" w14:textId="77777777" w:rsidR="00972395" w:rsidRPr="00E73D4B" w:rsidRDefault="00F120C7" w:rsidP="001C4219">
            <w:pPr>
              <w:jc w:val="right"/>
            </w:pPr>
            <w:r w:rsidRPr="00E73D4B">
              <w:t>1018</w:t>
            </w:r>
          </w:p>
        </w:tc>
        <w:tc>
          <w:tcPr>
            <w:tcW w:w="5287" w:type="dxa"/>
            <w:tcBorders>
              <w:top w:val="nil"/>
              <w:left w:val="nil"/>
              <w:bottom w:val="nil"/>
              <w:right w:val="nil"/>
            </w:tcBorders>
            <w:tcMar>
              <w:top w:w="128" w:type="dxa"/>
              <w:left w:w="43" w:type="dxa"/>
              <w:bottom w:w="43" w:type="dxa"/>
              <w:right w:w="43" w:type="dxa"/>
            </w:tcMar>
          </w:tcPr>
          <w:p w14:paraId="743B587D" w14:textId="77777777" w:rsidR="00972395" w:rsidRPr="00E73D4B" w:rsidRDefault="00F120C7" w:rsidP="001C4219">
            <w:r w:rsidRPr="00E73D4B">
              <w:t>Fjernundervisning og opplæringslova</w:t>
            </w:r>
          </w:p>
        </w:tc>
        <w:tc>
          <w:tcPr>
            <w:tcW w:w="1262" w:type="dxa"/>
            <w:tcBorders>
              <w:top w:val="nil"/>
              <w:left w:val="nil"/>
              <w:bottom w:val="nil"/>
              <w:right w:val="nil"/>
            </w:tcBorders>
            <w:tcMar>
              <w:top w:w="128" w:type="dxa"/>
              <w:left w:w="43" w:type="dxa"/>
              <w:bottom w:w="43" w:type="dxa"/>
              <w:right w:w="43" w:type="dxa"/>
            </w:tcMar>
          </w:tcPr>
          <w:p w14:paraId="23BEA48E" w14:textId="77777777" w:rsidR="00972395" w:rsidRPr="00E73D4B" w:rsidRDefault="00F120C7" w:rsidP="001C4219">
            <w:pPr>
              <w:jc w:val="right"/>
            </w:pPr>
            <w:r w:rsidRPr="00E73D4B">
              <w:t>Nei</w:t>
            </w:r>
          </w:p>
        </w:tc>
      </w:tr>
      <w:tr w:rsidR="00972395" w:rsidRPr="00E73D4B" w14:paraId="7574C957"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F0A17DD"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314240B1" w14:textId="77777777" w:rsidR="00972395" w:rsidRPr="00E73D4B" w:rsidRDefault="00F120C7" w:rsidP="001C4219">
            <w:pPr>
              <w:jc w:val="right"/>
            </w:pPr>
            <w:r w:rsidRPr="00E73D4B">
              <w:t>1069</w:t>
            </w:r>
          </w:p>
        </w:tc>
        <w:tc>
          <w:tcPr>
            <w:tcW w:w="5287" w:type="dxa"/>
            <w:tcBorders>
              <w:top w:val="nil"/>
              <w:left w:val="nil"/>
              <w:bottom w:val="nil"/>
              <w:right w:val="nil"/>
            </w:tcBorders>
            <w:tcMar>
              <w:top w:w="128" w:type="dxa"/>
              <w:left w:w="43" w:type="dxa"/>
              <w:bottom w:w="43" w:type="dxa"/>
              <w:right w:w="43" w:type="dxa"/>
            </w:tcMar>
          </w:tcPr>
          <w:p w14:paraId="55B8A41C" w14:textId="77777777" w:rsidR="00972395" w:rsidRPr="00E73D4B" w:rsidRDefault="00F120C7" w:rsidP="001C4219">
            <w:r w:rsidRPr="00E73D4B">
              <w:t xml:space="preserve">Rett til innføringsfag i </w:t>
            </w:r>
            <w:proofErr w:type="spellStart"/>
            <w:r w:rsidRPr="00E73D4B">
              <w:t>vidaregåande</w:t>
            </w:r>
            <w:proofErr w:type="spellEnd"/>
            <w:r w:rsidRPr="00E73D4B">
              <w:t xml:space="preserve"> opplæring</w:t>
            </w:r>
          </w:p>
        </w:tc>
        <w:tc>
          <w:tcPr>
            <w:tcW w:w="1262" w:type="dxa"/>
            <w:tcBorders>
              <w:top w:val="nil"/>
              <w:left w:val="nil"/>
              <w:bottom w:val="nil"/>
              <w:right w:val="nil"/>
            </w:tcBorders>
            <w:tcMar>
              <w:top w:w="128" w:type="dxa"/>
              <w:left w:w="43" w:type="dxa"/>
              <w:bottom w:w="43" w:type="dxa"/>
              <w:right w:w="43" w:type="dxa"/>
            </w:tcMar>
          </w:tcPr>
          <w:p w14:paraId="277CAFE6" w14:textId="77777777" w:rsidR="00972395" w:rsidRPr="00E73D4B" w:rsidRDefault="00F120C7" w:rsidP="001C4219">
            <w:pPr>
              <w:jc w:val="right"/>
            </w:pPr>
            <w:r w:rsidRPr="00E73D4B">
              <w:t>Nei</w:t>
            </w:r>
          </w:p>
        </w:tc>
      </w:tr>
      <w:tr w:rsidR="00972395" w:rsidRPr="00E73D4B" w14:paraId="3F0B897D"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C5D170D"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3A4A1EB9" w14:textId="77777777" w:rsidR="00972395" w:rsidRPr="00E73D4B" w:rsidRDefault="00F120C7" w:rsidP="001C4219">
            <w:pPr>
              <w:jc w:val="right"/>
            </w:pPr>
            <w:r w:rsidRPr="00E73D4B">
              <w:t>1070</w:t>
            </w:r>
          </w:p>
        </w:tc>
        <w:tc>
          <w:tcPr>
            <w:tcW w:w="5287" w:type="dxa"/>
            <w:tcBorders>
              <w:top w:val="nil"/>
              <w:left w:val="nil"/>
              <w:bottom w:val="nil"/>
              <w:right w:val="nil"/>
            </w:tcBorders>
            <w:tcMar>
              <w:top w:w="128" w:type="dxa"/>
              <w:left w:w="43" w:type="dxa"/>
              <w:bottom w:w="43" w:type="dxa"/>
              <w:right w:w="43" w:type="dxa"/>
            </w:tcMar>
          </w:tcPr>
          <w:p w14:paraId="4889603F" w14:textId="77777777" w:rsidR="00972395" w:rsidRPr="00E73D4B" w:rsidRDefault="00F120C7" w:rsidP="001C4219">
            <w:r w:rsidRPr="00E73D4B">
              <w:t xml:space="preserve">Sluttkompetanse i </w:t>
            </w:r>
            <w:proofErr w:type="spellStart"/>
            <w:r w:rsidRPr="00E73D4B">
              <w:t>vidaregåande</w:t>
            </w:r>
            <w:proofErr w:type="spellEnd"/>
            <w:r w:rsidRPr="00E73D4B">
              <w:t xml:space="preserve"> skule</w:t>
            </w:r>
          </w:p>
        </w:tc>
        <w:tc>
          <w:tcPr>
            <w:tcW w:w="1262" w:type="dxa"/>
            <w:tcBorders>
              <w:top w:val="nil"/>
              <w:left w:val="nil"/>
              <w:bottom w:val="nil"/>
              <w:right w:val="nil"/>
            </w:tcBorders>
            <w:tcMar>
              <w:top w:w="128" w:type="dxa"/>
              <w:left w:w="43" w:type="dxa"/>
              <w:bottom w:w="43" w:type="dxa"/>
              <w:right w:w="43" w:type="dxa"/>
            </w:tcMar>
          </w:tcPr>
          <w:p w14:paraId="593E1DD6" w14:textId="77777777" w:rsidR="00972395" w:rsidRPr="00E73D4B" w:rsidRDefault="00F120C7" w:rsidP="001C4219">
            <w:pPr>
              <w:jc w:val="right"/>
            </w:pPr>
            <w:r w:rsidRPr="00E73D4B">
              <w:t>Nei</w:t>
            </w:r>
          </w:p>
        </w:tc>
      </w:tr>
      <w:tr w:rsidR="00972395" w:rsidRPr="00E73D4B" w14:paraId="1E4D39D8"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38A645B8"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5DCD7E5B" w14:textId="77777777" w:rsidR="00972395" w:rsidRPr="00E73D4B" w:rsidRDefault="00F120C7" w:rsidP="001C4219">
            <w:pPr>
              <w:jc w:val="right"/>
            </w:pPr>
            <w:r w:rsidRPr="00E73D4B">
              <w:t>1071</w:t>
            </w:r>
          </w:p>
        </w:tc>
        <w:tc>
          <w:tcPr>
            <w:tcW w:w="5287" w:type="dxa"/>
            <w:tcBorders>
              <w:top w:val="nil"/>
              <w:left w:val="nil"/>
              <w:bottom w:val="nil"/>
              <w:right w:val="nil"/>
            </w:tcBorders>
            <w:tcMar>
              <w:top w:w="128" w:type="dxa"/>
              <w:left w:w="43" w:type="dxa"/>
              <w:bottom w:w="43" w:type="dxa"/>
              <w:right w:w="43" w:type="dxa"/>
            </w:tcMar>
          </w:tcPr>
          <w:p w14:paraId="2F755315" w14:textId="77777777" w:rsidR="00972395" w:rsidRPr="00E73D4B" w:rsidRDefault="00F120C7" w:rsidP="001C4219">
            <w:r w:rsidRPr="00E73D4B">
              <w:t xml:space="preserve">Overgangskurs i </w:t>
            </w:r>
            <w:proofErr w:type="spellStart"/>
            <w:r w:rsidRPr="00E73D4B">
              <w:t>vidaregåande</w:t>
            </w:r>
            <w:proofErr w:type="spellEnd"/>
            <w:r w:rsidRPr="00E73D4B">
              <w:t xml:space="preserve"> opplæring</w:t>
            </w:r>
          </w:p>
        </w:tc>
        <w:tc>
          <w:tcPr>
            <w:tcW w:w="1262" w:type="dxa"/>
            <w:tcBorders>
              <w:top w:val="nil"/>
              <w:left w:val="nil"/>
              <w:bottom w:val="nil"/>
              <w:right w:val="nil"/>
            </w:tcBorders>
            <w:tcMar>
              <w:top w:w="128" w:type="dxa"/>
              <w:left w:w="43" w:type="dxa"/>
              <w:bottom w:w="43" w:type="dxa"/>
              <w:right w:w="43" w:type="dxa"/>
            </w:tcMar>
          </w:tcPr>
          <w:p w14:paraId="4301274B" w14:textId="77777777" w:rsidR="00972395" w:rsidRPr="00E73D4B" w:rsidRDefault="00F120C7" w:rsidP="001C4219">
            <w:pPr>
              <w:jc w:val="right"/>
            </w:pPr>
            <w:r w:rsidRPr="00E73D4B">
              <w:t>Nei</w:t>
            </w:r>
          </w:p>
        </w:tc>
      </w:tr>
      <w:tr w:rsidR="00972395" w:rsidRPr="00E73D4B" w14:paraId="0C6D8BAB"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3B0E5E5"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04702E2E" w14:textId="77777777" w:rsidR="00972395" w:rsidRPr="00E73D4B" w:rsidRDefault="00F120C7" w:rsidP="001C4219">
            <w:pPr>
              <w:jc w:val="right"/>
            </w:pPr>
            <w:r w:rsidRPr="00E73D4B">
              <w:t>1072</w:t>
            </w:r>
          </w:p>
        </w:tc>
        <w:tc>
          <w:tcPr>
            <w:tcW w:w="5287" w:type="dxa"/>
            <w:tcBorders>
              <w:top w:val="nil"/>
              <w:left w:val="nil"/>
              <w:bottom w:val="nil"/>
              <w:right w:val="nil"/>
            </w:tcBorders>
            <w:tcMar>
              <w:top w:w="128" w:type="dxa"/>
              <w:left w:w="43" w:type="dxa"/>
              <w:bottom w:w="43" w:type="dxa"/>
              <w:right w:w="43" w:type="dxa"/>
            </w:tcMar>
          </w:tcPr>
          <w:p w14:paraId="5EA83FB9" w14:textId="77777777" w:rsidR="00972395" w:rsidRPr="00E73D4B" w:rsidRDefault="00F120C7" w:rsidP="001C4219">
            <w:proofErr w:type="spellStart"/>
            <w:r w:rsidRPr="00E73D4B">
              <w:t>Overgangstilbod</w:t>
            </w:r>
            <w:proofErr w:type="spellEnd"/>
            <w:r w:rsidRPr="00E73D4B">
              <w:t xml:space="preserve"> i </w:t>
            </w:r>
            <w:proofErr w:type="spellStart"/>
            <w:r w:rsidRPr="00E73D4B">
              <w:t>vidaregåande</w:t>
            </w:r>
            <w:proofErr w:type="spellEnd"/>
            <w:r w:rsidRPr="00E73D4B">
              <w:t xml:space="preserve"> opplæring</w:t>
            </w:r>
          </w:p>
        </w:tc>
        <w:tc>
          <w:tcPr>
            <w:tcW w:w="1262" w:type="dxa"/>
            <w:tcBorders>
              <w:top w:val="nil"/>
              <w:left w:val="nil"/>
              <w:bottom w:val="nil"/>
              <w:right w:val="nil"/>
            </w:tcBorders>
            <w:tcMar>
              <w:top w:w="128" w:type="dxa"/>
              <w:left w:w="43" w:type="dxa"/>
              <w:bottom w:w="43" w:type="dxa"/>
              <w:right w:w="43" w:type="dxa"/>
            </w:tcMar>
          </w:tcPr>
          <w:p w14:paraId="77A19211" w14:textId="77777777" w:rsidR="00972395" w:rsidRPr="00E73D4B" w:rsidRDefault="00F120C7" w:rsidP="001C4219">
            <w:pPr>
              <w:jc w:val="right"/>
            </w:pPr>
            <w:r w:rsidRPr="00E73D4B">
              <w:t>Nei</w:t>
            </w:r>
          </w:p>
        </w:tc>
      </w:tr>
      <w:tr w:rsidR="00972395" w:rsidRPr="00E73D4B" w14:paraId="3F10E90E"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6193CB67"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7DEF15AA" w14:textId="77777777" w:rsidR="00972395" w:rsidRPr="00E73D4B" w:rsidRDefault="00F120C7" w:rsidP="001C4219">
            <w:pPr>
              <w:jc w:val="right"/>
            </w:pPr>
            <w:r w:rsidRPr="00E73D4B">
              <w:t>1073</w:t>
            </w:r>
          </w:p>
        </w:tc>
        <w:tc>
          <w:tcPr>
            <w:tcW w:w="5287" w:type="dxa"/>
            <w:tcBorders>
              <w:top w:val="nil"/>
              <w:left w:val="nil"/>
              <w:bottom w:val="nil"/>
              <w:right w:val="nil"/>
            </w:tcBorders>
            <w:tcMar>
              <w:top w:w="128" w:type="dxa"/>
              <w:left w:w="43" w:type="dxa"/>
              <w:bottom w:w="43" w:type="dxa"/>
              <w:right w:w="43" w:type="dxa"/>
            </w:tcMar>
          </w:tcPr>
          <w:p w14:paraId="581F267F" w14:textId="77777777" w:rsidR="00972395" w:rsidRPr="00E73D4B" w:rsidRDefault="00F120C7" w:rsidP="001C4219">
            <w:r w:rsidRPr="00E73D4B">
              <w:t xml:space="preserve">Vektlegge </w:t>
            </w:r>
            <w:proofErr w:type="spellStart"/>
            <w:r w:rsidRPr="00E73D4B">
              <w:t>opplæringstilbod</w:t>
            </w:r>
            <w:proofErr w:type="spellEnd"/>
            <w:r w:rsidRPr="00E73D4B">
              <w:t xml:space="preserve"> som fører til læreplass</w:t>
            </w:r>
          </w:p>
        </w:tc>
        <w:tc>
          <w:tcPr>
            <w:tcW w:w="1262" w:type="dxa"/>
            <w:tcBorders>
              <w:top w:val="nil"/>
              <w:left w:val="nil"/>
              <w:bottom w:val="nil"/>
              <w:right w:val="nil"/>
            </w:tcBorders>
            <w:tcMar>
              <w:top w:w="128" w:type="dxa"/>
              <w:left w:w="43" w:type="dxa"/>
              <w:bottom w:w="43" w:type="dxa"/>
              <w:right w:w="43" w:type="dxa"/>
            </w:tcMar>
          </w:tcPr>
          <w:p w14:paraId="3E14CD33" w14:textId="77777777" w:rsidR="00972395" w:rsidRPr="00E73D4B" w:rsidRDefault="00F120C7" w:rsidP="001C4219">
            <w:pPr>
              <w:jc w:val="right"/>
            </w:pPr>
            <w:r w:rsidRPr="00E73D4B">
              <w:t>Ja</w:t>
            </w:r>
          </w:p>
        </w:tc>
      </w:tr>
      <w:tr w:rsidR="00972395" w:rsidRPr="00E73D4B" w14:paraId="3154F3C5"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6C99B86"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7F602A8F" w14:textId="77777777" w:rsidR="00972395" w:rsidRPr="00E73D4B" w:rsidRDefault="00F120C7" w:rsidP="001C4219">
            <w:pPr>
              <w:jc w:val="right"/>
            </w:pPr>
            <w:r w:rsidRPr="00E73D4B">
              <w:t>1074</w:t>
            </w:r>
          </w:p>
        </w:tc>
        <w:tc>
          <w:tcPr>
            <w:tcW w:w="5287" w:type="dxa"/>
            <w:tcBorders>
              <w:top w:val="nil"/>
              <w:left w:val="nil"/>
              <w:bottom w:val="nil"/>
              <w:right w:val="nil"/>
            </w:tcBorders>
            <w:tcMar>
              <w:top w:w="128" w:type="dxa"/>
              <w:left w:w="43" w:type="dxa"/>
              <w:bottom w:w="43" w:type="dxa"/>
              <w:right w:w="43" w:type="dxa"/>
            </w:tcMar>
          </w:tcPr>
          <w:p w14:paraId="274DA9B6" w14:textId="77777777" w:rsidR="00972395" w:rsidRPr="00E73D4B" w:rsidRDefault="00F120C7" w:rsidP="001C4219">
            <w:proofErr w:type="spellStart"/>
            <w:r w:rsidRPr="00E73D4B">
              <w:t>Tilbod</w:t>
            </w:r>
            <w:proofErr w:type="spellEnd"/>
            <w:r w:rsidRPr="00E73D4B">
              <w:t xml:space="preserve"> om praksisbrev i </w:t>
            </w:r>
            <w:proofErr w:type="spellStart"/>
            <w:r w:rsidRPr="00E73D4B">
              <w:t>vidaregåande</w:t>
            </w:r>
            <w:proofErr w:type="spellEnd"/>
            <w:r w:rsidRPr="00E73D4B">
              <w:t xml:space="preserve"> opplæring</w:t>
            </w:r>
          </w:p>
        </w:tc>
        <w:tc>
          <w:tcPr>
            <w:tcW w:w="1262" w:type="dxa"/>
            <w:tcBorders>
              <w:top w:val="nil"/>
              <w:left w:val="nil"/>
              <w:bottom w:val="nil"/>
              <w:right w:val="nil"/>
            </w:tcBorders>
            <w:tcMar>
              <w:top w:w="128" w:type="dxa"/>
              <w:left w:w="43" w:type="dxa"/>
              <w:bottom w:w="43" w:type="dxa"/>
              <w:right w:w="43" w:type="dxa"/>
            </w:tcMar>
          </w:tcPr>
          <w:p w14:paraId="69746509" w14:textId="77777777" w:rsidR="00972395" w:rsidRPr="00E73D4B" w:rsidRDefault="00F120C7" w:rsidP="001C4219">
            <w:pPr>
              <w:jc w:val="right"/>
            </w:pPr>
            <w:r w:rsidRPr="00E73D4B">
              <w:t>Nei</w:t>
            </w:r>
          </w:p>
        </w:tc>
      </w:tr>
      <w:tr w:rsidR="00972395" w:rsidRPr="00E73D4B" w14:paraId="22FC6961"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3189CD1"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0244C603" w14:textId="77777777" w:rsidR="00972395" w:rsidRPr="00E73D4B" w:rsidRDefault="00F120C7" w:rsidP="001C4219">
            <w:pPr>
              <w:jc w:val="right"/>
            </w:pPr>
            <w:r w:rsidRPr="00E73D4B">
              <w:t>1075</w:t>
            </w:r>
          </w:p>
        </w:tc>
        <w:tc>
          <w:tcPr>
            <w:tcW w:w="5287" w:type="dxa"/>
            <w:tcBorders>
              <w:top w:val="nil"/>
              <w:left w:val="nil"/>
              <w:bottom w:val="nil"/>
              <w:right w:val="nil"/>
            </w:tcBorders>
            <w:tcMar>
              <w:top w:w="128" w:type="dxa"/>
              <w:left w:w="43" w:type="dxa"/>
              <w:bottom w:w="43" w:type="dxa"/>
              <w:right w:w="43" w:type="dxa"/>
            </w:tcMar>
          </w:tcPr>
          <w:p w14:paraId="236D0A87" w14:textId="77777777" w:rsidR="00972395" w:rsidRPr="00E73D4B" w:rsidRDefault="00F120C7" w:rsidP="001C4219">
            <w:proofErr w:type="spellStart"/>
            <w:r w:rsidRPr="00E73D4B">
              <w:t>Vekslingsmodellar</w:t>
            </w:r>
            <w:proofErr w:type="spellEnd"/>
            <w:r w:rsidRPr="00E73D4B">
              <w:t xml:space="preserve"> i </w:t>
            </w:r>
            <w:proofErr w:type="spellStart"/>
            <w:r w:rsidRPr="00E73D4B">
              <w:t>vidaregåande</w:t>
            </w:r>
            <w:proofErr w:type="spellEnd"/>
            <w:r w:rsidRPr="00E73D4B">
              <w:t xml:space="preserve"> opplæring</w:t>
            </w:r>
          </w:p>
        </w:tc>
        <w:tc>
          <w:tcPr>
            <w:tcW w:w="1262" w:type="dxa"/>
            <w:tcBorders>
              <w:top w:val="nil"/>
              <w:left w:val="nil"/>
              <w:bottom w:val="nil"/>
              <w:right w:val="nil"/>
            </w:tcBorders>
            <w:tcMar>
              <w:top w:w="128" w:type="dxa"/>
              <w:left w:w="43" w:type="dxa"/>
              <w:bottom w:w="43" w:type="dxa"/>
              <w:right w:w="43" w:type="dxa"/>
            </w:tcMar>
          </w:tcPr>
          <w:p w14:paraId="2939A1AE" w14:textId="77777777" w:rsidR="00972395" w:rsidRPr="00E73D4B" w:rsidRDefault="00F120C7" w:rsidP="001C4219">
            <w:pPr>
              <w:jc w:val="right"/>
            </w:pPr>
            <w:r w:rsidRPr="00E73D4B">
              <w:t>Ja</w:t>
            </w:r>
          </w:p>
        </w:tc>
      </w:tr>
      <w:tr w:rsidR="00972395" w:rsidRPr="00E73D4B" w14:paraId="752954E1"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4863678F"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2888B111" w14:textId="77777777" w:rsidR="00972395" w:rsidRPr="00E73D4B" w:rsidRDefault="00F120C7" w:rsidP="001C4219">
            <w:pPr>
              <w:jc w:val="right"/>
            </w:pPr>
            <w:r w:rsidRPr="00E73D4B">
              <w:t>1076</w:t>
            </w:r>
          </w:p>
        </w:tc>
        <w:tc>
          <w:tcPr>
            <w:tcW w:w="5287" w:type="dxa"/>
            <w:tcBorders>
              <w:top w:val="nil"/>
              <w:left w:val="nil"/>
              <w:bottom w:val="nil"/>
              <w:right w:val="nil"/>
            </w:tcBorders>
            <w:tcMar>
              <w:top w:w="128" w:type="dxa"/>
              <w:left w:w="43" w:type="dxa"/>
              <w:bottom w:w="43" w:type="dxa"/>
              <w:right w:w="43" w:type="dxa"/>
            </w:tcMar>
          </w:tcPr>
          <w:p w14:paraId="1EFDA408" w14:textId="77777777" w:rsidR="00972395" w:rsidRPr="00E73D4B" w:rsidRDefault="00F120C7" w:rsidP="001C4219">
            <w:r w:rsidRPr="00E73D4B">
              <w:t xml:space="preserve">Forsterka oppfølgingsansvar i </w:t>
            </w:r>
            <w:proofErr w:type="spellStart"/>
            <w:r w:rsidRPr="00E73D4B">
              <w:t>vidaregåande</w:t>
            </w:r>
            <w:proofErr w:type="spellEnd"/>
            <w:r w:rsidRPr="00E73D4B">
              <w:t xml:space="preserve"> opplæring</w:t>
            </w:r>
          </w:p>
        </w:tc>
        <w:tc>
          <w:tcPr>
            <w:tcW w:w="1262" w:type="dxa"/>
            <w:tcBorders>
              <w:top w:val="nil"/>
              <w:left w:val="nil"/>
              <w:bottom w:val="nil"/>
              <w:right w:val="nil"/>
            </w:tcBorders>
            <w:tcMar>
              <w:top w:w="128" w:type="dxa"/>
              <w:left w:w="43" w:type="dxa"/>
              <w:bottom w:w="43" w:type="dxa"/>
              <w:right w:w="43" w:type="dxa"/>
            </w:tcMar>
          </w:tcPr>
          <w:p w14:paraId="038A8BFF" w14:textId="77777777" w:rsidR="00972395" w:rsidRPr="00E73D4B" w:rsidRDefault="00F120C7" w:rsidP="001C4219">
            <w:pPr>
              <w:jc w:val="right"/>
            </w:pPr>
            <w:r w:rsidRPr="00E73D4B">
              <w:t>Nei</w:t>
            </w:r>
          </w:p>
        </w:tc>
      </w:tr>
      <w:tr w:rsidR="00972395" w:rsidRPr="00E73D4B" w14:paraId="30BF0031"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4DAA3220"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1551CF2B" w14:textId="77777777" w:rsidR="00972395" w:rsidRPr="00E73D4B" w:rsidRDefault="00F120C7" w:rsidP="001C4219">
            <w:pPr>
              <w:jc w:val="right"/>
            </w:pPr>
            <w:r w:rsidRPr="00E73D4B">
              <w:t>1078</w:t>
            </w:r>
          </w:p>
        </w:tc>
        <w:tc>
          <w:tcPr>
            <w:tcW w:w="5287" w:type="dxa"/>
            <w:tcBorders>
              <w:top w:val="nil"/>
              <w:left w:val="nil"/>
              <w:bottom w:val="nil"/>
              <w:right w:val="nil"/>
            </w:tcBorders>
            <w:tcMar>
              <w:top w:w="128" w:type="dxa"/>
              <w:left w:w="43" w:type="dxa"/>
              <w:bottom w:w="43" w:type="dxa"/>
              <w:right w:w="43" w:type="dxa"/>
            </w:tcMar>
          </w:tcPr>
          <w:p w14:paraId="7E855A6B" w14:textId="77777777" w:rsidR="00972395" w:rsidRPr="00E73D4B" w:rsidRDefault="00F120C7" w:rsidP="001C4219">
            <w:r w:rsidRPr="00E73D4B">
              <w:t>Opplæringskontor og lærebedrifter</w:t>
            </w:r>
          </w:p>
        </w:tc>
        <w:tc>
          <w:tcPr>
            <w:tcW w:w="1262" w:type="dxa"/>
            <w:tcBorders>
              <w:top w:val="nil"/>
              <w:left w:val="nil"/>
              <w:bottom w:val="nil"/>
              <w:right w:val="nil"/>
            </w:tcBorders>
            <w:tcMar>
              <w:top w:w="128" w:type="dxa"/>
              <w:left w:w="43" w:type="dxa"/>
              <w:bottom w:w="43" w:type="dxa"/>
              <w:right w:w="43" w:type="dxa"/>
            </w:tcMar>
          </w:tcPr>
          <w:p w14:paraId="5CEAA4BE" w14:textId="77777777" w:rsidR="00972395" w:rsidRPr="00E73D4B" w:rsidRDefault="00F120C7" w:rsidP="001C4219">
            <w:pPr>
              <w:jc w:val="right"/>
            </w:pPr>
            <w:r w:rsidRPr="00E73D4B">
              <w:t>Nei</w:t>
            </w:r>
          </w:p>
        </w:tc>
      </w:tr>
      <w:tr w:rsidR="00972395" w:rsidRPr="00E73D4B" w14:paraId="4DDC520E"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A77123F"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3503C870" w14:textId="77777777" w:rsidR="00972395" w:rsidRPr="00E73D4B" w:rsidRDefault="00F120C7" w:rsidP="001C4219">
            <w:pPr>
              <w:jc w:val="right"/>
            </w:pPr>
            <w:r w:rsidRPr="00E73D4B">
              <w:t>1080</w:t>
            </w:r>
          </w:p>
        </w:tc>
        <w:tc>
          <w:tcPr>
            <w:tcW w:w="5287" w:type="dxa"/>
            <w:tcBorders>
              <w:top w:val="nil"/>
              <w:left w:val="nil"/>
              <w:bottom w:val="nil"/>
              <w:right w:val="nil"/>
            </w:tcBorders>
            <w:tcMar>
              <w:top w:w="128" w:type="dxa"/>
              <w:left w:w="43" w:type="dxa"/>
              <w:bottom w:w="43" w:type="dxa"/>
              <w:right w:w="43" w:type="dxa"/>
            </w:tcMar>
          </w:tcPr>
          <w:p w14:paraId="6D2D4A73" w14:textId="77777777" w:rsidR="00972395" w:rsidRPr="00E73D4B" w:rsidRDefault="00F120C7" w:rsidP="001C4219">
            <w:proofErr w:type="spellStart"/>
            <w:r w:rsidRPr="00E73D4B">
              <w:t>Produksjonsskular</w:t>
            </w:r>
            <w:proofErr w:type="spellEnd"/>
          </w:p>
        </w:tc>
        <w:tc>
          <w:tcPr>
            <w:tcW w:w="1262" w:type="dxa"/>
            <w:tcBorders>
              <w:top w:val="nil"/>
              <w:left w:val="nil"/>
              <w:bottom w:val="nil"/>
              <w:right w:val="nil"/>
            </w:tcBorders>
            <w:tcMar>
              <w:top w:w="128" w:type="dxa"/>
              <w:left w:w="43" w:type="dxa"/>
              <w:bottom w:w="43" w:type="dxa"/>
              <w:right w:w="43" w:type="dxa"/>
            </w:tcMar>
          </w:tcPr>
          <w:p w14:paraId="7D8E0ED7" w14:textId="77777777" w:rsidR="00972395" w:rsidRPr="00E73D4B" w:rsidRDefault="00F120C7" w:rsidP="001C4219">
            <w:pPr>
              <w:jc w:val="right"/>
            </w:pPr>
            <w:r w:rsidRPr="00E73D4B">
              <w:t>Ja</w:t>
            </w:r>
          </w:p>
        </w:tc>
      </w:tr>
      <w:tr w:rsidR="00972395" w:rsidRPr="00E73D4B" w14:paraId="2F1E60D5"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844B7FC" w14:textId="77777777" w:rsidR="00972395" w:rsidRPr="00E73D4B" w:rsidRDefault="00F120C7" w:rsidP="001C4219">
            <w:r w:rsidRPr="00E73D4B">
              <w:t>2020–2021</w:t>
            </w:r>
          </w:p>
        </w:tc>
        <w:tc>
          <w:tcPr>
            <w:tcW w:w="1233" w:type="dxa"/>
            <w:tcBorders>
              <w:top w:val="nil"/>
              <w:left w:val="nil"/>
              <w:bottom w:val="nil"/>
              <w:right w:val="nil"/>
            </w:tcBorders>
            <w:tcMar>
              <w:top w:w="128" w:type="dxa"/>
              <w:left w:w="43" w:type="dxa"/>
              <w:bottom w:w="43" w:type="dxa"/>
              <w:right w:w="43" w:type="dxa"/>
            </w:tcMar>
          </w:tcPr>
          <w:p w14:paraId="1F52EA4F" w14:textId="77777777" w:rsidR="00972395" w:rsidRPr="00E73D4B" w:rsidRDefault="00F120C7" w:rsidP="001C4219">
            <w:pPr>
              <w:jc w:val="right"/>
            </w:pPr>
            <w:r w:rsidRPr="00E73D4B">
              <w:t>1104</w:t>
            </w:r>
          </w:p>
        </w:tc>
        <w:tc>
          <w:tcPr>
            <w:tcW w:w="5287" w:type="dxa"/>
            <w:tcBorders>
              <w:top w:val="nil"/>
              <w:left w:val="nil"/>
              <w:bottom w:val="nil"/>
              <w:right w:val="nil"/>
            </w:tcBorders>
            <w:tcMar>
              <w:top w:w="128" w:type="dxa"/>
              <w:left w:w="43" w:type="dxa"/>
              <w:bottom w:w="43" w:type="dxa"/>
              <w:right w:w="43" w:type="dxa"/>
            </w:tcMar>
          </w:tcPr>
          <w:p w14:paraId="4AF38F2C" w14:textId="77777777" w:rsidR="00972395" w:rsidRPr="00E73D4B" w:rsidRDefault="00F120C7" w:rsidP="001C4219">
            <w:proofErr w:type="spellStart"/>
            <w:r w:rsidRPr="00E73D4B">
              <w:t>Heilskaplege</w:t>
            </w:r>
            <w:proofErr w:type="spellEnd"/>
            <w:r w:rsidRPr="00E73D4B">
              <w:t xml:space="preserve"> og koordinerte </w:t>
            </w:r>
            <w:proofErr w:type="spellStart"/>
            <w:r w:rsidRPr="00E73D4B">
              <w:t>tenester</w:t>
            </w:r>
            <w:proofErr w:type="spellEnd"/>
          </w:p>
        </w:tc>
        <w:tc>
          <w:tcPr>
            <w:tcW w:w="1262" w:type="dxa"/>
            <w:tcBorders>
              <w:top w:val="nil"/>
              <w:left w:val="nil"/>
              <w:bottom w:val="nil"/>
              <w:right w:val="nil"/>
            </w:tcBorders>
            <w:tcMar>
              <w:top w:w="128" w:type="dxa"/>
              <w:left w:w="43" w:type="dxa"/>
              <w:bottom w:w="43" w:type="dxa"/>
              <w:right w:w="43" w:type="dxa"/>
            </w:tcMar>
          </w:tcPr>
          <w:p w14:paraId="7CC866D8" w14:textId="77777777" w:rsidR="00972395" w:rsidRPr="00E73D4B" w:rsidRDefault="00F120C7" w:rsidP="001C4219">
            <w:pPr>
              <w:jc w:val="right"/>
            </w:pPr>
            <w:r w:rsidRPr="00E73D4B">
              <w:t>Ja</w:t>
            </w:r>
          </w:p>
        </w:tc>
      </w:tr>
      <w:tr w:rsidR="00972395" w:rsidRPr="00E73D4B" w14:paraId="34C06C64"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3B75A8AA" w14:textId="77777777" w:rsidR="00972395" w:rsidRPr="00E73D4B" w:rsidRDefault="00F120C7" w:rsidP="001C4219">
            <w:r w:rsidRPr="00E73D4B">
              <w:t>2019–2020</w:t>
            </w:r>
          </w:p>
        </w:tc>
        <w:tc>
          <w:tcPr>
            <w:tcW w:w="1233" w:type="dxa"/>
            <w:tcBorders>
              <w:top w:val="nil"/>
              <w:left w:val="nil"/>
              <w:bottom w:val="nil"/>
              <w:right w:val="nil"/>
            </w:tcBorders>
            <w:tcMar>
              <w:top w:w="128" w:type="dxa"/>
              <w:left w:w="43" w:type="dxa"/>
              <w:bottom w:w="43" w:type="dxa"/>
              <w:right w:w="43" w:type="dxa"/>
            </w:tcMar>
          </w:tcPr>
          <w:p w14:paraId="2BD46111" w14:textId="77777777" w:rsidR="00972395" w:rsidRPr="00E73D4B" w:rsidRDefault="00F120C7" w:rsidP="001C4219">
            <w:pPr>
              <w:jc w:val="right"/>
            </w:pPr>
            <w:r w:rsidRPr="00E73D4B">
              <w:t>697</w:t>
            </w:r>
          </w:p>
        </w:tc>
        <w:tc>
          <w:tcPr>
            <w:tcW w:w="5287" w:type="dxa"/>
            <w:tcBorders>
              <w:top w:val="nil"/>
              <w:left w:val="nil"/>
              <w:bottom w:val="nil"/>
              <w:right w:val="nil"/>
            </w:tcBorders>
            <w:tcMar>
              <w:top w:w="128" w:type="dxa"/>
              <w:left w:w="43" w:type="dxa"/>
              <w:bottom w:w="43" w:type="dxa"/>
              <w:right w:w="43" w:type="dxa"/>
            </w:tcMar>
          </w:tcPr>
          <w:p w14:paraId="0D9CA4D1" w14:textId="77777777" w:rsidR="00972395" w:rsidRPr="00E73D4B" w:rsidRDefault="00F120C7" w:rsidP="001C4219">
            <w:r w:rsidRPr="00E73D4B">
              <w:t>Kompetansefunn Digital</w:t>
            </w:r>
          </w:p>
        </w:tc>
        <w:tc>
          <w:tcPr>
            <w:tcW w:w="1262" w:type="dxa"/>
            <w:tcBorders>
              <w:top w:val="nil"/>
              <w:left w:val="nil"/>
              <w:bottom w:val="nil"/>
              <w:right w:val="nil"/>
            </w:tcBorders>
            <w:tcMar>
              <w:top w:w="128" w:type="dxa"/>
              <w:left w:w="43" w:type="dxa"/>
              <w:bottom w:w="43" w:type="dxa"/>
              <w:right w:w="43" w:type="dxa"/>
            </w:tcMar>
          </w:tcPr>
          <w:p w14:paraId="4D6B9F05" w14:textId="77777777" w:rsidR="00972395" w:rsidRPr="00E73D4B" w:rsidRDefault="00F120C7" w:rsidP="001C4219">
            <w:pPr>
              <w:jc w:val="right"/>
            </w:pPr>
            <w:r w:rsidRPr="00E73D4B">
              <w:t>Ja</w:t>
            </w:r>
          </w:p>
        </w:tc>
      </w:tr>
      <w:tr w:rsidR="00972395" w:rsidRPr="00E73D4B" w14:paraId="7D8FFEE3"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550B0F8B" w14:textId="77777777" w:rsidR="00972395" w:rsidRPr="00E73D4B" w:rsidRDefault="00F120C7" w:rsidP="001C4219">
            <w:r w:rsidRPr="00E73D4B">
              <w:t>2019–2020</w:t>
            </w:r>
          </w:p>
        </w:tc>
        <w:tc>
          <w:tcPr>
            <w:tcW w:w="1233" w:type="dxa"/>
            <w:tcBorders>
              <w:top w:val="nil"/>
              <w:left w:val="nil"/>
              <w:bottom w:val="nil"/>
              <w:right w:val="nil"/>
            </w:tcBorders>
            <w:tcMar>
              <w:top w:w="128" w:type="dxa"/>
              <w:left w:w="43" w:type="dxa"/>
              <w:bottom w:w="43" w:type="dxa"/>
              <w:right w:w="43" w:type="dxa"/>
            </w:tcMar>
          </w:tcPr>
          <w:p w14:paraId="246031D2" w14:textId="77777777" w:rsidR="00972395" w:rsidRPr="00E73D4B" w:rsidRDefault="00F120C7" w:rsidP="001C4219">
            <w:pPr>
              <w:jc w:val="right"/>
            </w:pPr>
            <w:r w:rsidRPr="00E73D4B">
              <w:t>698</w:t>
            </w:r>
          </w:p>
        </w:tc>
        <w:tc>
          <w:tcPr>
            <w:tcW w:w="5287" w:type="dxa"/>
            <w:tcBorders>
              <w:top w:val="nil"/>
              <w:left w:val="nil"/>
              <w:bottom w:val="nil"/>
              <w:right w:val="nil"/>
            </w:tcBorders>
            <w:tcMar>
              <w:top w:w="128" w:type="dxa"/>
              <w:left w:w="43" w:type="dxa"/>
              <w:bottom w:w="43" w:type="dxa"/>
              <w:right w:w="43" w:type="dxa"/>
            </w:tcMar>
          </w:tcPr>
          <w:p w14:paraId="19641577" w14:textId="77777777" w:rsidR="00972395" w:rsidRPr="00E73D4B" w:rsidRDefault="00F120C7" w:rsidP="001C4219">
            <w:r w:rsidRPr="00E73D4B">
              <w:t>Rett til kompetanseheving i arbeidslivet</w:t>
            </w:r>
          </w:p>
        </w:tc>
        <w:tc>
          <w:tcPr>
            <w:tcW w:w="1262" w:type="dxa"/>
            <w:tcBorders>
              <w:top w:val="nil"/>
              <w:left w:val="nil"/>
              <w:bottom w:val="nil"/>
              <w:right w:val="nil"/>
            </w:tcBorders>
            <w:tcMar>
              <w:top w:w="128" w:type="dxa"/>
              <w:left w:w="43" w:type="dxa"/>
              <w:bottom w:w="43" w:type="dxa"/>
              <w:right w:w="43" w:type="dxa"/>
            </w:tcMar>
          </w:tcPr>
          <w:p w14:paraId="2F983758" w14:textId="77777777" w:rsidR="00972395" w:rsidRPr="00E73D4B" w:rsidRDefault="00F120C7" w:rsidP="001C4219">
            <w:pPr>
              <w:jc w:val="right"/>
            </w:pPr>
            <w:r w:rsidRPr="00E73D4B">
              <w:t>Nei</w:t>
            </w:r>
          </w:p>
        </w:tc>
      </w:tr>
      <w:tr w:rsidR="00972395" w:rsidRPr="00E73D4B" w14:paraId="5EA8174F"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8323517" w14:textId="77777777" w:rsidR="00972395" w:rsidRPr="00E73D4B" w:rsidRDefault="00F120C7" w:rsidP="001C4219">
            <w:r w:rsidRPr="00E73D4B">
              <w:t>2019–2020</w:t>
            </w:r>
          </w:p>
        </w:tc>
        <w:tc>
          <w:tcPr>
            <w:tcW w:w="1233" w:type="dxa"/>
            <w:tcBorders>
              <w:top w:val="nil"/>
              <w:left w:val="nil"/>
              <w:bottom w:val="nil"/>
              <w:right w:val="nil"/>
            </w:tcBorders>
            <w:tcMar>
              <w:top w:w="128" w:type="dxa"/>
              <w:left w:w="43" w:type="dxa"/>
              <w:bottom w:w="43" w:type="dxa"/>
              <w:right w:w="43" w:type="dxa"/>
            </w:tcMar>
          </w:tcPr>
          <w:p w14:paraId="592B791D" w14:textId="77777777" w:rsidR="00972395" w:rsidRPr="00E73D4B" w:rsidRDefault="00F120C7" w:rsidP="001C4219">
            <w:pPr>
              <w:jc w:val="right"/>
            </w:pPr>
            <w:r w:rsidRPr="00E73D4B">
              <w:t>699</w:t>
            </w:r>
          </w:p>
        </w:tc>
        <w:tc>
          <w:tcPr>
            <w:tcW w:w="5287" w:type="dxa"/>
            <w:tcBorders>
              <w:top w:val="nil"/>
              <w:left w:val="nil"/>
              <w:bottom w:val="nil"/>
              <w:right w:val="nil"/>
            </w:tcBorders>
            <w:tcMar>
              <w:top w:w="128" w:type="dxa"/>
              <w:left w:w="43" w:type="dxa"/>
              <w:bottom w:w="43" w:type="dxa"/>
              <w:right w:w="43" w:type="dxa"/>
            </w:tcMar>
          </w:tcPr>
          <w:p w14:paraId="73D22B7E" w14:textId="77777777" w:rsidR="00972395" w:rsidRPr="00E73D4B" w:rsidRDefault="00F120C7" w:rsidP="001C4219">
            <w:r w:rsidRPr="00E73D4B">
              <w:t xml:space="preserve">Finansieringssystem for universitet og </w:t>
            </w:r>
            <w:proofErr w:type="spellStart"/>
            <w:r w:rsidRPr="00E73D4B">
              <w:t>høgskular</w:t>
            </w:r>
            <w:proofErr w:type="spellEnd"/>
          </w:p>
        </w:tc>
        <w:tc>
          <w:tcPr>
            <w:tcW w:w="1262" w:type="dxa"/>
            <w:tcBorders>
              <w:top w:val="nil"/>
              <w:left w:val="nil"/>
              <w:bottom w:val="nil"/>
              <w:right w:val="nil"/>
            </w:tcBorders>
            <w:tcMar>
              <w:top w:w="128" w:type="dxa"/>
              <w:left w:w="43" w:type="dxa"/>
              <w:bottom w:w="43" w:type="dxa"/>
              <w:right w:w="43" w:type="dxa"/>
            </w:tcMar>
          </w:tcPr>
          <w:p w14:paraId="60DB786F" w14:textId="77777777" w:rsidR="00972395" w:rsidRPr="00E73D4B" w:rsidRDefault="00F120C7" w:rsidP="001C4219">
            <w:pPr>
              <w:jc w:val="right"/>
            </w:pPr>
            <w:r w:rsidRPr="00E73D4B">
              <w:t>Nei</w:t>
            </w:r>
          </w:p>
        </w:tc>
      </w:tr>
      <w:tr w:rsidR="00972395" w:rsidRPr="00E73D4B" w14:paraId="1B5EDBDA"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71931B7F" w14:textId="77777777" w:rsidR="00972395" w:rsidRPr="00E73D4B" w:rsidRDefault="00F120C7" w:rsidP="001C4219">
            <w:r w:rsidRPr="00E73D4B">
              <w:t>2019–2020</w:t>
            </w:r>
          </w:p>
        </w:tc>
        <w:tc>
          <w:tcPr>
            <w:tcW w:w="1233" w:type="dxa"/>
            <w:tcBorders>
              <w:top w:val="nil"/>
              <w:left w:val="nil"/>
              <w:bottom w:val="nil"/>
              <w:right w:val="nil"/>
            </w:tcBorders>
            <w:tcMar>
              <w:top w:w="128" w:type="dxa"/>
              <w:left w:w="43" w:type="dxa"/>
              <w:bottom w:w="43" w:type="dxa"/>
              <w:right w:w="43" w:type="dxa"/>
            </w:tcMar>
          </w:tcPr>
          <w:p w14:paraId="3392C342" w14:textId="77777777" w:rsidR="00972395" w:rsidRPr="00E73D4B" w:rsidRDefault="00F120C7" w:rsidP="001C4219">
            <w:pPr>
              <w:jc w:val="right"/>
            </w:pPr>
            <w:r w:rsidRPr="00E73D4B">
              <w:t>700</w:t>
            </w:r>
          </w:p>
        </w:tc>
        <w:tc>
          <w:tcPr>
            <w:tcW w:w="5287" w:type="dxa"/>
            <w:tcBorders>
              <w:top w:val="nil"/>
              <w:left w:val="nil"/>
              <w:bottom w:val="nil"/>
              <w:right w:val="nil"/>
            </w:tcBorders>
            <w:tcMar>
              <w:top w:w="128" w:type="dxa"/>
              <w:left w:w="43" w:type="dxa"/>
              <w:bottom w:w="43" w:type="dxa"/>
              <w:right w:w="43" w:type="dxa"/>
            </w:tcMar>
          </w:tcPr>
          <w:p w14:paraId="20599904" w14:textId="77777777" w:rsidR="00972395" w:rsidRPr="00E73D4B" w:rsidRDefault="00F120C7" w:rsidP="001C4219">
            <w:proofErr w:type="spellStart"/>
            <w:r w:rsidRPr="00E73D4B">
              <w:t>Studieplassar</w:t>
            </w:r>
            <w:proofErr w:type="spellEnd"/>
            <w:r w:rsidRPr="00E73D4B">
              <w:t xml:space="preserve"> i </w:t>
            </w:r>
            <w:proofErr w:type="spellStart"/>
            <w:r w:rsidRPr="00E73D4B">
              <w:t>høgare</w:t>
            </w:r>
            <w:proofErr w:type="spellEnd"/>
            <w:r w:rsidRPr="00E73D4B">
              <w:t xml:space="preserve"> </w:t>
            </w:r>
            <w:proofErr w:type="spellStart"/>
            <w:r w:rsidRPr="00E73D4B">
              <w:t>yrkesfagleg</w:t>
            </w:r>
            <w:proofErr w:type="spellEnd"/>
            <w:r w:rsidRPr="00E73D4B">
              <w:t xml:space="preserve"> utdanning</w:t>
            </w:r>
          </w:p>
        </w:tc>
        <w:tc>
          <w:tcPr>
            <w:tcW w:w="1262" w:type="dxa"/>
            <w:tcBorders>
              <w:top w:val="nil"/>
              <w:left w:val="nil"/>
              <w:bottom w:val="nil"/>
              <w:right w:val="nil"/>
            </w:tcBorders>
            <w:tcMar>
              <w:top w:w="128" w:type="dxa"/>
              <w:left w:w="43" w:type="dxa"/>
              <w:bottom w:w="43" w:type="dxa"/>
              <w:right w:w="43" w:type="dxa"/>
            </w:tcMar>
          </w:tcPr>
          <w:p w14:paraId="284FE05B" w14:textId="77777777" w:rsidR="00972395" w:rsidRPr="00E73D4B" w:rsidRDefault="00F120C7" w:rsidP="001C4219">
            <w:pPr>
              <w:jc w:val="right"/>
            </w:pPr>
            <w:r w:rsidRPr="00E73D4B">
              <w:t>Nei</w:t>
            </w:r>
          </w:p>
        </w:tc>
      </w:tr>
      <w:tr w:rsidR="00972395" w:rsidRPr="00E73D4B" w14:paraId="7323B53E"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2124F70A" w14:textId="77777777" w:rsidR="00972395" w:rsidRPr="00E73D4B" w:rsidRDefault="00F120C7" w:rsidP="001C4219">
            <w:r w:rsidRPr="00E73D4B">
              <w:t>2019–2020</w:t>
            </w:r>
          </w:p>
        </w:tc>
        <w:tc>
          <w:tcPr>
            <w:tcW w:w="1233" w:type="dxa"/>
            <w:tcBorders>
              <w:top w:val="nil"/>
              <w:left w:val="nil"/>
              <w:bottom w:val="nil"/>
              <w:right w:val="nil"/>
            </w:tcBorders>
            <w:tcMar>
              <w:top w:w="128" w:type="dxa"/>
              <w:left w:w="43" w:type="dxa"/>
              <w:bottom w:w="43" w:type="dxa"/>
              <w:right w:w="43" w:type="dxa"/>
            </w:tcMar>
          </w:tcPr>
          <w:p w14:paraId="222600FE" w14:textId="77777777" w:rsidR="00972395" w:rsidRPr="00E73D4B" w:rsidRDefault="00F120C7" w:rsidP="001C4219">
            <w:pPr>
              <w:jc w:val="right"/>
            </w:pPr>
            <w:r w:rsidRPr="00E73D4B">
              <w:t>701</w:t>
            </w:r>
          </w:p>
        </w:tc>
        <w:tc>
          <w:tcPr>
            <w:tcW w:w="5287" w:type="dxa"/>
            <w:tcBorders>
              <w:top w:val="nil"/>
              <w:left w:val="nil"/>
              <w:bottom w:val="nil"/>
              <w:right w:val="nil"/>
            </w:tcBorders>
            <w:tcMar>
              <w:top w:w="128" w:type="dxa"/>
              <w:left w:w="43" w:type="dxa"/>
              <w:bottom w:w="43" w:type="dxa"/>
              <w:right w:w="43" w:type="dxa"/>
            </w:tcMar>
          </w:tcPr>
          <w:p w14:paraId="2700D941" w14:textId="77777777" w:rsidR="00972395" w:rsidRPr="00E73D4B" w:rsidRDefault="00F120C7" w:rsidP="001C4219">
            <w:proofErr w:type="spellStart"/>
            <w:r w:rsidRPr="00E73D4B">
              <w:t>Vaksne</w:t>
            </w:r>
            <w:proofErr w:type="spellEnd"/>
            <w:r w:rsidRPr="00E73D4B">
              <w:t xml:space="preserve"> </w:t>
            </w:r>
            <w:proofErr w:type="spellStart"/>
            <w:r w:rsidRPr="00E73D4B">
              <w:t>utan</w:t>
            </w:r>
            <w:proofErr w:type="spellEnd"/>
            <w:r w:rsidRPr="00E73D4B">
              <w:t xml:space="preserve"> rett til </w:t>
            </w:r>
            <w:proofErr w:type="spellStart"/>
            <w:r w:rsidRPr="00E73D4B">
              <w:t>vidaregåande</w:t>
            </w:r>
            <w:proofErr w:type="spellEnd"/>
            <w:r w:rsidRPr="00E73D4B">
              <w:t xml:space="preserve"> opplæring</w:t>
            </w:r>
          </w:p>
        </w:tc>
        <w:tc>
          <w:tcPr>
            <w:tcW w:w="1262" w:type="dxa"/>
            <w:tcBorders>
              <w:top w:val="nil"/>
              <w:left w:val="nil"/>
              <w:bottom w:val="nil"/>
              <w:right w:val="nil"/>
            </w:tcBorders>
            <w:tcMar>
              <w:top w:w="128" w:type="dxa"/>
              <w:left w:w="43" w:type="dxa"/>
              <w:bottom w:w="43" w:type="dxa"/>
              <w:right w:w="43" w:type="dxa"/>
            </w:tcMar>
          </w:tcPr>
          <w:p w14:paraId="669B694E" w14:textId="77777777" w:rsidR="00972395" w:rsidRPr="00E73D4B" w:rsidRDefault="00F120C7" w:rsidP="001C4219">
            <w:pPr>
              <w:jc w:val="right"/>
            </w:pPr>
            <w:r w:rsidRPr="00E73D4B">
              <w:t>Nei</w:t>
            </w:r>
          </w:p>
        </w:tc>
      </w:tr>
      <w:tr w:rsidR="00972395" w:rsidRPr="00E73D4B" w14:paraId="1347A95E"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3BECF88B" w14:textId="77777777" w:rsidR="00972395" w:rsidRPr="00E73D4B" w:rsidRDefault="00F120C7" w:rsidP="001C4219">
            <w:r w:rsidRPr="00E73D4B">
              <w:t>2018–2019</w:t>
            </w:r>
          </w:p>
        </w:tc>
        <w:tc>
          <w:tcPr>
            <w:tcW w:w="1233" w:type="dxa"/>
            <w:tcBorders>
              <w:top w:val="nil"/>
              <w:left w:val="nil"/>
              <w:bottom w:val="nil"/>
              <w:right w:val="nil"/>
            </w:tcBorders>
            <w:tcMar>
              <w:top w:w="128" w:type="dxa"/>
              <w:left w:w="43" w:type="dxa"/>
              <w:bottom w:w="43" w:type="dxa"/>
              <w:right w:w="43" w:type="dxa"/>
            </w:tcMar>
          </w:tcPr>
          <w:p w14:paraId="0D07D16E" w14:textId="77777777" w:rsidR="00972395" w:rsidRPr="00E73D4B" w:rsidRDefault="00F120C7" w:rsidP="001C4219">
            <w:pPr>
              <w:jc w:val="right"/>
            </w:pPr>
            <w:r w:rsidRPr="00E73D4B">
              <w:t>51</w:t>
            </w:r>
          </w:p>
        </w:tc>
        <w:tc>
          <w:tcPr>
            <w:tcW w:w="5287" w:type="dxa"/>
            <w:tcBorders>
              <w:top w:val="nil"/>
              <w:left w:val="nil"/>
              <w:bottom w:val="nil"/>
              <w:right w:val="nil"/>
            </w:tcBorders>
            <w:tcMar>
              <w:top w:w="128" w:type="dxa"/>
              <w:left w:w="43" w:type="dxa"/>
              <w:bottom w:w="43" w:type="dxa"/>
              <w:right w:w="43" w:type="dxa"/>
            </w:tcMar>
          </w:tcPr>
          <w:p w14:paraId="7FFA0FC5" w14:textId="77777777" w:rsidR="00972395" w:rsidRPr="00E73D4B" w:rsidRDefault="00F120C7" w:rsidP="001C4219">
            <w:r w:rsidRPr="00E73D4B">
              <w:t xml:space="preserve">Finansieringssystemet og ideelle </w:t>
            </w:r>
            <w:proofErr w:type="spellStart"/>
            <w:r w:rsidRPr="00E73D4B">
              <w:t>barnehagar</w:t>
            </w:r>
            <w:proofErr w:type="spellEnd"/>
          </w:p>
        </w:tc>
        <w:tc>
          <w:tcPr>
            <w:tcW w:w="1262" w:type="dxa"/>
            <w:tcBorders>
              <w:top w:val="nil"/>
              <w:left w:val="nil"/>
              <w:bottom w:val="nil"/>
              <w:right w:val="nil"/>
            </w:tcBorders>
            <w:tcMar>
              <w:top w:w="128" w:type="dxa"/>
              <w:left w:w="43" w:type="dxa"/>
              <w:bottom w:w="43" w:type="dxa"/>
              <w:right w:w="43" w:type="dxa"/>
            </w:tcMar>
          </w:tcPr>
          <w:p w14:paraId="373BFC37" w14:textId="77777777" w:rsidR="00972395" w:rsidRPr="00E73D4B" w:rsidRDefault="00F120C7" w:rsidP="001C4219">
            <w:pPr>
              <w:jc w:val="right"/>
            </w:pPr>
            <w:r w:rsidRPr="00E73D4B">
              <w:t>Nei</w:t>
            </w:r>
          </w:p>
        </w:tc>
      </w:tr>
      <w:tr w:rsidR="00972395" w:rsidRPr="00E73D4B" w14:paraId="6B482D7F"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3F393764" w14:textId="77777777" w:rsidR="00972395" w:rsidRPr="00E73D4B" w:rsidRDefault="00F120C7" w:rsidP="001C4219">
            <w:r w:rsidRPr="00E73D4B">
              <w:t>2018–2019</w:t>
            </w:r>
          </w:p>
        </w:tc>
        <w:tc>
          <w:tcPr>
            <w:tcW w:w="1233" w:type="dxa"/>
            <w:tcBorders>
              <w:top w:val="nil"/>
              <w:left w:val="nil"/>
              <w:bottom w:val="nil"/>
              <w:right w:val="nil"/>
            </w:tcBorders>
            <w:tcMar>
              <w:top w:w="128" w:type="dxa"/>
              <w:left w:w="43" w:type="dxa"/>
              <w:bottom w:w="43" w:type="dxa"/>
              <w:right w:w="43" w:type="dxa"/>
            </w:tcMar>
          </w:tcPr>
          <w:p w14:paraId="110ED2AB" w14:textId="77777777" w:rsidR="00972395" w:rsidRPr="00E73D4B" w:rsidRDefault="00F120C7" w:rsidP="001C4219">
            <w:pPr>
              <w:jc w:val="right"/>
            </w:pPr>
            <w:r w:rsidRPr="00E73D4B">
              <w:t>197</w:t>
            </w:r>
          </w:p>
        </w:tc>
        <w:tc>
          <w:tcPr>
            <w:tcW w:w="5287" w:type="dxa"/>
            <w:tcBorders>
              <w:top w:val="nil"/>
              <w:left w:val="nil"/>
              <w:bottom w:val="nil"/>
              <w:right w:val="nil"/>
            </w:tcBorders>
            <w:tcMar>
              <w:top w:w="128" w:type="dxa"/>
              <w:left w:w="43" w:type="dxa"/>
              <w:bottom w:w="43" w:type="dxa"/>
              <w:right w:w="43" w:type="dxa"/>
            </w:tcMar>
          </w:tcPr>
          <w:p w14:paraId="00B4ADB6" w14:textId="77777777" w:rsidR="00972395" w:rsidRPr="00E73D4B" w:rsidRDefault="00F120C7" w:rsidP="001C4219">
            <w:r w:rsidRPr="00E73D4B">
              <w:t xml:space="preserve">Fritak </w:t>
            </w:r>
            <w:proofErr w:type="spellStart"/>
            <w:r w:rsidRPr="00E73D4B">
              <w:t>frå</w:t>
            </w:r>
            <w:proofErr w:type="spellEnd"/>
            <w:r w:rsidRPr="00E73D4B">
              <w:t xml:space="preserve"> </w:t>
            </w:r>
            <w:proofErr w:type="spellStart"/>
            <w:r w:rsidRPr="00E73D4B">
              <w:t>skulefag</w:t>
            </w:r>
            <w:proofErr w:type="spellEnd"/>
          </w:p>
        </w:tc>
        <w:tc>
          <w:tcPr>
            <w:tcW w:w="1262" w:type="dxa"/>
            <w:tcBorders>
              <w:top w:val="nil"/>
              <w:left w:val="nil"/>
              <w:bottom w:val="nil"/>
              <w:right w:val="nil"/>
            </w:tcBorders>
            <w:tcMar>
              <w:top w:w="128" w:type="dxa"/>
              <w:left w:w="43" w:type="dxa"/>
              <w:bottom w:w="43" w:type="dxa"/>
              <w:right w:w="43" w:type="dxa"/>
            </w:tcMar>
          </w:tcPr>
          <w:p w14:paraId="2E78CC73" w14:textId="77777777" w:rsidR="00972395" w:rsidRPr="00E73D4B" w:rsidRDefault="00F120C7" w:rsidP="001C4219">
            <w:pPr>
              <w:jc w:val="right"/>
            </w:pPr>
            <w:r w:rsidRPr="00E73D4B">
              <w:t>Nei</w:t>
            </w:r>
          </w:p>
        </w:tc>
      </w:tr>
      <w:tr w:rsidR="00972395" w:rsidRPr="00E73D4B" w14:paraId="3B7127DF"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4B063EAF" w14:textId="77777777" w:rsidR="00972395" w:rsidRPr="00E73D4B" w:rsidRDefault="00F120C7" w:rsidP="001C4219">
            <w:r w:rsidRPr="00E73D4B">
              <w:t>2017–2018</w:t>
            </w:r>
          </w:p>
        </w:tc>
        <w:tc>
          <w:tcPr>
            <w:tcW w:w="1233" w:type="dxa"/>
            <w:tcBorders>
              <w:top w:val="nil"/>
              <w:left w:val="nil"/>
              <w:bottom w:val="nil"/>
              <w:right w:val="nil"/>
            </w:tcBorders>
            <w:tcMar>
              <w:top w:w="128" w:type="dxa"/>
              <w:left w:w="43" w:type="dxa"/>
              <w:bottom w:w="43" w:type="dxa"/>
              <w:right w:w="43" w:type="dxa"/>
            </w:tcMar>
          </w:tcPr>
          <w:p w14:paraId="499FA434" w14:textId="77777777" w:rsidR="00972395" w:rsidRPr="00E73D4B" w:rsidRDefault="00F120C7" w:rsidP="001C4219">
            <w:pPr>
              <w:jc w:val="right"/>
            </w:pPr>
            <w:r w:rsidRPr="00E73D4B">
              <w:t>461</w:t>
            </w:r>
          </w:p>
        </w:tc>
        <w:tc>
          <w:tcPr>
            <w:tcW w:w="5287" w:type="dxa"/>
            <w:tcBorders>
              <w:top w:val="nil"/>
              <w:left w:val="nil"/>
              <w:bottom w:val="nil"/>
              <w:right w:val="nil"/>
            </w:tcBorders>
            <w:tcMar>
              <w:top w:w="128" w:type="dxa"/>
              <w:left w:w="43" w:type="dxa"/>
              <w:bottom w:w="43" w:type="dxa"/>
              <w:right w:w="43" w:type="dxa"/>
            </w:tcMar>
          </w:tcPr>
          <w:p w14:paraId="0C6B368F" w14:textId="77777777" w:rsidR="00972395" w:rsidRPr="00E73D4B" w:rsidRDefault="00F120C7" w:rsidP="001C4219">
            <w:r w:rsidRPr="00E73D4B">
              <w:t xml:space="preserve">Vilkår for private </w:t>
            </w:r>
            <w:proofErr w:type="spellStart"/>
            <w:r w:rsidRPr="00E73D4B">
              <w:t>barnehagar</w:t>
            </w:r>
            <w:proofErr w:type="spellEnd"/>
          </w:p>
        </w:tc>
        <w:tc>
          <w:tcPr>
            <w:tcW w:w="1262" w:type="dxa"/>
            <w:tcBorders>
              <w:top w:val="nil"/>
              <w:left w:val="nil"/>
              <w:bottom w:val="nil"/>
              <w:right w:val="nil"/>
            </w:tcBorders>
            <w:tcMar>
              <w:top w:w="128" w:type="dxa"/>
              <w:left w:w="43" w:type="dxa"/>
              <w:bottom w:w="43" w:type="dxa"/>
              <w:right w:w="43" w:type="dxa"/>
            </w:tcMar>
          </w:tcPr>
          <w:p w14:paraId="0818D35C" w14:textId="77777777" w:rsidR="00972395" w:rsidRPr="00E73D4B" w:rsidRDefault="00F120C7" w:rsidP="001C4219">
            <w:pPr>
              <w:jc w:val="right"/>
            </w:pPr>
            <w:r w:rsidRPr="00E73D4B">
              <w:t>Nei</w:t>
            </w:r>
          </w:p>
        </w:tc>
      </w:tr>
      <w:tr w:rsidR="00972395" w:rsidRPr="00E73D4B" w14:paraId="2183C6E9"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7F13595E" w14:textId="77777777" w:rsidR="00972395" w:rsidRPr="00E73D4B" w:rsidRDefault="00F120C7" w:rsidP="001C4219">
            <w:r w:rsidRPr="00E73D4B">
              <w:t>2017–2018</w:t>
            </w:r>
          </w:p>
        </w:tc>
        <w:tc>
          <w:tcPr>
            <w:tcW w:w="1233" w:type="dxa"/>
            <w:tcBorders>
              <w:top w:val="nil"/>
              <w:left w:val="nil"/>
              <w:bottom w:val="nil"/>
              <w:right w:val="nil"/>
            </w:tcBorders>
            <w:tcMar>
              <w:top w:w="128" w:type="dxa"/>
              <w:left w:w="43" w:type="dxa"/>
              <w:bottom w:w="43" w:type="dxa"/>
              <w:right w:w="43" w:type="dxa"/>
            </w:tcMar>
          </w:tcPr>
          <w:p w14:paraId="245876AB" w14:textId="77777777" w:rsidR="00972395" w:rsidRPr="00E73D4B" w:rsidRDefault="00F120C7" w:rsidP="001C4219">
            <w:pPr>
              <w:jc w:val="right"/>
            </w:pPr>
            <w:r w:rsidRPr="00E73D4B">
              <w:t>802</w:t>
            </w:r>
          </w:p>
        </w:tc>
        <w:tc>
          <w:tcPr>
            <w:tcW w:w="5287" w:type="dxa"/>
            <w:tcBorders>
              <w:top w:val="nil"/>
              <w:left w:val="nil"/>
              <w:bottom w:val="nil"/>
              <w:right w:val="nil"/>
            </w:tcBorders>
            <w:tcMar>
              <w:top w:w="128" w:type="dxa"/>
              <w:left w:w="43" w:type="dxa"/>
              <w:bottom w:w="43" w:type="dxa"/>
              <w:right w:w="43" w:type="dxa"/>
            </w:tcMar>
          </w:tcPr>
          <w:p w14:paraId="70CD39FC" w14:textId="77777777" w:rsidR="00972395" w:rsidRPr="00E73D4B" w:rsidRDefault="00F120C7" w:rsidP="001C4219">
            <w:r w:rsidRPr="00E73D4B">
              <w:t xml:space="preserve">Finansieringssystemet for private </w:t>
            </w:r>
            <w:proofErr w:type="spellStart"/>
            <w:r w:rsidRPr="00E73D4B">
              <w:t>barnehagar</w:t>
            </w:r>
            <w:proofErr w:type="spellEnd"/>
          </w:p>
        </w:tc>
        <w:tc>
          <w:tcPr>
            <w:tcW w:w="1262" w:type="dxa"/>
            <w:tcBorders>
              <w:top w:val="nil"/>
              <w:left w:val="nil"/>
              <w:bottom w:val="nil"/>
              <w:right w:val="nil"/>
            </w:tcBorders>
            <w:tcMar>
              <w:top w:w="128" w:type="dxa"/>
              <w:left w:w="43" w:type="dxa"/>
              <w:bottom w:w="43" w:type="dxa"/>
              <w:right w:w="43" w:type="dxa"/>
            </w:tcMar>
          </w:tcPr>
          <w:p w14:paraId="0C367DC6" w14:textId="77777777" w:rsidR="00972395" w:rsidRPr="00E73D4B" w:rsidRDefault="00F120C7" w:rsidP="001C4219">
            <w:pPr>
              <w:jc w:val="right"/>
            </w:pPr>
            <w:r w:rsidRPr="00E73D4B">
              <w:t>Nei</w:t>
            </w:r>
          </w:p>
        </w:tc>
      </w:tr>
      <w:tr w:rsidR="00972395" w:rsidRPr="00E73D4B" w14:paraId="223BA329"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5772920A" w14:textId="77777777" w:rsidR="00972395" w:rsidRPr="00E73D4B" w:rsidRDefault="00F120C7" w:rsidP="001C4219">
            <w:r w:rsidRPr="00E73D4B">
              <w:t>2017–2018</w:t>
            </w:r>
          </w:p>
        </w:tc>
        <w:tc>
          <w:tcPr>
            <w:tcW w:w="1233" w:type="dxa"/>
            <w:tcBorders>
              <w:top w:val="nil"/>
              <w:left w:val="nil"/>
              <w:bottom w:val="nil"/>
              <w:right w:val="nil"/>
            </w:tcBorders>
            <w:tcMar>
              <w:top w:w="128" w:type="dxa"/>
              <w:left w:w="43" w:type="dxa"/>
              <w:bottom w:w="43" w:type="dxa"/>
              <w:right w:w="43" w:type="dxa"/>
            </w:tcMar>
          </w:tcPr>
          <w:p w14:paraId="615968B7" w14:textId="77777777" w:rsidR="00972395" w:rsidRPr="00E73D4B" w:rsidRDefault="00F120C7" w:rsidP="001C4219">
            <w:pPr>
              <w:jc w:val="right"/>
            </w:pPr>
            <w:r w:rsidRPr="00E73D4B">
              <w:t>887</w:t>
            </w:r>
          </w:p>
        </w:tc>
        <w:tc>
          <w:tcPr>
            <w:tcW w:w="5287" w:type="dxa"/>
            <w:tcBorders>
              <w:top w:val="nil"/>
              <w:left w:val="nil"/>
              <w:bottom w:val="nil"/>
              <w:right w:val="nil"/>
            </w:tcBorders>
            <w:tcMar>
              <w:top w:w="128" w:type="dxa"/>
              <w:left w:w="43" w:type="dxa"/>
              <w:bottom w:w="43" w:type="dxa"/>
              <w:right w:w="43" w:type="dxa"/>
            </w:tcMar>
          </w:tcPr>
          <w:p w14:paraId="3E132194" w14:textId="77777777" w:rsidR="00972395" w:rsidRPr="00E73D4B" w:rsidRDefault="00F120C7" w:rsidP="001C4219">
            <w:r w:rsidRPr="00E73D4B">
              <w:t xml:space="preserve">Rangering av </w:t>
            </w:r>
            <w:proofErr w:type="spellStart"/>
            <w:r w:rsidRPr="00E73D4B">
              <w:t>søkarar</w:t>
            </w:r>
            <w:proofErr w:type="spellEnd"/>
            <w:r w:rsidRPr="00E73D4B">
              <w:t xml:space="preserve"> til </w:t>
            </w:r>
            <w:proofErr w:type="spellStart"/>
            <w:r w:rsidRPr="00E73D4B">
              <w:t>høgare</w:t>
            </w:r>
            <w:proofErr w:type="spellEnd"/>
            <w:r w:rsidRPr="00E73D4B">
              <w:t xml:space="preserve"> utdanning</w:t>
            </w:r>
          </w:p>
        </w:tc>
        <w:tc>
          <w:tcPr>
            <w:tcW w:w="1262" w:type="dxa"/>
            <w:tcBorders>
              <w:top w:val="nil"/>
              <w:left w:val="nil"/>
              <w:bottom w:val="nil"/>
              <w:right w:val="nil"/>
            </w:tcBorders>
            <w:tcMar>
              <w:top w:w="128" w:type="dxa"/>
              <w:left w:w="43" w:type="dxa"/>
              <w:bottom w:w="43" w:type="dxa"/>
              <w:right w:w="43" w:type="dxa"/>
            </w:tcMar>
          </w:tcPr>
          <w:p w14:paraId="7EFBF038" w14:textId="77777777" w:rsidR="00972395" w:rsidRPr="00E73D4B" w:rsidRDefault="00F120C7" w:rsidP="001C4219">
            <w:pPr>
              <w:jc w:val="right"/>
            </w:pPr>
            <w:r w:rsidRPr="00E73D4B">
              <w:t>Nei</w:t>
            </w:r>
          </w:p>
        </w:tc>
      </w:tr>
      <w:tr w:rsidR="00972395" w:rsidRPr="00E73D4B" w14:paraId="05E9F01D"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64EF1776" w14:textId="77777777" w:rsidR="00972395" w:rsidRPr="00E73D4B" w:rsidRDefault="00F120C7" w:rsidP="001C4219">
            <w:r w:rsidRPr="00E73D4B">
              <w:t>2016–2017</w:t>
            </w:r>
          </w:p>
        </w:tc>
        <w:tc>
          <w:tcPr>
            <w:tcW w:w="1233" w:type="dxa"/>
            <w:tcBorders>
              <w:top w:val="nil"/>
              <w:left w:val="nil"/>
              <w:bottom w:val="nil"/>
              <w:right w:val="nil"/>
            </w:tcBorders>
            <w:tcMar>
              <w:top w:w="128" w:type="dxa"/>
              <w:left w:w="43" w:type="dxa"/>
              <w:bottom w:w="43" w:type="dxa"/>
              <w:right w:w="43" w:type="dxa"/>
            </w:tcMar>
          </w:tcPr>
          <w:p w14:paraId="4363F337" w14:textId="77777777" w:rsidR="00972395" w:rsidRPr="00E73D4B" w:rsidRDefault="00F120C7" w:rsidP="001C4219">
            <w:pPr>
              <w:jc w:val="right"/>
            </w:pPr>
            <w:r w:rsidRPr="00E73D4B">
              <w:t>67</w:t>
            </w:r>
          </w:p>
        </w:tc>
        <w:tc>
          <w:tcPr>
            <w:tcW w:w="5287" w:type="dxa"/>
            <w:tcBorders>
              <w:top w:val="nil"/>
              <w:left w:val="nil"/>
              <w:bottom w:val="nil"/>
              <w:right w:val="nil"/>
            </w:tcBorders>
            <w:tcMar>
              <w:top w:w="128" w:type="dxa"/>
              <w:left w:w="43" w:type="dxa"/>
              <w:bottom w:w="43" w:type="dxa"/>
              <w:right w:w="43" w:type="dxa"/>
            </w:tcMar>
          </w:tcPr>
          <w:p w14:paraId="6C766DA7" w14:textId="77777777" w:rsidR="00972395" w:rsidRPr="00E73D4B" w:rsidRDefault="00F120C7" w:rsidP="001C4219">
            <w:proofErr w:type="spellStart"/>
            <w:r w:rsidRPr="00E73D4B">
              <w:t>Hovudmål</w:t>
            </w:r>
            <w:proofErr w:type="spellEnd"/>
            <w:r w:rsidRPr="00E73D4B">
              <w:t xml:space="preserve"> og målformgrupper på </w:t>
            </w:r>
            <w:proofErr w:type="spellStart"/>
            <w:r w:rsidRPr="00E73D4B">
              <w:t>ungdomsskulen</w:t>
            </w:r>
            <w:proofErr w:type="spellEnd"/>
          </w:p>
        </w:tc>
        <w:tc>
          <w:tcPr>
            <w:tcW w:w="1262" w:type="dxa"/>
            <w:tcBorders>
              <w:top w:val="nil"/>
              <w:left w:val="nil"/>
              <w:bottom w:val="nil"/>
              <w:right w:val="nil"/>
            </w:tcBorders>
            <w:tcMar>
              <w:top w:w="128" w:type="dxa"/>
              <w:left w:w="43" w:type="dxa"/>
              <w:bottom w:w="43" w:type="dxa"/>
              <w:right w:w="43" w:type="dxa"/>
            </w:tcMar>
          </w:tcPr>
          <w:p w14:paraId="1659965B" w14:textId="77777777" w:rsidR="00972395" w:rsidRPr="00E73D4B" w:rsidRDefault="00F120C7" w:rsidP="001C4219">
            <w:pPr>
              <w:jc w:val="right"/>
            </w:pPr>
            <w:r w:rsidRPr="00E73D4B">
              <w:t>Nei</w:t>
            </w:r>
          </w:p>
        </w:tc>
      </w:tr>
      <w:tr w:rsidR="00972395" w:rsidRPr="00E73D4B" w14:paraId="4E4EEB4C"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7AAD2DD9" w14:textId="77777777" w:rsidR="00972395" w:rsidRPr="00E73D4B" w:rsidRDefault="00F120C7" w:rsidP="001C4219">
            <w:r w:rsidRPr="00E73D4B">
              <w:t>2016–2017</w:t>
            </w:r>
          </w:p>
        </w:tc>
        <w:tc>
          <w:tcPr>
            <w:tcW w:w="1233" w:type="dxa"/>
            <w:tcBorders>
              <w:top w:val="nil"/>
              <w:left w:val="nil"/>
              <w:bottom w:val="nil"/>
              <w:right w:val="nil"/>
            </w:tcBorders>
            <w:tcMar>
              <w:top w:w="128" w:type="dxa"/>
              <w:left w:w="43" w:type="dxa"/>
              <w:bottom w:w="43" w:type="dxa"/>
              <w:right w:w="43" w:type="dxa"/>
            </w:tcMar>
          </w:tcPr>
          <w:p w14:paraId="60C4C934" w14:textId="77777777" w:rsidR="00972395" w:rsidRPr="00E73D4B" w:rsidRDefault="00F120C7" w:rsidP="001C4219">
            <w:pPr>
              <w:jc w:val="right"/>
            </w:pPr>
            <w:r w:rsidRPr="00E73D4B">
              <w:t>642</w:t>
            </w:r>
          </w:p>
        </w:tc>
        <w:tc>
          <w:tcPr>
            <w:tcW w:w="5287" w:type="dxa"/>
            <w:tcBorders>
              <w:top w:val="nil"/>
              <w:left w:val="nil"/>
              <w:bottom w:val="nil"/>
              <w:right w:val="nil"/>
            </w:tcBorders>
            <w:tcMar>
              <w:top w:w="128" w:type="dxa"/>
              <w:left w:w="43" w:type="dxa"/>
              <w:bottom w:w="43" w:type="dxa"/>
              <w:right w:w="43" w:type="dxa"/>
            </w:tcMar>
          </w:tcPr>
          <w:p w14:paraId="7867B4F7" w14:textId="77777777" w:rsidR="00972395" w:rsidRPr="00E73D4B" w:rsidRDefault="00F120C7" w:rsidP="001C4219">
            <w:r w:rsidRPr="00E73D4B">
              <w:t xml:space="preserve">Medlemskap i studentsamskipnad for </w:t>
            </w:r>
            <w:proofErr w:type="spellStart"/>
            <w:r w:rsidRPr="00E73D4B">
              <w:t>fagskular</w:t>
            </w:r>
            <w:proofErr w:type="spellEnd"/>
          </w:p>
        </w:tc>
        <w:tc>
          <w:tcPr>
            <w:tcW w:w="1262" w:type="dxa"/>
            <w:tcBorders>
              <w:top w:val="nil"/>
              <w:left w:val="nil"/>
              <w:bottom w:val="nil"/>
              <w:right w:val="nil"/>
            </w:tcBorders>
            <w:tcMar>
              <w:top w:w="128" w:type="dxa"/>
              <w:left w:w="43" w:type="dxa"/>
              <w:bottom w:w="43" w:type="dxa"/>
              <w:right w:w="43" w:type="dxa"/>
            </w:tcMar>
          </w:tcPr>
          <w:p w14:paraId="3D966935" w14:textId="77777777" w:rsidR="00972395" w:rsidRPr="00E73D4B" w:rsidRDefault="00F120C7" w:rsidP="001C4219">
            <w:pPr>
              <w:jc w:val="right"/>
            </w:pPr>
            <w:r w:rsidRPr="00E73D4B">
              <w:t>Nei</w:t>
            </w:r>
          </w:p>
        </w:tc>
      </w:tr>
      <w:tr w:rsidR="00972395" w:rsidRPr="00E73D4B" w14:paraId="03812137"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44A5A2AB" w14:textId="77777777" w:rsidR="00972395" w:rsidRPr="00E73D4B" w:rsidRDefault="00F120C7" w:rsidP="001C4219">
            <w:r w:rsidRPr="00E73D4B">
              <w:t>2016–2017</w:t>
            </w:r>
          </w:p>
        </w:tc>
        <w:tc>
          <w:tcPr>
            <w:tcW w:w="1233" w:type="dxa"/>
            <w:tcBorders>
              <w:top w:val="nil"/>
              <w:left w:val="nil"/>
              <w:bottom w:val="nil"/>
              <w:right w:val="nil"/>
            </w:tcBorders>
            <w:tcMar>
              <w:top w:w="128" w:type="dxa"/>
              <w:left w:w="43" w:type="dxa"/>
              <w:bottom w:w="43" w:type="dxa"/>
              <w:right w:w="43" w:type="dxa"/>
            </w:tcMar>
          </w:tcPr>
          <w:p w14:paraId="215E4EB8" w14:textId="77777777" w:rsidR="00972395" w:rsidRPr="00E73D4B" w:rsidRDefault="00F120C7" w:rsidP="001C4219">
            <w:pPr>
              <w:jc w:val="right"/>
            </w:pPr>
            <w:r w:rsidRPr="00E73D4B">
              <w:t>643</w:t>
            </w:r>
          </w:p>
        </w:tc>
        <w:tc>
          <w:tcPr>
            <w:tcW w:w="5287" w:type="dxa"/>
            <w:tcBorders>
              <w:top w:val="nil"/>
              <w:left w:val="nil"/>
              <w:bottom w:val="nil"/>
              <w:right w:val="nil"/>
            </w:tcBorders>
            <w:tcMar>
              <w:top w:w="128" w:type="dxa"/>
              <w:left w:w="43" w:type="dxa"/>
              <w:bottom w:w="43" w:type="dxa"/>
              <w:right w:w="43" w:type="dxa"/>
            </w:tcMar>
          </w:tcPr>
          <w:p w14:paraId="39FE9F18" w14:textId="77777777" w:rsidR="00972395" w:rsidRPr="00E73D4B" w:rsidRDefault="00F120C7" w:rsidP="001C4219">
            <w:r w:rsidRPr="00E73D4B">
              <w:t>Evaluering av fagskulereforma</w:t>
            </w:r>
          </w:p>
        </w:tc>
        <w:tc>
          <w:tcPr>
            <w:tcW w:w="1262" w:type="dxa"/>
            <w:tcBorders>
              <w:top w:val="nil"/>
              <w:left w:val="nil"/>
              <w:bottom w:val="nil"/>
              <w:right w:val="nil"/>
            </w:tcBorders>
            <w:tcMar>
              <w:top w:w="128" w:type="dxa"/>
              <w:left w:w="43" w:type="dxa"/>
              <w:bottom w:w="43" w:type="dxa"/>
              <w:right w:w="43" w:type="dxa"/>
            </w:tcMar>
          </w:tcPr>
          <w:p w14:paraId="782A22AC" w14:textId="77777777" w:rsidR="00972395" w:rsidRPr="00E73D4B" w:rsidRDefault="00F120C7" w:rsidP="001C4219">
            <w:pPr>
              <w:jc w:val="right"/>
            </w:pPr>
            <w:r w:rsidRPr="00E73D4B">
              <w:t>Nei</w:t>
            </w:r>
          </w:p>
        </w:tc>
      </w:tr>
      <w:tr w:rsidR="00972395" w:rsidRPr="00E73D4B" w14:paraId="5F95FB06"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0BE3F0DB" w14:textId="77777777" w:rsidR="00972395" w:rsidRPr="00E73D4B" w:rsidRDefault="00F120C7" w:rsidP="001C4219">
            <w:r w:rsidRPr="00E73D4B">
              <w:t>2016–2017</w:t>
            </w:r>
          </w:p>
        </w:tc>
        <w:tc>
          <w:tcPr>
            <w:tcW w:w="1233" w:type="dxa"/>
            <w:tcBorders>
              <w:top w:val="nil"/>
              <w:left w:val="nil"/>
              <w:bottom w:val="nil"/>
              <w:right w:val="nil"/>
            </w:tcBorders>
            <w:tcMar>
              <w:top w:w="128" w:type="dxa"/>
              <w:left w:w="43" w:type="dxa"/>
              <w:bottom w:w="43" w:type="dxa"/>
              <w:right w:w="43" w:type="dxa"/>
            </w:tcMar>
          </w:tcPr>
          <w:p w14:paraId="429BCC0A" w14:textId="77777777" w:rsidR="00972395" w:rsidRPr="00E73D4B" w:rsidRDefault="00F120C7" w:rsidP="001C4219">
            <w:pPr>
              <w:jc w:val="right"/>
            </w:pPr>
            <w:r w:rsidRPr="00E73D4B">
              <w:t>900</w:t>
            </w:r>
          </w:p>
        </w:tc>
        <w:tc>
          <w:tcPr>
            <w:tcW w:w="5287" w:type="dxa"/>
            <w:tcBorders>
              <w:top w:val="nil"/>
              <w:left w:val="nil"/>
              <w:bottom w:val="nil"/>
              <w:right w:val="nil"/>
            </w:tcBorders>
            <w:tcMar>
              <w:top w:w="128" w:type="dxa"/>
              <w:left w:w="43" w:type="dxa"/>
              <w:bottom w:w="43" w:type="dxa"/>
              <w:right w:w="43" w:type="dxa"/>
            </w:tcMar>
          </w:tcPr>
          <w:p w14:paraId="6DEF643C" w14:textId="77777777" w:rsidR="00972395" w:rsidRPr="00E73D4B" w:rsidRDefault="00F120C7" w:rsidP="001C4219">
            <w:proofErr w:type="spellStart"/>
            <w:r w:rsidRPr="00E73D4B">
              <w:t>Lærarar</w:t>
            </w:r>
            <w:proofErr w:type="spellEnd"/>
            <w:r w:rsidRPr="00E73D4B">
              <w:t xml:space="preserve"> med fordjuping i spesialpedagogikk</w:t>
            </w:r>
          </w:p>
        </w:tc>
        <w:tc>
          <w:tcPr>
            <w:tcW w:w="1262" w:type="dxa"/>
            <w:tcBorders>
              <w:top w:val="nil"/>
              <w:left w:val="nil"/>
              <w:bottom w:val="nil"/>
              <w:right w:val="nil"/>
            </w:tcBorders>
            <w:tcMar>
              <w:top w:w="128" w:type="dxa"/>
              <w:left w:w="43" w:type="dxa"/>
              <w:bottom w:w="43" w:type="dxa"/>
              <w:right w:w="43" w:type="dxa"/>
            </w:tcMar>
          </w:tcPr>
          <w:p w14:paraId="13E55260" w14:textId="77777777" w:rsidR="00972395" w:rsidRPr="00E73D4B" w:rsidRDefault="00F120C7" w:rsidP="001C4219">
            <w:pPr>
              <w:jc w:val="right"/>
            </w:pPr>
            <w:r w:rsidRPr="00E73D4B">
              <w:t>Nei</w:t>
            </w:r>
          </w:p>
        </w:tc>
      </w:tr>
      <w:tr w:rsidR="00972395" w:rsidRPr="00E73D4B" w14:paraId="713FCB04" w14:textId="77777777" w:rsidTr="007116DC">
        <w:trPr>
          <w:trHeight w:val="380"/>
        </w:trPr>
        <w:tc>
          <w:tcPr>
            <w:tcW w:w="1418" w:type="dxa"/>
            <w:tcBorders>
              <w:top w:val="nil"/>
              <w:left w:val="nil"/>
              <w:bottom w:val="nil"/>
              <w:right w:val="nil"/>
            </w:tcBorders>
            <w:tcMar>
              <w:top w:w="128" w:type="dxa"/>
              <w:left w:w="43" w:type="dxa"/>
              <w:bottom w:w="43" w:type="dxa"/>
              <w:right w:w="43" w:type="dxa"/>
            </w:tcMar>
          </w:tcPr>
          <w:p w14:paraId="17CC0054" w14:textId="77777777" w:rsidR="00972395" w:rsidRPr="00E73D4B" w:rsidRDefault="00F120C7" w:rsidP="001C4219">
            <w:r w:rsidRPr="00E73D4B">
              <w:t>2016–2017</w:t>
            </w:r>
          </w:p>
        </w:tc>
        <w:tc>
          <w:tcPr>
            <w:tcW w:w="1233" w:type="dxa"/>
            <w:tcBorders>
              <w:top w:val="nil"/>
              <w:left w:val="nil"/>
              <w:bottom w:val="nil"/>
              <w:right w:val="nil"/>
            </w:tcBorders>
            <w:tcMar>
              <w:top w:w="128" w:type="dxa"/>
              <w:left w:w="43" w:type="dxa"/>
              <w:bottom w:w="43" w:type="dxa"/>
              <w:right w:w="43" w:type="dxa"/>
            </w:tcMar>
          </w:tcPr>
          <w:p w14:paraId="0835669E" w14:textId="77777777" w:rsidR="00972395" w:rsidRPr="00E73D4B" w:rsidRDefault="00F120C7" w:rsidP="001C4219">
            <w:pPr>
              <w:jc w:val="right"/>
            </w:pPr>
            <w:r w:rsidRPr="00E73D4B">
              <w:t>901</w:t>
            </w:r>
          </w:p>
        </w:tc>
        <w:tc>
          <w:tcPr>
            <w:tcW w:w="5287" w:type="dxa"/>
            <w:tcBorders>
              <w:top w:val="nil"/>
              <w:left w:val="nil"/>
              <w:bottom w:val="nil"/>
              <w:right w:val="nil"/>
            </w:tcBorders>
            <w:tcMar>
              <w:top w:w="128" w:type="dxa"/>
              <w:left w:w="43" w:type="dxa"/>
              <w:bottom w:w="43" w:type="dxa"/>
              <w:right w:w="43" w:type="dxa"/>
            </w:tcMar>
          </w:tcPr>
          <w:p w14:paraId="03AE758C" w14:textId="77777777" w:rsidR="00972395" w:rsidRPr="00E73D4B" w:rsidRDefault="00F120C7" w:rsidP="001C4219">
            <w:r w:rsidRPr="00E73D4B">
              <w:t xml:space="preserve">Rett til spesialundervisning av </w:t>
            </w:r>
            <w:proofErr w:type="spellStart"/>
            <w:r w:rsidRPr="00E73D4B">
              <w:t>fagpersonar</w:t>
            </w:r>
            <w:proofErr w:type="spellEnd"/>
          </w:p>
        </w:tc>
        <w:tc>
          <w:tcPr>
            <w:tcW w:w="1262" w:type="dxa"/>
            <w:tcBorders>
              <w:top w:val="nil"/>
              <w:left w:val="nil"/>
              <w:bottom w:val="nil"/>
              <w:right w:val="nil"/>
            </w:tcBorders>
            <w:tcMar>
              <w:top w:w="128" w:type="dxa"/>
              <w:left w:w="43" w:type="dxa"/>
              <w:bottom w:w="43" w:type="dxa"/>
              <w:right w:w="43" w:type="dxa"/>
            </w:tcMar>
          </w:tcPr>
          <w:p w14:paraId="56E02D89" w14:textId="77777777" w:rsidR="00972395" w:rsidRPr="00E73D4B" w:rsidRDefault="00F120C7" w:rsidP="001C4219">
            <w:pPr>
              <w:jc w:val="right"/>
            </w:pPr>
            <w:r w:rsidRPr="00E73D4B">
              <w:t>Nei</w:t>
            </w:r>
          </w:p>
        </w:tc>
      </w:tr>
      <w:tr w:rsidR="00972395" w:rsidRPr="00E73D4B" w14:paraId="6735D423" w14:textId="77777777" w:rsidTr="007116DC">
        <w:trPr>
          <w:trHeight w:val="380"/>
        </w:trPr>
        <w:tc>
          <w:tcPr>
            <w:tcW w:w="1418" w:type="dxa"/>
            <w:tcBorders>
              <w:top w:val="nil"/>
              <w:left w:val="nil"/>
              <w:right w:val="nil"/>
            </w:tcBorders>
            <w:tcMar>
              <w:top w:w="128" w:type="dxa"/>
              <w:left w:w="43" w:type="dxa"/>
              <w:bottom w:w="43" w:type="dxa"/>
              <w:right w:w="43" w:type="dxa"/>
            </w:tcMar>
          </w:tcPr>
          <w:p w14:paraId="375C4806" w14:textId="77777777" w:rsidR="00972395" w:rsidRPr="00E73D4B" w:rsidRDefault="00F120C7" w:rsidP="001C4219">
            <w:r w:rsidRPr="00E73D4B">
              <w:t>2016–2017</w:t>
            </w:r>
          </w:p>
        </w:tc>
        <w:tc>
          <w:tcPr>
            <w:tcW w:w="1233" w:type="dxa"/>
            <w:tcBorders>
              <w:top w:val="nil"/>
              <w:left w:val="nil"/>
              <w:right w:val="nil"/>
            </w:tcBorders>
            <w:tcMar>
              <w:top w:w="128" w:type="dxa"/>
              <w:left w:w="43" w:type="dxa"/>
              <w:bottom w:w="43" w:type="dxa"/>
              <w:right w:w="43" w:type="dxa"/>
            </w:tcMar>
          </w:tcPr>
          <w:p w14:paraId="6A43D37C" w14:textId="77777777" w:rsidR="00972395" w:rsidRPr="00E73D4B" w:rsidRDefault="00F120C7" w:rsidP="001C4219">
            <w:pPr>
              <w:jc w:val="right"/>
            </w:pPr>
            <w:r w:rsidRPr="00E73D4B">
              <w:t>903</w:t>
            </w:r>
          </w:p>
        </w:tc>
        <w:tc>
          <w:tcPr>
            <w:tcW w:w="5287" w:type="dxa"/>
            <w:tcBorders>
              <w:top w:val="nil"/>
              <w:left w:val="nil"/>
              <w:right w:val="nil"/>
            </w:tcBorders>
            <w:tcMar>
              <w:top w:w="128" w:type="dxa"/>
              <w:left w:w="43" w:type="dxa"/>
              <w:bottom w:w="43" w:type="dxa"/>
              <w:right w:w="43" w:type="dxa"/>
            </w:tcMar>
          </w:tcPr>
          <w:p w14:paraId="47153CEC" w14:textId="77777777" w:rsidR="00972395" w:rsidRPr="00E73D4B" w:rsidRDefault="00F120C7" w:rsidP="001C4219">
            <w:r w:rsidRPr="00E73D4B">
              <w:t xml:space="preserve">Spesialundervisning og </w:t>
            </w:r>
            <w:proofErr w:type="spellStart"/>
            <w:r w:rsidRPr="00E73D4B">
              <w:t>lærarkompetanse</w:t>
            </w:r>
            <w:proofErr w:type="spellEnd"/>
          </w:p>
        </w:tc>
        <w:tc>
          <w:tcPr>
            <w:tcW w:w="1262" w:type="dxa"/>
            <w:tcBorders>
              <w:top w:val="nil"/>
              <w:left w:val="nil"/>
              <w:right w:val="nil"/>
            </w:tcBorders>
            <w:tcMar>
              <w:top w:w="128" w:type="dxa"/>
              <w:left w:w="43" w:type="dxa"/>
              <w:bottom w:w="43" w:type="dxa"/>
              <w:right w:w="43" w:type="dxa"/>
            </w:tcMar>
          </w:tcPr>
          <w:p w14:paraId="14CF13C3" w14:textId="77777777" w:rsidR="00972395" w:rsidRPr="00E73D4B" w:rsidRDefault="00F120C7" w:rsidP="001C4219">
            <w:pPr>
              <w:jc w:val="right"/>
            </w:pPr>
            <w:r w:rsidRPr="00E73D4B">
              <w:t>Nei</w:t>
            </w:r>
          </w:p>
        </w:tc>
      </w:tr>
      <w:tr w:rsidR="00972395" w:rsidRPr="00E73D4B" w14:paraId="3FD2F2F7" w14:textId="77777777" w:rsidTr="007116DC">
        <w:trPr>
          <w:trHeight w:val="380"/>
        </w:trPr>
        <w:tc>
          <w:tcPr>
            <w:tcW w:w="1418" w:type="dxa"/>
            <w:tcBorders>
              <w:top w:val="nil"/>
              <w:left w:val="nil"/>
              <w:bottom w:val="single" w:sz="4" w:space="0" w:color="000000"/>
              <w:right w:val="nil"/>
            </w:tcBorders>
            <w:shd w:val="clear" w:color="auto" w:fill="auto"/>
            <w:tcMar>
              <w:top w:w="128" w:type="dxa"/>
              <w:left w:w="43" w:type="dxa"/>
              <w:bottom w:w="43" w:type="dxa"/>
              <w:right w:w="43" w:type="dxa"/>
            </w:tcMar>
          </w:tcPr>
          <w:p w14:paraId="17183AAE" w14:textId="77777777" w:rsidR="00972395" w:rsidRPr="00E73D4B" w:rsidRDefault="00F120C7" w:rsidP="001C4219">
            <w:r w:rsidRPr="00E73D4B">
              <w:t>2015–2016</w:t>
            </w:r>
          </w:p>
        </w:tc>
        <w:tc>
          <w:tcPr>
            <w:tcW w:w="1233" w:type="dxa"/>
            <w:tcBorders>
              <w:top w:val="nil"/>
              <w:left w:val="nil"/>
              <w:bottom w:val="single" w:sz="4" w:space="0" w:color="000000"/>
              <w:right w:val="nil"/>
            </w:tcBorders>
            <w:shd w:val="clear" w:color="auto" w:fill="auto"/>
            <w:tcMar>
              <w:top w:w="128" w:type="dxa"/>
              <w:left w:w="43" w:type="dxa"/>
              <w:bottom w:w="43" w:type="dxa"/>
              <w:right w:w="43" w:type="dxa"/>
            </w:tcMar>
          </w:tcPr>
          <w:p w14:paraId="178FD146" w14:textId="77777777" w:rsidR="00972395" w:rsidRPr="00E73D4B" w:rsidRDefault="00F120C7" w:rsidP="001C4219">
            <w:pPr>
              <w:jc w:val="right"/>
            </w:pPr>
            <w:r w:rsidRPr="00E73D4B">
              <w:t>796</w:t>
            </w:r>
          </w:p>
        </w:tc>
        <w:tc>
          <w:tcPr>
            <w:tcW w:w="5287" w:type="dxa"/>
            <w:tcBorders>
              <w:top w:val="nil"/>
              <w:left w:val="nil"/>
              <w:bottom w:val="single" w:sz="4" w:space="0" w:color="000000"/>
              <w:right w:val="nil"/>
            </w:tcBorders>
            <w:shd w:val="clear" w:color="auto" w:fill="auto"/>
            <w:tcMar>
              <w:top w:w="128" w:type="dxa"/>
              <w:left w:w="43" w:type="dxa"/>
              <w:bottom w:w="43" w:type="dxa"/>
              <w:right w:w="43" w:type="dxa"/>
            </w:tcMar>
          </w:tcPr>
          <w:p w14:paraId="035C166B" w14:textId="77777777" w:rsidR="00972395" w:rsidRPr="00E73D4B" w:rsidRDefault="00F120C7" w:rsidP="001C4219">
            <w:r w:rsidRPr="00E73D4B">
              <w:t>Krav om norsk og samisk språk i barnehagesektoren</w:t>
            </w:r>
          </w:p>
        </w:tc>
        <w:tc>
          <w:tcPr>
            <w:tcW w:w="1262" w:type="dxa"/>
            <w:tcBorders>
              <w:top w:val="nil"/>
              <w:left w:val="nil"/>
              <w:bottom w:val="single" w:sz="4" w:space="0" w:color="000000"/>
              <w:right w:val="nil"/>
            </w:tcBorders>
            <w:shd w:val="clear" w:color="auto" w:fill="auto"/>
            <w:tcMar>
              <w:top w:w="128" w:type="dxa"/>
              <w:left w:w="43" w:type="dxa"/>
              <w:bottom w:w="43" w:type="dxa"/>
              <w:right w:w="43" w:type="dxa"/>
            </w:tcMar>
          </w:tcPr>
          <w:p w14:paraId="7ED4ABE2" w14:textId="77777777" w:rsidR="00972395" w:rsidRPr="00E73D4B" w:rsidRDefault="00F120C7" w:rsidP="001C4219">
            <w:pPr>
              <w:jc w:val="right"/>
            </w:pPr>
            <w:r w:rsidRPr="00E73D4B">
              <w:t>Nei</w:t>
            </w:r>
          </w:p>
        </w:tc>
      </w:tr>
    </w:tbl>
    <w:p w14:paraId="48BFD013" w14:textId="77777777" w:rsidR="00972395" w:rsidRPr="00E73D4B" w:rsidRDefault="00F120C7" w:rsidP="001C4219">
      <w:pPr>
        <w:pStyle w:val="Overskrift2"/>
        <w:numPr>
          <w:ilvl w:val="1"/>
          <w:numId w:val="36"/>
        </w:numPr>
      </w:pPr>
      <w:r w:rsidRPr="00E73D4B">
        <w:t>Stortingssesjon 2021–2022</w:t>
      </w:r>
    </w:p>
    <w:p w14:paraId="019E4C09" w14:textId="77777777" w:rsidR="00972395" w:rsidRPr="00E73D4B" w:rsidRDefault="00F120C7" w:rsidP="00E73D4B">
      <w:pPr>
        <w:pStyle w:val="Undertittel"/>
      </w:pPr>
      <w:r w:rsidRPr="00E73D4B">
        <w:t>Oppmodingsvedtak under kunnskapsministeren</w:t>
      </w:r>
    </w:p>
    <w:p w14:paraId="30D7B4A9" w14:textId="77777777" w:rsidR="00972395" w:rsidRPr="00E73D4B" w:rsidRDefault="00F120C7" w:rsidP="00E73D4B">
      <w:pPr>
        <w:pStyle w:val="avsnitt-tittel"/>
      </w:pPr>
      <w:r w:rsidRPr="00E73D4B">
        <w:t xml:space="preserve">Meldeplikt ved overføring av </w:t>
      </w:r>
      <w:proofErr w:type="spellStart"/>
      <w:r w:rsidRPr="00E73D4B">
        <w:t>eigedomsrett</w:t>
      </w:r>
      <w:proofErr w:type="spellEnd"/>
      <w:r w:rsidRPr="00E73D4B">
        <w:t xml:space="preserve"> til barnehage</w:t>
      </w:r>
    </w:p>
    <w:p w14:paraId="5E3A847F" w14:textId="77777777" w:rsidR="00972395" w:rsidRPr="00E73D4B" w:rsidRDefault="00F120C7" w:rsidP="00E73D4B">
      <w:pPr>
        <w:pStyle w:val="avsnitt-undertittel"/>
      </w:pPr>
      <w:r w:rsidRPr="00E73D4B">
        <w:t>Vedtak nr. 35, pkt. 44 (2021–2022), 2. desember 2021</w:t>
      </w:r>
    </w:p>
    <w:p w14:paraId="05F9DDF6" w14:textId="77777777" w:rsidR="00972395" w:rsidRPr="00E73D4B" w:rsidRDefault="00F120C7" w:rsidP="00E73D4B">
      <w:pPr>
        <w:pStyle w:val="blokksit"/>
        <w:rPr>
          <w:rStyle w:val="kursiv"/>
        </w:rPr>
      </w:pPr>
      <w:r w:rsidRPr="00E73D4B">
        <w:rPr>
          <w:rStyle w:val="kursiv"/>
        </w:rPr>
        <w:t>Stortinget ber regjeringen i forskrift og lovforslag innføre meldeplikt til kommunen når eiendomsrett til barnehage i kommunen blir overført til andre enn staten eller den fylkeskommune der eiendommen ligger, og utrede hvordan det kan innføres en forkjøpsrett for kommuner.</w:t>
      </w:r>
    </w:p>
    <w:p w14:paraId="5DC4CBAE"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61C6BD95" w14:textId="77777777" w:rsidR="00972395" w:rsidRPr="00E73D4B" w:rsidRDefault="00F120C7" w:rsidP="00E73D4B">
      <w:r w:rsidRPr="00E73D4B">
        <w:t xml:space="preserve">Vedtaket om å innføre meldeplikt til kommunen blei våren 2022 </w:t>
      </w:r>
      <w:proofErr w:type="spellStart"/>
      <w:r w:rsidRPr="00E73D4B">
        <w:t>følgt</w:t>
      </w:r>
      <w:proofErr w:type="spellEnd"/>
      <w:r w:rsidRPr="00E73D4B">
        <w:t xml:space="preserve"> opp i </w:t>
      </w:r>
      <w:proofErr w:type="spellStart"/>
      <w:r w:rsidRPr="00E73D4B">
        <w:t>Prop</w:t>
      </w:r>
      <w:proofErr w:type="spellEnd"/>
      <w:r w:rsidRPr="00E73D4B">
        <w:t xml:space="preserve">. 82 L (2021–2022) </w:t>
      </w:r>
      <w:r w:rsidRPr="00E73D4B">
        <w:rPr>
          <w:rStyle w:val="kursiv"/>
        </w:rPr>
        <w:t>Endringer i barnehageloven (selvstendig rettssubjekt, forbud mot annen virksomhet, meldeplikt m.m.)</w:t>
      </w:r>
      <w:r w:rsidRPr="00E73D4B">
        <w:t xml:space="preserve">. I proposisjonen blei det foreslått krav om at private </w:t>
      </w:r>
      <w:proofErr w:type="spellStart"/>
      <w:r w:rsidRPr="00E73D4B">
        <w:t>barnehagar</w:t>
      </w:r>
      <w:proofErr w:type="spellEnd"/>
      <w:r w:rsidRPr="00E73D4B">
        <w:t xml:space="preserve"> skal melde </w:t>
      </w:r>
      <w:proofErr w:type="spellStart"/>
      <w:r w:rsidRPr="00E73D4B">
        <w:t>frå</w:t>
      </w:r>
      <w:proofErr w:type="spellEnd"/>
      <w:r w:rsidRPr="00E73D4B">
        <w:t xml:space="preserve"> til kommunen og Utdanningsdirektoratet ved nedlegging, </w:t>
      </w:r>
      <w:proofErr w:type="spellStart"/>
      <w:r w:rsidRPr="00E73D4B">
        <w:t>eigarskifte</w:t>
      </w:r>
      <w:proofErr w:type="spellEnd"/>
      <w:r w:rsidRPr="00E73D4B">
        <w:t xml:space="preserve"> eller andre organisatoriske </w:t>
      </w:r>
      <w:proofErr w:type="spellStart"/>
      <w:r w:rsidRPr="00E73D4B">
        <w:t>endringar</w:t>
      </w:r>
      <w:proofErr w:type="spellEnd"/>
      <w:r w:rsidRPr="00E73D4B">
        <w:t xml:space="preserve">. Stortinget behandla forslaget 31. mai 2022, jf. </w:t>
      </w:r>
      <w:proofErr w:type="spellStart"/>
      <w:r w:rsidRPr="00E73D4B">
        <w:t>Innst</w:t>
      </w:r>
      <w:proofErr w:type="spellEnd"/>
      <w:r w:rsidRPr="00E73D4B">
        <w:t>. 403 L (2021–2022).</w:t>
      </w:r>
    </w:p>
    <w:p w14:paraId="2063E222" w14:textId="77777777" w:rsidR="00972395" w:rsidRPr="00E73D4B" w:rsidRDefault="00F120C7" w:rsidP="00E73D4B">
      <w:r w:rsidRPr="00E73D4B">
        <w:t xml:space="preserve">Departementet vil følge opp vedtaket om å greie ut </w:t>
      </w:r>
      <w:proofErr w:type="spellStart"/>
      <w:r w:rsidRPr="00E73D4B">
        <w:t>ein</w:t>
      </w:r>
      <w:proofErr w:type="spellEnd"/>
      <w:r w:rsidRPr="00E73D4B">
        <w:t xml:space="preserve"> forkjøpsrett for </w:t>
      </w:r>
      <w:proofErr w:type="spellStart"/>
      <w:r w:rsidRPr="00E73D4B">
        <w:t>kommunane</w:t>
      </w:r>
      <w:proofErr w:type="spellEnd"/>
      <w:r w:rsidRPr="00E73D4B">
        <w:t xml:space="preserve"> i samband med den varsla gjennomgangen av regelverket for styring og finansiering av private </w:t>
      </w:r>
      <w:proofErr w:type="spellStart"/>
      <w:r w:rsidRPr="00E73D4B">
        <w:t>barnehagar</w:t>
      </w:r>
      <w:proofErr w:type="spellEnd"/>
      <w:r w:rsidRPr="00E73D4B">
        <w:t>.</w:t>
      </w:r>
    </w:p>
    <w:p w14:paraId="32E7067F"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63F10F4D" w14:textId="77777777" w:rsidR="00972395" w:rsidRPr="00E73D4B" w:rsidRDefault="00F120C7" w:rsidP="00E73D4B">
      <w:pPr>
        <w:pStyle w:val="avsnitt-tittel"/>
      </w:pPr>
      <w:r w:rsidRPr="00E73D4B">
        <w:t xml:space="preserve">Gjeninnføre rett for </w:t>
      </w:r>
      <w:proofErr w:type="spellStart"/>
      <w:r w:rsidRPr="00E73D4B">
        <w:t>kommunane</w:t>
      </w:r>
      <w:proofErr w:type="spellEnd"/>
      <w:r w:rsidRPr="00E73D4B">
        <w:t xml:space="preserve"> til å føre tilsyn med private </w:t>
      </w:r>
      <w:proofErr w:type="spellStart"/>
      <w:r w:rsidRPr="00E73D4B">
        <w:t>barnehagar</w:t>
      </w:r>
      <w:proofErr w:type="spellEnd"/>
    </w:p>
    <w:p w14:paraId="31E4DCA8" w14:textId="77777777" w:rsidR="00972395" w:rsidRPr="00E73D4B" w:rsidRDefault="00F120C7" w:rsidP="00E73D4B">
      <w:pPr>
        <w:pStyle w:val="avsnitt-undertittel"/>
      </w:pPr>
      <w:r w:rsidRPr="00E73D4B">
        <w:t xml:space="preserve">Vedtak nr. 35, pkt. 45 (2021–2022), 2. desember 2021 </w:t>
      </w:r>
    </w:p>
    <w:p w14:paraId="33F1F126" w14:textId="77777777" w:rsidR="00972395" w:rsidRPr="00E73D4B" w:rsidRDefault="00F120C7" w:rsidP="00E73D4B">
      <w:pPr>
        <w:pStyle w:val="blokksit"/>
        <w:rPr>
          <w:rStyle w:val="kursiv"/>
        </w:rPr>
      </w:pPr>
      <w:r w:rsidRPr="00E73D4B">
        <w:rPr>
          <w:rStyle w:val="kursiv"/>
        </w:rPr>
        <w:t>Stortinget ber regjeringen fremme nødvendige forslag for å gjeninnføre kommunenes rett til å føre tilsyn med private barnehager, herunder gi kommunene innsyn i alle økonomiske disposisjoner i barnehager i kommunen som mottar tilskudd.</w:t>
      </w:r>
    </w:p>
    <w:p w14:paraId="63BD09A8"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66285D7A" w14:textId="77777777" w:rsidR="00972395" w:rsidRPr="00E73D4B" w:rsidRDefault="00F120C7" w:rsidP="00E73D4B">
      <w:r w:rsidRPr="00E73D4B">
        <w:t xml:space="preserve">Departementet vil følge opp vedtaket i samband med den varsla gjennomgangen av regelverket for styring og finansiering av private </w:t>
      </w:r>
      <w:proofErr w:type="spellStart"/>
      <w:r w:rsidRPr="00E73D4B">
        <w:t>barnehagar</w:t>
      </w:r>
      <w:proofErr w:type="spellEnd"/>
      <w:r w:rsidRPr="00E73D4B">
        <w:t>.</w:t>
      </w:r>
    </w:p>
    <w:p w14:paraId="3596FD4B"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7C7FF644" w14:textId="77777777" w:rsidR="00972395" w:rsidRPr="00E73D4B" w:rsidRDefault="00F120C7" w:rsidP="00E73D4B">
      <w:pPr>
        <w:pStyle w:val="avsnitt-tittel"/>
      </w:pPr>
      <w:r w:rsidRPr="00E73D4B">
        <w:t xml:space="preserve">Kartlegging av </w:t>
      </w:r>
      <w:proofErr w:type="spellStart"/>
      <w:r w:rsidRPr="00E73D4B">
        <w:t>utfordringar</w:t>
      </w:r>
      <w:proofErr w:type="spellEnd"/>
      <w:r w:rsidRPr="00E73D4B">
        <w:t xml:space="preserve"> for praktisk opplæring i </w:t>
      </w:r>
      <w:proofErr w:type="spellStart"/>
      <w:r w:rsidRPr="00E73D4B">
        <w:t>skulen</w:t>
      </w:r>
      <w:proofErr w:type="spellEnd"/>
    </w:p>
    <w:p w14:paraId="54178E9B" w14:textId="77777777" w:rsidR="00972395" w:rsidRPr="00E73D4B" w:rsidRDefault="00F120C7" w:rsidP="00E73D4B">
      <w:pPr>
        <w:pStyle w:val="avsnitt-undertittel"/>
      </w:pPr>
      <w:r w:rsidRPr="00E73D4B">
        <w:t xml:space="preserve">Vedtak nr. 35, pkt. 53 (2021–2022), 2. desember 2021 </w:t>
      </w:r>
    </w:p>
    <w:p w14:paraId="26C6AC8C" w14:textId="77777777" w:rsidR="00972395" w:rsidRPr="00E73D4B" w:rsidRDefault="00F120C7" w:rsidP="00E73D4B">
      <w:pPr>
        <w:pStyle w:val="blokksit"/>
        <w:rPr>
          <w:rStyle w:val="kursiv"/>
        </w:rPr>
      </w:pPr>
      <w:r w:rsidRPr="00E73D4B">
        <w:rPr>
          <w:rStyle w:val="kursiv"/>
        </w:rPr>
        <w:t>Stortinget ber regjeringen kartlegge hva som er de største utfordringene for praktisk opplæring både i de praktiske og estetiske fagene- og andre fag i skolen, og komme tilbake til Stortinget på egnet måte. Kartleggingen må blant annet vurdere kompetanse, fysiske fasiliteter og utstyrssituasjonen, særlig i de praktiske og estetiske fagene.</w:t>
      </w:r>
    </w:p>
    <w:p w14:paraId="2ED64157"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6C956F35" w14:textId="77777777" w:rsidR="00972395" w:rsidRPr="00E73D4B" w:rsidRDefault="00F120C7" w:rsidP="00E73D4B">
      <w:r w:rsidRPr="00E73D4B">
        <w:t xml:space="preserve">Vedtaket vil bli </w:t>
      </w:r>
      <w:proofErr w:type="spellStart"/>
      <w:r w:rsidRPr="00E73D4B">
        <w:t>følgt</w:t>
      </w:r>
      <w:proofErr w:type="spellEnd"/>
      <w:r w:rsidRPr="00E73D4B">
        <w:t xml:space="preserve"> opp i den varsla meldinga om ungdomstid og 5.–10. trinn i </w:t>
      </w:r>
      <w:proofErr w:type="spellStart"/>
      <w:r w:rsidRPr="00E73D4B">
        <w:t>grunnskulen</w:t>
      </w:r>
      <w:proofErr w:type="spellEnd"/>
      <w:r w:rsidRPr="00E73D4B">
        <w:t xml:space="preserve">. </w:t>
      </w:r>
    </w:p>
    <w:p w14:paraId="3BD844D5"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72D56D87" w14:textId="77777777" w:rsidR="00972395" w:rsidRPr="00E73D4B" w:rsidRDefault="00F120C7" w:rsidP="00E73D4B">
      <w:pPr>
        <w:pStyle w:val="avsnitt-tittel"/>
      </w:pPr>
      <w:r w:rsidRPr="00E73D4B">
        <w:t>Styrking av praktisk læring</w:t>
      </w:r>
    </w:p>
    <w:p w14:paraId="00D7BF32" w14:textId="77777777" w:rsidR="00972395" w:rsidRPr="00E73D4B" w:rsidRDefault="00F120C7" w:rsidP="00E73D4B">
      <w:pPr>
        <w:pStyle w:val="avsnitt-undertittel"/>
      </w:pPr>
      <w:r w:rsidRPr="00E73D4B">
        <w:t xml:space="preserve">Vedtak nr. 374 (2021–2022), 1. februar 2022 </w:t>
      </w:r>
    </w:p>
    <w:p w14:paraId="6FCE8B0C" w14:textId="77777777" w:rsidR="00972395" w:rsidRPr="00E73D4B" w:rsidRDefault="00F120C7" w:rsidP="00E73D4B">
      <w:pPr>
        <w:pStyle w:val="blokksit"/>
        <w:rPr>
          <w:rStyle w:val="kursiv"/>
        </w:rPr>
      </w:pPr>
      <w:r w:rsidRPr="00E73D4B">
        <w:rPr>
          <w:rStyle w:val="kursiv"/>
        </w:rPr>
        <w:t>Stortinget ber regjeringen i sitt varslede arbeid med en helhetlig ungdomsskolereform vektlegge endringer som skal bidra til å øke elevenes motivasjon, læring og trivsel og styrke den praktiske læringen, og videre at regjeringen inkluderer sektoren tett i arbeidet.</w:t>
      </w:r>
    </w:p>
    <w:p w14:paraId="61B939CE"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8:18 S (2021–2022) </w:t>
      </w:r>
      <w:r w:rsidRPr="00E73D4B">
        <w:rPr>
          <w:rStyle w:val="kursiv"/>
        </w:rPr>
        <w:t xml:space="preserve">Representantforslag fra stortingsrepresentantene Erna Solberg, Jan Tore Sanner, Kari-Anne </w:t>
      </w:r>
      <w:proofErr w:type="spellStart"/>
      <w:r w:rsidRPr="00E73D4B">
        <w:rPr>
          <w:rStyle w:val="kursiv"/>
        </w:rPr>
        <w:t>Jønnes</w:t>
      </w:r>
      <w:proofErr w:type="spellEnd"/>
      <w:r w:rsidRPr="00E73D4B">
        <w:rPr>
          <w:rStyle w:val="kursiv"/>
        </w:rPr>
        <w:t xml:space="preserve">, Margret Hagerup, Mathilde Tybring-Gjedde og Turid Kristensen, </w:t>
      </w:r>
      <w:r w:rsidRPr="00E73D4B">
        <w:t xml:space="preserve">jf. </w:t>
      </w:r>
      <w:proofErr w:type="spellStart"/>
      <w:r w:rsidRPr="00E73D4B">
        <w:t>Innst</w:t>
      </w:r>
      <w:proofErr w:type="spellEnd"/>
      <w:r w:rsidRPr="00E73D4B">
        <w:t>. 129 S (2021–2022).</w:t>
      </w:r>
    </w:p>
    <w:p w14:paraId="19EB6F2D" w14:textId="77777777" w:rsidR="00972395" w:rsidRPr="00E73D4B" w:rsidRDefault="00F120C7" w:rsidP="00E73D4B">
      <w:r w:rsidRPr="00E73D4B">
        <w:t xml:space="preserve">Vedtaket vil bli </w:t>
      </w:r>
      <w:proofErr w:type="spellStart"/>
      <w:r w:rsidRPr="00E73D4B">
        <w:t>følgt</w:t>
      </w:r>
      <w:proofErr w:type="spellEnd"/>
      <w:r w:rsidRPr="00E73D4B">
        <w:t xml:space="preserve"> opp i den varsla meldinga om ungdomstid og 5.–10. trinn i </w:t>
      </w:r>
      <w:proofErr w:type="spellStart"/>
      <w:r w:rsidRPr="00E73D4B">
        <w:t>grunnskulen</w:t>
      </w:r>
      <w:proofErr w:type="spellEnd"/>
      <w:r w:rsidRPr="00E73D4B">
        <w:t>.</w:t>
      </w:r>
    </w:p>
    <w:p w14:paraId="7814D4EE"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5239A885" w14:textId="77777777" w:rsidR="00972395" w:rsidRPr="00E73D4B" w:rsidRDefault="00F120C7" w:rsidP="00E73D4B">
      <w:pPr>
        <w:pStyle w:val="avsnitt-tittel"/>
      </w:pPr>
      <w:proofErr w:type="spellStart"/>
      <w:r w:rsidRPr="00E73D4B">
        <w:t>Konsekvensar</w:t>
      </w:r>
      <w:proofErr w:type="spellEnd"/>
      <w:r w:rsidRPr="00E73D4B">
        <w:t xml:space="preserve"> av covid-19-pandemien</w:t>
      </w:r>
    </w:p>
    <w:p w14:paraId="0902CC1D" w14:textId="77777777" w:rsidR="00972395" w:rsidRPr="00E73D4B" w:rsidRDefault="00F120C7" w:rsidP="00E73D4B">
      <w:pPr>
        <w:pStyle w:val="avsnitt-undertittel"/>
      </w:pPr>
      <w:r w:rsidRPr="00E73D4B">
        <w:t>Vedtak nr. 494 (2021–2022), 26. april 2022</w:t>
      </w:r>
    </w:p>
    <w:p w14:paraId="4B5D2730" w14:textId="77777777" w:rsidR="00972395" w:rsidRPr="00E73D4B" w:rsidRDefault="00F120C7" w:rsidP="00E73D4B">
      <w:pPr>
        <w:pStyle w:val="blokksit"/>
        <w:rPr>
          <w:rStyle w:val="kursiv"/>
        </w:rPr>
      </w:pPr>
      <w:r w:rsidRPr="00E73D4B">
        <w:rPr>
          <w:rStyle w:val="kursiv"/>
        </w:rPr>
        <w:t xml:space="preserve">Stortinget ber regjeringen om å ha dialog med kommuner og fylkeskommuner om tiltak for å bøte på negative konsekvenser av pandemien for elever i norsk skole. I dialogen skal anbefalingene </w:t>
      </w:r>
      <w:proofErr w:type="spellStart"/>
      <w:r w:rsidRPr="00E73D4B">
        <w:rPr>
          <w:rStyle w:val="kursiv"/>
        </w:rPr>
        <w:t>frå</w:t>
      </w:r>
      <w:proofErr w:type="spellEnd"/>
      <w:r w:rsidRPr="00E73D4B">
        <w:rPr>
          <w:rStyle w:val="kursiv"/>
        </w:rPr>
        <w:t xml:space="preserve"> Parr-rapporten vektlegges.</w:t>
      </w:r>
    </w:p>
    <w:p w14:paraId="4FB52E2F"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8:131 S (2021–2022) </w:t>
      </w:r>
      <w:r w:rsidRPr="00E73D4B">
        <w:rPr>
          <w:rStyle w:val="kursiv"/>
        </w:rPr>
        <w:t xml:space="preserve">Representantforslag fra stortingsrepresentantene Guri Melby, Ingvild </w:t>
      </w:r>
      <w:proofErr w:type="spellStart"/>
      <w:r w:rsidRPr="00E73D4B">
        <w:rPr>
          <w:rStyle w:val="kursiv"/>
        </w:rPr>
        <w:t>Wetrhus</w:t>
      </w:r>
      <w:proofErr w:type="spellEnd"/>
      <w:r w:rsidRPr="00E73D4B">
        <w:rPr>
          <w:rStyle w:val="kursiv"/>
        </w:rPr>
        <w:t xml:space="preserve"> </w:t>
      </w:r>
      <w:proofErr w:type="spellStart"/>
      <w:r w:rsidRPr="00E73D4B">
        <w:rPr>
          <w:rStyle w:val="kursiv"/>
        </w:rPr>
        <w:t>Thorsvik</w:t>
      </w:r>
      <w:proofErr w:type="spellEnd"/>
      <w:r w:rsidRPr="00E73D4B">
        <w:rPr>
          <w:rStyle w:val="kursiv"/>
        </w:rPr>
        <w:t xml:space="preserve">, Abid Raja, Jan Tore Sanner, Kari-Anne </w:t>
      </w:r>
      <w:proofErr w:type="spellStart"/>
      <w:r w:rsidRPr="00E73D4B">
        <w:rPr>
          <w:rStyle w:val="kursiv"/>
        </w:rPr>
        <w:t>Jønnes</w:t>
      </w:r>
      <w:proofErr w:type="spellEnd"/>
      <w:r w:rsidRPr="00E73D4B">
        <w:rPr>
          <w:rStyle w:val="kursiv"/>
        </w:rPr>
        <w:t xml:space="preserve"> og Margret Hagerup, </w:t>
      </w:r>
      <w:r w:rsidRPr="00E73D4B">
        <w:t xml:space="preserve">jf. </w:t>
      </w:r>
      <w:proofErr w:type="spellStart"/>
      <w:r w:rsidRPr="00E73D4B">
        <w:t>Innst</w:t>
      </w:r>
      <w:proofErr w:type="spellEnd"/>
      <w:r w:rsidRPr="00E73D4B">
        <w:t>. 252 S (2021–2022).</w:t>
      </w:r>
    </w:p>
    <w:p w14:paraId="74B9A16E" w14:textId="77777777" w:rsidR="00972395" w:rsidRPr="00E73D4B" w:rsidRDefault="00F120C7" w:rsidP="00E73D4B">
      <w:r w:rsidRPr="00E73D4B">
        <w:t xml:space="preserve">Regjeringa har hatt dialog med kommunesektoren om </w:t>
      </w:r>
      <w:proofErr w:type="spellStart"/>
      <w:r w:rsidRPr="00E73D4B">
        <w:t>konsekvensane</w:t>
      </w:r>
      <w:proofErr w:type="spellEnd"/>
      <w:r w:rsidRPr="00E73D4B">
        <w:t xml:space="preserve"> av covid-19-pandemien. Pandemien har slått ulikt ut, og kommunesektoren har til liks med Parr-rapporten </w:t>
      </w:r>
      <w:proofErr w:type="spellStart"/>
      <w:r w:rsidRPr="00E73D4B">
        <w:t>peika</w:t>
      </w:r>
      <w:proofErr w:type="spellEnd"/>
      <w:r w:rsidRPr="00E73D4B">
        <w:t xml:space="preserve"> på behovet for ulike tiltak ulike </w:t>
      </w:r>
      <w:proofErr w:type="spellStart"/>
      <w:r w:rsidRPr="00E73D4B">
        <w:t>stadar</w:t>
      </w:r>
      <w:proofErr w:type="spellEnd"/>
      <w:r w:rsidRPr="00E73D4B">
        <w:t xml:space="preserve">. Regjeringa har derfor gitt </w:t>
      </w:r>
      <w:proofErr w:type="spellStart"/>
      <w:r w:rsidRPr="00E73D4B">
        <w:t>kommunane</w:t>
      </w:r>
      <w:proofErr w:type="spellEnd"/>
      <w:r w:rsidRPr="00E73D4B">
        <w:t xml:space="preserve"> og </w:t>
      </w:r>
      <w:proofErr w:type="spellStart"/>
      <w:r w:rsidRPr="00E73D4B">
        <w:t>fylkeskommunane</w:t>
      </w:r>
      <w:proofErr w:type="spellEnd"/>
      <w:r w:rsidRPr="00E73D4B">
        <w:t xml:space="preserve"> stort handlingsrom til å utforme og </w:t>
      </w:r>
      <w:proofErr w:type="spellStart"/>
      <w:r w:rsidRPr="00E73D4B">
        <w:t>målrette</w:t>
      </w:r>
      <w:proofErr w:type="spellEnd"/>
      <w:r w:rsidRPr="00E73D4B">
        <w:t xml:space="preserve"> tiltak etter lokale behov framfor å </w:t>
      </w:r>
      <w:proofErr w:type="spellStart"/>
      <w:r w:rsidRPr="00E73D4B">
        <w:t>setje</w:t>
      </w:r>
      <w:proofErr w:type="spellEnd"/>
      <w:r w:rsidRPr="00E73D4B">
        <w:t xml:space="preserve"> inn nasjonale tiltak. Regjeringa har òg styrkt </w:t>
      </w:r>
      <w:proofErr w:type="spellStart"/>
      <w:r w:rsidRPr="00E73D4B">
        <w:t>dei</w:t>
      </w:r>
      <w:proofErr w:type="spellEnd"/>
      <w:r w:rsidRPr="00E73D4B">
        <w:t xml:space="preserve"> frie inntektene til kommunesektoren med 4,5 mrd. kroner i 2022, jf. </w:t>
      </w:r>
      <w:proofErr w:type="spellStart"/>
      <w:r w:rsidRPr="00E73D4B">
        <w:t>Prop</w:t>
      </w:r>
      <w:proofErr w:type="spellEnd"/>
      <w:r w:rsidRPr="00E73D4B">
        <w:t xml:space="preserve">. 1 S Tillegg 1 (2021–2022) og </w:t>
      </w:r>
      <w:proofErr w:type="spellStart"/>
      <w:r w:rsidRPr="00E73D4B">
        <w:t>Innst</w:t>
      </w:r>
      <w:proofErr w:type="spellEnd"/>
      <w:r w:rsidRPr="00E73D4B">
        <w:t xml:space="preserve">. 16 S (2021–2022). I revidert budsjett for 2022 løyvde Stortinget 75 mill. kroner til tiltak for å </w:t>
      </w:r>
      <w:proofErr w:type="spellStart"/>
      <w:r w:rsidRPr="00E73D4B">
        <w:t>motverke</w:t>
      </w:r>
      <w:proofErr w:type="spellEnd"/>
      <w:r w:rsidRPr="00E73D4B">
        <w:t xml:space="preserve"> negative </w:t>
      </w:r>
      <w:proofErr w:type="spellStart"/>
      <w:r w:rsidRPr="00E73D4B">
        <w:t>konsekvensar</w:t>
      </w:r>
      <w:proofErr w:type="spellEnd"/>
      <w:r w:rsidRPr="00E73D4B">
        <w:t xml:space="preserve"> av pandemien, jf. </w:t>
      </w:r>
      <w:proofErr w:type="spellStart"/>
      <w:r w:rsidRPr="00E73D4B">
        <w:t>Innst</w:t>
      </w:r>
      <w:proofErr w:type="spellEnd"/>
      <w:r w:rsidRPr="00E73D4B">
        <w:t xml:space="preserve">. 450 S (2021–2022) og </w:t>
      </w:r>
      <w:proofErr w:type="spellStart"/>
      <w:r w:rsidRPr="00E73D4B">
        <w:t>Prop</w:t>
      </w:r>
      <w:proofErr w:type="spellEnd"/>
      <w:r w:rsidRPr="00E73D4B">
        <w:t xml:space="preserve">. 115 S (2021–2022) </w:t>
      </w:r>
      <w:r w:rsidRPr="00E73D4B">
        <w:rPr>
          <w:rStyle w:val="kursiv"/>
        </w:rPr>
        <w:t>Tilleggsbevilgninger og omprioriteringer i statsbudsjettet 2022</w:t>
      </w:r>
      <w:r w:rsidRPr="00E73D4B">
        <w:t xml:space="preserve">. </w:t>
      </w:r>
      <w:proofErr w:type="spellStart"/>
      <w:r w:rsidRPr="00E73D4B">
        <w:t>Midlane</w:t>
      </w:r>
      <w:proofErr w:type="spellEnd"/>
      <w:r w:rsidRPr="00E73D4B">
        <w:t xml:space="preserve"> er fordelte til </w:t>
      </w:r>
      <w:proofErr w:type="spellStart"/>
      <w:r w:rsidRPr="00E73D4B">
        <w:t>kommunar</w:t>
      </w:r>
      <w:proofErr w:type="spellEnd"/>
      <w:r w:rsidRPr="00E73D4B">
        <w:t xml:space="preserve"> og </w:t>
      </w:r>
      <w:proofErr w:type="spellStart"/>
      <w:r w:rsidRPr="00E73D4B">
        <w:t>fylkeskommunar</w:t>
      </w:r>
      <w:proofErr w:type="spellEnd"/>
      <w:r w:rsidRPr="00E73D4B">
        <w:t xml:space="preserve"> som har hatt strenge smitteverntiltak over tid. Regjeringa jobbar òg for å styrke kunnskapsgrunnlaget om </w:t>
      </w:r>
      <w:proofErr w:type="spellStart"/>
      <w:r w:rsidRPr="00E73D4B">
        <w:t>konsekvensane</w:t>
      </w:r>
      <w:proofErr w:type="spellEnd"/>
      <w:r w:rsidRPr="00E73D4B">
        <w:t xml:space="preserve"> av pandemien for barn og unge, mellom anna gjennom </w:t>
      </w:r>
      <w:proofErr w:type="spellStart"/>
      <w:r w:rsidRPr="00E73D4B">
        <w:t>fleire</w:t>
      </w:r>
      <w:proofErr w:type="spellEnd"/>
      <w:r w:rsidRPr="00E73D4B">
        <w:t xml:space="preserve"> oppdrag til Utdanningsdirektoratet.</w:t>
      </w:r>
    </w:p>
    <w:p w14:paraId="1072E96E"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vedtaket med dette er </w:t>
      </w:r>
      <w:proofErr w:type="spellStart"/>
      <w:r w:rsidRPr="00E73D4B">
        <w:t>følgt</w:t>
      </w:r>
      <w:proofErr w:type="spellEnd"/>
      <w:r w:rsidRPr="00E73D4B">
        <w:t xml:space="preserve"> opp.</w:t>
      </w:r>
    </w:p>
    <w:p w14:paraId="2371ED2A" w14:textId="77777777" w:rsidR="00972395" w:rsidRPr="00E73D4B" w:rsidRDefault="00F120C7" w:rsidP="00E73D4B">
      <w:pPr>
        <w:pStyle w:val="avsnitt-tittel"/>
      </w:pPr>
      <w:r w:rsidRPr="00E73D4B">
        <w:t xml:space="preserve">Følge opp </w:t>
      </w:r>
      <w:proofErr w:type="spellStart"/>
      <w:r w:rsidRPr="00E73D4B">
        <w:t>intensjonane</w:t>
      </w:r>
      <w:proofErr w:type="spellEnd"/>
      <w:r w:rsidRPr="00E73D4B">
        <w:t xml:space="preserve"> om </w:t>
      </w:r>
      <w:proofErr w:type="spellStart"/>
      <w:r w:rsidRPr="00E73D4B">
        <w:t>berekraft</w:t>
      </w:r>
      <w:proofErr w:type="spellEnd"/>
      <w:r w:rsidRPr="00E73D4B">
        <w:t xml:space="preserve"> i </w:t>
      </w:r>
      <w:proofErr w:type="spellStart"/>
      <w:r w:rsidRPr="00E73D4B">
        <w:t>læreplanane</w:t>
      </w:r>
      <w:proofErr w:type="spellEnd"/>
    </w:p>
    <w:p w14:paraId="64A433AE" w14:textId="77777777" w:rsidR="00972395" w:rsidRPr="00E73D4B" w:rsidRDefault="00F120C7" w:rsidP="00E73D4B">
      <w:pPr>
        <w:pStyle w:val="avsnitt-undertittel"/>
      </w:pPr>
      <w:r w:rsidRPr="00E73D4B">
        <w:t>Vedtak nr. 526 (2021–2022), 3. mai 2022</w:t>
      </w:r>
    </w:p>
    <w:p w14:paraId="0A5F88BC" w14:textId="77777777" w:rsidR="00972395" w:rsidRPr="00E73D4B" w:rsidRDefault="00F120C7" w:rsidP="00E73D4B">
      <w:pPr>
        <w:pStyle w:val="blokksit"/>
        <w:rPr>
          <w:rStyle w:val="kursiv"/>
        </w:rPr>
      </w:pPr>
      <w:r w:rsidRPr="00E73D4B">
        <w:rPr>
          <w:rStyle w:val="kursiv"/>
        </w:rPr>
        <w:t>Stortinget ber regjeringen følge opp at intensjonene i læreplanene om bærekraft, som sirkulærøkonomi og gjenbruk innen demontering og bygg blir fulgt opp i fag- og yrkesopplæringen.</w:t>
      </w:r>
    </w:p>
    <w:p w14:paraId="0E0D44B4"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8:131 S (2021–2022) </w:t>
      </w:r>
      <w:r w:rsidRPr="00E73D4B">
        <w:rPr>
          <w:rStyle w:val="kursiv"/>
        </w:rPr>
        <w:t xml:space="preserve">Representantforslag fra stortingsrepresentantene Liv Kari Eskeland, Kari-Anne </w:t>
      </w:r>
      <w:proofErr w:type="spellStart"/>
      <w:r w:rsidRPr="00E73D4B">
        <w:rPr>
          <w:rStyle w:val="kursiv"/>
        </w:rPr>
        <w:t>Jønnes</w:t>
      </w:r>
      <w:proofErr w:type="spellEnd"/>
      <w:r w:rsidRPr="00E73D4B">
        <w:rPr>
          <w:rStyle w:val="kursiv"/>
        </w:rPr>
        <w:t xml:space="preserve"> og Mathilde Tybring-Gjedde, </w:t>
      </w:r>
      <w:r w:rsidRPr="00E73D4B">
        <w:t xml:space="preserve">jf. </w:t>
      </w:r>
      <w:proofErr w:type="spellStart"/>
      <w:r w:rsidRPr="00E73D4B">
        <w:t>Innst</w:t>
      </w:r>
      <w:proofErr w:type="spellEnd"/>
      <w:r w:rsidRPr="00E73D4B">
        <w:t>. 263 S (2021–2022).</w:t>
      </w:r>
    </w:p>
    <w:p w14:paraId="2E116DE8" w14:textId="77777777" w:rsidR="00972395" w:rsidRPr="00E73D4B" w:rsidRDefault="00F120C7" w:rsidP="00E73D4B">
      <w:r w:rsidRPr="00E73D4B">
        <w:t xml:space="preserve">I fagfornyinga er tre </w:t>
      </w:r>
      <w:proofErr w:type="spellStart"/>
      <w:r w:rsidRPr="00E73D4B">
        <w:t>tverrfaglege</w:t>
      </w:r>
      <w:proofErr w:type="spellEnd"/>
      <w:r w:rsidRPr="00E73D4B">
        <w:t xml:space="preserve"> tema </w:t>
      </w:r>
      <w:proofErr w:type="spellStart"/>
      <w:r w:rsidRPr="00E73D4B">
        <w:t>valde</w:t>
      </w:r>
      <w:proofErr w:type="spellEnd"/>
      <w:r w:rsidRPr="00E73D4B">
        <w:t xml:space="preserve"> ut fordi </w:t>
      </w:r>
      <w:proofErr w:type="spellStart"/>
      <w:r w:rsidRPr="00E73D4B">
        <w:t>dei</w:t>
      </w:r>
      <w:proofErr w:type="spellEnd"/>
      <w:r w:rsidRPr="00E73D4B">
        <w:t xml:space="preserve"> </w:t>
      </w:r>
      <w:proofErr w:type="spellStart"/>
      <w:r w:rsidRPr="00E73D4B">
        <w:t>handlar</w:t>
      </w:r>
      <w:proofErr w:type="spellEnd"/>
      <w:r w:rsidRPr="00E73D4B">
        <w:t xml:space="preserve"> om sentrale </w:t>
      </w:r>
      <w:proofErr w:type="spellStart"/>
      <w:r w:rsidRPr="00E73D4B">
        <w:t>samfunnsutfordringar</w:t>
      </w:r>
      <w:proofErr w:type="spellEnd"/>
      <w:r w:rsidRPr="00E73D4B">
        <w:t xml:space="preserve">. </w:t>
      </w:r>
      <w:proofErr w:type="spellStart"/>
      <w:r w:rsidRPr="00E73D4B">
        <w:t>Berekraftig</w:t>
      </w:r>
      <w:proofErr w:type="spellEnd"/>
      <w:r w:rsidRPr="00E73D4B">
        <w:t xml:space="preserve"> utvikling er det </w:t>
      </w:r>
      <w:proofErr w:type="spellStart"/>
      <w:r w:rsidRPr="00E73D4B">
        <w:t>eine</w:t>
      </w:r>
      <w:proofErr w:type="spellEnd"/>
      <w:r w:rsidRPr="00E73D4B">
        <w:t xml:space="preserve">. Dei to andre er folkehelse og </w:t>
      </w:r>
      <w:proofErr w:type="spellStart"/>
      <w:r w:rsidRPr="00E73D4B">
        <w:t>livsmeistring</w:t>
      </w:r>
      <w:proofErr w:type="spellEnd"/>
      <w:r w:rsidRPr="00E73D4B">
        <w:t xml:space="preserve"> og demokrati og </w:t>
      </w:r>
      <w:proofErr w:type="spellStart"/>
      <w:r w:rsidRPr="00E73D4B">
        <w:t>medborgarskap</w:t>
      </w:r>
      <w:proofErr w:type="spellEnd"/>
      <w:r w:rsidRPr="00E73D4B">
        <w:t xml:space="preserve">. Dei </w:t>
      </w:r>
      <w:proofErr w:type="spellStart"/>
      <w:r w:rsidRPr="00E73D4B">
        <w:t>tverrfaglege</w:t>
      </w:r>
      <w:proofErr w:type="spellEnd"/>
      <w:r w:rsidRPr="00E73D4B">
        <w:t xml:space="preserve"> </w:t>
      </w:r>
      <w:proofErr w:type="spellStart"/>
      <w:r w:rsidRPr="00E73D4B">
        <w:t>temaa</w:t>
      </w:r>
      <w:proofErr w:type="spellEnd"/>
      <w:r w:rsidRPr="00E73D4B">
        <w:t xml:space="preserve"> blir </w:t>
      </w:r>
      <w:proofErr w:type="spellStart"/>
      <w:r w:rsidRPr="00E73D4B">
        <w:t>spegla</w:t>
      </w:r>
      <w:proofErr w:type="spellEnd"/>
      <w:r w:rsidRPr="00E73D4B">
        <w:t xml:space="preserve"> i </w:t>
      </w:r>
      <w:proofErr w:type="spellStart"/>
      <w:r w:rsidRPr="00E73D4B">
        <w:t>læreplanane</w:t>
      </w:r>
      <w:proofErr w:type="spellEnd"/>
      <w:r w:rsidRPr="00E73D4B">
        <w:t xml:space="preserve"> og </w:t>
      </w:r>
      <w:proofErr w:type="spellStart"/>
      <w:r w:rsidRPr="00E73D4B">
        <w:t>arbeidd</w:t>
      </w:r>
      <w:proofErr w:type="spellEnd"/>
      <w:r w:rsidRPr="00E73D4B">
        <w:t xml:space="preserve"> med ut </w:t>
      </w:r>
      <w:proofErr w:type="spellStart"/>
      <w:r w:rsidRPr="00E73D4B">
        <w:t>frå</w:t>
      </w:r>
      <w:proofErr w:type="spellEnd"/>
      <w:r w:rsidRPr="00E73D4B">
        <w:t xml:space="preserve"> </w:t>
      </w:r>
      <w:proofErr w:type="spellStart"/>
      <w:r w:rsidRPr="00E73D4B">
        <w:t>premissane</w:t>
      </w:r>
      <w:proofErr w:type="spellEnd"/>
      <w:r w:rsidRPr="00E73D4B">
        <w:t xml:space="preserve"> til </w:t>
      </w:r>
      <w:proofErr w:type="spellStart"/>
      <w:r w:rsidRPr="00E73D4B">
        <w:t>dei</w:t>
      </w:r>
      <w:proofErr w:type="spellEnd"/>
      <w:r w:rsidRPr="00E73D4B">
        <w:t xml:space="preserve"> </w:t>
      </w:r>
      <w:proofErr w:type="spellStart"/>
      <w:r w:rsidRPr="00E73D4B">
        <w:t>einskilde</w:t>
      </w:r>
      <w:proofErr w:type="spellEnd"/>
      <w:r w:rsidRPr="00E73D4B">
        <w:t xml:space="preserve"> faga. </w:t>
      </w:r>
      <w:proofErr w:type="spellStart"/>
      <w:r w:rsidRPr="00E73D4B">
        <w:t>Læreplanane</w:t>
      </w:r>
      <w:proofErr w:type="spellEnd"/>
      <w:r w:rsidRPr="00E73D4B">
        <w:t xml:space="preserve"> er innførte </w:t>
      </w:r>
      <w:proofErr w:type="spellStart"/>
      <w:r w:rsidRPr="00E73D4B">
        <w:t>frå</w:t>
      </w:r>
      <w:proofErr w:type="spellEnd"/>
      <w:r w:rsidRPr="00E73D4B">
        <w:t xml:space="preserve"> </w:t>
      </w:r>
      <w:proofErr w:type="spellStart"/>
      <w:r w:rsidRPr="00E73D4B">
        <w:t>skuleåret</w:t>
      </w:r>
      <w:proofErr w:type="spellEnd"/>
      <w:r w:rsidRPr="00E73D4B">
        <w:t xml:space="preserve"> 2020–21. </w:t>
      </w:r>
      <w:proofErr w:type="spellStart"/>
      <w:r w:rsidRPr="00E73D4B">
        <w:t>Hausten</w:t>
      </w:r>
      <w:proofErr w:type="spellEnd"/>
      <w:r w:rsidRPr="00E73D4B">
        <w:t xml:space="preserve"> 2022 vil </w:t>
      </w:r>
      <w:proofErr w:type="spellStart"/>
      <w:r w:rsidRPr="00E73D4B">
        <w:t>dei</w:t>
      </w:r>
      <w:proofErr w:type="spellEnd"/>
      <w:r w:rsidRPr="00E73D4B">
        <w:t xml:space="preserve"> nye Vg3-planane bli </w:t>
      </w:r>
      <w:proofErr w:type="spellStart"/>
      <w:r w:rsidRPr="00E73D4B">
        <w:t>tekne</w:t>
      </w:r>
      <w:proofErr w:type="spellEnd"/>
      <w:r w:rsidRPr="00E73D4B">
        <w:t xml:space="preserve"> i bruk. Regjeringa </w:t>
      </w:r>
      <w:proofErr w:type="spellStart"/>
      <w:r w:rsidRPr="00E73D4B">
        <w:t>legg</w:t>
      </w:r>
      <w:proofErr w:type="spellEnd"/>
      <w:r w:rsidRPr="00E73D4B">
        <w:t xml:space="preserve"> til grunn at </w:t>
      </w:r>
      <w:proofErr w:type="spellStart"/>
      <w:r w:rsidRPr="00E73D4B">
        <w:t>læreplanar</w:t>
      </w:r>
      <w:proofErr w:type="spellEnd"/>
      <w:r w:rsidRPr="00E73D4B">
        <w:t xml:space="preserve"> og </w:t>
      </w:r>
      <w:proofErr w:type="spellStart"/>
      <w:r w:rsidRPr="00E73D4B">
        <w:t>intensjonane</w:t>
      </w:r>
      <w:proofErr w:type="spellEnd"/>
      <w:r w:rsidRPr="00E73D4B">
        <w:t xml:space="preserve"> bak </w:t>
      </w:r>
      <w:proofErr w:type="spellStart"/>
      <w:r w:rsidRPr="00E73D4B">
        <w:t>dei</w:t>
      </w:r>
      <w:proofErr w:type="spellEnd"/>
      <w:r w:rsidRPr="00E73D4B">
        <w:t xml:space="preserve"> blir </w:t>
      </w:r>
      <w:proofErr w:type="spellStart"/>
      <w:r w:rsidRPr="00E73D4B">
        <w:t>følgde</w:t>
      </w:r>
      <w:proofErr w:type="spellEnd"/>
      <w:r w:rsidRPr="00E73D4B">
        <w:t xml:space="preserve">. Det er òg mange lærefag som har viktig kompetanse </w:t>
      </w:r>
      <w:proofErr w:type="spellStart"/>
      <w:r w:rsidRPr="00E73D4B">
        <w:t>innan</w:t>
      </w:r>
      <w:proofErr w:type="spellEnd"/>
      <w:r w:rsidRPr="00E73D4B">
        <w:t xml:space="preserve"> gjenvinning og resirkulering. I mars 2022 blei </w:t>
      </w:r>
      <w:proofErr w:type="spellStart"/>
      <w:r w:rsidRPr="00E73D4B">
        <w:t>byggmontasjefaget</w:t>
      </w:r>
      <w:proofErr w:type="spellEnd"/>
      <w:r w:rsidRPr="00E73D4B">
        <w:t xml:space="preserve"> nytt lærefag. Faget </w:t>
      </w:r>
      <w:proofErr w:type="spellStart"/>
      <w:r w:rsidRPr="00E73D4B">
        <w:t>handlar</w:t>
      </w:r>
      <w:proofErr w:type="spellEnd"/>
      <w:r w:rsidRPr="00E73D4B">
        <w:t xml:space="preserve"> om å produsere nye </w:t>
      </w:r>
      <w:proofErr w:type="spellStart"/>
      <w:r w:rsidRPr="00E73D4B">
        <w:t>bygningar</w:t>
      </w:r>
      <w:proofErr w:type="spellEnd"/>
      <w:r w:rsidRPr="00E73D4B">
        <w:t xml:space="preserve"> og </w:t>
      </w:r>
      <w:proofErr w:type="spellStart"/>
      <w:r w:rsidRPr="00E73D4B">
        <w:t>konstruksjonar</w:t>
      </w:r>
      <w:proofErr w:type="spellEnd"/>
      <w:r w:rsidRPr="00E73D4B">
        <w:t xml:space="preserve"> og demontere </w:t>
      </w:r>
      <w:proofErr w:type="spellStart"/>
      <w:r w:rsidRPr="00E73D4B">
        <w:t>konstruksjonar</w:t>
      </w:r>
      <w:proofErr w:type="spellEnd"/>
      <w:r w:rsidRPr="00E73D4B">
        <w:t xml:space="preserve"> for ombruk i nye bygg.</w:t>
      </w:r>
    </w:p>
    <w:p w14:paraId="6DB21FD1"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 nr. 526 3. mai 2022 med dette er </w:t>
      </w:r>
      <w:proofErr w:type="spellStart"/>
      <w:r w:rsidRPr="00E73D4B">
        <w:t>følgt</w:t>
      </w:r>
      <w:proofErr w:type="spellEnd"/>
      <w:r w:rsidRPr="00E73D4B">
        <w:t xml:space="preserve"> opp.</w:t>
      </w:r>
    </w:p>
    <w:p w14:paraId="657B7A27" w14:textId="77777777" w:rsidR="00972395" w:rsidRPr="00E73D4B" w:rsidRDefault="00F120C7" w:rsidP="00E73D4B">
      <w:pPr>
        <w:pStyle w:val="avsnitt-tittel"/>
      </w:pPr>
      <w:proofErr w:type="spellStart"/>
      <w:r w:rsidRPr="00E73D4B">
        <w:t>Tilbod</w:t>
      </w:r>
      <w:proofErr w:type="spellEnd"/>
      <w:r w:rsidRPr="00E73D4B">
        <w:t xml:space="preserve"> til ukrainske barn før registrering og/eller </w:t>
      </w:r>
      <w:proofErr w:type="spellStart"/>
      <w:r w:rsidRPr="00E73D4B">
        <w:t>busetjing</w:t>
      </w:r>
      <w:proofErr w:type="spellEnd"/>
    </w:p>
    <w:p w14:paraId="4D0A134B" w14:textId="77777777" w:rsidR="00972395" w:rsidRPr="00E73D4B" w:rsidRDefault="00F120C7" w:rsidP="00E73D4B">
      <w:pPr>
        <w:pStyle w:val="avsnitt-undertittel"/>
      </w:pPr>
      <w:r w:rsidRPr="00E73D4B">
        <w:t>Vedtak 655 (2021–2022), 3. juni 2022</w:t>
      </w:r>
    </w:p>
    <w:p w14:paraId="1692F805" w14:textId="77777777" w:rsidR="00972395" w:rsidRPr="00E73D4B" w:rsidRDefault="00F120C7" w:rsidP="00E73D4B">
      <w:pPr>
        <w:pStyle w:val="blokksit"/>
        <w:rPr>
          <w:rStyle w:val="kursiv"/>
        </w:rPr>
      </w:pPr>
      <w:r w:rsidRPr="00E73D4B">
        <w:rPr>
          <w:rStyle w:val="kursiv"/>
        </w:rPr>
        <w:t>Stortinget ber regjeringen anmode kommunene om å tilby og legge til rette for barnehage, skole og fritidsaktiviteter for ukrainske barn i påvente av registrering og/eller bosetting. Kommunene vil bli fullt ut kompensert for disse kostnadene.</w:t>
      </w:r>
    </w:p>
    <w:p w14:paraId="1F418E24"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xml:space="preserve">. 107 L (2021–2022) </w:t>
      </w:r>
      <w:r w:rsidRPr="00E73D4B">
        <w:rPr>
          <w:rStyle w:val="kursiv"/>
        </w:rPr>
        <w:t xml:space="preserve">Midlertidige endringer i lovverket som følge av ankomst av fordrevne fra Ukraina, </w:t>
      </w:r>
      <w:r w:rsidRPr="00E73D4B">
        <w:t xml:space="preserve">jf. </w:t>
      </w:r>
      <w:proofErr w:type="spellStart"/>
      <w:r w:rsidRPr="00E73D4B">
        <w:t>Innst</w:t>
      </w:r>
      <w:proofErr w:type="spellEnd"/>
      <w:r w:rsidRPr="00E73D4B">
        <w:t>. 352 L (2021–2022).</w:t>
      </w:r>
    </w:p>
    <w:p w14:paraId="30F6C901" w14:textId="77777777" w:rsidR="00972395" w:rsidRPr="00E73D4B" w:rsidRDefault="00F120C7" w:rsidP="00E73D4B">
      <w:r w:rsidRPr="00E73D4B">
        <w:t xml:space="preserve">Det er i dag lagt til rette for at barn og unge skal ha </w:t>
      </w:r>
      <w:proofErr w:type="spellStart"/>
      <w:r w:rsidRPr="00E73D4B">
        <w:t>eit</w:t>
      </w:r>
      <w:proofErr w:type="spellEnd"/>
      <w:r w:rsidRPr="00E73D4B">
        <w:t xml:space="preserve"> </w:t>
      </w:r>
      <w:proofErr w:type="spellStart"/>
      <w:r w:rsidRPr="00E73D4B">
        <w:t>tilbod</w:t>
      </w:r>
      <w:proofErr w:type="spellEnd"/>
      <w:r w:rsidRPr="00E73D4B">
        <w:t xml:space="preserve"> om barnehage, </w:t>
      </w:r>
      <w:proofErr w:type="spellStart"/>
      <w:r w:rsidRPr="00E73D4B">
        <w:t>skule</w:t>
      </w:r>
      <w:proofErr w:type="spellEnd"/>
      <w:r w:rsidRPr="00E73D4B">
        <w:t xml:space="preserve"> og </w:t>
      </w:r>
      <w:proofErr w:type="spellStart"/>
      <w:r w:rsidRPr="00E73D4B">
        <w:t>fritidsaktivitetar</w:t>
      </w:r>
      <w:proofErr w:type="spellEnd"/>
      <w:r w:rsidRPr="00E73D4B">
        <w:t xml:space="preserve"> fram til </w:t>
      </w:r>
      <w:proofErr w:type="spellStart"/>
      <w:r w:rsidRPr="00E73D4B">
        <w:t>dei</w:t>
      </w:r>
      <w:proofErr w:type="spellEnd"/>
      <w:r w:rsidRPr="00E73D4B">
        <w:t xml:space="preserve"> er busette i </w:t>
      </w:r>
      <w:proofErr w:type="spellStart"/>
      <w:r w:rsidRPr="00E73D4B">
        <w:t>ein</w:t>
      </w:r>
      <w:proofErr w:type="spellEnd"/>
      <w:r w:rsidRPr="00E73D4B">
        <w:t xml:space="preserve"> kommune.</w:t>
      </w:r>
    </w:p>
    <w:p w14:paraId="068A019C" w14:textId="77777777" w:rsidR="00972395" w:rsidRPr="00E73D4B" w:rsidRDefault="00F120C7" w:rsidP="00E73D4B">
      <w:r w:rsidRPr="00E73D4B">
        <w:t xml:space="preserve">Det er ei rekke </w:t>
      </w:r>
      <w:proofErr w:type="spellStart"/>
      <w:r w:rsidRPr="00E73D4B">
        <w:t>ordningar</w:t>
      </w:r>
      <w:proofErr w:type="spellEnd"/>
      <w:r w:rsidRPr="00E73D4B">
        <w:t xml:space="preserve"> som kompenserer </w:t>
      </w:r>
      <w:proofErr w:type="spellStart"/>
      <w:r w:rsidRPr="00E73D4B">
        <w:t>kommunane</w:t>
      </w:r>
      <w:proofErr w:type="spellEnd"/>
      <w:r w:rsidRPr="00E73D4B">
        <w:t xml:space="preserve"> fram til </w:t>
      </w:r>
      <w:proofErr w:type="spellStart"/>
      <w:r w:rsidRPr="00E73D4B">
        <w:t>asylsøkarane</w:t>
      </w:r>
      <w:proofErr w:type="spellEnd"/>
      <w:r w:rsidRPr="00E73D4B">
        <w:t xml:space="preserve"> er busette. </w:t>
      </w:r>
      <w:proofErr w:type="spellStart"/>
      <w:r w:rsidRPr="00E73D4B">
        <w:t>Kommunar</w:t>
      </w:r>
      <w:proofErr w:type="spellEnd"/>
      <w:r w:rsidRPr="00E73D4B">
        <w:t xml:space="preserve"> som har asylmottak eller </w:t>
      </w:r>
      <w:proofErr w:type="spellStart"/>
      <w:r w:rsidRPr="00E73D4B">
        <w:t>eit</w:t>
      </w:r>
      <w:proofErr w:type="spellEnd"/>
      <w:r w:rsidRPr="00E73D4B">
        <w:t xml:space="preserve"> omsorgssenter for </w:t>
      </w:r>
      <w:proofErr w:type="spellStart"/>
      <w:r w:rsidRPr="00E73D4B">
        <w:t>einslege</w:t>
      </w:r>
      <w:proofErr w:type="spellEnd"/>
      <w:r w:rsidRPr="00E73D4B">
        <w:t xml:space="preserve"> mindreårige </w:t>
      </w:r>
      <w:proofErr w:type="spellStart"/>
      <w:r w:rsidRPr="00E73D4B">
        <w:t>asylsøkarar</w:t>
      </w:r>
      <w:proofErr w:type="spellEnd"/>
      <w:r w:rsidRPr="00E73D4B">
        <w:t xml:space="preserve">, får </w:t>
      </w:r>
      <w:proofErr w:type="spellStart"/>
      <w:r w:rsidRPr="00E73D4B">
        <w:t>eit</w:t>
      </w:r>
      <w:proofErr w:type="spellEnd"/>
      <w:r w:rsidRPr="00E73D4B">
        <w:t xml:space="preserve"> </w:t>
      </w:r>
      <w:proofErr w:type="spellStart"/>
      <w:r w:rsidRPr="00E73D4B">
        <w:t>vertskommunetilskot</w:t>
      </w:r>
      <w:proofErr w:type="spellEnd"/>
      <w:r w:rsidRPr="00E73D4B">
        <w:t xml:space="preserve">. </w:t>
      </w:r>
      <w:proofErr w:type="spellStart"/>
      <w:r w:rsidRPr="00E73D4B">
        <w:t>Kommunar</w:t>
      </w:r>
      <w:proofErr w:type="spellEnd"/>
      <w:r w:rsidRPr="00E73D4B">
        <w:t xml:space="preserve"> som inngår avtale med Utlendingsdirektoratet om mellombels alternativ mottaksplass får </w:t>
      </w:r>
      <w:proofErr w:type="spellStart"/>
      <w:r w:rsidRPr="00E73D4B">
        <w:t>eit</w:t>
      </w:r>
      <w:proofErr w:type="spellEnd"/>
      <w:r w:rsidRPr="00E73D4B">
        <w:t xml:space="preserve"> </w:t>
      </w:r>
      <w:proofErr w:type="spellStart"/>
      <w:r w:rsidRPr="00E73D4B">
        <w:t>månadleg</w:t>
      </w:r>
      <w:proofErr w:type="spellEnd"/>
      <w:r w:rsidRPr="00E73D4B">
        <w:t xml:space="preserve"> </w:t>
      </w:r>
      <w:proofErr w:type="spellStart"/>
      <w:r w:rsidRPr="00E73D4B">
        <w:t>tilskot</w:t>
      </w:r>
      <w:proofErr w:type="spellEnd"/>
      <w:r w:rsidRPr="00E73D4B">
        <w:t xml:space="preserve"> som skal dekke </w:t>
      </w:r>
      <w:proofErr w:type="spellStart"/>
      <w:r w:rsidRPr="00E73D4B">
        <w:t>buutgifter</w:t>
      </w:r>
      <w:proofErr w:type="spellEnd"/>
      <w:r w:rsidRPr="00E73D4B">
        <w:t xml:space="preserve"> og </w:t>
      </w:r>
      <w:proofErr w:type="spellStart"/>
      <w:r w:rsidRPr="00E73D4B">
        <w:t>ytingar</w:t>
      </w:r>
      <w:proofErr w:type="spellEnd"/>
      <w:r w:rsidRPr="00E73D4B">
        <w:t xml:space="preserve"> til </w:t>
      </w:r>
      <w:proofErr w:type="spellStart"/>
      <w:r w:rsidRPr="00E73D4B">
        <w:t>livsopphald</w:t>
      </w:r>
      <w:proofErr w:type="spellEnd"/>
      <w:r w:rsidRPr="00E73D4B">
        <w:t xml:space="preserve">, og </w:t>
      </w:r>
      <w:proofErr w:type="spellStart"/>
      <w:r w:rsidRPr="00E73D4B">
        <w:t>dessutan</w:t>
      </w:r>
      <w:proofErr w:type="spellEnd"/>
      <w:r w:rsidRPr="00E73D4B">
        <w:t xml:space="preserve"> barnehageplass dersom kommunen tilbyr det. Det blir i tillegg også gitt </w:t>
      </w:r>
      <w:proofErr w:type="spellStart"/>
      <w:r w:rsidRPr="00E73D4B">
        <w:t>tilskot</w:t>
      </w:r>
      <w:proofErr w:type="spellEnd"/>
      <w:r w:rsidRPr="00E73D4B">
        <w:t xml:space="preserve"> til </w:t>
      </w:r>
      <w:proofErr w:type="spellStart"/>
      <w:r w:rsidRPr="00E73D4B">
        <w:t>grunnskuleopplæring</w:t>
      </w:r>
      <w:proofErr w:type="spellEnd"/>
      <w:r w:rsidRPr="00E73D4B">
        <w:t xml:space="preserve"> til barn og unge som søker </w:t>
      </w:r>
      <w:proofErr w:type="spellStart"/>
      <w:r w:rsidRPr="00E73D4B">
        <w:t>opphald</w:t>
      </w:r>
      <w:proofErr w:type="spellEnd"/>
      <w:r w:rsidRPr="00E73D4B">
        <w:t xml:space="preserve"> i </w:t>
      </w:r>
      <w:proofErr w:type="spellStart"/>
      <w:r w:rsidRPr="00E73D4B">
        <w:t>Noreg</w:t>
      </w:r>
      <w:proofErr w:type="spellEnd"/>
      <w:r w:rsidRPr="00E73D4B">
        <w:t>.</w:t>
      </w:r>
    </w:p>
    <w:p w14:paraId="776C73C4" w14:textId="77777777" w:rsidR="00972395" w:rsidRPr="00E73D4B" w:rsidRDefault="00F120C7" w:rsidP="00E73D4B">
      <w:r w:rsidRPr="00E73D4B">
        <w:t xml:space="preserve">Barn som </w:t>
      </w:r>
      <w:proofErr w:type="spellStart"/>
      <w:r w:rsidRPr="00E73D4B">
        <w:t>oppheld</w:t>
      </w:r>
      <w:proofErr w:type="spellEnd"/>
      <w:r w:rsidRPr="00E73D4B">
        <w:t xml:space="preserve"> seg i </w:t>
      </w:r>
      <w:proofErr w:type="spellStart"/>
      <w:r w:rsidRPr="00E73D4B">
        <w:t>akuttinnkvarteringar</w:t>
      </w:r>
      <w:proofErr w:type="spellEnd"/>
      <w:r w:rsidRPr="00E73D4B">
        <w:t xml:space="preserve"> og ordinære mottak, kan få </w:t>
      </w:r>
      <w:proofErr w:type="spellStart"/>
      <w:r w:rsidRPr="00E73D4B">
        <w:t>tilbod</w:t>
      </w:r>
      <w:proofErr w:type="spellEnd"/>
      <w:r w:rsidRPr="00E73D4B">
        <w:t xml:space="preserve"> om heildagsplass i barnehage etter søknad </w:t>
      </w:r>
      <w:proofErr w:type="spellStart"/>
      <w:r w:rsidRPr="00E73D4B">
        <w:t>frå</w:t>
      </w:r>
      <w:proofErr w:type="spellEnd"/>
      <w:r w:rsidRPr="00E73D4B">
        <w:t xml:space="preserve"> mottaka. </w:t>
      </w:r>
      <w:proofErr w:type="spellStart"/>
      <w:r w:rsidRPr="00E73D4B">
        <w:t>Frå</w:t>
      </w:r>
      <w:proofErr w:type="spellEnd"/>
      <w:r w:rsidRPr="00E73D4B">
        <w:t xml:space="preserve"> 2021 blir det gitt </w:t>
      </w:r>
      <w:proofErr w:type="spellStart"/>
      <w:r w:rsidRPr="00E73D4B">
        <w:t>tilskot</w:t>
      </w:r>
      <w:proofErr w:type="spellEnd"/>
      <w:r w:rsidRPr="00E73D4B">
        <w:t xml:space="preserve"> til heildagsplass i barnehage for alle barn i asylmottak </w:t>
      </w:r>
      <w:proofErr w:type="spellStart"/>
      <w:r w:rsidRPr="00E73D4B">
        <w:t>frå</w:t>
      </w:r>
      <w:proofErr w:type="spellEnd"/>
      <w:r w:rsidRPr="00E73D4B">
        <w:t xml:space="preserve"> </w:t>
      </w:r>
      <w:proofErr w:type="spellStart"/>
      <w:r w:rsidRPr="00E73D4B">
        <w:t>eitt</w:t>
      </w:r>
      <w:proofErr w:type="spellEnd"/>
      <w:r w:rsidRPr="00E73D4B">
        <w:t xml:space="preserve"> år og oppover. </w:t>
      </w:r>
      <w:proofErr w:type="spellStart"/>
      <w:r w:rsidRPr="00E73D4B">
        <w:t>Tilskotet</w:t>
      </w:r>
      <w:proofErr w:type="spellEnd"/>
      <w:r w:rsidRPr="00E73D4B">
        <w:t xml:space="preserve"> inkluderer foreldrebetaling og </w:t>
      </w:r>
      <w:proofErr w:type="spellStart"/>
      <w:r w:rsidRPr="00E73D4B">
        <w:t>kostpengar</w:t>
      </w:r>
      <w:proofErr w:type="spellEnd"/>
      <w:r w:rsidRPr="00E73D4B">
        <w:t xml:space="preserve">. Om barn i asylmottak får </w:t>
      </w:r>
      <w:proofErr w:type="spellStart"/>
      <w:r w:rsidRPr="00E73D4B">
        <w:t>tilbod</w:t>
      </w:r>
      <w:proofErr w:type="spellEnd"/>
      <w:r w:rsidRPr="00E73D4B">
        <w:t xml:space="preserve"> om barnehageplass i den aktuelle kommunen, er avhengig av barnehagekapasiteten i kommunen eller </w:t>
      </w:r>
      <w:proofErr w:type="spellStart"/>
      <w:r w:rsidRPr="00E73D4B">
        <w:t>moglegheita</w:t>
      </w:r>
      <w:proofErr w:type="spellEnd"/>
      <w:r w:rsidRPr="00E73D4B">
        <w:t xml:space="preserve"> for raskt å oppskalere </w:t>
      </w:r>
      <w:proofErr w:type="spellStart"/>
      <w:r w:rsidRPr="00E73D4B">
        <w:t>tilbodet</w:t>
      </w:r>
      <w:proofErr w:type="spellEnd"/>
      <w:r w:rsidRPr="00E73D4B">
        <w:t xml:space="preserve">. Kunnskapsdepartementet har </w:t>
      </w:r>
      <w:proofErr w:type="spellStart"/>
      <w:r w:rsidRPr="00E73D4B">
        <w:t>ikkje</w:t>
      </w:r>
      <w:proofErr w:type="spellEnd"/>
      <w:r w:rsidRPr="00E73D4B">
        <w:t xml:space="preserve"> </w:t>
      </w:r>
      <w:proofErr w:type="spellStart"/>
      <w:r w:rsidRPr="00E73D4B">
        <w:t>inngåande</w:t>
      </w:r>
      <w:proofErr w:type="spellEnd"/>
      <w:r w:rsidRPr="00E73D4B">
        <w:t xml:space="preserve"> kjennskap til barnehagekapasiteten i </w:t>
      </w:r>
      <w:proofErr w:type="spellStart"/>
      <w:r w:rsidRPr="00E73D4B">
        <w:t>dei</w:t>
      </w:r>
      <w:proofErr w:type="spellEnd"/>
      <w:r w:rsidRPr="00E73D4B">
        <w:t xml:space="preserve"> aktuelle </w:t>
      </w:r>
      <w:proofErr w:type="spellStart"/>
      <w:r w:rsidRPr="00E73D4B">
        <w:t>kommunane</w:t>
      </w:r>
      <w:proofErr w:type="spellEnd"/>
      <w:r w:rsidRPr="00E73D4B">
        <w:t>.</w:t>
      </w:r>
    </w:p>
    <w:p w14:paraId="16A22BF4" w14:textId="77777777" w:rsidR="00972395" w:rsidRPr="00E73D4B" w:rsidRDefault="00F120C7" w:rsidP="00E73D4B">
      <w:r w:rsidRPr="00E73D4B">
        <w:t xml:space="preserve">Retten til </w:t>
      </w:r>
      <w:proofErr w:type="spellStart"/>
      <w:r w:rsidRPr="00E73D4B">
        <w:t>grunnskuleopplæring</w:t>
      </w:r>
      <w:proofErr w:type="spellEnd"/>
      <w:r w:rsidRPr="00E73D4B">
        <w:t xml:space="preserve"> skal </w:t>
      </w:r>
      <w:proofErr w:type="spellStart"/>
      <w:r w:rsidRPr="00E73D4B">
        <w:t>oppfyllast</w:t>
      </w:r>
      <w:proofErr w:type="spellEnd"/>
      <w:r w:rsidRPr="00E73D4B">
        <w:t xml:space="preserve"> så raskt som </w:t>
      </w:r>
      <w:proofErr w:type="spellStart"/>
      <w:r w:rsidRPr="00E73D4B">
        <w:t>mogleg</w:t>
      </w:r>
      <w:proofErr w:type="spellEnd"/>
      <w:r w:rsidRPr="00E73D4B">
        <w:t xml:space="preserve"> og </w:t>
      </w:r>
      <w:proofErr w:type="spellStart"/>
      <w:r w:rsidRPr="00E73D4B">
        <w:t>seinast</w:t>
      </w:r>
      <w:proofErr w:type="spellEnd"/>
      <w:r w:rsidRPr="00E73D4B">
        <w:t xml:space="preserve"> </w:t>
      </w:r>
      <w:proofErr w:type="spellStart"/>
      <w:r w:rsidRPr="00E73D4B">
        <w:t>innan</w:t>
      </w:r>
      <w:proofErr w:type="spellEnd"/>
      <w:r w:rsidRPr="00E73D4B">
        <w:t xml:space="preserve"> tre </w:t>
      </w:r>
      <w:proofErr w:type="spellStart"/>
      <w:r w:rsidRPr="00E73D4B">
        <w:t>månader</w:t>
      </w:r>
      <w:proofErr w:type="spellEnd"/>
      <w:r w:rsidRPr="00E73D4B">
        <w:t xml:space="preserve"> etter at barnet har </w:t>
      </w:r>
      <w:proofErr w:type="spellStart"/>
      <w:r w:rsidRPr="00E73D4B">
        <w:t>kome</w:t>
      </w:r>
      <w:proofErr w:type="spellEnd"/>
      <w:r w:rsidRPr="00E73D4B">
        <w:t xml:space="preserve"> til </w:t>
      </w:r>
      <w:proofErr w:type="spellStart"/>
      <w:r w:rsidRPr="00E73D4B">
        <w:t>Noreg</w:t>
      </w:r>
      <w:proofErr w:type="spellEnd"/>
      <w:r w:rsidRPr="00E73D4B">
        <w:t xml:space="preserve">, jf. </w:t>
      </w:r>
      <w:proofErr w:type="spellStart"/>
      <w:r w:rsidRPr="00E73D4B">
        <w:t>Prop</w:t>
      </w:r>
      <w:proofErr w:type="spellEnd"/>
      <w:r w:rsidRPr="00E73D4B">
        <w:t xml:space="preserve"> 107 L (2021–2022). Fristen gjeld uavhengig av om barnet </w:t>
      </w:r>
      <w:proofErr w:type="spellStart"/>
      <w:r w:rsidRPr="00E73D4B">
        <w:t>oppheld</w:t>
      </w:r>
      <w:proofErr w:type="spellEnd"/>
      <w:r w:rsidRPr="00E73D4B">
        <w:t xml:space="preserve"> seg på asylmottak/omsorgssenter, er i alternativ mottaksplassering eller er busett.</w:t>
      </w:r>
    </w:p>
    <w:p w14:paraId="667CEBF5" w14:textId="77777777" w:rsidR="00972395" w:rsidRPr="00E73D4B" w:rsidRDefault="00F120C7" w:rsidP="00E73D4B">
      <w:r w:rsidRPr="00E73D4B">
        <w:t xml:space="preserve">Ved </w:t>
      </w:r>
      <w:proofErr w:type="spellStart"/>
      <w:r w:rsidRPr="00E73D4B">
        <w:t>behandlinga</w:t>
      </w:r>
      <w:proofErr w:type="spellEnd"/>
      <w:r w:rsidRPr="00E73D4B">
        <w:t xml:space="preserve"> av </w:t>
      </w:r>
      <w:proofErr w:type="spellStart"/>
      <w:r w:rsidRPr="00E73D4B">
        <w:t>Prop</w:t>
      </w:r>
      <w:proofErr w:type="spellEnd"/>
      <w:r w:rsidRPr="00E73D4B">
        <w:t xml:space="preserve">. 78 S (2021–2022) </w:t>
      </w:r>
      <w:r w:rsidRPr="00E73D4B">
        <w:rPr>
          <w:rStyle w:val="kursiv"/>
        </w:rPr>
        <w:t xml:space="preserve">Endringer i statsbudsjettet 2022 under Kunnskapsdepartementet, Kultur- og likestillingsdepartementet, Justis- og beredskapsdepartementet, Kommunal- og </w:t>
      </w:r>
      <w:proofErr w:type="spellStart"/>
      <w:r w:rsidRPr="00E73D4B">
        <w:rPr>
          <w:rStyle w:val="kursiv"/>
        </w:rPr>
        <w:t>distriktsdepartementet</w:t>
      </w:r>
      <w:proofErr w:type="spellEnd"/>
      <w:r w:rsidRPr="00E73D4B">
        <w:rPr>
          <w:rStyle w:val="kursiv"/>
        </w:rPr>
        <w:t>, Arbeids- og inkluderingsdepartementet, Helse- og omsorgsdepartementet, Barne- og familiedepartementet, Nærings- og fiskeridepartementet, Finansdepartementet og Forsvarsdepartementet (økonomiske tiltak som følge av krigen i Ukraina)</w:t>
      </w:r>
      <w:r w:rsidRPr="00E73D4B">
        <w:t xml:space="preserve"> blei det løyvd 50 mill. kroner som </w:t>
      </w:r>
      <w:proofErr w:type="spellStart"/>
      <w:r w:rsidRPr="00E73D4B">
        <w:t>eit</w:t>
      </w:r>
      <w:proofErr w:type="spellEnd"/>
      <w:r w:rsidRPr="00E73D4B">
        <w:t xml:space="preserve"> mellombels </w:t>
      </w:r>
      <w:proofErr w:type="spellStart"/>
      <w:r w:rsidRPr="00E73D4B">
        <w:t>tilskot</w:t>
      </w:r>
      <w:proofErr w:type="spellEnd"/>
      <w:r w:rsidRPr="00E73D4B">
        <w:t xml:space="preserve"> til frivillige </w:t>
      </w:r>
      <w:proofErr w:type="spellStart"/>
      <w:r w:rsidRPr="00E73D4B">
        <w:t>organisasjonar</w:t>
      </w:r>
      <w:proofErr w:type="spellEnd"/>
      <w:r w:rsidRPr="00E73D4B">
        <w:t xml:space="preserve"> i samband med </w:t>
      </w:r>
      <w:proofErr w:type="spellStart"/>
      <w:r w:rsidRPr="00E73D4B">
        <w:t>fordrivne</w:t>
      </w:r>
      <w:proofErr w:type="spellEnd"/>
      <w:r w:rsidRPr="00E73D4B">
        <w:t xml:space="preserve"> </w:t>
      </w:r>
      <w:proofErr w:type="spellStart"/>
      <w:r w:rsidRPr="00E73D4B">
        <w:t>personar</w:t>
      </w:r>
      <w:proofErr w:type="spellEnd"/>
      <w:r w:rsidRPr="00E73D4B">
        <w:t xml:space="preserve"> </w:t>
      </w:r>
      <w:proofErr w:type="spellStart"/>
      <w:r w:rsidRPr="00E73D4B">
        <w:t>frå</w:t>
      </w:r>
      <w:proofErr w:type="spellEnd"/>
      <w:r w:rsidRPr="00E73D4B">
        <w:t xml:space="preserve"> krigen i Ukraina som er komne til </w:t>
      </w:r>
      <w:proofErr w:type="spellStart"/>
      <w:r w:rsidRPr="00E73D4B">
        <w:t>Noreg</w:t>
      </w:r>
      <w:proofErr w:type="spellEnd"/>
      <w:r w:rsidRPr="00E73D4B">
        <w:t xml:space="preserve">. </w:t>
      </w:r>
      <w:proofErr w:type="spellStart"/>
      <w:r w:rsidRPr="00E73D4B">
        <w:t>Tilskotet</w:t>
      </w:r>
      <w:proofErr w:type="spellEnd"/>
      <w:r w:rsidRPr="00E73D4B">
        <w:t xml:space="preserve"> skal gå til frivillige </w:t>
      </w:r>
      <w:proofErr w:type="spellStart"/>
      <w:r w:rsidRPr="00E73D4B">
        <w:t>organisasjonar</w:t>
      </w:r>
      <w:proofErr w:type="spellEnd"/>
      <w:r w:rsidRPr="00E73D4B">
        <w:t xml:space="preserve"> som tilbyr </w:t>
      </w:r>
      <w:proofErr w:type="spellStart"/>
      <w:r w:rsidRPr="00E73D4B">
        <w:t>aktivitetar</w:t>
      </w:r>
      <w:proofErr w:type="spellEnd"/>
      <w:r w:rsidRPr="00E73D4B">
        <w:t xml:space="preserve"> for </w:t>
      </w:r>
      <w:proofErr w:type="spellStart"/>
      <w:r w:rsidRPr="00E73D4B">
        <w:t>bebuarane</w:t>
      </w:r>
      <w:proofErr w:type="spellEnd"/>
      <w:r w:rsidRPr="00E73D4B">
        <w:t xml:space="preserve"> i asylmottak og ved </w:t>
      </w:r>
      <w:proofErr w:type="spellStart"/>
      <w:r w:rsidRPr="00E73D4B">
        <w:t>busetjing</w:t>
      </w:r>
      <w:proofErr w:type="spellEnd"/>
      <w:r w:rsidRPr="00E73D4B">
        <w:t xml:space="preserve"> i </w:t>
      </w:r>
      <w:proofErr w:type="spellStart"/>
      <w:r w:rsidRPr="00E73D4B">
        <w:t>kommunane</w:t>
      </w:r>
      <w:proofErr w:type="spellEnd"/>
      <w:r w:rsidRPr="00E73D4B">
        <w:t xml:space="preserve">. Regjeringa har i møter med KS informert om </w:t>
      </w:r>
      <w:proofErr w:type="spellStart"/>
      <w:r w:rsidRPr="00E73D4B">
        <w:t>tilskotet</w:t>
      </w:r>
      <w:proofErr w:type="spellEnd"/>
      <w:r w:rsidRPr="00E73D4B">
        <w:t xml:space="preserve"> og oppfordra til samarbeid mellom </w:t>
      </w:r>
      <w:proofErr w:type="spellStart"/>
      <w:r w:rsidRPr="00E73D4B">
        <w:t>kommunane</w:t>
      </w:r>
      <w:proofErr w:type="spellEnd"/>
      <w:r w:rsidRPr="00E73D4B">
        <w:t xml:space="preserve"> og </w:t>
      </w:r>
      <w:proofErr w:type="spellStart"/>
      <w:r w:rsidRPr="00E73D4B">
        <w:t>dei</w:t>
      </w:r>
      <w:proofErr w:type="spellEnd"/>
      <w:r w:rsidRPr="00E73D4B">
        <w:t xml:space="preserve"> frivillige </w:t>
      </w:r>
      <w:proofErr w:type="spellStart"/>
      <w:r w:rsidRPr="00E73D4B">
        <w:t>organisasjonane</w:t>
      </w:r>
      <w:proofErr w:type="spellEnd"/>
      <w:r w:rsidRPr="00E73D4B">
        <w:t xml:space="preserve"> i arbeidet med å legge til rette og gjennomføre </w:t>
      </w:r>
      <w:proofErr w:type="spellStart"/>
      <w:r w:rsidRPr="00E73D4B">
        <w:t>fritidstilbodet</w:t>
      </w:r>
      <w:proofErr w:type="spellEnd"/>
      <w:r w:rsidRPr="00E73D4B">
        <w:t xml:space="preserve">. Mottaka har </w:t>
      </w:r>
      <w:proofErr w:type="spellStart"/>
      <w:r w:rsidRPr="00E73D4B">
        <w:t>eit</w:t>
      </w:r>
      <w:proofErr w:type="spellEnd"/>
      <w:r w:rsidRPr="00E73D4B">
        <w:t xml:space="preserve"> kontraktsfesta ansvar for å legge til rette for at frivillige </w:t>
      </w:r>
      <w:proofErr w:type="spellStart"/>
      <w:r w:rsidRPr="00E73D4B">
        <w:t>organisasjonar</w:t>
      </w:r>
      <w:proofErr w:type="spellEnd"/>
      <w:r w:rsidRPr="00E73D4B">
        <w:t xml:space="preserve"> kan gjennomføre slike </w:t>
      </w:r>
      <w:proofErr w:type="spellStart"/>
      <w:r w:rsidRPr="00E73D4B">
        <w:t>aktivitetar</w:t>
      </w:r>
      <w:proofErr w:type="spellEnd"/>
      <w:r w:rsidRPr="00E73D4B">
        <w:t xml:space="preserve"> og </w:t>
      </w:r>
      <w:proofErr w:type="spellStart"/>
      <w:r w:rsidRPr="00E73D4B">
        <w:t>fritidstilbod</w:t>
      </w:r>
      <w:proofErr w:type="spellEnd"/>
      <w:r w:rsidRPr="00E73D4B">
        <w:t xml:space="preserve"> for </w:t>
      </w:r>
      <w:proofErr w:type="spellStart"/>
      <w:r w:rsidRPr="00E73D4B">
        <w:t>bebuarane</w:t>
      </w:r>
      <w:proofErr w:type="spellEnd"/>
      <w:r w:rsidRPr="00E73D4B">
        <w:t xml:space="preserve"> i mottaka.</w:t>
      </w:r>
    </w:p>
    <w:p w14:paraId="6174F84F" w14:textId="77777777" w:rsidR="00972395" w:rsidRPr="00E73D4B" w:rsidRDefault="00F120C7" w:rsidP="00E73D4B">
      <w:r w:rsidRPr="00E73D4B">
        <w:t xml:space="preserve">Utlendingsdirektoratet </w:t>
      </w:r>
      <w:proofErr w:type="spellStart"/>
      <w:r w:rsidRPr="00E73D4B">
        <w:t>forvaltar</w:t>
      </w:r>
      <w:proofErr w:type="spellEnd"/>
      <w:r w:rsidRPr="00E73D4B">
        <w:t xml:space="preserve"> ei </w:t>
      </w:r>
      <w:proofErr w:type="spellStart"/>
      <w:r w:rsidRPr="00E73D4B">
        <w:t>tilskotsordning</w:t>
      </w:r>
      <w:proofErr w:type="spellEnd"/>
      <w:r w:rsidRPr="00E73D4B">
        <w:t xml:space="preserve"> til </w:t>
      </w:r>
      <w:proofErr w:type="spellStart"/>
      <w:r w:rsidRPr="00E73D4B">
        <w:t>aktivitetar</w:t>
      </w:r>
      <w:proofErr w:type="spellEnd"/>
      <w:r w:rsidRPr="00E73D4B">
        <w:t xml:space="preserve"> for barn og unge i mottak. </w:t>
      </w:r>
      <w:proofErr w:type="spellStart"/>
      <w:r w:rsidRPr="00E73D4B">
        <w:t>Aktivitetane</w:t>
      </w:r>
      <w:proofErr w:type="spellEnd"/>
      <w:r w:rsidRPr="00E73D4B">
        <w:t xml:space="preserve"> som får </w:t>
      </w:r>
      <w:proofErr w:type="spellStart"/>
      <w:r w:rsidRPr="00E73D4B">
        <w:t>tilskot</w:t>
      </w:r>
      <w:proofErr w:type="spellEnd"/>
      <w:r w:rsidRPr="00E73D4B">
        <w:t xml:space="preserve">, skal </w:t>
      </w:r>
      <w:proofErr w:type="spellStart"/>
      <w:r w:rsidRPr="00E73D4B">
        <w:t>vere</w:t>
      </w:r>
      <w:proofErr w:type="spellEnd"/>
      <w:r w:rsidRPr="00E73D4B">
        <w:t xml:space="preserve"> tilpassa alderen, behova og interessene til barna og bidra til at barna får </w:t>
      </w:r>
      <w:proofErr w:type="spellStart"/>
      <w:r w:rsidRPr="00E73D4B">
        <w:t>ein</w:t>
      </w:r>
      <w:proofErr w:type="spellEnd"/>
      <w:r w:rsidRPr="00E73D4B">
        <w:t xml:space="preserve"> </w:t>
      </w:r>
      <w:proofErr w:type="spellStart"/>
      <w:r w:rsidRPr="00E73D4B">
        <w:t>meir</w:t>
      </w:r>
      <w:proofErr w:type="spellEnd"/>
      <w:r w:rsidRPr="00E73D4B">
        <w:t xml:space="preserve"> meiningsfull </w:t>
      </w:r>
      <w:proofErr w:type="spellStart"/>
      <w:r w:rsidRPr="00E73D4B">
        <w:t>kvardag</w:t>
      </w:r>
      <w:proofErr w:type="spellEnd"/>
      <w:r w:rsidRPr="00E73D4B">
        <w:t>.</w:t>
      </w:r>
    </w:p>
    <w:p w14:paraId="5F66D486" w14:textId="77777777" w:rsidR="00972395" w:rsidRPr="00E73D4B" w:rsidRDefault="00F120C7" w:rsidP="00E73D4B">
      <w:r w:rsidRPr="00E73D4B">
        <w:t xml:space="preserve">Samla sett meiner departementet at det er tiltak som gjeld barnehage, </w:t>
      </w:r>
      <w:proofErr w:type="spellStart"/>
      <w:r w:rsidRPr="00E73D4B">
        <w:t>skule</w:t>
      </w:r>
      <w:proofErr w:type="spellEnd"/>
      <w:r w:rsidRPr="00E73D4B">
        <w:t xml:space="preserve"> og </w:t>
      </w:r>
      <w:proofErr w:type="spellStart"/>
      <w:r w:rsidRPr="00E73D4B">
        <w:t>fritidsaktivitetar</w:t>
      </w:r>
      <w:proofErr w:type="spellEnd"/>
      <w:r w:rsidRPr="00E73D4B">
        <w:t xml:space="preserve"> for ukrainske barn i påvente av registrering og/eller </w:t>
      </w:r>
      <w:proofErr w:type="spellStart"/>
      <w:r w:rsidRPr="00E73D4B">
        <w:t>busetjing</w:t>
      </w:r>
      <w:proofErr w:type="spellEnd"/>
      <w:r w:rsidRPr="00E73D4B">
        <w:t xml:space="preserve"> for at </w:t>
      </w:r>
      <w:proofErr w:type="spellStart"/>
      <w:r w:rsidRPr="00E73D4B">
        <w:t>dei</w:t>
      </w:r>
      <w:proofErr w:type="spellEnd"/>
      <w:r w:rsidRPr="00E73D4B">
        <w:t xml:space="preserve"> skal få </w:t>
      </w:r>
      <w:proofErr w:type="spellStart"/>
      <w:r w:rsidRPr="00E73D4B">
        <w:t>eit</w:t>
      </w:r>
      <w:proofErr w:type="spellEnd"/>
      <w:r w:rsidRPr="00E73D4B">
        <w:t xml:space="preserve"> </w:t>
      </w:r>
      <w:proofErr w:type="spellStart"/>
      <w:r w:rsidRPr="00E73D4B">
        <w:t>tilfredsstillande</w:t>
      </w:r>
      <w:proofErr w:type="spellEnd"/>
      <w:r w:rsidRPr="00E73D4B">
        <w:t xml:space="preserve"> </w:t>
      </w:r>
      <w:proofErr w:type="spellStart"/>
      <w:r w:rsidRPr="00E73D4B">
        <w:t>tilbod</w:t>
      </w:r>
      <w:proofErr w:type="spellEnd"/>
      <w:r w:rsidRPr="00E73D4B">
        <w:t xml:space="preserve"> i tråd med oppmodingsvedtaket. Departementet vil følge med på utviklinga framover.</w:t>
      </w:r>
    </w:p>
    <w:p w14:paraId="06F4131E"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vedtaket med dette er </w:t>
      </w:r>
      <w:proofErr w:type="spellStart"/>
      <w:r w:rsidRPr="00E73D4B">
        <w:t>følgt</w:t>
      </w:r>
      <w:proofErr w:type="spellEnd"/>
      <w:r w:rsidRPr="00E73D4B">
        <w:t xml:space="preserve"> opp.</w:t>
      </w:r>
    </w:p>
    <w:p w14:paraId="5C8E11BB" w14:textId="77777777" w:rsidR="00972395" w:rsidRPr="00E73D4B" w:rsidRDefault="00F120C7" w:rsidP="00E73D4B">
      <w:pPr>
        <w:pStyle w:val="Overskrift2"/>
      </w:pPr>
      <w:r w:rsidRPr="00E73D4B">
        <w:t>Stortingssesjon 2020–2021</w:t>
      </w:r>
    </w:p>
    <w:p w14:paraId="514B16BD" w14:textId="77777777" w:rsidR="00972395" w:rsidRPr="00E73D4B" w:rsidRDefault="00F120C7" w:rsidP="00E73D4B">
      <w:pPr>
        <w:pStyle w:val="Undertittel"/>
      </w:pPr>
      <w:r w:rsidRPr="00E73D4B">
        <w:t>Oppmodingsvedtak under kunnskapsministeren</w:t>
      </w:r>
    </w:p>
    <w:p w14:paraId="48B42867" w14:textId="77777777" w:rsidR="00972395" w:rsidRPr="00E73D4B" w:rsidRDefault="00F120C7" w:rsidP="00E73D4B">
      <w:pPr>
        <w:pStyle w:val="avsnitt-tittel"/>
      </w:pPr>
      <w:r w:rsidRPr="00E73D4B">
        <w:t xml:space="preserve">Politiattest for </w:t>
      </w:r>
      <w:proofErr w:type="spellStart"/>
      <w:r w:rsidRPr="00E73D4B">
        <w:t>tilsetjing</w:t>
      </w:r>
      <w:proofErr w:type="spellEnd"/>
      <w:r w:rsidRPr="00E73D4B">
        <w:t xml:space="preserve"> i </w:t>
      </w:r>
      <w:proofErr w:type="spellStart"/>
      <w:r w:rsidRPr="00E73D4B">
        <w:t>skular</w:t>
      </w:r>
      <w:proofErr w:type="spellEnd"/>
      <w:r w:rsidRPr="00E73D4B">
        <w:t xml:space="preserve"> og </w:t>
      </w:r>
      <w:proofErr w:type="spellStart"/>
      <w:r w:rsidRPr="00E73D4B">
        <w:t>barnehagar</w:t>
      </w:r>
      <w:proofErr w:type="spellEnd"/>
    </w:p>
    <w:p w14:paraId="427EC5CB" w14:textId="77777777" w:rsidR="00972395" w:rsidRPr="00E73D4B" w:rsidRDefault="00F120C7" w:rsidP="00E73D4B">
      <w:pPr>
        <w:pStyle w:val="avsnitt-undertittel"/>
      </w:pPr>
      <w:r w:rsidRPr="00E73D4B">
        <w:t>Vedtak nr. 79 (2020–2021), 12. november 2020</w:t>
      </w:r>
    </w:p>
    <w:p w14:paraId="1476D670" w14:textId="77777777" w:rsidR="00972395" w:rsidRPr="00E73D4B" w:rsidRDefault="00F120C7" w:rsidP="00E73D4B">
      <w:pPr>
        <w:pStyle w:val="blokksit"/>
        <w:rPr>
          <w:rStyle w:val="kursiv"/>
        </w:rPr>
      </w:pPr>
      <w:r w:rsidRPr="00E73D4B">
        <w:rPr>
          <w:rStyle w:val="kursiv"/>
        </w:rPr>
        <w:t>Stortinget ber regjeringen om å fremme forslag om nødvendige regelendringer slik at politiattesten gir et fullstendig bilde av søkeren og viser alle relevante lovbrudd i de tilfeller som gjelder ansettelsesforhold i skole, barnehage eller andre steder der kontakt med barn utgjør en viktig del av stillingen.</w:t>
      </w:r>
    </w:p>
    <w:p w14:paraId="2E0D4A6D"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8:113 S (2019–2020) </w:t>
      </w:r>
      <w:r w:rsidRPr="00E73D4B">
        <w:rPr>
          <w:rStyle w:val="kursiv"/>
        </w:rPr>
        <w:t xml:space="preserve">Representantforslag fra stortingsrepresentantene Hanne Dyveke </w:t>
      </w:r>
      <w:proofErr w:type="spellStart"/>
      <w:r w:rsidRPr="00E73D4B">
        <w:rPr>
          <w:rStyle w:val="kursiv"/>
        </w:rPr>
        <w:t>Søttar</w:t>
      </w:r>
      <w:proofErr w:type="spellEnd"/>
      <w:r w:rsidRPr="00E73D4B">
        <w:rPr>
          <w:rStyle w:val="kursiv"/>
        </w:rPr>
        <w:t xml:space="preserve">, Kari </w:t>
      </w:r>
      <w:proofErr w:type="spellStart"/>
      <w:r w:rsidRPr="00E73D4B">
        <w:rPr>
          <w:rStyle w:val="kursiv"/>
        </w:rPr>
        <w:t>Kjønaas</w:t>
      </w:r>
      <w:proofErr w:type="spellEnd"/>
      <w:r w:rsidRPr="00E73D4B">
        <w:rPr>
          <w:rStyle w:val="kursiv"/>
        </w:rPr>
        <w:t xml:space="preserve"> Kjos, Silje Hjemdal og Roy Steffensen om nødvendige regelendringer om politiattest for ansettelsesforhold i skoler og barnehager</w:t>
      </w:r>
      <w:r w:rsidRPr="00E73D4B">
        <w:t xml:space="preserve">, jf. </w:t>
      </w:r>
      <w:proofErr w:type="spellStart"/>
      <w:r w:rsidRPr="00E73D4B">
        <w:t>Innst</w:t>
      </w:r>
      <w:proofErr w:type="spellEnd"/>
      <w:r w:rsidRPr="00E73D4B">
        <w:t>. 64 S (2020–2021).</w:t>
      </w:r>
    </w:p>
    <w:p w14:paraId="4EECF2DE" w14:textId="77777777" w:rsidR="00972395" w:rsidRPr="00E73D4B" w:rsidRDefault="00F120C7" w:rsidP="00E73D4B">
      <w:proofErr w:type="spellStart"/>
      <w:r w:rsidRPr="00E73D4B">
        <w:t>Opplæringslovutvalet</w:t>
      </w:r>
      <w:proofErr w:type="spellEnd"/>
      <w:r w:rsidRPr="00E73D4B">
        <w:t xml:space="preserve"> foreslo i NOU 2019: 3 </w:t>
      </w:r>
      <w:r w:rsidRPr="00E73D4B">
        <w:rPr>
          <w:rStyle w:val="kursiv"/>
        </w:rPr>
        <w:t xml:space="preserve">Ny opplæringslov </w:t>
      </w:r>
      <w:r w:rsidRPr="00E73D4B">
        <w:t xml:space="preserve">å utvide kva for straffbare forhold som skal </w:t>
      </w:r>
      <w:proofErr w:type="spellStart"/>
      <w:r w:rsidRPr="00E73D4B">
        <w:t>kome</w:t>
      </w:r>
      <w:proofErr w:type="spellEnd"/>
      <w:r w:rsidRPr="00E73D4B">
        <w:t xml:space="preserve"> fram på </w:t>
      </w:r>
      <w:proofErr w:type="spellStart"/>
      <w:r w:rsidRPr="00E73D4B">
        <w:t>ein</w:t>
      </w:r>
      <w:proofErr w:type="spellEnd"/>
      <w:r w:rsidRPr="00E73D4B">
        <w:t xml:space="preserve"> politiattest i </w:t>
      </w:r>
      <w:proofErr w:type="spellStart"/>
      <w:r w:rsidRPr="00E73D4B">
        <w:t>skulen</w:t>
      </w:r>
      <w:proofErr w:type="spellEnd"/>
      <w:r w:rsidRPr="00E73D4B">
        <w:t xml:space="preserve">. </w:t>
      </w:r>
      <w:proofErr w:type="spellStart"/>
      <w:r w:rsidRPr="00E73D4B">
        <w:t>Utvalet</w:t>
      </w:r>
      <w:proofErr w:type="spellEnd"/>
      <w:r w:rsidRPr="00E73D4B">
        <w:t xml:space="preserve"> foreslo at </w:t>
      </w:r>
      <w:proofErr w:type="spellStart"/>
      <w:r w:rsidRPr="00E73D4B">
        <w:t>ein</w:t>
      </w:r>
      <w:proofErr w:type="spellEnd"/>
      <w:r w:rsidRPr="00E73D4B">
        <w:t xml:space="preserve"> del </w:t>
      </w:r>
      <w:proofErr w:type="spellStart"/>
      <w:r w:rsidRPr="00E73D4B">
        <w:t>valdslovbrot</w:t>
      </w:r>
      <w:proofErr w:type="spellEnd"/>
      <w:r w:rsidRPr="00E73D4B">
        <w:t xml:space="preserve"> som </w:t>
      </w:r>
      <w:proofErr w:type="spellStart"/>
      <w:r w:rsidRPr="00E73D4B">
        <w:t>ikkje</w:t>
      </w:r>
      <w:proofErr w:type="spellEnd"/>
      <w:r w:rsidRPr="00E73D4B">
        <w:t xml:space="preserve"> kjem fram i dag, fridomsrøving, tvang, kjønnslemlesting, </w:t>
      </w:r>
      <w:proofErr w:type="spellStart"/>
      <w:r w:rsidRPr="00E73D4B">
        <w:t>brot</w:t>
      </w:r>
      <w:proofErr w:type="spellEnd"/>
      <w:r w:rsidRPr="00E73D4B">
        <w:t xml:space="preserve"> på teieplikt og </w:t>
      </w:r>
      <w:proofErr w:type="spellStart"/>
      <w:r w:rsidRPr="00E73D4B">
        <w:t>brot</w:t>
      </w:r>
      <w:proofErr w:type="spellEnd"/>
      <w:r w:rsidRPr="00E73D4B">
        <w:t xml:space="preserve"> på </w:t>
      </w:r>
      <w:proofErr w:type="spellStart"/>
      <w:r w:rsidRPr="00E73D4B">
        <w:t>avverjingsplikta</w:t>
      </w:r>
      <w:proofErr w:type="spellEnd"/>
      <w:r w:rsidRPr="00E73D4B">
        <w:t xml:space="preserve">, skal </w:t>
      </w:r>
      <w:proofErr w:type="spellStart"/>
      <w:r w:rsidRPr="00E73D4B">
        <w:t>vere</w:t>
      </w:r>
      <w:proofErr w:type="spellEnd"/>
      <w:r w:rsidRPr="00E73D4B">
        <w:t xml:space="preserve"> omfatta. Utgreiinga har </w:t>
      </w:r>
      <w:proofErr w:type="spellStart"/>
      <w:r w:rsidRPr="00E73D4B">
        <w:t>vore</w:t>
      </w:r>
      <w:proofErr w:type="spellEnd"/>
      <w:r w:rsidRPr="00E73D4B">
        <w:t xml:space="preserve"> på </w:t>
      </w:r>
      <w:proofErr w:type="spellStart"/>
      <w:r w:rsidRPr="00E73D4B">
        <w:t>offentleg</w:t>
      </w:r>
      <w:proofErr w:type="spellEnd"/>
      <w:r w:rsidRPr="00E73D4B">
        <w:t xml:space="preserve"> </w:t>
      </w:r>
      <w:proofErr w:type="spellStart"/>
      <w:r w:rsidRPr="00E73D4B">
        <w:t>høyring</w:t>
      </w:r>
      <w:proofErr w:type="spellEnd"/>
      <w:r w:rsidRPr="00E73D4B">
        <w:t xml:space="preserve">, og departementet har </w:t>
      </w:r>
      <w:proofErr w:type="spellStart"/>
      <w:r w:rsidRPr="00E73D4B">
        <w:t>følgt</w:t>
      </w:r>
      <w:proofErr w:type="spellEnd"/>
      <w:r w:rsidRPr="00E73D4B">
        <w:t xml:space="preserve"> opp forslaget </w:t>
      </w:r>
      <w:proofErr w:type="spellStart"/>
      <w:r w:rsidRPr="00E73D4B">
        <w:t>frå</w:t>
      </w:r>
      <w:proofErr w:type="spellEnd"/>
      <w:r w:rsidRPr="00E73D4B">
        <w:t xml:space="preserve"> </w:t>
      </w:r>
      <w:proofErr w:type="spellStart"/>
      <w:r w:rsidRPr="00E73D4B">
        <w:t>utvalet</w:t>
      </w:r>
      <w:proofErr w:type="spellEnd"/>
      <w:r w:rsidRPr="00E73D4B">
        <w:t xml:space="preserve"> i forslag til ei ny opplæringslov som blei send på </w:t>
      </w:r>
      <w:proofErr w:type="spellStart"/>
      <w:r w:rsidRPr="00E73D4B">
        <w:t>høyring</w:t>
      </w:r>
      <w:proofErr w:type="spellEnd"/>
      <w:r w:rsidRPr="00E73D4B">
        <w:t xml:space="preserve"> 26. august 2021. Regjeringa </w:t>
      </w:r>
      <w:proofErr w:type="spellStart"/>
      <w:r w:rsidRPr="00E73D4B">
        <w:t>tek</w:t>
      </w:r>
      <w:proofErr w:type="spellEnd"/>
      <w:r w:rsidRPr="00E73D4B">
        <w:t xml:space="preserve"> sikte på å legge fram forslag til ny opplæringslov for Stortinget i </w:t>
      </w:r>
      <w:proofErr w:type="spellStart"/>
      <w:r w:rsidRPr="00E73D4B">
        <w:t>ein</w:t>
      </w:r>
      <w:proofErr w:type="spellEnd"/>
      <w:r w:rsidRPr="00E73D4B">
        <w:t xml:space="preserve"> lovproposisjon våren 2023. Dersom det blir gjort </w:t>
      </w:r>
      <w:proofErr w:type="spellStart"/>
      <w:r w:rsidRPr="00E73D4B">
        <w:t>endringar</w:t>
      </w:r>
      <w:proofErr w:type="spellEnd"/>
      <w:r w:rsidRPr="00E73D4B">
        <w:t xml:space="preserve"> i </w:t>
      </w:r>
      <w:proofErr w:type="spellStart"/>
      <w:r w:rsidRPr="00E73D4B">
        <w:t>reglane</w:t>
      </w:r>
      <w:proofErr w:type="spellEnd"/>
      <w:r w:rsidRPr="00E73D4B">
        <w:t xml:space="preserve"> om politiattest på </w:t>
      </w:r>
      <w:proofErr w:type="spellStart"/>
      <w:r w:rsidRPr="00E73D4B">
        <w:t>skuleområdet</w:t>
      </w:r>
      <w:proofErr w:type="spellEnd"/>
      <w:r w:rsidRPr="00E73D4B">
        <w:t xml:space="preserve">, vil departementet vurdere å </w:t>
      </w:r>
      <w:proofErr w:type="spellStart"/>
      <w:r w:rsidRPr="00E73D4B">
        <w:t>gjere</w:t>
      </w:r>
      <w:proofErr w:type="spellEnd"/>
      <w:r w:rsidRPr="00E73D4B">
        <w:t xml:space="preserve"> </w:t>
      </w:r>
      <w:proofErr w:type="spellStart"/>
      <w:r w:rsidRPr="00E73D4B">
        <w:t>tilsvarande</w:t>
      </w:r>
      <w:proofErr w:type="spellEnd"/>
      <w:r w:rsidRPr="00E73D4B">
        <w:t xml:space="preserve"> </w:t>
      </w:r>
      <w:proofErr w:type="spellStart"/>
      <w:r w:rsidRPr="00E73D4B">
        <w:t>endringar</w:t>
      </w:r>
      <w:proofErr w:type="spellEnd"/>
      <w:r w:rsidRPr="00E73D4B">
        <w:t xml:space="preserve"> i </w:t>
      </w:r>
      <w:proofErr w:type="spellStart"/>
      <w:r w:rsidRPr="00E73D4B">
        <w:t>reglane</w:t>
      </w:r>
      <w:proofErr w:type="spellEnd"/>
      <w:r w:rsidRPr="00E73D4B">
        <w:t xml:space="preserve"> om politiattest på barnehageområdet.</w:t>
      </w:r>
    </w:p>
    <w:p w14:paraId="732DFC1F"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462E2A6C" w14:textId="77777777" w:rsidR="00972395" w:rsidRPr="00E73D4B" w:rsidRDefault="00F120C7" w:rsidP="00E73D4B">
      <w:pPr>
        <w:pStyle w:val="avsnitt-tittel"/>
      </w:pPr>
      <w:r w:rsidRPr="00E73D4B">
        <w:t xml:space="preserve">Greie ut Østfold-modellen for </w:t>
      </w:r>
      <w:proofErr w:type="spellStart"/>
      <w:r w:rsidRPr="00E73D4B">
        <w:t>lærekandidatar</w:t>
      </w:r>
      <w:proofErr w:type="spellEnd"/>
      <w:r w:rsidRPr="00E73D4B">
        <w:t xml:space="preserve"> med tilretteleggingsbehov</w:t>
      </w:r>
    </w:p>
    <w:p w14:paraId="741E4022" w14:textId="77777777" w:rsidR="00972395" w:rsidRPr="00E73D4B" w:rsidRDefault="00F120C7" w:rsidP="00E73D4B">
      <w:pPr>
        <w:pStyle w:val="avsnitt-undertittel"/>
      </w:pPr>
      <w:r w:rsidRPr="00E73D4B">
        <w:t>Vedtak nr. 182, 3. desember 2020</w:t>
      </w:r>
    </w:p>
    <w:p w14:paraId="478F3C75" w14:textId="77777777" w:rsidR="00972395" w:rsidRPr="00E73D4B" w:rsidRDefault="00F120C7" w:rsidP="00E73D4B">
      <w:pPr>
        <w:pStyle w:val="blokksit"/>
        <w:rPr>
          <w:rStyle w:val="kursiv"/>
        </w:rPr>
      </w:pPr>
      <w:r w:rsidRPr="00E73D4B">
        <w:rPr>
          <w:rStyle w:val="kursiv"/>
        </w:rPr>
        <w:t>Stortinget ber regjeringen utrede Østfold-modellen for lærekandidater med tilretteleggingsbehov, som er utarbeidet av ASVL (Arbeidssamvirkenes landsforening), og vurdere om dette kan gjøres til en nasjonal ordning, slik det anbefales i NIFU-rapport 18: 2018.</w:t>
      </w:r>
    </w:p>
    <w:p w14:paraId="5D0F21C1"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xml:space="preserve">. 1 S Tillegg 1 (2020–2021) </w:t>
      </w:r>
      <w:r w:rsidRPr="00E73D4B">
        <w:rPr>
          <w:rStyle w:val="kursiv"/>
        </w:rPr>
        <w:t xml:space="preserve">Endring av </w:t>
      </w:r>
      <w:proofErr w:type="spellStart"/>
      <w:r w:rsidRPr="00E73D4B">
        <w:rPr>
          <w:rStyle w:val="kursiv"/>
        </w:rPr>
        <w:t>Prop</w:t>
      </w:r>
      <w:proofErr w:type="spellEnd"/>
      <w:r w:rsidRPr="00E73D4B">
        <w:rPr>
          <w:rStyle w:val="kursiv"/>
        </w:rPr>
        <w:t>. 1 S (2020–2021) Statsbudsjettet 2021 (saldering)</w:t>
      </w:r>
      <w:r w:rsidRPr="00E73D4B">
        <w:t xml:space="preserve">, jf. </w:t>
      </w:r>
      <w:proofErr w:type="spellStart"/>
      <w:r w:rsidRPr="00E73D4B">
        <w:t>Innst</w:t>
      </w:r>
      <w:proofErr w:type="spellEnd"/>
      <w:r w:rsidRPr="00E73D4B">
        <w:t>. 2 S (2020–2021).</w:t>
      </w:r>
    </w:p>
    <w:p w14:paraId="288ECD5E" w14:textId="77777777" w:rsidR="00972395" w:rsidRPr="00E73D4B" w:rsidRDefault="00F120C7" w:rsidP="00E73D4B">
      <w:r w:rsidRPr="00E73D4B">
        <w:t xml:space="preserve">I statsbudsjettet for 2023 foreslår regjeringa om lag 460 mill. kroner for å styrke arbeidet for </w:t>
      </w:r>
      <w:proofErr w:type="spellStart"/>
      <w:r w:rsidRPr="00E73D4B">
        <w:t>fleire</w:t>
      </w:r>
      <w:proofErr w:type="spellEnd"/>
      <w:r w:rsidRPr="00E73D4B">
        <w:t xml:space="preserve"> </w:t>
      </w:r>
      <w:proofErr w:type="spellStart"/>
      <w:r w:rsidRPr="00E73D4B">
        <w:t>læreplassar</w:t>
      </w:r>
      <w:proofErr w:type="spellEnd"/>
      <w:r w:rsidRPr="00E73D4B">
        <w:t xml:space="preserve">, og bidra til kvalifisering og formidling til </w:t>
      </w:r>
      <w:proofErr w:type="spellStart"/>
      <w:r w:rsidRPr="00E73D4B">
        <w:t>læreplassar</w:t>
      </w:r>
      <w:proofErr w:type="spellEnd"/>
      <w:r w:rsidRPr="00E73D4B">
        <w:t xml:space="preserve"> i fag- og yrkesopplæringa. </w:t>
      </w:r>
      <w:proofErr w:type="spellStart"/>
      <w:r w:rsidRPr="00E73D4B">
        <w:t>Fylkeskommunane</w:t>
      </w:r>
      <w:proofErr w:type="spellEnd"/>
      <w:r w:rsidRPr="00E73D4B">
        <w:t xml:space="preserve"> har ansvar for </w:t>
      </w:r>
      <w:proofErr w:type="spellStart"/>
      <w:r w:rsidRPr="00E73D4B">
        <w:t>vidaregåande</w:t>
      </w:r>
      <w:proofErr w:type="spellEnd"/>
      <w:r w:rsidRPr="00E73D4B">
        <w:t xml:space="preserve"> opplæring og er best til å vurdere kva for tiltak som er </w:t>
      </w:r>
      <w:proofErr w:type="spellStart"/>
      <w:r w:rsidRPr="00E73D4B">
        <w:t>dei</w:t>
      </w:r>
      <w:proofErr w:type="spellEnd"/>
      <w:r w:rsidRPr="00E73D4B">
        <w:t xml:space="preserve"> beste for å møte behova i </w:t>
      </w:r>
      <w:proofErr w:type="spellStart"/>
      <w:r w:rsidRPr="00E73D4B">
        <w:t>dei</w:t>
      </w:r>
      <w:proofErr w:type="spellEnd"/>
      <w:r w:rsidRPr="00E73D4B">
        <w:t xml:space="preserve"> ulike fylka. Østfold-modellen kan </w:t>
      </w:r>
      <w:proofErr w:type="spellStart"/>
      <w:r w:rsidRPr="00E73D4B">
        <w:t>vere</w:t>
      </w:r>
      <w:proofErr w:type="spellEnd"/>
      <w:r w:rsidRPr="00E73D4B">
        <w:t xml:space="preserve"> </w:t>
      </w:r>
      <w:proofErr w:type="spellStart"/>
      <w:r w:rsidRPr="00E73D4B">
        <w:t>ein</w:t>
      </w:r>
      <w:proofErr w:type="spellEnd"/>
      <w:r w:rsidRPr="00E73D4B">
        <w:t xml:space="preserve"> god modell for </w:t>
      </w:r>
      <w:proofErr w:type="spellStart"/>
      <w:r w:rsidRPr="00E73D4B">
        <w:t>lærekandidatar</w:t>
      </w:r>
      <w:proofErr w:type="spellEnd"/>
      <w:r w:rsidRPr="00E73D4B">
        <w:t xml:space="preserve"> med behov for tilrettelegging. </w:t>
      </w:r>
      <w:proofErr w:type="spellStart"/>
      <w:r w:rsidRPr="00E73D4B">
        <w:t>Tilskotsmidlane</w:t>
      </w:r>
      <w:proofErr w:type="spellEnd"/>
      <w:r w:rsidRPr="00E73D4B">
        <w:t xml:space="preserve"> til betre læreplassformidling og kvalifisering </w:t>
      </w:r>
      <w:proofErr w:type="spellStart"/>
      <w:r w:rsidRPr="00E73D4B">
        <w:t>legg</w:t>
      </w:r>
      <w:proofErr w:type="spellEnd"/>
      <w:r w:rsidRPr="00E73D4B">
        <w:t xml:space="preserve"> til rette for at </w:t>
      </w:r>
      <w:proofErr w:type="spellStart"/>
      <w:r w:rsidRPr="00E73D4B">
        <w:t>fleire</w:t>
      </w:r>
      <w:proofErr w:type="spellEnd"/>
      <w:r w:rsidRPr="00E73D4B">
        <w:t xml:space="preserve"> </w:t>
      </w:r>
      <w:proofErr w:type="spellStart"/>
      <w:r w:rsidRPr="00E73D4B">
        <w:t>fylkeskommunar</w:t>
      </w:r>
      <w:proofErr w:type="spellEnd"/>
      <w:r w:rsidRPr="00E73D4B">
        <w:t xml:space="preserve"> kan ta i bruk slike </w:t>
      </w:r>
      <w:proofErr w:type="spellStart"/>
      <w:r w:rsidRPr="00E73D4B">
        <w:t>modellar</w:t>
      </w:r>
      <w:proofErr w:type="spellEnd"/>
      <w:r w:rsidRPr="00E73D4B">
        <w:t>.</w:t>
      </w:r>
    </w:p>
    <w:p w14:paraId="09696A57" w14:textId="77777777" w:rsidR="00972395" w:rsidRPr="00E73D4B" w:rsidRDefault="00F120C7" w:rsidP="00E73D4B">
      <w:r w:rsidRPr="00E73D4B">
        <w:t xml:space="preserve">Departementet vil følge opp vedtaket i samband med oppfølginga av tiltaka i Meld. St. 21 (2020–2021) </w:t>
      </w:r>
      <w:r w:rsidRPr="00E73D4B">
        <w:rPr>
          <w:rStyle w:val="kursiv"/>
        </w:rPr>
        <w:t>Fullføringsreformen – med åpne dører til verden og fremtiden.</w:t>
      </w:r>
      <w:r w:rsidRPr="00E73D4B">
        <w:t xml:space="preserve"> 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2C214141" w14:textId="77777777" w:rsidR="00972395" w:rsidRPr="00E73D4B" w:rsidRDefault="00F120C7" w:rsidP="00E73D4B">
      <w:pPr>
        <w:pStyle w:val="avsnitt-tittel"/>
      </w:pPr>
      <w:proofErr w:type="spellStart"/>
      <w:r w:rsidRPr="00E73D4B">
        <w:t>Skuleskip</w:t>
      </w:r>
      <w:proofErr w:type="spellEnd"/>
      <w:r w:rsidRPr="00E73D4B">
        <w:t xml:space="preserve"> i Nord-</w:t>
      </w:r>
      <w:proofErr w:type="spellStart"/>
      <w:r w:rsidRPr="00E73D4B">
        <w:t>Noreg</w:t>
      </w:r>
      <w:proofErr w:type="spellEnd"/>
    </w:p>
    <w:p w14:paraId="12D1368E" w14:textId="77777777" w:rsidR="00972395" w:rsidRPr="00E73D4B" w:rsidRDefault="00F120C7" w:rsidP="00E73D4B">
      <w:pPr>
        <w:pStyle w:val="avsnitt-undertittel"/>
      </w:pPr>
      <w:r w:rsidRPr="00E73D4B">
        <w:t>Vedtak nr. 832, 22. april 2021</w:t>
      </w:r>
    </w:p>
    <w:p w14:paraId="7F269430" w14:textId="77777777" w:rsidR="00972395" w:rsidRPr="00E73D4B" w:rsidRDefault="00F120C7" w:rsidP="00E73D4B">
      <w:pPr>
        <w:pStyle w:val="blokksit"/>
        <w:rPr>
          <w:rStyle w:val="kursiv"/>
        </w:rPr>
      </w:pPr>
      <w:r w:rsidRPr="00E73D4B">
        <w:rPr>
          <w:rStyle w:val="kursiv"/>
        </w:rPr>
        <w:t>Stortinget ber regjeringen utrede muligheten for å etablere et skoleskip i Nord-Norge.</w:t>
      </w:r>
    </w:p>
    <w:p w14:paraId="060FF4E5"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w:t>
      </w:r>
    </w:p>
    <w:p w14:paraId="2D32A79F" w14:textId="77777777" w:rsidR="00972395" w:rsidRPr="00E73D4B" w:rsidRDefault="00F120C7" w:rsidP="00E73D4B">
      <w:r w:rsidRPr="00E73D4B">
        <w:t xml:space="preserve">Det er </w:t>
      </w:r>
      <w:proofErr w:type="spellStart"/>
      <w:r w:rsidRPr="00E73D4B">
        <w:t>fylkeskommunane</w:t>
      </w:r>
      <w:proofErr w:type="spellEnd"/>
      <w:r w:rsidRPr="00E73D4B">
        <w:t xml:space="preserve"> som har ansvar for </w:t>
      </w:r>
      <w:proofErr w:type="spellStart"/>
      <w:r w:rsidRPr="00E73D4B">
        <w:t>vidaregåande</w:t>
      </w:r>
      <w:proofErr w:type="spellEnd"/>
      <w:r w:rsidRPr="00E73D4B">
        <w:t xml:space="preserve"> opplæring, og som </w:t>
      </w:r>
      <w:proofErr w:type="spellStart"/>
      <w:r w:rsidRPr="00E73D4B">
        <w:t>saman</w:t>
      </w:r>
      <w:proofErr w:type="spellEnd"/>
      <w:r w:rsidRPr="00E73D4B">
        <w:t xml:space="preserve"> med </w:t>
      </w:r>
      <w:proofErr w:type="spellStart"/>
      <w:r w:rsidRPr="00E73D4B">
        <w:t>dei</w:t>
      </w:r>
      <w:proofErr w:type="spellEnd"/>
      <w:r w:rsidRPr="00E73D4B">
        <w:t xml:space="preserve"> </w:t>
      </w:r>
      <w:proofErr w:type="spellStart"/>
      <w:r w:rsidRPr="00E73D4B">
        <w:t>vidaregåande</w:t>
      </w:r>
      <w:proofErr w:type="spellEnd"/>
      <w:r w:rsidRPr="00E73D4B">
        <w:t xml:space="preserve"> </w:t>
      </w:r>
      <w:proofErr w:type="spellStart"/>
      <w:r w:rsidRPr="00E73D4B">
        <w:t>skulane</w:t>
      </w:r>
      <w:proofErr w:type="spellEnd"/>
      <w:r w:rsidRPr="00E73D4B">
        <w:t xml:space="preserve"> i fylket må vurdere om </w:t>
      </w:r>
      <w:proofErr w:type="spellStart"/>
      <w:r w:rsidRPr="00E73D4B">
        <w:t>skuleskip</w:t>
      </w:r>
      <w:proofErr w:type="spellEnd"/>
      <w:r w:rsidRPr="00E73D4B">
        <w:t xml:space="preserve"> er </w:t>
      </w:r>
      <w:proofErr w:type="spellStart"/>
      <w:r w:rsidRPr="00E73D4B">
        <w:t>ein</w:t>
      </w:r>
      <w:proofErr w:type="spellEnd"/>
      <w:r w:rsidRPr="00E73D4B">
        <w:t xml:space="preserve"> måte </w:t>
      </w:r>
      <w:proofErr w:type="spellStart"/>
      <w:r w:rsidRPr="00E73D4B">
        <w:t>dei</w:t>
      </w:r>
      <w:proofErr w:type="spellEnd"/>
      <w:r w:rsidRPr="00E73D4B">
        <w:t xml:space="preserve"> ønsker å organisere opplæringa på. Det er </w:t>
      </w:r>
      <w:proofErr w:type="spellStart"/>
      <w:r w:rsidRPr="00E73D4B">
        <w:t>ikkje</w:t>
      </w:r>
      <w:proofErr w:type="spellEnd"/>
      <w:r w:rsidRPr="00E73D4B">
        <w:t xml:space="preserve"> </w:t>
      </w:r>
      <w:proofErr w:type="spellStart"/>
      <w:r w:rsidRPr="00E73D4B">
        <w:t>noko</w:t>
      </w:r>
      <w:proofErr w:type="spellEnd"/>
      <w:r w:rsidRPr="00E73D4B">
        <w:t xml:space="preserve"> i vegen for slike </w:t>
      </w:r>
      <w:proofErr w:type="spellStart"/>
      <w:r w:rsidRPr="00E73D4B">
        <w:t>løysingar</w:t>
      </w:r>
      <w:proofErr w:type="spellEnd"/>
      <w:r w:rsidRPr="00E73D4B">
        <w:t xml:space="preserve"> så lenge </w:t>
      </w:r>
      <w:proofErr w:type="spellStart"/>
      <w:r w:rsidRPr="00E73D4B">
        <w:t>rettane</w:t>
      </w:r>
      <w:proofErr w:type="spellEnd"/>
      <w:r w:rsidRPr="00E73D4B">
        <w:t xml:space="preserve"> til </w:t>
      </w:r>
      <w:proofErr w:type="spellStart"/>
      <w:r w:rsidRPr="00E73D4B">
        <w:t>elevane</w:t>
      </w:r>
      <w:proofErr w:type="spellEnd"/>
      <w:r w:rsidRPr="00E73D4B">
        <w:t xml:space="preserve"> og anna regelverk blir </w:t>
      </w:r>
      <w:proofErr w:type="spellStart"/>
      <w:r w:rsidRPr="00E73D4B">
        <w:t>ivareteke</w:t>
      </w:r>
      <w:proofErr w:type="spellEnd"/>
      <w:r w:rsidRPr="00E73D4B">
        <w:t xml:space="preserve">. </w:t>
      </w:r>
      <w:proofErr w:type="spellStart"/>
      <w:r w:rsidRPr="00E73D4B">
        <w:t>Fylkeskommunane</w:t>
      </w:r>
      <w:proofErr w:type="spellEnd"/>
      <w:r w:rsidRPr="00E73D4B">
        <w:t xml:space="preserve"> er finansierte for å gi </w:t>
      </w:r>
      <w:proofErr w:type="spellStart"/>
      <w:r w:rsidRPr="00E73D4B">
        <w:t>tilbod</w:t>
      </w:r>
      <w:proofErr w:type="spellEnd"/>
      <w:r w:rsidRPr="00E73D4B">
        <w:t xml:space="preserve"> til alle med rett til </w:t>
      </w:r>
      <w:proofErr w:type="spellStart"/>
      <w:r w:rsidRPr="00E73D4B">
        <w:t>vidaregåande</w:t>
      </w:r>
      <w:proofErr w:type="spellEnd"/>
      <w:r w:rsidRPr="00E73D4B">
        <w:t xml:space="preserve"> opplæring, og eventuell bruk av skip i opplæringa må derfor </w:t>
      </w:r>
      <w:proofErr w:type="spellStart"/>
      <w:r w:rsidRPr="00E73D4B">
        <w:t>finansierast</w:t>
      </w:r>
      <w:proofErr w:type="spellEnd"/>
      <w:r w:rsidRPr="00E73D4B">
        <w:t xml:space="preserve"> </w:t>
      </w:r>
      <w:proofErr w:type="spellStart"/>
      <w:r w:rsidRPr="00E73D4B">
        <w:t>innanfor</w:t>
      </w:r>
      <w:proofErr w:type="spellEnd"/>
      <w:r w:rsidRPr="00E73D4B">
        <w:t xml:space="preserve"> </w:t>
      </w:r>
      <w:proofErr w:type="spellStart"/>
      <w:r w:rsidRPr="00E73D4B">
        <w:t>dei</w:t>
      </w:r>
      <w:proofErr w:type="spellEnd"/>
      <w:r w:rsidRPr="00E73D4B">
        <w:t xml:space="preserve"> frie inntektene til fylkeskommunen.</w:t>
      </w:r>
    </w:p>
    <w:p w14:paraId="0B553B9B" w14:textId="77777777" w:rsidR="00972395" w:rsidRPr="00E73D4B" w:rsidRDefault="00F120C7" w:rsidP="00E73D4B">
      <w:r w:rsidRPr="00E73D4B">
        <w:t xml:space="preserve">Det blir gitt </w:t>
      </w:r>
      <w:proofErr w:type="spellStart"/>
      <w:r w:rsidRPr="00E73D4B">
        <w:t>tilskot</w:t>
      </w:r>
      <w:proofErr w:type="spellEnd"/>
      <w:r w:rsidRPr="00E73D4B">
        <w:t xml:space="preserve"> til landslinjer over budsjettet til Kunnskapsdepartementet. Dersom </w:t>
      </w:r>
      <w:proofErr w:type="spellStart"/>
      <w:r w:rsidRPr="00E73D4B">
        <w:t>eit</w:t>
      </w:r>
      <w:proofErr w:type="spellEnd"/>
      <w:r w:rsidRPr="00E73D4B">
        <w:t xml:space="preserve"> </w:t>
      </w:r>
      <w:proofErr w:type="spellStart"/>
      <w:r w:rsidRPr="00E73D4B">
        <w:t>tilbod</w:t>
      </w:r>
      <w:proofErr w:type="spellEnd"/>
      <w:r w:rsidRPr="00E73D4B">
        <w:t xml:space="preserve"> oppfyller kriteria for ordninga, kan </w:t>
      </w:r>
      <w:proofErr w:type="spellStart"/>
      <w:r w:rsidRPr="00E73D4B">
        <w:t>ein</w:t>
      </w:r>
      <w:proofErr w:type="spellEnd"/>
      <w:r w:rsidRPr="00E73D4B">
        <w:t xml:space="preserve"> fylkeskommune søke Utdanningsdirektoratet om å få </w:t>
      </w:r>
      <w:proofErr w:type="spellStart"/>
      <w:r w:rsidRPr="00E73D4B">
        <w:t>tilbodet</w:t>
      </w:r>
      <w:proofErr w:type="spellEnd"/>
      <w:r w:rsidRPr="00E73D4B">
        <w:t xml:space="preserve"> godkjent som landslinje. </w:t>
      </w:r>
      <w:proofErr w:type="spellStart"/>
      <w:r w:rsidRPr="00E73D4B">
        <w:t>Landslinjetilbod</w:t>
      </w:r>
      <w:proofErr w:type="spellEnd"/>
      <w:r w:rsidRPr="00E73D4B">
        <w:t xml:space="preserve"> blir finansierte med </w:t>
      </w:r>
      <w:proofErr w:type="spellStart"/>
      <w:r w:rsidRPr="00E73D4B">
        <w:t>eit</w:t>
      </w:r>
      <w:proofErr w:type="spellEnd"/>
      <w:r w:rsidRPr="00E73D4B">
        <w:t xml:space="preserve"> trekk i </w:t>
      </w:r>
      <w:proofErr w:type="spellStart"/>
      <w:r w:rsidRPr="00E73D4B">
        <w:t>rammetilskota</w:t>
      </w:r>
      <w:proofErr w:type="spellEnd"/>
      <w:r w:rsidRPr="00E73D4B">
        <w:t xml:space="preserve"> til </w:t>
      </w:r>
      <w:proofErr w:type="spellStart"/>
      <w:r w:rsidRPr="00E73D4B">
        <w:t>fylkeskommunane</w:t>
      </w:r>
      <w:proofErr w:type="spellEnd"/>
      <w:r w:rsidRPr="00E73D4B">
        <w:t>.</w:t>
      </w:r>
    </w:p>
    <w:p w14:paraId="5FDC6FAA" w14:textId="77777777" w:rsidR="00972395" w:rsidRPr="00E73D4B" w:rsidRDefault="00F120C7" w:rsidP="00E73D4B">
      <w:r w:rsidRPr="00E73D4B">
        <w:t xml:space="preserve">I </w:t>
      </w:r>
      <w:proofErr w:type="spellStart"/>
      <w:r w:rsidRPr="00E73D4B">
        <w:t>Noreg</w:t>
      </w:r>
      <w:proofErr w:type="spellEnd"/>
      <w:r w:rsidRPr="00E73D4B">
        <w:t xml:space="preserve"> er det to private </w:t>
      </w:r>
      <w:proofErr w:type="spellStart"/>
      <w:r w:rsidRPr="00E73D4B">
        <w:t>vidaregåande</w:t>
      </w:r>
      <w:proofErr w:type="spellEnd"/>
      <w:r w:rsidRPr="00E73D4B">
        <w:t xml:space="preserve"> </w:t>
      </w:r>
      <w:proofErr w:type="spellStart"/>
      <w:r w:rsidRPr="00E73D4B">
        <w:t>skular</w:t>
      </w:r>
      <w:proofErr w:type="spellEnd"/>
      <w:r w:rsidRPr="00E73D4B">
        <w:t xml:space="preserve"> </w:t>
      </w:r>
      <w:proofErr w:type="spellStart"/>
      <w:r w:rsidRPr="00E73D4B">
        <w:t>godkjende</w:t>
      </w:r>
      <w:proofErr w:type="spellEnd"/>
      <w:r w:rsidRPr="00E73D4B">
        <w:t xml:space="preserve"> etter </w:t>
      </w:r>
      <w:proofErr w:type="spellStart"/>
      <w:r w:rsidRPr="00E73D4B">
        <w:t>privatskulelova</w:t>
      </w:r>
      <w:proofErr w:type="spellEnd"/>
      <w:r w:rsidRPr="00E73D4B">
        <w:t xml:space="preserve"> der </w:t>
      </w:r>
      <w:proofErr w:type="spellStart"/>
      <w:r w:rsidRPr="00E73D4B">
        <w:t>elevar</w:t>
      </w:r>
      <w:proofErr w:type="spellEnd"/>
      <w:r w:rsidRPr="00E73D4B">
        <w:t xml:space="preserve"> kan ta </w:t>
      </w:r>
      <w:proofErr w:type="spellStart"/>
      <w:r w:rsidRPr="00E73D4B">
        <w:t>vidaregåande</w:t>
      </w:r>
      <w:proofErr w:type="spellEnd"/>
      <w:r w:rsidRPr="00E73D4B">
        <w:t xml:space="preserve"> opplæring i maritime fag organisert på </w:t>
      </w:r>
      <w:proofErr w:type="spellStart"/>
      <w:r w:rsidRPr="00E73D4B">
        <w:t>skuleskip</w:t>
      </w:r>
      <w:proofErr w:type="spellEnd"/>
      <w:r w:rsidRPr="00E73D4B">
        <w:t xml:space="preserve">. Dei to </w:t>
      </w:r>
      <w:proofErr w:type="spellStart"/>
      <w:r w:rsidRPr="00E73D4B">
        <w:t>skulane</w:t>
      </w:r>
      <w:proofErr w:type="spellEnd"/>
      <w:r w:rsidRPr="00E73D4B">
        <w:t xml:space="preserve"> mottek </w:t>
      </w:r>
      <w:proofErr w:type="spellStart"/>
      <w:r w:rsidRPr="00E73D4B">
        <w:t>tilskot</w:t>
      </w:r>
      <w:proofErr w:type="spellEnd"/>
      <w:r w:rsidRPr="00E73D4B">
        <w:t xml:space="preserve"> som private </w:t>
      </w:r>
      <w:proofErr w:type="spellStart"/>
      <w:r w:rsidRPr="00E73D4B">
        <w:t>skular</w:t>
      </w:r>
      <w:proofErr w:type="spellEnd"/>
      <w:r w:rsidRPr="00E73D4B">
        <w:t xml:space="preserve"> og får i tillegg </w:t>
      </w:r>
      <w:proofErr w:type="spellStart"/>
      <w:r w:rsidRPr="00E73D4B">
        <w:t>eit</w:t>
      </w:r>
      <w:proofErr w:type="spellEnd"/>
      <w:r w:rsidRPr="00E73D4B">
        <w:t xml:space="preserve"> fast </w:t>
      </w:r>
      <w:proofErr w:type="spellStart"/>
      <w:r w:rsidRPr="00E73D4B">
        <w:t>tilskot</w:t>
      </w:r>
      <w:proofErr w:type="spellEnd"/>
      <w:r w:rsidRPr="00E73D4B">
        <w:t xml:space="preserve"> som følge av </w:t>
      </w:r>
      <w:proofErr w:type="spellStart"/>
      <w:r w:rsidRPr="00E73D4B">
        <w:t>dei</w:t>
      </w:r>
      <w:proofErr w:type="spellEnd"/>
      <w:r w:rsidRPr="00E73D4B">
        <w:t xml:space="preserve"> ekstrautgiftene som </w:t>
      </w:r>
      <w:proofErr w:type="spellStart"/>
      <w:r w:rsidRPr="00E73D4B">
        <w:t>skuledrift</w:t>
      </w:r>
      <w:proofErr w:type="spellEnd"/>
      <w:r w:rsidRPr="00E73D4B">
        <w:t xml:space="preserve"> på skip fører med seg.</w:t>
      </w:r>
    </w:p>
    <w:p w14:paraId="26B4BC1A" w14:textId="77777777" w:rsidR="00972395" w:rsidRPr="00E73D4B" w:rsidRDefault="00F120C7" w:rsidP="00E73D4B">
      <w:r w:rsidRPr="00E73D4B">
        <w:t xml:space="preserve">Regjeringa vil satse på den </w:t>
      </w:r>
      <w:proofErr w:type="spellStart"/>
      <w:r w:rsidRPr="00E73D4B">
        <w:t>offentlege</w:t>
      </w:r>
      <w:proofErr w:type="spellEnd"/>
      <w:r w:rsidRPr="00E73D4B">
        <w:t xml:space="preserve"> </w:t>
      </w:r>
      <w:proofErr w:type="spellStart"/>
      <w:r w:rsidRPr="00E73D4B">
        <w:t>fellesskulen</w:t>
      </w:r>
      <w:proofErr w:type="spellEnd"/>
      <w:r w:rsidRPr="00E73D4B">
        <w:t xml:space="preserve">, og Stortinget har </w:t>
      </w:r>
      <w:proofErr w:type="spellStart"/>
      <w:r w:rsidRPr="00E73D4B">
        <w:t>vedteke</w:t>
      </w:r>
      <w:proofErr w:type="spellEnd"/>
      <w:r w:rsidRPr="00E73D4B">
        <w:t xml:space="preserve"> </w:t>
      </w:r>
      <w:proofErr w:type="spellStart"/>
      <w:r w:rsidRPr="00E73D4B">
        <w:t>endringar</w:t>
      </w:r>
      <w:proofErr w:type="spellEnd"/>
      <w:r w:rsidRPr="00E73D4B">
        <w:t xml:space="preserve"> i </w:t>
      </w:r>
      <w:proofErr w:type="spellStart"/>
      <w:r w:rsidRPr="00E73D4B">
        <w:t>privatskulelova</w:t>
      </w:r>
      <w:proofErr w:type="spellEnd"/>
      <w:r w:rsidRPr="00E73D4B">
        <w:t xml:space="preserve">, jf. </w:t>
      </w:r>
      <w:proofErr w:type="spellStart"/>
      <w:r w:rsidRPr="00E73D4B">
        <w:t>Prop</w:t>
      </w:r>
      <w:proofErr w:type="spellEnd"/>
      <w:r w:rsidRPr="00E73D4B">
        <w:t xml:space="preserve">. 98 L (2021–2022) og </w:t>
      </w:r>
      <w:proofErr w:type="spellStart"/>
      <w:r w:rsidRPr="00E73D4B">
        <w:t>Innst</w:t>
      </w:r>
      <w:proofErr w:type="spellEnd"/>
      <w:r w:rsidRPr="00E73D4B">
        <w:t xml:space="preserve">. 404 L (2021–2022). Det er </w:t>
      </w:r>
      <w:proofErr w:type="spellStart"/>
      <w:r w:rsidRPr="00E73D4B">
        <w:t>ikkje</w:t>
      </w:r>
      <w:proofErr w:type="spellEnd"/>
      <w:r w:rsidRPr="00E73D4B">
        <w:t xml:space="preserve"> lenger grunnlag for å få godkjenning som </w:t>
      </w:r>
      <w:proofErr w:type="spellStart"/>
      <w:r w:rsidRPr="00E73D4B">
        <w:t>privatskule</w:t>
      </w:r>
      <w:proofErr w:type="spellEnd"/>
      <w:r w:rsidRPr="00E73D4B">
        <w:t xml:space="preserve"> etter det som </w:t>
      </w:r>
      <w:proofErr w:type="spellStart"/>
      <w:r w:rsidRPr="00E73D4B">
        <w:t>tidlegare</w:t>
      </w:r>
      <w:proofErr w:type="spellEnd"/>
      <w:r w:rsidRPr="00E73D4B">
        <w:t xml:space="preserve"> var </w:t>
      </w:r>
      <w:proofErr w:type="spellStart"/>
      <w:r w:rsidRPr="00E73D4B">
        <w:t>privatskulelova</w:t>
      </w:r>
      <w:proofErr w:type="spellEnd"/>
      <w:r w:rsidRPr="00E73D4B">
        <w:t xml:space="preserve"> § 2-1 bokstav h (</w:t>
      </w:r>
      <w:proofErr w:type="spellStart"/>
      <w:r w:rsidRPr="00E73D4B">
        <w:t>vidaregåande</w:t>
      </w:r>
      <w:proofErr w:type="spellEnd"/>
      <w:r w:rsidRPr="00E73D4B">
        <w:t xml:space="preserve"> opplæring i yrkesfaglege utdanningsprogram) og bokstav i (</w:t>
      </w:r>
      <w:proofErr w:type="spellStart"/>
      <w:r w:rsidRPr="00E73D4B">
        <w:t>særleg</w:t>
      </w:r>
      <w:proofErr w:type="spellEnd"/>
      <w:r w:rsidRPr="00E73D4B">
        <w:t xml:space="preserve"> profil). Det er </w:t>
      </w:r>
      <w:proofErr w:type="spellStart"/>
      <w:r w:rsidRPr="00E73D4B">
        <w:t>framleis</w:t>
      </w:r>
      <w:proofErr w:type="spellEnd"/>
      <w:r w:rsidRPr="00E73D4B">
        <w:t xml:space="preserve"> </w:t>
      </w:r>
      <w:proofErr w:type="spellStart"/>
      <w:r w:rsidRPr="00E73D4B">
        <w:t>mogleg</w:t>
      </w:r>
      <w:proofErr w:type="spellEnd"/>
      <w:r w:rsidRPr="00E73D4B">
        <w:t xml:space="preserve"> å få godkjenning basert på andre grunnlag i </w:t>
      </w:r>
      <w:proofErr w:type="spellStart"/>
      <w:r w:rsidRPr="00E73D4B">
        <w:t>privatskulelova</w:t>
      </w:r>
      <w:proofErr w:type="spellEnd"/>
      <w:r w:rsidRPr="00E73D4B">
        <w:t xml:space="preserve">. Departementet </w:t>
      </w:r>
      <w:proofErr w:type="spellStart"/>
      <w:r w:rsidRPr="00E73D4B">
        <w:t>legg</w:t>
      </w:r>
      <w:proofErr w:type="spellEnd"/>
      <w:r w:rsidRPr="00E73D4B">
        <w:t xml:space="preserve"> til grunn av vedtak nr. 832, 22. april 2021 med dette er </w:t>
      </w:r>
      <w:proofErr w:type="spellStart"/>
      <w:r w:rsidRPr="00E73D4B">
        <w:t>følgt</w:t>
      </w:r>
      <w:proofErr w:type="spellEnd"/>
      <w:r w:rsidRPr="00E73D4B">
        <w:t xml:space="preserve"> opp.</w:t>
      </w:r>
    </w:p>
    <w:p w14:paraId="7EA10822" w14:textId="77777777" w:rsidR="00972395" w:rsidRPr="00E73D4B" w:rsidRDefault="00F120C7" w:rsidP="00E73D4B">
      <w:pPr>
        <w:pStyle w:val="avsnitt-tittel"/>
      </w:pPr>
      <w:r w:rsidRPr="00E73D4B">
        <w:t xml:space="preserve">Styrke rådgivings- og </w:t>
      </w:r>
      <w:proofErr w:type="spellStart"/>
      <w:r w:rsidRPr="00E73D4B">
        <w:t>rettleiingstenesta</w:t>
      </w:r>
      <w:proofErr w:type="spellEnd"/>
      <w:r w:rsidRPr="00E73D4B">
        <w:t xml:space="preserve"> i </w:t>
      </w:r>
      <w:proofErr w:type="spellStart"/>
      <w:r w:rsidRPr="00E73D4B">
        <w:t>skulen</w:t>
      </w:r>
      <w:proofErr w:type="spellEnd"/>
    </w:p>
    <w:p w14:paraId="02C206A1" w14:textId="77777777" w:rsidR="00972395" w:rsidRPr="00E73D4B" w:rsidRDefault="00F120C7" w:rsidP="00E73D4B">
      <w:pPr>
        <w:pStyle w:val="avsnitt-undertittel"/>
      </w:pPr>
      <w:r w:rsidRPr="00E73D4B">
        <w:t>Vedtak nr. 942, 20. mai 2021</w:t>
      </w:r>
    </w:p>
    <w:p w14:paraId="6884EEC8" w14:textId="77777777" w:rsidR="00972395" w:rsidRPr="00E73D4B" w:rsidRDefault="00F120C7" w:rsidP="00E73D4B">
      <w:pPr>
        <w:pStyle w:val="blokksit"/>
        <w:rPr>
          <w:rStyle w:val="kursiv"/>
        </w:rPr>
      </w:pPr>
      <w:r w:rsidRPr="00E73D4B">
        <w:rPr>
          <w:rStyle w:val="kursiv"/>
        </w:rPr>
        <w:t>Stortinget ber regjeringen styrke rådgivnings- og veiledningstjenesten i skolen gjennom å legge til rette for en tverrfaglig rådgivertjeneste og samarbeid mellom skoleeier, ungdomsskole, rådgivertjenesten, den videregående skolen og arbeidslivet, og gjøre det enklere for yrkesgrupper med erfaring fra annet arbeidsliv å bli ansatt i skolen som rådgivere.</w:t>
      </w:r>
    </w:p>
    <w:p w14:paraId="4EC95383"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fra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1C95A5CE" w14:textId="77777777" w:rsidR="00972395" w:rsidRPr="00E73D4B" w:rsidRDefault="00F120C7" w:rsidP="00E73D4B">
      <w:r w:rsidRPr="00E73D4B">
        <w:t xml:space="preserve">Departementet vil følge opp vedtaket i samband med oppfølginga av tiltaka i Meld. St. 21 (2020–2021) </w:t>
      </w:r>
      <w:r w:rsidRPr="00E73D4B">
        <w:rPr>
          <w:rStyle w:val="kursiv"/>
        </w:rPr>
        <w:t>Fullføringsreformen – med åpne dører til verden og fremtiden.</w:t>
      </w:r>
      <w:r w:rsidRPr="00E73D4B">
        <w:t xml:space="preserve"> 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340681D0" w14:textId="77777777" w:rsidR="00972395" w:rsidRPr="00E73D4B" w:rsidRDefault="00F120C7" w:rsidP="00E73D4B">
      <w:pPr>
        <w:pStyle w:val="avsnitt-tittel"/>
      </w:pPr>
      <w:r w:rsidRPr="00E73D4B">
        <w:t>Krav til minstestandard på teknisk utstyr på yrkesfag</w:t>
      </w:r>
    </w:p>
    <w:p w14:paraId="78AEE851" w14:textId="77777777" w:rsidR="00972395" w:rsidRPr="00E73D4B" w:rsidRDefault="00F120C7" w:rsidP="00E73D4B">
      <w:pPr>
        <w:pStyle w:val="avsnitt-undertittel"/>
      </w:pPr>
      <w:r w:rsidRPr="00E73D4B">
        <w:t>Vedtak nr. 943, 20. mai 2021</w:t>
      </w:r>
    </w:p>
    <w:p w14:paraId="691370DF" w14:textId="77777777" w:rsidR="00972395" w:rsidRPr="00E73D4B" w:rsidRDefault="00F120C7" w:rsidP="00E73D4B">
      <w:pPr>
        <w:pStyle w:val="blokksit"/>
        <w:rPr>
          <w:rStyle w:val="kursiv"/>
        </w:rPr>
      </w:pPr>
      <w:r w:rsidRPr="00E73D4B">
        <w:rPr>
          <w:rStyle w:val="kursiv"/>
        </w:rPr>
        <w:t>Stortinget ber regjeringen legge til rette for at det innføres krav til minstestandard på teknisk utstyr på yrkesfag. Minstestandarden skal utvikles i samarbeid mellom skoler og næringsliv.</w:t>
      </w:r>
    </w:p>
    <w:p w14:paraId="29DE082F"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45ECBF80" w14:textId="77777777" w:rsidR="00972395" w:rsidRPr="00E73D4B" w:rsidRDefault="00F120C7" w:rsidP="00E73D4B">
      <w:proofErr w:type="spellStart"/>
      <w:r w:rsidRPr="00E73D4B">
        <w:t>Fylkeskommunane</w:t>
      </w:r>
      <w:proofErr w:type="spellEnd"/>
      <w:r w:rsidRPr="00E73D4B">
        <w:t xml:space="preserve"> har ansvar for at </w:t>
      </w:r>
      <w:proofErr w:type="spellStart"/>
      <w:r w:rsidRPr="00E73D4B">
        <w:t>dei</w:t>
      </w:r>
      <w:proofErr w:type="spellEnd"/>
      <w:r w:rsidRPr="00E73D4B">
        <w:t xml:space="preserve"> </w:t>
      </w:r>
      <w:proofErr w:type="spellStart"/>
      <w:r w:rsidRPr="00E73D4B">
        <w:t>vidaregåande</w:t>
      </w:r>
      <w:proofErr w:type="spellEnd"/>
      <w:r w:rsidRPr="00E73D4B">
        <w:t xml:space="preserve"> </w:t>
      </w:r>
      <w:proofErr w:type="spellStart"/>
      <w:r w:rsidRPr="00E73D4B">
        <w:t>skulane</w:t>
      </w:r>
      <w:proofErr w:type="spellEnd"/>
      <w:r w:rsidRPr="00E73D4B">
        <w:t xml:space="preserve"> har tilgang til relevant utstyr, slik at undervisninga er i tråd med kompetansemåla i læreplanen. </w:t>
      </w:r>
      <w:proofErr w:type="spellStart"/>
      <w:r w:rsidRPr="00E73D4B">
        <w:t>Skulane</w:t>
      </w:r>
      <w:proofErr w:type="spellEnd"/>
      <w:r w:rsidRPr="00E73D4B">
        <w:t xml:space="preserve"> og </w:t>
      </w:r>
      <w:proofErr w:type="spellStart"/>
      <w:r w:rsidRPr="00E73D4B">
        <w:t>lærarane</w:t>
      </w:r>
      <w:proofErr w:type="spellEnd"/>
      <w:r w:rsidRPr="00E73D4B">
        <w:t xml:space="preserve"> har stor grad av fridom i val av metode, og </w:t>
      </w:r>
      <w:proofErr w:type="spellStart"/>
      <w:r w:rsidRPr="00E73D4B">
        <w:t>dei</w:t>
      </w:r>
      <w:proofErr w:type="spellEnd"/>
      <w:r w:rsidRPr="00E73D4B">
        <w:t xml:space="preserve"> har lokalt handlingsrom </w:t>
      </w:r>
      <w:proofErr w:type="spellStart"/>
      <w:r w:rsidRPr="00E73D4B">
        <w:t>innanfor</w:t>
      </w:r>
      <w:proofErr w:type="spellEnd"/>
      <w:r w:rsidRPr="00E73D4B">
        <w:t xml:space="preserve"> læreplanen i korleis opplæringa blir organisert. Regjeringa vil gjennom </w:t>
      </w:r>
      <w:proofErr w:type="spellStart"/>
      <w:r w:rsidRPr="00E73D4B">
        <w:t>tillitsreforma</w:t>
      </w:r>
      <w:proofErr w:type="spellEnd"/>
      <w:r w:rsidRPr="00E73D4B">
        <w:t xml:space="preserve"> styrke det lokale handlingsrommet, og unngå unødvendige </w:t>
      </w:r>
      <w:proofErr w:type="spellStart"/>
      <w:r w:rsidRPr="00E73D4B">
        <w:t>statlege</w:t>
      </w:r>
      <w:proofErr w:type="spellEnd"/>
      <w:r w:rsidRPr="00E73D4B">
        <w:t xml:space="preserve"> krav og styring. </w:t>
      </w:r>
      <w:proofErr w:type="spellStart"/>
      <w:r w:rsidRPr="00E73D4B">
        <w:t>Fylkeskommunar</w:t>
      </w:r>
      <w:proofErr w:type="spellEnd"/>
      <w:r w:rsidRPr="00E73D4B">
        <w:t xml:space="preserve"> og </w:t>
      </w:r>
      <w:proofErr w:type="spellStart"/>
      <w:r w:rsidRPr="00E73D4B">
        <w:t>skular</w:t>
      </w:r>
      <w:proofErr w:type="spellEnd"/>
      <w:r w:rsidRPr="00E73D4B">
        <w:t xml:space="preserve"> kan, i tråd med det lokale handlingsrommet, utvikle lokale </w:t>
      </w:r>
      <w:proofErr w:type="spellStart"/>
      <w:r w:rsidRPr="00E73D4B">
        <w:t>minstestandardar</w:t>
      </w:r>
      <w:proofErr w:type="spellEnd"/>
      <w:r w:rsidRPr="00E73D4B">
        <w:t xml:space="preserve"> ved behov for å sikre tilstrekkelig utstyr i samarbeid med lokalt næringsliv.</w:t>
      </w:r>
    </w:p>
    <w:p w14:paraId="267B75D5" w14:textId="77777777" w:rsidR="00972395" w:rsidRPr="00E73D4B" w:rsidRDefault="00F120C7" w:rsidP="00E73D4B">
      <w:proofErr w:type="spellStart"/>
      <w:r w:rsidRPr="00E73D4B">
        <w:t>Minstestandardar</w:t>
      </w:r>
      <w:proofErr w:type="spellEnd"/>
      <w:r w:rsidRPr="00E73D4B">
        <w:t xml:space="preserve"> kan bli oppfatta som </w:t>
      </w:r>
      <w:proofErr w:type="spellStart"/>
      <w:r w:rsidRPr="00E73D4B">
        <w:t>ein</w:t>
      </w:r>
      <w:proofErr w:type="spellEnd"/>
      <w:r w:rsidRPr="00E73D4B">
        <w:t xml:space="preserve"> standard, slik at </w:t>
      </w:r>
      <w:proofErr w:type="spellStart"/>
      <w:r w:rsidRPr="00E73D4B">
        <w:t>skular</w:t>
      </w:r>
      <w:proofErr w:type="spellEnd"/>
      <w:r w:rsidRPr="00E73D4B">
        <w:t xml:space="preserve"> som </w:t>
      </w:r>
      <w:proofErr w:type="spellStart"/>
      <w:r w:rsidRPr="00E73D4B">
        <w:t>elles</w:t>
      </w:r>
      <w:proofErr w:type="spellEnd"/>
      <w:r w:rsidRPr="00E73D4B">
        <w:t xml:space="preserve"> ville hatt betre utstyr, </w:t>
      </w:r>
      <w:proofErr w:type="spellStart"/>
      <w:r w:rsidRPr="00E73D4B">
        <w:t>legg</w:t>
      </w:r>
      <w:proofErr w:type="spellEnd"/>
      <w:r w:rsidRPr="00E73D4B">
        <w:t xml:space="preserve"> seg på minstestandarden. Det er </w:t>
      </w:r>
      <w:proofErr w:type="spellStart"/>
      <w:r w:rsidRPr="00E73D4B">
        <w:t>utfordrande</w:t>
      </w:r>
      <w:proofErr w:type="spellEnd"/>
      <w:r w:rsidRPr="00E73D4B">
        <w:t xml:space="preserve"> å lage nasjonale </w:t>
      </w:r>
      <w:proofErr w:type="spellStart"/>
      <w:r w:rsidRPr="00E73D4B">
        <w:t>minstestandardar</w:t>
      </w:r>
      <w:proofErr w:type="spellEnd"/>
      <w:r w:rsidRPr="00E73D4B">
        <w:t xml:space="preserve"> som </w:t>
      </w:r>
      <w:proofErr w:type="spellStart"/>
      <w:r w:rsidRPr="00E73D4B">
        <w:t>varetek</w:t>
      </w:r>
      <w:proofErr w:type="spellEnd"/>
      <w:r w:rsidRPr="00E73D4B">
        <w:t xml:space="preserve"> at det er stor variasjon mellom </w:t>
      </w:r>
      <w:proofErr w:type="spellStart"/>
      <w:r w:rsidRPr="00E73D4B">
        <w:t>fylkeskommunane</w:t>
      </w:r>
      <w:proofErr w:type="spellEnd"/>
      <w:r w:rsidRPr="00E73D4B">
        <w:t xml:space="preserve"> i kva utdanningsprogram og programområde som er tilbydd. Til dømes kan behova for utstyr i same utdanningsprogram variere mellom ulike </w:t>
      </w:r>
      <w:proofErr w:type="spellStart"/>
      <w:r w:rsidRPr="00E73D4B">
        <w:t>delar</w:t>
      </w:r>
      <w:proofErr w:type="spellEnd"/>
      <w:r w:rsidRPr="00E73D4B">
        <w:t xml:space="preserve"> av landet, basert på det lokale næringslivet. Det vil òg </w:t>
      </w:r>
      <w:proofErr w:type="spellStart"/>
      <w:r w:rsidRPr="00E73D4B">
        <w:t>vere</w:t>
      </w:r>
      <w:proofErr w:type="spellEnd"/>
      <w:r w:rsidRPr="00E73D4B">
        <w:t xml:space="preserve"> </w:t>
      </w:r>
      <w:proofErr w:type="spellStart"/>
      <w:r w:rsidRPr="00E73D4B">
        <w:t>krevjande</w:t>
      </w:r>
      <w:proofErr w:type="spellEnd"/>
      <w:r w:rsidRPr="00E73D4B">
        <w:t xml:space="preserve"> å forvalte og </w:t>
      </w:r>
      <w:proofErr w:type="spellStart"/>
      <w:r w:rsidRPr="00E73D4B">
        <w:t>halde</w:t>
      </w:r>
      <w:proofErr w:type="spellEnd"/>
      <w:r w:rsidRPr="00E73D4B">
        <w:t xml:space="preserve"> ved like </w:t>
      </w:r>
      <w:proofErr w:type="spellStart"/>
      <w:r w:rsidRPr="00E73D4B">
        <w:t>ein</w:t>
      </w:r>
      <w:proofErr w:type="spellEnd"/>
      <w:r w:rsidRPr="00E73D4B">
        <w:t xml:space="preserve"> minstestandard som er oppdatert og relevant. Ulike </w:t>
      </w:r>
      <w:proofErr w:type="spellStart"/>
      <w:r w:rsidRPr="00E73D4B">
        <w:t>tilnærmingar</w:t>
      </w:r>
      <w:proofErr w:type="spellEnd"/>
      <w:r w:rsidRPr="00E73D4B">
        <w:t xml:space="preserve"> til korleis utstyret vert gjort </w:t>
      </w:r>
      <w:proofErr w:type="spellStart"/>
      <w:r w:rsidRPr="00E73D4B">
        <w:t>tilgjengeleg</w:t>
      </w:r>
      <w:proofErr w:type="spellEnd"/>
      <w:r w:rsidRPr="00E73D4B">
        <w:t xml:space="preserve"> for </w:t>
      </w:r>
      <w:proofErr w:type="spellStart"/>
      <w:r w:rsidRPr="00E73D4B">
        <w:t>elevane</w:t>
      </w:r>
      <w:proofErr w:type="spellEnd"/>
      <w:r w:rsidRPr="00E73D4B">
        <w:t xml:space="preserve">, til dømes gjennom ulik grad av utstyrssamarbeid eller </w:t>
      </w:r>
      <w:proofErr w:type="spellStart"/>
      <w:r w:rsidRPr="00E73D4B">
        <w:t>varierande</w:t>
      </w:r>
      <w:proofErr w:type="spellEnd"/>
      <w:r w:rsidRPr="00E73D4B">
        <w:t xml:space="preserve"> samarbeid med næringslivet, er òg </w:t>
      </w:r>
      <w:proofErr w:type="spellStart"/>
      <w:r w:rsidRPr="00E73D4B">
        <w:t>ein</w:t>
      </w:r>
      <w:proofErr w:type="spellEnd"/>
      <w:r w:rsidRPr="00E73D4B">
        <w:t xml:space="preserve"> faktor som kan </w:t>
      </w:r>
      <w:proofErr w:type="spellStart"/>
      <w:r w:rsidRPr="00E73D4B">
        <w:t>gjere</w:t>
      </w:r>
      <w:proofErr w:type="spellEnd"/>
      <w:r w:rsidRPr="00E73D4B">
        <w:t xml:space="preserve"> det </w:t>
      </w:r>
      <w:proofErr w:type="spellStart"/>
      <w:r w:rsidRPr="00E73D4B">
        <w:t>vanskeleg</w:t>
      </w:r>
      <w:proofErr w:type="spellEnd"/>
      <w:r w:rsidRPr="00E73D4B">
        <w:t xml:space="preserve"> å lage </w:t>
      </w:r>
      <w:proofErr w:type="spellStart"/>
      <w:r w:rsidRPr="00E73D4B">
        <w:t>ein</w:t>
      </w:r>
      <w:proofErr w:type="spellEnd"/>
      <w:r w:rsidRPr="00E73D4B">
        <w:t xml:space="preserve"> nasjonal minstestandard.</w:t>
      </w:r>
    </w:p>
    <w:p w14:paraId="6964282B" w14:textId="77777777" w:rsidR="00972395" w:rsidRPr="00E73D4B" w:rsidRDefault="00F120C7" w:rsidP="00E73D4B">
      <w:r w:rsidRPr="00E73D4B">
        <w:t xml:space="preserve">Regjeringa gjennomfører </w:t>
      </w:r>
      <w:proofErr w:type="spellStart"/>
      <w:r w:rsidRPr="00E73D4B">
        <w:t>eit</w:t>
      </w:r>
      <w:proofErr w:type="spellEnd"/>
      <w:r w:rsidRPr="00E73D4B">
        <w:t xml:space="preserve"> forsøk med ulike </w:t>
      </w:r>
      <w:proofErr w:type="spellStart"/>
      <w:r w:rsidRPr="00E73D4B">
        <w:t>modellar</w:t>
      </w:r>
      <w:proofErr w:type="spellEnd"/>
      <w:r w:rsidRPr="00E73D4B">
        <w:t xml:space="preserve"> for </w:t>
      </w:r>
      <w:proofErr w:type="spellStart"/>
      <w:r w:rsidRPr="00E73D4B">
        <w:t>tilskot</w:t>
      </w:r>
      <w:proofErr w:type="spellEnd"/>
      <w:r w:rsidRPr="00E73D4B">
        <w:t xml:space="preserve"> til </w:t>
      </w:r>
      <w:proofErr w:type="spellStart"/>
      <w:r w:rsidRPr="00E73D4B">
        <w:t>investeringar</w:t>
      </w:r>
      <w:proofErr w:type="spellEnd"/>
      <w:r w:rsidRPr="00E73D4B">
        <w:t xml:space="preserve"> i utstyr i </w:t>
      </w:r>
      <w:proofErr w:type="spellStart"/>
      <w:r w:rsidRPr="00E73D4B">
        <w:t>vidaregåande</w:t>
      </w:r>
      <w:proofErr w:type="spellEnd"/>
      <w:r w:rsidRPr="00E73D4B">
        <w:t xml:space="preserve"> opplæring som skal bidra til oppdatert og kvalitetssikra utstyr i </w:t>
      </w:r>
      <w:proofErr w:type="spellStart"/>
      <w:r w:rsidRPr="00E73D4B">
        <w:t>dei</w:t>
      </w:r>
      <w:proofErr w:type="spellEnd"/>
      <w:r w:rsidRPr="00E73D4B">
        <w:t xml:space="preserve"> yrkesfaglege utdanningsprogramma. Målet er å finne ut </w:t>
      </w:r>
      <w:proofErr w:type="spellStart"/>
      <w:r w:rsidRPr="00E73D4B">
        <w:t>kva</w:t>
      </w:r>
      <w:proofErr w:type="spellEnd"/>
      <w:r w:rsidRPr="00E73D4B">
        <w:t xml:space="preserve"> modell som kan </w:t>
      </w:r>
      <w:proofErr w:type="spellStart"/>
      <w:r w:rsidRPr="00E73D4B">
        <w:t>vere</w:t>
      </w:r>
      <w:proofErr w:type="spellEnd"/>
      <w:r w:rsidRPr="00E73D4B">
        <w:t xml:space="preserve"> </w:t>
      </w:r>
      <w:proofErr w:type="spellStart"/>
      <w:r w:rsidRPr="00E73D4B">
        <w:t>berekraftig</w:t>
      </w:r>
      <w:proofErr w:type="spellEnd"/>
      <w:r w:rsidRPr="00E73D4B">
        <w:t xml:space="preserve"> på sikt, og bidra til stabil finansiering </w:t>
      </w:r>
      <w:proofErr w:type="spellStart"/>
      <w:r w:rsidRPr="00E73D4B">
        <w:t>frå</w:t>
      </w:r>
      <w:proofErr w:type="spellEnd"/>
      <w:r w:rsidRPr="00E73D4B">
        <w:t xml:space="preserve"> </w:t>
      </w:r>
      <w:proofErr w:type="spellStart"/>
      <w:r w:rsidRPr="00E73D4B">
        <w:t>fylkeskommunane</w:t>
      </w:r>
      <w:proofErr w:type="spellEnd"/>
      <w:r w:rsidRPr="00E73D4B">
        <w:t xml:space="preserve">. Det skal </w:t>
      </w:r>
      <w:proofErr w:type="spellStart"/>
      <w:r w:rsidRPr="00E73D4B">
        <w:t>forskast</w:t>
      </w:r>
      <w:proofErr w:type="spellEnd"/>
      <w:r w:rsidRPr="00E73D4B">
        <w:t xml:space="preserve"> på forsøket, og </w:t>
      </w:r>
      <w:proofErr w:type="spellStart"/>
      <w:r w:rsidRPr="00E73D4B">
        <w:t>ein</w:t>
      </w:r>
      <w:proofErr w:type="spellEnd"/>
      <w:r w:rsidRPr="00E73D4B">
        <w:t xml:space="preserve"> rapport skal </w:t>
      </w:r>
      <w:proofErr w:type="spellStart"/>
      <w:r w:rsidRPr="00E73D4B">
        <w:t>vere</w:t>
      </w:r>
      <w:proofErr w:type="spellEnd"/>
      <w:r w:rsidRPr="00E73D4B">
        <w:t xml:space="preserve"> klar </w:t>
      </w:r>
      <w:proofErr w:type="spellStart"/>
      <w:r w:rsidRPr="00E73D4B">
        <w:t>sommaren</w:t>
      </w:r>
      <w:proofErr w:type="spellEnd"/>
      <w:r w:rsidRPr="00E73D4B">
        <w:t xml:space="preserve"> 2023. Regjeringa vil vurdere </w:t>
      </w:r>
      <w:proofErr w:type="spellStart"/>
      <w:r w:rsidRPr="00E73D4B">
        <w:t>kva</w:t>
      </w:r>
      <w:proofErr w:type="spellEnd"/>
      <w:r w:rsidRPr="00E73D4B">
        <w:t xml:space="preserve"> som bør </w:t>
      </w:r>
      <w:proofErr w:type="spellStart"/>
      <w:r w:rsidRPr="00E73D4B">
        <w:t>gjerast</w:t>
      </w:r>
      <w:proofErr w:type="spellEnd"/>
      <w:r w:rsidRPr="00E73D4B">
        <w:t xml:space="preserve"> </w:t>
      </w:r>
      <w:proofErr w:type="spellStart"/>
      <w:r w:rsidRPr="00E73D4B">
        <w:t>vidare</w:t>
      </w:r>
      <w:proofErr w:type="spellEnd"/>
      <w:r w:rsidRPr="00E73D4B">
        <w:t xml:space="preserve"> på dette området etter at rapporten er klar.</w:t>
      </w:r>
    </w:p>
    <w:p w14:paraId="4265F7E0"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 nr. 943, 20. mai 2021 med dette er </w:t>
      </w:r>
      <w:proofErr w:type="spellStart"/>
      <w:r w:rsidRPr="00E73D4B">
        <w:t>følgt</w:t>
      </w:r>
      <w:proofErr w:type="spellEnd"/>
      <w:r w:rsidRPr="00E73D4B">
        <w:t xml:space="preserve"> opp.</w:t>
      </w:r>
    </w:p>
    <w:p w14:paraId="5CE328AF" w14:textId="77777777" w:rsidR="00972395" w:rsidRPr="00E73D4B" w:rsidRDefault="00F120C7" w:rsidP="00E73D4B">
      <w:pPr>
        <w:pStyle w:val="avsnitt-tittel"/>
      </w:pPr>
      <w:r w:rsidRPr="00E73D4B">
        <w:t xml:space="preserve">Kunnskap om </w:t>
      </w:r>
      <w:proofErr w:type="spellStart"/>
      <w:r w:rsidRPr="00E73D4B">
        <w:t>fagskuleutdanning</w:t>
      </w:r>
      <w:proofErr w:type="spellEnd"/>
      <w:r w:rsidRPr="00E73D4B">
        <w:t xml:space="preserve"> i </w:t>
      </w:r>
      <w:proofErr w:type="spellStart"/>
      <w:r w:rsidRPr="00E73D4B">
        <w:t>rådgivingstenesta</w:t>
      </w:r>
      <w:proofErr w:type="spellEnd"/>
    </w:p>
    <w:p w14:paraId="119CB963" w14:textId="77777777" w:rsidR="00972395" w:rsidRPr="00E73D4B" w:rsidRDefault="00F120C7" w:rsidP="00E73D4B">
      <w:pPr>
        <w:pStyle w:val="avsnitt-undertittel"/>
      </w:pPr>
      <w:r w:rsidRPr="00E73D4B">
        <w:t>Vedtak nr. 944, 20. mai 2021</w:t>
      </w:r>
    </w:p>
    <w:p w14:paraId="4480CF73" w14:textId="77777777" w:rsidR="00972395" w:rsidRPr="00E73D4B" w:rsidRDefault="00F120C7" w:rsidP="00E73D4B">
      <w:pPr>
        <w:pStyle w:val="blokksit"/>
        <w:rPr>
          <w:rStyle w:val="kursiv"/>
        </w:rPr>
      </w:pPr>
      <w:r w:rsidRPr="00E73D4B">
        <w:rPr>
          <w:rStyle w:val="kursiv"/>
        </w:rPr>
        <w:t>Stortinget ber regjeringen ta initiativ til å øke kunnskapen om fagskoleutdanning i rådgivningstjenestene i skolen.</w:t>
      </w:r>
    </w:p>
    <w:p w14:paraId="1CA3495E"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3F4265C7" w14:textId="77777777" w:rsidR="00972395" w:rsidRPr="00E73D4B" w:rsidRDefault="00F120C7" w:rsidP="00E73D4B">
      <w:r w:rsidRPr="00E73D4B">
        <w:t xml:space="preserve">Departementet har gitt Direktoratet for </w:t>
      </w:r>
      <w:proofErr w:type="spellStart"/>
      <w:r w:rsidRPr="00E73D4B">
        <w:t>høgare</w:t>
      </w:r>
      <w:proofErr w:type="spellEnd"/>
      <w:r w:rsidRPr="00E73D4B">
        <w:t xml:space="preserve"> utdanning og kompetanse i oppdrag å vurdere korleis kunnskapen om </w:t>
      </w:r>
      <w:proofErr w:type="spellStart"/>
      <w:r w:rsidRPr="00E73D4B">
        <w:t>fagskulen</w:t>
      </w:r>
      <w:proofErr w:type="spellEnd"/>
      <w:r w:rsidRPr="00E73D4B">
        <w:t xml:space="preserve"> kan </w:t>
      </w:r>
      <w:proofErr w:type="spellStart"/>
      <w:r w:rsidRPr="00E73D4B">
        <w:t>aukast</w:t>
      </w:r>
      <w:proofErr w:type="spellEnd"/>
      <w:r w:rsidRPr="00E73D4B">
        <w:t xml:space="preserve"> i </w:t>
      </w:r>
      <w:proofErr w:type="spellStart"/>
      <w:r w:rsidRPr="00E73D4B">
        <w:t>rettleiingstenesta</w:t>
      </w:r>
      <w:proofErr w:type="spellEnd"/>
      <w:r w:rsidRPr="00E73D4B">
        <w:t xml:space="preserve"> i </w:t>
      </w:r>
      <w:proofErr w:type="spellStart"/>
      <w:r w:rsidRPr="00E73D4B">
        <w:t>skulen</w:t>
      </w:r>
      <w:proofErr w:type="spellEnd"/>
      <w:r w:rsidRPr="00E73D4B">
        <w:t xml:space="preserve"> og for andre som driv karriererettleiing i </w:t>
      </w:r>
      <w:proofErr w:type="spellStart"/>
      <w:r w:rsidRPr="00E73D4B">
        <w:t>vidaregåande</w:t>
      </w:r>
      <w:proofErr w:type="spellEnd"/>
      <w:r w:rsidRPr="00E73D4B">
        <w:t xml:space="preserve"> opplæring.</w:t>
      </w:r>
    </w:p>
    <w:p w14:paraId="714759D5"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 nr. 944, 20. mai 2021 med dette er </w:t>
      </w:r>
      <w:proofErr w:type="spellStart"/>
      <w:r w:rsidRPr="00E73D4B">
        <w:t>følgt</w:t>
      </w:r>
      <w:proofErr w:type="spellEnd"/>
      <w:r w:rsidRPr="00E73D4B">
        <w:t xml:space="preserve"> opp.</w:t>
      </w:r>
    </w:p>
    <w:p w14:paraId="594E38B6" w14:textId="77777777" w:rsidR="00972395" w:rsidRPr="00E73D4B" w:rsidRDefault="00F120C7" w:rsidP="00E73D4B">
      <w:pPr>
        <w:pStyle w:val="avsnitt-tittel"/>
      </w:pPr>
      <w:r w:rsidRPr="00E73D4B">
        <w:t xml:space="preserve">Rekrutteringsstipend for </w:t>
      </w:r>
      <w:proofErr w:type="spellStart"/>
      <w:r w:rsidRPr="00E73D4B">
        <w:t>yrkesfaglærarutdanning</w:t>
      </w:r>
      <w:proofErr w:type="spellEnd"/>
    </w:p>
    <w:p w14:paraId="28E29388" w14:textId="77777777" w:rsidR="00972395" w:rsidRPr="00E73D4B" w:rsidRDefault="00F120C7" w:rsidP="00E73D4B">
      <w:pPr>
        <w:pStyle w:val="avsnitt-undertittel"/>
      </w:pPr>
      <w:r w:rsidRPr="00E73D4B">
        <w:t>Vedtak nr. 945, 20. mai 2021</w:t>
      </w:r>
    </w:p>
    <w:p w14:paraId="17429416" w14:textId="77777777" w:rsidR="00972395" w:rsidRPr="00E73D4B" w:rsidRDefault="00F120C7" w:rsidP="00E73D4B">
      <w:pPr>
        <w:pStyle w:val="blokksit"/>
        <w:rPr>
          <w:rStyle w:val="kursiv"/>
        </w:rPr>
      </w:pPr>
      <w:r w:rsidRPr="00E73D4B">
        <w:rPr>
          <w:rStyle w:val="kursiv"/>
        </w:rPr>
        <w:t>Stortinget ber regjeringen styrke ordningen med rekrutteringsstipend for personer utenfor skolesektoren som ønsker å ta en yrkesfaglærerutdanning for å jobbe i skolen.</w:t>
      </w:r>
    </w:p>
    <w:p w14:paraId="7037D500"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28F34601" w14:textId="77777777" w:rsidR="00972395" w:rsidRPr="00E73D4B" w:rsidRDefault="00F120C7" w:rsidP="00E73D4B">
      <w:r w:rsidRPr="00E73D4B">
        <w:t xml:space="preserve">Utdanningsdirektoratet administrerer ordninga med utdannings- og rekrutteringsstipend til kvalifisering av </w:t>
      </w:r>
      <w:proofErr w:type="gramStart"/>
      <w:r w:rsidRPr="00E73D4B">
        <w:t>tilsette</w:t>
      </w:r>
      <w:proofErr w:type="gramEnd"/>
      <w:r w:rsidRPr="00E73D4B">
        <w:t xml:space="preserve"> som har undervisningsstilling, men som </w:t>
      </w:r>
      <w:proofErr w:type="spellStart"/>
      <w:r w:rsidRPr="00E73D4B">
        <w:t>manglar</w:t>
      </w:r>
      <w:proofErr w:type="spellEnd"/>
      <w:r w:rsidRPr="00E73D4B">
        <w:t xml:space="preserve"> </w:t>
      </w:r>
      <w:proofErr w:type="spellStart"/>
      <w:r w:rsidRPr="00E73D4B">
        <w:t>godkjend</w:t>
      </w:r>
      <w:proofErr w:type="spellEnd"/>
      <w:r w:rsidRPr="00E73D4B">
        <w:t xml:space="preserve"> </w:t>
      </w:r>
      <w:proofErr w:type="spellStart"/>
      <w:r w:rsidRPr="00E73D4B">
        <w:t>lærarutdanning</w:t>
      </w:r>
      <w:proofErr w:type="spellEnd"/>
      <w:r w:rsidRPr="00E73D4B">
        <w:t xml:space="preserve">, og rekruttering av </w:t>
      </w:r>
      <w:proofErr w:type="spellStart"/>
      <w:r w:rsidRPr="00E73D4B">
        <w:t>personar</w:t>
      </w:r>
      <w:proofErr w:type="spellEnd"/>
      <w:r w:rsidRPr="00E73D4B">
        <w:t xml:space="preserve"> som </w:t>
      </w:r>
      <w:proofErr w:type="spellStart"/>
      <w:r w:rsidRPr="00E73D4B">
        <w:t>enno</w:t>
      </w:r>
      <w:proofErr w:type="spellEnd"/>
      <w:r w:rsidRPr="00E73D4B">
        <w:t xml:space="preserve"> </w:t>
      </w:r>
      <w:proofErr w:type="spellStart"/>
      <w:r w:rsidRPr="00E73D4B">
        <w:t>ikkje</w:t>
      </w:r>
      <w:proofErr w:type="spellEnd"/>
      <w:r w:rsidRPr="00E73D4B">
        <w:t xml:space="preserve"> er tilsette i </w:t>
      </w:r>
      <w:proofErr w:type="spellStart"/>
      <w:r w:rsidRPr="00E73D4B">
        <w:t>skulen</w:t>
      </w:r>
      <w:proofErr w:type="spellEnd"/>
      <w:r w:rsidRPr="00E73D4B">
        <w:t xml:space="preserve">. I 2022 godkjente direktoratet totalt 637 søknader om utdannings- og rekrutteringsstipend, og av </w:t>
      </w:r>
      <w:proofErr w:type="spellStart"/>
      <w:r w:rsidRPr="00E73D4B">
        <w:t>desse</w:t>
      </w:r>
      <w:proofErr w:type="spellEnd"/>
      <w:r w:rsidRPr="00E73D4B">
        <w:t xml:space="preserve"> var det 178 stipend til </w:t>
      </w:r>
      <w:proofErr w:type="spellStart"/>
      <w:r w:rsidRPr="00E73D4B">
        <w:t>yrkesfaglærarutdanninga</w:t>
      </w:r>
      <w:proofErr w:type="spellEnd"/>
      <w:r w:rsidRPr="00E73D4B">
        <w:t xml:space="preserve">. Ifølge Utdanningsdirektoratet </w:t>
      </w:r>
      <w:proofErr w:type="spellStart"/>
      <w:r w:rsidRPr="00E73D4B">
        <w:t>fekk</w:t>
      </w:r>
      <w:proofErr w:type="spellEnd"/>
      <w:r w:rsidRPr="00E73D4B">
        <w:t xml:space="preserve"> alle </w:t>
      </w:r>
      <w:proofErr w:type="spellStart"/>
      <w:r w:rsidRPr="00E73D4B">
        <w:t>skuleeigarar</w:t>
      </w:r>
      <w:proofErr w:type="spellEnd"/>
      <w:r w:rsidRPr="00E73D4B">
        <w:t xml:space="preserve"> godkjent søknadene sine om den typen stipend som er omtalt i oppmodingsvedtaket. Departementet meiner at dette viser at dekningsgraden for stipendet er god, og at ordninga fungerer godt i dag. Departementet vurderer derfor situasjonen slik at det </w:t>
      </w:r>
      <w:proofErr w:type="spellStart"/>
      <w:r w:rsidRPr="00E73D4B">
        <w:t>ikkje</w:t>
      </w:r>
      <w:proofErr w:type="spellEnd"/>
      <w:r w:rsidRPr="00E73D4B">
        <w:t xml:space="preserve"> er behov for å styrke ordninga no. Departementet vil følge med på dekningsgraden og vurdere tiltak dersom det i framtida viser seg at det blir oversøking når </w:t>
      </w:r>
      <w:proofErr w:type="gramStart"/>
      <w:r w:rsidRPr="00E73D4B">
        <w:t xml:space="preserve">det </w:t>
      </w:r>
      <w:proofErr w:type="spellStart"/>
      <w:r w:rsidRPr="00E73D4B">
        <w:t>gjeld</w:t>
      </w:r>
      <w:proofErr w:type="spellEnd"/>
      <w:r w:rsidRPr="00E73D4B">
        <w:t xml:space="preserve"> stipendet</w:t>
      </w:r>
      <w:proofErr w:type="gramEnd"/>
      <w:r w:rsidRPr="00E73D4B">
        <w:t xml:space="preserve"> for </w:t>
      </w:r>
      <w:proofErr w:type="spellStart"/>
      <w:r w:rsidRPr="00E73D4B">
        <w:t>yrkesfaglærarutdanninga</w:t>
      </w:r>
      <w:proofErr w:type="spellEnd"/>
      <w:r w:rsidRPr="00E73D4B">
        <w:t>.</w:t>
      </w:r>
    </w:p>
    <w:p w14:paraId="17D16883"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 nr. 945, 20. mai 2021 med dette er </w:t>
      </w:r>
      <w:proofErr w:type="spellStart"/>
      <w:r w:rsidRPr="00E73D4B">
        <w:t>følgt</w:t>
      </w:r>
      <w:proofErr w:type="spellEnd"/>
      <w:r w:rsidRPr="00E73D4B">
        <w:t xml:space="preserve"> opp.</w:t>
      </w:r>
    </w:p>
    <w:p w14:paraId="57A31C64" w14:textId="77777777" w:rsidR="00972395" w:rsidRPr="00E73D4B" w:rsidRDefault="00F120C7" w:rsidP="00E73D4B">
      <w:pPr>
        <w:pStyle w:val="avsnitt-tittel"/>
      </w:pPr>
      <w:r w:rsidRPr="00E73D4B">
        <w:t xml:space="preserve">Hospiteringsordning for </w:t>
      </w:r>
      <w:proofErr w:type="spellStart"/>
      <w:r w:rsidRPr="00E73D4B">
        <w:t>yrkesfaglærarar</w:t>
      </w:r>
      <w:proofErr w:type="spellEnd"/>
    </w:p>
    <w:p w14:paraId="27850803" w14:textId="77777777" w:rsidR="00972395" w:rsidRPr="00E73D4B" w:rsidRDefault="00F120C7" w:rsidP="00E73D4B">
      <w:pPr>
        <w:pStyle w:val="avsnitt-undertittel"/>
      </w:pPr>
      <w:r w:rsidRPr="00E73D4B">
        <w:t>Vedtak nr. 946, 20. mai 2021</w:t>
      </w:r>
    </w:p>
    <w:p w14:paraId="35913335" w14:textId="77777777" w:rsidR="00972395" w:rsidRPr="00E73D4B" w:rsidRDefault="00F120C7" w:rsidP="00E73D4B">
      <w:pPr>
        <w:pStyle w:val="blokksit"/>
        <w:rPr>
          <w:rStyle w:val="kursiv"/>
        </w:rPr>
      </w:pPr>
      <w:r w:rsidRPr="00E73D4B">
        <w:rPr>
          <w:rStyle w:val="kursiv"/>
        </w:rPr>
        <w:t>Stortinget ber regjeringen styrke hospiteringsordningen for yrkesfaglærere.</w:t>
      </w:r>
    </w:p>
    <w:p w14:paraId="1E66431C"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54294E41" w14:textId="77777777" w:rsidR="00972395" w:rsidRPr="00E73D4B" w:rsidRDefault="00F120C7" w:rsidP="00E73D4B">
      <w:r w:rsidRPr="00E73D4B">
        <w:t xml:space="preserve">Departementet foreslår 100 mill. kroner til </w:t>
      </w:r>
      <w:proofErr w:type="spellStart"/>
      <w:r w:rsidRPr="00E73D4B">
        <w:t>Yrkesfaglærarløftet</w:t>
      </w:r>
      <w:proofErr w:type="spellEnd"/>
      <w:r w:rsidRPr="00E73D4B">
        <w:t xml:space="preserve"> i statsbudsjettet for 2023 over kap. 226, post 21. </w:t>
      </w:r>
      <w:proofErr w:type="spellStart"/>
      <w:r w:rsidRPr="00E73D4B">
        <w:t>Midlane</w:t>
      </w:r>
      <w:proofErr w:type="spellEnd"/>
      <w:r w:rsidRPr="00E73D4B">
        <w:t xml:space="preserve"> til </w:t>
      </w:r>
      <w:proofErr w:type="spellStart"/>
      <w:r w:rsidRPr="00E73D4B">
        <w:t>Yrkesfaglærarløftet</w:t>
      </w:r>
      <w:proofErr w:type="spellEnd"/>
      <w:r w:rsidRPr="00E73D4B">
        <w:t xml:space="preserve"> går mellom anna til </w:t>
      </w:r>
      <w:proofErr w:type="spellStart"/>
      <w:r w:rsidRPr="00E73D4B">
        <w:t>tilskotsordninga</w:t>
      </w:r>
      <w:proofErr w:type="spellEnd"/>
      <w:r w:rsidRPr="00E73D4B">
        <w:t xml:space="preserve"> for lokal kompetanseutvikling i fag- og yrkesopplæringa. </w:t>
      </w:r>
      <w:proofErr w:type="spellStart"/>
      <w:r w:rsidRPr="00E73D4B">
        <w:t>Innanfor</w:t>
      </w:r>
      <w:proofErr w:type="spellEnd"/>
      <w:r w:rsidRPr="00E73D4B">
        <w:t xml:space="preserve"> ordninga skal </w:t>
      </w:r>
      <w:proofErr w:type="spellStart"/>
      <w:r w:rsidRPr="00E73D4B">
        <w:t>fylkeskommunane</w:t>
      </w:r>
      <w:proofErr w:type="spellEnd"/>
      <w:r w:rsidRPr="00E73D4B">
        <w:t xml:space="preserve"> prioritere og planlegge kompetanseutvikling ut </w:t>
      </w:r>
      <w:proofErr w:type="spellStart"/>
      <w:r w:rsidRPr="00E73D4B">
        <w:t>frå</w:t>
      </w:r>
      <w:proofErr w:type="spellEnd"/>
      <w:r w:rsidRPr="00E73D4B">
        <w:t xml:space="preserve"> behova til lærebedrifter og </w:t>
      </w:r>
      <w:proofErr w:type="spellStart"/>
      <w:r w:rsidRPr="00E73D4B">
        <w:t>skular</w:t>
      </w:r>
      <w:proofErr w:type="spellEnd"/>
      <w:r w:rsidRPr="00E73D4B">
        <w:t xml:space="preserve"> lokalt. I 2021 var hospiteringsordninga blant tiltaka som blei </w:t>
      </w:r>
      <w:proofErr w:type="spellStart"/>
      <w:r w:rsidRPr="00E73D4B">
        <w:t>mykje</w:t>
      </w:r>
      <w:proofErr w:type="spellEnd"/>
      <w:r w:rsidRPr="00E73D4B">
        <w:t xml:space="preserve"> brukt i ordninga. Departementet meiner at </w:t>
      </w:r>
      <w:proofErr w:type="spellStart"/>
      <w:r w:rsidRPr="00E73D4B">
        <w:t>statlege</w:t>
      </w:r>
      <w:proofErr w:type="spellEnd"/>
      <w:r w:rsidRPr="00E73D4B">
        <w:t xml:space="preserve"> bidrag til kompetanseutvikling i fag- og yrkesopplæringa bør bygge på behova lokalt. Med satsinga på </w:t>
      </w:r>
      <w:proofErr w:type="spellStart"/>
      <w:r w:rsidRPr="00E73D4B">
        <w:t>Yrkesfaglærarløftet</w:t>
      </w:r>
      <w:proofErr w:type="spellEnd"/>
      <w:r w:rsidRPr="00E73D4B">
        <w:t xml:space="preserve"> er det lagt til rette for </w:t>
      </w:r>
      <w:proofErr w:type="spellStart"/>
      <w:r w:rsidRPr="00E73D4B">
        <w:t>auka</w:t>
      </w:r>
      <w:proofErr w:type="spellEnd"/>
      <w:r w:rsidRPr="00E73D4B">
        <w:t xml:space="preserve"> bruk av </w:t>
      </w:r>
      <w:proofErr w:type="spellStart"/>
      <w:r w:rsidRPr="00E73D4B">
        <w:t>ordningar</w:t>
      </w:r>
      <w:proofErr w:type="spellEnd"/>
      <w:r w:rsidRPr="00E73D4B">
        <w:t xml:space="preserve"> for kompetanseutvikling som hospiteringsordninga.</w:t>
      </w:r>
    </w:p>
    <w:p w14:paraId="4FABFF96"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 nr. 946, 20. mai 2021 med dette er </w:t>
      </w:r>
      <w:proofErr w:type="spellStart"/>
      <w:r w:rsidRPr="00E73D4B">
        <w:t>følgt</w:t>
      </w:r>
      <w:proofErr w:type="spellEnd"/>
      <w:r w:rsidRPr="00E73D4B">
        <w:t xml:space="preserve"> opp.</w:t>
      </w:r>
    </w:p>
    <w:p w14:paraId="1478ED85" w14:textId="77777777" w:rsidR="00972395" w:rsidRPr="00E73D4B" w:rsidRDefault="00F120C7" w:rsidP="00E73D4B">
      <w:pPr>
        <w:pStyle w:val="avsnitt-tittel"/>
      </w:pPr>
      <w:r w:rsidRPr="00E73D4B">
        <w:t>Yrkesopplæring tilpassa arbeidslivet</w:t>
      </w:r>
    </w:p>
    <w:p w14:paraId="7E3CBA7D" w14:textId="77777777" w:rsidR="00972395" w:rsidRPr="00E73D4B" w:rsidRDefault="00F120C7" w:rsidP="00E73D4B">
      <w:pPr>
        <w:pStyle w:val="avsnitt-undertittel"/>
      </w:pPr>
      <w:r w:rsidRPr="00E73D4B">
        <w:t>Vedtak nr. 947, 20. mai 2021</w:t>
      </w:r>
    </w:p>
    <w:p w14:paraId="7ACB4FEF" w14:textId="77777777" w:rsidR="00972395" w:rsidRPr="00E73D4B" w:rsidRDefault="00F120C7" w:rsidP="00E73D4B">
      <w:pPr>
        <w:pStyle w:val="blokksit"/>
        <w:rPr>
          <w:rStyle w:val="kursiv"/>
        </w:rPr>
      </w:pPr>
      <w:r w:rsidRPr="00E73D4B">
        <w:rPr>
          <w:rStyle w:val="kursiv"/>
        </w:rPr>
        <w:t>Stortinget ber regjeringen sørge for at det etableres en tettere kobling mellom avgivende skoler og lærebedrifter også gjennom lærlingtiden, slik at innholdet i yrkesopplæringen blir best mulig tilpasset arbeidslivets behov.</w:t>
      </w:r>
    </w:p>
    <w:p w14:paraId="64C66DD9"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2B70F892" w14:textId="77777777" w:rsidR="00972395" w:rsidRPr="00E73D4B" w:rsidRDefault="00F120C7" w:rsidP="00E73D4B">
      <w:proofErr w:type="spellStart"/>
      <w:r w:rsidRPr="00E73D4B">
        <w:t>Yrkesfagleg</w:t>
      </w:r>
      <w:proofErr w:type="spellEnd"/>
      <w:r w:rsidRPr="00E73D4B">
        <w:t xml:space="preserve"> opplæring er </w:t>
      </w:r>
      <w:proofErr w:type="spellStart"/>
      <w:r w:rsidRPr="00E73D4B">
        <w:t>eit</w:t>
      </w:r>
      <w:proofErr w:type="spellEnd"/>
      <w:r w:rsidRPr="00E73D4B">
        <w:t xml:space="preserve"> samarbeid mellom </w:t>
      </w:r>
      <w:proofErr w:type="spellStart"/>
      <w:r w:rsidRPr="00E73D4B">
        <w:t>fylkeskommunane</w:t>
      </w:r>
      <w:proofErr w:type="spellEnd"/>
      <w:r w:rsidRPr="00E73D4B">
        <w:t xml:space="preserve">, </w:t>
      </w:r>
      <w:proofErr w:type="spellStart"/>
      <w:r w:rsidRPr="00E73D4B">
        <w:t>skulane</w:t>
      </w:r>
      <w:proofErr w:type="spellEnd"/>
      <w:r w:rsidRPr="00E73D4B">
        <w:t xml:space="preserve">, </w:t>
      </w:r>
      <w:proofErr w:type="spellStart"/>
      <w:r w:rsidRPr="00E73D4B">
        <w:t>verksemder</w:t>
      </w:r>
      <w:proofErr w:type="spellEnd"/>
      <w:r w:rsidRPr="00E73D4B">
        <w:t xml:space="preserve"> og bedrifter. Det er viktig at alle </w:t>
      </w:r>
      <w:proofErr w:type="spellStart"/>
      <w:r w:rsidRPr="00E73D4B">
        <w:t>partar</w:t>
      </w:r>
      <w:proofErr w:type="spellEnd"/>
      <w:r w:rsidRPr="00E73D4B">
        <w:t xml:space="preserve"> </w:t>
      </w:r>
      <w:proofErr w:type="spellStart"/>
      <w:r w:rsidRPr="00E73D4B">
        <w:t>bidreg</w:t>
      </w:r>
      <w:proofErr w:type="spellEnd"/>
      <w:r w:rsidRPr="00E73D4B">
        <w:t xml:space="preserve"> i utarbeiding av </w:t>
      </w:r>
      <w:proofErr w:type="spellStart"/>
      <w:r w:rsidRPr="00E73D4B">
        <w:t>læreplanar</w:t>
      </w:r>
      <w:proofErr w:type="spellEnd"/>
      <w:r w:rsidRPr="00E73D4B">
        <w:t xml:space="preserve"> og </w:t>
      </w:r>
      <w:proofErr w:type="spellStart"/>
      <w:r w:rsidRPr="00E73D4B">
        <w:t>tilbodsstruktur</w:t>
      </w:r>
      <w:proofErr w:type="spellEnd"/>
      <w:r w:rsidRPr="00E73D4B">
        <w:t xml:space="preserve"> i tillegg til det </w:t>
      </w:r>
      <w:proofErr w:type="spellStart"/>
      <w:r w:rsidRPr="00E73D4B">
        <w:t>løpande</w:t>
      </w:r>
      <w:proofErr w:type="spellEnd"/>
      <w:r w:rsidRPr="00E73D4B">
        <w:t xml:space="preserve"> samarbeidet rundt </w:t>
      </w:r>
      <w:proofErr w:type="spellStart"/>
      <w:r w:rsidRPr="00E73D4B">
        <w:t>elevane</w:t>
      </w:r>
      <w:proofErr w:type="spellEnd"/>
      <w:r w:rsidRPr="00E73D4B">
        <w:t xml:space="preserve"> om kvalifisering og formidling til læreplass. Dette systemet er godt utvikla i dag. </w:t>
      </w:r>
      <w:proofErr w:type="spellStart"/>
      <w:r w:rsidRPr="00E73D4B">
        <w:t>Fylkeskommunane</w:t>
      </w:r>
      <w:proofErr w:type="spellEnd"/>
      <w:r w:rsidRPr="00E73D4B">
        <w:t xml:space="preserve"> har ansvaret for at </w:t>
      </w:r>
      <w:proofErr w:type="spellStart"/>
      <w:r w:rsidRPr="00E73D4B">
        <w:t>yrkesfagelevane</w:t>
      </w:r>
      <w:proofErr w:type="spellEnd"/>
      <w:r w:rsidRPr="00E73D4B">
        <w:t xml:space="preserve"> i Vg1 og Vg2 når kompetansemåla i </w:t>
      </w:r>
      <w:proofErr w:type="spellStart"/>
      <w:r w:rsidRPr="00E73D4B">
        <w:t>læreplanane</w:t>
      </w:r>
      <w:proofErr w:type="spellEnd"/>
      <w:r w:rsidRPr="00E73D4B">
        <w:t xml:space="preserve"> og blir kvalifiserte til læreplass, og lærebedriftene har ansvar for at lærlingen gjennom læretida når kompetansemåla i lærefaget i Vg3.</w:t>
      </w:r>
    </w:p>
    <w:p w14:paraId="27FCD19B"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 nr. 947, 20. mai 2021 med dette er </w:t>
      </w:r>
      <w:proofErr w:type="spellStart"/>
      <w:r w:rsidRPr="00E73D4B">
        <w:t>følgt</w:t>
      </w:r>
      <w:proofErr w:type="spellEnd"/>
      <w:r w:rsidRPr="00E73D4B">
        <w:t xml:space="preserve"> opp.</w:t>
      </w:r>
    </w:p>
    <w:p w14:paraId="2901F59C" w14:textId="77777777" w:rsidR="00972395" w:rsidRPr="00E73D4B" w:rsidRDefault="00F120C7" w:rsidP="00E73D4B">
      <w:pPr>
        <w:pStyle w:val="avsnitt-tittel"/>
      </w:pPr>
      <w:r w:rsidRPr="00E73D4B">
        <w:t>Prøveforsøk i yrkesfag etter Steigen-modellen</w:t>
      </w:r>
    </w:p>
    <w:p w14:paraId="4B383464" w14:textId="77777777" w:rsidR="00972395" w:rsidRPr="00E73D4B" w:rsidRDefault="00F120C7" w:rsidP="00E73D4B">
      <w:pPr>
        <w:pStyle w:val="avsnitt-undertittel"/>
      </w:pPr>
      <w:r w:rsidRPr="00E73D4B">
        <w:t>Vedtak nr. 948, 20. mai 2021</w:t>
      </w:r>
    </w:p>
    <w:p w14:paraId="463ECE8C" w14:textId="77777777" w:rsidR="00972395" w:rsidRPr="00E73D4B" w:rsidRDefault="00F120C7" w:rsidP="00E73D4B">
      <w:pPr>
        <w:pStyle w:val="blokksit"/>
        <w:rPr>
          <w:rStyle w:val="kursiv"/>
        </w:rPr>
      </w:pPr>
      <w:r w:rsidRPr="00E73D4B">
        <w:rPr>
          <w:rStyle w:val="kursiv"/>
        </w:rPr>
        <w:t>Stortinget ber regjeringen sørge for at det etableres prøveforsøk i yrkesfag etter Steigen-modellen i alle fylker.</w:t>
      </w:r>
    </w:p>
    <w:p w14:paraId="7286B21D"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346BF9E6" w14:textId="77777777" w:rsidR="00972395" w:rsidRPr="00E73D4B" w:rsidRDefault="00F120C7" w:rsidP="00E73D4B">
      <w:r w:rsidRPr="00E73D4B">
        <w:t xml:space="preserve">Det er </w:t>
      </w:r>
      <w:proofErr w:type="spellStart"/>
      <w:r w:rsidRPr="00E73D4B">
        <w:t>fylkeskommunane</w:t>
      </w:r>
      <w:proofErr w:type="spellEnd"/>
      <w:r w:rsidRPr="00E73D4B">
        <w:t xml:space="preserve"> som har ansvar for å tilby tilpassa opplæring og val av ulike </w:t>
      </w:r>
      <w:proofErr w:type="spellStart"/>
      <w:r w:rsidRPr="00E73D4B">
        <w:t>modellar</w:t>
      </w:r>
      <w:proofErr w:type="spellEnd"/>
      <w:r w:rsidRPr="00E73D4B">
        <w:t xml:space="preserve"> for opplæringa. </w:t>
      </w:r>
      <w:proofErr w:type="spellStart"/>
      <w:r w:rsidRPr="00E73D4B">
        <w:t>Opplæringslova</w:t>
      </w:r>
      <w:proofErr w:type="spellEnd"/>
      <w:r w:rsidRPr="00E73D4B">
        <w:t xml:space="preserve"> og rammefinansieringa av </w:t>
      </w:r>
      <w:proofErr w:type="spellStart"/>
      <w:r w:rsidRPr="00E73D4B">
        <w:t>fylkeskommunane</w:t>
      </w:r>
      <w:proofErr w:type="spellEnd"/>
      <w:r w:rsidRPr="00E73D4B">
        <w:t xml:space="preserve"> gir </w:t>
      </w:r>
      <w:proofErr w:type="spellStart"/>
      <w:r w:rsidRPr="00E73D4B">
        <w:t>skuleeigarar</w:t>
      </w:r>
      <w:proofErr w:type="spellEnd"/>
      <w:r w:rsidRPr="00E73D4B">
        <w:t xml:space="preserve"> fridom til å prøve ut ulike </w:t>
      </w:r>
      <w:proofErr w:type="spellStart"/>
      <w:r w:rsidRPr="00E73D4B">
        <w:t>modellar</w:t>
      </w:r>
      <w:proofErr w:type="spellEnd"/>
      <w:r w:rsidRPr="00E73D4B">
        <w:t xml:space="preserve"> tilpassa lokalt arbeidsliv og behova </w:t>
      </w:r>
      <w:proofErr w:type="spellStart"/>
      <w:r w:rsidRPr="00E73D4B">
        <w:t>elevane</w:t>
      </w:r>
      <w:proofErr w:type="spellEnd"/>
      <w:r w:rsidRPr="00E73D4B">
        <w:t xml:space="preserve"> og </w:t>
      </w:r>
      <w:proofErr w:type="spellStart"/>
      <w:r w:rsidRPr="00E73D4B">
        <w:t>lærlingane</w:t>
      </w:r>
      <w:proofErr w:type="spellEnd"/>
      <w:r w:rsidRPr="00E73D4B">
        <w:t xml:space="preserve"> har for opplæring, som til dømes Steigen-modellen. Det er også </w:t>
      </w:r>
      <w:proofErr w:type="spellStart"/>
      <w:r w:rsidRPr="00E73D4B">
        <w:t>mogleg</w:t>
      </w:r>
      <w:proofErr w:type="spellEnd"/>
      <w:r w:rsidRPr="00E73D4B">
        <w:t xml:space="preserve"> å søke om forsøk for å prøve </w:t>
      </w:r>
      <w:proofErr w:type="spellStart"/>
      <w:r w:rsidRPr="00E73D4B">
        <w:t>modellar</w:t>
      </w:r>
      <w:proofErr w:type="spellEnd"/>
      <w:r w:rsidRPr="00E73D4B">
        <w:t xml:space="preserve"> for opplæring som </w:t>
      </w:r>
      <w:proofErr w:type="spellStart"/>
      <w:r w:rsidRPr="00E73D4B">
        <w:t>ikkje</w:t>
      </w:r>
      <w:proofErr w:type="spellEnd"/>
      <w:r w:rsidRPr="00E73D4B">
        <w:t xml:space="preserve"> ligg </w:t>
      </w:r>
      <w:proofErr w:type="spellStart"/>
      <w:r w:rsidRPr="00E73D4B">
        <w:t>innanfor</w:t>
      </w:r>
      <w:proofErr w:type="spellEnd"/>
      <w:r w:rsidRPr="00E73D4B">
        <w:t xml:space="preserve"> lovverket.</w:t>
      </w:r>
    </w:p>
    <w:p w14:paraId="2D5EADAB" w14:textId="77777777" w:rsidR="00972395" w:rsidRPr="00E73D4B" w:rsidRDefault="00F120C7" w:rsidP="00E73D4B">
      <w:r w:rsidRPr="00E73D4B">
        <w:t xml:space="preserve">Regjeringa gjennomfører ei kraftig satsing på yrkesfaga. I statsbudsjettet for 2023 foreslår regjeringa om lag 460 mill. kroner for å styrke arbeidet for </w:t>
      </w:r>
      <w:proofErr w:type="spellStart"/>
      <w:r w:rsidRPr="00E73D4B">
        <w:t>fleire</w:t>
      </w:r>
      <w:proofErr w:type="spellEnd"/>
      <w:r w:rsidRPr="00E73D4B">
        <w:t xml:space="preserve"> </w:t>
      </w:r>
      <w:proofErr w:type="spellStart"/>
      <w:r w:rsidRPr="00E73D4B">
        <w:t>læreplassar</w:t>
      </w:r>
      <w:proofErr w:type="spellEnd"/>
      <w:r w:rsidRPr="00E73D4B">
        <w:t xml:space="preserve"> og bidra til kvalifisering og formidling til </w:t>
      </w:r>
      <w:proofErr w:type="spellStart"/>
      <w:r w:rsidRPr="00E73D4B">
        <w:t>læreplassar</w:t>
      </w:r>
      <w:proofErr w:type="spellEnd"/>
      <w:r w:rsidRPr="00E73D4B">
        <w:t xml:space="preserve"> i fag- og yrkesopplæringa, jf. kap. 225, post 69. </w:t>
      </w:r>
      <w:proofErr w:type="spellStart"/>
      <w:r w:rsidRPr="00E73D4B">
        <w:t>Tilskotsmidlane</w:t>
      </w:r>
      <w:proofErr w:type="spellEnd"/>
      <w:r w:rsidRPr="00E73D4B">
        <w:t xml:space="preserve"> til betre læreplassformidling og kvalifisering </w:t>
      </w:r>
      <w:proofErr w:type="spellStart"/>
      <w:r w:rsidRPr="00E73D4B">
        <w:t>legg</w:t>
      </w:r>
      <w:proofErr w:type="spellEnd"/>
      <w:r w:rsidRPr="00E73D4B">
        <w:t xml:space="preserve"> til rette for at </w:t>
      </w:r>
      <w:proofErr w:type="spellStart"/>
      <w:r w:rsidRPr="00E73D4B">
        <w:t>fleire</w:t>
      </w:r>
      <w:proofErr w:type="spellEnd"/>
      <w:r w:rsidRPr="00E73D4B">
        <w:t xml:space="preserve"> </w:t>
      </w:r>
      <w:proofErr w:type="spellStart"/>
      <w:r w:rsidRPr="00E73D4B">
        <w:t>fylkeskommunar</w:t>
      </w:r>
      <w:proofErr w:type="spellEnd"/>
      <w:r w:rsidRPr="00E73D4B">
        <w:t xml:space="preserve"> kan ta i bruk </w:t>
      </w:r>
      <w:proofErr w:type="spellStart"/>
      <w:r w:rsidRPr="00E73D4B">
        <w:t>modellar</w:t>
      </w:r>
      <w:proofErr w:type="spellEnd"/>
      <w:r w:rsidRPr="00E73D4B">
        <w:t xml:space="preserve"> som Steigen-modellen, der </w:t>
      </w:r>
      <w:proofErr w:type="spellStart"/>
      <w:r w:rsidRPr="00E73D4B">
        <w:t>elevane</w:t>
      </w:r>
      <w:proofErr w:type="spellEnd"/>
      <w:r w:rsidRPr="00E73D4B">
        <w:t xml:space="preserve"> blir utplasserte i bedrift </w:t>
      </w:r>
      <w:proofErr w:type="spellStart"/>
      <w:r w:rsidRPr="00E73D4B">
        <w:t>frå</w:t>
      </w:r>
      <w:proofErr w:type="spellEnd"/>
      <w:r w:rsidRPr="00E73D4B">
        <w:t xml:space="preserve"> første dag. Modellen er </w:t>
      </w:r>
      <w:proofErr w:type="spellStart"/>
      <w:r w:rsidRPr="00E73D4B">
        <w:t>særleg</w:t>
      </w:r>
      <w:proofErr w:type="spellEnd"/>
      <w:r w:rsidRPr="00E73D4B">
        <w:t xml:space="preserve"> relevant for </w:t>
      </w:r>
      <w:proofErr w:type="spellStart"/>
      <w:r w:rsidRPr="00E73D4B">
        <w:t>spreiddbygde</w:t>
      </w:r>
      <w:proofErr w:type="spellEnd"/>
      <w:r w:rsidRPr="00E73D4B">
        <w:t xml:space="preserve"> </w:t>
      </w:r>
      <w:proofErr w:type="spellStart"/>
      <w:r w:rsidRPr="00E73D4B">
        <w:t>delar</w:t>
      </w:r>
      <w:proofErr w:type="spellEnd"/>
      <w:r w:rsidRPr="00E73D4B">
        <w:t xml:space="preserve"> av landet.</w:t>
      </w:r>
    </w:p>
    <w:p w14:paraId="24394D0B"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 nr. 948, 20. mai 2021 med dette er </w:t>
      </w:r>
      <w:proofErr w:type="spellStart"/>
      <w:r w:rsidRPr="00E73D4B">
        <w:t>følgt</w:t>
      </w:r>
      <w:proofErr w:type="spellEnd"/>
      <w:r w:rsidRPr="00E73D4B">
        <w:t xml:space="preserve"> opp.</w:t>
      </w:r>
    </w:p>
    <w:p w14:paraId="454D6341" w14:textId="77777777" w:rsidR="00972395" w:rsidRPr="00E73D4B" w:rsidRDefault="00F120C7" w:rsidP="00E73D4B">
      <w:pPr>
        <w:pStyle w:val="avsnitt-tittel"/>
      </w:pPr>
      <w:r w:rsidRPr="00E73D4B">
        <w:t xml:space="preserve">Undervisningsutstyr i tekniske fag i </w:t>
      </w:r>
      <w:proofErr w:type="spellStart"/>
      <w:r w:rsidRPr="00E73D4B">
        <w:t>vidaregåande</w:t>
      </w:r>
      <w:proofErr w:type="spellEnd"/>
      <w:r w:rsidRPr="00E73D4B">
        <w:t xml:space="preserve"> opplæring</w:t>
      </w:r>
    </w:p>
    <w:p w14:paraId="44E5A0A9" w14:textId="77777777" w:rsidR="00972395" w:rsidRPr="00E73D4B" w:rsidRDefault="00F120C7" w:rsidP="00E73D4B">
      <w:pPr>
        <w:pStyle w:val="avsnitt-undertittel"/>
      </w:pPr>
      <w:r w:rsidRPr="00E73D4B">
        <w:t>Vedtak nr. 949, 20. mai 2021</w:t>
      </w:r>
    </w:p>
    <w:p w14:paraId="38514A63" w14:textId="77777777" w:rsidR="00972395" w:rsidRPr="00E73D4B" w:rsidRDefault="00F120C7" w:rsidP="00E73D4B">
      <w:pPr>
        <w:pStyle w:val="blokksit"/>
        <w:rPr>
          <w:rStyle w:val="kursiv"/>
        </w:rPr>
      </w:pPr>
      <w:r w:rsidRPr="00E73D4B">
        <w:rPr>
          <w:rStyle w:val="kursiv"/>
        </w:rPr>
        <w:t>Stortinget ber regjeringen tilrettelegge for at det utvikles en bransjestandard med et minimumsnivå for undervisningsutstyr i tekniske fag i videregående skoler. Det er arbeidet med en bransjestandard for Teknikk og industriell produksjon (TIP). En slik standard kan følges opp med en samordning av innkjøp og vedlikehold av utstyret.</w:t>
      </w:r>
    </w:p>
    <w:p w14:paraId="219F8D63"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00FFC524" w14:textId="77777777" w:rsidR="00972395" w:rsidRPr="00E73D4B" w:rsidRDefault="00F120C7" w:rsidP="00E73D4B">
      <w:r w:rsidRPr="00E73D4B">
        <w:t xml:space="preserve">Departementet viser til omtalen av oppfølginga av vedtak nr. 943, 20. mai 2021. </w:t>
      </w:r>
      <w:proofErr w:type="spellStart"/>
      <w:r w:rsidRPr="00E73D4B">
        <w:t>Vurderingane</w:t>
      </w:r>
      <w:proofErr w:type="spellEnd"/>
      <w:r w:rsidRPr="00E73D4B">
        <w:t xml:space="preserve"> som departementet har presentert i samband med det vedtaket, gjeld òg for vedtak nr. 949, 20. mai 2021.</w:t>
      </w:r>
    </w:p>
    <w:p w14:paraId="6F3AB610"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 nr. 949, 20. mai med dette er </w:t>
      </w:r>
      <w:proofErr w:type="spellStart"/>
      <w:r w:rsidRPr="00E73D4B">
        <w:t>følgt</w:t>
      </w:r>
      <w:proofErr w:type="spellEnd"/>
      <w:r w:rsidRPr="00E73D4B">
        <w:t xml:space="preserve"> opp.</w:t>
      </w:r>
    </w:p>
    <w:p w14:paraId="3A6788AA" w14:textId="77777777" w:rsidR="00972395" w:rsidRPr="00E73D4B" w:rsidRDefault="00F120C7" w:rsidP="00E73D4B">
      <w:pPr>
        <w:pStyle w:val="avsnitt-tittel"/>
      </w:pPr>
      <w:proofErr w:type="spellStart"/>
      <w:r w:rsidRPr="00E73D4B">
        <w:t>Auka</w:t>
      </w:r>
      <w:proofErr w:type="spellEnd"/>
      <w:r w:rsidRPr="00E73D4B">
        <w:t xml:space="preserve"> utstyrsstipend</w:t>
      </w:r>
    </w:p>
    <w:p w14:paraId="30F2A2B9" w14:textId="77777777" w:rsidR="00972395" w:rsidRPr="00E73D4B" w:rsidRDefault="00F120C7" w:rsidP="00E73D4B">
      <w:pPr>
        <w:pStyle w:val="avsnitt-undertittel"/>
      </w:pPr>
      <w:r w:rsidRPr="00E73D4B">
        <w:t>Vedtak nr. 950, 20. mai 2021</w:t>
      </w:r>
    </w:p>
    <w:p w14:paraId="67595930" w14:textId="77777777" w:rsidR="00972395" w:rsidRPr="00E73D4B" w:rsidRDefault="00F120C7" w:rsidP="00E73D4B">
      <w:pPr>
        <w:pStyle w:val="blokksit"/>
        <w:rPr>
          <w:rStyle w:val="kursiv"/>
        </w:rPr>
      </w:pPr>
      <w:r w:rsidRPr="00E73D4B">
        <w:rPr>
          <w:rStyle w:val="kursiv"/>
        </w:rPr>
        <w:t>Stortinget ber regjeringen øke utstyrsstipendet til de dyreste studieretningene på videregående yrkesfag.</w:t>
      </w:r>
    </w:p>
    <w:p w14:paraId="69BF794D"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8:282 S (2020–2021)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Hanne Dyveke </w:t>
      </w:r>
      <w:proofErr w:type="spellStart"/>
      <w:r w:rsidRPr="00E73D4B">
        <w:rPr>
          <w:rStyle w:val="kursiv"/>
        </w:rPr>
        <w:t>Søttar</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Roy Steffensen, Silje Hjemdal, Terje Halleland om et yrkesfagløft for verdiskaping</w:t>
      </w:r>
      <w:r w:rsidRPr="00E73D4B">
        <w:t xml:space="preserve">, jf. </w:t>
      </w:r>
      <w:proofErr w:type="spellStart"/>
      <w:r w:rsidRPr="00E73D4B">
        <w:t>Innst</w:t>
      </w:r>
      <w:proofErr w:type="spellEnd"/>
      <w:r w:rsidRPr="00E73D4B">
        <w:t>. 414 S (2020–2021).</w:t>
      </w:r>
    </w:p>
    <w:p w14:paraId="719D6A44" w14:textId="77777777" w:rsidR="00972395" w:rsidRPr="00E73D4B" w:rsidRDefault="00F120C7" w:rsidP="00E73D4B">
      <w:r w:rsidRPr="00E73D4B">
        <w:t xml:space="preserve">Regjeringa er </w:t>
      </w:r>
      <w:proofErr w:type="spellStart"/>
      <w:r w:rsidRPr="00E73D4B">
        <w:t>oppteken</w:t>
      </w:r>
      <w:proofErr w:type="spellEnd"/>
      <w:r w:rsidRPr="00E73D4B">
        <w:t xml:space="preserve"> av fag- og yrkesopplæringa og av at </w:t>
      </w:r>
      <w:proofErr w:type="spellStart"/>
      <w:r w:rsidRPr="00E73D4B">
        <w:t>elevane</w:t>
      </w:r>
      <w:proofErr w:type="spellEnd"/>
      <w:r w:rsidRPr="00E73D4B">
        <w:t xml:space="preserve"> har nødvendig utstyr for å ta del i opplæringa på </w:t>
      </w:r>
      <w:proofErr w:type="spellStart"/>
      <w:r w:rsidRPr="00E73D4B">
        <w:t>ein</w:t>
      </w:r>
      <w:proofErr w:type="spellEnd"/>
      <w:r w:rsidRPr="00E73D4B">
        <w:t xml:space="preserve"> god måte. Utstyrsstipendet som </w:t>
      </w:r>
      <w:proofErr w:type="spellStart"/>
      <w:r w:rsidRPr="00E73D4B">
        <w:t>elevane</w:t>
      </w:r>
      <w:proofErr w:type="spellEnd"/>
      <w:r w:rsidRPr="00E73D4B">
        <w:t xml:space="preserve"> får </w:t>
      </w:r>
      <w:proofErr w:type="spellStart"/>
      <w:r w:rsidRPr="00E73D4B">
        <w:t>frå</w:t>
      </w:r>
      <w:proofErr w:type="spellEnd"/>
      <w:r w:rsidRPr="00E73D4B">
        <w:t xml:space="preserve"> Lånekassen, skal bidra til å dekke utgiftene </w:t>
      </w:r>
      <w:proofErr w:type="spellStart"/>
      <w:r w:rsidRPr="00E73D4B">
        <w:t>elevar</w:t>
      </w:r>
      <w:proofErr w:type="spellEnd"/>
      <w:r w:rsidRPr="00E73D4B">
        <w:t xml:space="preserve"> har til individuelt utstyr. For </w:t>
      </w:r>
      <w:proofErr w:type="spellStart"/>
      <w:r w:rsidRPr="00E73D4B">
        <w:t>nokre</w:t>
      </w:r>
      <w:proofErr w:type="spellEnd"/>
      <w:r w:rsidRPr="00E73D4B">
        <w:t xml:space="preserve"> utdanningsprogram har det </w:t>
      </w:r>
      <w:proofErr w:type="spellStart"/>
      <w:r w:rsidRPr="00E73D4B">
        <w:t>ikkje</w:t>
      </w:r>
      <w:proofErr w:type="spellEnd"/>
      <w:r w:rsidRPr="00E73D4B">
        <w:t xml:space="preserve"> </w:t>
      </w:r>
      <w:proofErr w:type="spellStart"/>
      <w:r w:rsidRPr="00E73D4B">
        <w:t>vore</w:t>
      </w:r>
      <w:proofErr w:type="spellEnd"/>
      <w:r w:rsidRPr="00E73D4B">
        <w:t xml:space="preserve"> godt nok samsvar mellom nivået på stipendet og utgiftene til </w:t>
      </w:r>
      <w:proofErr w:type="spellStart"/>
      <w:r w:rsidRPr="00E73D4B">
        <w:t>elevane</w:t>
      </w:r>
      <w:proofErr w:type="spellEnd"/>
      <w:r w:rsidRPr="00E73D4B">
        <w:t xml:space="preserve">. Regjeringa foreslår å </w:t>
      </w:r>
      <w:proofErr w:type="spellStart"/>
      <w:r w:rsidRPr="00E73D4B">
        <w:t>auke</w:t>
      </w:r>
      <w:proofErr w:type="spellEnd"/>
      <w:r w:rsidRPr="00E73D4B">
        <w:t xml:space="preserve"> løyvinga til utstyrsstipendet for </w:t>
      </w:r>
      <w:proofErr w:type="spellStart"/>
      <w:r w:rsidRPr="00E73D4B">
        <w:t>dei</w:t>
      </w:r>
      <w:proofErr w:type="spellEnd"/>
      <w:r w:rsidRPr="00E73D4B">
        <w:t xml:space="preserve"> yrkesfaglege utdanningsprogramma med om lag 50 mill. kroner, jf. omtale under programkategori 07.80 Utdanningsstøtte.</w:t>
      </w:r>
    </w:p>
    <w:p w14:paraId="3F02B71A" w14:textId="77777777" w:rsidR="00972395" w:rsidRPr="00E73D4B" w:rsidRDefault="00F120C7" w:rsidP="00E73D4B">
      <w:r w:rsidRPr="00E73D4B">
        <w:t xml:space="preserve"> Departementet </w:t>
      </w:r>
      <w:proofErr w:type="spellStart"/>
      <w:r w:rsidRPr="00E73D4B">
        <w:t>legg</w:t>
      </w:r>
      <w:proofErr w:type="spellEnd"/>
      <w:r w:rsidRPr="00E73D4B">
        <w:t xml:space="preserve"> til grunn at vedtak nr. 950, 20. mai med dette er </w:t>
      </w:r>
      <w:proofErr w:type="spellStart"/>
      <w:r w:rsidRPr="00E73D4B">
        <w:t>følgt</w:t>
      </w:r>
      <w:proofErr w:type="spellEnd"/>
      <w:r w:rsidRPr="00E73D4B">
        <w:t xml:space="preserve"> opp.</w:t>
      </w:r>
    </w:p>
    <w:p w14:paraId="663738C9" w14:textId="77777777" w:rsidR="00972395" w:rsidRPr="00E73D4B" w:rsidRDefault="00F120C7" w:rsidP="00E73D4B">
      <w:pPr>
        <w:pStyle w:val="avsnitt-tittel"/>
      </w:pPr>
      <w:r w:rsidRPr="00E73D4B">
        <w:t xml:space="preserve">Tilgang til </w:t>
      </w:r>
      <w:proofErr w:type="spellStart"/>
      <w:r w:rsidRPr="00E73D4B">
        <w:t>skulebygg</w:t>
      </w:r>
      <w:proofErr w:type="spellEnd"/>
      <w:r w:rsidRPr="00E73D4B">
        <w:t xml:space="preserve"> for </w:t>
      </w:r>
      <w:proofErr w:type="spellStart"/>
      <w:r w:rsidRPr="00E73D4B">
        <w:t>organisasjonar</w:t>
      </w:r>
      <w:proofErr w:type="spellEnd"/>
    </w:p>
    <w:p w14:paraId="6F8A56C6" w14:textId="77777777" w:rsidR="00972395" w:rsidRPr="00E73D4B" w:rsidRDefault="00F120C7" w:rsidP="00E73D4B">
      <w:pPr>
        <w:pStyle w:val="avsnitt-undertittel"/>
      </w:pPr>
      <w:r w:rsidRPr="00E73D4B">
        <w:t>Vedtak nr. 971, 11. mai 2021</w:t>
      </w:r>
    </w:p>
    <w:p w14:paraId="292FEF61" w14:textId="77777777" w:rsidR="00972395" w:rsidRPr="00E73D4B" w:rsidRDefault="00F120C7" w:rsidP="00E73D4B">
      <w:pPr>
        <w:pStyle w:val="blokksit"/>
        <w:rPr>
          <w:rStyle w:val="kursiv"/>
        </w:rPr>
      </w:pPr>
      <w:r w:rsidRPr="00E73D4B">
        <w:rPr>
          <w:rStyle w:val="kursiv"/>
        </w:rPr>
        <w:t>Stortinget ber regjeringen igjen gå i dialog med KS og Landsrådet for Norges barne- og ungdomsorganisasjoner med sikte på å sikre barne- og ungdomsorganisasjoner tilgang til skoler og andre offentlige bygninger lokalt og bidra til likebehandling ved utlån</w:t>
      </w:r>
      <w:r w:rsidRPr="00E73D4B">
        <w:t>.</w:t>
      </w:r>
    </w:p>
    <w:p w14:paraId="2EFF230C"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Dok</w:t>
      </w:r>
      <w:proofErr w:type="spellEnd"/>
      <w:r w:rsidRPr="00E73D4B">
        <w:t xml:space="preserve"> 8: 193 S (2020–2021</w:t>
      </w:r>
      <w:r w:rsidRPr="00E73D4B">
        <w:rPr>
          <w:rStyle w:val="kursiv"/>
        </w:rPr>
        <w:t xml:space="preserve">) Representantforslag fra Freddy André </w:t>
      </w:r>
      <w:proofErr w:type="spellStart"/>
      <w:r w:rsidRPr="00E73D4B">
        <w:rPr>
          <w:rStyle w:val="kursiv"/>
        </w:rPr>
        <w:t>Øvstegård</w:t>
      </w:r>
      <w:proofErr w:type="spellEnd"/>
      <w:r w:rsidRPr="00E73D4B">
        <w:rPr>
          <w:rStyle w:val="kursiv"/>
        </w:rPr>
        <w:t xml:space="preserve">, Nicholas Wilkinson, Karin Andersen, Eirik Faret Sakariassen, Kari Elisabeth </w:t>
      </w:r>
      <w:proofErr w:type="spellStart"/>
      <w:r w:rsidRPr="00E73D4B">
        <w:rPr>
          <w:rStyle w:val="kursiv"/>
        </w:rPr>
        <w:t>Kaski</w:t>
      </w:r>
      <w:proofErr w:type="spellEnd"/>
      <w:r w:rsidRPr="00E73D4B">
        <w:rPr>
          <w:rStyle w:val="kursiv"/>
        </w:rPr>
        <w:t xml:space="preserve"> og Lars Haltbrekken om å unngå en tapt generasjon for demokratiet, kulturen og idretten, </w:t>
      </w:r>
      <w:r w:rsidRPr="00E73D4B">
        <w:t xml:space="preserve">jf. </w:t>
      </w:r>
      <w:proofErr w:type="spellStart"/>
      <w:r w:rsidRPr="00E73D4B">
        <w:t>Innst</w:t>
      </w:r>
      <w:proofErr w:type="spellEnd"/>
      <w:r w:rsidRPr="00E73D4B">
        <w:t>. 423 S (2020–2021).</w:t>
      </w:r>
    </w:p>
    <w:p w14:paraId="0CF04FCA" w14:textId="77777777" w:rsidR="00972395" w:rsidRPr="00E73D4B" w:rsidRDefault="00F120C7" w:rsidP="00E73D4B">
      <w:r w:rsidRPr="00E73D4B">
        <w:t xml:space="preserve">Våren 2022 blei det utarbeidd </w:t>
      </w:r>
      <w:proofErr w:type="spellStart"/>
      <w:r w:rsidRPr="00E73D4B">
        <w:t>eit</w:t>
      </w:r>
      <w:proofErr w:type="spellEnd"/>
      <w:r w:rsidRPr="00E73D4B">
        <w:t xml:space="preserve"> felles brev </w:t>
      </w:r>
      <w:proofErr w:type="spellStart"/>
      <w:r w:rsidRPr="00E73D4B">
        <w:t>frå</w:t>
      </w:r>
      <w:proofErr w:type="spellEnd"/>
      <w:r w:rsidRPr="00E73D4B">
        <w:t xml:space="preserve"> KS, Landsrådet for Norges barne- og ungdomsorganisasjoner (LNU), Barne- og familiedepartementet, Kulturdepartementet, Arbeids- og inkluderingsdepartementet og Kunnskapsdepartementet til </w:t>
      </w:r>
      <w:proofErr w:type="spellStart"/>
      <w:r w:rsidRPr="00E73D4B">
        <w:t>kommunane</w:t>
      </w:r>
      <w:proofErr w:type="spellEnd"/>
      <w:r w:rsidRPr="00E73D4B">
        <w:t xml:space="preserve"> og </w:t>
      </w:r>
      <w:proofErr w:type="spellStart"/>
      <w:r w:rsidRPr="00E73D4B">
        <w:t>fylkeskommunane</w:t>
      </w:r>
      <w:proofErr w:type="spellEnd"/>
      <w:r w:rsidRPr="00E73D4B">
        <w:t xml:space="preserve"> med oppfordring om å gi frivillige </w:t>
      </w:r>
      <w:proofErr w:type="spellStart"/>
      <w:r w:rsidRPr="00E73D4B">
        <w:t>organisasjonar</w:t>
      </w:r>
      <w:proofErr w:type="spellEnd"/>
      <w:r w:rsidRPr="00E73D4B">
        <w:t xml:space="preserve"> tilgang til kommunale lokale. Brevet blei sendt </w:t>
      </w:r>
      <w:proofErr w:type="spellStart"/>
      <w:r w:rsidRPr="00E73D4B">
        <w:t>frå</w:t>
      </w:r>
      <w:proofErr w:type="spellEnd"/>
      <w:r w:rsidRPr="00E73D4B">
        <w:t xml:space="preserve"> Kunnskapsdepartementet 24. mai 2022.</w:t>
      </w:r>
    </w:p>
    <w:p w14:paraId="7A31B658"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vedtaket med dette er </w:t>
      </w:r>
      <w:proofErr w:type="spellStart"/>
      <w:r w:rsidRPr="00E73D4B">
        <w:t>følgt</w:t>
      </w:r>
      <w:proofErr w:type="spellEnd"/>
      <w:r w:rsidRPr="00E73D4B">
        <w:t xml:space="preserve"> opp.</w:t>
      </w:r>
    </w:p>
    <w:p w14:paraId="602D567D" w14:textId="77777777" w:rsidR="00972395" w:rsidRPr="00E73D4B" w:rsidRDefault="00F120C7" w:rsidP="00E73D4B">
      <w:pPr>
        <w:pStyle w:val="avsnitt-tittel"/>
      </w:pPr>
      <w:proofErr w:type="spellStart"/>
      <w:r w:rsidRPr="00E73D4B">
        <w:t>Opplæringslova</w:t>
      </w:r>
      <w:proofErr w:type="spellEnd"/>
      <w:r w:rsidRPr="00E73D4B">
        <w:t>, barnehagelova og FNs barnekonvensjon</w:t>
      </w:r>
    </w:p>
    <w:p w14:paraId="465BD173" w14:textId="77777777" w:rsidR="00972395" w:rsidRPr="00E73D4B" w:rsidRDefault="00F120C7" w:rsidP="00E73D4B">
      <w:pPr>
        <w:pStyle w:val="avsnitt-undertittel"/>
      </w:pPr>
      <w:r w:rsidRPr="00E73D4B">
        <w:t>Vedtak nr. 1017, 27. mai 2021</w:t>
      </w:r>
    </w:p>
    <w:p w14:paraId="4B7F1306" w14:textId="77777777" w:rsidR="00972395" w:rsidRPr="00E73D4B" w:rsidRDefault="00F120C7" w:rsidP="00E73D4B">
      <w:pPr>
        <w:pStyle w:val="blokksit"/>
        <w:rPr>
          <w:rStyle w:val="kursiv"/>
        </w:rPr>
      </w:pPr>
      <w:r w:rsidRPr="00E73D4B">
        <w:rPr>
          <w:rStyle w:val="kursiv"/>
        </w:rPr>
        <w:t xml:space="preserve">Stortinget ber regjeringa sikre at ny opplæringslov og barnehagelov er i tråd med FNs barnekonvensjon sine </w:t>
      </w:r>
      <w:proofErr w:type="spellStart"/>
      <w:r w:rsidRPr="00E73D4B">
        <w:rPr>
          <w:rStyle w:val="kursiv"/>
        </w:rPr>
        <w:t>grunnleggjande</w:t>
      </w:r>
      <w:proofErr w:type="spellEnd"/>
      <w:r w:rsidRPr="00E73D4B">
        <w:rPr>
          <w:rStyle w:val="kursiv"/>
        </w:rPr>
        <w:t xml:space="preserve"> </w:t>
      </w:r>
      <w:proofErr w:type="spellStart"/>
      <w:r w:rsidRPr="00E73D4B">
        <w:rPr>
          <w:rStyle w:val="kursiv"/>
        </w:rPr>
        <w:t>rettar</w:t>
      </w:r>
      <w:proofErr w:type="spellEnd"/>
      <w:r w:rsidRPr="00E73D4B">
        <w:rPr>
          <w:rStyle w:val="kursiv"/>
        </w:rPr>
        <w:t xml:space="preserve"> for framgangsmåte om barns rett til informasjon, til å uttale seg fritt, barns rett til privatliv og at alle </w:t>
      </w:r>
      <w:proofErr w:type="spellStart"/>
      <w:r w:rsidRPr="00E73D4B">
        <w:rPr>
          <w:rStyle w:val="kursiv"/>
        </w:rPr>
        <w:t>handlingar</w:t>
      </w:r>
      <w:proofErr w:type="spellEnd"/>
      <w:r w:rsidRPr="00E73D4B">
        <w:rPr>
          <w:rStyle w:val="kursiv"/>
        </w:rPr>
        <w:t xml:space="preserve"> og avgjerder som </w:t>
      </w:r>
      <w:proofErr w:type="spellStart"/>
      <w:r w:rsidRPr="00E73D4B">
        <w:rPr>
          <w:rStyle w:val="kursiv"/>
        </w:rPr>
        <w:t>omhandlar</w:t>
      </w:r>
      <w:proofErr w:type="spellEnd"/>
      <w:r w:rsidRPr="00E73D4B">
        <w:rPr>
          <w:rStyle w:val="kursiv"/>
        </w:rPr>
        <w:t xml:space="preserve"> barn, blir gjorde til barnets beste</w:t>
      </w:r>
      <w:r w:rsidRPr="00E73D4B">
        <w:t>.</w:t>
      </w:r>
    </w:p>
    <w:p w14:paraId="6509BCBF"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xml:space="preserve">. 145 L (2020–2021) </w:t>
      </w:r>
      <w:proofErr w:type="spellStart"/>
      <w:r w:rsidRPr="00E73D4B">
        <w:rPr>
          <w:rStyle w:val="kursiv"/>
        </w:rPr>
        <w:t>Endringar</w:t>
      </w:r>
      <w:proofErr w:type="spellEnd"/>
      <w:r w:rsidRPr="00E73D4B">
        <w:rPr>
          <w:rStyle w:val="kursiv"/>
        </w:rPr>
        <w:t xml:space="preserve"> i opplæringslova, </w:t>
      </w:r>
      <w:proofErr w:type="spellStart"/>
      <w:r w:rsidRPr="00E73D4B">
        <w:rPr>
          <w:rStyle w:val="kursiv"/>
        </w:rPr>
        <w:t>friskulelova</w:t>
      </w:r>
      <w:proofErr w:type="spellEnd"/>
      <w:r w:rsidRPr="00E73D4B">
        <w:rPr>
          <w:rStyle w:val="kursiv"/>
        </w:rPr>
        <w:t xml:space="preserve"> og barnehagelova (behandling av </w:t>
      </w:r>
      <w:proofErr w:type="spellStart"/>
      <w:r w:rsidRPr="00E73D4B">
        <w:rPr>
          <w:rStyle w:val="kursiv"/>
        </w:rPr>
        <w:t>personopplysningar</w:t>
      </w:r>
      <w:proofErr w:type="spellEnd"/>
      <w:r w:rsidRPr="00E73D4B">
        <w:rPr>
          <w:rStyle w:val="kursiv"/>
        </w:rPr>
        <w:t>, fjernundervisning o.a.)</w:t>
      </w:r>
      <w:r w:rsidRPr="00E73D4B">
        <w:t xml:space="preserve">, jf. </w:t>
      </w:r>
      <w:proofErr w:type="spellStart"/>
      <w:r w:rsidRPr="00E73D4B">
        <w:t>Innst</w:t>
      </w:r>
      <w:proofErr w:type="spellEnd"/>
      <w:r w:rsidRPr="00E73D4B">
        <w:t>. 512 L (2020–2021).</w:t>
      </w:r>
    </w:p>
    <w:p w14:paraId="419AD6FC" w14:textId="77777777" w:rsidR="00972395" w:rsidRPr="00E73D4B" w:rsidRDefault="00F120C7" w:rsidP="00E73D4B">
      <w:r w:rsidRPr="00E73D4B">
        <w:t xml:space="preserve">Når det </w:t>
      </w:r>
      <w:proofErr w:type="spellStart"/>
      <w:r w:rsidRPr="00E73D4B">
        <w:t>gjeld</w:t>
      </w:r>
      <w:proofErr w:type="spellEnd"/>
      <w:r w:rsidRPr="00E73D4B">
        <w:t xml:space="preserve"> den delen av oppmodingsvedtaket som gjeld barnehagelova, meiner departementet at </w:t>
      </w:r>
      <w:proofErr w:type="spellStart"/>
      <w:r w:rsidRPr="00E73D4B">
        <w:t>dei</w:t>
      </w:r>
      <w:proofErr w:type="spellEnd"/>
      <w:r w:rsidRPr="00E73D4B">
        <w:t xml:space="preserve"> </w:t>
      </w:r>
      <w:proofErr w:type="spellStart"/>
      <w:r w:rsidRPr="00E73D4B">
        <w:t>grunnleggande</w:t>
      </w:r>
      <w:proofErr w:type="spellEnd"/>
      <w:r w:rsidRPr="00E73D4B">
        <w:t xml:space="preserve"> </w:t>
      </w:r>
      <w:proofErr w:type="spellStart"/>
      <w:r w:rsidRPr="00E73D4B">
        <w:t>rettane</w:t>
      </w:r>
      <w:proofErr w:type="spellEnd"/>
      <w:r w:rsidRPr="00E73D4B">
        <w:t xml:space="preserve"> i FNs barnekonvensjon og prinsippet om barnets beste er </w:t>
      </w:r>
      <w:proofErr w:type="spellStart"/>
      <w:r w:rsidRPr="00E73D4B">
        <w:t>tekne</w:t>
      </w:r>
      <w:proofErr w:type="spellEnd"/>
      <w:r w:rsidRPr="00E73D4B">
        <w:t xml:space="preserve"> vare på gjennom barnehagelova § 3 om barna sin rett til </w:t>
      </w:r>
      <w:proofErr w:type="spellStart"/>
      <w:r w:rsidRPr="00E73D4B">
        <w:t>medverknad</w:t>
      </w:r>
      <w:proofErr w:type="spellEnd"/>
      <w:r w:rsidRPr="00E73D4B">
        <w:t xml:space="preserve"> og omsynet til barnets beste. Føresegna er endra </w:t>
      </w:r>
      <w:proofErr w:type="spellStart"/>
      <w:r w:rsidRPr="00E73D4B">
        <w:t>frå</w:t>
      </w:r>
      <w:proofErr w:type="spellEnd"/>
      <w:r w:rsidRPr="00E73D4B">
        <w:t xml:space="preserve"> 1. januar 2021, jf. </w:t>
      </w:r>
      <w:proofErr w:type="spellStart"/>
      <w:r w:rsidRPr="00E73D4B">
        <w:t>Prop</w:t>
      </w:r>
      <w:proofErr w:type="spellEnd"/>
      <w:r w:rsidRPr="00E73D4B">
        <w:t xml:space="preserve">. 96 L (2019–2020). Det er </w:t>
      </w:r>
      <w:proofErr w:type="spellStart"/>
      <w:r w:rsidRPr="00E73D4B">
        <w:t>no</w:t>
      </w:r>
      <w:proofErr w:type="spellEnd"/>
      <w:r w:rsidRPr="00E73D4B">
        <w:t xml:space="preserve"> lovfesta at barn i barnehagen har rett til å gi uttrykk for sitt syn på den </w:t>
      </w:r>
      <w:proofErr w:type="spellStart"/>
      <w:r w:rsidRPr="00E73D4B">
        <w:t>daglege</w:t>
      </w:r>
      <w:proofErr w:type="spellEnd"/>
      <w:r w:rsidRPr="00E73D4B">
        <w:t xml:space="preserve"> </w:t>
      </w:r>
      <w:proofErr w:type="spellStart"/>
      <w:r w:rsidRPr="00E73D4B">
        <w:t>verksemda</w:t>
      </w:r>
      <w:proofErr w:type="spellEnd"/>
      <w:r w:rsidRPr="00E73D4B">
        <w:t xml:space="preserve"> i barnehagen og i saker som </w:t>
      </w:r>
      <w:proofErr w:type="spellStart"/>
      <w:r w:rsidRPr="00E73D4B">
        <w:t>gjeld</w:t>
      </w:r>
      <w:proofErr w:type="spellEnd"/>
      <w:r w:rsidRPr="00E73D4B">
        <w:t xml:space="preserve"> </w:t>
      </w:r>
      <w:proofErr w:type="spellStart"/>
      <w:r w:rsidRPr="00E73D4B">
        <w:t>dei</w:t>
      </w:r>
      <w:proofErr w:type="spellEnd"/>
      <w:r w:rsidRPr="00E73D4B">
        <w:t xml:space="preserve"> sjølve, og at det som er best for barnet, skal </w:t>
      </w:r>
      <w:proofErr w:type="spellStart"/>
      <w:r w:rsidRPr="00E73D4B">
        <w:t>vere</w:t>
      </w:r>
      <w:proofErr w:type="spellEnd"/>
      <w:r w:rsidRPr="00E73D4B">
        <w:t xml:space="preserve"> </w:t>
      </w:r>
      <w:proofErr w:type="spellStart"/>
      <w:r w:rsidRPr="00E73D4B">
        <w:t>eit</w:t>
      </w:r>
      <w:proofErr w:type="spellEnd"/>
      <w:r w:rsidRPr="00E73D4B">
        <w:t xml:space="preserve"> </w:t>
      </w:r>
      <w:proofErr w:type="spellStart"/>
      <w:r w:rsidRPr="00E73D4B">
        <w:t>grunnleggande</w:t>
      </w:r>
      <w:proofErr w:type="spellEnd"/>
      <w:r w:rsidRPr="00E73D4B">
        <w:t xml:space="preserve"> omsyn i alle </w:t>
      </w:r>
      <w:proofErr w:type="spellStart"/>
      <w:r w:rsidRPr="00E73D4B">
        <w:t>handlingar</w:t>
      </w:r>
      <w:proofErr w:type="spellEnd"/>
      <w:r w:rsidRPr="00E73D4B">
        <w:t xml:space="preserve"> og avgjerder som </w:t>
      </w:r>
      <w:proofErr w:type="spellStart"/>
      <w:r w:rsidRPr="00E73D4B">
        <w:t>gjeld</w:t>
      </w:r>
      <w:proofErr w:type="spellEnd"/>
      <w:r w:rsidRPr="00E73D4B">
        <w:t xml:space="preserve"> barn i barnehagen. Dei </w:t>
      </w:r>
      <w:proofErr w:type="spellStart"/>
      <w:r w:rsidRPr="00E73D4B">
        <w:t>grunnleggande</w:t>
      </w:r>
      <w:proofErr w:type="spellEnd"/>
      <w:r w:rsidRPr="00E73D4B">
        <w:t xml:space="preserve"> </w:t>
      </w:r>
      <w:proofErr w:type="spellStart"/>
      <w:r w:rsidRPr="00E73D4B">
        <w:t>rettane</w:t>
      </w:r>
      <w:proofErr w:type="spellEnd"/>
      <w:r w:rsidRPr="00E73D4B">
        <w:t xml:space="preserve"> i barnekonvensjonen er òg omtalte </w:t>
      </w:r>
      <w:proofErr w:type="spellStart"/>
      <w:r w:rsidRPr="00E73D4B">
        <w:t>fleire</w:t>
      </w:r>
      <w:proofErr w:type="spellEnd"/>
      <w:r w:rsidRPr="00E73D4B">
        <w:t xml:space="preserve"> </w:t>
      </w:r>
      <w:proofErr w:type="spellStart"/>
      <w:r w:rsidRPr="00E73D4B">
        <w:t>stadar</w:t>
      </w:r>
      <w:proofErr w:type="spellEnd"/>
      <w:r w:rsidRPr="00E73D4B">
        <w:t xml:space="preserve"> i forskrift om rammeplan for barnehagens </w:t>
      </w:r>
      <w:proofErr w:type="spellStart"/>
      <w:r w:rsidRPr="00E73D4B">
        <w:t>innhald</w:t>
      </w:r>
      <w:proofErr w:type="spellEnd"/>
      <w:r w:rsidRPr="00E73D4B">
        <w:t xml:space="preserve"> og </w:t>
      </w:r>
      <w:proofErr w:type="spellStart"/>
      <w:r w:rsidRPr="00E73D4B">
        <w:t>oppgåver</w:t>
      </w:r>
      <w:proofErr w:type="spellEnd"/>
      <w:r w:rsidRPr="00E73D4B">
        <w:t>.</w:t>
      </w:r>
    </w:p>
    <w:p w14:paraId="6C365517" w14:textId="77777777" w:rsidR="00972395" w:rsidRPr="00E73D4B" w:rsidRDefault="00F120C7" w:rsidP="00E73D4B">
      <w:r w:rsidRPr="00E73D4B">
        <w:t xml:space="preserve">Når det </w:t>
      </w:r>
      <w:proofErr w:type="spellStart"/>
      <w:r w:rsidRPr="00E73D4B">
        <w:t>gjeld</w:t>
      </w:r>
      <w:proofErr w:type="spellEnd"/>
      <w:r w:rsidRPr="00E73D4B">
        <w:t xml:space="preserve"> den delen av oppmodingsvedtaket som gjeld </w:t>
      </w:r>
      <w:proofErr w:type="spellStart"/>
      <w:r w:rsidRPr="00E73D4B">
        <w:t>opplæringslova</w:t>
      </w:r>
      <w:proofErr w:type="spellEnd"/>
      <w:r w:rsidRPr="00E73D4B">
        <w:t xml:space="preserve">, meiner departementet at dette blir </w:t>
      </w:r>
      <w:proofErr w:type="spellStart"/>
      <w:r w:rsidRPr="00E73D4B">
        <w:t>følgt</w:t>
      </w:r>
      <w:proofErr w:type="spellEnd"/>
      <w:r w:rsidRPr="00E73D4B">
        <w:t xml:space="preserve"> opp i forslaget til ny opplæringslov som blei sendt på </w:t>
      </w:r>
      <w:proofErr w:type="spellStart"/>
      <w:r w:rsidRPr="00E73D4B">
        <w:t>høyring</w:t>
      </w:r>
      <w:proofErr w:type="spellEnd"/>
      <w:r w:rsidRPr="00E73D4B">
        <w:t xml:space="preserve"> 26. august 2021. I lovforslaget er det </w:t>
      </w:r>
      <w:proofErr w:type="spellStart"/>
      <w:r w:rsidRPr="00E73D4B">
        <w:t>teke</w:t>
      </w:r>
      <w:proofErr w:type="spellEnd"/>
      <w:r w:rsidRPr="00E73D4B">
        <w:t xml:space="preserve"> inn både ei føresegn om </w:t>
      </w:r>
      <w:proofErr w:type="spellStart"/>
      <w:r w:rsidRPr="00E73D4B">
        <w:t>elevane</w:t>
      </w:r>
      <w:proofErr w:type="spellEnd"/>
      <w:r w:rsidRPr="00E73D4B">
        <w:t xml:space="preserve"> sin rett til informasjon og til å uttale seg fritt og ei føresegn om eleven sitt beste. Regjeringa </w:t>
      </w:r>
      <w:proofErr w:type="spellStart"/>
      <w:r w:rsidRPr="00E73D4B">
        <w:t>tek</w:t>
      </w:r>
      <w:proofErr w:type="spellEnd"/>
      <w:r w:rsidRPr="00E73D4B">
        <w:t xml:space="preserve"> sikte på å legge forslaget fram for Stortinget i </w:t>
      </w:r>
      <w:proofErr w:type="spellStart"/>
      <w:r w:rsidRPr="00E73D4B">
        <w:t>ein</w:t>
      </w:r>
      <w:proofErr w:type="spellEnd"/>
      <w:r w:rsidRPr="00E73D4B">
        <w:t xml:space="preserve"> lovproposisjon våren 2023.</w:t>
      </w:r>
    </w:p>
    <w:p w14:paraId="7B6B417F"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5CBCA5F0" w14:textId="77777777" w:rsidR="00972395" w:rsidRPr="00E73D4B" w:rsidRDefault="00F120C7" w:rsidP="00E73D4B">
      <w:pPr>
        <w:pStyle w:val="avsnitt-tittel"/>
      </w:pPr>
      <w:r w:rsidRPr="00E73D4B">
        <w:t>Fjernundervisning og opplæringslova</w:t>
      </w:r>
    </w:p>
    <w:p w14:paraId="4C36CB51" w14:textId="77777777" w:rsidR="00972395" w:rsidRPr="00E73D4B" w:rsidRDefault="00F120C7" w:rsidP="00E73D4B">
      <w:pPr>
        <w:pStyle w:val="avsnitt-undertittel"/>
      </w:pPr>
      <w:r w:rsidRPr="00E73D4B">
        <w:t>Vedtak nr. 1018, 20. mai 2021</w:t>
      </w:r>
    </w:p>
    <w:p w14:paraId="6D22C82D" w14:textId="77777777" w:rsidR="00972395" w:rsidRPr="00E73D4B" w:rsidRDefault="00F120C7" w:rsidP="00E73D4B">
      <w:pPr>
        <w:pStyle w:val="blokksit"/>
        <w:rPr>
          <w:rStyle w:val="kursiv"/>
        </w:rPr>
      </w:pPr>
      <w:r w:rsidRPr="00E73D4B">
        <w:rPr>
          <w:rStyle w:val="kursiv"/>
        </w:rPr>
        <w:t>Stortinget ber regjeringen komme tilbake med forslag om fjernundervisning i lovproposisjonen om ny opplæringslov</w:t>
      </w:r>
      <w:r w:rsidRPr="00E73D4B">
        <w:t>.</w:t>
      </w:r>
    </w:p>
    <w:p w14:paraId="6A6659CF"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145 L (2020–2021)</w:t>
      </w:r>
      <w:r w:rsidRPr="00E73D4B">
        <w:rPr>
          <w:rStyle w:val="kursiv"/>
        </w:rPr>
        <w:t xml:space="preserve"> </w:t>
      </w:r>
      <w:proofErr w:type="spellStart"/>
      <w:r w:rsidRPr="00E73D4B">
        <w:rPr>
          <w:rStyle w:val="kursiv"/>
        </w:rPr>
        <w:t>Endringar</w:t>
      </w:r>
      <w:proofErr w:type="spellEnd"/>
      <w:r w:rsidRPr="00E73D4B">
        <w:rPr>
          <w:rStyle w:val="kursiv"/>
        </w:rPr>
        <w:t xml:space="preserve"> i opplæringslova, </w:t>
      </w:r>
      <w:proofErr w:type="spellStart"/>
      <w:r w:rsidRPr="00E73D4B">
        <w:rPr>
          <w:rStyle w:val="kursiv"/>
        </w:rPr>
        <w:t>friskulelova</w:t>
      </w:r>
      <w:proofErr w:type="spellEnd"/>
      <w:r w:rsidRPr="00E73D4B">
        <w:rPr>
          <w:rStyle w:val="kursiv"/>
        </w:rPr>
        <w:t xml:space="preserve">, og barnehagelova (behandling av </w:t>
      </w:r>
      <w:proofErr w:type="spellStart"/>
      <w:r w:rsidRPr="00E73D4B">
        <w:rPr>
          <w:rStyle w:val="kursiv"/>
        </w:rPr>
        <w:t>personopplysningar</w:t>
      </w:r>
      <w:proofErr w:type="spellEnd"/>
      <w:r w:rsidRPr="00E73D4B">
        <w:rPr>
          <w:rStyle w:val="kursiv"/>
        </w:rPr>
        <w:t>, fjernundervisning o.a.)</w:t>
      </w:r>
      <w:r w:rsidRPr="00E73D4B">
        <w:t xml:space="preserve">, jf. </w:t>
      </w:r>
      <w:proofErr w:type="spellStart"/>
      <w:r w:rsidRPr="00E73D4B">
        <w:t>Innst</w:t>
      </w:r>
      <w:proofErr w:type="spellEnd"/>
      <w:r w:rsidRPr="00E73D4B">
        <w:t>. 512 L (2020–2021).</w:t>
      </w:r>
    </w:p>
    <w:p w14:paraId="739056F4" w14:textId="77777777" w:rsidR="00972395" w:rsidRPr="00E73D4B" w:rsidRDefault="00F120C7" w:rsidP="00E73D4B">
      <w:r w:rsidRPr="00E73D4B">
        <w:t xml:space="preserve">Forslag om fjernundervisning er innarbeidd i forslaget til ny opplæringslov som blei sendt på </w:t>
      </w:r>
      <w:proofErr w:type="spellStart"/>
      <w:r w:rsidRPr="00E73D4B">
        <w:t>høyring</w:t>
      </w:r>
      <w:proofErr w:type="spellEnd"/>
      <w:r w:rsidRPr="00E73D4B">
        <w:t xml:space="preserve"> 26. august 2021. Regjeringa </w:t>
      </w:r>
      <w:proofErr w:type="spellStart"/>
      <w:r w:rsidRPr="00E73D4B">
        <w:t>tek</w:t>
      </w:r>
      <w:proofErr w:type="spellEnd"/>
      <w:r w:rsidRPr="00E73D4B">
        <w:t xml:space="preserve"> sikte på å legge fram forslag til ny opplæringslov med mellom anna forslag om fjernundervisning for Stortinget i </w:t>
      </w:r>
      <w:proofErr w:type="spellStart"/>
      <w:r w:rsidRPr="00E73D4B">
        <w:t>ein</w:t>
      </w:r>
      <w:proofErr w:type="spellEnd"/>
      <w:r w:rsidRPr="00E73D4B">
        <w:t xml:space="preserve"> lovproposisjon våren 2023.</w:t>
      </w:r>
    </w:p>
    <w:p w14:paraId="0364B90B"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4A1B8BC6" w14:textId="77777777" w:rsidR="00972395" w:rsidRPr="00E73D4B" w:rsidRDefault="00F120C7" w:rsidP="00E73D4B">
      <w:pPr>
        <w:pStyle w:val="avsnitt-tittel"/>
      </w:pPr>
      <w:r w:rsidRPr="00E73D4B">
        <w:t xml:space="preserve">Rett til innføringsfag i </w:t>
      </w:r>
      <w:proofErr w:type="spellStart"/>
      <w:r w:rsidRPr="00E73D4B">
        <w:t>vidaregåande</w:t>
      </w:r>
      <w:proofErr w:type="spellEnd"/>
      <w:r w:rsidRPr="00E73D4B">
        <w:t xml:space="preserve"> opplæring</w:t>
      </w:r>
    </w:p>
    <w:p w14:paraId="1DCE0E49" w14:textId="77777777" w:rsidR="00972395" w:rsidRPr="00E73D4B" w:rsidRDefault="00F120C7" w:rsidP="00E73D4B">
      <w:pPr>
        <w:pStyle w:val="avsnitt-undertittel"/>
      </w:pPr>
      <w:r w:rsidRPr="00E73D4B">
        <w:t>Vedtak nr. 1069, 1. juni 2021</w:t>
      </w:r>
    </w:p>
    <w:p w14:paraId="0506DAD1" w14:textId="77777777" w:rsidR="00972395" w:rsidRPr="00E73D4B" w:rsidRDefault="00F120C7" w:rsidP="00E73D4B">
      <w:pPr>
        <w:pStyle w:val="blokksit"/>
        <w:rPr>
          <w:rStyle w:val="kursiv"/>
        </w:rPr>
      </w:pPr>
      <w:r w:rsidRPr="00E73D4B">
        <w:rPr>
          <w:rStyle w:val="kursiv"/>
        </w:rPr>
        <w:t xml:space="preserve">Stortinget ber regjeringen gi elever i videregående opplæring som trenger det, rett til innføringsfag. Språkopplæring i norsk skal være integrert i dette tilbudet, og opplæringen skal </w:t>
      </w:r>
      <w:proofErr w:type="gramStart"/>
      <w:r w:rsidRPr="00E73D4B">
        <w:rPr>
          <w:rStyle w:val="kursiv"/>
        </w:rPr>
        <w:t>integreres</w:t>
      </w:r>
      <w:proofErr w:type="gramEnd"/>
      <w:r w:rsidRPr="00E73D4B">
        <w:rPr>
          <w:rStyle w:val="kursiv"/>
        </w:rPr>
        <w:t xml:space="preserve"> i elevens Vg1-løp.</w:t>
      </w:r>
    </w:p>
    <w:p w14:paraId="730544A9"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 xml:space="preserve">Fullføringsreformen </w:t>
      </w:r>
      <w:r w:rsidRPr="00E73D4B">
        <w:t xml:space="preserve">– </w:t>
      </w:r>
      <w:r w:rsidRPr="00E73D4B">
        <w:rPr>
          <w:rStyle w:val="kursiv"/>
        </w:rPr>
        <w:t xml:space="preserve">med </w:t>
      </w:r>
      <w:proofErr w:type="spellStart"/>
      <w:r w:rsidRPr="00E73D4B">
        <w:rPr>
          <w:rStyle w:val="kursiv"/>
        </w:rPr>
        <w:t>opne</w:t>
      </w:r>
      <w:proofErr w:type="spellEnd"/>
      <w:r w:rsidRPr="00E73D4B">
        <w:rPr>
          <w:rStyle w:val="kursiv"/>
        </w:rPr>
        <w:t xml:space="preserve"> dører til verden og fremtiden</w:t>
      </w:r>
      <w:r w:rsidRPr="00E73D4B">
        <w:t xml:space="preserve">, jf. </w:t>
      </w:r>
      <w:proofErr w:type="spellStart"/>
      <w:r w:rsidRPr="00E73D4B">
        <w:t>Innst</w:t>
      </w:r>
      <w:proofErr w:type="spellEnd"/>
      <w:r w:rsidRPr="00E73D4B">
        <w:t>. 585 S (2020–2021).</w:t>
      </w:r>
    </w:p>
    <w:p w14:paraId="2C280533" w14:textId="77777777" w:rsidR="00972395" w:rsidRPr="00E73D4B" w:rsidRDefault="00F120C7" w:rsidP="00E73D4B">
      <w:r w:rsidRPr="00E73D4B">
        <w:t xml:space="preserve">Departementet vil følge opp vedtaket i samband med oppfølginga av tiltaka i Meld. St. 21 (2020–2021) </w:t>
      </w:r>
      <w:r w:rsidRPr="00E73D4B">
        <w:rPr>
          <w:rStyle w:val="kursiv"/>
        </w:rPr>
        <w:t xml:space="preserve">Fullføringsreformen – med åpne dører til verden og fremtiden. </w:t>
      </w:r>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165C4E78" w14:textId="77777777" w:rsidR="00972395" w:rsidRPr="00E73D4B" w:rsidRDefault="00F120C7" w:rsidP="00E73D4B">
      <w:pPr>
        <w:pStyle w:val="avsnitt-tittel"/>
      </w:pPr>
      <w:r w:rsidRPr="00E73D4B">
        <w:t xml:space="preserve">Sluttkompetanse i </w:t>
      </w:r>
      <w:proofErr w:type="spellStart"/>
      <w:r w:rsidRPr="00E73D4B">
        <w:t>vidaregåande</w:t>
      </w:r>
      <w:proofErr w:type="spellEnd"/>
      <w:r w:rsidRPr="00E73D4B">
        <w:t xml:space="preserve"> skule</w:t>
      </w:r>
    </w:p>
    <w:p w14:paraId="6E3B1C5F" w14:textId="77777777" w:rsidR="00972395" w:rsidRPr="00E73D4B" w:rsidRDefault="00F120C7" w:rsidP="00E73D4B">
      <w:pPr>
        <w:pStyle w:val="avsnitt-undertittel"/>
      </w:pPr>
      <w:r w:rsidRPr="00E73D4B">
        <w:t>Vedtak nr. 1070, 1. juni 2021</w:t>
      </w:r>
    </w:p>
    <w:p w14:paraId="6CBC4CFD" w14:textId="77777777" w:rsidR="00972395" w:rsidRPr="00E73D4B" w:rsidRDefault="00F120C7" w:rsidP="00E73D4B">
      <w:pPr>
        <w:pStyle w:val="blokksit"/>
        <w:rPr>
          <w:rStyle w:val="kursiv"/>
        </w:rPr>
      </w:pPr>
      <w:r w:rsidRPr="00E73D4B">
        <w:rPr>
          <w:rStyle w:val="kursiv"/>
        </w:rPr>
        <w:t>Stortinget ber regjeringen, i samarbeid med partene, konkretisere nærmere forbedringer av Vg3 i skole som gir elevene en sluttkompetanse som tilfredsstiller arbeidslivets krav og som har tillit i nærings- og arbeidslivet.</w:t>
      </w:r>
    </w:p>
    <w:p w14:paraId="0EE27615"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 xml:space="preserve">Fullføringsreformen </w:t>
      </w:r>
      <w:r w:rsidRPr="00E73D4B">
        <w:t xml:space="preserve">– </w:t>
      </w:r>
      <w:r w:rsidRPr="00E73D4B">
        <w:rPr>
          <w:rStyle w:val="kursiv"/>
        </w:rPr>
        <w:t>med åpne dører til verden og fremtiden</w:t>
      </w:r>
      <w:r w:rsidRPr="00E73D4B">
        <w:t xml:space="preserve">, jf. </w:t>
      </w:r>
      <w:proofErr w:type="spellStart"/>
      <w:r w:rsidRPr="00E73D4B">
        <w:t>Innst</w:t>
      </w:r>
      <w:proofErr w:type="spellEnd"/>
      <w:r w:rsidRPr="00E73D4B">
        <w:t>. 585 S (2020–2021).</w:t>
      </w:r>
    </w:p>
    <w:p w14:paraId="20D8B3F6" w14:textId="77777777" w:rsidR="00972395" w:rsidRPr="00E73D4B" w:rsidRDefault="00F120C7" w:rsidP="00E73D4B">
      <w:r w:rsidRPr="00E73D4B">
        <w:t xml:space="preserve">Departementet vil følge opp vedtaket i samband med oppfølginga av tiltaka i Meld. St. 21 (2020–2021) </w:t>
      </w:r>
      <w:r w:rsidRPr="00E73D4B">
        <w:rPr>
          <w:rStyle w:val="kursiv"/>
        </w:rPr>
        <w:t>Fullføringsreformen – med åpne dører til verden og fremtiden.</w:t>
      </w:r>
      <w:r w:rsidRPr="00E73D4B">
        <w:t xml:space="preserve"> Departementet vil i samarbeid med </w:t>
      </w:r>
      <w:proofErr w:type="spellStart"/>
      <w:r w:rsidRPr="00E73D4B">
        <w:t>partane</w:t>
      </w:r>
      <w:proofErr w:type="spellEnd"/>
      <w:r w:rsidRPr="00E73D4B">
        <w:t xml:space="preserve"> betre </w:t>
      </w:r>
      <w:proofErr w:type="spellStart"/>
      <w:r w:rsidRPr="00E73D4B">
        <w:t>tilbodet</w:t>
      </w:r>
      <w:proofErr w:type="spellEnd"/>
      <w:r w:rsidRPr="00E73D4B">
        <w:t xml:space="preserve"> til </w:t>
      </w:r>
      <w:proofErr w:type="spellStart"/>
      <w:r w:rsidRPr="00E73D4B">
        <w:t>dei</w:t>
      </w:r>
      <w:proofErr w:type="spellEnd"/>
      <w:r w:rsidRPr="00E73D4B">
        <w:t xml:space="preserve"> som </w:t>
      </w:r>
      <w:proofErr w:type="spellStart"/>
      <w:r w:rsidRPr="00E73D4B">
        <w:t>ikkje</w:t>
      </w:r>
      <w:proofErr w:type="spellEnd"/>
      <w:r w:rsidRPr="00E73D4B">
        <w:t xml:space="preserve"> får læreplass, og følge opp vedtaket i forslag til forskrift til ny opplæringslov. Forslag til ny opplæringslov blei sendt på </w:t>
      </w:r>
      <w:proofErr w:type="spellStart"/>
      <w:r w:rsidRPr="00E73D4B">
        <w:t>høyring</w:t>
      </w:r>
      <w:proofErr w:type="spellEnd"/>
      <w:r w:rsidRPr="00E73D4B">
        <w:t xml:space="preserve"> </w:t>
      </w:r>
      <w:proofErr w:type="spellStart"/>
      <w:r w:rsidRPr="00E73D4B">
        <w:t>hausten</w:t>
      </w:r>
      <w:proofErr w:type="spellEnd"/>
      <w:r w:rsidRPr="00E73D4B">
        <w:t xml:space="preserve"> 2021, og departementet </w:t>
      </w:r>
      <w:proofErr w:type="spellStart"/>
      <w:r w:rsidRPr="00E73D4B">
        <w:t>tek</w:t>
      </w:r>
      <w:proofErr w:type="spellEnd"/>
      <w:r w:rsidRPr="00E73D4B">
        <w:t xml:space="preserve"> sikte på å </w:t>
      </w:r>
      <w:proofErr w:type="spellStart"/>
      <w:r w:rsidRPr="00E73D4B">
        <w:t>fremje</w:t>
      </w:r>
      <w:proofErr w:type="spellEnd"/>
      <w:r w:rsidRPr="00E73D4B">
        <w:t xml:space="preserve"> </w:t>
      </w:r>
      <w:proofErr w:type="spellStart"/>
      <w:r w:rsidRPr="00E73D4B">
        <w:t>ein</w:t>
      </w:r>
      <w:proofErr w:type="spellEnd"/>
      <w:r w:rsidRPr="00E73D4B">
        <w:t xml:space="preserve"> lovproposisjon for Stortinget våren 2023.</w:t>
      </w:r>
    </w:p>
    <w:p w14:paraId="347C9DEA" w14:textId="77777777" w:rsidR="00972395" w:rsidRPr="00E73D4B" w:rsidRDefault="00F120C7" w:rsidP="00E73D4B">
      <w:r w:rsidRPr="00E73D4B">
        <w:t xml:space="preserve">Regjeringa gjennomfører </w:t>
      </w:r>
      <w:proofErr w:type="spellStart"/>
      <w:r w:rsidRPr="00E73D4B">
        <w:t>eit</w:t>
      </w:r>
      <w:proofErr w:type="spellEnd"/>
      <w:r w:rsidRPr="00E73D4B">
        <w:t xml:space="preserve"> løft for yrkesfaga. I statsbudsjettet for 2023 foreslår regjeringa om lag 460 mill. kroner for å styrke arbeidet for </w:t>
      </w:r>
      <w:proofErr w:type="spellStart"/>
      <w:r w:rsidRPr="00E73D4B">
        <w:t>fleire</w:t>
      </w:r>
      <w:proofErr w:type="spellEnd"/>
      <w:r w:rsidRPr="00E73D4B">
        <w:t xml:space="preserve"> </w:t>
      </w:r>
      <w:proofErr w:type="spellStart"/>
      <w:r w:rsidRPr="00E73D4B">
        <w:t>læreplassar</w:t>
      </w:r>
      <w:proofErr w:type="spellEnd"/>
      <w:r w:rsidRPr="00E73D4B">
        <w:t xml:space="preserve"> og bidra til kvalifisering og formidling til </w:t>
      </w:r>
      <w:proofErr w:type="spellStart"/>
      <w:r w:rsidRPr="00E73D4B">
        <w:t>læreplassar</w:t>
      </w:r>
      <w:proofErr w:type="spellEnd"/>
      <w:r w:rsidRPr="00E73D4B">
        <w:t xml:space="preserve"> i fag- og yrkesopplæringa, jf. kap. 225, post 69. </w:t>
      </w:r>
      <w:proofErr w:type="spellStart"/>
      <w:r w:rsidRPr="00E73D4B">
        <w:t>Midlane</w:t>
      </w:r>
      <w:proofErr w:type="spellEnd"/>
      <w:r w:rsidRPr="00E73D4B">
        <w:t xml:space="preserve"> skal òg kunne brukast på å gi ei god opplæring til </w:t>
      </w:r>
      <w:proofErr w:type="spellStart"/>
      <w:r w:rsidRPr="00E73D4B">
        <w:t>elevar</w:t>
      </w:r>
      <w:proofErr w:type="spellEnd"/>
      <w:r w:rsidRPr="00E73D4B">
        <w:t xml:space="preserve"> som </w:t>
      </w:r>
      <w:proofErr w:type="spellStart"/>
      <w:r w:rsidRPr="00E73D4B">
        <w:t>ikkje</w:t>
      </w:r>
      <w:proofErr w:type="spellEnd"/>
      <w:r w:rsidRPr="00E73D4B">
        <w:t xml:space="preserve"> får læreplass, slik at </w:t>
      </w:r>
      <w:proofErr w:type="spellStart"/>
      <w:r w:rsidRPr="00E73D4B">
        <w:t>dei</w:t>
      </w:r>
      <w:proofErr w:type="spellEnd"/>
      <w:r w:rsidRPr="00E73D4B">
        <w:t xml:space="preserve"> kan fullføre med </w:t>
      </w:r>
      <w:proofErr w:type="spellStart"/>
      <w:r w:rsidRPr="00E73D4B">
        <w:t>eit</w:t>
      </w:r>
      <w:proofErr w:type="spellEnd"/>
      <w:r w:rsidRPr="00E73D4B">
        <w:t xml:space="preserve"> fag- eller </w:t>
      </w:r>
      <w:proofErr w:type="spellStart"/>
      <w:r w:rsidRPr="00E73D4B">
        <w:t>sveinebrev</w:t>
      </w:r>
      <w:proofErr w:type="spellEnd"/>
      <w:r w:rsidRPr="00E73D4B">
        <w:t xml:space="preserve"> som blir verdsett i arbeidslivet.</w:t>
      </w:r>
    </w:p>
    <w:p w14:paraId="2BC2E0AB"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6E31BE9C" w14:textId="77777777" w:rsidR="00972395" w:rsidRPr="00E73D4B" w:rsidRDefault="00F120C7" w:rsidP="00E73D4B">
      <w:pPr>
        <w:pStyle w:val="avsnitt-tittel"/>
      </w:pPr>
      <w:r w:rsidRPr="00E73D4B">
        <w:t xml:space="preserve">Overgangskurs i </w:t>
      </w:r>
      <w:proofErr w:type="spellStart"/>
      <w:r w:rsidRPr="00E73D4B">
        <w:t>vidaregåande</w:t>
      </w:r>
      <w:proofErr w:type="spellEnd"/>
      <w:r w:rsidRPr="00E73D4B">
        <w:t xml:space="preserve"> opplæring</w:t>
      </w:r>
    </w:p>
    <w:p w14:paraId="056A533F" w14:textId="77777777" w:rsidR="00972395" w:rsidRPr="00E73D4B" w:rsidRDefault="00F120C7" w:rsidP="00E73D4B">
      <w:pPr>
        <w:pStyle w:val="avsnitt-undertittel"/>
      </w:pPr>
      <w:r w:rsidRPr="00E73D4B">
        <w:t>Vedtak nr. 1071, 1. juni 2021</w:t>
      </w:r>
    </w:p>
    <w:p w14:paraId="5B085301" w14:textId="77777777" w:rsidR="00972395" w:rsidRPr="00E73D4B" w:rsidRDefault="00F120C7" w:rsidP="00E73D4B">
      <w:pPr>
        <w:pStyle w:val="blokksit"/>
        <w:rPr>
          <w:rStyle w:val="kursiv"/>
        </w:rPr>
      </w:pPr>
      <w:r w:rsidRPr="00E73D4B">
        <w:rPr>
          <w:rStyle w:val="kursiv"/>
        </w:rPr>
        <w:t>Stortinget ber regjeringen gjennomføre forsøk med obligatorisk overgangskurs for elever med svakt språklig grunnlag for å gjennomføre videregående opplæring.</w:t>
      </w:r>
    </w:p>
    <w:p w14:paraId="69653343"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Fullføringsreformen – med åpne dører til verden og fremtiden</w:t>
      </w:r>
      <w:r w:rsidRPr="00E73D4B">
        <w:t xml:space="preserve">, jf. </w:t>
      </w:r>
      <w:proofErr w:type="spellStart"/>
      <w:r w:rsidRPr="00E73D4B">
        <w:t>Innst</w:t>
      </w:r>
      <w:proofErr w:type="spellEnd"/>
      <w:r w:rsidRPr="00E73D4B">
        <w:t>. 585 S (2020–2021).</w:t>
      </w:r>
    </w:p>
    <w:p w14:paraId="6A6C92BD" w14:textId="77777777" w:rsidR="00972395" w:rsidRPr="00E73D4B" w:rsidRDefault="00F120C7" w:rsidP="00E73D4B">
      <w:r w:rsidRPr="00E73D4B">
        <w:t xml:space="preserve">Departementet vil følge opp vedtaket i samband med oppfølginga av tiltaka i Meld. St. 21 (2020–2021) </w:t>
      </w:r>
      <w:r w:rsidRPr="00E73D4B">
        <w:rPr>
          <w:rStyle w:val="kursiv"/>
        </w:rPr>
        <w:t xml:space="preserve">Fullføringsreformen – med åpne dører til verden og fremtiden. </w:t>
      </w:r>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62465119" w14:textId="77777777" w:rsidR="00972395" w:rsidRPr="00E73D4B" w:rsidRDefault="00F120C7" w:rsidP="00E73D4B">
      <w:pPr>
        <w:pStyle w:val="avsnitt-tittel"/>
      </w:pPr>
      <w:proofErr w:type="spellStart"/>
      <w:r w:rsidRPr="00E73D4B">
        <w:t>Overgangstilbod</w:t>
      </w:r>
      <w:proofErr w:type="spellEnd"/>
      <w:r w:rsidRPr="00E73D4B">
        <w:t xml:space="preserve"> i </w:t>
      </w:r>
      <w:proofErr w:type="spellStart"/>
      <w:r w:rsidRPr="00E73D4B">
        <w:t>vidaregåande</w:t>
      </w:r>
      <w:proofErr w:type="spellEnd"/>
      <w:r w:rsidRPr="00E73D4B">
        <w:t xml:space="preserve"> opplæring </w:t>
      </w:r>
    </w:p>
    <w:p w14:paraId="3EA21043" w14:textId="77777777" w:rsidR="00972395" w:rsidRPr="00E73D4B" w:rsidRDefault="00F120C7" w:rsidP="00E73D4B">
      <w:pPr>
        <w:pStyle w:val="avsnitt-undertittel"/>
      </w:pPr>
      <w:r w:rsidRPr="00E73D4B">
        <w:t>Vedtak nr. 1072, 1. juni 2021</w:t>
      </w:r>
    </w:p>
    <w:p w14:paraId="6A56AE8F" w14:textId="77777777" w:rsidR="00972395" w:rsidRPr="00E73D4B" w:rsidRDefault="00F120C7" w:rsidP="00E73D4B">
      <w:pPr>
        <w:pStyle w:val="blokksit"/>
        <w:rPr>
          <w:rStyle w:val="kursiv"/>
        </w:rPr>
      </w:pPr>
      <w:r w:rsidRPr="00E73D4B">
        <w:rPr>
          <w:rStyle w:val="kursiv"/>
        </w:rPr>
        <w:t>Stortinget ber regjeringen gjennomføre forsøk med obligatorisk overgangstilbud for elever med svakt faglig grunnlag for å gjennomføre videregående opplæring</w:t>
      </w:r>
      <w:r w:rsidRPr="00E73D4B">
        <w:t>.</w:t>
      </w:r>
    </w:p>
    <w:p w14:paraId="1A738416"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 xml:space="preserve">Fullføringsreformen – med åpne dører til verden og fremtiden, </w:t>
      </w:r>
      <w:r w:rsidRPr="00E73D4B">
        <w:t xml:space="preserve">jf. </w:t>
      </w:r>
      <w:proofErr w:type="spellStart"/>
      <w:r w:rsidRPr="00E73D4B">
        <w:t>Innst</w:t>
      </w:r>
      <w:proofErr w:type="spellEnd"/>
      <w:r w:rsidRPr="00E73D4B">
        <w:t>. 585 S (2020–2021).</w:t>
      </w:r>
    </w:p>
    <w:p w14:paraId="5C9EF531" w14:textId="77777777" w:rsidR="00972395" w:rsidRPr="00E73D4B" w:rsidRDefault="00F120C7" w:rsidP="00E73D4B">
      <w:r w:rsidRPr="00E73D4B">
        <w:t xml:space="preserve">Departementet vil følge opp vedtaket i samband med oppfølginga av tiltaka i Meld. St. 21 (2020–2021) </w:t>
      </w:r>
      <w:r w:rsidRPr="00E73D4B">
        <w:rPr>
          <w:rStyle w:val="kursiv"/>
        </w:rPr>
        <w:t xml:space="preserve">Fullføringsreformen – med åpne dører til verden og fremtiden. </w:t>
      </w:r>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5931314A" w14:textId="77777777" w:rsidR="00972395" w:rsidRPr="00E73D4B" w:rsidRDefault="00F120C7" w:rsidP="00E73D4B">
      <w:pPr>
        <w:pStyle w:val="avsnitt-tittel"/>
      </w:pPr>
      <w:r w:rsidRPr="00E73D4B">
        <w:t xml:space="preserve">Vektlegge </w:t>
      </w:r>
      <w:proofErr w:type="spellStart"/>
      <w:r w:rsidRPr="00E73D4B">
        <w:t>opplæringstilbod</w:t>
      </w:r>
      <w:proofErr w:type="spellEnd"/>
      <w:r w:rsidRPr="00E73D4B">
        <w:t xml:space="preserve"> som fører til læreplass</w:t>
      </w:r>
    </w:p>
    <w:p w14:paraId="4F3CD194" w14:textId="77777777" w:rsidR="00972395" w:rsidRPr="00E73D4B" w:rsidRDefault="00F120C7" w:rsidP="00E73D4B">
      <w:pPr>
        <w:pStyle w:val="avsnitt-undertittel"/>
      </w:pPr>
      <w:r w:rsidRPr="00E73D4B">
        <w:t>Vedtak nr. 1073, 1. juni 2021</w:t>
      </w:r>
    </w:p>
    <w:p w14:paraId="6B40F19B" w14:textId="77777777" w:rsidR="00972395" w:rsidRPr="00E73D4B" w:rsidRDefault="00F120C7" w:rsidP="00E73D4B">
      <w:pPr>
        <w:pStyle w:val="blokksit"/>
        <w:rPr>
          <w:rStyle w:val="kursiv"/>
        </w:rPr>
      </w:pPr>
      <w:r w:rsidRPr="00E73D4B">
        <w:rPr>
          <w:rStyle w:val="kursiv"/>
        </w:rPr>
        <w:t>Stortinget ber regjeringen legge bort forslaget om å utvide ordningen for fagbrev som elev utenfor arbeidslivet og lærlingordningen, og heller vektlegge opplæringstilbud som skal lede fram til læreplass og opplæring i arbeidslivet.</w:t>
      </w:r>
    </w:p>
    <w:p w14:paraId="3581B528"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Fullføringsreformen – med åpne dører til verden og fremtiden</w:t>
      </w:r>
      <w:r w:rsidRPr="00E73D4B">
        <w:t xml:space="preserve">, jf. </w:t>
      </w:r>
      <w:proofErr w:type="spellStart"/>
      <w:r w:rsidRPr="00E73D4B">
        <w:t>Innst</w:t>
      </w:r>
      <w:proofErr w:type="spellEnd"/>
      <w:r w:rsidRPr="00E73D4B">
        <w:t>. 585 S (2020–2021).</w:t>
      </w:r>
    </w:p>
    <w:p w14:paraId="4C0F7E19" w14:textId="77777777" w:rsidR="00972395" w:rsidRPr="00E73D4B" w:rsidRDefault="00F120C7" w:rsidP="00E73D4B">
      <w:r w:rsidRPr="00E73D4B">
        <w:t xml:space="preserve">Departementet har lagt vekk forslaget om å innføre fagbrev som elev og vil jobbe </w:t>
      </w:r>
      <w:proofErr w:type="spellStart"/>
      <w:r w:rsidRPr="00E73D4B">
        <w:t>vidare</w:t>
      </w:r>
      <w:proofErr w:type="spellEnd"/>
      <w:r w:rsidRPr="00E73D4B">
        <w:t xml:space="preserve"> med at </w:t>
      </w:r>
      <w:proofErr w:type="spellStart"/>
      <w:r w:rsidRPr="00E73D4B">
        <w:t>fleire</w:t>
      </w:r>
      <w:proofErr w:type="spellEnd"/>
      <w:r w:rsidRPr="00E73D4B">
        <w:t xml:space="preserve"> </w:t>
      </w:r>
      <w:proofErr w:type="spellStart"/>
      <w:r w:rsidRPr="00E73D4B">
        <w:t>søkarar</w:t>
      </w:r>
      <w:proofErr w:type="spellEnd"/>
      <w:r w:rsidRPr="00E73D4B">
        <w:t xml:space="preserve"> skal få læreplass. I statsbudsjettet for 2023 foreslår departementet om lag 460 mill. kroner til å styrke arbeidet med å kvalifisere </w:t>
      </w:r>
      <w:proofErr w:type="spellStart"/>
      <w:r w:rsidRPr="00E73D4B">
        <w:t>elevar</w:t>
      </w:r>
      <w:proofErr w:type="spellEnd"/>
      <w:r w:rsidRPr="00E73D4B">
        <w:t xml:space="preserve"> til læreplass, formidle </w:t>
      </w:r>
      <w:proofErr w:type="spellStart"/>
      <w:r w:rsidRPr="00E73D4B">
        <w:t>læreplassar</w:t>
      </w:r>
      <w:proofErr w:type="spellEnd"/>
      <w:r w:rsidRPr="00E73D4B">
        <w:t xml:space="preserve"> og skaffe </w:t>
      </w:r>
      <w:proofErr w:type="spellStart"/>
      <w:r w:rsidRPr="00E73D4B">
        <w:t>fleire</w:t>
      </w:r>
      <w:proofErr w:type="spellEnd"/>
      <w:r w:rsidRPr="00E73D4B">
        <w:t xml:space="preserve"> </w:t>
      </w:r>
      <w:proofErr w:type="spellStart"/>
      <w:r w:rsidRPr="00E73D4B">
        <w:t>læreplassar</w:t>
      </w:r>
      <w:proofErr w:type="spellEnd"/>
      <w:r w:rsidRPr="00E73D4B">
        <w:t xml:space="preserve">. Satsinga følger opp Samfunnskontakten for </w:t>
      </w:r>
      <w:proofErr w:type="spellStart"/>
      <w:r w:rsidRPr="00E73D4B">
        <w:t>læreplassar</w:t>
      </w:r>
      <w:proofErr w:type="spellEnd"/>
      <w:r w:rsidRPr="00E73D4B">
        <w:t xml:space="preserve"> (2022–2026), som har som mål at alle </w:t>
      </w:r>
      <w:proofErr w:type="spellStart"/>
      <w:r w:rsidRPr="00E73D4B">
        <w:t>elevar</w:t>
      </w:r>
      <w:proofErr w:type="spellEnd"/>
      <w:r w:rsidRPr="00E73D4B">
        <w:t xml:space="preserve"> som er formelt kvalifisert, skal få læreplass.</w:t>
      </w:r>
    </w:p>
    <w:p w14:paraId="09655243" w14:textId="77777777" w:rsidR="00972395" w:rsidRPr="00E73D4B" w:rsidRDefault="00F120C7" w:rsidP="00E73D4B">
      <w:r w:rsidRPr="00E73D4B">
        <w:t xml:space="preserve">Departementet meiner at vedtak nr. 1073, 1. juni 2021 er </w:t>
      </w:r>
      <w:proofErr w:type="spellStart"/>
      <w:r w:rsidRPr="00E73D4B">
        <w:t>følgt</w:t>
      </w:r>
      <w:proofErr w:type="spellEnd"/>
      <w:r w:rsidRPr="00E73D4B">
        <w:t xml:space="preserve"> opp.</w:t>
      </w:r>
    </w:p>
    <w:p w14:paraId="0F118B44" w14:textId="77777777" w:rsidR="00972395" w:rsidRPr="00E73D4B" w:rsidRDefault="00F120C7" w:rsidP="00E73D4B">
      <w:pPr>
        <w:pStyle w:val="avsnitt-tittel"/>
      </w:pPr>
      <w:proofErr w:type="spellStart"/>
      <w:r w:rsidRPr="00E73D4B">
        <w:t>Tilbod</w:t>
      </w:r>
      <w:proofErr w:type="spellEnd"/>
      <w:r w:rsidRPr="00E73D4B">
        <w:t xml:space="preserve"> om praksisbrev i </w:t>
      </w:r>
      <w:proofErr w:type="spellStart"/>
      <w:r w:rsidRPr="00E73D4B">
        <w:t>vidaregåande</w:t>
      </w:r>
      <w:proofErr w:type="spellEnd"/>
      <w:r w:rsidRPr="00E73D4B">
        <w:t xml:space="preserve"> opplæring</w:t>
      </w:r>
    </w:p>
    <w:p w14:paraId="2F1868A6" w14:textId="77777777" w:rsidR="00972395" w:rsidRPr="00E73D4B" w:rsidRDefault="00F120C7" w:rsidP="00E73D4B">
      <w:pPr>
        <w:pStyle w:val="avsnitt-undertittel"/>
      </w:pPr>
      <w:r w:rsidRPr="00E73D4B">
        <w:t>Vedtak nr. 1074, 1. juni 2021</w:t>
      </w:r>
    </w:p>
    <w:p w14:paraId="567383F1" w14:textId="77777777" w:rsidR="00972395" w:rsidRPr="00E73D4B" w:rsidRDefault="00F120C7" w:rsidP="00E73D4B">
      <w:pPr>
        <w:pStyle w:val="blokksit"/>
        <w:rPr>
          <w:rStyle w:val="kursiv"/>
        </w:rPr>
      </w:pPr>
      <w:r w:rsidRPr="00E73D4B">
        <w:rPr>
          <w:rStyle w:val="kursiv"/>
        </w:rPr>
        <w:t>Stortinget ber regjeringen komme tilbake med forslag som sikrer at alle videregående skoler med yrkesfag gir tilbud om praksisbrev eller tilsvarende tilbud for elever som har behov for mer tid og et tilrettelagt opplæringsløp ute i bedrift.</w:t>
      </w:r>
    </w:p>
    <w:p w14:paraId="28999403"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Fullføringsreformen – med åpne dører til verden og fremtiden</w:t>
      </w:r>
      <w:r w:rsidRPr="00E73D4B">
        <w:t xml:space="preserve">, jf. </w:t>
      </w:r>
      <w:proofErr w:type="spellStart"/>
      <w:r w:rsidRPr="00E73D4B">
        <w:t>Innst</w:t>
      </w:r>
      <w:proofErr w:type="spellEnd"/>
      <w:r w:rsidRPr="00E73D4B">
        <w:t>. 585 S (2020–2021).</w:t>
      </w:r>
    </w:p>
    <w:p w14:paraId="26CFFA4D" w14:textId="77777777" w:rsidR="00972395" w:rsidRPr="00E73D4B" w:rsidRDefault="00F120C7" w:rsidP="00E73D4B">
      <w:r w:rsidRPr="00E73D4B">
        <w:t xml:space="preserve">Departementet vil følge opp vedtaket i samband med oppfølginga av tiltaka i Meld. St. 21 (2020–2021) </w:t>
      </w:r>
      <w:r w:rsidRPr="00E73D4B">
        <w:rPr>
          <w:rStyle w:val="kursiv"/>
        </w:rPr>
        <w:t xml:space="preserve">Fullføringsreformen – med åpne dører til verden og fremtiden. </w:t>
      </w:r>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13C23331" w14:textId="77777777" w:rsidR="00972395" w:rsidRPr="00E73D4B" w:rsidRDefault="00F120C7" w:rsidP="00E73D4B">
      <w:pPr>
        <w:pStyle w:val="avsnitt-tittel"/>
      </w:pPr>
      <w:proofErr w:type="spellStart"/>
      <w:r w:rsidRPr="00E73D4B">
        <w:t>Vekslingsmodellar</w:t>
      </w:r>
      <w:proofErr w:type="spellEnd"/>
      <w:r w:rsidRPr="00E73D4B">
        <w:t xml:space="preserve"> i </w:t>
      </w:r>
      <w:proofErr w:type="spellStart"/>
      <w:r w:rsidRPr="00E73D4B">
        <w:t>vidaregåande</w:t>
      </w:r>
      <w:proofErr w:type="spellEnd"/>
      <w:r w:rsidRPr="00E73D4B">
        <w:t xml:space="preserve"> opplæring</w:t>
      </w:r>
    </w:p>
    <w:p w14:paraId="1C32A2C3" w14:textId="77777777" w:rsidR="00972395" w:rsidRPr="00E73D4B" w:rsidRDefault="00F120C7" w:rsidP="00E73D4B">
      <w:pPr>
        <w:pStyle w:val="avsnitt-undertittel"/>
      </w:pPr>
      <w:r w:rsidRPr="00E73D4B">
        <w:t>Vedtak nr. 1075, 1. juni 2021</w:t>
      </w:r>
    </w:p>
    <w:p w14:paraId="5D9AE303" w14:textId="77777777" w:rsidR="00972395" w:rsidRPr="00E73D4B" w:rsidRDefault="00F120C7" w:rsidP="00E73D4B">
      <w:pPr>
        <w:pStyle w:val="blokksit"/>
        <w:rPr>
          <w:rStyle w:val="kursiv"/>
        </w:rPr>
      </w:pPr>
      <w:r w:rsidRPr="00E73D4B">
        <w:rPr>
          <w:rStyle w:val="kursiv"/>
        </w:rPr>
        <w:t>Stortinget ber regjeringen gi fylkeskommunene incitamenter til å utvide omfanget av ulike vekslingsmodeller som alternativ til hovedmodellen med 2 år i skole + 2 år i lærebedrift, slik at flere elever får mulighet til å veksle mellom opplæring i skole og bedrift gjennom hele opplæringsløpet.</w:t>
      </w:r>
    </w:p>
    <w:p w14:paraId="1A03D192"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Fullføringsreformen – med åpne dører til verden og fremtiden</w:t>
      </w:r>
      <w:r w:rsidRPr="00E73D4B">
        <w:t xml:space="preserve">, jf. </w:t>
      </w:r>
      <w:proofErr w:type="spellStart"/>
      <w:r w:rsidRPr="00E73D4B">
        <w:t>Innst</w:t>
      </w:r>
      <w:proofErr w:type="spellEnd"/>
      <w:r w:rsidRPr="00E73D4B">
        <w:t>. 585 S (2020–2021).</w:t>
      </w:r>
    </w:p>
    <w:p w14:paraId="1F8B7B99" w14:textId="77777777" w:rsidR="00972395" w:rsidRPr="00E73D4B" w:rsidRDefault="00F120C7" w:rsidP="00E73D4B">
      <w:r w:rsidRPr="00E73D4B">
        <w:t xml:space="preserve">Det er </w:t>
      </w:r>
      <w:proofErr w:type="spellStart"/>
      <w:r w:rsidRPr="00E73D4B">
        <w:t>fylkeskommunane</w:t>
      </w:r>
      <w:proofErr w:type="spellEnd"/>
      <w:r w:rsidRPr="00E73D4B">
        <w:t xml:space="preserve"> som har ansvar for å tilby tilpassa opplæring og val av ulike </w:t>
      </w:r>
      <w:proofErr w:type="spellStart"/>
      <w:r w:rsidRPr="00E73D4B">
        <w:t>modellar</w:t>
      </w:r>
      <w:proofErr w:type="spellEnd"/>
      <w:r w:rsidRPr="00E73D4B">
        <w:t xml:space="preserve"> for opplæringa. </w:t>
      </w:r>
      <w:proofErr w:type="spellStart"/>
      <w:r w:rsidRPr="00E73D4B">
        <w:t>Opplæringslova</w:t>
      </w:r>
      <w:proofErr w:type="spellEnd"/>
      <w:r w:rsidRPr="00E73D4B">
        <w:t xml:space="preserve"> og rammefinansieringa av </w:t>
      </w:r>
      <w:proofErr w:type="spellStart"/>
      <w:r w:rsidRPr="00E73D4B">
        <w:t>fylkeskommunane</w:t>
      </w:r>
      <w:proofErr w:type="spellEnd"/>
      <w:r w:rsidRPr="00E73D4B">
        <w:t xml:space="preserve"> gir </w:t>
      </w:r>
      <w:proofErr w:type="spellStart"/>
      <w:r w:rsidRPr="00E73D4B">
        <w:t>skuleeigarar</w:t>
      </w:r>
      <w:proofErr w:type="spellEnd"/>
      <w:r w:rsidRPr="00E73D4B">
        <w:t xml:space="preserve"> fridom til å </w:t>
      </w:r>
      <w:proofErr w:type="spellStart"/>
      <w:r w:rsidRPr="00E73D4B">
        <w:t>velje</w:t>
      </w:r>
      <w:proofErr w:type="spellEnd"/>
      <w:r w:rsidRPr="00E73D4B">
        <w:t xml:space="preserve"> </w:t>
      </w:r>
      <w:proofErr w:type="spellStart"/>
      <w:r w:rsidRPr="00E73D4B">
        <w:t>modellar</w:t>
      </w:r>
      <w:proofErr w:type="spellEnd"/>
      <w:r w:rsidRPr="00E73D4B">
        <w:t xml:space="preserve"> som er tilpassa det lokale arbeidslivet og behovet </w:t>
      </w:r>
      <w:proofErr w:type="spellStart"/>
      <w:r w:rsidRPr="00E73D4B">
        <w:t>elevar</w:t>
      </w:r>
      <w:proofErr w:type="spellEnd"/>
      <w:r w:rsidRPr="00E73D4B">
        <w:t xml:space="preserve"> og </w:t>
      </w:r>
      <w:proofErr w:type="spellStart"/>
      <w:r w:rsidRPr="00E73D4B">
        <w:t>lærlingar</w:t>
      </w:r>
      <w:proofErr w:type="spellEnd"/>
      <w:r w:rsidRPr="00E73D4B">
        <w:t xml:space="preserve"> har for opplæring. I statsbudsjettet for 2023 foreslår regjeringa om lag 460 mill. kroner for å styrke arbeidet for </w:t>
      </w:r>
      <w:proofErr w:type="spellStart"/>
      <w:r w:rsidRPr="00E73D4B">
        <w:t>fleire</w:t>
      </w:r>
      <w:proofErr w:type="spellEnd"/>
      <w:r w:rsidRPr="00E73D4B">
        <w:t xml:space="preserve"> </w:t>
      </w:r>
      <w:proofErr w:type="spellStart"/>
      <w:r w:rsidRPr="00E73D4B">
        <w:t>læreplassar</w:t>
      </w:r>
      <w:proofErr w:type="spellEnd"/>
      <w:r w:rsidRPr="00E73D4B">
        <w:t xml:space="preserve">, og bidra til kvalifisering og formidling til </w:t>
      </w:r>
      <w:proofErr w:type="spellStart"/>
      <w:r w:rsidRPr="00E73D4B">
        <w:t>læreplassar</w:t>
      </w:r>
      <w:proofErr w:type="spellEnd"/>
      <w:r w:rsidRPr="00E73D4B">
        <w:t xml:space="preserve"> i fag- og yrkesopplæringa, jf. kap. 225, post 69.</w:t>
      </w:r>
    </w:p>
    <w:p w14:paraId="451160D7" w14:textId="77777777" w:rsidR="00972395" w:rsidRPr="00E73D4B" w:rsidRDefault="00F120C7" w:rsidP="00E73D4B">
      <w:r w:rsidRPr="00E73D4B">
        <w:t xml:space="preserve">Departementet meiner at vedtak nr. 1075, 1. juni 2021 er </w:t>
      </w:r>
      <w:proofErr w:type="spellStart"/>
      <w:r w:rsidRPr="00E73D4B">
        <w:t>følgt</w:t>
      </w:r>
      <w:proofErr w:type="spellEnd"/>
      <w:r w:rsidRPr="00E73D4B">
        <w:t xml:space="preserve"> opp.</w:t>
      </w:r>
    </w:p>
    <w:p w14:paraId="46BD0427" w14:textId="77777777" w:rsidR="00972395" w:rsidRPr="00E73D4B" w:rsidRDefault="00F120C7" w:rsidP="00E73D4B">
      <w:pPr>
        <w:pStyle w:val="avsnitt-tittel"/>
      </w:pPr>
      <w:r w:rsidRPr="00E73D4B">
        <w:t xml:space="preserve">Forsterka oppfølgingsansvar i </w:t>
      </w:r>
      <w:proofErr w:type="spellStart"/>
      <w:r w:rsidRPr="00E73D4B">
        <w:t>vidaregåande</w:t>
      </w:r>
      <w:proofErr w:type="spellEnd"/>
      <w:r w:rsidRPr="00E73D4B">
        <w:t xml:space="preserve"> opplæring</w:t>
      </w:r>
    </w:p>
    <w:p w14:paraId="5C552329" w14:textId="77777777" w:rsidR="00972395" w:rsidRPr="00E73D4B" w:rsidRDefault="00F120C7" w:rsidP="00E73D4B">
      <w:pPr>
        <w:pStyle w:val="avsnitt-undertittel"/>
      </w:pPr>
      <w:r w:rsidRPr="00E73D4B">
        <w:t>Vedtak nr. 1076, 1. juni 2021</w:t>
      </w:r>
    </w:p>
    <w:p w14:paraId="4932B150" w14:textId="77777777" w:rsidR="00972395" w:rsidRPr="00E73D4B" w:rsidRDefault="00F120C7" w:rsidP="00E73D4B">
      <w:pPr>
        <w:pStyle w:val="blokksit"/>
        <w:rPr>
          <w:rStyle w:val="kursiv"/>
        </w:rPr>
      </w:pPr>
      <w:r w:rsidRPr="00E73D4B">
        <w:rPr>
          <w:rStyle w:val="kursiv"/>
        </w:rPr>
        <w:t>Stortinget ber regjeringen forsterke skolenes oppfølgingsansvar for eleven gjennom hele opplæringsløpet, også i den tiden eleven er lærling i en lærebedrift.</w:t>
      </w:r>
    </w:p>
    <w:p w14:paraId="38C9269A"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Fullføringsreformen – med åpne dører til verden og fremtiden</w:t>
      </w:r>
      <w:r w:rsidRPr="00E73D4B">
        <w:t xml:space="preserve">, jf. </w:t>
      </w:r>
      <w:proofErr w:type="spellStart"/>
      <w:r w:rsidRPr="00E73D4B">
        <w:t>Innst</w:t>
      </w:r>
      <w:proofErr w:type="spellEnd"/>
      <w:r w:rsidRPr="00E73D4B">
        <w:t>. 585 S (2020–2021).</w:t>
      </w:r>
    </w:p>
    <w:p w14:paraId="17DAA1F0" w14:textId="77777777" w:rsidR="00972395" w:rsidRPr="00E73D4B" w:rsidRDefault="00F120C7" w:rsidP="00E73D4B">
      <w:r w:rsidRPr="00E73D4B">
        <w:t xml:space="preserve">Departementet vil følge opp vedtaket i samband med oppfølginga av tiltaka i Meld. St. 21 (2020–2021) </w:t>
      </w:r>
      <w:r w:rsidRPr="00E73D4B">
        <w:rPr>
          <w:rStyle w:val="kursiv"/>
        </w:rPr>
        <w:t xml:space="preserve">Fullføringsreformen – med åpne dører til verden og fremtiden. </w:t>
      </w:r>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39832C4F" w14:textId="77777777" w:rsidR="00972395" w:rsidRPr="00E73D4B" w:rsidRDefault="00F120C7" w:rsidP="00E73D4B">
      <w:pPr>
        <w:pStyle w:val="avsnitt-tittel"/>
      </w:pPr>
      <w:r w:rsidRPr="00E73D4B">
        <w:t>Opplæringskontor og lærebedrifter</w:t>
      </w:r>
    </w:p>
    <w:p w14:paraId="7847AE69" w14:textId="77777777" w:rsidR="00972395" w:rsidRPr="00E73D4B" w:rsidRDefault="00F120C7" w:rsidP="00E73D4B">
      <w:pPr>
        <w:pStyle w:val="avsnitt-undertittel"/>
      </w:pPr>
      <w:r w:rsidRPr="00E73D4B">
        <w:t>Vedtak nr. 1078, 1. juni 2021</w:t>
      </w:r>
    </w:p>
    <w:p w14:paraId="70FAD892" w14:textId="77777777" w:rsidR="00972395" w:rsidRPr="00E73D4B" w:rsidRDefault="00F120C7" w:rsidP="00E73D4B">
      <w:pPr>
        <w:pStyle w:val="blokksit"/>
        <w:rPr>
          <w:rStyle w:val="kursiv"/>
        </w:rPr>
      </w:pPr>
      <w:r w:rsidRPr="00E73D4B">
        <w:rPr>
          <w:rStyle w:val="kursiv"/>
        </w:rPr>
        <w:t>Stortinget ber regjeringen videreføre lovfesting av opplæringskontorene og godkjenning som lærebedrift, samt forsterke opplæringskontorenes funksjon som bindeledd mellom skolen og lærebedriftene</w:t>
      </w:r>
      <w:r w:rsidRPr="00E73D4B">
        <w:t>.</w:t>
      </w:r>
    </w:p>
    <w:p w14:paraId="62533E91"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Fullføringsreformen – med åpne dører til verden og fremtiden</w:t>
      </w:r>
      <w:r w:rsidRPr="00E73D4B">
        <w:t xml:space="preserve">, jf. </w:t>
      </w:r>
      <w:proofErr w:type="spellStart"/>
      <w:r w:rsidRPr="00E73D4B">
        <w:t>Innst</w:t>
      </w:r>
      <w:proofErr w:type="spellEnd"/>
      <w:r w:rsidRPr="00E73D4B">
        <w:t>. 585 S (2020–2021).</w:t>
      </w:r>
    </w:p>
    <w:p w14:paraId="2E941F50" w14:textId="77777777" w:rsidR="00972395" w:rsidRPr="00E73D4B" w:rsidRDefault="00F120C7" w:rsidP="00E73D4B">
      <w:r w:rsidRPr="00E73D4B">
        <w:t xml:space="preserve">Departementet vil følge opp vedtaket i forslag til ny opplæringslov. Forslag til ny opplæringslov blei sendt på </w:t>
      </w:r>
      <w:proofErr w:type="spellStart"/>
      <w:r w:rsidRPr="00E73D4B">
        <w:t>høyring</w:t>
      </w:r>
      <w:proofErr w:type="spellEnd"/>
      <w:r w:rsidRPr="00E73D4B">
        <w:t xml:space="preserve"> </w:t>
      </w:r>
      <w:proofErr w:type="spellStart"/>
      <w:r w:rsidRPr="00E73D4B">
        <w:t>hausten</w:t>
      </w:r>
      <w:proofErr w:type="spellEnd"/>
      <w:r w:rsidRPr="00E73D4B">
        <w:t xml:space="preserve"> 2021, og departementet </w:t>
      </w:r>
      <w:proofErr w:type="spellStart"/>
      <w:r w:rsidRPr="00E73D4B">
        <w:t>tek</w:t>
      </w:r>
      <w:proofErr w:type="spellEnd"/>
      <w:r w:rsidRPr="00E73D4B">
        <w:t xml:space="preserve"> sikte på å </w:t>
      </w:r>
      <w:proofErr w:type="spellStart"/>
      <w:r w:rsidRPr="00E73D4B">
        <w:t>fremje</w:t>
      </w:r>
      <w:proofErr w:type="spellEnd"/>
      <w:r w:rsidRPr="00E73D4B">
        <w:t xml:space="preserve"> </w:t>
      </w:r>
      <w:proofErr w:type="spellStart"/>
      <w:r w:rsidRPr="00E73D4B">
        <w:t>ein</w:t>
      </w:r>
      <w:proofErr w:type="spellEnd"/>
      <w:r w:rsidRPr="00E73D4B">
        <w:t xml:space="preserve"> lovproposisjon for Stortinget våren 2023.</w:t>
      </w:r>
    </w:p>
    <w:p w14:paraId="0382035A"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2DC74B85" w14:textId="77777777" w:rsidR="00972395" w:rsidRPr="00E73D4B" w:rsidRDefault="00F120C7" w:rsidP="00E73D4B">
      <w:pPr>
        <w:pStyle w:val="avsnitt-tittel"/>
      </w:pPr>
      <w:proofErr w:type="spellStart"/>
      <w:r w:rsidRPr="00E73D4B">
        <w:t>Produksjonsskular</w:t>
      </w:r>
      <w:proofErr w:type="spellEnd"/>
    </w:p>
    <w:p w14:paraId="51A8ED28" w14:textId="77777777" w:rsidR="00972395" w:rsidRPr="00E73D4B" w:rsidRDefault="00F120C7" w:rsidP="00E73D4B">
      <w:pPr>
        <w:pStyle w:val="avsnitt-undertittel"/>
      </w:pPr>
      <w:r w:rsidRPr="00E73D4B">
        <w:t>Vedtak nr. 1080, 1. juni 2021</w:t>
      </w:r>
    </w:p>
    <w:p w14:paraId="589EE814" w14:textId="77777777" w:rsidR="00972395" w:rsidRPr="00E73D4B" w:rsidRDefault="00F120C7" w:rsidP="00E73D4B">
      <w:pPr>
        <w:pStyle w:val="blokksit"/>
        <w:rPr>
          <w:rStyle w:val="kursiv"/>
        </w:rPr>
      </w:pPr>
      <w:r w:rsidRPr="00E73D4B">
        <w:rPr>
          <w:rStyle w:val="kursiv"/>
        </w:rPr>
        <w:t>Stortinget ber regjeringen legge til rette for etablering av flere produksjonsskoler</w:t>
      </w:r>
      <w:r w:rsidRPr="00E73D4B">
        <w:t>.</w:t>
      </w:r>
    </w:p>
    <w:p w14:paraId="633A2B38"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21 (2020–2021) </w:t>
      </w:r>
      <w:r w:rsidRPr="00E73D4B">
        <w:rPr>
          <w:rStyle w:val="kursiv"/>
        </w:rPr>
        <w:t xml:space="preserve">Fullføringsreformen – med åpne dører til verden og fremtiden, </w:t>
      </w:r>
      <w:r w:rsidRPr="00E73D4B">
        <w:t xml:space="preserve">jf. </w:t>
      </w:r>
      <w:proofErr w:type="spellStart"/>
      <w:r w:rsidRPr="00E73D4B">
        <w:t>Innst</w:t>
      </w:r>
      <w:proofErr w:type="spellEnd"/>
      <w:r w:rsidRPr="00E73D4B">
        <w:t>. 585 S (2020–2021).</w:t>
      </w:r>
    </w:p>
    <w:p w14:paraId="4998E905" w14:textId="77777777" w:rsidR="00972395" w:rsidRPr="00E73D4B" w:rsidRDefault="00F120C7" w:rsidP="00E73D4B">
      <w:r w:rsidRPr="00E73D4B">
        <w:t xml:space="preserve">I revidert budsjett for 2021 blei det løyvd 6 mill. kroner til </w:t>
      </w:r>
      <w:proofErr w:type="spellStart"/>
      <w:r w:rsidRPr="00E73D4B">
        <w:t>produksjonsskular</w:t>
      </w:r>
      <w:proofErr w:type="spellEnd"/>
      <w:r w:rsidRPr="00E73D4B">
        <w:t xml:space="preserve">, jf. </w:t>
      </w:r>
      <w:proofErr w:type="spellStart"/>
      <w:r w:rsidRPr="00E73D4B">
        <w:t>Innst</w:t>
      </w:r>
      <w:proofErr w:type="spellEnd"/>
      <w:r w:rsidRPr="00E73D4B">
        <w:t xml:space="preserve">. 600 S (2020–2021). </w:t>
      </w:r>
      <w:proofErr w:type="spellStart"/>
      <w:r w:rsidRPr="00E73D4B">
        <w:t>Midlane</w:t>
      </w:r>
      <w:proofErr w:type="spellEnd"/>
      <w:r w:rsidRPr="00E73D4B">
        <w:t xml:space="preserve"> gjekk til </w:t>
      </w:r>
      <w:proofErr w:type="spellStart"/>
      <w:r w:rsidRPr="00E73D4B">
        <w:t>Vestland</w:t>
      </w:r>
      <w:proofErr w:type="spellEnd"/>
      <w:r w:rsidRPr="00E73D4B">
        <w:t xml:space="preserve"> fylkeskommune. </w:t>
      </w:r>
      <w:proofErr w:type="spellStart"/>
      <w:r w:rsidRPr="00E73D4B">
        <w:t>Tilskotet</w:t>
      </w:r>
      <w:proofErr w:type="spellEnd"/>
      <w:r w:rsidRPr="00E73D4B">
        <w:t xml:space="preserve"> blei </w:t>
      </w:r>
      <w:proofErr w:type="spellStart"/>
      <w:r w:rsidRPr="00E73D4B">
        <w:t>vidareført</w:t>
      </w:r>
      <w:proofErr w:type="spellEnd"/>
      <w:r w:rsidRPr="00E73D4B">
        <w:t xml:space="preserve"> i statsbudsjettet for 2022. </w:t>
      </w:r>
      <w:proofErr w:type="spellStart"/>
      <w:r w:rsidRPr="00E73D4B">
        <w:t>Tilskotet</w:t>
      </w:r>
      <w:proofErr w:type="spellEnd"/>
      <w:r w:rsidRPr="00E73D4B">
        <w:t xml:space="preserve"> blir </w:t>
      </w:r>
      <w:proofErr w:type="spellStart"/>
      <w:r w:rsidRPr="00E73D4B">
        <w:t>ikkje</w:t>
      </w:r>
      <w:proofErr w:type="spellEnd"/>
      <w:r w:rsidRPr="00E73D4B">
        <w:t xml:space="preserve"> </w:t>
      </w:r>
      <w:proofErr w:type="spellStart"/>
      <w:r w:rsidRPr="00E73D4B">
        <w:t>vidareført</w:t>
      </w:r>
      <w:proofErr w:type="spellEnd"/>
      <w:r w:rsidRPr="00E73D4B">
        <w:t xml:space="preserve"> i 2023. Regjeringa gjennomfører ei kraftig satsing på yrkesfaga. I statsbudsjettet for 2023 foreslår regjeringa om lag 460 mill. kroner for å styrke arbeidet for </w:t>
      </w:r>
      <w:proofErr w:type="spellStart"/>
      <w:r w:rsidRPr="00E73D4B">
        <w:t>fleire</w:t>
      </w:r>
      <w:proofErr w:type="spellEnd"/>
      <w:r w:rsidRPr="00E73D4B">
        <w:t xml:space="preserve"> </w:t>
      </w:r>
      <w:proofErr w:type="spellStart"/>
      <w:r w:rsidRPr="00E73D4B">
        <w:t>læreplassar</w:t>
      </w:r>
      <w:proofErr w:type="spellEnd"/>
      <w:r w:rsidRPr="00E73D4B">
        <w:t xml:space="preserve"> og bidra til kvalifisering og formidling til </w:t>
      </w:r>
      <w:proofErr w:type="spellStart"/>
      <w:r w:rsidRPr="00E73D4B">
        <w:t>læreplassar</w:t>
      </w:r>
      <w:proofErr w:type="spellEnd"/>
      <w:r w:rsidRPr="00E73D4B">
        <w:t xml:space="preserve"> i fag- og yrkesopplæringa, jf. kap. 225, post 69. </w:t>
      </w:r>
      <w:proofErr w:type="spellStart"/>
      <w:r w:rsidRPr="00E73D4B">
        <w:t>Fylkeskommunane</w:t>
      </w:r>
      <w:proofErr w:type="spellEnd"/>
      <w:r w:rsidRPr="00E73D4B">
        <w:t xml:space="preserve"> kan </w:t>
      </w:r>
      <w:proofErr w:type="spellStart"/>
      <w:r w:rsidRPr="00E73D4B">
        <w:t>innanfor</w:t>
      </w:r>
      <w:proofErr w:type="spellEnd"/>
      <w:r w:rsidRPr="00E73D4B">
        <w:t xml:space="preserve"> ramma av </w:t>
      </w:r>
      <w:proofErr w:type="spellStart"/>
      <w:r w:rsidRPr="00E73D4B">
        <w:t>tilskotet</w:t>
      </w:r>
      <w:proofErr w:type="spellEnd"/>
      <w:r w:rsidRPr="00E73D4B">
        <w:t xml:space="preserve"> mellom anna etablere </w:t>
      </w:r>
      <w:proofErr w:type="spellStart"/>
      <w:r w:rsidRPr="00E73D4B">
        <w:t>tilbod</w:t>
      </w:r>
      <w:proofErr w:type="spellEnd"/>
      <w:r w:rsidRPr="00E73D4B">
        <w:t xml:space="preserve"> som </w:t>
      </w:r>
      <w:proofErr w:type="spellStart"/>
      <w:r w:rsidRPr="00E73D4B">
        <w:t>produksjonsskular</w:t>
      </w:r>
      <w:proofErr w:type="spellEnd"/>
      <w:r w:rsidRPr="00E73D4B">
        <w:t>.</w:t>
      </w:r>
    </w:p>
    <w:p w14:paraId="0A305151" w14:textId="77777777" w:rsidR="00972395" w:rsidRPr="00E73D4B" w:rsidRDefault="00F120C7" w:rsidP="00E73D4B">
      <w:r w:rsidRPr="00E73D4B">
        <w:t xml:space="preserve">Departementet meiner at vedtak nr. 1080, 1. juni 2021 er </w:t>
      </w:r>
      <w:proofErr w:type="spellStart"/>
      <w:r w:rsidRPr="00E73D4B">
        <w:t>følgt</w:t>
      </w:r>
      <w:proofErr w:type="spellEnd"/>
      <w:r w:rsidRPr="00E73D4B">
        <w:t xml:space="preserve"> opp.</w:t>
      </w:r>
    </w:p>
    <w:p w14:paraId="7AAC447F" w14:textId="77777777" w:rsidR="00972395" w:rsidRPr="00E73D4B" w:rsidRDefault="00F120C7" w:rsidP="00E73D4B">
      <w:pPr>
        <w:pStyle w:val="avsnitt-tittel"/>
      </w:pPr>
      <w:proofErr w:type="spellStart"/>
      <w:r w:rsidRPr="00E73D4B">
        <w:t>Heilskaplege</w:t>
      </w:r>
      <w:proofErr w:type="spellEnd"/>
      <w:r w:rsidRPr="00E73D4B">
        <w:t xml:space="preserve"> og koordinerte </w:t>
      </w:r>
      <w:proofErr w:type="spellStart"/>
      <w:r w:rsidRPr="00E73D4B">
        <w:t>tenester</w:t>
      </w:r>
      <w:proofErr w:type="spellEnd"/>
    </w:p>
    <w:p w14:paraId="3DCCC58E" w14:textId="77777777" w:rsidR="00972395" w:rsidRPr="00E73D4B" w:rsidRDefault="00F120C7" w:rsidP="00E73D4B">
      <w:pPr>
        <w:pStyle w:val="avsnitt-undertittel"/>
      </w:pPr>
      <w:r w:rsidRPr="00E73D4B">
        <w:t>Vedtak nr. 1104, 2. juni 2021</w:t>
      </w:r>
    </w:p>
    <w:p w14:paraId="73C3B784" w14:textId="77777777" w:rsidR="00972395" w:rsidRPr="00E73D4B" w:rsidRDefault="00F120C7" w:rsidP="00E73D4B">
      <w:pPr>
        <w:pStyle w:val="blokksit"/>
        <w:rPr>
          <w:rStyle w:val="kursiv"/>
        </w:rPr>
      </w:pPr>
      <w:r w:rsidRPr="00E73D4B">
        <w:rPr>
          <w:rStyle w:val="kursiv"/>
        </w:rPr>
        <w:t>Stortinget ber regjeringen utrede og fremme en sak for Stortinget med forslag til nødvendige lovendringer for å sikre at barn som trenger det, gis en rett til helhetlige og koordinerte tjenester.</w:t>
      </w:r>
    </w:p>
    <w:p w14:paraId="3664487A"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xml:space="preserve">. 100 L (2020–2021) </w:t>
      </w:r>
      <w:r w:rsidRPr="00E73D4B">
        <w:rPr>
          <w:rStyle w:val="kursiv"/>
        </w:rPr>
        <w:t>Endringer i velferdstjenestelovgivningen (samarbeid, samordning og barnekoordinator)</w:t>
      </w:r>
      <w:r w:rsidRPr="00E73D4B">
        <w:t xml:space="preserve">, jf. </w:t>
      </w:r>
      <w:proofErr w:type="spellStart"/>
      <w:r w:rsidRPr="00E73D4B">
        <w:t>Innst</w:t>
      </w:r>
      <w:proofErr w:type="spellEnd"/>
      <w:r w:rsidRPr="00E73D4B">
        <w:t>. 581 L (2020–2021).</w:t>
      </w:r>
    </w:p>
    <w:p w14:paraId="403D3E2C" w14:textId="77777777" w:rsidR="00972395" w:rsidRPr="00E73D4B" w:rsidRDefault="00F120C7" w:rsidP="00E73D4B">
      <w:r w:rsidRPr="00E73D4B">
        <w:t xml:space="preserve">Departementet har vurdert saka i samarbeid med Arbeids- og inkluderingsdepartementet, Barne- og familiedepartementet, Helse- og omsorgsdepartementet og Kommunal- og </w:t>
      </w:r>
      <w:proofErr w:type="spellStart"/>
      <w:r w:rsidRPr="00E73D4B">
        <w:t>distriktsdepartementet</w:t>
      </w:r>
      <w:proofErr w:type="spellEnd"/>
      <w:r w:rsidRPr="00E73D4B">
        <w:t>.</w:t>
      </w:r>
    </w:p>
    <w:p w14:paraId="0886ED43" w14:textId="77777777" w:rsidR="00972395" w:rsidRPr="00E73D4B" w:rsidRDefault="00F120C7" w:rsidP="00E73D4B">
      <w:r w:rsidRPr="00E73D4B">
        <w:t xml:space="preserve">Regjeringa er </w:t>
      </w:r>
      <w:proofErr w:type="spellStart"/>
      <w:r w:rsidRPr="00E73D4B">
        <w:t>oppteken</w:t>
      </w:r>
      <w:proofErr w:type="spellEnd"/>
      <w:r w:rsidRPr="00E73D4B">
        <w:t xml:space="preserve"> av at barn og unge får </w:t>
      </w:r>
      <w:proofErr w:type="spellStart"/>
      <w:r w:rsidRPr="00E73D4B">
        <w:t>dei</w:t>
      </w:r>
      <w:proofErr w:type="spellEnd"/>
      <w:r w:rsidRPr="00E73D4B">
        <w:t xml:space="preserve"> </w:t>
      </w:r>
      <w:proofErr w:type="spellStart"/>
      <w:r w:rsidRPr="00E73D4B">
        <w:t>tenestene</w:t>
      </w:r>
      <w:proofErr w:type="spellEnd"/>
      <w:r w:rsidRPr="00E73D4B">
        <w:t xml:space="preserve"> </w:t>
      </w:r>
      <w:proofErr w:type="spellStart"/>
      <w:r w:rsidRPr="00E73D4B">
        <w:t>dei</w:t>
      </w:r>
      <w:proofErr w:type="spellEnd"/>
      <w:r w:rsidRPr="00E73D4B">
        <w:t xml:space="preserve"> treng, og at </w:t>
      </w:r>
      <w:proofErr w:type="spellStart"/>
      <w:r w:rsidRPr="00E73D4B">
        <w:t>tenestene</w:t>
      </w:r>
      <w:proofErr w:type="spellEnd"/>
      <w:r w:rsidRPr="00E73D4B">
        <w:t xml:space="preserve"> er godt koordinerte. 1. august 2022 tok ei rekke </w:t>
      </w:r>
      <w:proofErr w:type="spellStart"/>
      <w:r w:rsidRPr="00E73D4B">
        <w:t>endringar</w:t>
      </w:r>
      <w:proofErr w:type="spellEnd"/>
      <w:r w:rsidRPr="00E73D4B">
        <w:t xml:space="preserve"> i </w:t>
      </w:r>
      <w:proofErr w:type="spellStart"/>
      <w:r w:rsidRPr="00E73D4B">
        <w:t>velferdstenestelovgivinga</w:t>
      </w:r>
      <w:proofErr w:type="spellEnd"/>
      <w:r w:rsidRPr="00E73D4B">
        <w:t xml:space="preserve"> til å gjelde, jf. </w:t>
      </w:r>
      <w:proofErr w:type="spellStart"/>
      <w:r w:rsidRPr="00E73D4B">
        <w:t>Innst</w:t>
      </w:r>
      <w:proofErr w:type="spellEnd"/>
      <w:r w:rsidRPr="00E73D4B">
        <w:t xml:space="preserve">. 581 L (2020–2021) og </w:t>
      </w:r>
      <w:proofErr w:type="spellStart"/>
      <w:r w:rsidRPr="00E73D4B">
        <w:t>Prop</w:t>
      </w:r>
      <w:proofErr w:type="spellEnd"/>
      <w:r w:rsidRPr="00E73D4B">
        <w:t xml:space="preserve">. 100 L (2020–2021). </w:t>
      </w:r>
      <w:proofErr w:type="spellStart"/>
      <w:r w:rsidRPr="00E73D4B">
        <w:t>Endringane</w:t>
      </w:r>
      <w:proofErr w:type="spellEnd"/>
      <w:r w:rsidRPr="00E73D4B">
        <w:t xml:space="preserve"> </w:t>
      </w:r>
      <w:proofErr w:type="spellStart"/>
      <w:r w:rsidRPr="00E73D4B">
        <w:t>omfattar</w:t>
      </w:r>
      <w:proofErr w:type="spellEnd"/>
      <w:r w:rsidRPr="00E73D4B">
        <w:t xml:space="preserve"> 14 lover og </w:t>
      </w:r>
      <w:proofErr w:type="spellStart"/>
      <w:r w:rsidRPr="00E73D4B">
        <w:t>inneber</w:t>
      </w:r>
      <w:proofErr w:type="spellEnd"/>
      <w:r w:rsidRPr="00E73D4B">
        <w:t xml:space="preserve"> mellom anna at </w:t>
      </w:r>
      <w:proofErr w:type="spellStart"/>
      <w:r w:rsidRPr="00E73D4B">
        <w:t>reglane</w:t>
      </w:r>
      <w:proofErr w:type="spellEnd"/>
      <w:r w:rsidRPr="00E73D4B">
        <w:t xml:space="preserve"> om samarbeid og individuell plan er harmoniserte og styrkte, at det er innført ei plikt for kommunen til å samordne </w:t>
      </w:r>
      <w:proofErr w:type="spellStart"/>
      <w:r w:rsidRPr="00E73D4B">
        <w:t>tenestetilbodet</w:t>
      </w:r>
      <w:proofErr w:type="spellEnd"/>
      <w:r w:rsidRPr="00E73D4B">
        <w:t xml:space="preserve"> til den </w:t>
      </w:r>
      <w:proofErr w:type="spellStart"/>
      <w:r w:rsidRPr="00E73D4B">
        <w:t>einskilde</w:t>
      </w:r>
      <w:proofErr w:type="spellEnd"/>
      <w:r w:rsidRPr="00E73D4B">
        <w:t xml:space="preserve">, og </w:t>
      </w:r>
      <w:proofErr w:type="spellStart"/>
      <w:r w:rsidRPr="00E73D4B">
        <w:t>ein</w:t>
      </w:r>
      <w:proofErr w:type="spellEnd"/>
      <w:r w:rsidRPr="00E73D4B">
        <w:t xml:space="preserve"> rett til barnekoordinator på visse vilkår. Formålet med </w:t>
      </w:r>
      <w:proofErr w:type="spellStart"/>
      <w:r w:rsidRPr="00E73D4B">
        <w:t>endringane</w:t>
      </w:r>
      <w:proofErr w:type="spellEnd"/>
      <w:r w:rsidRPr="00E73D4B">
        <w:t xml:space="preserve"> er å styrke oppfølginga av </w:t>
      </w:r>
      <w:proofErr w:type="gramStart"/>
      <w:r w:rsidRPr="00E73D4B">
        <w:t>utsette</w:t>
      </w:r>
      <w:proofErr w:type="gramEnd"/>
      <w:r w:rsidRPr="00E73D4B">
        <w:t xml:space="preserve"> barn og unge og </w:t>
      </w:r>
      <w:proofErr w:type="spellStart"/>
      <w:r w:rsidRPr="00E73D4B">
        <w:t>familiane</w:t>
      </w:r>
      <w:proofErr w:type="spellEnd"/>
      <w:r w:rsidRPr="00E73D4B">
        <w:t xml:space="preserve"> </w:t>
      </w:r>
      <w:proofErr w:type="spellStart"/>
      <w:r w:rsidRPr="00E73D4B">
        <w:t>deira</w:t>
      </w:r>
      <w:proofErr w:type="spellEnd"/>
      <w:r w:rsidRPr="00E73D4B">
        <w:t xml:space="preserve"> gjennom </w:t>
      </w:r>
      <w:proofErr w:type="spellStart"/>
      <w:r w:rsidRPr="00E73D4B">
        <w:t>auka</w:t>
      </w:r>
      <w:proofErr w:type="spellEnd"/>
      <w:r w:rsidRPr="00E73D4B">
        <w:t xml:space="preserve"> samarbeid mellom </w:t>
      </w:r>
      <w:proofErr w:type="spellStart"/>
      <w:r w:rsidRPr="00E73D4B">
        <w:t>velferdstenestene</w:t>
      </w:r>
      <w:proofErr w:type="spellEnd"/>
      <w:r w:rsidRPr="00E73D4B">
        <w:t>.</w:t>
      </w:r>
    </w:p>
    <w:p w14:paraId="3B48DD8F" w14:textId="77777777" w:rsidR="00972395" w:rsidRPr="00E73D4B" w:rsidRDefault="00F120C7" w:rsidP="00E73D4B">
      <w:r w:rsidRPr="00E73D4B">
        <w:t xml:space="preserve">Det er viktig at </w:t>
      </w:r>
      <w:proofErr w:type="spellStart"/>
      <w:r w:rsidRPr="00E73D4B">
        <w:t>reglane</w:t>
      </w:r>
      <w:proofErr w:type="spellEnd"/>
      <w:r w:rsidRPr="00E73D4B">
        <w:t xml:space="preserve"> legg til rette for godt samarbeid mellom </w:t>
      </w:r>
      <w:proofErr w:type="spellStart"/>
      <w:r w:rsidRPr="00E73D4B">
        <w:t>tenestene</w:t>
      </w:r>
      <w:proofErr w:type="spellEnd"/>
      <w:r w:rsidRPr="00E73D4B">
        <w:t xml:space="preserve">. Samstundes er det viktig å arbeide med å skape </w:t>
      </w:r>
      <w:proofErr w:type="spellStart"/>
      <w:r w:rsidRPr="00E73D4B">
        <w:t>ein</w:t>
      </w:r>
      <w:proofErr w:type="spellEnd"/>
      <w:r w:rsidRPr="00E73D4B">
        <w:t xml:space="preserve"> god samarbeidskultur i </w:t>
      </w:r>
      <w:proofErr w:type="spellStart"/>
      <w:r w:rsidRPr="00E73D4B">
        <w:t>tenestene</w:t>
      </w:r>
      <w:proofErr w:type="spellEnd"/>
      <w:r w:rsidRPr="00E73D4B">
        <w:t xml:space="preserve">, både i kommune, fylkeskommune og stat. Helsedirektoratet, Arbeids- og velferdsdirektoratet, Barne-, ungdoms- og familiedirektoratet og Utdanningsdirektoratet arbeider med å gi god rettleiing om </w:t>
      </w:r>
      <w:proofErr w:type="spellStart"/>
      <w:r w:rsidRPr="00E73D4B">
        <w:t>dei</w:t>
      </w:r>
      <w:proofErr w:type="spellEnd"/>
      <w:r w:rsidRPr="00E73D4B">
        <w:t xml:space="preserve"> nye </w:t>
      </w:r>
      <w:proofErr w:type="spellStart"/>
      <w:r w:rsidRPr="00E73D4B">
        <w:t>reglane</w:t>
      </w:r>
      <w:proofErr w:type="spellEnd"/>
      <w:r w:rsidRPr="00E73D4B">
        <w:t xml:space="preserve"> til </w:t>
      </w:r>
      <w:proofErr w:type="spellStart"/>
      <w:r w:rsidRPr="00E73D4B">
        <w:t>tenestene</w:t>
      </w:r>
      <w:proofErr w:type="spellEnd"/>
      <w:r w:rsidRPr="00E73D4B">
        <w:t xml:space="preserve">. </w:t>
      </w:r>
      <w:proofErr w:type="spellStart"/>
      <w:r w:rsidRPr="00E73D4B">
        <w:t>Ein</w:t>
      </w:r>
      <w:proofErr w:type="spellEnd"/>
      <w:r w:rsidRPr="00E73D4B">
        <w:t xml:space="preserve"> felles </w:t>
      </w:r>
      <w:proofErr w:type="spellStart"/>
      <w:r w:rsidRPr="00E73D4B">
        <w:t>rettleiar</w:t>
      </w:r>
      <w:proofErr w:type="spellEnd"/>
      <w:r w:rsidRPr="00E73D4B">
        <w:t xml:space="preserve"> om samarbeid på tvers av </w:t>
      </w:r>
      <w:proofErr w:type="spellStart"/>
      <w:r w:rsidRPr="00E73D4B">
        <w:t>velferdstenestene</w:t>
      </w:r>
      <w:proofErr w:type="spellEnd"/>
      <w:r w:rsidRPr="00E73D4B">
        <w:t xml:space="preserve"> blei publisert </w:t>
      </w:r>
      <w:proofErr w:type="spellStart"/>
      <w:r w:rsidRPr="00E73D4B">
        <w:t>hausten</w:t>
      </w:r>
      <w:proofErr w:type="spellEnd"/>
      <w:r w:rsidRPr="00E73D4B">
        <w:t xml:space="preserve"> 2022.</w:t>
      </w:r>
    </w:p>
    <w:p w14:paraId="756895F5" w14:textId="77777777" w:rsidR="00972395" w:rsidRPr="00E73D4B" w:rsidRDefault="00F120C7" w:rsidP="00E73D4B">
      <w:proofErr w:type="spellStart"/>
      <w:r w:rsidRPr="00E73D4B">
        <w:t>Regelendringane</w:t>
      </w:r>
      <w:proofErr w:type="spellEnd"/>
      <w:r w:rsidRPr="00E73D4B">
        <w:t xml:space="preserve"> blir evaluerte av </w:t>
      </w:r>
      <w:proofErr w:type="spellStart"/>
      <w:r w:rsidRPr="00E73D4B">
        <w:t>Noregs</w:t>
      </w:r>
      <w:proofErr w:type="spellEnd"/>
      <w:r w:rsidRPr="00E73D4B">
        <w:t xml:space="preserve"> teknisk-</w:t>
      </w:r>
      <w:proofErr w:type="spellStart"/>
      <w:r w:rsidRPr="00E73D4B">
        <w:t>naturvitskaplege</w:t>
      </w:r>
      <w:proofErr w:type="spellEnd"/>
      <w:r w:rsidRPr="00E73D4B">
        <w:t xml:space="preserve"> universitet (NTNU). Evalueringa skal ha implementeringa av </w:t>
      </w:r>
      <w:proofErr w:type="spellStart"/>
      <w:r w:rsidRPr="00E73D4B">
        <w:t>lovendringane</w:t>
      </w:r>
      <w:proofErr w:type="spellEnd"/>
      <w:r w:rsidRPr="00E73D4B">
        <w:t xml:space="preserve"> som </w:t>
      </w:r>
      <w:proofErr w:type="spellStart"/>
      <w:r w:rsidRPr="00E73D4B">
        <w:t>hovudformål</w:t>
      </w:r>
      <w:proofErr w:type="spellEnd"/>
      <w:r w:rsidRPr="00E73D4B">
        <w:t xml:space="preserve">. NTNU skal undersøke korleis sentrale </w:t>
      </w:r>
      <w:proofErr w:type="spellStart"/>
      <w:r w:rsidRPr="00E73D4B">
        <w:t>aktørar</w:t>
      </w:r>
      <w:proofErr w:type="spellEnd"/>
      <w:r w:rsidRPr="00E73D4B">
        <w:t xml:space="preserve"> </w:t>
      </w:r>
      <w:proofErr w:type="spellStart"/>
      <w:r w:rsidRPr="00E73D4B">
        <w:t>tolkar</w:t>
      </w:r>
      <w:proofErr w:type="spellEnd"/>
      <w:r w:rsidRPr="00E73D4B">
        <w:t xml:space="preserve"> og </w:t>
      </w:r>
      <w:proofErr w:type="spellStart"/>
      <w:r w:rsidRPr="00E73D4B">
        <w:t>set</w:t>
      </w:r>
      <w:proofErr w:type="spellEnd"/>
      <w:r w:rsidRPr="00E73D4B">
        <w:t xml:space="preserve"> i verk </w:t>
      </w:r>
      <w:proofErr w:type="spellStart"/>
      <w:r w:rsidRPr="00E73D4B">
        <w:t>lovendringane</w:t>
      </w:r>
      <w:proofErr w:type="spellEnd"/>
      <w:r w:rsidRPr="00E73D4B">
        <w:t xml:space="preserve">. </w:t>
      </w:r>
      <w:proofErr w:type="spellStart"/>
      <w:r w:rsidRPr="00E73D4B">
        <w:t>Vidare</w:t>
      </w:r>
      <w:proofErr w:type="spellEnd"/>
      <w:r w:rsidRPr="00E73D4B">
        <w:t xml:space="preserve"> skal evalueringa fange opp </w:t>
      </w:r>
      <w:proofErr w:type="spellStart"/>
      <w:r w:rsidRPr="00E73D4B">
        <w:t>endringar</w:t>
      </w:r>
      <w:proofErr w:type="spellEnd"/>
      <w:r w:rsidRPr="00E73D4B">
        <w:t xml:space="preserve"> som følger av </w:t>
      </w:r>
      <w:proofErr w:type="spellStart"/>
      <w:r w:rsidRPr="00E73D4B">
        <w:t>lovendringane</w:t>
      </w:r>
      <w:proofErr w:type="spellEnd"/>
      <w:r w:rsidRPr="00E73D4B">
        <w:t xml:space="preserve">, og om </w:t>
      </w:r>
      <w:proofErr w:type="spellStart"/>
      <w:r w:rsidRPr="00E73D4B">
        <w:t>målsetjingane</w:t>
      </w:r>
      <w:proofErr w:type="spellEnd"/>
      <w:r w:rsidRPr="00E73D4B">
        <w:t xml:space="preserve"> for </w:t>
      </w:r>
      <w:proofErr w:type="spellStart"/>
      <w:r w:rsidRPr="00E73D4B">
        <w:t>endringane</w:t>
      </w:r>
      <w:proofErr w:type="spellEnd"/>
      <w:r w:rsidRPr="00E73D4B">
        <w:t xml:space="preserve"> blir oppfylte. Evalueringa vil </w:t>
      </w:r>
      <w:proofErr w:type="spellStart"/>
      <w:r w:rsidRPr="00E73D4B">
        <w:t>halde</w:t>
      </w:r>
      <w:proofErr w:type="spellEnd"/>
      <w:r w:rsidRPr="00E73D4B">
        <w:t xml:space="preserve"> fram til våren 2027.</w:t>
      </w:r>
    </w:p>
    <w:p w14:paraId="484DBE22" w14:textId="77777777" w:rsidR="00972395" w:rsidRPr="00E73D4B" w:rsidRDefault="00F120C7" w:rsidP="00E73D4B">
      <w:r w:rsidRPr="00E73D4B">
        <w:t xml:space="preserve">Regjeringa vil vente på funn </w:t>
      </w:r>
      <w:proofErr w:type="spellStart"/>
      <w:r w:rsidRPr="00E73D4B">
        <w:t>frå</w:t>
      </w:r>
      <w:proofErr w:type="spellEnd"/>
      <w:r w:rsidRPr="00E73D4B">
        <w:t xml:space="preserve"> evalueringa før ei eventuell utgreiing av behovet for </w:t>
      </w:r>
      <w:proofErr w:type="spellStart"/>
      <w:r w:rsidRPr="00E73D4B">
        <w:t>ytterlegare</w:t>
      </w:r>
      <w:proofErr w:type="spellEnd"/>
      <w:r w:rsidRPr="00E73D4B">
        <w:t xml:space="preserve"> </w:t>
      </w:r>
      <w:proofErr w:type="spellStart"/>
      <w:r w:rsidRPr="00E73D4B">
        <w:t>lovendringar</w:t>
      </w:r>
      <w:proofErr w:type="spellEnd"/>
      <w:r w:rsidRPr="00E73D4B">
        <w:t xml:space="preserve"> for å sikre at barn og unge får </w:t>
      </w:r>
      <w:proofErr w:type="spellStart"/>
      <w:r w:rsidRPr="00E73D4B">
        <w:t>heilskaplege</w:t>
      </w:r>
      <w:proofErr w:type="spellEnd"/>
      <w:r w:rsidRPr="00E73D4B">
        <w:t xml:space="preserve"> og koordinerte </w:t>
      </w:r>
      <w:proofErr w:type="spellStart"/>
      <w:r w:rsidRPr="00E73D4B">
        <w:t>tenester</w:t>
      </w:r>
      <w:proofErr w:type="spellEnd"/>
      <w:r w:rsidRPr="00E73D4B">
        <w:t>.</w:t>
      </w:r>
    </w:p>
    <w:p w14:paraId="6983E801" w14:textId="77777777" w:rsidR="00972395" w:rsidRPr="00E73D4B" w:rsidRDefault="00F120C7" w:rsidP="00E73D4B">
      <w:r w:rsidRPr="00E73D4B">
        <w:t xml:space="preserve">Departementet </w:t>
      </w:r>
      <w:proofErr w:type="spellStart"/>
      <w:r w:rsidRPr="00E73D4B">
        <w:t>legg</w:t>
      </w:r>
      <w:proofErr w:type="spellEnd"/>
      <w:r w:rsidRPr="00E73D4B">
        <w:t xml:space="preserve"> til grunn at vedtaket med dette er </w:t>
      </w:r>
      <w:proofErr w:type="spellStart"/>
      <w:r w:rsidRPr="00E73D4B">
        <w:t>følgt</w:t>
      </w:r>
      <w:proofErr w:type="spellEnd"/>
      <w:r w:rsidRPr="00E73D4B">
        <w:t xml:space="preserve"> opp.</w:t>
      </w:r>
    </w:p>
    <w:p w14:paraId="04685D69" w14:textId="77777777" w:rsidR="00972395" w:rsidRPr="00E73D4B" w:rsidRDefault="00F120C7" w:rsidP="00E73D4B">
      <w:pPr>
        <w:pStyle w:val="Undertittel"/>
      </w:pPr>
      <w:r w:rsidRPr="00E73D4B">
        <w:t xml:space="preserve">Oppmodingsvedtak under forskings- og </w:t>
      </w:r>
      <w:proofErr w:type="spellStart"/>
      <w:r w:rsidRPr="00E73D4B">
        <w:t>høgare</w:t>
      </w:r>
      <w:proofErr w:type="spellEnd"/>
      <w:r w:rsidRPr="00E73D4B">
        <w:t xml:space="preserve"> utdanningsministeren</w:t>
      </w:r>
    </w:p>
    <w:p w14:paraId="32D43FF7" w14:textId="77777777" w:rsidR="00972395" w:rsidRPr="00E73D4B" w:rsidRDefault="00F120C7" w:rsidP="00E73D4B">
      <w:pPr>
        <w:pStyle w:val="avsnitt-tittel"/>
      </w:pPr>
      <w:r w:rsidRPr="00E73D4B">
        <w:t xml:space="preserve">Gjennomgang av </w:t>
      </w:r>
      <w:proofErr w:type="spellStart"/>
      <w:r w:rsidRPr="00E73D4B">
        <w:t>finansieringskategoriane</w:t>
      </w:r>
      <w:proofErr w:type="spellEnd"/>
      <w:r w:rsidRPr="00E73D4B">
        <w:t xml:space="preserve"> i </w:t>
      </w:r>
      <w:proofErr w:type="spellStart"/>
      <w:r w:rsidRPr="00E73D4B">
        <w:t>høgare</w:t>
      </w:r>
      <w:proofErr w:type="spellEnd"/>
      <w:r w:rsidRPr="00E73D4B">
        <w:t xml:space="preserve"> utdanning</w:t>
      </w:r>
    </w:p>
    <w:p w14:paraId="13A6B0C3" w14:textId="77777777" w:rsidR="00972395" w:rsidRPr="00E73D4B" w:rsidRDefault="00F120C7" w:rsidP="00E73D4B">
      <w:pPr>
        <w:pStyle w:val="avsnitt-undertittel"/>
      </w:pPr>
      <w:r w:rsidRPr="00E73D4B">
        <w:t>Vedtak nr. 16, 6. oktober 2020</w:t>
      </w:r>
    </w:p>
    <w:p w14:paraId="7CD7EDFF" w14:textId="77777777" w:rsidR="00972395" w:rsidRPr="00E73D4B" w:rsidRDefault="00F120C7" w:rsidP="00E73D4B">
      <w:pPr>
        <w:pStyle w:val="blokksit"/>
        <w:rPr>
          <w:rStyle w:val="kursiv"/>
        </w:rPr>
      </w:pPr>
      <w:r w:rsidRPr="00E73D4B">
        <w:rPr>
          <w:rStyle w:val="kursiv"/>
        </w:rPr>
        <w:t>Stortinget ber regjeringen om en gjennomgang av finansieringskategoriene i høyere utdanning, for å sikre at utdanninger som ingeniørfag, lærerutdanninger og andre utdanninger som er etterspurt i arbeidsmarkedet har riktig finansiering.</w:t>
      </w:r>
    </w:p>
    <w:p w14:paraId="02D24295" w14:textId="77777777" w:rsidR="00972395" w:rsidRPr="00E73D4B" w:rsidRDefault="00F120C7" w:rsidP="00E73D4B">
      <w:r w:rsidRPr="00E73D4B">
        <w:t xml:space="preserve">Oppmodingsvedtaket blei gjort i samband med debatten etter Hans Majestet Kongens tale til det 165. stortinget ved </w:t>
      </w:r>
      <w:proofErr w:type="spellStart"/>
      <w:r w:rsidRPr="00E73D4B">
        <w:t>opninga</w:t>
      </w:r>
      <w:proofErr w:type="spellEnd"/>
      <w:r w:rsidRPr="00E73D4B">
        <w:t xml:space="preserve"> og melding om </w:t>
      </w:r>
      <w:proofErr w:type="spellStart"/>
      <w:r w:rsidRPr="00E73D4B">
        <w:t>Noregs</w:t>
      </w:r>
      <w:proofErr w:type="spellEnd"/>
      <w:r w:rsidRPr="00E73D4B">
        <w:t xml:space="preserve"> rikes tilstand og styring (trontaledebatten).</w:t>
      </w:r>
    </w:p>
    <w:p w14:paraId="5750F3D1" w14:textId="77777777" w:rsidR="00972395" w:rsidRPr="00E73D4B" w:rsidRDefault="00F120C7" w:rsidP="00E73D4B">
      <w:r w:rsidRPr="00E73D4B">
        <w:t xml:space="preserve">Kunnskapsdepartementet tok 17. mars 2022 imot rapporten </w:t>
      </w:r>
      <w:proofErr w:type="spellStart"/>
      <w:r w:rsidRPr="00E73D4B">
        <w:t>frå</w:t>
      </w:r>
      <w:proofErr w:type="spellEnd"/>
      <w:r w:rsidRPr="00E73D4B">
        <w:t xml:space="preserve"> </w:t>
      </w:r>
      <w:proofErr w:type="spellStart"/>
      <w:r w:rsidRPr="00E73D4B">
        <w:t>utvalet</w:t>
      </w:r>
      <w:proofErr w:type="spellEnd"/>
      <w:r w:rsidRPr="00E73D4B">
        <w:t xml:space="preserve"> leia av Siri Hatlen som var </w:t>
      </w:r>
      <w:proofErr w:type="spellStart"/>
      <w:r w:rsidRPr="00E73D4B">
        <w:t>nemnt</w:t>
      </w:r>
      <w:proofErr w:type="spellEnd"/>
      <w:r w:rsidRPr="00E73D4B">
        <w:t xml:space="preserve"> opp for å gå gjennom finansieringa av universiteta og </w:t>
      </w:r>
      <w:proofErr w:type="spellStart"/>
      <w:r w:rsidRPr="00E73D4B">
        <w:t>høgskulane</w:t>
      </w:r>
      <w:proofErr w:type="spellEnd"/>
      <w:r w:rsidRPr="00E73D4B">
        <w:t xml:space="preserve">. Rapporten var på </w:t>
      </w:r>
      <w:proofErr w:type="spellStart"/>
      <w:r w:rsidRPr="00E73D4B">
        <w:t>høyring</w:t>
      </w:r>
      <w:proofErr w:type="spellEnd"/>
      <w:r w:rsidRPr="00E73D4B">
        <w:t xml:space="preserve"> fram til 10. juni 2022. </w:t>
      </w:r>
      <w:proofErr w:type="spellStart"/>
      <w:r w:rsidRPr="00E73D4B">
        <w:t>Utvalet</w:t>
      </w:r>
      <w:proofErr w:type="spellEnd"/>
      <w:r w:rsidRPr="00E73D4B">
        <w:t xml:space="preserve"> var </w:t>
      </w:r>
      <w:proofErr w:type="spellStart"/>
      <w:r w:rsidRPr="00E73D4B">
        <w:t>særleg</w:t>
      </w:r>
      <w:proofErr w:type="spellEnd"/>
      <w:r w:rsidRPr="00E73D4B">
        <w:t xml:space="preserve"> bede om å følge opp oppmodingsvedtaka </w:t>
      </w:r>
      <w:proofErr w:type="spellStart"/>
      <w:r w:rsidRPr="00E73D4B">
        <w:t>frå</w:t>
      </w:r>
      <w:proofErr w:type="spellEnd"/>
      <w:r w:rsidRPr="00E73D4B">
        <w:t xml:space="preserve"> Stortinget </w:t>
      </w:r>
      <w:proofErr w:type="spellStart"/>
      <w:r w:rsidRPr="00E73D4B">
        <w:t>frå</w:t>
      </w:r>
      <w:proofErr w:type="spellEnd"/>
      <w:r w:rsidRPr="00E73D4B">
        <w:t xml:space="preserve"> 2020 som dreidde seg om finansieringa av sektoren.</w:t>
      </w:r>
    </w:p>
    <w:p w14:paraId="57A680C7" w14:textId="77777777" w:rsidR="00972395" w:rsidRPr="00E73D4B" w:rsidRDefault="00F120C7" w:rsidP="00E73D4B">
      <w:proofErr w:type="spellStart"/>
      <w:r w:rsidRPr="00E73D4B">
        <w:t>Utvalet</w:t>
      </w:r>
      <w:proofErr w:type="spellEnd"/>
      <w:r w:rsidRPr="00E73D4B">
        <w:t xml:space="preserve"> tilrår å forenkle systemet for den resultatbaserte </w:t>
      </w:r>
      <w:proofErr w:type="spellStart"/>
      <w:r w:rsidRPr="00E73D4B">
        <w:t>utteljinga</w:t>
      </w:r>
      <w:proofErr w:type="spellEnd"/>
      <w:r w:rsidRPr="00E73D4B">
        <w:t xml:space="preserve"> og i staden legge større vekt på </w:t>
      </w:r>
      <w:proofErr w:type="spellStart"/>
      <w:r w:rsidRPr="00E73D4B">
        <w:t>utviklingsavtalane</w:t>
      </w:r>
      <w:proofErr w:type="spellEnd"/>
      <w:r w:rsidRPr="00E73D4B">
        <w:t xml:space="preserve"> i styringa. Det vil gi ei </w:t>
      </w:r>
      <w:proofErr w:type="spellStart"/>
      <w:r w:rsidRPr="00E73D4B">
        <w:t>meir</w:t>
      </w:r>
      <w:proofErr w:type="spellEnd"/>
      <w:r w:rsidRPr="00E73D4B">
        <w:t xml:space="preserve"> transparent styring som gir </w:t>
      </w:r>
      <w:proofErr w:type="spellStart"/>
      <w:r w:rsidRPr="00E73D4B">
        <w:t>institusjonane</w:t>
      </w:r>
      <w:proofErr w:type="spellEnd"/>
      <w:r w:rsidRPr="00E73D4B">
        <w:t xml:space="preserve"> større reelt handlingsrom og ansvar for budsjettdisponeringa. </w:t>
      </w:r>
      <w:proofErr w:type="spellStart"/>
      <w:r w:rsidRPr="00E73D4B">
        <w:t>Utvalet</w:t>
      </w:r>
      <w:proofErr w:type="spellEnd"/>
      <w:r w:rsidRPr="00E73D4B">
        <w:t xml:space="preserve"> meiner det er </w:t>
      </w:r>
      <w:proofErr w:type="spellStart"/>
      <w:r w:rsidRPr="00E73D4B">
        <w:t>eit</w:t>
      </w:r>
      <w:proofErr w:type="spellEnd"/>
      <w:r w:rsidRPr="00E73D4B">
        <w:t xml:space="preserve"> problem at </w:t>
      </w:r>
      <w:proofErr w:type="spellStart"/>
      <w:r w:rsidRPr="00E73D4B">
        <w:t>finansieringskategoriane</w:t>
      </w:r>
      <w:proofErr w:type="spellEnd"/>
      <w:r w:rsidRPr="00E73D4B">
        <w:t xml:space="preserve"> blir oppfatta som ei styring </w:t>
      </w:r>
      <w:proofErr w:type="spellStart"/>
      <w:r w:rsidRPr="00E73D4B">
        <w:t>frå</w:t>
      </w:r>
      <w:proofErr w:type="spellEnd"/>
      <w:r w:rsidRPr="00E73D4B">
        <w:t xml:space="preserve"> departementet av kostnadene i kvar utdanning. Det foreslår å redusere </w:t>
      </w:r>
      <w:proofErr w:type="spellStart"/>
      <w:r w:rsidRPr="00E73D4B">
        <w:t>talet</w:t>
      </w:r>
      <w:proofErr w:type="spellEnd"/>
      <w:r w:rsidRPr="00E73D4B">
        <w:t xml:space="preserve"> på </w:t>
      </w:r>
      <w:proofErr w:type="spellStart"/>
      <w:r w:rsidRPr="00E73D4B">
        <w:t>kategoriar</w:t>
      </w:r>
      <w:proofErr w:type="spellEnd"/>
      <w:r w:rsidRPr="00E73D4B">
        <w:t xml:space="preserve"> for å </w:t>
      </w:r>
      <w:proofErr w:type="spellStart"/>
      <w:r w:rsidRPr="00E73D4B">
        <w:t>gjere</w:t>
      </w:r>
      <w:proofErr w:type="spellEnd"/>
      <w:r w:rsidRPr="00E73D4B">
        <w:t xml:space="preserve"> det </w:t>
      </w:r>
      <w:proofErr w:type="spellStart"/>
      <w:r w:rsidRPr="00E73D4B">
        <w:t>tydelegare</w:t>
      </w:r>
      <w:proofErr w:type="spellEnd"/>
      <w:r w:rsidRPr="00E73D4B">
        <w:t xml:space="preserve"> at </w:t>
      </w:r>
      <w:proofErr w:type="spellStart"/>
      <w:r w:rsidRPr="00E73D4B">
        <w:t>dei</w:t>
      </w:r>
      <w:proofErr w:type="spellEnd"/>
      <w:r w:rsidRPr="00E73D4B">
        <w:t xml:space="preserve"> </w:t>
      </w:r>
      <w:proofErr w:type="spellStart"/>
      <w:r w:rsidRPr="00E73D4B">
        <w:t>ikkje</w:t>
      </w:r>
      <w:proofErr w:type="spellEnd"/>
      <w:r w:rsidRPr="00E73D4B">
        <w:t xml:space="preserve"> skal ha denne funksjonen, og at regjeringa følger opp oppmodingsvedtaket gjennom i større grad å </w:t>
      </w:r>
      <w:proofErr w:type="spellStart"/>
      <w:r w:rsidRPr="00E73D4B">
        <w:t>gjere</w:t>
      </w:r>
      <w:proofErr w:type="spellEnd"/>
      <w:r w:rsidRPr="00E73D4B">
        <w:t xml:space="preserve"> </w:t>
      </w:r>
      <w:proofErr w:type="spellStart"/>
      <w:r w:rsidRPr="00E73D4B">
        <w:t>institusjonane</w:t>
      </w:r>
      <w:proofErr w:type="spellEnd"/>
      <w:r w:rsidRPr="00E73D4B">
        <w:t xml:space="preserve"> </w:t>
      </w:r>
      <w:proofErr w:type="spellStart"/>
      <w:r w:rsidRPr="00E73D4B">
        <w:t>ansvarlege</w:t>
      </w:r>
      <w:proofErr w:type="spellEnd"/>
      <w:r w:rsidRPr="00E73D4B">
        <w:t xml:space="preserve"> for korleis </w:t>
      </w:r>
      <w:proofErr w:type="spellStart"/>
      <w:r w:rsidRPr="00E73D4B">
        <w:t>dei</w:t>
      </w:r>
      <w:proofErr w:type="spellEnd"/>
      <w:r w:rsidRPr="00E73D4B">
        <w:t xml:space="preserve"> fordeler løyvinga mellom </w:t>
      </w:r>
      <w:proofErr w:type="spellStart"/>
      <w:r w:rsidRPr="00E73D4B">
        <w:t>utdanningane</w:t>
      </w:r>
      <w:proofErr w:type="spellEnd"/>
      <w:r w:rsidRPr="00E73D4B">
        <w:t xml:space="preserve">, mellom anna i styringsdialogen. </w:t>
      </w:r>
      <w:proofErr w:type="spellStart"/>
      <w:r w:rsidRPr="00E73D4B">
        <w:t>Utvalet</w:t>
      </w:r>
      <w:proofErr w:type="spellEnd"/>
      <w:r w:rsidRPr="00E73D4B">
        <w:t xml:space="preserve"> </w:t>
      </w:r>
      <w:proofErr w:type="spellStart"/>
      <w:r w:rsidRPr="00E73D4B">
        <w:t>frårår</w:t>
      </w:r>
      <w:proofErr w:type="spellEnd"/>
      <w:r w:rsidRPr="00E73D4B">
        <w:t xml:space="preserve"> at departementet i større grad gjennom </w:t>
      </w:r>
      <w:proofErr w:type="spellStart"/>
      <w:r w:rsidRPr="00E73D4B">
        <w:t>finansieringskategoriane</w:t>
      </w:r>
      <w:proofErr w:type="spellEnd"/>
      <w:r w:rsidRPr="00E73D4B">
        <w:t xml:space="preserve"> skal </w:t>
      </w:r>
      <w:proofErr w:type="spellStart"/>
      <w:r w:rsidRPr="00E73D4B">
        <w:t>avgjere</w:t>
      </w:r>
      <w:proofErr w:type="spellEnd"/>
      <w:r w:rsidRPr="00E73D4B">
        <w:t xml:space="preserve"> kva som er </w:t>
      </w:r>
      <w:proofErr w:type="spellStart"/>
      <w:r w:rsidRPr="00E73D4B">
        <w:t>dei</w:t>
      </w:r>
      <w:proofErr w:type="spellEnd"/>
      <w:r w:rsidRPr="00E73D4B">
        <w:t xml:space="preserve"> «riktige» kostnadene for </w:t>
      </w:r>
      <w:proofErr w:type="spellStart"/>
      <w:r w:rsidRPr="00E73D4B">
        <w:t>bestemde</w:t>
      </w:r>
      <w:proofErr w:type="spellEnd"/>
      <w:r w:rsidRPr="00E73D4B">
        <w:t xml:space="preserve"> </w:t>
      </w:r>
      <w:proofErr w:type="spellStart"/>
      <w:r w:rsidRPr="00E73D4B">
        <w:t>utdanningar</w:t>
      </w:r>
      <w:proofErr w:type="spellEnd"/>
      <w:r w:rsidRPr="00E73D4B">
        <w:t xml:space="preserve"> på tvers av </w:t>
      </w:r>
      <w:proofErr w:type="spellStart"/>
      <w:r w:rsidRPr="00E73D4B">
        <w:t>institusjonane</w:t>
      </w:r>
      <w:proofErr w:type="spellEnd"/>
      <w:r w:rsidRPr="00E73D4B">
        <w:t>.</w:t>
      </w:r>
    </w:p>
    <w:p w14:paraId="29A739B2" w14:textId="77777777" w:rsidR="00972395" w:rsidRPr="00E73D4B" w:rsidRDefault="00F120C7" w:rsidP="00E73D4B">
      <w:r w:rsidRPr="00E73D4B">
        <w:t xml:space="preserve">Kunnskapsdepartementet vil i løpet av 2022 greie ut </w:t>
      </w:r>
      <w:proofErr w:type="spellStart"/>
      <w:r w:rsidRPr="00E73D4B">
        <w:t>finansieringskategoriane</w:t>
      </w:r>
      <w:proofErr w:type="spellEnd"/>
      <w:r w:rsidRPr="00E73D4B">
        <w:t xml:space="preserve"> </w:t>
      </w:r>
      <w:proofErr w:type="spellStart"/>
      <w:r w:rsidRPr="00E73D4B">
        <w:t>vidare</w:t>
      </w:r>
      <w:proofErr w:type="spellEnd"/>
      <w:r w:rsidRPr="00E73D4B">
        <w:t xml:space="preserve"> i dialog med sektoren, og vurdere om </w:t>
      </w:r>
      <w:proofErr w:type="spellStart"/>
      <w:r w:rsidRPr="00E73D4B">
        <w:t>talet</w:t>
      </w:r>
      <w:proofErr w:type="spellEnd"/>
      <w:r w:rsidRPr="00E73D4B">
        <w:t xml:space="preserve"> bør </w:t>
      </w:r>
      <w:proofErr w:type="spellStart"/>
      <w:r w:rsidRPr="00E73D4B">
        <w:t>reduserast</w:t>
      </w:r>
      <w:proofErr w:type="spellEnd"/>
      <w:r w:rsidRPr="00E73D4B">
        <w:t xml:space="preserve">. Regjeringa vil vurdere heilskapen i finansieringssystemet, inkludert </w:t>
      </w:r>
      <w:proofErr w:type="spellStart"/>
      <w:r w:rsidRPr="00E73D4B">
        <w:t>moglege</w:t>
      </w:r>
      <w:proofErr w:type="spellEnd"/>
      <w:r w:rsidRPr="00E73D4B">
        <w:t xml:space="preserve"> </w:t>
      </w:r>
      <w:proofErr w:type="spellStart"/>
      <w:r w:rsidRPr="00E73D4B">
        <w:t>endringar</w:t>
      </w:r>
      <w:proofErr w:type="spellEnd"/>
      <w:r w:rsidRPr="00E73D4B">
        <w:t xml:space="preserve"> i </w:t>
      </w:r>
      <w:proofErr w:type="spellStart"/>
      <w:r w:rsidRPr="00E73D4B">
        <w:t>kategoriane</w:t>
      </w:r>
      <w:proofErr w:type="spellEnd"/>
      <w:r w:rsidRPr="00E73D4B">
        <w:t xml:space="preserve">, før det blir gjort </w:t>
      </w:r>
      <w:proofErr w:type="spellStart"/>
      <w:r w:rsidRPr="00E73D4B">
        <w:t>endringar</w:t>
      </w:r>
      <w:proofErr w:type="spellEnd"/>
      <w:r w:rsidRPr="00E73D4B">
        <w:t xml:space="preserve"> i systemet. 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0F5D2E9E" w14:textId="77777777" w:rsidR="00972395" w:rsidRPr="00E73D4B" w:rsidRDefault="00F120C7" w:rsidP="00E73D4B">
      <w:pPr>
        <w:pStyle w:val="avsnitt-tittel"/>
      </w:pPr>
      <w:r w:rsidRPr="00E73D4B">
        <w:t>Ordning i Statens lånekasse for utdanning for autorisasjon av helsepersonell</w:t>
      </w:r>
    </w:p>
    <w:p w14:paraId="04D22BC8" w14:textId="77777777" w:rsidR="00972395" w:rsidRPr="00E73D4B" w:rsidRDefault="00F120C7" w:rsidP="00E73D4B">
      <w:pPr>
        <w:pStyle w:val="avsnitt-undertittel"/>
      </w:pPr>
      <w:r w:rsidRPr="00E73D4B">
        <w:t>Vedtak nr. 30, 13. oktober 2020</w:t>
      </w:r>
    </w:p>
    <w:p w14:paraId="0DE65CF8" w14:textId="77777777" w:rsidR="00972395" w:rsidRPr="00E73D4B" w:rsidRDefault="00F120C7" w:rsidP="00E73D4B">
      <w:pPr>
        <w:pStyle w:val="blokksit"/>
        <w:rPr>
          <w:rStyle w:val="kursiv"/>
        </w:rPr>
      </w:pPr>
      <w:r w:rsidRPr="00E73D4B">
        <w:rPr>
          <w:rStyle w:val="kursiv"/>
        </w:rPr>
        <w:t>Stortinget ber regjeringen ta initiativ til en stipend- og/eller låneordning, for eksempel gjennom Statens lånekasse for utdanning, for å dekke nødvendige kurs og fagprøver for å oppnå autorisasjon for helsepersonell.</w:t>
      </w:r>
    </w:p>
    <w:p w14:paraId="59894A3E"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xml:space="preserve">. 89 L (2019–2020) </w:t>
      </w:r>
      <w:r w:rsidRPr="00E73D4B">
        <w:rPr>
          <w:rStyle w:val="kursiv"/>
        </w:rPr>
        <w:t>Lov om integrering gjennom opplæring, utdanning og arbeid (integreringsloven)</w:t>
      </w:r>
      <w:r w:rsidRPr="00E73D4B">
        <w:t xml:space="preserve">, jf. </w:t>
      </w:r>
      <w:proofErr w:type="spellStart"/>
      <w:r w:rsidRPr="00E73D4B">
        <w:t>Innst</w:t>
      </w:r>
      <w:proofErr w:type="spellEnd"/>
      <w:r w:rsidRPr="00E73D4B">
        <w:t>. 389 L (2019–2020).</w:t>
      </w:r>
    </w:p>
    <w:p w14:paraId="02F2168D" w14:textId="77777777" w:rsidR="00972395" w:rsidRPr="00E73D4B" w:rsidRDefault="00F120C7" w:rsidP="00E73D4B">
      <w:r w:rsidRPr="00E73D4B">
        <w:t xml:space="preserve">Nødvendige kurs og </w:t>
      </w:r>
      <w:proofErr w:type="spellStart"/>
      <w:r w:rsidRPr="00E73D4B">
        <w:t>fagprøvar</w:t>
      </w:r>
      <w:proofErr w:type="spellEnd"/>
      <w:r w:rsidRPr="00E73D4B">
        <w:t xml:space="preserve"> for helsepersonell med </w:t>
      </w:r>
      <w:proofErr w:type="spellStart"/>
      <w:r w:rsidRPr="00E73D4B">
        <w:t>yrkeskvalifikasjonar</w:t>
      </w:r>
      <w:proofErr w:type="spellEnd"/>
      <w:r w:rsidRPr="00E73D4B">
        <w:t xml:space="preserve"> </w:t>
      </w:r>
      <w:proofErr w:type="spellStart"/>
      <w:r w:rsidRPr="00E73D4B">
        <w:t>frå</w:t>
      </w:r>
      <w:proofErr w:type="spellEnd"/>
      <w:r w:rsidRPr="00E73D4B">
        <w:t xml:space="preserve"> tredjeland </w:t>
      </w:r>
      <w:proofErr w:type="spellStart"/>
      <w:r w:rsidRPr="00E73D4B">
        <w:t>skil</w:t>
      </w:r>
      <w:proofErr w:type="spellEnd"/>
      <w:r w:rsidRPr="00E73D4B">
        <w:t xml:space="preserve"> seg ut </w:t>
      </w:r>
      <w:proofErr w:type="spellStart"/>
      <w:r w:rsidRPr="00E73D4B">
        <w:t>frå</w:t>
      </w:r>
      <w:proofErr w:type="spellEnd"/>
      <w:r w:rsidRPr="00E73D4B">
        <w:t xml:space="preserve"> den typen utdanning Lånekassen gir utdanningsstøtte til, ettersom dette er ei målgruppe som </w:t>
      </w:r>
      <w:proofErr w:type="spellStart"/>
      <w:r w:rsidRPr="00E73D4B">
        <w:t>ikkje</w:t>
      </w:r>
      <w:proofErr w:type="spellEnd"/>
      <w:r w:rsidRPr="00E73D4B">
        <w:t xml:space="preserve"> har rett til støtte i dag. Denne typen kurs/</w:t>
      </w:r>
      <w:proofErr w:type="spellStart"/>
      <w:r w:rsidRPr="00E73D4B">
        <w:t>fagprøvar</w:t>
      </w:r>
      <w:proofErr w:type="spellEnd"/>
      <w:r w:rsidRPr="00E73D4B">
        <w:t xml:space="preserve"> er òg for korte til å gi rett til utdanningsstøtte for andre </w:t>
      </w:r>
      <w:proofErr w:type="spellStart"/>
      <w:r w:rsidRPr="00E73D4B">
        <w:t>studentar</w:t>
      </w:r>
      <w:proofErr w:type="spellEnd"/>
      <w:r w:rsidRPr="00E73D4B">
        <w:t xml:space="preserve">. Ei </w:t>
      </w:r>
      <w:proofErr w:type="spellStart"/>
      <w:r w:rsidRPr="00E73D4B">
        <w:t>særskild</w:t>
      </w:r>
      <w:proofErr w:type="spellEnd"/>
      <w:r w:rsidRPr="00E73D4B">
        <w:t xml:space="preserve"> ordning for denne gruppa helsepersonell vil </w:t>
      </w:r>
      <w:proofErr w:type="spellStart"/>
      <w:r w:rsidRPr="00E73D4B">
        <w:t>vere</w:t>
      </w:r>
      <w:proofErr w:type="spellEnd"/>
      <w:r w:rsidRPr="00E73D4B">
        <w:t xml:space="preserve"> kostbart for Lånekassen å administrere, og Kunnskapsdepartementets vurdering er at det </w:t>
      </w:r>
      <w:proofErr w:type="spellStart"/>
      <w:r w:rsidRPr="00E73D4B">
        <w:t>ikkje</w:t>
      </w:r>
      <w:proofErr w:type="spellEnd"/>
      <w:r w:rsidRPr="00E73D4B">
        <w:t xml:space="preserve"> er ei god løysing at </w:t>
      </w:r>
      <w:proofErr w:type="spellStart"/>
      <w:r w:rsidRPr="00E73D4B">
        <w:t>dei</w:t>
      </w:r>
      <w:proofErr w:type="spellEnd"/>
      <w:r w:rsidRPr="00E73D4B">
        <w:t xml:space="preserve"> </w:t>
      </w:r>
      <w:proofErr w:type="spellStart"/>
      <w:r w:rsidRPr="00E73D4B">
        <w:t>tek</w:t>
      </w:r>
      <w:proofErr w:type="spellEnd"/>
      <w:r w:rsidRPr="00E73D4B">
        <w:t xml:space="preserve"> ansvar for ei slik ordning. Oppmodingsvedtaket er sendt til ei tverrdepartemental arbeidsgruppe av </w:t>
      </w:r>
      <w:proofErr w:type="spellStart"/>
      <w:r w:rsidRPr="00E73D4B">
        <w:t>representantar</w:t>
      </w:r>
      <w:proofErr w:type="spellEnd"/>
      <w:r w:rsidRPr="00E73D4B">
        <w:t xml:space="preserve"> </w:t>
      </w:r>
      <w:proofErr w:type="spellStart"/>
      <w:r w:rsidRPr="00E73D4B">
        <w:t>frå</w:t>
      </w:r>
      <w:proofErr w:type="spellEnd"/>
      <w:r w:rsidRPr="00E73D4B">
        <w:t xml:space="preserve"> Helse- og omsorgsdepartementet og Kunnskapsdepartementet. Arbeidsgruppa vil </w:t>
      </w:r>
      <w:proofErr w:type="spellStart"/>
      <w:r w:rsidRPr="00E73D4B">
        <w:t>gjere</w:t>
      </w:r>
      <w:proofErr w:type="spellEnd"/>
      <w:r w:rsidRPr="00E73D4B">
        <w:t xml:space="preserve"> samla </w:t>
      </w:r>
      <w:proofErr w:type="spellStart"/>
      <w:r w:rsidRPr="00E73D4B">
        <w:t>vurderingar</w:t>
      </w:r>
      <w:proofErr w:type="spellEnd"/>
      <w:r w:rsidRPr="00E73D4B">
        <w:t xml:space="preserve"> av </w:t>
      </w:r>
      <w:proofErr w:type="spellStart"/>
      <w:r w:rsidRPr="00E73D4B">
        <w:t>fleire</w:t>
      </w:r>
      <w:proofErr w:type="spellEnd"/>
      <w:r w:rsidRPr="00E73D4B">
        <w:t xml:space="preserve"> tiltak for helsepersonell </w:t>
      </w:r>
      <w:proofErr w:type="spellStart"/>
      <w:r w:rsidRPr="00E73D4B">
        <w:t>frå</w:t>
      </w:r>
      <w:proofErr w:type="spellEnd"/>
      <w:r w:rsidRPr="00E73D4B">
        <w:t xml:space="preserve"> tredjeland og skal ferdigstille arbeidet sitt </w:t>
      </w:r>
      <w:proofErr w:type="spellStart"/>
      <w:r w:rsidRPr="00E73D4B">
        <w:t>hausten</w:t>
      </w:r>
      <w:proofErr w:type="spellEnd"/>
      <w:r w:rsidRPr="00E73D4B">
        <w:t xml:space="preserve"> 2022. Rapporten skal då </w:t>
      </w:r>
      <w:proofErr w:type="spellStart"/>
      <w:r w:rsidRPr="00E73D4B">
        <w:t>leggast</w:t>
      </w:r>
      <w:proofErr w:type="spellEnd"/>
      <w:r w:rsidRPr="00E73D4B">
        <w:t xml:space="preserve"> fram for politisk leiing i Helse- og omsorgsdepartementet, som vil ha ansvar for å følge opp vedtaket.</w:t>
      </w:r>
    </w:p>
    <w:p w14:paraId="1C57D386" w14:textId="77777777" w:rsidR="00972395" w:rsidRPr="00E73D4B" w:rsidRDefault="00F120C7" w:rsidP="00E73D4B">
      <w:r w:rsidRPr="00E73D4B">
        <w:t xml:space="preserve">Departementet meiner at vedtak nr. 30, 13. oktober 2020 er </w:t>
      </w:r>
      <w:proofErr w:type="spellStart"/>
      <w:r w:rsidRPr="00E73D4B">
        <w:t>følgt</w:t>
      </w:r>
      <w:proofErr w:type="spellEnd"/>
      <w:r w:rsidRPr="00E73D4B">
        <w:t xml:space="preserve"> opp.</w:t>
      </w:r>
    </w:p>
    <w:p w14:paraId="705A8D47" w14:textId="77777777" w:rsidR="00972395" w:rsidRPr="00E73D4B" w:rsidRDefault="00F120C7" w:rsidP="00E73D4B">
      <w:pPr>
        <w:pStyle w:val="avsnitt-tittel"/>
      </w:pPr>
      <w:r w:rsidRPr="00E73D4B">
        <w:t xml:space="preserve">Finansiering av </w:t>
      </w:r>
      <w:proofErr w:type="spellStart"/>
      <w:r w:rsidRPr="00E73D4B">
        <w:t>studieopphald</w:t>
      </w:r>
      <w:proofErr w:type="spellEnd"/>
      <w:r w:rsidRPr="00E73D4B">
        <w:t xml:space="preserve"> i utlandet</w:t>
      </w:r>
    </w:p>
    <w:p w14:paraId="5CEAC637" w14:textId="77777777" w:rsidR="00972395" w:rsidRPr="00E73D4B" w:rsidRDefault="00F120C7" w:rsidP="00E73D4B">
      <w:pPr>
        <w:pStyle w:val="avsnitt-undertittel"/>
      </w:pPr>
      <w:r w:rsidRPr="00E73D4B">
        <w:t>Vedtak nr. 684, 25. februar 2021</w:t>
      </w:r>
    </w:p>
    <w:p w14:paraId="35C31BB3" w14:textId="77777777" w:rsidR="00972395" w:rsidRPr="00E73D4B" w:rsidRDefault="00F120C7" w:rsidP="00E73D4B">
      <w:pPr>
        <w:pStyle w:val="blokksit"/>
        <w:rPr>
          <w:rStyle w:val="kursiv"/>
        </w:rPr>
      </w:pPr>
      <w:r w:rsidRPr="00E73D4B">
        <w:rPr>
          <w:rStyle w:val="kursiv"/>
        </w:rPr>
        <w:t>Stortinget ber regjeringen sikre gode finansieringsmekanismer for studieopphold i utlandet for å sikre lik tilgang uansett økonomisk bakgrunn – også til høyt rangerte læresteder.</w:t>
      </w:r>
    </w:p>
    <w:p w14:paraId="190A7533"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7 (2020–2021) </w:t>
      </w:r>
      <w:r w:rsidRPr="00E73D4B">
        <w:rPr>
          <w:rStyle w:val="kursiv"/>
        </w:rPr>
        <w:t>En verden av muligheter – Internasjonal studentmobilitet i høyere utdanning</w:t>
      </w:r>
      <w:r w:rsidRPr="00E73D4B">
        <w:t xml:space="preserve">, jf. </w:t>
      </w:r>
      <w:proofErr w:type="spellStart"/>
      <w:r w:rsidRPr="00E73D4B">
        <w:t>Innst</w:t>
      </w:r>
      <w:proofErr w:type="spellEnd"/>
      <w:r w:rsidRPr="00E73D4B">
        <w:t>. 247 S (2020–2021).</w:t>
      </w:r>
    </w:p>
    <w:p w14:paraId="413EF0D5" w14:textId="77777777" w:rsidR="00972395" w:rsidRPr="00E73D4B" w:rsidRDefault="00F120C7" w:rsidP="00E73D4B">
      <w:r w:rsidRPr="00E73D4B">
        <w:t xml:space="preserve">Lånekassen har gode </w:t>
      </w:r>
      <w:proofErr w:type="spellStart"/>
      <w:r w:rsidRPr="00E73D4B">
        <w:t>ordningar</w:t>
      </w:r>
      <w:proofErr w:type="spellEnd"/>
      <w:r w:rsidRPr="00E73D4B">
        <w:t xml:space="preserve"> for finansiering av </w:t>
      </w:r>
      <w:proofErr w:type="spellStart"/>
      <w:r w:rsidRPr="00E73D4B">
        <w:t>studieopphald</w:t>
      </w:r>
      <w:proofErr w:type="spellEnd"/>
      <w:r w:rsidRPr="00E73D4B">
        <w:t xml:space="preserve"> i utlandet. Alle som studerer </w:t>
      </w:r>
      <w:proofErr w:type="spellStart"/>
      <w:r w:rsidRPr="00E73D4B">
        <w:t>utanfor</w:t>
      </w:r>
      <w:proofErr w:type="spellEnd"/>
      <w:r w:rsidRPr="00E73D4B">
        <w:t xml:space="preserve"> Norden, kan få </w:t>
      </w:r>
      <w:proofErr w:type="spellStart"/>
      <w:r w:rsidRPr="00E73D4B">
        <w:t>eit</w:t>
      </w:r>
      <w:proofErr w:type="spellEnd"/>
      <w:r w:rsidRPr="00E73D4B">
        <w:t xml:space="preserve"> basislån, og 40 pst. av lånet kan </w:t>
      </w:r>
      <w:proofErr w:type="spellStart"/>
      <w:r w:rsidRPr="00E73D4B">
        <w:t>gjerast</w:t>
      </w:r>
      <w:proofErr w:type="spellEnd"/>
      <w:r w:rsidRPr="00E73D4B">
        <w:t xml:space="preserve"> om til stipend. Dei som betaler </w:t>
      </w:r>
      <w:proofErr w:type="spellStart"/>
      <w:r w:rsidRPr="00E73D4B">
        <w:t>skulepengar</w:t>
      </w:r>
      <w:proofErr w:type="spellEnd"/>
      <w:r w:rsidRPr="00E73D4B">
        <w:t xml:space="preserve">, kan få stipend og lån til dekning av dette, opp til </w:t>
      </w:r>
      <w:proofErr w:type="spellStart"/>
      <w:r w:rsidRPr="00E73D4B">
        <w:t>eit</w:t>
      </w:r>
      <w:proofErr w:type="spellEnd"/>
      <w:r w:rsidRPr="00E73D4B">
        <w:t xml:space="preserve"> maksimalt beløp. Lånekassen gir også utdanningsstøtte til reise til og </w:t>
      </w:r>
      <w:proofErr w:type="spellStart"/>
      <w:r w:rsidRPr="00E73D4B">
        <w:t>frå</w:t>
      </w:r>
      <w:proofErr w:type="spellEnd"/>
      <w:r w:rsidRPr="00E73D4B">
        <w:t xml:space="preserve"> utlandet. </w:t>
      </w:r>
      <w:proofErr w:type="spellStart"/>
      <w:r w:rsidRPr="00E73D4B">
        <w:t>Nokre</w:t>
      </w:r>
      <w:proofErr w:type="spellEnd"/>
      <w:r w:rsidRPr="00E73D4B">
        <w:t xml:space="preserve"> </w:t>
      </w:r>
      <w:proofErr w:type="spellStart"/>
      <w:r w:rsidRPr="00E73D4B">
        <w:t>lærestadar</w:t>
      </w:r>
      <w:proofErr w:type="spellEnd"/>
      <w:r w:rsidRPr="00E73D4B">
        <w:t xml:space="preserve"> i utlandet gir i tillegg rett til utvida stipend ved høge utgifter til </w:t>
      </w:r>
      <w:proofErr w:type="spellStart"/>
      <w:r w:rsidRPr="00E73D4B">
        <w:t>skulepengar</w:t>
      </w:r>
      <w:proofErr w:type="spellEnd"/>
      <w:r w:rsidRPr="00E73D4B">
        <w:t>.</w:t>
      </w:r>
    </w:p>
    <w:p w14:paraId="26A9E3E9" w14:textId="77777777" w:rsidR="00972395" w:rsidRPr="00E73D4B" w:rsidRDefault="00F120C7" w:rsidP="00E73D4B">
      <w:r w:rsidRPr="00E73D4B">
        <w:t xml:space="preserve">I statsbudsjettet for 2023 foreslår regjeringa å redusere stipenddelen i den ordinære skulepengestøtta ved utdanning </w:t>
      </w:r>
      <w:proofErr w:type="spellStart"/>
      <w:r w:rsidRPr="00E73D4B">
        <w:t>utanfor</w:t>
      </w:r>
      <w:proofErr w:type="spellEnd"/>
      <w:r w:rsidRPr="00E73D4B">
        <w:t xml:space="preserve"> Norden, til 40 pst. Med dette blir stipenddelen den same som for basislånet i Lånekassen. Likviditeten til </w:t>
      </w:r>
      <w:proofErr w:type="spellStart"/>
      <w:r w:rsidRPr="00E73D4B">
        <w:t>studentane</w:t>
      </w:r>
      <w:proofErr w:type="spellEnd"/>
      <w:r w:rsidRPr="00E73D4B">
        <w:t xml:space="preserve"> som er i utdanning, blir </w:t>
      </w:r>
      <w:proofErr w:type="spellStart"/>
      <w:r w:rsidRPr="00E73D4B">
        <w:t>ikkje</w:t>
      </w:r>
      <w:proofErr w:type="spellEnd"/>
      <w:r w:rsidRPr="00E73D4B">
        <w:t xml:space="preserve"> endra med forslaget, men </w:t>
      </w:r>
      <w:proofErr w:type="spellStart"/>
      <w:r w:rsidRPr="00E73D4B">
        <w:t>dei</w:t>
      </w:r>
      <w:proofErr w:type="spellEnd"/>
      <w:r w:rsidRPr="00E73D4B">
        <w:t xml:space="preserve"> vil få </w:t>
      </w:r>
      <w:proofErr w:type="spellStart"/>
      <w:r w:rsidRPr="00E73D4B">
        <w:t>noko</w:t>
      </w:r>
      <w:proofErr w:type="spellEnd"/>
      <w:r w:rsidRPr="00E73D4B">
        <w:t xml:space="preserve"> </w:t>
      </w:r>
      <w:proofErr w:type="spellStart"/>
      <w:r w:rsidRPr="00E73D4B">
        <w:t>høgare</w:t>
      </w:r>
      <w:proofErr w:type="spellEnd"/>
      <w:r w:rsidRPr="00E73D4B">
        <w:t xml:space="preserve"> gjeld etter at utdanninga er ferdig. Sjå </w:t>
      </w:r>
      <w:proofErr w:type="spellStart"/>
      <w:r w:rsidRPr="00E73D4B">
        <w:t>nærare</w:t>
      </w:r>
      <w:proofErr w:type="spellEnd"/>
      <w:r w:rsidRPr="00E73D4B">
        <w:t xml:space="preserve"> omtale under programkategori 07.80 Utdanningsstøtte</w:t>
      </w:r>
    </w:p>
    <w:p w14:paraId="5E9934E3" w14:textId="77777777" w:rsidR="00972395" w:rsidRPr="00E73D4B" w:rsidRDefault="00F120C7" w:rsidP="00E73D4B">
      <w:r w:rsidRPr="00E73D4B">
        <w:t xml:space="preserve">Departementet meiner at vedtak nr. 684, 25. februar 2021 er </w:t>
      </w:r>
      <w:proofErr w:type="spellStart"/>
      <w:r w:rsidRPr="00E73D4B">
        <w:t>følgt</w:t>
      </w:r>
      <w:proofErr w:type="spellEnd"/>
      <w:r w:rsidRPr="00E73D4B">
        <w:t xml:space="preserve"> opp.</w:t>
      </w:r>
    </w:p>
    <w:p w14:paraId="368EE11A" w14:textId="77777777" w:rsidR="00972395" w:rsidRPr="00E73D4B" w:rsidRDefault="00F120C7" w:rsidP="00E73D4B">
      <w:pPr>
        <w:pStyle w:val="avsnitt-tittel"/>
      </w:pPr>
      <w:proofErr w:type="spellStart"/>
      <w:r w:rsidRPr="00E73D4B">
        <w:t>Auka</w:t>
      </w:r>
      <w:proofErr w:type="spellEnd"/>
      <w:r w:rsidRPr="00E73D4B">
        <w:t xml:space="preserve"> studiemobilitet for </w:t>
      </w:r>
      <w:proofErr w:type="spellStart"/>
      <w:r w:rsidRPr="00E73D4B">
        <w:t>studentar</w:t>
      </w:r>
      <w:proofErr w:type="spellEnd"/>
      <w:r w:rsidRPr="00E73D4B">
        <w:t xml:space="preserve"> med tilretteleggingsbehov</w:t>
      </w:r>
    </w:p>
    <w:p w14:paraId="225E66DB" w14:textId="77777777" w:rsidR="00972395" w:rsidRPr="00E73D4B" w:rsidRDefault="00F120C7" w:rsidP="00E73D4B">
      <w:pPr>
        <w:pStyle w:val="avsnitt-undertittel"/>
      </w:pPr>
      <w:r w:rsidRPr="00E73D4B">
        <w:t>Vedtak nr. 685, 25. februar 2021</w:t>
      </w:r>
    </w:p>
    <w:p w14:paraId="1A9CB32E" w14:textId="77777777" w:rsidR="00972395" w:rsidRPr="00E73D4B" w:rsidRDefault="00F120C7" w:rsidP="00E73D4B">
      <w:pPr>
        <w:pStyle w:val="blokksit"/>
        <w:rPr>
          <w:rStyle w:val="kursiv"/>
        </w:rPr>
      </w:pPr>
      <w:r w:rsidRPr="00E73D4B">
        <w:rPr>
          <w:rStyle w:val="kursiv"/>
        </w:rPr>
        <w:t>Stortinget ber regjeringen foreslå virksomme tiltak for økt studiemobilitet blant studenter med et tilretteleggingsbehov.</w:t>
      </w:r>
    </w:p>
    <w:p w14:paraId="0892BA77"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7 (2020–2021) </w:t>
      </w:r>
      <w:r w:rsidRPr="00E73D4B">
        <w:rPr>
          <w:rStyle w:val="kursiv"/>
        </w:rPr>
        <w:t>En verden av muligheter – Internasjonal studentmobilitet i høyere utdanning</w:t>
      </w:r>
      <w:r w:rsidRPr="00E73D4B">
        <w:t xml:space="preserve">, jf. </w:t>
      </w:r>
      <w:proofErr w:type="spellStart"/>
      <w:r w:rsidRPr="00E73D4B">
        <w:t>Innst</w:t>
      </w:r>
      <w:proofErr w:type="spellEnd"/>
      <w:r w:rsidRPr="00E73D4B">
        <w:t>. 247 S (2020–2021).</w:t>
      </w:r>
    </w:p>
    <w:p w14:paraId="0008170A" w14:textId="77777777" w:rsidR="00972395" w:rsidRPr="00E73D4B" w:rsidRDefault="00F120C7" w:rsidP="00E73D4B">
      <w:r w:rsidRPr="00E73D4B">
        <w:t xml:space="preserve">For å få </w:t>
      </w:r>
      <w:proofErr w:type="spellStart"/>
      <w:r w:rsidRPr="00E73D4B">
        <w:t>midlar</w:t>
      </w:r>
      <w:proofErr w:type="spellEnd"/>
      <w:r w:rsidRPr="00E73D4B">
        <w:t xml:space="preserve"> til studentutveksling gjennom Erasmus+ må universiteta og </w:t>
      </w:r>
      <w:proofErr w:type="spellStart"/>
      <w:r w:rsidRPr="00E73D4B">
        <w:t>høgskulane</w:t>
      </w:r>
      <w:proofErr w:type="spellEnd"/>
      <w:r w:rsidRPr="00E73D4B">
        <w:t xml:space="preserve"> forplikte seg til å legge til rette for </w:t>
      </w:r>
      <w:proofErr w:type="spellStart"/>
      <w:r w:rsidRPr="00E73D4B">
        <w:t>personar</w:t>
      </w:r>
      <w:proofErr w:type="spellEnd"/>
      <w:r w:rsidRPr="00E73D4B">
        <w:t xml:space="preserve"> med spesielle behov eller nedsett funksjonsevne. Direktoratet for </w:t>
      </w:r>
      <w:proofErr w:type="spellStart"/>
      <w:r w:rsidRPr="00E73D4B">
        <w:t>høgare</w:t>
      </w:r>
      <w:proofErr w:type="spellEnd"/>
      <w:r w:rsidRPr="00E73D4B">
        <w:t xml:space="preserve"> utdanning og kompetanse (HK-</w:t>
      </w:r>
      <w:proofErr w:type="spellStart"/>
      <w:r w:rsidRPr="00E73D4B">
        <w:t>dir</w:t>
      </w:r>
      <w:proofErr w:type="spellEnd"/>
      <w:r w:rsidRPr="00E73D4B">
        <w:t xml:space="preserve">) kan ved behov gi ekstra </w:t>
      </w:r>
      <w:proofErr w:type="spellStart"/>
      <w:r w:rsidRPr="00E73D4B">
        <w:t>midlar</w:t>
      </w:r>
      <w:proofErr w:type="spellEnd"/>
      <w:r w:rsidRPr="00E73D4B">
        <w:t xml:space="preserve"> til tilrettelegging. </w:t>
      </w:r>
      <w:proofErr w:type="spellStart"/>
      <w:r w:rsidRPr="00E73D4B">
        <w:t>Midlane</w:t>
      </w:r>
      <w:proofErr w:type="spellEnd"/>
      <w:r w:rsidRPr="00E73D4B">
        <w:t xml:space="preserve"> skal dekke ekstrautgifter som </w:t>
      </w:r>
      <w:proofErr w:type="spellStart"/>
      <w:r w:rsidRPr="00E73D4B">
        <w:t>ikkje</w:t>
      </w:r>
      <w:proofErr w:type="spellEnd"/>
      <w:r w:rsidRPr="00E73D4B">
        <w:t xml:space="preserve"> blir dekte av hjelpemiddel/støtte som personen har krav på å ta med seg </w:t>
      </w:r>
      <w:proofErr w:type="spellStart"/>
      <w:r w:rsidRPr="00E73D4B">
        <w:t>frå</w:t>
      </w:r>
      <w:proofErr w:type="spellEnd"/>
      <w:r w:rsidRPr="00E73D4B">
        <w:t xml:space="preserve"> </w:t>
      </w:r>
      <w:proofErr w:type="spellStart"/>
      <w:r w:rsidRPr="00E73D4B">
        <w:t>Noreg</w:t>
      </w:r>
      <w:proofErr w:type="spellEnd"/>
      <w:r w:rsidRPr="00E73D4B">
        <w:t>.</w:t>
      </w:r>
    </w:p>
    <w:p w14:paraId="516889C3" w14:textId="77777777" w:rsidR="00972395" w:rsidRPr="00E73D4B" w:rsidRDefault="00F120C7" w:rsidP="00E73D4B">
      <w:r w:rsidRPr="00E73D4B">
        <w:t xml:space="preserve">I 2021 blei den </w:t>
      </w:r>
      <w:proofErr w:type="spellStart"/>
      <w:r w:rsidRPr="00E73D4B">
        <w:t>tidlegare</w:t>
      </w:r>
      <w:proofErr w:type="spellEnd"/>
      <w:r w:rsidRPr="00E73D4B">
        <w:t xml:space="preserve"> </w:t>
      </w:r>
      <w:proofErr w:type="spellStart"/>
      <w:r w:rsidRPr="00E73D4B">
        <w:t>pådrivareininga</w:t>
      </w:r>
      <w:proofErr w:type="spellEnd"/>
      <w:r w:rsidRPr="00E73D4B">
        <w:t xml:space="preserve"> for universell utforming og tilrettelegging, Universell, og Nasjonalkontoret for Erasmus+ samla i det nye direktoratet, HK-dir. Samorganiseringa av </w:t>
      </w:r>
      <w:proofErr w:type="spellStart"/>
      <w:r w:rsidRPr="00E73D4B">
        <w:t>dei</w:t>
      </w:r>
      <w:proofErr w:type="spellEnd"/>
      <w:r w:rsidRPr="00E73D4B">
        <w:t xml:space="preserve"> to </w:t>
      </w:r>
      <w:proofErr w:type="spellStart"/>
      <w:r w:rsidRPr="00E73D4B">
        <w:t>einingane</w:t>
      </w:r>
      <w:proofErr w:type="spellEnd"/>
      <w:r w:rsidRPr="00E73D4B">
        <w:t xml:space="preserve"> har skapt </w:t>
      </w:r>
      <w:proofErr w:type="spellStart"/>
      <w:r w:rsidRPr="00E73D4B">
        <w:t>eit</w:t>
      </w:r>
      <w:proofErr w:type="spellEnd"/>
      <w:r w:rsidRPr="00E73D4B">
        <w:t xml:space="preserve"> </w:t>
      </w:r>
      <w:proofErr w:type="spellStart"/>
      <w:r w:rsidRPr="00E73D4B">
        <w:t>fagleg</w:t>
      </w:r>
      <w:proofErr w:type="spellEnd"/>
      <w:r w:rsidRPr="00E73D4B">
        <w:t xml:space="preserve"> </w:t>
      </w:r>
      <w:proofErr w:type="spellStart"/>
      <w:r w:rsidRPr="00E73D4B">
        <w:t>sterkare</w:t>
      </w:r>
      <w:proofErr w:type="spellEnd"/>
      <w:r w:rsidRPr="00E73D4B">
        <w:t xml:space="preserve"> miljø for internasjonal mobilitet for menneske med tilretteleggingsbehov. Departementet meiner det er lagt til rette for at </w:t>
      </w:r>
      <w:proofErr w:type="spellStart"/>
      <w:r w:rsidRPr="00E73D4B">
        <w:t>studentar</w:t>
      </w:r>
      <w:proofErr w:type="spellEnd"/>
      <w:r w:rsidRPr="00E73D4B">
        <w:t xml:space="preserve"> med behov for tilrettelegging som ønsker å dra på utveksling, kan få betre oppfølging enn det </w:t>
      </w:r>
      <w:proofErr w:type="spellStart"/>
      <w:r w:rsidRPr="00E73D4B">
        <w:t>dei</w:t>
      </w:r>
      <w:proofErr w:type="spellEnd"/>
      <w:r w:rsidRPr="00E73D4B">
        <w:t xml:space="preserve"> har fått før.</w:t>
      </w:r>
    </w:p>
    <w:p w14:paraId="3279E159" w14:textId="77777777" w:rsidR="00972395" w:rsidRPr="00E73D4B" w:rsidRDefault="00F120C7" w:rsidP="00E73D4B">
      <w:r w:rsidRPr="00E73D4B">
        <w:t xml:space="preserve">Departementet meiner at vedtak nr. 685, 25. februar 2021 er </w:t>
      </w:r>
      <w:proofErr w:type="spellStart"/>
      <w:r w:rsidRPr="00E73D4B">
        <w:t>følgt</w:t>
      </w:r>
      <w:proofErr w:type="spellEnd"/>
      <w:r w:rsidRPr="00E73D4B">
        <w:t xml:space="preserve"> opp.</w:t>
      </w:r>
    </w:p>
    <w:p w14:paraId="08C6DCD7" w14:textId="77777777" w:rsidR="00972395" w:rsidRPr="00E73D4B" w:rsidRDefault="00F120C7" w:rsidP="00E73D4B">
      <w:pPr>
        <w:pStyle w:val="avsnitt-tittel"/>
      </w:pPr>
      <w:r w:rsidRPr="00E73D4B">
        <w:t xml:space="preserve">Betre </w:t>
      </w:r>
      <w:proofErr w:type="spellStart"/>
      <w:r w:rsidRPr="00E73D4B">
        <w:t>godkjenningsordningar</w:t>
      </w:r>
      <w:proofErr w:type="spellEnd"/>
      <w:r w:rsidRPr="00E73D4B">
        <w:t xml:space="preserve"> for </w:t>
      </w:r>
      <w:proofErr w:type="spellStart"/>
      <w:r w:rsidRPr="00E73D4B">
        <w:t>utanlandsk</w:t>
      </w:r>
      <w:proofErr w:type="spellEnd"/>
      <w:r w:rsidRPr="00E73D4B">
        <w:t xml:space="preserve"> utdanning</w:t>
      </w:r>
    </w:p>
    <w:p w14:paraId="5012DED9" w14:textId="77777777" w:rsidR="00972395" w:rsidRPr="00E73D4B" w:rsidRDefault="00F120C7" w:rsidP="00E73D4B">
      <w:pPr>
        <w:pStyle w:val="avsnitt-undertittel"/>
      </w:pPr>
      <w:r w:rsidRPr="00E73D4B">
        <w:t>Vedtak nr. 687, 25. februar 2021</w:t>
      </w:r>
    </w:p>
    <w:p w14:paraId="7EFC1441" w14:textId="77777777" w:rsidR="00972395" w:rsidRPr="00E73D4B" w:rsidRDefault="00F120C7" w:rsidP="00E73D4B">
      <w:pPr>
        <w:pStyle w:val="blokksit"/>
        <w:rPr>
          <w:rStyle w:val="kursiv"/>
        </w:rPr>
      </w:pPr>
      <w:r w:rsidRPr="00E73D4B">
        <w:rPr>
          <w:rStyle w:val="kursiv"/>
        </w:rPr>
        <w:t>Stortinget ber regjeringen videreutvikle enklere, raskere og mer forutsigbare godkjenningsordninger for utenlandsk utdanning og kompetanse.</w:t>
      </w:r>
    </w:p>
    <w:p w14:paraId="27A1F142"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7 (2020–2021) </w:t>
      </w:r>
      <w:r w:rsidRPr="00E73D4B">
        <w:rPr>
          <w:rStyle w:val="kursiv"/>
        </w:rPr>
        <w:t>En verden av muligheter – Internasjonal studentmobilitet i høyere utdanning</w:t>
      </w:r>
      <w:r w:rsidRPr="00E73D4B">
        <w:t xml:space="preserve">, jf. </w:t>
      </w:r>
      <w:proofErr w:type="spellStart"/>
      <w:r w:rsidRPr="00E73D4B">
        <w:t>Innst</w:t>
      </w:r>
      <w:proofErr w:type="spellEnd"/>
      <w:r w:rsidRPr="00E73D4B">
        <w:t>. 247 S (2020–2021).</w:t>
      </w:r>
    </w:p>
    <w:p w14:paraId="0AB13D55" w14:textId="77777777" w:rsidR="00972395" w:rsidRPr="00E73D4B" w:rsidRDefault="00F120C7" w:rsidP="00E73D4B">
      <w:r w:rsidRPr="00E73D4B">
        <w:t xml:space="preserve">Stortinget har </w:t>
      </w:r>
      <w:proofErr w:type="spellStart"/>
      <w:r w:rsidRPr="00E73D4B">
        <w:t>vedteke</w:t>
      </w:r>
      <w:proofErr w:type="spellEnd"/>
      <w:r w:rsidRPr="00E73D4B">
        <w:t xml:space="preserve"> </w:t>
      </w:r>
      <w:proofErr w:type="spellStart"/>
      <w:r w:rsidRPr="00E73D4B">
        <w:t>lovendringar</w:t>
      </w:r>
      <w:proofErr w:type="spellEnd"/>
      <w:r w:rsidRPr="00E73D4B">
        <w:t xml:space="preserve"> som </w:t>
      </w:r>
      <w:proofErr w:type="spellStart"/>
      <w:r w:rsidRPr="00E73D4B">
        <w:t>inneber</w:t>
      </w:r>
      <w:proofErr w:type="spellEnd"/>
      <w:r w:rsidRPr="00E73D4B">
        <w:t xml:space="preserve"> at NOKUT </w:t>
      </w:r>
      <w:proofErr w:type="spellStart"/>
      <w:r w:rsidRPr="00E73D4B">
        <w:t>ikkje</w:t>
      </w:r>
      <w:proofErr w:type="spellEnd"/>
      <w:r w:rsidRPr="00E73D4B">
        <w:t xml:space="preserve"> lenger skal ha ansvar for godkjenning av </w:t>
      </w:r>
      <w:proofErr w:type="spellStart"/>
      <w:r w:rsidRPr="00E73D4B">
        <w:t>utanlandsk</w:t>
      </w:r>
      <w:proofErr w:type="spellEnd"/>
      <w:r w:rsidRPr="00E73D4B">
        <w:t xml:space="preserve"> utdanning etter universitets- og </w:t>
      </w:r>
      <w:proofErr w:type="spellStart"/>
      <w:r w:rsidRPr="00E73D4B">
        <w:t>høgskulelova</w:t>
      </w:r>
      <w:proofErr w:type="spellEnd"/>
      <w:r w:rsidRPr="00E73D4B">
        <w:t xml:space="preserve">, fagskulelova og </w:t>
      </w:r>
      <w:proofErr w:type="spellStart"/>
      <w:r w:rsidRPr="00E73D4B">
        <w:t>opplæringslova</w:t>
      </w:r>
      <w:proofErr w:type="spellEnd"/>
      <w:r w:rsidRPr="00E73D4B">
        <w:t xml:space="preserve">, jf. </w:t>
      </w:r>
      <w:proofErr w:type="spellStart"/>
      <w:r w:rsidRPr="00E73D4B">
        <w:t>Prop</w:t>
      </w:r>
      <w:proofErr w:type="spellEnd"/>
      <w:r w:rsidRPr="00E73D4B">
        <w:t xml:space="preserve">. 74 L (2021–2022) </w:t>
      </w:r>
      <w:r w:rsidRPr="00E73D4B">
        <w:rPr>
          <w:rStyle w:val="kursiv"/>
        </w:rPr>
        <w:t xml:space="preserve">Endringer i opplæringsloven, universitets- og høyskoleloven og fagskoleloven (endring av </w:t>
      </w:r>
      <w:proofErr w:type="spellStart"/>
      <w:r w:rsidRPr="00E73D4B">
        <w:rPr>
          <w:rStyle w:val="kursiv"/>
        </w:rPr>
        <w:t>NOKUTs</w:t>
      </w:r>
      <w:proofErr w:type="spellEnd"/>
      <w:r w:rsidRPr="00E73D4B">
        <w:rPr>
          <w:rStyle w:val="kursiv"/>
        </w:rPr>
        <w:t xml:space="preserve"> oppgaver, studentrettigheter mv.)</w:t>
      </w:r>
      <w:r w:rsidRPr="00E73D4B">
        <w:t xml:space="preserve"> og </w:t>
      </w:r>
      <w:proofErr w:type="spellStart"/>
      <w:r w:rsidRPr="00E73D4B">
        <w:t>Innst</w:t>
      </w:r>
      <w:proofErr w:type="spellEnd"/>
      <w:r w:rsidRPr="00E73D4B">
        <w:t xml:space="preserve">. 287 L (2021–2022). Som gjort greie for i </w:t>
      </w:r>
      <w:proofErr w:type="spellStart"/>
      <w:r w:rsidRPr="00E73D4B">
        <w:t>Prop</w:t>
      </w:r>
      <w:proofErr w:type="spellEnd"/>
      <w:r w:rsidRPr="00E73D4B">
        <w:t xml:space="preserve">. 74 L (2021–2022) tek departementet sikte på å delegere </w:t>
      </w:r>
      <w:proofErr w:type="spellStart"/>
      <w:r w:rsidRPr="00E73D4B">
        <w:t>desse</w:t>
      </w:r>
      <w:proofErr w:type="spellEnd"/>
      <w:r w:rsidRPr="00E73D4B">
        <w:t xml:space="preserve"> </w:t>
      </w:r>
      <w:proofErr w:type="spellStart"/>
      <w:r w:rsidRPr="00E73D4B">
        <w:t>oppgåvene</w:t>
      </w:r>
      <w:proofErr w:type="spellEnd"/>
      <w:r w:rsidRPr="00E73D4B">
        <w:t xml:space="preserve"> til Direktoratet for </w:t>
      </w:r>
      <w:proofErr w:type="spellStart"/>
      <w:r w:rsidRPr="00E73D4B">
        <w:t>høgare</w:t>
      </w:r>
      <w:proofErr w:type="spellEnd"/>
      <w:r w:rsidRPr="00E73D4B">
        <w:t xml:space="preserve"> utdanning og kompetanse (HK-</w:t>
      </w:r>
      <w:proofErr w:type="spellStart"/>
      <w:r w:rsidRPr="00E73D4B">
        <w:t>dir</w:t>
      </w:r>
      <w:proofErr w:type="spellEnd"/>
      <w:r w:rsidRPr="00E73D4B">
        <w:t xml:space="preserve">) </w:t>
      </w:r>
      <w:proofErr w:type="spellStart"/>
      <w:r w:rsidRPr="00E73D4B">
        <w:t>frå</w:t>
      </w:r>
      <w:proofErr w:type="spellEnd"/>
      <w:r w:rsidRPr="00E73D4B">
        <w:t xml:space="preserve"> 1. januar 2023. Departementet meiner det vil skape </w:t>
      </w:r>
      <w:proofErr w:type="spellStart"/>
      <w:r w:rsidRPr="00E73D4B">
        <w:t>eit</w:t>
      </w:r>
      <w:proofErr w:type="spellEnd"/>
      <w:r w:rsidRPr="00E73D4B">
        <w:t xml:space="preserve"> </w:t>
      </w:r>
      <w:proofErr w:type="spellStart"/>
      <w:r w:rsidRPr="00E73D4B">
        <w:t>endå</w:t>
      </w:r>
      <w:proofErr w:type="spellEnd"/>
      <w:r w:rsidRPr="00E73D4B">
        <w:t xml:space="preserve"> </w:t>
      </w:r>
      <w:proofErr w:type="spellStart"/>
      <w:r w:rsidRPr="00E73D4B">
        <w:t>meir</w:t>
      </w:r>
      <w:proofErr w:type="spellEnd"/>
      <w:r w:rsidRPr="00E73D4B">
        <w:t xml:space="preserve"> slagkraftig miljø for kunnskap, informasjon og godkjenning av utdanning og </w:t>
      </w:r>
      <w:proofErr w:type="spellStart"/>
      <w:r w:rsidRPr="00E73D4B">
        <w:t>yrkeskvalifikasjonar</w:t>
      </w:r>
      <w:proofErr w:type="spellEnd"/>
      <w:r w:rsidRPr="00E73D4B">
        <w:t xml:space="preserve"> </w:t>
      </w:r>
      <w:proofErr w:type="spellStart"/>
      <w:r w:rsidRPr="00E73D4B">
        <w:t>frå</w:t>
      </w:r>
      <w:proofErr w:type="spellEnd"/>
      <w:r w:rsidRPr="00E73D4B">
        <w:t xml:space="preserve"> utlandet. Det er </w:t>
      </w:r>
      <w:proofErr w:type="spellStart"/>
      <w:r w:rsidRPr="00E73D4B">
        <w:t>ein</w:t>
      </w:r>
      <w:proofErr w:type="spellEnd"/>
      <w:r w:rsidRPr="00E73D4B">
        <w:t xml:space="preserve"> fordel at ansvaret for godkjenning av </w:t>
      </w:r>
      <w:proofErr w:type="spellStart"/>
      <w:r w:rsidRPr="00E73D4B">
        <w:t>utanlandsk</w:t>
      </w:r>
      <w:proofErr w:type="spellEnd"/>
      <w:r w:rsidRPr="00E73D4B">
        <w:t xml:space="preserve"> utdanning blir organisert </w:t>
      </w:r>
      <w:proofErr w:type="spellStart"/>
      <w:r w:rsidRPr="00E73D4B">
        <w:t>saman</w:t>
      </w:r>
      <w:proofErr w:type="spellEnd"/>
      <w:r w:rsidRPr="00E73D4B">
        <w:t xml:space="preserve"> med HK-</w:t>
      </w:r>
      <w:proofErr w:type="spellStart"/>
      <w:r w:rsidRPr="00E73D4B">
        <w:t>dirs</w:t>
      </w:r>
      <w:proofErr w:type="spellEnd"/>
      <w:r w:rsidRPr="00E73D4B">
        <w:t xml:space="preserve"> </w:t>
      </w:r>
      <w:proofErr w:type="spellStart"/>
      <w:r w:rsidRPr="00E73D4B">
        <w:t>oppgåver</w:t>
      </w:r>
      <w:proofErr w:type="spellEnd"/>
      <w:r w:rsidRPr="00E73D4B">
        <w:t xml:space="preserve"> i opptakssamanheng, der utdanning </w:t>
      </w:r>
      <w:proofErr w:type="spellStart"/>
      <w:r w:rsidRPr="00E73D4B">
        <w:t>frå</w:t>
      </w:r>
      <w:proofErr w:type="spellEnd"/>
      <w:r w:rsidRPr="00E73D4B">
        <w:t xml:space="preserve"> utlandet ofte blir vurdert. </w:t>
      </w:r>
      <w:proofErr w:type="spellStart"/>
      <w:r w:rsidRPr="00E73D4B">
        <w:t>Behandlinga</w:t>
      </w:r>
      <w:proofErr w:type="spellEnd"/>
      <w:r w:rsidRPr="00E73D4B">
        <w:t xml:space="preserve"> av </w:t>
      </w:r>
      <w:proofErr w:type="spellStart"/>
      <w:r w:rsidRPr="00E73D4B">
        <w:t>Prop</w:t>
      </w:r>
      <w:proofErr w:type="spellEnd"/>
      <w:r w:rsidRPr="00E73D4B">
        <w:t xml:space="preserve">. 74 L (2021–2022) følger òg opp </w:t>
      </w:r>
      <w:proofErr w:type="spellStart"/>
      <w:r w:rsidRPr="00E73D4B">
        <w:t>Prop</w:t>
      </w:r>
      <w:proofErr w:type="spellEnd"/>
      <w:r w:rsidRPr="00E73D4B">
        <w:t xml:space="preserve">. 111 L (2020–2021), jf. </w:t>
      </w:r>
      <w:proofErr w:type="spellStart"/>
      <w:r w:rsidRPr="00E73D4B">
        <w:t>Innst</w:t>
      </w:r>
      <w:proofErr w:type="spellEnd"/>
      <w:r w:rsidRPr="00E73D4B">
        <w:t xml:space="preserve">. 517 L (2020–2021), der </w:t>
      </w:r>
      <w:proofErr w:type="spellStart"/>
      <w:r w:rsidRPr="00E73D4B">
        <w:t>paragrafane</w:t>
      </w:r>
      <w:proofErr w:type="spellEnd"/>
      <w:r w:rsidRPr="00E73D4B">
        <w:t xml:space="preserve"> om godkjenning av </w:t>
      </w:r>
      <w:proofErr w:type="spellStart"/>
      <w:r w:rsidRPr="00E73D4B">
        <w:t>utanlandsk</w:t>
      </w:r>
      <w:proofErr w:type="spellEnd"/>
      <w:r w:rsidRPr="00E73D4B">
        <w:t xml:space="preserve"> </w:t>
      </w:r>
      <w:proofErr w:type="spellStart"/>
      <w:r w:rsidRPr="00E73D4B">
        <w:t>høgare</w:t>
      </w:r>
      <w:proofErr w:type="spellEnd"/>
      <w:r w:rsidRPr="00E73D4B">
        <w:t xml:space="preserve"> utdanning blei grundig reviderte så det </w:t>
      </w:r>
      <w:proofErr w:type="spellStart"/>
      <w:r w:rsidRPr="00E73D4B">
        <w:t>no</w:t>
      </w:r>
      <w:proofErr w:type="spellEnd"/>
      <w:r w:rsidRPr="00E73D4B">
        <w:t xml:space="preserve"> er heilt </w:t>
      </w:r>
      <w:proofErr w:type="spellStart"/>
      <w:r w:rsidRPr="00E73D4B">
        <w:t>tydeleg</w:t>
      </w:r>
      <w:proofErr w:type="spellEnd"/>
      <w:r w:rsidRPr="00E73D4B">
        <w:t xml:space="preserve"> at dette arbeidet må følge krava i Lisboakonvensjonen.</w:t>
      </w:r>
    </w:p>
    <w:p w14:paraId="4C8A9CE0" w14:textId="77777777" w:rsidR="00972395" w:rsidRPr="00E73D4B" w:rsidRDefault="00F120C7" w:rsidP="00E73D4B">
      <w:proofErr w:type="spellStart"/>
      <w:r w:rsidRPr="00E73D4B">
        <w:t>Vidareutviklinga</w:t>
      </w:r>
      <w:proofErr w:type="spellEnd"/>
      <w:r w:rsidRPr="00E73D4B">
        <w:t xml:space="preserve"> av </w:t>
      </w:r>
      <w:proofErr w:type="spellStart"/>
      <w:r w:rsidRPr="00E73D4B">
        <w:t>godkjenningsordningane</w:t>
      </w:r>
      <w:proofErr w:type="spellEnd"/>
      <w:r w:rsidRPr="00E73D4B">
        <w:t xml:space="preserve"> blir </w:t>
      </w:r>
      <w:proofErr w:type="spellStart"/>
      <w:r w:rsidRPr="00E73D4B">
        <w:t>følgde</w:t>
      </w:r>
      <w:proofErr w:type="spellEnd"/>
      <w:r w:rsidRPr="00E73D4B">
        <w:t xml:space="preserve"> opp i den ordinære etatsstyringa og resultatrapporteringa, sjå kap. 271, post 01.</w:t>
      </w:r>
    </w:p>
    <w:p w14:paraId="7CB123A6" w14:textId="77777777" w:rsidR="00972395" w:rsidRPr="00E73D4B" w:rsidRDefault="00F120C7" w:rsidP="00E73D4B">
      <w:r w:rsidRPr="00E73D4B">
        <w:t xml:space="preserve">Departementet meiner at vedtak nr. 687, 25. februar 2021 er </w:t>
      </w:r>
      <w:proofErr w:type="spellStart"/>
      <w:r w:rsidRPr="00E73D4B">
        <w:t>følgt</w:t>
      </w:r>
      <w:proofErr w:type="spellEnd"/>
      <w:r w:rsidRPr="00E73D4B">
        <w:t xml:space="preserve"> opp.</w:t>
      </w:r>
    </w:p>
    <w:p w14:paraId="32B1952F" w14:textId="77777777" w:rsidR="00972395" w:rsidRPr="00E73D4B" w:rsidRDefault="00F120C7" w:rsidP="00E73D4B">
      <w:pPr>
        <w:pStyle w:val="avsnitt-tittel"/>
      </w:pPr>
      <w:proofErr w:type="spellStart"/>
      <w:r w:rsidRPr="00E73D4B">
        <w:t>Fråfall</w:t>
      </w:r>
      <w:proofErr w:type="spellEnd"/>
      <w:r w:rsidRPr="00E73D4B">
        <w:t xml:space="preserve"> og </w:t>
      </w:r>
      <w:proofErr w:type="spellStart"/>
      <w:r w:rsidRPr="00E73D4B">
        <w:t>forseinkingar</w:t>
      </w:r>
      <w:proofErr w:type="spellEnd"/>
      <w:r w:rsidRPr="00E73D4B">
        <w:t xml:space="preserve"> i </w:t>
      </w:r>
      <w:proofErr w:type="spellStart"/>
      <w:r w:rsidRPr="00E73D4B">
        <w:t>høgare</w:t>
      </w:r>
      <w:proofErr w:type="spellEnd"/>
      <w:r w:rsidRPr="00E73D4B">
        <w:t xml:space="preserve"> utdanning</w:t>
      </w:r>
    </w:p>
    <w:p w14:paraId="61B50BE8" w14:textId="77777777" w:rsidR="00972395" w:rsidRPr="00E73D4B" w:rsidRDefault="00F120C7" w:rsidP="00E73D4B">
      <w:pPr>
        <w:pStyle w:val="avsnitt-undertittel"/>
      </w:pPr>
      <w:r w:rsidRPr="00E73D4B">
        <w:t>Vedtak nr. 937, 20. mai 2021</w:t>
      </w:r>
    </w:p>
    <w:p w14:paraId="7996A955" w14:textId="77777777" w:rsidR="00972395" w:rsidRPr="00E73D4B" w:rsidRDefault="00F120C7" w:rsidP="00E73D4B">
      <w:pPr>
        <w:pStyle w:val="blokksit"/>
        <w:rPr>
          <w:rStyle w:val="kursiv"/>
        </w:rPr>
      </w:pPr>
      <w:r w:rsidRPr="00E73D4B">
        <w:rPr>
          <w:rStyle w:val="kursiv"/>
        </w:rPr>
        <w:t>Stortinget ber regjeringen utrede tiltak for å forhindre frafall og forsinkelser i studiene for studenter i høyere utdanning.</w:t>
      </w:r>
    </w:p>
    <w:p w14:paraId="23EB0ADB" w14:textId="77777777" w:rsidR="00972395" w:rsidRPr="00E73D4B" w:rsidRDefault="00F120C7" w:rsidP="00E73D4B">
      <w:r w:rsidRPr="00E73D4B">
        <w:t xml:space="preserve">Oppmodingsvedtaket blei gjort i samband med behandling av Meld. St. 19 (2020–2021) </w:t>
      </w:r>
      <w:r w:rsidRPr="00E73D4B">
        <w:rPr>
          <w:rStyle w:val="kursiv"/>
        </w:rPr>
        <w:t>Styring av statlige universiteter og høyskoler</w:t>
      </w:r>
      <w:r w:rsidRPr="00E73D4B">
        <w:t xml:space="preserve">, jf. </w:t>
      </w:r>
      <w:proofErr w:type="spellStart"/>
      <w:r w:rsidRPr="00E73D4B">
        <w:t>Innst</w:t>
      </w:r>
      <w:proofErr w:type="spellEnd"/>
      <w:r w:rsidRPr="00E73D4B">
        <w:t>. 425 S (2020–2021).</w:t>
      </w:r>
    </w:p>
    <w:p w14:paraId="0B0C3978" w14:textId="77777777" w:rsidR="00972395" w:rsidRPr="00E73D4B" w:rsidRDefault="00F120C7" w:rsidP="00E73D4B">
      <w:r w:rsidRPr="00E73D4B">
        <w:t xml:space="preserve">Prosentdelen </w:t>
      </w:r>
      <w:proofErr w:type="spellStart"/>
      <w:r w:rsidRPr="00E73D4B">
        <w:t>studentar</w:t>
      </w:r>
      <w:proofErr w:type="spellEnd"/>
      <w:r w:rsidRPr="00E73D4B">
        <w:t xml:space="preserve"> som gjennomfører utdanninga på normert tid, er </w:t>
      </w:r>
      <w:proofErr w:type="spellStart"/>
      <w:r w:rsidRPr="00E73D4B">
        <w:t>ein</w:t>
      </w:r>
      <w:proofErr w:type="spellEnd"/>
      <w:r w:rsidRPr="00E73D4B">
        <w:t xml:space="preserve"> styringsparameter for målet om </w:t>
      </w:r>
      <w:proofErr w:type="spellStart"/>
      <w:r w:rsidRPr="00E73D4B">
        <w:t>høg</w:t>
      </w:r>
      <w:proofErr w:type="spellEnd"/>
      <w:r w:rsidRPr="00E73D4B">
        <w:t xml:space="preserve"> kvalitet i utdanning og forsking. </w:t>
      </w:r>
      <w:proofErr w:type="spellStart"/>
      <w:r w:rsidRPr="00E73D4B">
        <w:t>Forseinking</w:t>
      </w:r>
      <w:proofErr w:type="spellEnd"/>
      <w:r w:rsidRPr="00E73D4B">
        <w:t xml:space="preserve"> i utdanning er kostbart både for den </w:t>
      </w:r>
      <w:proofErr w:type="spellStart"/>
      <w:r w:rsidRPr="00E73D4B">
        <w:t>einskilde</w:t>
      </w:r>
      <w:proofErr w:type="spellEnd"/>
      <w:r w:rsidRPr="00E73D4B">
        <w:t xml:space="preserve"> og for samfunnet, og både Kunnskapsdepartementet og universiteta og </w:t>
      </w:r>
      <w:proofErr w:type="spellStart"/>
      <w:r w:rsidRPr="00E73D4B">
        <w:t>høgskulane</w:t>
      </w:r>
      <w:proofErr w:type="spellEnd"/>
      <w:r w:rsidRPr="00E73D4B">
        <w:t xml:space="preserve"> jobbar for at </w:t>
      </w:r>
      <w:proofErr w:type="spellStart"/>
      <w:r w:rsidRPr="00E73D4B">
        <w:t>utdanningane</w:t>
      </w:r>
      <w:proofErr w:type="spellEnd"/>
      <w:r w:rsidRPr="00E73D4B">
        <w:t xml:space="preserve"> skal legge til rette for at </w:t>
      </w:r>
      <w:proofErr w:type="spellStart"/>
      <w:r w:rsidRPr="00E73D4B">
        <w:t>studentane</w:t>
      </w:r>
      <w:proofErr w:type="spellEnd"/>
      <w:r w:rsidRPr="00E73D4B">
        <w:t xml:space="preserve"> skal </w:t>
      </w:r>
      <w:proofErr w:type="spellStart"/>
      <w:r w:rsidRPr="00E73D4B">
        <w:t>lykkast</w:t>
      </w:r>
      <w:proofErr w:type="spellEnd"/>
      <w:r w:rsidRPr="00E73D4B">
        <w:t xml:space="preserve">. </w:t>
      </w:r>
      <w:proofErr w:type="spellStart"/>
      <w:r w:rsidRPr="00E73D4B">
        <w:t>Ein</w:t>
      </w:r>
      <w:proofErr w:type="spellEnd"/>
      <w:r w:rsidRPr="00E73D4B">
        <w:t xml:space="preserve"> viktig faktor er å bruke og utvikle undervisnings- og vurderingsformer som aktiviserer </w:t>
      </w:r>
      <w:proofErr w:type="spellStart"/>
      <w:r w:rsidRPr="00E73D4B">
        <w:t>studentane</w:t>
      </w:r>
      <w:proofErr w:type="spellEnd"/>
      <w:r w:rsidRPr="00E73D4B">
        <w:t xml:space="preserve"> og som </w:t>
      </w:r>
      <w:proofErr w:type="spellStart"/>
      <w:r w:rsidRPr="00E73D4B">
        <w:t>fremjar</w:t>
      </w:r>
      <w:proofErr w:type="spellEnd"/>
      <w:r w:rsidRPr="00E73D4B">
        <w:t xml:space="preserve"> læring på </w:t>
      </w:r>
      <w:proofErr w:type="spellStart"/>
      <w:r w:rsidRPr="00E73D4B">
        <w:t>ein</w:t>
      </w:r>
      <w:proofErr w:type="spellEnd"/>
      <w:r w:rsidRPr="00E73D4B">
        <w:t xml:space="preserve"> god måte. </w:t>
      </w:r>
      <w:proofErr w:type="spellStart"/>
      <w:r w:rsidRPr="00E73D4B">
        <w:t>Vidare</w:t>
      </w:r>
      <w:proofErr w:type="spellEnd"/>
      <w:r w:rsidRPr="00E73D4B">
        <w:t xml:space="preserve"> står et godt læringsmiljø sentralt. </w:t>
      </w:r>
      <w:proofErr w:type="spellStart"/>
      <w:r w:rsidRPr="00E73D4B">
        <w:t>Hovuddelen</w:t>
      </w:r>
      <w:proofErr w:type="spellEnd"/>
      <w:r w:rsidRPr="00E73D4B">
        <w:t xml:space="preserve"> av departementets arbeid </w:t>
      </w:r>
      <w:proofErr w:type="spellStart"/>
      <w:r w:rsidRPr="00E73D4B">
        <w:t>handlar</w:t>
      </w:r>
      <w:proofErr w:type="spellEnd"/>
      <w:r w:rsidRPr="00E73D4B">
        <w:t xml:space="preserve"> om å skape </w:t>
      </w:r>
      <w:proofErr w:type="spellStart"/>
      <w:r w:rsidRPr="00E73D4B">
        <w:t>ein</w:t>
      </w:r>
      <w:proofErr w:type="spellEnd"/>
      <w:r w:rsidRPr="00E73D4B">
        <w:t xml:space="preserve"> utdanningssektor med </w:t>
      </w:r>
      <w:proofErr w:type="spellStart"/>
      <w:r w:rsidRPr="00E73D4B">
        <w:t>høg</w:t>
      </w:r>
      <w:proofErr w:type="spellEnd"/>
      <w:r w:rsidRPr="00E73D4B">
        <w:t xml:space="preserve"> kvalitet og gode </w:t>
      </w:r>
      <w:proofErr w:type="spellStart"/>
      <w:r w:rsidRPr="00E73D4B">
        <w:t>tilbod</w:t>
      </w:r>
      <w:proofErr w:type="spellEnd"/>
      <w:r w:rsidRPr="00E73D4B">
        <w:t xml:space="preserve"> for </w:t>
      </w:r>
      <w:proofErr w:type="spellStart"/>
      <w:r w:rsidRPr="00E73D4B">
        <w:t>studentane</w:t>
      </w:r>
      <w:proofErr w:type="spellEnd"/>
      <w:r w:rsidRPr="00E73D4B">
        <w:t xml:space="preserve"> der så mange </w:t>
      </w:r>
      <w:proofErr w:type="spellStart"/>
      <w:r w:rsidRPr="00E73D4B">
        <w:t>studentar</w:t>
      </w:r>
      <w:proofErr w:type="spellEnd"/>
      <w:r w:rsidRPr="00E73D4B">
        <w:t xml:space="preserve"> som råd gjennomfører studia.</w:t>
      </w:r>
    </w:p>
    <w:p w14:paraId="6F057620" w14:textId="77777777" w:rsidR="00972395" w:rsidRPr="00E73D4B" w:rsidRDefault="00F120C7" w:rsidP="00E73D4B">
      <w:r w:rsidRPr="00E73D4B">
        <w:t xml:space="preserve">Dette er </w:t>
      </w:r>
      <w:proofErr w:type="spellStart"/>
      <w:r w:rsidRPr="00E73D4B">
        <w:t>eit</w:t>
      </w:r>
      <w:proofErr w:type="spellEnd"/>
      <w:r w:rsidRPr="00E73D4B">
        <w:t xml:space="preserve"> arbeid som held på heile tida, og som vil </w:t>
      </w:r>
      <w:proofErr w:type="spellStart"/>
      <w:r w:rsidRPr="00E73D4B">
        <w:t>halde</w:t>
      </w:r>
      <w:proofErr w:type="spellEnd"/>
      <w:r w:rsidRPr="00E73D4B">
        <w:t xml:space="preserve"> fram, og departementet meiner at vedtak nr. 937, 20. mai 2021 gjennom dette er </w:t>
      </w:r>
      <w:proofErr w:type="spellStart"/>
      <w:r w:rsidRPr="00E73D4B">
        <w:t>følgt</w:t>
      </w:r>
      <w:proofErr w:type="spellEnd"/>
      <w:r w:rsidRPr="00E73D4B">
        <w:t xml:space="preserve"> opp.</w:t>
      </w:r>
    </w:p>
    <w:p w14:paraId="3F91990B" w14:textId="77777777" w:rsidR="00972395" w:rsidRPr="00E73D4B" w:rsidRDefault="00F120C7" w:rsidP="00E73D4B">
      <w:pPr>
        <w:pStyle w:val="avsnitt-tittel"/>
      </w:pPr>
      <w:r w:rsidRPr="00E73D4B">
        <w:t xml:space="preserve">Opptrappingsplan for </w:t>
      </w:r>
      <w:proofErr w:type="spellStart"/>
      <w:r w:rsidRPr="00E73D4B">
        <w:t>studieplassar</w:t>
      </w:r>
      <w:proofErr w:type="spellEnd"/>
      <w:r w:rsidRPr="00E73D4B">
        <w:t xml:space="preserve"> </w:t>
      </w:r>
      <w:proofErr w:type="spellStart"/>
      <w:r w:rsidRPr="00E73D4B">
        <w:t>innanfor</w:t>
      </w:r>
      <w:proofErr w:type="spellEnd"/>
      <w:r w:rsidRPr="00E73D4B">
        <w:t xml:space="preserve"> medisin, helsefag, sjukepleie og psykologi</w:t>
      </w:r>
    </w:p>
    <w:p w14:paraId="4FA918BB" w14:textId="77777777" w:rsidR="00972395" w:rsidRPr="00E73D4B" w:rsidRDefault="00F120C7" w:rsidP="00E73D4B">
      <w:pPr>
        <w:pStyle w:val="avsnitt-undertittel"/>
      </w:pPr>
      <w:r w:rsidRPr="00E73D4B">
        <w:t>Vedtak nr. 941, 20. mai 2021</w:t>
      </w:r>
    </w:p>
    <w:p w14:paraId="2526A0B1" w14:textId="77777777" w:rsidR="00972395" w:rsidRPr="00E73D4B" w:rsidRDefault="00F120C7" w:rsidP="00E73D4B">
      <w:pPr>
        <w:pStyle w:val="blokksit"/>
        <w:rPr>
          <w:rStyle w:val="kursiv"/>
        </w:rPr>
      </w:pPr>
      <w:r w:rsidRPr="00E73D4B">
        <w:rPr>
          <w:rStyle w:val="kursiv"/>
        </w:rPr>
        <w:t>Stortinget ber regjeringen utarbeide en opptrappingsplan for studieplasser innenfor medisin, helsefag og psykologi. Planen skal både inneholde konkrete tiltak for opprettelse av tilstrekkelig med studieplasser ved utdanningsinstitusjonene, og tiltak som sikrer studentene praksisplass i helsesektoren. Planen bør inneholde tiltak som gjør det attraktivt for helsearbeidere å være i sektoren. Stortinget ber regjeringen i forbindelse med statsbudsjettet for 2022 komme tilbake til Stortinget med innledende tiltak for å sikre flere studieplasser innen medisin, helsefag og sykepleie.</w:t>
      </w:r>
    </w:p>
    <w:p w14:paraId="55EF6936" w14:textId="77777777" w:rsidR="00972395" w:rsidRPr="00E73D4B" w:rsidRDefault="00F120C7" w:rsidP="00E73D4B">
      <w:r w:rsidRPr="00E73D4B">
        <w:t xml:space="preserve">Oppmodingsvedtaket blei gjort i samband med behandlinga </w:t>
      </w:r>
      <w:proofErr w:type="spellStart"/>
      <w:r w:rsidRPr="00E73D4B">
        <w:t>Dok</w:t>
      </w:r>
      <w:proofErr w:type="spellEnd"/>
      <w:r w:rsidRPr="00E73D4B">
        <w:t xml:space="preserve">. 8:281 S (2020–2021) </w:t>
      </w:r>
      <w:r w:rsidRPr="00E73D4B">
        <w:rPr>
          <w:rStyle w:val="kursiv"/>
        </w:rPr>
        <w:t xml:space="preserve">Representantforslag om opptrappingsplan for </w:t>
      </w:r>
      <w:proofErr w:type="spellStart"/>
      <w:r w:rsidRPr="00E73D4B">
        <w:rPr>
          <w:rStyle w:val="kursiv"/>
        </w:rPr>
        <w:t>helseutdanningane</w:t>
      </w:r>
      <w:proofErr w:type="spellEnd"/>
      <w:r w:rsidRPr="00E73D4B">
        <w:rPr>
          <w:rStyle w:val="kursiv"/>
        </w:rPr>
        <w:t xml:space="preserve"> fra stortingsrepresentantene Åshild Bruun-Gundersen, Bengt Rune </w:t>
      </w:r>
      <w:proofErr w:type="spellStart"/>
      <w:r w:rsidRPr="00E73D4B">
        <w:rPr>
          <w:rStyle w:val="kursiv"/>
        </w:rPr>
        <w:t>Strifeldt</w:t>
      </w:r>
      <w:proofErr w:type="spellEnd"/>
      <w:r w:rsidRPr="00E73D4B">
        <w:rPr>
          <w:rStyle w:val="kursiv"/>
        </w:rPr>
        <w:t xml:space="preserve">, Morten Stordalen, Hanne Dyveke </w:t>
      </w:r>
      <w:proofErr w:type="spellStart"/>
      <w:r w:rsidRPr="00E73D4B">
        <w:rPr>
          <w:rStyle w:val="kursiv"/>
        </w:rPr>
        <w:t>Støttar</w:t>
      </w:r>
      <w:proofErr w:type="spellEnd"/>
      <w:r w:rsidRPr="00E73D4B">
        <w:rPr>
          <w:rStyle w:val="kursiv"/>
        </w:rPr>
        <w:t xml:space="preserve">, Silje Hjemdal, </w:t>
      </w:r>
      <w:proofErr w:type="spellStart"/>
      <w:r w:rsidRPr="00E73D4B">
        <w:rPr>
          <w:rStyle w:val="kursiv"/>
        </w:rPr>
        <w:t>Himanshu</w:t>
      </w:r>
      <w:proofErr w:type="spellEnd"/>
      <w:r w:rsidRPr="00E73D4B">
        <w:rPr>
          <w:rStyle w:val="kursiv"/>
        </w:rPr>
        <w:t xml:space="preserve"> </w:t>
      </w:r>
      <w:proofErr w:type="spellStart"/>
      <w:r w:rsidRPr="00E73D4B">
        <w:rPr>
          <w:rStyle w:val="kursiv"/>
        </w:rPr>
        <w:t>Gulati</w:t>
      </w:r>
      <w:proofErr w:type="spellEnd"/>
      <w:r w:rsidRPr="00E73D4B">
        <w:rPr>
          <w:rStyle w:val="kursiv"/>
        </w:rPr>
        <w:t xml:space="preserve"> og Roy Steffensen</w:t>
      </w:r>
      <w:r w:rsidRPr="00E73D4B">
        <w:t xml:space="preserve">, jf. </w:t>
      </w:r>
      <w:proofErr w:type="spellStart"/>
      <w:r w:rsidRPr="00E73D4B">
        <w:t>Innst</w:t>
      </w:r>
      <w:proofErr w:type="spellEnd"/>
      <w:r w:rsidRPr="00E73D4B">
        <w:t>. 419 S (2020–2021).</w:t>
      </w:r>
    </w:p>
    <w:p w14:paraId="5CA41E52" w14:textId="77777777" w:rsidR="00972395" w:rsidRPr="00E73D4B" w:rsidRDefault="00F120C7" w:rsidP="00E73D4B">
      <w:r w:rsidRPr="00E73D4B">
        <w:t xml:space="preserve">Regjeringa vil føre </w:t>
      </w:r>
      <w:proofErr w:type="spellStart"/>
      <w:r w:rsidRPr="00E73D4B">
        <w:t>ein</w:t>
      </w:r>
      <w:proofErr w:type="spellEnd"/>
      <w:r w:rsidRPr="00E73D4B">
        <w:t xml:space="preserve"> ambisiøs og offensiv kunnskapspolitikk og bygge sterke </w:t>
      </w:r>
      <w:proofErr w:type="spellStart"/>
      <w:r w:rsidRPr="00E73D4B">
        <w:t>profesjonsutdanningar</w:t>
      </w:r>
      <w:proofErr w:type="spellEnd"/>
      <w:r w:rsidRPr="00E73D4B">
        <w:t xml:space="preserve"> av </w:t>
      </w:r>
      <w:proofErr w:type="spellStart"/>
      <w:r w:rsidRPr="00E73D4B">
        <w:t>høg</w:t>
      </w:r>
      <w:proofErr w:type="spellEnd"/>
      <w:r w:rsidRPr="00E73D4B">
        <w:t xml:space="preserve"> kvalitet i heile landet. Derfor har regjeringa varsla i Hurdalsplattforma at ho vil trappe opp </w:t>
      </w:r>
      <w:proofErr w:type="spellStart"/>
      <w:r w:rsidRPr="00E73D4B">
        <w:t>talet</w:t>
      </w:r>
      <w:proofErr w:type="spellEnd"/>
      <w:r w:rsidRPr="00E73D4B">
        <w:t xml:space="preserve"> på nye </w:t>
      </w:r>
      <w:proofErr w:type="spellStart"/>
      <w:r w:rsidRPr="00E73D4B">
        <w:t>studieplassar</w:t>
      </w:r>
      <w:proofErr w:type="spellEnd"/>
      <w:r w:rsidRPr="00E73D4B">
        <w:t xml:space="preserve">, med </w:t>
      </w:r>
      <w:proofErr w:type="spellStart"/>
      <w:r w:rsidRPr="00E73D4B">
        <w:t>opptrappingsplanar</w:t>
      </w:r>
      <w:proofErr w:type="spellEnd"/>
      <w:r w:rsidRPr="00E73D4B">
        <w:t xml:space="preserve"> for område med </w:t>
      </w:r>
      <w:proofErr w:type="spellStart"/>
      <w:r w:rsidRPr="00E73D4B">
        <w:t>særleg</w:t>
      </w:r>
      <w:proofErr w:type="spellEnd"/>
      <w:r w:rsidRPr="00E73D4B">
        <w:t xml:space="preserve"> stort kompetansebehov, som </w:t>
      </w:r>
      <w:proofErr w:type="spellStart"/>
      <w:r w:rsidRPr="00E73D4B">
        <w:t>læraryrket</w:t>
      </w:r>
      <w:proofErr w:type="spellEnd"/>
      <w:r w:rsidRPr="00E73D4B">
        <w:t xml:space="preserve">, sjukepleie, realfag, IKT og medisin. I 2022 </w:t>
      </w:r>
      <w:proofErr w:type="spellStart"/>
      <w:r w:rsidRPr="00E73D4B">
        <w:t>fekk</w:t>
      </w:r>
      <w:proofErr w:type="spellEnd"/>
      <w:r w:rsidRPr="00E73D4B">
        <w:t xml:space="preserve"> Universitetet i Tromsø – </w:t>
      </w:r>
      <w:proofErr w:type="spellStart"/>
      <w:r w:rsidRPr="00E73D4B">
        <w:t>Noregs</w:t>
      </w:r>
      <w:proofErr w:type="spellEnd"/>
      <w:r w:rsidRPr="00E73D4B">
        <w:t xml:space="preserve"> arktiske universitet (UiT) </w:t>
      </w:r>
      <w:proofErr w:type="spellStart"/>
      <w:r w:rsidRPr="00E73D4B">
        <w:t>midlar</w:t>
      </w:r>
      <w:proofErr w:type="spellEnd"/>
      <w:r w:rsidRPr="00E73D4B">
        <w:t xml:space="preserve"> til 15 </w:t>
      </w:r>
      <w:proofErr w:type="spellStart"/>
      <w:r w:rsidRPr="00E73D4B">
        <w:t>fleire</w:t>
      </w:r>
      <w:proofErr w:type="spellEnd"/>
      <w:r w:rsidRPr="00E73D4B">
        <w:t xml:space="preserve"> </w:t>
      </w:r>
      <w:proofErr w:type="spellStart"/>
      <w:r w:rsidRPr="00E73D4B">
        <w:t>studieplassar</w:t>
      </w:r>
      <w:proofErr w:type="spellEnd"/>
      <w:r w:rsidRPr="00E73D4B">
        <w:t xml:space="preserve"> i medisin, jf. </w:t>
      </w:r>
      <w:proofErr w:type="spellStart"/>
      <w:r w:rsidRPr="00E73D4B">
        <w:t>Innst</w:t>
      </w:r>
      <w:proofErr w:type="spellEnd"/>
      <w:r w:rsidRPr="00E73D4B">
        <w:t xml:space="preserve">. 2 S (2021–2022) og </w:t>
      </w:r>
      <w:proofErr w:type="spellStart"/>
      <w:r w:rsidRPr="00E73D4B">
        <w:t>Prop</w:t>
      </w:r>
      <w:proofErr w:type="spellEnd"/>
      <w:r w:rsidRPr="00E73D4B">
        <w:t xml:space="preserve">. 1 S (2021–2022). Regjeringa foreslår </w:t>
      </w:r>
      <w:proofErr w:type="spellStart"/>
      <w:r w:rsidRPr="00E73D4B">
        <w:t>midlar</w:t>
      </w:r>
      <w:proofErr w:type="spellEnd"/>
      <w:r w:rsidRPr="00E73D4B">
        <w:t xml:space="preserve"> til </w:t>
      </w:r>
      <w:proofErr w:type="spellStart"/>
      <w:r w:rsidRPr="00E73D4B">
        <w:t>ytterlegare</w:t>
      </w:r>
      <w:proofErr w:type="spellEnd"/>
      <w:r w:rsidRPr="00E73D4B">
        <w:t xml:space="preserve"> 30 nye </w:t>
      </w:r>
      <w:proofErr w:type="spellStart"/>
      <w:r w:rsidRPr="00E73D4B">
        <w:t>studieplassar</w:t>
      </w:r>
      <w:proofErr w:type="spellEnd"/>
      <w:r w:rsidRPr="00E73D4B">
        <w:t xml:space="preserve"> i medisin ved UiT </w:t>
      </w:r>
      <w:proofErr w:type="spellStart"/>
      <w:r w:rsidRPr="00E73D4B">
        <w:t>frå</w:t>
      </w:r>
      <w:proofErr w:type="spellEnd"/>
      <w:r w:rsidRPr="00E73D4B">
        <w:t xml:space="preserve"> 2023. Kunnskapsdepartementet tildelte </w:t>
      </w:r>
      <w:proofErr w:type="spellStart"/>
      <w:r w:rsidRPr="00E73D4B">
        <w:t>midlar</w:t>
      </w:r>
      <w:proofErr w:type="spellEnd"/>
      <w:r w:rsidRPr="00E73D4B">
        <w:t xml:space="preserve"> til 300 </w:t>
      </w:r>
      <w:proofErr w:type="spellStart"/>
      <w:r w:rsidRPr="00E73D4B">
        <w:t>fleire</w:t>
      </w:r>
      <w:proofErr w:type="spellEnd"/>
      <w:r w:rsidRPr="00E73D4B">
        <w:t xml:space="preserve"> </w:t>
      </w:r>
      <w:proofErr w:type="spellStart"/>
      <w:r w:rsidRPr="00E73D4B">
        <w:t>studieplassar</w:t>
      </w:r>
      <w:proofErr w:type="spellEnd"/>
      <w:r w:rsidRPr="00E73D4B">
        <w:t xml:space="preserve"> i </w:t>
      </w:r>
      <w:proofErr w:type="spellStart"/>
      <w:r w:rsidRPr="00E73D4B">
        <w:t>sjukepleiarutdanningane</w:t>
      </w:r>
      <w:proofErr w:type="spellEnd"/>
      <w:r w:rsidRPr="00E73D4B">
        <w:t xml:space="preserve">, og elleve </w:t>
      </w:r>
      <w:proofErr w:type="spellStart"/>
      <w:r w:rsidRPr="00E73D4B">
        <w:t>statlege</w:t>
      </w:r>
      <w:proofErr w:type="spellEnd"/>
      <w:r w:rsidRPr="00E73D4B">
        <w:t xml:space="preserve"> universitet og </w:t>
      </w:r>
      <w:proofErr w:type="spellStart"/>
      <w:r w:rsidRPr="00E73D4B">
        <w:t>høgskular</w:t>
      </w:r>
      <w:proofErr w:type="spellEnd"/>
      <w:r w:rsidRPr="00E73D4B">
        <w:t xml:space="preserve"> blei i tillegg </w:t>
      </w:r>
      <w:proofErr w:type="spellStart"/>
      <w:r w:rsidRPr="00E73D4B">
        <w:t>bedne</w:t>
      </w:r>
      <w:proofErr w:type="spellEnd"/>
      <w:r w:rsidRPr="00E73D4B">
        <w:t xml:space="preserve"> om å omprioritere for </w:t>
      </w:r>
      <w:proofErr w:type="spellStart"/>
      <w:r w:rsidRPr="00E73D4B">
        <w:t>ytterlegare</w:t>
      </w:r>
      <w:proofErr w:type="spellEnd"/>
      <w:r w:rsidRPr="00E73D4B">
        <w:t xml:space="preserve"> til </w:t>
      </w:r>
      <w:proofErr w:type="spellStart"/>
      <w:r w:rsidRPr="00E73D4B">
        <w:t>saman</w:t>
      </w:r>
      <w:proofErr w:type="spellEnd"/>
      <w:r w:rsidRPr="00E73D4B">
        <w:t xml:space="preserve"> 200 </w:t>
      </w:r>
      <w:proofErr w:type="spellStart"/>
      <w:r w:rsidRPr="00E73D4B">
        <w:t>fleire</w:t>
      </w:r>
      <w:proofErr w:type="spellEnd"/>
      <w:r w:rsidRPr="00E73D4B">
        <w:t xml:space="preserve"> </w:t>
      </w:r>
      <w:proofErr w:type="spellStart"/>
      <w:r w:rsidRPr="00E73D4B">
        <w:t>plassar</w:t>
      </w:r>
      <w:proofErr w:type="spellEnd"/>
      <w:r w:rsidRPr="00E73D4B">
        <w:t xml:space="preserve"> </w:t>
      </w:r>
      <w:proofErr w:type="spellStart"/>
      <w:r w:rsidRPr="00E73D4B">
        <w:t>innanfor</w:t>
      </w:r>
      <w:proofErr w:type="spellEnd"/>
      <w:r w:rsidRPr="00E73D4B">
        <w:t xml:space="preserve"> uendra rammeløyving, jf. </w:t>
      </w:r>
      <w:proofErr w:type="spellStart"/>
      <w:r w:rsidRPr="00E73D4B">
        <w:t>Innst</w:t>
      </w:r>
      <w:proofErr w:type="spellEnd"/>
      <w:r w:rsidRPr="00E73D4B">
        <w:t xml:space="preserve">. 119 S (2021–2022) og </w:t>
      </w:r>
      <w:proofErr w:type="spellStart"/>
      <w:r w:rsidRPr="00E73D4B">
        <w:t>Prop</w:t>
      </w:r>
      <w:proofErr w:type="spellEnd"/>
      <w:r w:rsidRPr="00E73D4B">
        <w:t>. 51 S (2021–2022).</w:t>
      </w:r>
    </w:p>
    <w:p w14:paraId="1F2C2A99" w14:textId="77777777" w:rsidR="00972395" w:rsidRPr="00E73D4B" w:rsidRDefault="00F120C7" w:rsidP="00E73D4B">
      <w:proofErr w:type="spellStart"/>
      <w:r w:rsidRPr="00E73D4B">
        <w:t>Vidare</w:t>
      </w:r>
      <w:proofErr w:type="spellEnd"/>
      <w:r w:rsidRPr="00E73D4B">
        <w:t xml:space="preserve"> oppfølging av dette oppmodingsvedtaket er under arbeid i samarbeid med relevante departement. Regjeringa vil </w:t>
      </w:r>
      <w:proofErr w:type="spellStart"/>
      <w:r w:rsidRPr="00E73D4B">
        <w:t>kome</w:t>
      </w:r>
      <w:proofErr w:type="spellEnd"/>
      <w:r w:rsidRPr="00E73D4B">
        <w:t xml:space="preserve"> tilbake til Stortinget med ei stortingsmelding om </w:t>
      </w:r>
      <w:proofErr w:type="spellStart"/>
      <w:r w:rsidRPr="00E73D4B">
        <w:t>profesjonsutdanningane</w:t>
      </w:r>
      <w:proofErr w:type="spellEnd"/>
      <w:r w:rsidRPr="00E73D4B">
        <w:t>.</w:t>
      </w:r>
    </w:p>
    <w:p w14:paraId="7C6AFE41" w14:textId="77777777" w:rsidR="00972395" w:rsidRPr="00E73D4B" w:rsidRDefault="00F120C7" w:rsidP="00E73D4B">
      <w:pPr>
        <w:pStyle w:val="avsnitt-tittel"/>
      </w:pPr>
      <w:proofErr w:type="spellStart"/>
      <w:r w:rsidRPr="00E73D4B">
        <w:t>Eksamensoppgåver</w:t>
      </w:r>
      <w:proofErr w:type="spellEnd"/>
      <w:r w:rsidRPr="00E73D4B">
        <w:t xml:space="preserve"> og skriftspråk</w:t>
      </w:r>
    </w:p>
    <w:p w14:paraId="2FA8F92D" w14:textId="77777777" w:rsidR="00972395" w:rsidRPr="00E73D4B" w:rsidRDefault="00F120C7" w:rsidP="00E73D4B">
      <w:pPr>
        <w:pStyle w:val="avsnitt-undertittel"/>
      </w:pPr>
      <w:r w:rsidRPr="00E73D4B">
        <w:t>Vedtak nr. 1016, 20. mai 2021</w:t>
      </w:r>
    </w:p>
    <w:p w14:paraId="006C0D0B" w14:textId="77777777" w:rsidR="00972395" w:rsidRPr="00E73D4B" w:rsidRDefault="00F120C7" w:rsidP="00E73D4B">
      <w:pPr>
        <w:pStyle w:val="blokksit"/>
        <w:rPr>
          <w:rStyle w:val="kursiv"/>
        </w:rPr>
      </w:pPr>
      <w:r w:rsidRPr="00E73D4B">
        <w:rPr>
          <w:rStyle w:val="kursiv"/>
        </w:rPr>
        <w:t>Stortinget ber regjeringen i den helhetlige gjennomgangen av universitets- og høyskoleloven komme tilbake med forslag om lovfesting av retten til å få eksamensoppgavene på det norske skriftspråk studentene ønsker.</w:t>
      </w:r>
    </w:p>
    <w:p w14:paraId="4C3CFC5E"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xml:space="preserve">. 111 L (2020–2021) </w:t>
      </w:r>
      <w:r w:rsidRPr="00E73D4B">
        <w:rPr>
          <w:rStyle w:val="kursiv"/>
        </w:rPr>
        <w:t>Endringer i universitets- og høyskoleloven, utdanningsstøtteloven, fagskoleloven og yrkeskvalifikasjonsloven mv. (samleproposisjon)</w:t>
      </w:r>
      <w:r w:rsidRPr="00E73D4B">
        <w:t xml:space="preserve">, jf. </w:t>
      </w:r>
      <w:proofErr w:type="spellStart"/>
      <w:r w:rsidRPr="00E73D4B">
        <w:t>Innst</w:t>
      </w:r>
      <w:proofErr w:type="spellEnd"/>
      <w:r w:rsidRPr="00E73D4B">
        <w:t>. 517 L (2020–2021).</w:t>
      </w:r>
    </w:p>
    <w:p w14:paraId="5AAA83C8" w14:textId="77777777" w:rsidR="00972395" w:rsidRPr="00E73D4B" w:rsidRDefault="00F120C7" w:rsidP="00E73D4B">
      <w:r w:rsidRPr="00E73D4B">
        <w:t xml:space="preserve">Stortinget har </w:t>
      </w:r>
      <w:proofErr w:type="spellStart"/>
      <w:r w:rsidRPr="00E73D4B">
        <w:t>vedteke</w:t>
      </w:r>
      <w:proofErr w:type="spellEnd"/>
      <w:r w:rsidRPr="00E73D4B">
        <w:t xml:space="preserve"> ei plikt for universitet og </w:t>
      </w:r>
      <w:proofErr w:type="spellStart"/>
      <w:r w:rsidRPr="00E73D4B">
        <w:t>høgskular</w:t>
      </w:r>
      <w:proofErr w:type="spellEnd"/>
      <w:r w:rsidRPr="00E73D4B">
        <w:t xml:space="preserve"> å gi eksamen på det norske skriftspråket som studenten ønsker, jf. </w:t>
      </w:r>
      <w:proofErr w:type="spellStart"/>
      <w:r w:rsidRPr="00E73D4B">
        <w:t>Prop</w:t>
      </w:r>
      <w:proofErr w:type="spellEnd"/>
      <w:r w:rsidRPr="00E73D4B">
        <w:t xml:space="preserve">. 74 L (2021–2022) </w:t>
      </w:r>
      <w:r w:rsidRPr="00E73D4B">
        <w:rPr>
          <w:rStyle w:val="kursiv"/>
        </w:rPr>
        <w:t xml:space="preserve">Endringer i opplæringsloven, universitets- og høyskoleloven og fagskoleloven (endring av </w:t>
      </w:r>
      <w:proofErr w:type="spellStart"/>
      <w:r w:rsidRPr="00E73D4B">
        <w:rPr>
          <w:rStyle w:val="kursiv"/>
        </w:rPr>
        <w:t>NOKUTs</w:t>
      </w:r>
      <w:proofErr w:type="spellEnd"/>
      <w:r w:rsidRPr="00E73D4B">
        <w:rPr>
          <w:rStyle w:val="kursiv"/>
        </w:rPr>
        <w:t xml:space="preserve"> oppgaver, studentrettigheter mv.)</w:t>
      </w:r>
      <w:r w:rsidRPr="00E73D4B">
        <w:t xml:space="preserve"> og </w:t>
      </w:r>
      <w:proofErr w:type="spellStart"/>
      <w:r w:rsidRPr="00E73D4B">
        <w:t>Innst</w:t>
      </w:r>
      <w:proofErr w:type="spellEnd"/>
      <w:r w:rsidRPr="00E73D4B">
        <w:t xml:space="preserve">. 287 L (2021–2022). Lovendringa har </w:t>
      </w:r>
      <w:proofErr w:type="spellStart"/>
      <w:r w:rsidRPr="00E73D4B">
        <w:t>berre</w:t>
      </w:r>
      <w:proofErr w:type="spellEnd"/>
      <w:r w:rsidRPr="00E73D4B">
        <w:t xml:space="preserve"> </w:t>
      </w:r>
      <w:proofErr w:type="spellStart"/>
      <w:r w:rsidRPr="00E73D4B">
        <w:t>konsekvensar</w:t>
      </w:r>
      <w:proofErr w:type="spellEnd"/>
      <w:r w:rsidRPr="00E73D4B">
        <w:t xml:space="preserve"> for private </w:t>
      </w:r>
      <w:proofErr w:type="spellStart"/>
      <w:r w:rsidRPr="00E73D4B">
        <w:t>lærestadar</w:t>
      </w:r>
      <w:proofErr w:type="spellEnd"/>
      <w:r w:rsidRPr="00E73D4B">
        <w:t xml:space="preserve">, </w:t>
      </w:r>
      <w:proofErr w:type="spellStart"/>
      <w:r w:rsidRPr="00E73D4B">
        <w:t>sidan</w:t>
      </w:r>
      <w:proofErr w:type="spellEnd"/>
      <w:r w:rsidRPr="00E73D4B">
        <w:t xml:space="preserve"> </w:t>
      </w:r>
      <w:proofErr w:type="spellStart"/>
      <w:r w:rsidRPr="00E73D4B">
        <w:t>statlege</w:t>
      </w:r>
      <w:proofErr w:type="spellEnd"/>
      <w:r w:rsidRPr="00E73D4B">
        <w:t xml:space="preserve"> </w:t>
      </w:r>
      <w:proofErr w:type="spellStart"/>
      <w:r w:rsidRPr="00E73D4B">
        <w:t>lærestadar</w:t>
      </w:r>
      <w:proofErr w:type="spellEnd"/>
      <w:r w:rsidRPr="00E73D4B">
        <w:t xml:space="preserve"> </w:t>
      </w:r>
      <w:proofErr w:type="spellStart"/>
      <w:r w:rsidRPr="00E73D4B">
        <w:t>allereie</w:t>
      </w:r>
      <w:proofErr w:type="spellEnd"/>
      <w:r w:rsidRPr="00E73D4B">
        <w:t xml:space="preserve"> har plikt til å gi eksamen på begge skriftspråka som </w:t>
      </w:r>
      <w:proofErr w:type="spellStart"/>
      <w:r w:rsidRPr="00E73D4B">
        <w:t>hovudregel</w:t>
      </w:r>
      <w:proofErr w:type="spellEnd"/>
      <w:r w:rsidRPr="00E73D4B">
        <w:t>.</w:t>
      </w:r>
    </w:p>
    <w:p w14:paraId="5A8E6898" w14:textId="77777777" w:rsidR="00972395" w:rsidRPr="00E73D4B" w:rsidRDefault="00F120C7" w:rsidP="00E73D4B">
      <w:r w:rsidRPr="00E73D4B">
        <w:t xml:space="preserve">Departementet meiner vedtak nr. 1016, 20. mai 2021 er </w:t>
      </w:r>
      <w:proofErr w:type="spellStart"/>
      <w:r w:rsidRPr="00E73D4B">
        <w:t>følgt</w:t>
      </w:r>
      <w:proofErr w:type="spellEnd"/>
      <w:r w:rsidRPr="00E73D4B">
        <w:t xml:space="preserve"> opp.</w:t>
      </w:r>
    </w:p>
    <w:p w14:paraId="244F805D" w14:textId="77777777" w:rsidR="00972395" w:rsidRPr="00E73D4B" w:rsidRDefault="00F120C7" w:rsidP="00E73D4B">
      <w:pPr>
        <w:pStyle w:val="Overskrift2"/>
      </w:pPr>
      <w:r w:rsidRPr="00E73D4B">
        <w:t>Stortingssesjon 2019–2020</w:t>
      </w:r>
    </w:p>
    <w:p w14:paraId="18FC2DE7" w14:textId="77777777" w:rsidR="00972395" w:rsidRPr="00E73D4B" w:rsidRDefault="00F120C7" w:rsidP="00E73D4B">
      <w:pPr>
        <w:pStyle w:val="Undertittel"/>
      </w:pPr>
      <w:r w:rsidRPr="00E73D4B">
        <w:t>Oppmodingsvedtak under kunnskapsministeren</w:t>
      </w:r>
    </w:p>
    <w:p w14:paraId="1D79C0A6" w14:textId="77777777" w:rsidR="00972395" w:rsidRPr="00E73D4B" w:rsidRDefault="00F120C7" w:rsidP="00E73D4B">
      <w:pPr>
        <w:pStyle w:val="avsnitt-tittel"/>
      </w:pPr>
      <w:proofErr w:type="spellStart"/>
      <w:r w:rsidRPr="00E73D4B">
        <w:t>Vaksne</w:t>
      </w:r>
      <w:proofErr w:type="spellEnd"/>
      <w:r w:rsidRPr="00E73D4B">
        <w:t xml:space="preserve"> </w:t>
      </w:r>
      <w:proofErr w:type="spellStart"/>
      <w:r w:rsidRPr="00E73D4B">
        <w:t>utan</w:t>
      </w:r>
      <w:proofErr w:type="spellEnd"/>
      <w:r w:rsidRPr="00E73D4B">
        <w:t xml:space="preserve"> rett til </w:t>
      </w:r>
      <w:proofErr w:type="spellStart"/>
      <w:r w:rsidRPr="00E73D4B">
        <w:t>vidaregåande</w:t>
      </w:r>
      <w:proofErr w:type="spellEnd"/>
      <w:r w:rsidRPr="00E73D4B">
        <w:t xml:space="preserve"> opplæring</w:t>
      </w:r>
    </w:p>
    <w:p w14:paraId="62E06FF4" w14:textId="77777777" w:rsidR="00972395" w:rsidRPr="00E73D4B" w:rsidRDefault="00F120C7" w:rsidP="00E73D4B">
      <w:pPr>
        <w:pStyle w:val="avsnitt-undertittel"/>
      </w:pPr>
      <w:r w:rsidRPr="00E73D4B">
        <w:t>Vedtak nr. 701, 15. juni 2020</w:t>
      </w:r>
    </w:p>
    <w:p w14:paraId="5733C0B3" w14:textId="77777777" w:rsidR="00972395" w:rsidRPr="00E73D4B" w:rsidRDefault="00F120C7" w:rsidP="00E73D4B">
      <w:pPr>
        <w:pStyle w:val="blokksit"/>
        <w:rPr>
          <w:rStyle w:val="kursiv"/>
        </w:rPr>
      </w:pPr>
      <w:r w:rsidRPr="00E73D4B">
        <w:rPr>
          <w:rStyle w:val="kursiv"/>
        </w:rPr>
        <w:t>Stortinget ber regjeringen komme tilbake til Stortinget med forslag om å utvide retten til realkompetansevurdering til også å gjelde voksne uten rett til videregående opplæring.</w:t>
      </w:r>
    </w:p>
    <w:p w14:paraId="777483CB"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14 (2019–2020) </w:t>
      </w:r>
      <w:r w:rsidRPr="00E73D4B">
        <w:rPr>
          <w:rStyle w:val="kursiv"/>
        </w:rPr>
        <w:t>Kompetansereformen – Lære hele livet</w:t>
      </w:r>
      <w:r w:rsidRPr="00E73D4B">
        <w:t xml:space="preserve">, jf. </w:t>
      </w:r>
      <w:proofErr w:type="spellStart"/>
      <w:r w:rsidRPr="00E73D4B">
        <w:t>Innst</w:t>
      </w:r>
      <w:proofErr w:type="spellEnd"/>
      <w:r w:rsidRPr="00E73D4B">
        <w:t>. 370 S (2019–2020).</w:t>
      </w:r>
    </w:p>
    <w:p w14:paraId="4BF0EABF" w14:textId="77777777" w:rsidR="00972395" w:rsidRPr="00E73D4B" w:rsidRDefault="00F120C7" w:rsidP="00E73D4B">
      <w:r w:rsidRPr="00E73D4B">
        <w:t xml:space="preserve">Forslag til ny opplæringslov blei sendt på </w:t>
      </w:r>
      <w:proofErr w:type="spellStart"/>
      <w:r w:rsidRPr="00E73D4B">
        <w:t>høyring</w:t>
      </w:r>
      <w:proofErr w:type="spellEnd"/>
      <w:r w:rsidRPr="00E73D4B">
        <w:t xml:space="preserve"> 26. august 2021. I </w:t>
      </w:r>
      <w:proofErr w:type="spellStart"/>
      <w:r w:rsidRPr="00E73D4B">
        <w:t>høyringa</w:t>
      </w:r>
      <w:proofErr w:type="spellEnd"/>
      <w:r w:rsidRPr="00E73D4B">
        <w:t xml:space="preserve"> foreslo departementet at retten til </w:t>
      </w:r>
      <w:proofErr w:type="spellStart"/>
      <w:r w:rsidRPr="00E73D4B">
        <w:t>vidaregåande</w:t>
      </w:r>
      <w:proofErr w:type="spellEnd"/>
      <w:r w:rsidRPr="00E73D4B">
        <w:t xml:space="preserve"> opplæring blir utvida, og at retten til realkompetansevurdering blir utvida </w:t>
      </w:r>
      <w:proofErr w:type="spellStart"/>
      <w:r w:rsidRPr="00E73D4B">
        <w:t>tilsvarande</w:t>
      </w:r>
      <w:proofErr w:type="spellEnd"/>
      <w:r w:rsidRPr="00E73D4B">
        <w:t xml:space="preserve">. I </w:t>
      </w:r>
      <w:proofErr w:type="spellStart"/>
      <w:r w:rsidRPr="00E73D4B">
        <w:t>høyringa</w:t>
      </w:r>
      <w:proofErr w:type="spellEnd"/>
      <w:r w:rsidRPr="00E73D4B">
        <w:t xml:space="preserve"> bad departementet om </w:t>
      </w:r>
      <w:proofErr w:type="spellStart"/>
      <w:r w:rsidRPr="00E73D4B">
        <w:t>innspel</w:t>
      </w:r>
      <w:proofErr w:type="spellEnd"/>
      <w:r w:rsidRPr="00E73D4B">
        <w:t xml:space="preserve"> til behov for </w:t>
      </w:r>
      <w:proofErr w:type="spellStart"/>
      <w:r w:rsidRPr="00E73D4B">
        <w:t>ytterlegare</w:t>
      </w:r>
      <w:proofErr w:type="spellEnd"/>
      <w:r w:rsidRPr="00E73D4B">
        <w:t xml:space="preserve"> utviding av retten til realkompetansevurdering. Departementet </w:t>
      </w:r>
      <w:proofErr w:type="spellStart"/>
      <w:r w:rsidRPr="00E73D4B">
        <w:t>tek</w:t>
      </w:r>
      <w:proofErr w:type="spellEnd"/>
      <w:r w:rsidRPr="00E73D4B">
        <w:t xml:space="preserve"> sikte på å </w:t>
      </w:r>
      <w:proofErr w:type="spellStart"/>
      <w:r w:rsidRPr="00E73D4B">
        <w:t>fremje</w:t>
      </w:r>
      <w:proofErr w:type="spellEnd"/>
      <w:r w:rsidRPr="00E73D4B">
        <w:t xml:space="preserve"> </w:t>
      </w:r>
      <w:proofErr w:type="spellStart"/>
      <w:r w:rsidRPr="00E73D4B">
        <w:t>ein</w:t>
      </w:r>
      <w:proofErr w:type="spellEnd"/>
      <w:r w:rsidRPr="00E73D4B">
        <w:t xml:space="preserve"> lovproposisjon om ny opplæringslov for Stortinget våren 2023.</w:t>
      </w:r>
    </w:p>
    <w:p w14:paraId="746A7FB8"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34B2A9FC" w14:textId="77777777" w:rsidR="00972395" w:rsidRPr="00E73D4B" w:rsidRDefault="00F120C7" w:rsidP="00E73D4B">
      <w:pPr>
        <w:pStyle w:val="Undertittel"/>
      </w:pPr>
      <w:r w:rsidRPr="00E73D4B">
        <w:t xml:space="preserve">Oppmodingsvedtak under forskings- og </w:t>
      </w:r>
      <w:proofErr w:type="spellStart"/>
      <w:r w:rsidRPr="00E73D4B">
        <w:t>høgare</w:t>
      </w:r>
      <w:proofErr w:type="spellEnd"/>
      <w:r w:rsidRPr="00E73D4B">
        <w:t xml:space="preserve"> utdanningsministeren</w:t>
      </w:r>
    </w:p>
    <w:p w14:paraId="452FF101" w14:textId="77777777" w:rsidR="00972395" w:rsidRPr="00E73D4B" w:rsidRDefault="00F120C7" w:rsidP="00E73D4B">
      <w:pPr>
        <w:pStyle w:val="avsnitt-tittel"/>
      </w:pPr>
      <w:r w:rsidRPr="00E73D4B">
        <w:t>Kompetansefunn Digital</w:t>
      </w:r>
    </w:p>
    <w:p w14:paraId="5B3D7FA4" w14:textId="77777777" w:rsidR="00972395" w:rsidRPr="00E73D4B" w:rsidRDefault="00F120C7" w:rsidP="00E73D4B">
      <w:pPr>
        <w:pStyle w:val="avsnitt-undertittel"/>
      </w:pPr>
      <w:r w:rsidRPr="00E73D4B">
        <w:t>Vedtak nr. 697, 15. juni 2020</w:t>
      </w:r>
    </w:p>
    <w:p w14:paraId="61568CF8" w14:textId="77777777" w:rsidR="00972395" w:rsidRPr="00E73D4B" w:rsidRDefault="00F120C7" w:rsidP="00E73D4B">
      <w:pPr>
        <w:pStyle w:val="blokksit"/>
        <w:rPr>
          <w:rStyle w:val="kursiv"/>
        </w:rPr>
      </w:pPr>
      <w:r w:rsidRPr="00E73D4B">
        <w:rPr>
          <w:rStyle w:val="kursiv"/>
        </w:rPr>
        <w:t xml:space="preserve">Stortinget ber regjeringen utrede en ny </w:t>
      </w:r>
      <w:proofErr w:type="spellStart"/>
      <w:r w:rsidRPr="00E73D4B">
        <w:rPr>
          <w:rStyle w:val="kursiv"/>
        </w:rPr>
        <w:t>insentivordning</w:t>
      </w:r>
      <w:proofErr w:type="spellEnd"/>
      <w:r w:rsidRPr="00E73D4B">
        <w:rPr>
          <w:rStyle w:val="kursiv"/>
        </w:rPr>
        <w:t>, Kompetansefunn Digital for at små og mellomstore bedrifter skal investere i økt digital-/teknologikompetanse for sine ansatte.</w:t>
      </w:r>
    </w:p>
    <w:p w14:paraId="506AF07E"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14 (2019–2020) </w:t>
      </w:r>
      <w:r w:rsidRPr="00E73D4B">
        <w:rPr>
          <w:rStyle w:val="kursiv"/>
        </w:rPr>
        <w:t>Kompetansereformen – Lære hele livet</w:t>
      </w:r>
      <w:r w:rsidRPr="00E73D4B">
        <w:t xml:space="preserve">, jf. </w:t>
      </w:r>
      <w:proofErr w:type="spellStart"/>
      <w:r w:rsidRPr="00E73D4B">
        <w:t>Innst</w:t>
      </w:r>
      <w:proofErr w:type="spellEnd"/>
      <w:r w:rsidRPr="00E73D4B">
        <w:t>. 370 S (2019–2020).</w:t>
      </w:r>
    </w:p>
    <w:p w14:paraId="3198E8EB" w14:textId="77777777" w:rsidR="00972395" w:rsidRPr="00E73D4B" w:rsidRDefault="00F120C7" w:rsidP="00E73D4B">
      <w:r w:rsidRPr="00E73D4B">
        <w:t xml:space="preserve">Kunnskapsdepartementet tildelte Oslo </w:t>
      </w:r>
      <w:proofErr w:type="spellStart"/>
      <w:r w:rsidRPr="00E73D4B">
        <w:t>Economics</w:t>
      </w:r>
      <w:proofErr w:type="spellEnd"/>
      <w:r w:rsidRPr="00E73D4B">
        <w:t xml:space="preserve"> </w:t>
      </w:r>
      <w:proofErr w:type="spellStart"/>
      <w:r w:rsidRPr="00E73D4B">
        <w:t>eit</w:t>
      </w:r>
      <w:proofErr w:type="spellEnd"/>
      <w:r w:rsidRPr="00E73D4B">
        <w:t xml:space="preserve"> oppdrag for å få oversikt over </w:t>
      </w:r>
      <w:proofErr w:type="spellStart"/>
      <w:r w:rsidRPr="00E73D4B">
        <w:t>insentivordningar</w:t>
      </w:r>
      <w:proofErr w:type="spellEnd"/>
      <w:r w:rsidRPr="00E73D4B">
        <w:t xml:space="preserve"> som </w:t>
      </w:r>
      <w:proofErr w:type="spellStart"/>
      <w:r w:rsidRPr="00E73D4B">
        <w:t>liknar</w:t>
      </w:r>
      <w:proofErr w:type="spellEnd"/>
      <w:r w:rsidRPr="00E73D4B">
        <w:t xml:space="preserve"> på Kompetansefunn Digital i andre land, og korleis </w:t>
      </w:r>
      <w:proofErr w:type="spellStart"/>
      <w:r w:rsidRPr="00E73D4B">
        <w:t>desse</w:t>
      </w:r>
      <w:proofErr w:type="spellEnd"/>
      <w:r w:rsidRPr="00E73D4B">
        <w:t xml:space="preserve"> </w:t>
      </w:r>
      <w:proofErr w:type="spellStart"/>
      <w:r w:rsidRPr="00E73D4B">
        <w:t>ordningane</w:t>
      </w:r>
      <w:proofErr w:type="spellEnd"/>
      <w:r w:rsidRPr="00E73D4B">
        <w:t xml:space="preserve"> </w:t>
      </w:r>
      <w:proofErr w:type="spellStart"/>
      <w:r w:rsidRPr="00E73D4B">
        <w:t>verkar</w:t>
      </w:r>
      <w:proofErr w:type="spellEnd"/>
      <w:r w:rsidRPr="00E73D4B">
        <w:t xml:space="preserve">. Oslo </w:t>
      </w:r>
      <w:proofErr w:type="spellStart"/>
      <w:r w:rsidRPr="00E73D4B">
        <w:t>Economics</w:t>
      </w:r>
      <w:proofErr w:type="spellEnd"/>
      <w:r w:rsidRPr="00E73D4B">
        <w:t xml:space="preserve"> leverte i 2021 rapporten </w:t>
      </w:r>
      <w:r w:rsidRPr="00E73D4B">
        <w:rPr>
          <w:rStyle w:val="kursiv"/>
        </w:rPr>
        <w:t xml:space="preserve">Kunnskapsoppsummering som bakgrunn for vurdering av ordninga «Kompetansefunn Digital» </w:t>
      </w:r>
      <w:r w:rsidRPr="00E73D4B">
        <w:t xml:space="preserve">(OE-rapport 2021-58). Rapporten summerer opp forsking om </w:t>
      </w:r>
      <w:proofErr w:type="spellStart"/>
      <w:r w:rsidRPr="00E73D4B">
        <w:t>effektar</w:t>
      </w:r>
      <w:proofErr w:type="spellEnd"/>
      <w:r w:rsidRPr="00E73D4B">
        <w:t xml:space="preserve"> av 24 </w:t>
      </w:r>
      <w:proofErr w:type="spellStart"/>
      <w:r w:rsidRPr="00E73D4B">
        <w:t>insentivordningar</w:t>
      </w:r>
      <w:proofErr w:type="spellEnd"/>
      <w:r w:rsidRPr="00E73D4B">
        <w:t xml:space="preserve"> for livslang læring i 17 </w:t>
      </w:r>
      <w:proofErr w:type="spellStart"/>
      <w:r w:rsidRPr="00E73D4B">
        <w:t>vestlege</w:t>
      </w:r>
      <w:proofErr w:type="spellEnd"/>
      <w:r w:rsidRPr="00E73D4B">
        <w:t xml:space="preserve"> land, basert på om lag 60 </w:t>
      </w:r>
      <w:proofErr w:type="spellStart"/>
      <w:r w:rsidRPr="00E73D4B">
        <w:t>artiklar</w:t>
      </w:r>
      <w:proofErr w:type="spellEnd"/>
      <w:r w:rsidRPr="00E73D4B">
        <w:t xml:space="preserve"> og </w:t>
      </w:r>
      <w:proofErr w:type="spellStart"/>
      <w:r w:rsidRPr="00E73D4B">
        <w:t>rapportar</w:t>
      </w:r>
      <w:proofErr w:type="spellEnd"/>
      <w:r w:rsidRPr="00E73D4B">
        <w:t xml:space="preserve">. Rundt halvparten av </w:t>
      </w:r>
      <w:proofErr w:type="spellStart"/>
      <w:r w:rsidRPr="00E73D4B">
        <w:t>ordningane</w:t>
      </w:r>
      <w:proofErr w:type="spellEnd"/>
      <w:r w:rsidRPr="00E73D4B">
        <w:t xml:space="preserve"> er effektevaluert.</w:t>
      </w:r>
    </w:p>
    <w:p w14:paraId="522C3C5D" w14:textId="77777777" w:rsidR="00972395" w:rsidRPr="00E73D4B" w:rsidRDefault="00F120C7" w:rsidP="00E73D4B">
      <w:r w:rsidRPr="00E73D4B">
        <w:t xml:space="preserve">Forskinga tyder på at det er </w:t>
      </w:r>
      <w:proofErr w:type="spellStart"/>
      <w:r w:rsidRPr="00E73D4B">
        <w:t>betydelege</w:t>
      </w:r>
      <w:proofErr w:type="spellEnd"/>
      <w:r w:rsidRPr="00E73D4B">
        <w:t xml:space="preserve"> </w:t>
      </w:r>
      <w:proofErr w:type="spellStart"/>
      <w:r w:rsidRPr="00E73D4B">
        <w:t>variasjonar</w:t>
      </w:r>
      <w:proofErr w:type="spellEnd"/>
      <w:r w:rsidRPr="00E73D4B">
        <w:t xml:space="preserve"> i kor vellykka </w:t>
      </w:r>
      <w:proofErr w:type="spellStart"/>
      <w:r w:rsidRPr="00E73D4B">
        <w:t>insentivordningane</w:t>
      </w:r>
      <w:proofErr w:type="spellEnd"/>
      <w:r w:rsidRPr="00E73D4B">
        <w:t xml:space="preserve"> er. </w:t>
      </w:r>
      <w:proofErr w:type="spellStart"/>
      <w:r w:rsidRPr="00E73D4B">
        <w:t>Sjølv</w:t>
      </w:r>
      <w:proofErr w:type="spellEnd"/>
      <w:r w:rsidRPr="00E73D4B">
        <w:t xml:space="preserve"> om mange </w:t>
      </w:r>
      <w:proofErr w:type="spellStart"/>
      <w:r w:rsidRPr="00E73D4B">
        <w:t>ordningar</w:t>
      </w:r>
      <w:proofErr w:type="spellEnd"/>
      <w:r w:rsidRPr="00E73D4B">
        <w:t xml:space="preserve"> fører til </w:t>
      </w:r>
      <w:proofErr w:type="spellStart"/>
      <w:r w:rsidRPr="00E73D4B">
        <w:t>auka</w:t>
      </w:r>
      <w:proofErr w:type="spellEnd"/>
      <w:r w:rsidRPr="00E73D4B">
        <w:t xml:space="preserve"> deltaking i opplæring, </w:t>
      </w:r>
      <w:proofErr w:type="spellStart"/>
      <w:r w:rsidRPr="00E73D4B">
        <w:t>peikar</w:t>
      </w:r>
      <w:proofErr w:type="spellEnd"/>
      <w:r w:rsidRPr="00E73D4B">
        <w:t xml:space="preserve"> ei overvekt av </w:t>
      </w:r>
      <w:proofErr w:type="spellStart"/>
      <w:r w:rsidRPr="00E73D4B">
        <w:t>studiane</w:t>
      </w:r>
      <w:proofErr w:type="spellEnd"/>
      <w:r w:rsidRPr="00E73D4B">
        <w:t xml:space="preserve"> i retning av at </w:t>
      </w:r>
      <w:proofErr w:type="spellStart"/>
      <w:r w:rsidRPr="00E73D4B">
        <w:t>ordningane</w:t>
      </w:r>
      <w:proofErr w:type="spellEnd"/>
      <w:r w:rsidRPr="00E73D4B">
        <w:t xml:space="preserve"> har </w:t>
      </w:r>
      <w:proofErr w:type="spellStart"/>
      <w:r w:rsidRPr="00E73D4B">
        <w:t>låg</w:t>
      </w:r>
      <w:proofErr w:type="spellEnd"/>
      <w:r w:rsidRPr="00E73D4B">
        <w:t xml:space="preserve"> eller ingen effekt på </w:t>
      </w:r>
      <w:proofErr w:type="spellStart"/>
      <w:r w:rsidRPr="00E73D4B">
        <w:t>arbeidsmarknadsutfall</w:t>
      </w:r>
      <w:proofErr w:type="spellEnd"/>
      <w:r w:rsidRPr="00E73D4B">
        <w:t xml:space="preserve">. </w:t>
      </w:r>
      <w:proofErr w:type="spellStart"/>
      <w:r w:rsidRPr="00E73D4B">
        <w:t>Nokre</w:t>
      </w:r>
      <w:proofErr w:type="spellEnd"/>
      <w:r w:rsidRPr="00E73D4B">
        <w:t xml:space="preserve"> </w:t>
      </w:r>
      <w:proofErr w:type="spellStart"/>
      <w:r w:rsidRPr="00E73D4B">
        <w:t>ordningar</w:t>
      </w:r>
      <w:proofErr w:type="spellEnd"/>
      <w:r w:rsidRPr="00E73D4B">
        <w:t xml:space="preserve"> har positiv effekt på læringsmotivasjon. I den grad </w:t>
      </w:r>
      <w:proofErr w:type="spellStart"/>
      <w:r w:rsidRPr="00E73D4B">
        <w:t>ein</w:t>
      </w:r>
      <w:proofErr w:type="spellEnd"/>
      <w:r w:rsidRPr="00E73D4B">
        <w:t xml:space="preserve"> finn </w:t>
      </w:r>
      <w:proofErr w:type="spellStart"/>
      <w:r w:rsidRPr="00E73D4B">
        <w:t>effektar</w:t>
      </w:r>
      <w:proofErr w:type="spellEnd"/>
      <w:r w:rsidRPr="00E73D4B">
        <w:t xml:space="preserve"> på </w:t>
      </w:r>
      <w:proofErr w:type="spellStart"/>
      <w:r w:rsidRPr="00E73D4B">
        <w:t>arbeidsmarknadsutfall</w:t>
      </w:r>
      <w:proofErr w:type="spellEnd"/>
      <w:r w:rsidRPr="00E73D4B">
        <w:t xml:space="preserve">, varierer </w:t>
      </w:r>
      <w:proofErr w:type="spellStart"/>
      <w:r w:rsidRPr="00E73D4B">
        <w:t>dei</w:t>
      </w:r>
      <w:proofErr w:type="spellEnd"/>
      <w:r w:rsidRPr="00E73D4B">
        <w:t xml:space="preserve"> for ulike grupper av </w:t>
      </w:r>
      <w:proofErr w:type="gramStart"/>
      <w:r w:rsidRPr="00E73D4B">
        <w:t>tilsette</w:t>
      </w:r>
      <w:proofErr w:type="gramEnd"/>
      <w:r w:rsidRPr="00E73D4B">
        <w:t xml:space="preserve"> og avheng i stor grad av utforminga av </w:t>
      </w:r>
      <w:proofErr w:type="spellStart"/>
      <w:r w:rsidRPr="00E73D4B">
        <w:t>insentivordningane</w:t>
      </w:r>
      <w:proofErr w:type="spellEnd"/>
      <w:r w:rsidRPr="00E73D4B">
        <w:t xml:space="preserve"> og sjølve opplæringa. Rapporten summerer opp erfaring med tre skattebaserte </w:t>
      </w:r>
      <w:proofErr w:type="spellStart"/>
      <w:r w:rsidRPr="00E73D4B">
        <w:t>ordningar</w:t>
      </w:r>
      <w:proofErr w:type="spellEnd"/>
      <w:r w:rsidRPr="00E73D4B">
        <w:t xml:space="preserve"> og gir </w:t>
      </w:r>
      <w:proofErr w:type="spellStart"/>
      <w:r w:rsidRPr="00E73D4B">
        <w:t>ikkje</w:t>
      </w:r>
      <w:proofErr w:type="spellEnd"/>
      <w:r w:rsidRPr="00E73D4B">
        <w:t xml:space="preserve"> grunnlag for å hevde at </w:t>
      </w:r>
      <w:proofErr w:type="spellStart"/>
      <w:r w:rsidRPr="00E73D4B">
        <w:t>skatteordningar</w:t>
      </w:r>
      <w:proofErr w:type="spellEnd"/>
      <w:r w:rsidRPr="00E73D4B">
        <w:t xml:space="preserve"> fungerer betre enn andre </w:t>
      </w:r>
      <w:proofErr w:type="spellStart"/>
      <w:r w:rsidRPr="00E73D4B">
        <w:t>ordningar</w:t>
      </w:r>
      <w:proofErr w:type="spellEnd"/>
      <w:r w:rsidRPr="00E73D4B">
        <w:t>.</w:t>
      </w:r>
    </w:p>
    <w:p w14:paraId="06149015" w14:textId="77777777" w:rsidR="00972395" w:rsidRPr="00E73D4B" w:rsidRDefault="00F120C7" w:rsidP="00E73D4B">
      <w:r w:rsidRPr="00E73D4B">
        <w:t xml:space="preserve">Regjeringa meiner det er </w:t>
      </w:r>
      <w:proofErr w:type="spellStart"/>
      <w:r w:rsidRPr="00E73D4B">
        <w:t>tungtvegande</w:t>
      </w:r>
      <w:proofErr w:type="spellEnd"/>
      <w:r w:rsidRPr="00E73D4B">
        <w:t xml:space="preserve"> tilleggsargument mot tiltak på skattesida: Dei kompliserer skattesystemet og bryt med </w:t>
      </w:r>
      <w:proofErr w:type="spellStart"/>
      <w:r w:rsidRPr="00E73D4B">
        <w:t>hovudprinsippa</w:t>
      </w:r>
      <w:proofErr w:type="spellEnd"/>
      <w:r w:rsidRPr="00E73D4B">
        <w:t xml:space="preserve"> i skattepolitikken om breie grunnlag og låge </w:t>
      </w:r>
      <w:proofErr w:type="spellStart"/>
      <w:r w:rsidRPr="00E73D4B">
        <w:t>satsar</w:t>
      </w:r>
      <w:proofErr w:type="spellEnd"/>
      <w:r w:rsidRPr="00E73D4B">
        <w:t xml:space="preserve">. Ei ordning som er tematisk avgrensa til digital kompetanse, vil i tillegg ha </w:t>
      </w:r>
      <w:proofErr w:type="spellStart"/>
      <w:r w:rsidRPr="00E73D4B">
        <w:t>betydelege</w:t>
      </w:r>
      <w:proofErr w:type="spellEnd"/>
      <w:r w:rsidRPr="00E73D4B">
        <w:t xml:space="preserve"> administrative kostnader knytte til å ta stilling til kva for </w:t>
      </w:r>
      <w:proofErr w:type="spellStart"/>
      <w:r w:rsidRPr="00E73D4B">
        <w:t>opplæringstilbod</w:t>
      </w:r>
      <w:proofErr w:type="spellEnd"/>
      <w:r w:rsidRPr="00E73D4B">
        <w:t xml:space="preserve"> som blir dekte, og at vilkåra er oppfylte.</w:t>
      </w:r>
    </w:p>
    <w:p w14:paraId="5DE8365E" w14:textId="77777777" w:rsidR="00972395" w:rsidRPr="00E73D4B" w:rsidRDefault="00F120C7" w:rsidP="00E73D4B">
      <w:r w:rsidRPr="00E73D4B">
        <w:t xml:space="preserve">Konklusjonen til regjeringa er at det </w:t>
      </w:r>
      <w:proofErr w:type="spellStart"/>
      <w:r w:rsidRPr="00E73D4B">
        <w:t>ikkje</w:t>
      </w:r>
      <w:proofErr w:type="spellEnd"/>
      <w:r w:rsidRPr="00E73D4B">
        <w:t xml:space="preserve"> er gode nok argument for å innføre ei skattebasert </w:t>
      </w:r>
      <w:proofErr w:type="spellStart"/>
      <w:r w:rsidRPr="00E73D4B">
        <w:t>insentivordning</w:t>
      </w:r>
      <w:proofErr w:type="spellEnd"/>
      <w:r w:rsidRPr="00E73D4B">
        <w:t xml:space="preserve"> med formål om å stimulere </w:t>
      </w:r>
      <w:proofErr w:type="spellStart"/>
      <w:r w:rsidRPr="00E73D4B">
        <w:t>verksemder</w:t>
      </w:r>
      <w:proofErr w:type="spellEnd"/>
      <w:r w:rsidRPr="00E73D4B">
        <w:t xml:space="preserve"> til digital kompetanseutvikling for </w:t>
      </w:r>
      <w:proofErr w:type="gramStart"/>
      <w:r w:rsidRPr="00E73D4B">
        <w:t>tilsette</w:t>
      </w:r>
      <w:proofErr w:type="gramEnd"/>
      <w:r w:rsidRPr="00E73D4B">
        <w:t xml:space="preserve">. Departementet meiner at vedtak nr. 697, 15. juni 2020 er </w:t>
      </w:r>
      <w:proofErr w:type="spellStart"/>
      <w:r w:rsidRPr="00E73D4B">
        <w:t>følgt</w:t>
      </w:r>
      <w:proofErr w:type="spellEnd"/>
      <w:r w:rsidRPr="00E73D4B">
        <w:t xml:space="preserve"> opp.</w:t>
      </w:r>
    </w:p>
    <w:p w14:paraId="307A8B97" w14:textId="77777777" w:rsidR="00972395" w:rsidRPr="00E73D4B" w:rsidRDefault="00F120C7" w:rsidP="00E73D4B">
      <w:pPr>
        <w:pStyle w:val="avsnitt-tittel"/>
      </w:pPr>
      <w:r w:rsidRPr="00E73D4B">
        <w:t>Rett til kompetanseheving i arbeidslivet</w:t>
      </w:r>
    </w:p>
    <w:p w14:paraId="6849F8B8" w14:textId="77777777" w:rsidR="00972395" w:rsidRPr="00E73D4B" w:rsidRDefault="00F120C7" w:rsidP="00E73D4B">
      <w:pPr>
        <w:pStyle w:val="avsnitt-undertittel"/>
      </w:pPr>
      <w:r w:rsidRPr="00E73D4B">
        <w:t>Vedtak nr. 698, 15. juni 2020</w:t>
      </w:r>
    </w:p>
    <w:p w14:paraId="78D79504" w14:textId="77777777" w:rsidR="00972395" w:rsidRPr="00E73D4B" w:rsidRDefault="00F120C7" w:rsidP="00E73D4B">
      <w:pPr>
        <w:pStyle w:val="blokksit"/>
        <w:rPr>
          <w:rStyle w:val="kursiv"/>
        </w:rPr>
      </w:pPr>
      <w:r w:rsidRPr="00E73D4B">
        <w:rPr>
          <w:rStyle w:val="kursiv"/>
        </w:rPr>
        <w:t>Stortinget ber regjeringen nedsette et partssammensatt utvalg for å utrede hvordan arbeidstakere kan opparbeide seg en rett til kompetanseheving gjennom arbeidslivet, og sikre at tillitsvalgte tas med i drøftinger om hvilken kompetanseutvikling virksomheten trenger.</w:t>
      </w:r>
    </w:p>
    <w:p w14:paraId="017CA30F"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14 (2019–2020) </w:t>
      </w:r>
      <w:r w:rsidRPr="00E73D4B">
        <w:rPr>
          <w:rStyle w:val="kursiv"/>
        </w:rPr>
        <w:t>Kompetansereformen – Lære hele livet</w:t>
      </w:r>
      <w:r w:rsidRPr="00E73D4B">
        <w:t xml:space="preserve">, jf. </w:t>
      </w:r>
      <w:proofErr w:type="spellStart"/>
      <w:r w:rsidRPr="00E73D4B">
        <w:t>Innst</w:t>
      </w:r>
      <w:proofErr w:type="spellEnd"/>
      <w:r w:rsidRPr="00E73D4B">
        <w:t>. 370 S (2019–2020).</w:t>
      </w:r>
    </w:p>
    <w:p w14:paraId="25881971" w14:textId="77777777" w:rsidR="00972395" w:rsidRPr="00E73D4B" w:rsidRDefault="00F120C7" w:rsidP="00E73D4B">
      <w:r w:rsidRPr="00E73D4B">
        <w:t xml:space="preserve">Oppmodingsvedtaket er overført </w:t>
      </w:r>
      <w:proofErr w:type="spellStart"/>
      <w:r w:rsidRPr="00E73D4B">
        <w:t>frå</w:t>
      </w:r>
      <w:proofErr w:type="spellEnd"/>
      <w:r w:rsidRPr="00E73D4B">
        <w:t xml:space="preserve"> Arbeids- og inkluderingsdepartementet, og Kunnskapsdepartementet vil </w:t>
      </w:r>
      <w:proofErr w:type="spellStart"/>
      <w:r w:rsidRPr="00E73D4B">
        <w:t>kome</w:t>
      </w:r>
      <w:proofErr w:type="spellEnd"/>
      <w:r w:rsidRPr="00E73D4B">
        <w:t xml:space="preserve"> tilbake til Stortinget om saka.</w:t>
      </w:r>
    </w:p>
    <w:p w14:paraId="7144D738" w14:textId="77777777" w:rsidR="00972395" w:rsidRPr="00E73D4B" w:rsidRDefault="00F120C7" w:rsidP="00E73D4B">
      <w:pPr>
        <w:pStyle w:val="avsnitt-tittel"/>
      </w:pPr>
      <w:r w:rsidRPr="00E73D4B">
        <w:t xml:space="preserve">Finansieringssystem for universitet og </w:t>
      </w:r>
      <w:proofErr w:type="spellStart"/>
      <w:r w:rsidRPr="00E73D4B">
        <w:t>høgskular</w:t>
      </w:r>
      <w:proofErr w:type="spellEnd"/>
    </w:p>
    <w:p w14:paraId="79017C82" w14:textId="77777777" w:rsidR="00972395" w:rsidRPr="00E73D4B" w:rsidRDefault="00F120C7" w:rsidP="00E73D4B">
      <w:pPr>
        <w:pStyle w:val="avsnitt-undertittel"/>
      </w:pPr>
      <w:r w:rsidRPr="00E73D4B">
        <w:t>Vedtak nr. 699, 15. juni 2020</w:t>
      </w:r>
    </w:p>
    <w:p w14:paraId="491284E2" w14:textId="77777777" w:rsidR="00972395" w:rsidRPr="00E73D4B" w:rsidRDefault="00F120C7" w:rsidP="00E73D4B">
      <w:pPr>
        <w:pStyle w:val="blokksit"/>
        <w:rPr>
          <w:rStyle w:val="kursiv"/>
        </w:rPr>
      </w:pPr>
      <w:r w:rsidRPr="00E73D4B">
        <w:rPr>
          <w:rStyle w:val="kursiv"/>
        </w:rPr>
        <w:t>Stortinget ber regjeringen senest i forbindelse med stortingsmeldingen om styringspolitikken for statlige universiteter og høyskoler om å legge frem forslag til nytt finansieringssystem for universiteter og høyskoler. Forslaget må utarbeides i tett samarbeid med utdanningssektoren og arbeidslivet. Incentiver/faktorer i forslaget til nytt finansieringssystem skal være</w:t>
      </w:r>
    </w:p>
    <w:p w14:paraId="66809D1A" w14:textId="77777777" w:rsidR="00972395" w:rsidRPr="00E73D4B" w:rsidRDefault="00F120C7" w:rsidP="00E73D4B">
      <w:pPr>
        <w:pStyle w:val="Liste"/>
        <w:rPr>
          <w:rStyle w:val="kursiv"/>
        </w:rPr>
      </w:pPr>
      <w:r w:rsidRPr="00E73D4B">
        <w:rPr>
          <w:rStyle w:val="kursiv"/>
        </w:rPr>
        <w:t>Relevant arbeid etter endt studium og arbeidslivsrelevans i studiet.</w:t>
      </w:r>
    </w:p>
    <w:p w14:paraId="6F17E7D4" w14:textId="77777777" w:rsidR="00972395" w:rsidRPr="00E73D4B" w:rsidRDefault="00F120C7" w:rsidP="00E73D4B">
      <w:pPr>
        <w:pStyle w:val="Liste"/>
        <w:rPr>
          <w:rStyle w:val="kursiv"/>
        </w:rPr>
      </w:pPr>
      <w:r w:rsidRPr="00E73D4B">
        <w:rPr>
          <w:rStyle w:val="kursiv"/>
        </w:rPr>
        <w:t>Ulike opplegg for etter- og videreutdanning.</w:t>
      </w:r>
    </w:p>
    <w:p w14:paraId="032593C0" w14:textId="77777777" w:rsidR="00972395" w:rsidRPr="00E73D4B" w:rsidRDefault="00F120C7" w:rsidP="00E73D4B">
      <w:pPr>
        <w:pStyle w:val="Liste"/>
        <w:rPr>
          <w:rStyle w:val="kursiv"/>
        </w:rPr>
      </w:pPr>
      <w:r w:rsidRPr="00E73D4B">
        <w:rPr>
          <w:rStyle w:val="kursiv"/>
        </w:rPr>
        <w:t>Opprettelse av mindre og fleksible emner og moduler som arbeidslivet etterspør, og som kan tas i kombinasjon med jobb.</w:t>
      </w:r>
    </w:p>
    <w:p w14:paraId="53A1D73C"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14 (2019–2020) </w:t>
      </w:r>
      <w:r w:rsidRPr="00E73D4B">
        <w:rPr>
          <w:rStyle w:val="kursiv"/>
        </w:rPr>
        <w:t>Kompetansereformen – Lære hele livet</w:t>
      </w:r>
      <w:r w:rsidRPr="00E73D4B">
        <w:t xml:space="preserve">, jf. </w:t>
      </w:r>
      <w:proofErr w:type="spellStart"/>
      <w:r w:rsidRPr="00E73D4B">
        <w:t>Innst</w:t>
      </w:r>
      <w:proofErr w:type="spellEnd"/>
      <w:r w:rsidRPr="00E73D4B">
        <w:t>. 370 S (2019–2020).</w:t>
      </w:r>
    </w:p>
    <w:p w14:paraId="02CAF245" w14:textId="77777777" w:rsidR="00972395" w:rsidRPr="00E73D4B" w:rsidRDefault="00F120C7" w:rsidP="00E73D4B">
      <w:r w:rsidRPr="00E73D4B">
        <w:t xml:space="preserve">Kunnskapsdepartementet tok 17. mars 2022 imot rapporten </w:t>
      </w:r>
      <w:proofErr w:type="spellStart"/>
      <w:r w:rsidRPr="00E73D4B">
        <w:t>frå</w:t>
      </w:r>
      <w:proofErr w:type="spellEnd"/>
      <w:r w:rsidRPr="00E73D4B">
        <w:t xml:space="preserve"> </w:t>
      </w:r>
      <w:proofErr w:type="spellStart"/>
      <w:r w:rsidRPr="00E73D4B">
        <w:t>utvalet</w:t>
      </w:r>
      <w:proofErr w:type="spellEnd"/>
      <w:r w:rsidRPr="00E73D4B">
        <w:t xml:space="preserve"> leia av Siri Hatlen som var </w:t>
      </w:r>
      <w:proofErr w:type="spellStart"/>
      <w:r w:rsidRPr="00E73D4B">
        <w:t>nemnt</w:t>
      </w:r>
      <w:proofErr w:type="spellEnd"/>
      <w:r w:rsidRPr="00E73D4B">
        <w:t xml:space="preserve"> opp for å gå gjennom finansieringa av universiteta og </w:t>
      </w:r>
      <w:proofErr w:type="spellStart"/>
      <w:r w:rsidRPr="00E73D4B">
        <w:t>høgskulane</w:t>
      </w:r>
      <w:proofErr w:type="spellEnd"/>
      <w:r w:rsidRPr="00E73D4B">
        <w:t xml:space="preserve">. Rapporten var på </w:t>
      </w:r>
      <w:proofErr w:type="spellStart"/>
      <w:r w:rsidRPr="00E73D4B">
        <w:t>høyring</w:t>
      </w:r>
      <w:proofErr w:type="spellEnd"/>
      <w:r w:rsidRPr="00E73D4B">
        <w:t xml:space="preserve"> fram til 10. juni 2022. </w:t>
      </w:r>
      <w:proofErr w:type="spellStart"/>
      <w:r w:rsidRPr="00E73D4B">
        <w:t>Utvalet</w:t>
      </w:r>
      <w:proofErr w:type="spellEnd"/>
      <w:r w:rsidRPr="00E73D4B">
        <w:t xml:space="preserve"> var </w:t>
      </w:r>
      <w:proofErr w:type="spellStart"/>
      <w:r w:rsidRPr="00E73D4B">
        <w:t>særleg</w:t>
      </w:r>
      <w:proofErr w:type="spellEnd"/>
      <w:r w:rsidRPr="00E73D4B">
        <w:t xml:space="preserve"> bede om å følge opp oppmodingsvedtaka </w:t>
      </w:r>
      <w:proofErr w:type="spellStart"/>
      <w:r w:rsidRPr="00E73D4B">
        <w:t>frå</w:t>
      </w:r>
      <w:proofErr w:type="spellEnd"/>
      <w:r w:rsidRPr="00E73D4B">
        <w:t xml:space="preserve"> Stortinget </w:t>
      </w:r>
      <w:proofErr w:type="spellStart"/>
      <w:r w:rsidRPr="00E73D4B">
        <w:t>frå</w:t>
      </w:r>
      <w:proofErr w:type="spellEnd"/>
      <w:r w:rsidRPr="00E73D4B">
        <w:t xml:space="preserve"> 2020 som dreidde seg om finansieringa av sektoren.</w:t>
      </w:r>
    </w:p>
    <w:p w14:paraId="3EBCE089" w14:textId="77777777" w:rsidR="00972395" w:rsidRPr="00E73D4B" w:rsidRDefault="00F120C7" w:rsidP="00E73D4B">
      <w:proofErr w:type="spellStart"/>
      <w:r w:rsidRPr="00E73D4B">
        <w:t>Utvalet</w:t>
      </w:r>
      <w:proofErr w:type="spellEnd"/>
      <w:r w:rsidRPr="00E73D4B">
        <w:t xml:space="preserve"> tilrår å forenkle systemet for den resultatbaserte </w:t>
      </w:r>
      <w:proofErr w:type="spellStart"/>
      <w:r w:rsidRPr="00E73D4B">
        <w:t>utteljinga</w:t>
      </w:r>
      <w:proofErr w:type="spellEnd"/>
      <w:r w:rsidRPr="00E73D4B">
        <w:t xml:space="preserve"> og </w:t>
      </w:r>
      <w:proofErr w:type="spellStart"/>
      <w:r w:rsidRPr="00E73D4B">
        <w:t>berre</w:t>
      </w:r>
      <w:proofErr w:type="spellEnd"/>
      <w:r w:rsidRPr="00E73D4B">
        <w:t xml:space="preserve"> </w:t>
      </w:r>
      <w:proofErr w:type="spellStart"/>
      <w:r w:rsidRPr="00E73D4B">
        <w:t>vidareføre</w:t>
      </w:r>
      <w:proofErr w:type="spellEnd"/>
      <w:r w:rsidRPr="00E73D4B">
        <w:t xml:space="preserve"> </w:t>
      </w:r>
      <w:proofErr w:type="spellStart"/>
      <w:r w:rsidRPr="00E73D4B">
        <w:t>indikatorane</w:t>
      </w:r>
      <w:proofErr w:type="spellEnd"/>
      <w:r w:rsidRPr="00E73D4B">
        <w:t xml:space="preserve"> for gjennomførte studiepoeng og </w:t>
      </w:r>
      <w:proofErr w:type="spellStart"/>
      <w:r w:rsidRPr="00E73D4B">
        <w:t>avlagde</w:t>
      </w:r>
      <w:proofErr w:type="spellEnd"/>
      <w:r w:rsidRPr="00E73D4B">
        <w:t xml:space="preserve"> </w:t>
      </w:r>
      <w:proofErr w:type="spellStart"/>
      <w:r w:rsidRPr="00E73D4B">
        <w:t>doktorgradar</w:t>
      </w:r>
      <w:proofErr w:type="spellEnd"/>
      <w:r w:rsidRPr="00E73D4B">
        <w:t xml:space="preserve">. Det foreslår samstundes å legge større vekt på </w:t>
      </w:r>
      <w:proofErr w:type="spellStart"/>
      <w:r w:rsidRPr="00E73D4B">
        <w:t>utviklingsavtalane</w:t>
      </w:r>
      <w:proofErr w:type="spellEnd"/>
      <w:r w:rsidRPr="00E73D4B">
        <w:t xml:space="preserve"> i styringa. Det vil gi ei </w:t>
      </w:r>
      <w:proofErr w:type="spellStart"/>
      <w:r w:rsidRPr="00E73D4B">
        <w:t>meir</w:t>
      </w:r>
      <w:proofErr w:type="spellEnd"/>
      <w:r w:rsidRPr="00E73D4B">
        <w:t xml:space="preserve"> transparent styring som gir </w:t>
      </w:r>
      <w:proofErr w:type="spellStart"/>
      <w:r w:rsidRPr="00E73D4B">
        <w:t>institusjonane</w:t>
      </w:r>
      <w:proofErr w:type="spellEnd"/>
      <w:r w:rsidRPr="00E73D4B">
        <w:t xml:space="preserve"> større reelt handlingsrom og ansvar for budsjettdisponeringa. Gjennom å fjerne kandidatindikatoren </w:t>
      </w:r>
      <w:proofErr w:type="spellStart"/>
      <w:r w:rsidRPr="00E73D4B">
        <w:t>gjer</w:t>
      </w:r>
      <w:proofErr w:type="spellEnd"/>
      <w:r w:rsidRPr="00E73D4B">
        <w:t xml:space="preserve"> </w:t>
      </w:r>
      <w:proofErr w:type="spellStart"/>
      <w:r w:rsidRPr="00E73D4B">
        <w:t>ein</w:t>
      </w:r>
      <w:proofErr w:type="spellEnd"/>
      <w:r w:rsidRPr="00E73D4B">
        <w:t xml:space="preserve"> det </w:t>
      </w:r>
      <w:proofErr w:type="spellStart"/>
      <w:r w:rsidRPr="00E73D4B">
        <w:t>meir</w:t>
      </w:r>
      <w:proofErr w:type="spellEnd"/>
      <w:r w:rsidRPr="00E73D4B">
        <w:t xml:space="preserve"> attraktivt for universitet og </w:t>
      </w:r>
      <w:proofErr w:type="spellStart"/>
      <w:r w:rsidRPr="00E73D4B">
        <w:t>høgskular</w:t>
      </w:r>
      <w:proofErr w:type="spellEnd"/>
      <w:r w:rsidRPr="00E73D4B">
        <w:t xml:space="preserve"> å tilby </w:t>
      </w:r>
      <w:proofErr w:type="spellStart"/>
      <w:r w:rsidRPr="00E73D4B">
        <w:t>vidareutdanning</w:t>
      </w:r>
      <w:proofErr w:type="spellEnd"/>
      <w:r w:rsidRPr="00E73D4B">
        <w:t xml:space="preserve"> og mindre og fleksible </w:t>
      </w:r>
      <w:proofErr w:type="spellStart"/>
      <w:r w:rsidRPr="00E73D4B">
        <w:t>tilbod</w:t>
      </w:r>
      <w:proofErr w:type="spellEnd"/>
      <w:r w:rsidRPr="00E73D4B">
        <w:t xml:space="preserve">. </w:t>
      </w:r>
      <w:proofErr w:type="spellStart"/>
      <w:r w:rsidRPr="00E73D4B">
        <w:t>Utvalet</w:t>
      </w:r>
      <w:proofErr w:type="spellEnd"/>
      <w:r w:rsidRPr="00E73D4B">
        <w:t xml:space="preserve"> </w:t>
      </w:r>
      <w:proofErr w:type="spellStart"/>
      <w:r w:rsidRPr="00E73D4B">
        <w:t>frårår</w:t>
      </w:r>
      <w:proofErr w:type="spellEnd"/>
      <w:r w:rsidRPr="00E73D4B">
        <w:t xml:space="preserve"> </w:t>
      </w:r>
      <w:proofErr w:type="spellStart"/>
      <w:r w:rsidRPr="00E73D4B">
        <w:t>tydeleg</w:t>
      </w:r>
      <w:proofErr w:type="spellEnd"/>
      <w:r w:rsidRPr="00E73D4B">
        <w:t xml:space="preserve"> å innføre </w:t>
      </w:r>
      <w:proofErr w:type="spellStart"/>
      <w:r w:rsidRPr="00E73D4B">
        <w:t>ein</w:t>
      </w:r>
      <w:proofErr w:type="spellEnd"/>
      <w:r w:rsidRPr="00E73D4B">
        <w:t xml:space="preserve"> indikator for arbeidslivsrelevansen i </w:t>
      </w:r>
      <w:proofErr w:type="spellStart"/>
      <w:r w:rsidRPr="00E73D4B">
        <w:t>tilboda</w:t>
      </w:r>
      <w:proofErr w:type="spellEnd"/>
      <w:r w:rsidRPr="00E73D4B">
        <w:t xml:space="preserve"> eller </w:t>
      </w:r>
      <w:proofErr w:type="spellStart"/>
      <w:r w:rsidRPr="00E73D4B">
        <w:t>sysselsetjingsgraden</w:t>
      </w:r>
      <w:proofErr w:type="spellEnd"/>
      <w:r w:rsidRPr="00E73D4B">
        <w:t xml:space="preserve"> for uteksaminerte </w:t>
      </w:r>
      <w:proofErr w:type="spellStart"/>
      <w:r w:rsidRPr="00E73D4B">
        <w:t>studentar</w:t>
      </w:r>
      <w:proofErr w:type="spellEnd"/>
      <w:r w:rsidRPr="00E73D4B">
        <w:t xml:space="preserve">, og </w:t>
      </w:r>
      <w:proofErr w:type="spellStart"/>
      <w:r w:rsidRPr="00E73D4B">
        <w:t>høyringsfråsegnene</w:t>
      </w:r>
      <w:proofErr w:type="spellEnd"/>
      <w:r w:rsidRPr="00E73D4B">
        <w:t xml:space="preserve"> støtta dette </w:t>
      </w:r>
      <w:proofErr w:type="spellStart"/>
      <w:r w:rsidRPr="00E73D4B">
        <w:t>eintydig</w:t>
      </w:r>
      <w:proofErr w:type="spellEnd"/>
      <w:r w:rsidRPr="00E73D4B">
        <w:t xml:space="preserve">. I tillegg til </w:t>
      </w:r>
      <w:proofErr w:type="spellStart"/>
      <w:r w:rsidRPr="00E73D4B">
        <w:t>dei</w:t>
      </w:r>
      <w:proofErr w:type="spellEnd"/>
      <w:r w:rsidRPr="00E73D4B">
        <w:t xml:space="preserve"> generelle argumenta for å forenkle systemet bygde tilrådinga på at relevansen for arbeidslivet er svært </w:t>
      </w:r>
      <w:proofErr w:type="spellStart"/>
      <w:r w:rsidRPr="00E73D4B">
        <w:t>vanskeleg</w:t>
      </w:r>
      <w:proofErr w:type="spellEnd"/>
      <w:r w:rsidRPr="00E73D4B">
        <w:t xml:space="preserve"> å måle, mellom anna fordi det er knytt til generiske </w:t>
      </w:r>
      <w:proofErr w:type="spellStart"/>
      <w:r w:rsidRPr="00E73D4B">
        <w:t>ferdigheiter</w:t>
      </w:r>
      <w:proofErr w:type="spellEnd"/>
      <w:r w:rsidRPr="00E73D4B">
        <w:t xml:space="preserve">, og </w:t>
      </w:r>
      <w:proofErr w:type="spellStart"/>
      <w:r w:rsidRPr="00E73D4B">
        <w:t>særleg</w:t>
      </w:r>
      <w:proofErr w:type="spellEnd"/>
      <w:r w:rsidRPr="00E73D4B">
        <w:t xml:space="preserve"> når det </w:t>
      </w:r>
      <w:proofErr w:type="spellStart"/>
      <w:r w:rsidRPr="00E73D4B">
        <w:t>gjeld</w:t>
      </w:r>
      <w:proofErr w:type="spellEnd"/>
      <w:r w:rsidRPr="00E73D4B">
        <w:t xml:space="preserve"> relevansen for arbeidslivet i framtida. </w:t>
      </w:r>
      <w:proofErr w:type="spellStart"/>
      <w:r w:rsidRPr="00E73D4B">
        <w:t>Ein</w:t>
      </w:r>
      <w:proofErr w:type="spellEnd"/>
      <w:r w:rsidRPr="00E73D4B">
        <w:t xml:space="preserve"> indikator basert på </w:t>
      </w:r>
      <w:proofErr w:type="spellStart"/>
      <w:r w:rsidRPr="00E73D4B">
        <w:t>sysselsetjing</w:t>
      </w:r>
      <w:proofErr w:type="spellEnd"/>
      <w:r w:rsidRPr="00E73D4B">
        <w:t xml:space="preserve"> vil </w:t>
      </w:r>
      <w:proofErr w:type="spellStart"/>
      <w:r w:rsidRPr="00E73D4B">
        <w:t>vanskeleg</w:t>
      </w:r>
      <w:proofErr w:type="spellEnd"/>
      <w:r w:rsidRPr="00E73D4B">
        <w:t xml:space="preserve"> ta høgde for </w:t>
      </w:r>
      <w:proofErr w:type="spellStart"/>
      <w:r w:rsidRPr="00E73D4B">
        <w:t>konjunktursvingingar</w:t>
      </w:r>
      <w:proofErr w:type="spellEnd"/>
      <w:r w:rsidRPr="00E73D4B">
        <w:t xml:space="preserve"> og regionale omsyn.</w:t>
      </w:r>
    </w:p>
    <w:p w14:paraId="6EFECCB3" w14:textId="77777777" w:rsidR="00972395" w:rsidRPr="00E73D4B" w:rsidRDefault="00F120C7" w:rsidP="00E73D4B">
      <w:r w:rsidRPr="00E73D4B">
        <w:t xml:space="preserve">Kunnskapsdepartementet vil i løpet av 2022 greie ut </w:t>
      </w:r>
      <w:proofErr w:type="spellStart"/>
      <w:r w:rsidRPr="00E73D4B">
        <w:t>finansieringskategoriane</w:t>
      </w:r>
      <w:proofErr w:type="spellEnd"/>
      <w:r w:rsidRPr="00E73D4B">
        <w:t xml:space="preserve"> </w:t>
      </w:r>
      <w:proofErr w:type="spellStart"/>
      <w:r w:rsidRPr="00E73D4B">
        <w:t>vidare</w:t>
      </w:r>
      <w:proofErr w:type="spellEnd"/>
      <w:r w:rsidRPr="00E73D4B">
        <w:t xml:space="preserve"> i dialog med sektoren, og vurdere om </w:t>
      </w:r>
      <w:proofErr w:type="spellStart"/>
      <w:r w:rsidRPr="00E73D4B">
        <w:t>talet</w:t>
      </w:r>
      <w:proofErr w:type="spellEnd"/>
      <w:r w:rsidRPr="00E73D4B">
        <w:t xml:space="preserve"> bør </w:t>
      </w:r>
      <w:proofErr w:type="spellStart"/>
      <w:r w:rsidRPr="00E73D4B">
        <w:t>reduserast</w:t>
      </w:r>
      <w:proofErr w:type="spellEnd"/>
      <w:r w:rsidRPr="00E73D4B">
        <w:t xml:space="preserve">. Regjeringa vil vurdere heilskapen i finansieringssystemet, inkludert </w:t>
      </w:r>
      <w:proofErr w:type="spellStart"/>
      <w:r w:rsidRPr="00E73D4B">
        <w:t>moglege</w:t>
      </w:r>
      <w:proofErr w:type="spellEnd"/>
      <w:r w:rsidRPr="00E73D4B">
        <w:t xml:space="preserve"> </w:t>
      </w:r>
      <w:proofErr w:type="spellStart"/>
      <w:r w:rsidRPr="00E73D4B">
        <w:t>endringar</w:t>
      </w:r>
      <w:proofErr w:type="spellEnd"/>
      <w:r w:rsidRPr="00E73D4B">
        <w:t xml:space="preserve"> i </w:t>
      </w:r>
      <w:proofErr w:type="spellStart"/>
      <w:r w:rsidRPr="00E73D4B">
        <w:t>kategoriane</w:t>
      </w:r>
      <w:proofErr w:type="spellEnd"/>
      <w:r w:rsidRPr="00E73D4B">
        <w:t xml:space="preserve">, før det blir gjort </w:t>
      </w:r>
      <w:proofErr w:type="spellStart"/>
      <w:r w:rsidRPr="00E73D4B">
        <w:t>endringar</w:t>
      </w:r>
      <w:proofErr w:type="spellEnd"/>
      <w:r w:rsidRPr="00E73D4B">
        <w:t xml:space="preserve"> i systemet. 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3FFFD335" w14:textId="77777777" w:rsidR="00972395" w:rsidRPr="00E73D4B" w:rsidRDefault="00F120C7" w:rsidP="00E73D4B">
      <w:pPr>
        <w:pStyle w:val="avsnitt-tittel"/>
      </w:pPr>
      <w:proofErr w:type="spellStart"/>
      <w:r w:rsidRPr="00E73D4B">
        <w:t>Studieplassar</w:t>
      </w:r>
      <w:proofErr w:type="spellEnd"/>
      <w:r w:rsidRPr="00E73D4B">
        <w:t xml:space="preserve"> i </w:t>
      </w:r>
      <w:proofErr w:type="spellStart"/>
      <w:r w:rsidRPr="00E73D4B">
        <w:t>høgare</w:t>
      </w:r>
      <w:proofErr w:type="spellEnd"/>
      <w:r w:rsidRPr="00E73D4B">
        <w:t xml:space="preserve"> </w:t>
      </w:r>
      <w:proofErr w:type="spellStart"/>
      <w:r w:rsidRPr="00E73D4B">
        <w:t>yrkesfagleg</w:t>
      </w:r>
      <w:proofErr w:type="spellEnd"/>
      <w:r w:rsidRPr="00E73D4B">
        <w:t xml:space="preserve"> utdanning</w:t>
      </w:r>
    </w:p>
    <w:p w14:paraId="54566C8C" w14:textId="77777777" w:rsidR="00972395" w:rsidRPr="00E73D4B" w:rsidRDefault="00F120C7" w:rsidP="00E73D4B">
      <w:pPr>
        <w:pStyle w:val="avsnitt-undertittel"/>
      </w:pPr>
      <w:r w:rsidRPr="00E73D4B">
        <w:t>Vedtak nr. 700, 15. juni 2020</w:t>
      </w:r>
    </w:p>
    <w:p w14:paraId="128F1DF7" w14:textId="77777777" w:rsidR="00972395" w:rsidRPr="00E73D4B" w:rsidRDefault="00F120C7" w:rsidP="00E73D4B">
      <w:pPr>
        <w:pStyle w:val="blokksit"/>
        <w:rPr>
          <w:rStyle w:val="kursiv"/>
        </w:rPr>
      </w:pPr>
      <w:r w:rsidRPr="00E73D4B">
        <w:rPr>
          <w:rStyle w:val="kursiv"/>
        </w:rPr>
        <w:t xml:space="preserve">Stortinget ber regjeringen opprette inntil 1 000 nye studieplasser innen høyere yrkesfaglig utdanning fra høsten 2020, i tillegg til at de 1 000 studieplassene som regjeringen varslet i </w:t>
      </w:r>
      <w:proofErr w:type="spellStart"/>
      <w:r w:rsidRPr="00E73D4B">
        <w:rPr>
          <w:rStyle w:val="kursiv"/>
        </w:rPr>
        <w:t>Prop</w:t>
      </w:r>
      <w:proofErr w:type="spellEnd"/>
      <w:r w:rsidRPr="00E73D4B">
        <w:rPr>
          <w:rStyle w:val="kursiv"/>
        </w:rPr>
        <w:t>. 117 S (2019–2020), skal bli permanente, og at det videre utarbeides en forpliktende opptrappingsplan med 1 000 nye studieplasser årlig over fem år.</w:t>
      </w:r>
    </w:p>
    <w:p w14:paraId="177D3DD0"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14 (2019–2020) </w:t>
      </w:r>
      <w:r w:rsidRPr="00E73D4B">
        <w:rPr>
          <w:rStyle w:val="kursiv"/>
        </w:rPr>
        <w:t>Kompetansereformen – Lære hele livet</w:t>
      </w:r>
      <w:r w:rsidRPr="00E73D4B">
        <w:t xml:space="preserve">, jf. </w:t>
      </w:r>
      <w:proofErr w:type="spellStart"/>
      <w:r w:rsidRPr="00E73D4B">
        <w:t>Innst</w:t>
      </w:r>
      <w:proofErr w:type="spellEnd"/>
      <w:r w:rsidRPr="00E73D4B">
        <w:t>. 370 S (2019–2020).</w:t>
      </w:r>
    </w:p>
    <w:p w14:paraId="3AB90711" w14:textId="77777777" w:rsidR="00972395" w:rsidRPr="00E73D4B" w:rsidRDefault="00F120C7" w:rsidP="00E73D4B">
      <w:r w:rsidRPr="00E73D4B">
        <w:t xml:space="preserve">Stortinget har i 2020 og 2021 løyvd </w:t>
      </w:r>
      <w:proofErr w:type="spellStart"/>
      <w:r w:rsidRPr="00E73D4B">
        <w:t>midlar</w:t>
      </w:r>
      <w:proofErr w:type="spellEnd"/>
      <w:r w:rsidRPr="00E73D4B">
        <w:t xml:space="preserve"> til totalt 2 100 nye </w:t>
      </w:r>
      <w:proofErr w:type="spellStart"/>
      <w:r w:rsidRPr="00E73D4B">
        <w:t>studieplassar</w:t>
      </w:r>
      <w:proofErr w:type="spellEnd"/>
      <w:r w:rsidRPr="00E73D4B">
        <w:t xml:space="preserve"> i </w:t>
      </w:r>
      <w:proofErr w:type="spellStart"/>
      <w:r w:rsidRPr="00E73D4B">
        <w:t>høgare</w:t>
      </w:r>
      <w:proofErr w:type="spellEnd"/>
      <w:r w:rsidRPr="00E73D4B">
        <w:t xml:space="preserve"> </w:t>
      </w:r>
      <w:proofErr w:type="spellStart"/>
      <w:r w:rsidRPr="00E73D4B">
        <w:t>yrkesfagleg</w:t>
      </w:r>
      <w:proofErr w:type="spellEnd"/>
      <w:r w:rsidRPr="00E73D4B">
        <w:t xml:space="preserve"> utdanning. Dette er den største kapasitetsveksten i </w:t>
      </w:r>
      <w:proofErr w:type="spellStart"/>
      <w:r w:rsidRPr="00E73D4B">
        <w:t>høgare</w:t>
      </w:r>
      <w:proofErr w:type="spellEnd"/>
      <w:r w:rsidRPr="00E73D4B">
        <w:t xml:space="preserve"> </w:t>
      </w:r>
      <w:proofErr w:type="spellStart"/>
      <w:r w:rsidRPr="00E73D4B">
        <w:t>yrkesfagleg</w:t>
      </w:r>
      <w:proofErr w:type="spellEnd"/>
      <w:r w:rsidRPr="00E73D4B">
        <w:t xml:space="preserve"> utdanning </w:t>
      </w:r>
      <w:proofErr w:type="spellStart"/>
      <w:r w:rsidRPr="00E73D4B">
        <w:t>nokon</w:t>
      </w:r>
      <w:proofErr w:type="spellEnd"/>
      <w:r w:rsidRPr="00E73D4B">
        <w:t xml:space="preserve"> gong. Regjeringa vil at </w:t>
      </w:r>
      <w:proofErr w:type="spellStart"/>
      <w:r w:rsidRPr="00E73D4B">
        <w:t>fleire</w:t>
      </w:r>
      <w:proofErr w:type="spellEnd"/>
      <w:r w:rsidRPr="00E73D4B">
        <w:t xml:space="preserve"> skal ta </w:t>
      </w:r>
      <w:proofErr w:type="spellStart"/>
      <w:r w:rsidRPr="00E73D4B">
        <w:t>høgare</w:t>
      </w:r>
      <w:proofErr w:type="spellEnd"/>
      <w:r w:rsidRPr="00E73D4B">
        <w:t xml:space="preserve"> </w:t>
      </w:r>
      <w:proofErr w:type="spellStart"/>
      <w:r w:rsidRPr="00E73D4B">
        <w:t>yrkesfagleg</w:t>
      </w:r>
      <w:proofErr w:type="spellEnd"/>
      <w:r w:rsidRPr="00E73D4B">
        <w:t xml:space="preserve"> utdanning, og foreslår derfor </w:t>
      </w:r>
      <w:proofErr w:type="spellStart"/>
      <w:r w:rsidRPr="00E73D4B">
        <w:t>midlar</w:t>
      </w:r>
      <w:proofErr w:type="spellEnd"/>
      <w:r w:rsidRPr="00E73D4B">
        <w:t xml:space="preserve"> til 500 nye </w:t>
      </w:r>
      <w:proofErr w:type="spellStart"/>
      <w:r w:rsidRPr="00E73D4B">
        <w:t>studieplassar</w:t>
      </w:r>
      <w:proofErr w:type="spellEnd"/>
      <w:r w:rsidRPr="00E73D4B">
        <w:t xml:space="preserve"> til </w:t>
      </w:r>
      <w:proofErr w:type="spellStart"/>
      <w:r w:rsidRPr="00E73D4B">
        <w:t>fagskulane</w:t>
      </w:r>
      <w:proofErr w:type="spellEnd"/>
      <w:r w:rsidRPr="00E73D4B">
        <w:t xml:space="preserve"> i 2023.</w:t>
      </w:r>
    </w:p>
    <w:p w14:paraId="6750DAFC" w14:textId="77777777" w:rsidR="00972395" w:rsidRPr="00E73D4B" w:rsidRDefault="00F120C7" w:rsidP="00E73D4B">
      <w:proofErr w:type="spellStart"/>
      <w:r w:rsidRPr="00E73D4B">
        <w:t>Midlar</w:t>
      </w:r>
      <w:proofErr w:type="spellEnd"/>
      <w:r w:rsidRPr="00E73D4B">
        <w:t xml:space="preserve"> til nye </w:t>
      </w:r>
      <w:proofErr w:type="spellStart"/>
      <w:r w:rsidRPr="00E73D4B">
        <w:t>studieplassar</w:t>
      </w:r>
      <w:proofErr w:type="spellEnd"/>
      <w:r w:rsidRPr="00E73D4B">
        <w:t xml:space="preserve"> til </w:t>
      </w:r>
      <w:proofErr w:type="spellStart"/>
      <w:r w:rsidRPr="00E73D4B">
        <w:t>fagskulane</w:t>
      </w:r>
      <w:proofErr w:type="spellEnd"/>
      <w:r w:rsidRPr="00E73D4B">
        <w:t xml:space="preserve"> skal </w:t>
      </w:r>
      <w:proofErr w:type="spellStart"/>
      <w:r w:rsidRPr="00E73D4B">
        <w:t>fordelast</w:t>
      </w:r>
      <w:proofErr w:type="spellEnd"/>
      <w:r w:rsidRPr="00E73D4B">
        <w:t xml:space="preserve"> på bakgrunn av lokale, regionale og nasjonale kompetansebehov og kapasitet i </w:t>
      </w:r>
      <w:proofErr w:type="spellStart"/>
      <w:r w:rsidRPr="00E73D4B">
        <w:t>fagskulane</w:t>
      </w:r>
      <w:proofErr w:type="spellEnd"/>
      <w:r w:rsidRPr="00E73D4B">
        <w:t xml:space="preserve">. </w:t>
      </w:r>
      <w:proofErr w:type="spellStart"/>
      <w:r w:rsidRPr="00E73D4B">
        <w:t>Fylkeskommunane</w:t>
      </w:r>
      <w:proofErr w:type="spellEnd"/>
      <w:r w:rsidRPr="00E73D4B">
        <w:t xml:space="preserve"> søker Direktoratet for </w:t>
      </w:r>
      <w:proofErr w:type="spellStart"/>
      <w:r w:rsidRPr="00E73D4B">
        <w:t>høgare</w:t>
      </w:r>
      <w:proofErr w:type="spellEnd"/>
      <w:r w:rsidRPr="00E73D4B">
        <w:t xml:space="preserve"> utdanning og kompetanse om </w:t>
      </w:r>
      <w:proofErr w:type="spellStart"/>
      <w:r w:rsidRPr="00E73D4B">
        <w:t>midlar</w:t>
      </w:r>
      <w:proofErr w:type="spellEnd"/>
      <w:r w:rsidRPr="00E73D4B">
        <w:t xml:space="preserve"> til nye </w:t>
      </w:r>
      <w:proofErr w:type="spellStart"/>
      <w:r w:rsidRPr="00E73D4B">
        <w:t>studieplassar</w:t>
      </w:r>
      <w:proofErr w:type="spellEnd"/>
      <w:r w:rsidRPr="00E73D4B">
        <w:t xml:space="preserve"> etter </w:t>
      </w:r>
      <w:proofErr w:type="spellStart"/>
      <w:r w:rsidRPr="00E73D4B">
        <w:t>ein</w:t>
      </w:r>
      <w:proofErr w:type="spellEnd"/>
      <w:r w:rsidRPr="00E73D4B">
        <w:t xml:space="preserve"> gjennomgang av kompetansebehov og kapasitet i </w:t>
      </w:r>
      <w:proofErr w:type="spellStart"/>
      <w:r w:rsidRPr="00E73D4B">
        <w:t>fagskulane</w:t>
      </w:r>
      <w:proofErr w:type="spellEnd"/>
      <w:r w:rsidRPr="00E73D4B">
        <w:t xml:space="preserve"> i eige fylke. Systemet bygger opp under </w:t>
      </w:r>
      <w:proofErr w:type="spellStart"/>
      <w:r w:rsidRPr="00E73D4B">
        <w:t>fylkeskommunane</w:t>
      </w:r>
      <w:proofErr w:type="spellEnd"/>
      <w:r w:rsidRPr="00E73D4B">
        <w:t xml:space="preserve"> som </w:t>
      </w:r>
      <w:proofErr w:type="spellStart"/>
      <w:r w:rsidRPr="00E73D4B">
        <w:t>kompetansepolitisk</w:t>
      </w:r>
      <w:proofErr w:type="spellEnd"/>
      <w:r w:rsidRPr="00E73D4B">
        <w:t xml:space="preserve"> aktør og at </w:t>
      </w:r>
      <w:proofErr w:type="spellStart"/>
      <w:r w:rsidRPr="00E73D4B">
        <w:t>fagskulane</w:t>
      </w:r>
      <w:proofErr w:type="spellEnd"/>
      <w:r w:rsidRPr="00E73D4B">
        <w:t xml:space="preserve"> skal tilby </w:t>
      </w:r>
      <w:proofErr w:type="spellStart"/>
      <w:r w:rsidRPr="00E73D4B">
        <w:t>utdanningar</w:t>
      </w:r>
      <w:proofErr w:type="spellEnd"/>
      <w:r w:rsidRPr="00E73D4B">
        <w:t xml:space="preserve"> som arbeidslivet etterspør. Fordelinga av </w:t>
      </w:r>
      <w:proofErr w:type="spellStart"/>
      <w:r w:rsidRPr="00E73D4B">
        <w:t>studieplassar</w:t>
      </w:r>
      <w:proofErr w:type="spellEnd"/>
      <w:r w:rsidRPr="00E73D4B">
        <w:t xml:space="preserve"> skal skje i </w:t>
      </w:r>
      <w:proofErr w:type="spellStart"/>
      <w:r w:rsidRPr="00E73D4B">
        <w:t>eit</w:t>
      </w:r>
      <w:proofErr w:type="spellEnd"/>
      <w:r w:rsidRPr="00E73D4B">
        <w:t xml:space="preserve"> </w:t>
      </w:r>
      <w:proofErr w:type="spellStart"/>
      <w:r w:rsidRPr="00E73D4B">
        <w:t>samspel</w:t>
      </w:r>
      <w:proofErr w:type="spellEnd"/>
      <w:r w:rsidRPr="00E73D4B">
        <w:t xml:space="preserve"> mellom arbeidsliv, </w:t>
      </w:r>
      <w:proofErr w:type="spellStart"/>
      <w:r w:rsidRPr="00E73D4B">
        <w:t>fagskular</w:t>
      </w:r>
      <w:proofErr w:type="spellEnd"/>
      <w:r w:rsidRPr="00E73D4B">
        <w:t xml:space="preserve"> og styresmakter for å sikre at nye </w:t>
      </w:r>
      <w:proofErr w:type="spellStart"/>
      <w:r w:rsidRPr="00E73D4B">
        <w:t>studieplassar</w:t>
      </w:r>
      <w:proofErr w:type="spellEnd"/>
      <w:r w:rsidRPr="00E73D4B">
        <w:t xml:space="preserve"> treffer kompetansebehova i arbeidslivet best </w:t>
      </w:r>
      <w:proofErr w:type="spellStart"/>
      <w:r w:rsidRPr="00E73D4B">
        <w:t>mogleg</w:t>
      </w:r>
      <w:proofErr w:type="spellEnd"/>
      <w:r w:rsidRPr="00E73D4B">
        <w:t xml:space="preserve">. Nasjonale styresmakter kan legge </w:t>
      </w:r>
      <w:proofErr w:type="spellStart"/>
      <w:r w:rsidRPr="00E73D4B">
        <w:t>føringar</w:t>
      </w:r>
      <w:proofErr w:type="spellEnd"/>
      <w:r w:rsidRPr="00E73D4B">
        <w:t xml:space="preserve"> for fordelinga av </w:t>
      </w:r>
      <w:proofErr w:type="spellStart"/>
      <w:r w:rsidRPr="00E73D4B">
        <w:t>studieplassar</w:t>
      </w:r>
      <w:proofErr w:type="spellEnd"/>
      <w:r w:rsidRPr="00E73D4B">
        <w:t xml:space="preserve"> for å sikre at det blir </w:t>
      </w:r>
      <w:proofErr w:type="spellStart"/>
      <w:r w:rsidRPr="00E73D4B">
        <w:t>teke</w:t>
      </w:r>
      <w:proofErr w:type="spellEnd"/>
      <w:r w:rsidRPr="00E73D4B">
        <w:t xml:space="preserve"> omsyn til nasjonale behov.</w:t>
      </w:r>
    </w:p>
    <w:p w14:paraId="23EDDE26"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Stortinget med </w:t>
      </w:r>
      <w:proofErr w:type="spellStart"/>
      <w:r w:rsidRPr="00E73D4B">
        <w:t>vidare</w:t>
      </w:r>
      <w:proofErr w:type="spellEnd"/>
      <w:r w:rsidRPr="00E73D4B">
        <w:t xml:space="preserve"> oppfølging av oppmodingsvedtaket i </w:t>
      </w:r>
      <w:proofErr w:type="spellStart"/>
      <w:r w:rsidRPr="00E73D4B">
        <w:t>dei</w:t>
      </w:r>
      <w:proofErr w:type="spellEnd"/>
      <w:r w:rsidRPr="00E73D4B">
        <w:t xml:space="preserve"> </w:t>
      </w:r>
      <w:proofErr w:type="spellStart"/>
      <w:r w:rsidRPr="00E73D4B">
        <w:t>årlege</w:t>
      </w:r>
      <w:proofErr w:type="spellEnd"/>
      <w:r w:rsidRPr="00E73D4B">
        <w:t xml:space="preserve"> statsbudsjetta.</w:t>
      </w:r>
    </w:p>
    <w:p w14:paraId="77702128" w14:textId="77777777" w:rsidR="00972395" w:rsidRPr="00E73D4B" w:rsidRDefault="00F120C7" w:rsidP="00E73D4B">
      <w:pPr>
        <w:pStyle w:val="Overskrift2"/>
      </w:pPr>
      <w:r w:rsidRPr="00E73D4B">
        <w:t>Stortingssesjon 2018–2019</w:t>
      </w:r>
    </w:p>
    <w:p w14:paraId="23B4F511" w14:textId="77777777" w:rsidR="00972395" w:rsidRPr="00E73D4B" w:rsidRDefault="00F120C7" w:rsidP="00E73D4B">
      <w:pPr>
        <w:pStyle w:val="Undertittel"/>
      </w:pPr>
      <w:r w:rsidRPr="00E73D4B">
        <w:t>Oppmodingsvedtak under kunnskapsministeren</w:t>
      </w:r>
    </w:p>
    <w:p w14:paraId="702A58A0" w14:textId="77777777" w:rsidR="00972395" w:rsidRPr="00E73D4B" w:rsidRDefault="00F120C7" w:rsidP="00E73D4B">
      <w:pPr>
        <w:pStyle w:val="avsnitt-tittel"/>
      </w:pPr>
      <w:r w:rsidRPr="00E73D4B">
        <w:t xml:space="preserve">Finansieringssystemet og ideelle </w:t>
      </w:r>
      <w:proofErr w:type="spellStart"/>
      <w:r w:rsidRPr="00E73D4B">
        <w:t>barnehagar</w:t>
      </w:r>
      <w:proofErr w:type="spellEnd"/>
    </w:p>
    <w:p w14:paraId="2396EEF5" w14:textId="77777777" w:rsidR="00972395" w:rsidRPr="00E73D4B" w:rsidRDefault="00F120C7" w:rsidP="00E73D4B">
      <w:pPr>
        <w:pStyle w:val="avsnitt-undertittel"/>
      </w:pPr>
      <w:r w:rsidRPr="00E73D4B">
        <w:t>Vedtak nr. 51, 22. november 2018</w:t>
      </w:r>
    </w:p>
    <w:p w14:paraId="7059F828" w14:textId="77777777" w:rsidR="00972395" w:rsidRPr="00E73D4B" w:rsidRDefault="00F120C7" w:rsidP="00E73D4B">
      <w:pPr>
        <w:pStyle w:val="blokksit"/>
        <w:rPr>
          <w:rStyle w:val="kursiv"/>
        </w:rPr>
      </w:pPr>
      <w:r w:rsidRPr="00E73D4B">
        <w:rPr>
          <w:rStyle w:val="kursiv"/>
        </w:rPr>
        <w:t>Stortinget ber regjeringen gjennomgå finansieringssystemet for private og kommunale barnehager med sikte på å ivareta de små og ideelle barnehagene og en mangfoldig barnehagesektor.</w:t>
      </w:r>
    </w:p>
    <w:p w14:paraId="4691F77D"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Dokument 8:231 S (2017–2018) </w:t>
      </w:r>
      <w:r w:rsidRPr="00E73D4B">
        <w:rPr>
          <w:rStyle w:val="kursiv"/>
        </w:rPr>
        <w:t xml:space="preserve">Representantforslag fra stortingsrepresentantene Audun Lysbakken og Bjørnar Moxnes om en mangfoldig barnehagestruktur der pengene går til barnas beste, </w:t>
      </w:r>
      <w:r w:rsidRPr="00E73D4B">
        <w:t xml:space="preserve">jf. </w:t>
      </w:r>
      <w:proofErr w:type="spellStart"/>
      <w:r w:rsidRPr="00E73D4B">
        <w:t>Innst</w:t>
      </w:r>
      <w:proofErr w:type="spellEnd"/>
      <w:r w:rsidRPr="00E73D4B">
        <w:t>. 51 S (2018–2019).</w:t>
      </w:r>
    </w:p>
    <w:p w14:paraId="68D0520C" w14:textId="77777777" w:rsidR="00972395" w:rsidRPr="00E73D4B" w:rsidRDefault="00F120C7" w:rsidP="00E73D4B">
      <w:r w:rsidRPr="00E73D4B">
        <w:t xml:space="preserve">Departementet vil følge opp vedtaket i samband med den varsla gjennomgangen av regelverket for styring og finansiering av private </w:t>
      </w:r>
      <w:proofErr w:type="spellStart"/>
      <w:r w:rsidRPr="00E73D4B">
        <w:t>barnehagar</w:t>
      </w:r>
      <w:proofErr w:type="spellEnd"/>
      <w:r w:rsidRPr="00E73D4B">
        <w:t xml:space="preserve">, jf. òg vedtak nr. 802, 31. mai 2018 om </w:t>
      </w:r>
      <w:proofErr w:type="spellStart"/>
      <w:r w:rsidRPr="00E73D4B">
        <w:t>modellar</w:t>
      </w:r>
      <w:proofErr w:type="spellEnd"/>
      <w:r w:rsidRPr="00E73D4B">
        <w:t xml:space="preserve"> i finansieringssystemet som </w:t>
      </w:r>
      <w:proofErr w:type="spellStart"/>
      <w:r w:rsidRPr="00E73D4B">
        <w:t>varetek</w:t>
      </w:r>
      <w:proofErr w:type="spellEnd"/>
      <w:r w:rsidRPr="00E73D4B">
        <w:t xml:space="preserve"> </w:t>
      </w:r>
      <w:proofErr w:type="spellStart"/>
      <w:r w:rsidRPr="00E73D4B">
        <w:t>eit</w:t>
      </w:r>
      <w:proofErr w:type="spellEnd"/>
      <w:r w:rsidRPr="00E73D4B">
        <w:t xml:space="preserve"> </w:t>
      </w:r>
      <w:proofErr w:type="spellStart"/>
      <w:r w:rsidRPr="00E73D4B">
        <w:t>mangfald</w:t>
      </w:r>
      <w:proofErr w:type="spellEnd"/>
      <w:r w:rsidRPr="00E73D4B">
        <w:t xml:space="preserve"> av </w:t>
      </w:r>
      <w:proofErr w:type="spellStart"/>
      <w:r w:rsidRPr="00E73D4B">
        <w:t>barnehagar</w:t>
      </w:r>
      <w:proofErr w:type="spellEnd"/>
      <w:r w:rsidRPr="00E73D4B">
        <w:t>.</w:t>
      </w:r>
    </w:p>
    <w:p w14:paraId="1AE875D2"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62FCBC7F" w14:textId="77777777" w:rsidR="00972395" w:rsidRPr="00E73D4B" w:rsidRDefault="00F120C7" w:rsidP="00E73D4B">
      <w:pPr>
        <w:pStyle w:val="avsnitt-tittel"/>
      </w:pPr>
      <w:r w:rsidRPr="00E73D4B">
        <w:t xml:space="preserve">Fritak </w:t>
      </w:r>
      <w:proofErr w:type="spellStart"/>
      <w:r w:rsidRPr="00E73D4B">
        <w:t>frå</w:t>
      </w:r>
      <w:proofErr w:type="spellEnd"/>
      <w:r w:rsidRPr="00E73D4B">
        <w:t xml:space="preserve"> </w:t>
      </w:r>
      <w:proofErr w:type="spellStart"/>
      <w:r w:rsidRPr="00E73D4B">
        <w:t>skulefag</w:t>
      </w:r>
      <w:proofErr w:type="spellEnd"/>
    </w:p>
    <w:p w14:paraId="14D851B8" w14:textId="77777777" w:rsidR="00972395" w:rsidRPr="00E73D4B" w:rsidRDefault="00F120C7" w:rsidP="00E73D4B">
      <w:pPr>
        <w:pStyle w:val="avsnitt-undertittel"/>
      </w:pPr>
      <w:r w:rsidRPr="00E73D4B">
        <w:t>Vedtak nr. 197, 12. desember 2018</w:t>
      </w:r>
    </w:p>
    <w:p w14:paraId="49C3C3CE" w14:textId="77777777" w:rsidR="00972395" w:rsidRPr="00E73D4B" w:rsidRDefault="00F120C7" w:rsidP="00E73D4B">
      <w:pPr>
        <w:pStyle w:val="blokksit"/>
        <w:rPr>
          <w:rStyle w:val="kursiv"/>
        </w:rPr>
      </w:pPr>
      <w:r w:rsidRPr="00E73D4B">
        <w:rPr>
          <w:rStyle w:val="kursiv"/>
        </w:rPr>
        <w:t>Stortinget ber regjeringen sørge for at fritak for skolefag ikke blir gitt dersom dette ikke er i overensstemmelse med elev og foresattes ønsker, at fritaket må være faglig begrunnet, og at konsekvensene av et fritak er gjort godt kjent for eleven og foresatte.</w:t>
      </w:r>
    </w:p>
    <w:p w14:paraId="763B8602"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xml:space="preserve">. 1 S (2018–2019), jf. </w:t>
      </w:r>
      <w:proofErr w:type="spellStart"/>
      <w:r w:rsidRPr="00E73D4B">
        <w:t>Innst</w:t>
      </w:r>
      <w:proofErr w:type="spellEnd"/>
      <w:r w:rsidRPr="00E73D4B">
        <w:t>. 12 S (2018–2019).</w:t>
      </w:r>
    </w:p>
    <w:p w14:paraId="6490E233" w14:textId="77777777" w:rsidR="00972395" w:rsidRPr="00E73D4B" w:rsidRDefault="00F120C7" w:rsidP="00E73D4B">
      <w:proofErr w:type="spellStart"/>
      <w:r w:rsidRPr="00E73D4B">
        <w:t>Opplæringslovutvalet</w:t>
      </w:r>
      <w:proofErr w:type="spellEnd"/>
      <w:r w:rsidRPr="00E73D4B">
        <w:t xml:space="preserve"> har levert NOU 2019: 23 </w:t>
      </w:r>
      <w:r w:rsidRPr="00E73D4B">
        <w:rPr>
          <w:rStyle w:val="kursiv"/>
        </w:rPr>
        <w:t>Forslag til ny opplæringslov</w:t>
      </w:r>
      <w:r w:rsidRPr="00E73D4B">
        <w:t xml:space="preserve">. NOU-en har </w:t>
      </w:r>
      <w:proofErr w:type="spellStart"/>
      <w:r w:rsidRPr="00E73D4B">
        <w:t>vore</w:t>
      </w:r>
      <w:proofErr w:type="spellEnd"/>
      <w:r w:rsidRPr="00E73D4B">
        <w:t xml:space="preserve"> på </w:t>
      </w:r>
      <w:proofErr w:type="spellStart"/>
      <w:r w:rsidRPr="00E73D4B">
        <w:t>offentleg</w:t>
      </w:r>
      <w:proofErr w:type="spellEnd"/>
      <w:r w:rsidRPr="00E73D4B">
        <w:t xml:space="preserve"> </w:t>
      </w:r>
      <w:proofErr w:type="spellStart"/>
      <w:r w:rsidRPr="00E73D4B">
        <w:t>høyring</w:t>
      </w:r>
      <w:proofErr w:type="spellEnd"/>
      <w:r w:rsidRPr="00E73D4B">
        <w:t xml:space="preserve">, og departementet vil følge opp forslaget </w:t>
      </w:r>
      <w:proofErr w:type="spellStart"/>
      <w:r w:rsidRPr="00E73D4B">
        <w:t>frå</w:t>
      </w:r>
      <w:proofErr w:type="spellEnd"/>
      <w:r w:rsidRPr="00E73D4B">
        <w:t xml:space="preserve"> </w:t>
      </w:r>
      <w:proofErr w:type="spellStart"/>
      <w:r w:rsidRPr="00E73D4B">
        <w:t>utvalet</w:t>
      </w:r>
      <w:proofErr w:type="spellEnd"/>
      <w:r w:rsidRPr="00E73D4B">
        <w:t xml:space="preserve"> i forslag til ei ny opplæringslov som er sendt på </w:t>
      </w:r>
      <w:proofErr w:type="spellStart"/>
      <w:r w:rsidRPr="00E73D4B">
        <w:t>høyring</w:t>
      </w:r>
      <w:proofErr w:type="spellEnd"/>
      <w:r w:rsidRPr="00E73D4B">
        <w:t xml:space="preserve"> 26. august 2021. Departementet legg i </w:t>
      </w:r>
      <w:proofErr w:type="spellStart"/>
      <w:r w:rsidRPr="00E73D4B">
        <w:t>høyringsnotatet</w:t>
      </w:r>
      <w:proofErr w:type="spellEnd"/>
      <w:r w:rsidRPr="00E73D4B">
        <w:t xml:space="preserve"> til grunn at forslaget til </w:t>
      </w:r>
      <w:proofErr w:type="spellStart"/>
      <w:r w:rsidRPr="00E73D4B">
        <w:t>reglar</w:t>
      </w:r>
      <w:proofErr w:type="spellEnd"/>
      <w:r w:rsidRPr="00E73D4B">
        <w:t xml:space="preserve"> om fritak </w:t>
      </w:r>
      <w:proofErr w:type="spellStart"/>
      <w:r w:rsidRPr="00E73D4B">
        <w:t>frå</w:t>
      </w:r>
      <w:proofErr w:type="spellEnd"/>
      <w:r w:rsidRPr="00E73D4B">
        <w:t xml:space="preserve"> opplæringa, </w:t>
      </w:r>
      <w:proofErr w:type="spellStart"/>
      <w:r w:rsidRPr="00E73D4B">
        <w:t>saman</w:t>
      </w:r>
      <w:proofErr w:type="spellEnd"/>
      <w:r w:rsidRPr="00E73D4B">
        <w:t xml:space="preserve"> med </w:t>
      </w:r>
      <w:proofErr w:type="spellStart"/>
      <w:r w:rsidRPr="00E73D4B">
        <w:t>reglane</w:t>
      </w:r>
      <w:proofErr w:type="spellEnd"/>
      <w:r w:rsidRPr="00E73D4B">
        <w:t xml:space="preserve"> om elevens beste og elevens rett til å bli </w:t>
      </w:r>
      <w:proofErr w:type="spellStart"/>
      <w:r w:rsidRPr="00E73D4B">
        <w:t>høyrd</w:t>
      </w:r>
      <w:proofErr w:type="spellEnd"/>
      <w:r w:rsidRPr="00E73D4B">
        <w:t xml:space="preserve">, </w:t>
      </w:r>
      <w:proofErr w:type="spellStart"/>
      <w:r w:rsidRPr="00E73D4B">
        <w:t>svarar</w:t>
      </w:r>
      <w:proofErr w:type="spellEnd"/>
      <w:r w:rsidRPr="00E73D4B">
        <w:t xml:space="preserve"> til intensjonen i oppmodingsvedtaket. Departementet </w:t>
      </w:r>
      <w:proofErr w:type="spellStart"/>
      <w:r w:rsidRPr="00E73D4B">
        <w:t>tek</w:t>
      </w:r>
      <w:proofErr w:type="spellEnd"/>
      <w:r w:rsidRPr="00E73D4B">
        <w:t xml:space="preserve"> sikte på å legge forslaget fram for Stortinget i </w:t>
      </w:r>
      <w:proofErr w:type="spellStart"/>
      <w:r w:rsidRPr="00E73D4B">
        <w:t>ein</w:t>
      </w:r>
      <w:proofErr w:type="spellEnd"/>
      <w:r w:rsidRPr="00E73D4B">
        <w:t xml:space="preserve"> lovproposisjon våren 2023.</w:t>
      </w:r>
    </w:p>
    <w:p w14:paraId="2542B8E3"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0BBBA7B2" w14:textId="77777777" w:rsidR="00972395" w:rsidRPr="00E73D4B" w:rsidRDefault="00F120C7" w:rsidP="00E73D4B">
      <w:pPr>
        <w:pStyle w:val="Overskrift2"/>
      </w:pPr>
      <w:r w:rsidRPr="00E73D4B">
        <w:t>Stortingssesjon 2017–2018</w:t>
      </w:r>
    </w:p>
    <w:p w14:paraId="391D193A" w14:textId="77777777" w:rsidR="00972395" w:rsidRPr="00E73D4B" w:rsidRDefault="00F120C7" w:rsidP="00E73D4B">
      <w:pPr>
        <w:pStyle w:val="Undertittel"/>
      </w:pPr>
      <w:r w:rsidRPr="00E73D4B">
        <w:t>Oppmodingsvedtak under kunnskapsministeren</w:t>
      </w:r>
    </w:p>
    <w:p w14:paraId="2C5D9D70" w14:textId="77777777" w:rsidR="00972395" w:rsidRPr="00E73D4B" w:rsidRDefault="00F120C7" w:rsidP="00E73D4B">
      <w:pPr>
        <w:pStyle w:val="avsnitt-tittel"/>
      </w:pPr>
      <w:r w:rsidRPr="00E73D4B">
        <w:t xml:space="preserve">Vilkår for private </w:t>
      </w:r>
      <w:proofErr w:type="spellStart"/>
      <w:r w:rsidRPr="00E73D4B">
        <w:t>barnehagar</w:t>
      </w:r>
      <w:proofErr w:type="spellEnd"/>
    </w:p>
    <w:p w14:paraId="1E6DA396" w14:textId="77777777" w:rsidR="00972395" w:rsidRPr="00E73D4B" w:rsidRDefault="00F120C7" w:rsidP="00E73D4B">
      <w:pPr>
        <w:pStyle w:val="avsnitt-undertittel"/>
      </w:pPr>
      <w:r w:rsidRPr="00E73D4B">
        <w:t>Vedtak nr. 461, 13. februar 2018</w:t>
      </w:r>
    </w:p>
    <w:p w14:paraId="6F29796C" w14:textId="77777777" w:rsidR="00972395" w:rsidRPr="00E73D4B" w:rsidRDefault="00F120C7" w:rsidP="00E73D4B">
      <w:pPr>
        <w:pStyle w:val="blokksit"/>
        <w:rPr>
          <w:rStyle w:val="kursiv"/>
        </w:rPr>
      </w:pPr>
      <w:r w:rsidRPr="00E73D4B">
        <w:rPr>
          <w:rStyle w:val="kursiv"/>
        </w:rPr>
        <w:t>Stortinget ber regjeringen vurdere hvordan det kan sikres at private barnehager har lønns-, arbeids- og pensjonsvilkår minst på linje med ansatte i offentlige barnehager, og komme tilbake til Stortinget på egnet måte.</w:t>
      </w:r>
    </w:p>
    <w:p w14:paraId="25240C76"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Dokument 8:18 S (2017–2018) </w:t>
      </w:r>
      <w:r w:rsidRPr="00E73D4B">
        <w:rPr>
          <w:rStyle w:val="kursiv"/>
        </w:rPr>
        <w:t xml:space="preserve">Representantforslag fra stortingsrepresentantene Audun Lysbakken, Mona Lill Fagerås og Solfrid </w:t>
      </w:r>
      <w:proofErr w:type="spellStart"/>
      <w:r w:rsidRPr="00E73D4B">
        <w:rPr>
          <w:rStyle w:val="kursiv"/>
        </w:rPr>
        <w:t>Lerbrekk</w:t>
      </w:r>
      <w:proofErr w:type="spellEnd"/>
      <w:r w:rsidRPr="00E73D4B">
        <w:rPr>
          <w:rStyle w:val="kursiv"/>
        </w:rPr>
        <w:t xml:space="preserve"> om profittfri barnehage, </w:t>
      </w:r>
      <w:r w:rsidRPr="00E73D4B">
        <w:t xml:space="preserve">jf. </w:t>
      </w:r>
      <w:proofErr w:type="spellStart"/>
      <w:r w:rsidRPr="00E73D4B">
        <w:t>Innst</w:t>
      </w:r>
      <w:proofErr w:type="spellEnd"/>
      <w:r w:rsidRPr="00E73D4B">
        <w:t>. 114 S (2017–2018).</w:t>
      </w:r>
    </w:p>
    <w:p w14:paraId="72FED7D1" w14:textId="77777777" w:rsidR="00972395" w:rsidRPr="00E73D4B" w:rsidRDefault="00F120C7" w:rsidP="00E73D4B">
      <w:r w:rsidRPr="00E73D4B">
        <w:t xml:space="preserve">Departementet vil følge opp vedtaket i samband med den varsla gjennomgangen av regelverket for styring og finansiering av private </w:t>
      </w:r>
      <w:proofErr w:type="spellStart"/>
      <w:r w:rsidRPr="00E73D4B">
        <w:t>barnehagar</w:t>
      </w:r>
      <w:proofErr w:type="spellEnd"/>
      <w:r w:rsidRPr="00E73D4B">
        <w:t>.</w:t>
      </w:r>
    </w:p>
    <w:p w14:paraId="35AA5BAC"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638B9AF1" w14:textId="77777777" w:rsidR="00972395" w:rsidRPr="00E73D4B" w:rsidRDefault="00F120C7" w:rsidP="00E73D4B">
      <w:pPr>
        <w:pStyle w:val="avsnitt-tittel"/>
      </w:pPr>
      <w:r w:rsidRPr="00E73D4B">
        <w:t xml:space="preserve">Finansieringssystemet for private </w:t>
      </w:r>
      <w:proofErr w:type="spellStart"/>
      <w:r w:rsidRPr="00E73D4B">
        <w:t>barnehagar</w:t>
      </w:r>
      <w:proofErr w:type="spellEnd"/>
    </w:p>
    <w:p w14:paraId="7DC3F7FF" w14:textId="77777777" w:rsidR="00972395" w:rsidRPr="00E73D4B" w:rsidRDefault="00F120C7" w:rsidP="00E73D4B">
      <w:pPr>
        <w:pStyle w:val="avsnitt-undertittel"/>
      </w:pPr>
      <w:r w:rsidRPr="00E73D4B">
        <w:t>Vedtak nr. 802, 31. mai 2018</w:t>
      </w:r>
    </w:p>
    <w:p w14:paraId="620DF9C8" w14:textId="77777777" w:rsidR="00972395" w:rsidRPr="00E73D4B" w:rsidRDefault="00F120C7" w:rsidP="00E73D4B">
      <w:pPr>
        <w:pStyle w:val="blokksit"/>
        <w:rPr>
          <w:rStyle w:val="kursiv"/>
        </w:rPr>
      </w:pPr>
      <w:r w:rsidRPr="00E73D4B">
        <w:rPr>
          <w:rStyle w:val="kursiv"/>
        </w:rPr>
        <w:t>Stortinget ber regjeringen i sitt videre arbeid med regulering av barnehagesektoren se på modeller i finansieringssystemet som så langt som mulig ivaretar et mangfold av barnehager og barnehageeiere, samt reduserer etterslepet i tilskuddsgrunnlaget overfor private barnehager.</w:t>
      </w:r>
    </w:p>
    <w:p w14:paraId="4D344925"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w:t>
      </w:r>
      <w:proofErr w:type="spellStart"/>
      <w:r w:rsidRPr="00E73D4B">
        <w:t>Prop</w:t>
      </w:r>
      <w:proofErr w:type="spellEnd"/>
      <w:r w:rsidRPr="00E73D4B">
        <w:t xml:space="preserve">. 67 L (2017–2018) </w:t>
      </w:r>
      <w:r w:rsidRPr="00E73D4B">
        <w:rPr>
          <w:rStyle w:val="kursiv"/>
        </w:rPr>
        <w:t>Endringer i barnehageloven mv. (minimumsnorm for grunnbemanning, plikt til å samarbeide om barnas overgang fra barnehage til skole og SFO mv.)</w:t>
      </w:r>
      <w:r w:rsidRPr="00E73D4B">
        <w:t xml:space="preserve">, jf. </w:t>
      </w:r>
      <w:proofErr w:type="spellStart"/>
      <w:r w:rsidRPr="00E73D4B">
        <w:t>Innst</w:t>
      </w:r>
      <w:proofErr w:type="spellEnd"/>
      <w:r w:rsidRPr="00E73D4B">
        <w:t>. 319 L (2017–2018).</w:t>
      </w:r>
    </w:p>
    <w:p w14:paraId="69E6E1F6" w14:textId="77777777" w:rsidR="00972395" w:rsidRPr="00E73D4B" w:rsidRDefault="00F120C7" w:rsidP="00E73D4B">
      <w:r w:rsidRPr="00E73D4B">
        <w:t xml:space="preserve">Departementet vil følge opp vedtaket i samband med den varsla gjennomgangen av regelverket for styring og finansiering av private </w:t>
      </w:r>
      <w:proofErr w:type="spellStart"/>
      <w:r w:rsidRPr="00E73D4B">
        <w:t>barnehagar</w:t>
      </w:r>
      <w:proofErr w:type="spellEnd"/>
      <w:r w:rsidRPr="00E73D4B">
        <w:t xml:space="preserve">, jf. òg vedtak nr. 51, 22. november 2018, om finansieringssystemet for private og kommunale </w:t>
      </w:r>
      <w:proofErr w:type="spellStart"/>
      <w:r w:rsidRPr="00E73D4B">
        <w:t>barnehagar</w:t>
      </w:r>
      <w:proofErr w:type="spellEnd"/>
      <w:r w:rsidRPr="00E73D4B">
        <w:t>.</w:t>
      </w:r>
    </w:p>
    <w:p w14:paraId="59778C2F"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5A49BD8A" w14:textId="77777777" w:rsidR="00972395" w:rsidRPr="00E73D4B" w:rsidRDefault="00F120C7" w:rsidP="00E73D4B">
      <w:pPr>
        <w:pStyle w:val="Undertittel"/>
      </w:pPr>
      <w:r w:rsidRPr="00E73D4B">
        <w:t xml:space="preserve">Oppmodingsvedtak under forskings- og </w:t>
      </w:r>
      <w:proofErr w:type="spellStart"/>
      <w:r w:rsidRPr="00E73D4B">
        <w:t>høgare</w:t>
      </w:r>
      <w:proofErr w:type="spellEnd"/>
      <w:r w:rsidRPr="00E73D4B">
        <w:t xml:space="preserve"> utdanningsministeren</w:t>
      </w:r>
    </w:p>
    <w:p w14:paraId="59F94880" w14:textId="77777777" w:rsidR="00972395" w:rsidRPr="00E73D4B" w:rsidRDefault="00F120C7" w:rsidP="00E73D4B">
      <w:pPr>
        <w:pStyle w:val="avsnitt-tittel"/>
      </w:pPr>
      <w:proofErr w:type="spellStart"/>
      <w:r w:rsidRPr="00E73D4B">
        <w:t>Høgare</w:t>
      </w:r>
      <w:proofErr w:type="spellEnd"/>
      <w:r w:rsidRPr="00E73D4B">
        <w:t xml:space="preserve"> utdanning</w:t>
      </w:r>
    </w:p>
    <w:p w14:paraId="4B5F2985" w14:textId="77777777" w:rsidR="00972395" w:rsidRPr="00E73D4B" w:rsidRDefault="00F120C7" w:rsidP="00E73D4B">
      <w:pPr>
        <w:pStyle w:val="avsnitt-undertittel"/>
      </w:pPr>
      <w:r w:rsidRPr="00E73D4B">
        <w:t>Vedtak nr. 887, 11. juni 2018</w:t>
      </w:r>
    </w:p>
    <w:p w14:paraId="1CC8B70C" w14:textId="77777777" w:rsidR="00972395" w:rsidRPr="00E73D4B" w:rsidRDefault="00F120C7" w:rsidP="00E73D4B">
      <w:pPr>
        <w:pStyle w:val="blokksit"/>
        <w:rPr>
          <w:rStyle w:val="kursiv"/>
        </w:rPr>
      </w:pPr>
      <w:r w:rsidRPr="00E73D4B">
        <w:rPr>
          <w:rStyle w:val="kursiv"/>
        </w:rPr>
        <w:t xml:space="preserve">Stortinget ber regjeringen foreta en gjennomgang av dagens regelverk for rangering av søkere til høyere utdanning, inkludert utdanning som i dag </w:t>
      </w:r>
      <w:proofErr w:type="spellStart"/>
      <w:r w:rsidRPr="00E73D4B">
        <w:rPr>
          <w:rStyle w:val="kursiv"/>
        </w:rPr>
        <w:t>ikkje</w:t>
      </w:r>
      <w:proofErr w:type="spellEnd"/>
      <w:r w:rsidRPr="00E73D4B">
        <w:rPr>
          <w:rStyle w:val="kursiv"/>
        </w:rPr>
        <w:t xml:space="preserve"> gir poeng, og komme tilbake til Stortinget på egnet måte.</w:t>
      </w:r>
    </w:p>
    <w:p w14:paraId="5B231821"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Dokument 8:196 S (2017–2018) </w:t>
      </w:r>
      <w:r w:rsidRPr="00E73D4B">
        <w:rPr>
          <w:rStyle w:val="kursiv"/>
        </w:rPr>
        <w:t xml:space="preserve">Representantforslag fra stortingsrepresentantene Hans Fredrik Grøvan, Olaug V. Bollestad, Knut Arild Hareide og Steinar Reiten om å gi bibelskoleelever to tilleggspoeng, </w:t>
      </w:r>
      <w:r w:rsidRPr="00E73D4B">
        <w:t xml:space="preserve">jf. </w:t>
      </w:r>
      <w:proofErr w:type="spellStart"/>
      <w:r w:rsidRPr="00E73D4B">
        <w:t>Innst</w:t>
      </w:r>
      <w:proofErr w:type="spellEnd"/>
      <w:r w:rsidRPr="00E73D4B">
        <w:t>. 387 S (2017–2018).</w:t>
      </w:r>
    </w:p>
    <w:p w14:paraId="6C61A2D8" w14:textId="77777777" w:rsidR="00972395" w:rsidRPr="00E73D4B" w:rsidRDefault="00F120C7" w:rsidP="00E73D4B">
      <w:r w:rsidRPr="00E73D4B">
        <w:t xml:space="preserve">Kunnskapsdepartementet har starta arbeidet med </w:t>
      </w:r>
      <w:proofErr w:type="spellStart"/>
      <w:r w:rsidRPr="00E73D4B">
        <w:t>ein</w:t>
      </w:r>
      <w:proofErr w:type="spellEnd"/>
      <w:r w:rsidRPr="00E73D4B">
        <w:t xml:space="preserve"> </w:t>
      </w:r>
      <w:proofErr w:type="spellStart"/>
      <w:r w:rsidRPr="00E73D4B">
        <w:t>heilskapleg</w:t>
      </w:r>
      <w:proofErr w:type="spellEnd"/>
      <w:r w:rsidRPr="00E73D4B">
        <w:t xml:space="preserve"> gjennomgang av regelverket for rangering, inkludert alle </w:t>
      </w:r>
      <w:proofErr w:type="spellStart"/>
      <w:r w:rsidRPr="00E73D4B">
        <w:t>kvotar</w:t>
      </w:r>
      <w:proofErr w:type="spellEnd"/>
      <w:r w:rsidRPr="00E73D4B">
        <w:t xml:space="preserve"> og tilleggspoeng i systemet for opptak. Våren 2021 sette regjeringa ned </w:t>
      </w:r>
      <w:proofErr w:type="spellStart"/>
      <w:r w:rsidRPr="00E73D4B">
        <w:t>eit</w:t>
      </w:r>
      <w:proofErr w:type="spellEnd"/>
      <w:r w:rsidRPr="00E73D4B">
        <w:t xml:space="preserve"> </w:t>
      </w:r>
      <w:proofErr w:type="spellStart"/>
      <w:r w:rsidRPr="00E73D4B">
        <w:t>offentleg</w:t>
      </w:r>
      <w:proofErr w:type="spellEnd"/>
      <w:r w:rsidRPr="00E73D4B">
        <w:t xml:space="preserve"> </w:t>
      </w:r>
      <w:proofErr w:type="spellStart"/>
      <w:r w:rsidRPr="00E73D4B">
        <w:t>utval</w:t>
      </w:r>
      <w:proofErr w:type="spellEnd"/>
      <w:r w:rsidRPr="00E73D4B">
        <w:t xml:space="preserve"> (</w:t>
      </w:r>
      <w:proofErr w:type="spellStart"/>
      <w:r w:rsidRPr="00E73D4B">
        <w:t>Opptaksutvalet</w:t>
      </w:r>
      <w:proofErr w:type="spellEnd"/>
      <w:r w:rsidRPr="00E73D4B">
        <w:t xml:space="preserve">) som skal sjå på heile systemet for opptak til </w:t>
      </w:r>
      <w:proofErr w:type="spellStart"/>
      <w:r w:rsidRPr="00E73D4B">
        <w:t>høgare</w:t>
      </w:r>
      <w:proofErr w:type="spellEnd"/>
      <w:r w:rsidRPr="00E73D4B">
        <w:t xml:space="preserve"> utdanning. </w:t>
      </w:r>
      <w:proofErr w:type="spellStart"/>
      <w:r w:rsidRPr="00E73D4B">
        <w:t>Utvalet</w:t>
      </w:r>
      <w:proofErr w:type="spellEnd"/>
      <w:r w:rsidRPr="00E73D4B">
        <w:t xml:space="preserve"> skal levere sin rapport i desember 2022. 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78B13825" w14:textId="77777777" w:rsidR="00972395" w:rsidRPr="00E73D4B" w:rsidRDefault="00F120C7" w:rsidP="00E73D4B">
      <w:pPr>
        <w:pStyle w:val="Overskrift2"/>
      </w:pPr>
      <w:r w:rsidRPr="00E73D4B">
        <w:t>Stortingssesjon 2016–2017</w:t>
      </w:r>
    </w:p>
    <w:p w14:paraId="41C3D110" w14:textId="77777777" w:rsidR="00972395" w:rsidRPr="00E73D4B" w:rsidRDefault="00F120C7" w:rsidP="00E73D4B">
      <w:pPr>
        <w:pStyle w:val="Undertittel"/>
      </w:pPr>
      <w:r w:rsidRPr="00E73D4B">
        <w:t>Oppmodingsvedtak under kunnskapsministeren</w:t>
      </w:r>
    </w:p>
    <w:p w14:paraId="103822C4" w14:textId="77777777" w:rsidR="00972395" w:rsidRPr="00E73D4B" w:rsidRDefault="00F120C7" w:rsidP="00E73D4B">
      <w:pPr>
        <w:pStyle w:val="avsnitt-tittel"/>
      </w:pPr>
      <w:proofErr w:type="spellStart"/>
      <w:r w:rsidRPr="00E73D4B">
        <w:t>Hovudmål</w:t>
      </w:r>
      <w:proofErr w:type="spellEnd"/>
      <w:r w:rsidRPr="00E73D4B">
        <w:t xml:space="preserve"> og målformgrupper på </w:t>
      </w:r>
      <w:proofErr w:type="spellStart"/>
      <w:r w:rsidRPr="00E73D4B">
        <w:t>ungdomsskulen</w:t>
      </w:r>
      <w:proofErr w:type="spellEnd"/>
    </w:p>
    <w:p w14:paraId="549A6569" w14:textId="77777777" w:rsidR="00972395" w:rsidRPr="00E73D4B" w:rsidRDefault="00F120C7" w:rsidP="00E73D4B">
      <w:pPr>
        <w:pStyle w:val="avsnitt-undertittel"/>
      </w:pPr>
      <w:r w:rsidRPr="00E73D4B">
        <w:t>Vedtak nr. 67, 22. november 2016</w:t>
      </w:r>
    </w:p>
    <w:p w14:paraId="42314D6D" w14:textId="77777777" w:rsidR="00972395" w:rsidRPr="00E73D4B" w:rsidRDefault="00F120C7" w:rsidP="00E73D4B">
      <w:pPr>
        <w:pStyle w:val="blokksit"/>
        <w:rPr>
          <w:rStyle w:val="kursiv"/>
        </w:rPr>
      </w:pPr>
      <w:r w:rsidRPr="00E73D4B">
        <w:rPr>
          <w:rStyle w:val="kursiv"/>
        </w:rPr>
        <w:t xml:space="preserve">Stortinget ber regjeringen utrede en endring av </w:t>
      </w:r>
      <w:proofErr w:type="spellStart"/>
      <w:r w:rsidRPr="00E73D4B">
        <w:rPr>
          <w:rStyle w:val="kursiv"/>
        </w:rPr>
        <w:t>opplæringslova</w:t>
      </w:r>
      <w:proofErr w:type="spellEnd"/>
      <w:r w:rsidRPr="00E73D4B">
        <w:rPr>
          <w:rStyle w:val="kursiv"/>
        </w:rPr>
        <w:t xml:space="preserve"> § 2-5 og andre mulige tiltak som kan sikre elever på ungdomsskolen rett til opplæring på hovedmålet og rett til å tilhøre en egen målformgruppe, og komme tilbake til Stortinget på egnet måte.</w:t>
      </w:r>
    </w:p>
    <w:p w14:paraId="78743818"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Dokument 8:116 S (2015–2016) </w:t>
      </w:r>
      <w:r w:rsidRPr="00E73D4B">
        <w:rPr>
          <w:rStyle w:val="kursiv"/>
        </w:rPr>
        <w:t xml:space="preserve">Representantforslag </w:t>
      </w:r>
      <w:proofErr w:type="spellStart"/>
      <w:r w:rsidRPr="00E73D4B">
        <w:rPr>
          <w:rStyle w:val="kursiv"/>
        </w:rPr>
        <w:t>frå</w:t>
      </w:r>
      <w:proofErr w:type="spellEnd"/>
      <w:r w:rsidRPr="00E73D4B">
        <w:rPr>
          <w:rStyle w:val="kursiv"/>
        </w:rPr>
        <w:t xml:space="preserve"> </w:t>
      </w:r>
      <w:proofErr w:type="spellStart"/>
      <w:r w:rsidRPr="00E73D4B">
        <w:rPr>
          <w:rStyle w:val="kursiv"/>
        </w:rPr>
        <w:t>stortingsrepresentantane</w:t>
      </w:r>
      <w:proofErr w:type="spellEnd"/>
      <w:r w:rsidRPr="00E73D4B">
        <w:rPr>
          <w:rStyle w:val="kursiv"/>
        </w:rPr>
        <w:t xml:space="preserve"> Kjersti Toppe, Liv Signe Navarsete, Magne Rommetveit, Terje Breivik, Geir Sigbjørn </w:t>
      </w:r>
      <w:proofErr w:type="spellStart"/>
      <w:r w:rsidRPr="00E73D4B">
        <w:rPr>
          <w:rStyle w:val="kursiv"/>
        </w:rPr>
        <w:t>Toskedal</w:t>
      </w:r>
      <w:proofErr w:type="spellEnd"/>
      <w:r w:rsidRPr="00E73D4B">
        <w:rPr>
          <w:rStyle w:val="kursiv"/>
        </w:rPr>
        <w:t xml:space="preserve"> og Audun Lysbakken om </w:t>
      </w:r>
      <w:proofErr w:type="gramStart"/>
      <w:r w:rsidRPr="00E73D4B">
        <w:rPr>
          <w:rStyle w:val="kursiv"/>
        </w:rPr>
        <w:t>å sikra</w:t>
      </w:r>
      <w:proofErr w:type="gramEnd"/>
      <w:r w:rsidRPr="00E73D4B">
        <w:rPr>
          <w:rStyle w:val="kursiv"/>
        </w:rPr>
        <w:t xml:space="preserve"> alle </w:t>
      </w:r>
      <w:proofErr w:type="spellStart"/>
      <w:r w:rsidRPr="00E73D4B">
        <w:rPr>
          <w:rStyle w:val="kursiv"/>
        </w:rPr>
        <w:t>elevar</w:t>
      </w:r>
      <w:proofErr w:type="spellEnd"/>
      <w:r w:rsidRPr="00E73D4B">
        <w:rPr>
          <w:rStyle w:val="kursiv"/>
        </w:rPr>
        <w:t xml:space="preserve"> i </w:t>
      </w:r>
      <w:proofErr w:type="spellStart"/>
      <w:r w:rsidRPr="00E73D4B">
        <w:rPr>
          <w:rStyle w:val="kursiv"/>
        </w:rPr>
        <w:t>grunnskulen</w:t>
      </w:r>
      <w:proofErr w:type="spellEnd"/>
      <w:r w:rsidRPr="00E73D4B">
        <w:rPr>
          <w:rStyle w:val="kursiv"/>
        </w:rPr>
        <w:t xml:space="preserve"> rett til opplæring på </w:t>
      </w:r>
      <w:proofErr w:type="spellStart"/>
      <w:r w:rsidRPr="00E73D4B">
        <w:rPr>
          <w:rStyle w:val="kursiv"/>
        </w:rPr>
        <w:t>hovudmålet</w:t>
      </w:r>
      <w:proofErr w:type="spellEnd"/>
      <w:r w:rsidRPr="00E73D4B">
        <w:rPr>
          <w:rStyle w:val="kursiv"/>
        </w:rPr>
        <w:t xml:space="preserve"> sitt</w:t>
      </w:r>
      <w:r w:rsidRPr="00E73D4B">
        <w:t xml:space="preserve">, jf. </w:t>
      </w:r>
      <w:proofErr w:type="spellStart"/>
      <w:r w:rsidRPr="00E73D4B">
        <w:t>Innst</w:t>
      </w:r>
      <w:proofErr w:type="spellEnd"/>
      <w:r w:rsidRPr="00E73D4B">
        <w:t>. 68 S (2016–2017).</w:t>
      </w:r>
    </w:p>
    <w:p w14:paraId="1D98E755" w14:textId="77777777" w:rsidR="00972395" w:rsidRPr="00E73D4B" w:rsidRDefault="00F120C7" w:rsidP="00E73D4B">
      <w:r w:rsidRPr="00E73D4B">
        <w:t xml:space="preserve">Departementet viser til det </w:t>
      </w:r>
      <w:proofErr w:type="spellStart"/>
      <w:r w:rsidRPr="00E73D4B">
        <w:t>førebelse</w:t>
      </w:r>
      <w:proofErr w:type="spellEnd"/>
      <w:r w:rsidRPr="00E73D4B">
        <w:t xml:space="preserve"> overslaget som Stortinget blei orientert om i budsjettproposisjonen for 2019, for kva det vil koste dersom </w:t>
      </w:r>
      <w:proofErr w:type="spellStart"/>
      <w:r w:rsidRPr="00E73D4B">
        <w:t>elevar</w:t>
      </w:r>
      <w:proofErr w:type="spellEnd"/>
      <w:r w:rsidRPr="00E73D4B">
        <w:t xml:space="preserve"> på ungdomstrinnet skal få rett til opplæring på </w:t>
      </w:r>
      <w:proofErr w:type="spellStart"/>
      <w:r w:rsidRPr="00E73D4B">
        <w:t>hovudmålet</w:t>
      </w:r>
      <w:proofErr w:type="spellEnd"/>
      <w:r w:rsidRPr="00E73D4B">
        <w:t xml:space="preserve"> sitt og rett til å høyre til ei eiga målformgruppe slik som </w:t>
      </w:r>
      <w:proofErr w:type="spellStart"/>
      <w:r w:rsidRPr="00E73D4B">
        <w:t>elevar</w:t>
      </w:r>
      <w:proofErr w:type="spellEnd"/>
      <w:r w:rsidRPr="00E73D4B">
        <w:t xml:space="preserve"> på barnetrinnet.</w:t>
      </w:r>
    </w:p>
    <w:p w14:paraId="0DEF700A" w14:textId="77777777" w:rsidR="00972395" w:rsidRPr="00E73D4B" w:rsidRDefault="00F120C7" w:rsidP="00E73D4B">
      <w:r w:rsidRPr="00E73D4B">
        <w:t xml:space="preserve">Departementet sende forslag til ei ny opplæringslov på </w:t>
      </w:r>
      <w:proofErr w:type="spellStart"/>
      <w:r w:rsidRPr="00E73D4B">
        <w:t>offentleg</w:t>
      </w:r>
      <w:proofErr w:type="spellEnd"/>
      <w:r w:rsidRPr="00E73D4B">
        <w:t xml:space="preserve"> </w:t>
      </w:r>
      <w:proofErr w:type="spellStart"/>
      <w:r w:rsidRPr="00E73D4B">
        <w:t>høyring</w:t>
      </w:r>
      <w:proofErr w:type="spellEnd"/>
      <w:r w:rsidRPr="00E73D4B">
        <w:t xml:space="preserve"> 26. august 2021 og vurderer </w:t>
      </w:r>
      <w:proofErr w:type="spellStart"/>
      <w:r w:rsidRPr="00E73D4B">
        <w:t>no</w:t>
      </w:r>
      <w:proofErr w:type="spellEnd"/>
      <w:r w:rsidRPr="00E73D4B">
        <w:t xml:space="preserve"> </w:t>
      </w:r>
      <w:proofErr w:type="spellStart"/>
      <w:r w:rsidRPr="00E73D4B">
        <w:t>innspel</w:t>
      </w:r>
      <w:proofErr w:type="spellEnd"/>
      <w:r w:rsidRPr="00E73D4B">
        <w:t xml:space="preserve"> </w:t>
      </w:r>
      <w:proofErr w:type="spellStart"/>
      <w:r w:rsidRPr="00E73D4B">
        <w:t>frå</w:t>
      </w:r>
      <w:proofErr w:type="spellEnd"/>
      <w:r w:rsidRPr="00E73D4B">
        <w:t xml:space="preserve"> </w:t>
      </w:r>
      <w:proofErr w:type="spellStart"/>
      <w:r w:rsidRPr="00E73D4B">
        <w:t>høyringa</w:t>
      </w:r>
      <w:proofErr w:type="spellEnd"/>
      <w:r w:rsidRPr="00E73D4B">
        <w:t xml:space="preserve">. Departementet </w:t>
      </w:r>
      <w:proofErr w:type="spellStart"/>
      <w:r w:rsidRPr="00E73D4B">
        <w:t>tek</w:t>
      </w:r>
      <w:proofErr w:type="spellEnd"/>
      <w:r w:rsidRPr="00E73D4B">
        <w:t xml:space="preserve"> sikte på å legge fram </w:t>
      </w:r>
      <w:proofErr w:type="spellStart"/>
      <w:r w:rsidRPr="00E73D4B">
        <w:t>ein</w:t>
      </w:r>
      <w:proofErr w:type="spellEnd"/>
      <w:r w:rsidRPr="00E73D4B">
        <w:t xml:space="preserve"> lovproposisjon våren 2023.</w:t>
      </w:r>
    </w:p>
    <w:p w14:paraId="35A9E00A"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5104A025" w14:textId="77777777" w:rsidR="00972395" w:rsidRPr="00E73D4B" w:rsidRDefault="00F120C7" w:rsidP="00E73D4B">
      <w:pPr>
        <w:pStyle w:val="avsnitt-tittel"/>
      </w:pPr>
      <w:proofErr w:type="spellStart"/>
      <w:r w:rsidRPr="00E73D4B">
        <w:t>Lærarar</w:t>
      </w:r>
      <w:proofErr w:type="spellEnd"/>
      <w:r w:rsidRPr="00E73D4B">
        <w:t xml:space="preserve"> med fordjuping i spesialpedagogikk</w:t>
      </w:r>
    </w:p>
    <w:p w14:paraId="39809457" w14:textId="77777777" w:rsidR="00972395" w:rsidRPr="00E73D4B" w:rsidRDefault="00F120C7" w:rsidP="00E73D4B">
      <w:pPr>
        <w:pStyle w:val="avsnitt-undertittel"/>
      </w:pPr>
      <w:r w:rsidRPr="00E73D4B">
        <w:t>Vedtak nr. 900, 13. juni 2017</w:t>
      </w:r>
    </w:p>
    <w:p w14:paraId="14C7B2D6" w14:textId="77777777" w:rsidR="00972395" w:rsidRPr="00E73D4B" w:rsidRDefault="00F120C7" w:rsidP="00E73D4B">
      <w:pPr>
        <w:pStyle w:val="blokksit"/>
        <w:rPr>
          <w:rStyle w:val="kursiv"/>
        </w:rPr>
      </w:pPr>
      <w:r w:rsidRPr="00E73D4B">
        <w:rPr>
          <w:rStyle w:val="kursiv"/>
        </w:rPr>
        <w:t>Stortinget ber regjeringen i samråd med sektoren se til at alle skoler skal ha tilgang på lærere med fordypning innen spesialpedagogikk.</w:t>
      </w:r>
    </w:p>
    <w:p w14:paraId="4C247E6E"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Dokument 8:132 S (2016–2017) </w:t>
      </w:r>
      <w:r w:rsidRPr="00E73D4B">
        <w:rPr>
          <w:rStyle w:val="kursiv"/>
        </w:rPr>
        <w:t xml:space="preserve">Representantforslag fra stortingsrepresentantene Audun Lysbakken og Karin Andersen om styrket spesialpedagogisk oppfølging i en inkluderende skole, </w:t>
      </w:r>
      <w:r w:rsidRPr="00E73D4B">
        <w:t xml:space="preserve">jf. </w:t>
      </w:r>
      <w:proofErr w:type="spellStart"/>
      <w:r w:rsidRPr="00E73D4B">
        <w:t>Innst</w:t>
      </w:r>
      <w:proofErr w:type="spellEnd"/>
      <w:r w:rsidRPr="00E73D4B">
        <w:t>. 446 S (2016–2017).</w:t>
      </w:r>
    </w:p>
    <w:p w14:paraId="2F130EC4" w14:textId="77777777" w:rsidR="00972395" w:rsidRPr="00E73D4B" w:rsidRDefault="00F120C7" w:rsidP="00E73D4B">
      <w:r w:rsidRPr="00E73D4B">
        <w:t xml:space="preserve">Oppmodingsvedtak nr. 900 er </w:t>
      </w:r>
      <w:proofErr w:type="spellStart"/>
      <w:r w:rsidRPr="00E73D4B">
        <w:t>omtala</w:t>
      </w:r>
      <w:proofErr w:type="spellEnd"/>
      <w:r w:rsidRPr="00E73D4B">
        <w:t xml:space="preserve"> i Meld. St. 6 (2019–2020) </w:t>
      </w:r>
      <w:r w:rsidRPr="00E73D4B">
        <w:rPr>
          <w:rStyle w:val="kursiv"/>
        </w:rPr>
        <w:t xml:space="preserve">Tett på – tidlig innsats og inkluderende fellesskap i barnehage, skole og SFO, </w:t>
      </w:r>
      <w:r w:rsidRPr="00E73D4B">
        <w:t xml:space="preserve">som blei lagd fram i november 2019. Der blei det varsla at departementet ville vurdere korleis alle </w:t>
      </w:r>
      <w:proofErr w:type="spellStart"/>
      <w:r w:rsidRPr="00E73D4B">
        <w:t>barnehagar</w:t>
      </w:r>
      <w:proofErr w:type="spellEnd"/>
      <w:r w:rsidRPr="00E73D4B">
        <w:t xml:space="preserve"> og </w:t>
      </w:r>
      <w:proofErr w:type="spellStart"/>
      <w:r w:rsidRPr="00E73D4B">
        <w:t>skular</w:t>
      </w:r>
      <w:proofErr w:type="spellEnd"/>
      <w:r w:rsidRPr="00E73D4B">
        <w:t xml:space="preserve"> kan få </w:t>
      </w:r>
      <w:proofErr w:type="spellStart"/>
      <w:r w:rsidRPr="00E73D4B">
        <w:t>tilstrekkeleg</w:t>
      </w:r>
      <w:proofErr w:type="spellEnd"/>
      <w:r w:rsidRPr="00E73D4B">
        <w:t xml:space="preserve"> tilgang til spesialpedagogisk kompetanse.</w:t>
      </w:r>
    </w:p>
    <w:p w14:paraId="092A2FA7" w14:textId="77777777" w:rsidR="00972395" w:rsidRPr="00E73D4B" w:rsidRDefault="00F120C7" w:rsidP="00E73D4B">
      <w:r w:rsidRPr="00E73D4B">
        <w:t xml:space="preserve">Utdanningsdirektoratet </w:t>
      </w:r>
      <w:proofErr w:type="spellStart"/>
      <w:r w:rsidRPr="00E73D4B">
        <w:t>fekk</w:t>
      </w:r>
      <w:proofErr w:type="spellEnd"/>
      <w:r w:rsidRPr="00E73D4B">
        <w:t xml:space="preserve"> i oppdrag å greie ut dette </w:t>
      </w:r>
      <w:proofErr w:type="spellStart"/>
      <w:r w:rsidRPr="00E73D4B">
        <w:t>nærare</w:t>
      </w:r>
      <w:proofErr w:type="spellEnd"/>
      <w:r w:rsidRPr="00E73D4B">
        <w:t xml:space="preserve"> og har levert </w:t>
      </w:r>
      <w:proofErr w:type="spellStart"/>
      <w:r w:rsidRPr="00E73D4B">
        <w:t>eit</w:t>
      </w:r>
      <w:proofErr w:type="spellEnd"/>
      <w:r w:rsidRPr="00E73D4B">
        <w:t xml:space="preserve"> svar på oppdraget. Denne utgreiinga inngår i kunnskapsgrunnlaget for </w:t>
      </w:r>
      <w:proofErr w:type="spellStart"/>
      <w:r w:rsidRPr="00E73D4B">
        <w:t>moglege</w:t>
      </w:r>
      <w:proofErr w:type="spellEnd"/>
      <w:r w:rsidRPr="00E73D4B">
        <w:t xml:space="preserve"> </w:t>
      </w:r>
      <w:proofErr w:type="spellStart"/>
      <w:r w:rsidRPr="00E73D4B">
        <w:t>regelverksendringar</w:t>
      </w:r>
      <w:proofErr w:type="spellEnd"/>
      <w:r w:rsidRPr="00E73D4B">
        <w:t xml:space="preserve"> som blir behandla </w:t>
      </w:r>
      <w:proofErr w:type="spellStart"/>
      <w:r w:rsidRPr="00E73D4B">
        <w:t>saman</w:t>
      </w:r>
      <w:proofErr w:type="spellEnd"/>
      <w:r w:rsidRPr="00E73D4B">
        <w:t xml:space="preserve"> med forslaga </w:t>
      </w:r>
      <w:proofErr w:type="spellStart"/>
      <w:r w:rsidRPr="00E73D4B">
        <w:t>frå</w:t>
      </w:r>
      <w:proofErr w:type="spellEnd"/>
      <w:r w:rsidRPr="00E73D4B">
        <w:t xml:space="preserve"> </w:t>
      </w:r>
      <w:proofErr w:type="spellStart"/>
      <w:r w:rsidRPr="00E73D4B">
        <w:t>opplæringslovutvalet</w:t>
      </w:r>
      <w:proofErr w:type="spellEnd"/>
      <w:r w:rsidRPr="00E73D4B">
        <w:t xml:space="preserve"> i oppfølginga av NOU 2019: 23 </w:t>
      </w:r>
      <w:r w:rsidRPr="00E73D4B">
        <w:rPr>
          <w:rStyle w:val="kursiv"/>
        </w:rPr>
        <w:t>Ny opplæringslov</w:t>
      </w:r>
      <w:r w:rsidRPr="00E73D4B">
        <w:t>.</w:t>
      </w:r>
    </w:p>
    <w:p w14:paraId="3272C0DB" w14:textId="77777777" w:rsidR="00972395" w:rsidRPr="00E73D4B" w:rsidRDefault="00F120C7" w:rsidP="00E73D4B">
      <w:r w:rsidRPr="00E73D4B">
        <w:t xml:space="preserve">Departementet sende forslag til ny opplæringslov på </w:t>
      </w:r>
      <w:proofErr w:type="spellStart"/>
      <w:r w:rsidRPr="00E73D4B">
        <w:t>høyring</w:t>
      </w:r>
      <w:proofErr w:type="spellEnd"/>
      <w:r w:rsidRPr="00E73D4B">
        <w:t xml:space="preserve"> 26. august 2021. Forslaget bygger mellom anna på </w:t>
      </w:r>
      <w:proofErr w:type="spellStart"/>
      <w:r w:rsidRPr="00E73D4B">
        <w:t>opplæringslovutvalets</w:t>
      </w:r>
      <w:proofErr w:type="spellEnd"/>
      <w:r w:rsidRPr="00E73D4B">
        <w:t xml:space="preserve"> NOU 2019: 23 </w:t>
      </w:r>
      <w:r w:rsidRPr="00E73D4B">
        <w:rPr>
          <w:rStyle w:val="kursiv"/>
        </w:rPr>
        <w:t>Ny opplæringslov</w:t>
      </w:r>
      <w:r w:rsidRPr="00E73D4B">
        <w:t xml:space="preserve">. Departementet følger </w:t>
      </w:r>
      <w:proofErr w:type="spellStart"/>
      <w:r w:rsidRPr="00E73D4B">
        <w:t>no</w:t>
      </w:r>
      <w:proofErr w:type="spellEnd"/>
      <w:r w:rsidRPr="00E73D4B">
        <w:t xml:space="preserve"> opp </w:t>
      </w:r>
      <w:proofErr w:type="spellStart"/>
      <w:r w:rsidRPr="00E73D4B">
        <w:t>høyringa</w:t>
      </w:r>
      <w:proofErr w:type="spellEnd"/>
      <w:r w:rsidRPr="00E73D4B">
        <w:t xml:space="preserve">. Forslaget i </w:t>
      </w:r>
      <w:proofErr w:type="spellStart"/>
      <w:r w:rsidRPr="00E73D4B">
        <w:t>høyringa</w:t>
      </w:r>
      <w:proofErr w:type="spellEnd"/>
      <w:r w:rsidRPr="00E73D4B">
        <w:t xml:space="preserve"> </w:t>
      </w:r>
      <w:proofErr w:type="spellStart"/>
      <w:r w:rsidRPr="00E73D4B">
        <w:t>inneber</w:t>
      </w:r>
      <w:proofErr w:type="spellEnd"/>
      <w:r w:rsidRPr="00E73D4B">
        <w:t xml:space="preserve"> at </w:t>
      </w:r>
      <w:proofErr w:type="spellStart"/>
      <w:r w:rsidRPr="00E73D4B">
        <w:t>dei</w:t>
      </w:r>
      <w:proofErr w:type="spellEnd"/>
      <w:r w:rsidRPr="00E73D4B">
        <w:t xml:space="preserve"> som skal gi individuelt tilrettelagd opplæring (spesialundervisning), skal oppfylle krava for å bli tilsett i </w:t>
      </w:r>
      <w:proofErr w:type="spellStart"/>
      <w:r w:rsidRPr="00E73D4B">
        <w:t>lærarstilling</w:t>
      </w:r>
      <w:proofErr w:type="spellEnd"/>
      <w:r w:rsidRPr="00E73D4B">
        <w:t xml:space="preserve"> og krava til relevant kompetanse i undervisningsfaget. Det skal likevel kunne </w:t>
      </w:r>
      <w:proofErr w:type="spellStart"/>
      <w:r w:rsidRPr="00E73D4B">
        <w:t>gjerast</w:t>
      </w:r>
      <w:proofErr w:type="spellEnd"/>
      <w:r w:rsidRPr="00E73D4B">
        <w:t xml:space="preserve"> unntak </w:t>
      </w:r>
      <w:proofErr w:type="spellStart"/>
      <w:r w:rsidRPr="00E73D4B">
        <w:t>frå</w:t>
      </w:r>
      <w:proofErr w:type="spellEnd"/>
      <w:r w:rsidRPr="00E73D4B">
        <w:t xml:space="preserve"> krava til kompetanse for å gi individuelt tilrettelagd opplæring (spesialundervisning), men </w:t>
      </w:r>
      <w:proofErr w:type="spellStart"/>
      <w:r w:rsidRPr="00E73D4B">
        <w:t>berre</w:t>
      </w:r>
      <w:proofErr w:type="spellEnd"/>
      <w:r w:rsidRPr="00E73D4B">
        <w:t xml:space="preserve"> dersom det vil gi </w:t>
      </w:r>
      <w:proofErr w:type="spellStart"/>
      <w:r w:rsidRPr="00E73D4B">
        <w:t>elevane</w:t>
      </w:r>
      <w:proofErr w:type="spellEnd"/>
      <w:r w:rsidRPr="00E73D4B">
        <w:t xml:space="preserve"> betre opplæring. Dette </w:t>
      </w:r>
      <w:proofErr w:type="spellStart"/>
      <w:r w:rsidRPr="00E73D4B">
        <w:t>gjeld</w:t>
      </w:r>
      <w:proofErr w:type="spellEnd"/>
      <w:r w:rsidRPr="00E73D4B">
        <w:t xml:space="preserve"> både for krava til å bli tilsett i </w:t>
      </w:r>
      <w:proofErr w:type="spellStart"/>
      <w:r w:rsidRPr="00E73D4B">
        <w:t>lærarstilling</w:t>
      </w:r>
      <w:proofErr w:type="spellEnd"/>
      <w:r w:rsidRPr="00E73D4B">
        <w:t xml:space="preserve"> og kravet til relevant kompetanse i undervisningsfag. Departementet foreslår at slike unntak </w:t>
      </w:r>
      <w:proofErr w:type="spellStart"/>
      <w:r w:rsidRPr="00E73D4B">
        <w:t>berre</w:t>
      </w:r>
      <w:proofErr w:type="spellEnd"/>
      <w:r w:rsidRPr="00E73D4B">
        <w:t xml:space="preserve"> kan </w:t>
      </w:r>
      <w:proofErr w:type="spellStart"/>
      <w:r w:rsidRPr="00E73D4B">
        <w:t>gjerast</w:t>
      </w:r>
      <w:proofErr w:type="spellEnd"/>
      <w:r w:rsidRPr="00E73D4B">
        <w:t xml:space="preserve"> for </w:t>
      </w:r>
      <w:proofErr w:type="spellStart"/>
      <w:r w:rsidRPr="00E73D4B">
        <w:t>personar</w:t>
      </w:r>
      <w:proofErr w:type="spellEnd"/>
      <w:r w:rsidRPr="00E73D4B">
        <w:t xml:space="preserve"> med ei universitets- eller </w:t>
      </w:r>
      <w:proofErr w:type="spellStart"/>
      <w:r w:rsidRPr="00E73D4B">
        <w:t>høgskuleutdanning</w:t>
      </w:r>
      <w:proofErr w:type="spellEnd"/>
      <w:r w:rsidRPr="00E73D4B">
        <w:t xml:space="preserve"> som </w:t>
      </w:r>
      <w:proofErr w:type="spellStart"/>
      <w:r w:rsidRPr="00E73D4B">
        <w:t>gjer</w:t>
      </w:r>
      <w:proofErr w:type="spellEnd"/>
      <w:r w:rsidRPr="00E73D4B">
        <w:t xml:space="preserve"> </w:t>
      </w:r>
      <w:proofErr w:type="spellStart"/>
      <w:r w:rsidRPr="00E73D4B">
        <w:t>dei</w:t>
      </w:r>
      <w:proofErr w:type="spellEnd"/>
      <w:r w:rsidRPr="00E73D4B">
        <w:t xml:space="preserve"> </w:t>
      </w:r>
      <w:proofErr w:type="spellStart"/>
      <w:r w:rsidRPr="00E73D4B">
        <w:t>særleg</w:t>
      </w:r>
      <w:proofErr w:type="spellEnd"/>
      <w:r w:rsidRPr="00E73D4B">
        <w:t xml:space="preserve"> eigna til å vareta behova til </w:t>
      </w:r>
      <w:proofErr w:type="spellStart"/>
      <w:r w:rsidRPr="00E73D4B">
        <w:t>elevane</w:t>
      </w:r>
      <w:proofErr w:type="spellEnd"/>
      <w:r w:rsidRPr="00E73D4B">
        <w:t xml:space="preserve">. Unntaket </w:t>
      </w:r>
      <w:proofErr w:type="spellStart"/>
      <w:r w:rsidRPr="00E73D4B">
        <w:t>opnar</w:t>
      </w:r>
      <w:proofErr w:type="spellEnd"/>
      <w:r w:rsidRPr="00E73D4B">
        <w:t xml:space="preserve"> for at til dømes </w:t>
      </w:r>
      <w:proofErr w:type="spellStart"/>
      <w:r w:rsidRPr="00E73D4B">
        <w:t>ein</w:t>
      </w:r>
      <w:proofErr w:type="spellEnd"/>
      <w:r w:rsidRPr="00E73D4B">
        <w:t xml:space="preserve"> barnevernspedagog eller spesialpedagog som har relevant kompetanse, men som </w:t>
      </w:r>
      <w:proofErr w:type="spellStart"/>
      <w:r w:rsidRPr="00E73D4B">
        <w:t>ikkje</w:t>
      </w:r>
      <w:proofErr w:type="spellEnd"/>
      <w:r w:rsidRPr="00E73D4B">
        <w:t xml:space="preserve"> har </w:t>
      </w:r>
      <w:proofErr w:type="spellStart"/>
      <w:r w:rsidRPr="00E73D4B">
        <w:t>lærarutdanning</w:t>
      </w:r>
      <w:proofErr w:type="spellEnd"/>
      <w:r w:rsidRPr="00E73D4B">
        <w:t xml:space="preserve">, kan ha ansvaret for å planlegge, gjennomføre og følge opp undervisninga når det er </w:t>
      </w:r>
      <w:proofErr w:type="spellStart"/>
      <w:r w:rsidRPr="00E73D4B">
        <w:t>fagleg</w:t>
      </w:r>
      <w:proofErr w:type="spellEnd"/>
      <w:r w:rsidRPr="00E73D4B">
        <w:t xml:space="preserve"> og konkret grunngitt.</w:t>
      </w:r>
    </w:p>
    <w:p w14:paraId="775D6B52" w14:textId="77777777" w:rsidR="00972395" w:rsidRPr="00E73D4B" w:rsidRDefault="00F120C7" w:rsidP="00E73D4B">
      <w:r w:rsidRPr="00E73D4B">
        <w:t xml:space="preserve">Departementet vurderer </w:t>
      </w:r>
      <w:proofErr w:type="spellStart"/>
      <w:r w:rsidRPr="00E73D4B">
        <w:t>no</w:t>
      </w:r>
      <w:proofErr w:type="spellEnd"/>
      <w:r w:rsidRPr="00E73D4B">
        <w:t xml:space="preserve"> </w:t>
      </w:r>
      <w:proofErr w:type="spellStart"/>
      <w:r w:rsidRPr="00E73D4B">
        <w:t>innspel</w:t>
      </w:r>
      <w:proofErr w:type="spellEnd"/>
      <w:r w:rsidRPr="00E73D4B">
        <w:t xml:space="preserve"> </w:t>
      </w:r>
      <w:proofErr w:type="spellStart"/>
      <w:r w:rsidRPr="00E73D4B">
        <w:t>frå</w:t>
      </w:r>
      <w:proofErr w:type="spellEnd"/>
      <w:r w:rsidRPr="00E73D4B">
        <w:t xml:space="preserve"> </w:t>
      </w:r>
      <w:proofErr w:type="spellStart"/>
      <w:r w:rsidRPr="00E73D4B">
        <w:t>høyringa</w:t>
      </w:r>
      <w:proofErr w:type="spellEnd"/>
      <w:r w:rsidRPr="00E73D4B">
        <w:t xml:space="preserve"> og </w:t>
      </w:r>
      <w:proofErr w:type="spellStart"/>
      <w:r w:rsidRPr="00E73D4B">
        <w:t>tek</w:t>
      </w:r>
      <w:proofErr w:type="spellEnd"/>
      <w:r w:rsidRPr="00E73D4B">
        <w:t xml:space="preserve"> sikte på å legge forslag til ny opplæringslov fram for Stortinget i </w:t>
      </w:r>
      <w:proofErr w:type="spellStart"/>
      <w:r w:rsidRPr="00E73D4B">
        <w:t>ein</w:t>
      </w:r>
      <w:proofErr w:type="spellEnd"/>
      <w:r w:rsidRPr="00E73D4B">
        <w:t xml:space="preserve"> lovproposisjon våren 2023.</w:t>
      </w:r>
    </w:p>
    <w:p w14:paraId="55EB19DB" w14:textId="77777777" w:rsidR="00972395" w:rsidRPr="00E73D4B" w:rsidRDefault="00F120C7" w:rsidP="00E73D4B">
      <w:r w:rsidRPr="00E73D4B">
        <w:t xml:space="preserve">Departementet viser til at det er sett i gang </w:t>
      </w:r>
      <w:proofErr w:type="spellStart"/>
      <w:r w:rsidRPr="00E73D4B">
        <w:t>eit</w:t>
      </w:r>
      <w:proofErr w:type="spellEnd"/>
      <w:r w:rsidRPr="00E73D4B">
        <w:t xml:space="preserve"> varig kompetanseløft i spesialpedagogikk og </w:t>
      </w:r>
      <w:proofErr w:type="spellStart"/>
      <w:r w:rsidRPr="00E73D4B">
        <w:t>inkluderande</w:t>
      </w:r>
      <w:proofErr w:type="spellEnd"/>
      <w:r w:rsidRPr="00E73D4B">
        <w:t xml:space="preserve"> praksis som skal bidra til at </w:t>
      </w:r>
      <w:proofErr w:type="spellStart"/>
      <w:r w:rsidRPr="00E73D4B">
        <w:t>kommunane</w:t>
      </w:r>
      <w:proofErr w:type="spellEnd"/>
      <w:r w:rsidRPr="00E73D4B">
        <w:t xml:space="preserve"> og </w:t>
      </w:r>
      <w:proofErr w:type="spellStart"/>
      <w:r w:rsidRPr="00E73D4B">
        <w:t>fylkeskommunane</w:t>
      </w:r>
      <w:proofErr w:type="spellEnd"/>
      <w:r w:rsidRPr="00E73D4B">
        <w:t xml:space="preserve"> har </w:t>
      </w:r>
      <w:proofErr w:type="spellStart"/>
      <w:r w:rsidRPr="00E73D4B">
        <w:t>tilstrekkeleg</w:t>
      </w:r>
      <w:proofErr w:type="spellEnd"/>
      <w:r w:rsidRPr="00E73D4B">
        <w:t xml:space="preserve"> kompetanse til å </w:t>
      </w:r>
      <w:proofErr w:type="spellStart"/>
      <w:r w:rsidRPr="00E73D4B">
        <w:t>førebygge</w:t>
      </w:r>
      <w:proofErr w:type="spellEnd"/>
      <w:r w:rsidRPr="00E73D4B">
        <w:t xml:space="preserve">, fange opp og følge opp alle barn og </w:t>
      </w:r>
      <w:proofErr w:type="spellStart"/>
      <w:r w:rsidRPr="00E73D4B">
        <w:t>elevar</w:t>
      </w:r>
      <w:proofErr w:type="spellEnd"/>
      <w:r w:rsidRPr="00E73D4B">
        <w:t xml:space="preserve"> – inkludert </w:t>
      </w:r>
      <w:proofErr w:type="spellStart"/>
      <w:r w:rsidRPr="00E73D4B">
        <w:t>elevar</w:t>
      </w:r>
      <w:proofErr w:type="spellEnd"/>
      <w:r w:rsidRPr="00E73D4B">
        <w:t xml:space="preserve"> med behov for </w:t>
      </w:r>
      <w:proofErr w:type="spellStart"/>
      <w:r w:rsidRPr="00E73D4B">
        <w:t>særskild</w:t>
      </w:r>
      <w:proofErr w:type="spellEnd"/>
      <w:r w:rsidRPr="00E73D4B">
        <w:t xml:space="preserve"> tilrettelegging – slik at </w:t>
      </w:r>
      <w:proofErr w:type="spellStart"/>
      <w:r w:rsidRPr="00E73D4B">
        <w:t>dei</w:t>
      </w:r>
      <w:proofErr w:type="spellEnd"/>
      <w:r w:rsidRPr="00E73D4B">
        <w:t xml:space="preserve"> får </w:t>
      </w:r>
      <w:proofErr w:type="spellStart"/>
      <w:r w:rsidRPr="00E73D4B">
        <w:t>eit</w:t>
      </w:r>
      <w:proofErr w:type="spellEnd"/>
      <w:r w:rsidRPr="00E73D4B">
        <w:t xml:space="preserve"> </w:t>
      </w:r>
      <w:proofErr w:type="spellStart"/>
      <w:r w:rsidRPr="00E73D4B">
        <w:t>inkluderande</w:t>
      </w:r>
      <w:proofErr w:type="spellEnd"/>
      <w:r w:rsidRPr="00E73D4B">
        <w:t xml:space="preserve"> og tilpassa pedagogisk </w:t>
      </w:r>
      <w:proofErr w:type="spellStart"/>
      <w:r w:rsidRPr="00E73D4B">
        <w:t>tilbod</w:t>
      </w:r>
      <w:proofErr w:type="spellEnd"/>
      <w:r w:rsidRPr="00E73D4B">
        <w:t xml:space="preserve"> i barnehage og </w:t>
      </w:r>
      <w:proofErr w:type="spellStart"/>
      <w:r w:rsidRPr="00E73D4B">
        <w:t>skule</w:t>
      </w:r>
      <w:proofErr w:type="spellEnd"/>
      <w:r w:rsidRPr="00E73D4B">
        <w:t xml:space="preserve">. I tillegg skal </w:t>
      </w:r>
      <w:proofErr w:type="spellStart"/>
      <w:r w:rsidRPr="00E73D4B">
        <w:t>endringane</w:t>
      </w:r>
      <w:proofErr w:type="spellEnd"/>
      <w:r w:rsidRPr="00E73D4B">
        <w:t xml:space="preserve"> i </w:t>
      </w:r>
      <w:proofErr w:type="spellStart"/>
      <w:r w:rsidRPr="00E73D4B">
        <w:t>Statped</w:t>
      </w:r>
      <w:proofErr w:type="spellEnd"/>
      <w:r w:rsidRPr="00E73D4B">
        <w:t xml:space="preserve"> bidra til </w:t>
      </w:r>
      <w:proofErr w:type="spellStart"/>
      <w:r w:rsidRPr="00E73D4B">
        <w:t>meir</w:t>
      </w:r>
      <w:proofErr w:type="spellEnd"/>
      <w:r w:rsidRPr="00E73D4B">
        <w:t xml:space="preserve"> likeverdige </w:t>
      </w:r>
      <w:proofErr w:type="spellStart"/>
      <w:r w:rsidRPr="00E73D4B">
        <w:t>tenester</w:t>
      </w:r>
      <w:proofErr w:type="spellEnd"/>
      <w:r w:rsidRPr="00E73D4B">
        <w:t xml:space="preserve"> </w:t>
      </w:r>
      <w:proofErr w:type="spellStart"/>
      <w:r w:rsidRPr="00E73D4B">
        <w:t>frå</w:t>
      </w:r>
      <w:proofErr w:type="spellEnd"/>
      <w:r w:rsidRPr="00E73D4B">
        <w:t xml:space="preserve"> </w:t>
      </w:r>
      <w:proofErr w:type="spellStart"/>
      <w:r w:rsidRPr="00E73D4B">
        <w:t>Statped</w:t>
      </w:r>
      <w:proofErr w:type="spellEnd"/>
      <w:r w:rsidRPr="00E73D4B">
        <w:t xml:space="preserve"> over heile landet når det </w:t>
      </w:r>
      <w:proofErr w:type="spellStart"/>
      <w:r w:rsidRPr="00E73D4B">
        <w:t>gjeld</w:t>
      </w:r>
      <w:proofErr w:type="spellEnd"/>
      <w:r w:rsidRPr="00E73D4B">
        <w:t xml:space="preserve"> barn og </w:t>
      </w:r>
      <w:proofErr w:type="spellStart"/>
      <w:r w:rsidRPr="00E73D4B">
        <w:t>elevar</w:t>
      </w:r>
      <w:proofErr w:type="spellEnd"/>
      <w:r w:rsidRPr="00E73D4B">
        <w:t xml:space="preserve"> med varige, </w:t>
      </w:r>
      <w:proofErr w:type="spellStart"/>
      <w:r w:rsidRPr="00E73D4B">
        <w:t>omfattande</w:t>
      </w:r>
      <w:proofErr w:type="spellEnd"/>
      <w:r w:rsidRPr="00E73D4B">
        <w:t xml:space="preserve"> eller </w:t>
      </w:r>
      <w:proofErr w:type="spellStart"/>
      <w:r w:rsidRPr="00E73D4B">
        <w:t>særleg</w:t>
      </w:r>
      <w:proofErr w:type="spellEnd"/>
      <w:r w:rsidRPr="00E73D4B">
        <w:t xml:space="preserve"> komplekse behov.</w:t>
      </w:r>
    </w:p>
    <w:p w14:paraId="374BC425"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70B09442" w14:textId="77777777" w:rsidR="00972395" w:rsidRPr="00E73D4B" w:rsidRDefault="00F120C7" w:rsidP="00E73D4B">
      <w:pPr>
        <w:pStyle w:val="avsnitt-tittel"/>
      </w:pPr>
      <w:r w:rsidRPr="00E73D4B">
        <w:t xml:space="preserve">Rett til spesialundervisning av </w:t>
      </w:r>
      <w:proofErr w:type="spellStart"/>
      <w:r w:rsidRPr="00E73D4B">
        <w:t>fagpersonar</w:t>
      </w:r>
      <w:proofErr w:type="spellEnd"/>
    </w:p>
    <w:p w14:paraId="4134997E" w14:textId="77777777" w:rsidR="00972395" w:rsidRPr="00E73D4B" w:rsidRDefault="00F120C7" w:rsidP="00E73D4B">
      <w:pPr>
        <w:pStyle w:val="avsnitt-undertittel"/>
      </w:pPr>
      <w:r w:rsidRPr="00E73D4B">
        <w:t>Vedtak nr. 901, 13. juni 2017</w:t>
      </w:r>
    </w:p>
    <w:p w14:paraId="19F157CF" w14:textId="77777777" w:rsidR="00972395" w:rsidRPr="00E73D4B" w:rsidRDefault="00F120C7" w:rsidP="00E73D4B">
      <w:pPr>
        <w:pStyle w:val="blokksit"/>
        <w:rPr>
          <w:rStyle w:val="kursiv"/>
        </w:rPr>
      </w:pPr>
      <w:r w:rsidRPr="00E73D4B">
        <w:rPr>
          <w:rStyle w:val="kursiv"/>
        </w:rPr>
        <w:t>Stortinget ber regjeringen sikre at alle elever med behov for spesialundervisning får rett til opplæring av fagpersoner med godkjent relevant utdanning.</w:t>
      </w:r>
    </w:p>
    <w:p w14:paraId="5AC25C4A"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Dokument 8:132 S (2016–2017) </w:t>
      </w:r>
      <w:r w:rsidRPr="00E73D4B">
        <w:rPr>
          <w:rStyle w:val="kursiv"/>
        </w:rPr>
        <w:t>Representantforslag fra stortingsrepresentantene Audun Lysbakken og Karin Andersen om styrket spesialpedagogisk oppfølging i en inkluderende skole,</w:t>
      </w:r>
      <w:r w:rsidRPr="00E73D4B">
        <w:t xml:space="preserve"> jf. </w:t>
      </w:r>
      <w:proofErr w:type="spellStart"/>
      <w:r w:rsidRPr="00E73D4B">
        <w:t>Innst</w:t>
      </w:r>
      <w:proofErr w:type="spellEnd"/>
      <w:r w:rsidRPr="00E73D4B">
        <w:t>. 446 S (2016–2017).</w:t>
      </w:r>
    </w:p>
    <w:p w14:paraId="6D5B76A5" w14:textId="77777777" w:rsidR="00972395" w:rsidRPr="00E73D4B" w:rsidRDefault="00F120C7" w:rsidP="00E73D4B">
      <w:r w:rsidRPr="00E73D4B">
        <w:t xml:space="preserve">Departementet viser til svaret i omtalen av oppmodingsvedtak nr. 900, 13. juni 2017, og at forslaget vil bli behandla i arbeidet med ny opplæringslov. Regjeringa </w:t>
      </w:r>
      <w:proofErr w:type="spellStart"/>
      <w:r w:rsidRPr="00E73D4B">
        <w:t>tek</w:t>
      </w:r>
      <w:proofErr w:type="spellEnd"/>
      <w:r w:rsidRPr="00E73D4B">
        <w:t xml:space="preserve"> sikte på å legge forslag til ny opplæringslov fram for Stortinget i </w:t>
      </w:r>
      <w:proofErr w:type="spellStart"/>
      <w:r w:rsidRPr="00E73D4B">
        <w:t>ein</w:t>
      </w:r>
      <w:proofErr w:type="spellEnd"/>
      <w:r w:rsidRPr="00E73D4B">
        <w:t xml:space="preserve"> lovproposisjon våren 2023.</w:t>
      </w:r>
    </w:p>
    <w:p w14:paraId="68E38A21"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7C370D4B" w14:textId="77777777" w:rsidR="00972395" w:rsidRPr="00E73D4B" w:rsidRDefault="00F120C7" w:rsidP="00E73D4B">
      <w:pPr>
        <w:pStyle w:val="avsnitt-tittel"/>
      </w:pPr>
      <w:r w:rsidRPr="00E73D4B">
        <w:t xml:space="preserve">Spesialundervisning og </w:t>
      </w:r>
      <w:proofErr w:type="spellStart"/>
      <w:r w:rsidRPr="00E73D4B">
        <w:t>lærarkompetanse</w:t>
      </w:r>
      <w:proofErr w:type="spellEnd"/>
    </w:p>
    <w:p w14:paraId="6705F95E" w14:textId="77777777" w:rsidR="00972395" w:rsidRPr="00E73D4B" w:rsidRDefault="00F120C7" w:rsidP="00E73D4B">
      <w:pPr>
        <w:pStyle w:val="avsnitt-undertittel"/>
      </w:pPr>
      <w:r w:rsidRPr="00E73D4B">
        <w:t>Vedtak nr. 903, 13. juni 2017</w:t>
      </w:r>
    </w:p>
    <w:p w14:paraId="6B3C868E" w14:textId="77777777" w:rsidR="00972395" w:rsidRPr="00E73D4B" w:rsidRDefault="00F120C7" w:rsidP="00E73D4B">
      <w:pPr>
        <w:pStyle w:val="blokksit"/>
        <w:rPr>
          <w:rStyle w:val="kursiv"/>
        </w:rPr>
      </w:pPr>
      <w:r w:rsidRPr="00E73D4B">
        <w:rPr>
          <w:rStyle w:val="kursiv"/>
        </w:rPr>
        <w:t>Stortinget ber regjeringen legge frem en plan for at alle elever med behov for spesialundervisning får opplæring av fagpersoner med pedagogisk eller spesialpedagogisk kompetanse.</w:t>
      </w:r>
    </w:p>
    <w:p w14:paraId="0C02D5A6"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Dokument 8:132 S (2016–2017) </w:t>
      </w:r>
      <w:r w:rsidRPr="00E73D4B">
        <w:rPr>
          <w:rStyle w:val="kursiv"/>
        </w:rPr>
        <w:t>Representantforslag fra stortingsrepresentantene Audun Lysbakken og Karin Andersen om styrket spesialpedagogisk oppfølging i en inkluderende skole,</w:t>
      </w:r>
      <w:r w:rsidRPr="00E73D4B">
        <w:t xml:space="preserve"> jf. </w:t>
      </w:r>
      <w:proofErr w:type="spellStart"/>
      <w:r w:rsidRPr="00E73D4B">
        <w:t>Innst</w:t>
      </w:r>
      <w:proofErr w:type="spellEnd"/>
      <w:r w:rsidRPr="00E73D4B">
        <w:t>. 446 S (2016–2017).</w:t>
      </w:r>
    </w:p>
    <w:p w14:paraId="63CAEFAF" w14:textId="77777777" w:rsidR="00972395" w:rsidRPr="00E73D4B" w:rsidRDefault="00F120C7" w:rsidP="00E73D4B">
      <w:r w:rsidRPr="00E73D4B">
        <w:t xml:space="preserve">Departementet viser til svar under oppmodingsvedtak nr. 900, 13. juni 2017, og at forslaget vil bli behandla i arbeidet med ny opplæringslov. Regjeringa </w:t>
      </w:r>
      <w:proofErr w:type="spellStart"/>
      <w:r w:rsidRPr="00E73D4B">
        <w:t>tek</w:t>
      </w:r>
      <w:proofErr w:type="spellEnd"/>
      <w:r w:rsidRPr="00E73D4B">
        <w:t xml:space="preserve"> sikte på å legge forslag til ny opplæringslov fram for Stortinget i </w:t>
      </w:r>
      <w:proofErr w:type="spellStart"/>
      <w:r w:rsidRPr="00E73D4B">
        <w:t>ein</w:t>
      </w:r>
      <w:proofErr w:type="spellEnd"/>
      <w:r w:rsidRPr="00E73D4B">
        <w:t xml:space="preserve"> lovproposisjon våren 2023.</w:t>
      </w:r>
    </w:p>
    <w:p w14:paraId="7B59F71E"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456A4557" w14:textId="77777777" w:rsidR="00972395" w:rsidRPr="00E73D4B" w:rsidRDefault="00F120C7" w:rsidP="00E73D4B">
      <w:pPr>
        <w:pStyle w:val="Undertittel"/>
      </w:pPr>
      <w:r w:rsidRPr="00E73D4B">
        <w:t xml:space="preserve">Oppmodingsvedtak under forskings- og </w:t>
      </w:r>
      <w:proofErr w:type="spellStart"/>
      <w:r w:rsidRPr="00E73D4B">
        <w:t>høgare</w:t>
      </w:r>
      <w:proofErr w:type="spellEnd"/>
      <w:r w:rsidRPr="00E73D4B">
        <w:t xml:space="preserve"> utdanningsministeren</w:t>
      </w:r>
    </w:p>
    <w:p w14:paraId="18F2F5CC" w14:textId="77777777" w:rsidR="00972395" w:rsidRPr="00E73D4B" w:rsidRDefault="00F120C7" w:rsidP="00E73D4B">
      <w:pPr>
        <w:pStyle w:val="avsnitt-tittel"/>
      </w:pPr>
      <w:r w:rsidRPr="00E73D4B">
        <w:t xml:space="preserve">Medlemskap i studentsamskipnad for </w:t>
      </w:r>
      <w:proofErr w:type="spellStart"/>
      <w:r w:rsidRPr="00E73D4B">
        <w:t>fagskular</w:t>
      </w:r>
      <w:proofErr w:type="spellEnd"/>
    </w:p>
    <w:p w14:paraId="3BCC48C2" w14:textId="77777777" w:rsidR="00972395" w:rsidRPr="00E73D4B" w:rsidRDefault="00F120C7" w:rsidP="00E73D4B">
      <w:pPr>
        <w:pStyle w:val="avsnitt-undertittel"/>
      </w:pPr>
      <w:r w:rsidRPr="00E73D4B">
        <w:t xml:space="preserve">Vedtak nr. 642, 2. mai 2017 </w:t>
      </w:r>
    </w:p>
    <w:p w14:paraId="2710166A" w14:textId="77777777" w:rsidR="00972395" w:rsidRPr="00E73D4B" w:rsidRDefault="00F120C7" w:rsidP="00E73D4B">
      <w:pPr>
        <w:pStyle w:val="blokksit"/>
        <w:rPr>
          <w:rStyle w:val="kursiv"/>
        </w:rPr>
      </w:pPr>
      <w:r w:rsidRPr="00E73D4B">
        <w:rPr>
          <w:rStyle w:val="kursiv"/>
        </w:rPr>
        <w:t>Stortinget ber regjeringen i forbindelse med evalueringen av de kvalitetshevende tiltakene vurdere om fagskoler etter bestemte kriterier bør ha plikt til medlemskap i studentsamskipnad.</w:t>
      </w:r>
    </w:p>
    <w:p w14:paraId="2F38B57A"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9 (2016–2017) </w:t>
      </w:r>
      <w:r w:rsidRPr="00E73D4B">
        <w:rPr>
          <w:rStyle w:val="kursiv"/>
        </w:rPr>
        <w:t>Fagfolk for fremtiden. Fagskoleutdanning</w:t>
      </w:r>
      <w:r w:rsidRPr="00E73D4B">
        <w:t xml:space="preserve">, jf. </w:t>
      </w:r>
      <w:proofErr w:type="spellStart"/>
      <w:r w:rsidRPr="00E73D4B">
        <w:t>Innst</w:t>
      </w:r>
      <w:proofErr w:type="spellEnd"/>
      <w:r w:rsidRPr="00E73D4B">
        <w:t>. 254 S (2016–2017).</w:t>
      </w:r>
    </w:p>
    <w:p w14:paraId="2D96E269" w14:textId="77777777" w:rsidR="00972395" w:rsidRPr="00E73D4B" w:rsidRDefault="00F120C7" w:rsidP="00E73D4B">
      <w:r w:rsidRPr="00E73D4B">
        <w:t xml:space="preserve">Kunnskapsdepartementet vil følge opp vedtaket i samband med oppfølginga av evaluering av innføring og verknad av tiltaka i fagskulemeldinga, jf. Meld. St. 9 (2016–2017) </w:t>
      </w:r>
      <w:r w:rsidRPr="00E73D4B">
        <w:rPr>
          <w:rStyle w:val="kursiv"/>
        </w:rPr>
        <w:t xml:space="preserve">Fagfolk for fremtiden </w:t>
      </w:r>
      <w:r w:rsidRPr="00E73D4B">
        <w:t>–</w:t>
      </w:r>
      <w:r w:rsidRPr="00E73D4B">
        <w:rPr>
          <w:rStyle w:val="kursiv"/>
        </w:rPr>
        <w:t xml:space="preserve"> Fagskoleutdanning</w:t>
      </w:r>
      <w:r w:rsidRPr="00E73D4B">
        <w:t xml:space="preserve">. </w:t>
      </w:r>
      <w:proofErr w:type="spellStart"/>
      <w:r w:rsidRPr="00E73D4B">
        <w:t>Ein</w:t>
      </w:r>
      <w:proofErr w:type="spellEnd"/>
      <w:r w:rsidRPr="00E73D4B">
        <w:t xml:space="preserve"> midtvegsrapport er levert departementet i 2021. Rapporten gir i </w:t>
      </w:r>
      <w:proofErr w:type="spellStart"/>
      <w:r w:rsidRPr="00E73D4B">
        <w:t>hovudsak</w:t>
      </w:r>
      <w:proofErr w:type="spellEnd"/>
      <w:r w:rsidRPr="00E73D4B">
        <w:t xml:space="preserve"> </w:t>
      </w:r>
      <w:proofErr w:type="spellStart"/>
      <w:r w:rsidRPr="00E73D4B">
        <w:t>ein</w:t>
      </w:r>
      <w:proofErr w:type="spellEnd"/>
      <w:r w:rsidRPr="00E73D4B">
        <w:t xml:space="preserve"> status for innføring av tiltaka. </w:t>
      </w:r>
      <w:proofErr w:type="spellStart"/>
      <w:r w:rsidRPr="00E73D4B">
        <w:t>Ein</w:t>
      </w:r>
      <w:proofErr w:type="spellEnd"/>
      <w:r w:rsidRPr="00E73D4B">
        <w:t xml:space="preserve"> rapport om evaluering av finansieringssystemet for </w:t>
      </w:r>
      <w:proofErr w:type="spellStart"/>
      <w:r w:rsidRPr="00E73D4B">
        <w:t>fagskular</w:t>
      </w:r>
      <w:proofErr w:type="spellEnd"/>
      <w:r w:rsidRPr="00E73D4B">
        <w:t xml:space="preserve"> er levert departementet i 2022. </w:t>
      </w:r>
      <w:proofErr w:type="spellStart"/>
      <w:r w:rsidRPr="00E73D4B">
        <w:t>Ein</w:t>
      </w:r>
      <w:proofErr w:type="spellEnd"/>
      <w:r w:rsidRPr="00E73D4B">
        <w:t xml:space="preserve"> </w:t>
      </w:r>
      <w:proofErr w:type="spellStart"/>
      <w:r w:rsidRPr="00E73D4B">
        <w:t>endeleg</w:t>
      </w:r>
      <w:proofErr w:type="spellEnd"/>
      <w:r w:rsidRPr="00E73D4B">
        <w:t xml:space="preserve"> rapport skal </w:t>
      </w:r>
      <w:proofErr w:type="spellStart"/>
      <w:r w:rsidRPr="00E73D4B">
        <w:t>vere</w:t>
      </w:r>
      <w:proofErr w:type="spellEnd"/>
      <w:r w:rsidRPr="00E73D4B">
        <w:t xml:space="preserve"> klar i 2023 og ta omsyn til evalueringa av finansieringssystemet for </w:t>
      </w:r>
      <w:proofErr w:type="spellStart"/>
      <w:r w:rsidRPr="00E73D4B">
        <w:t>fagskulane</w:t>
      </w:r>
      <w:proofErr w:type="spellEnd"/>
      <w:r w:rsidRPr="00E73D4B">
        <w:t xml:space="preserve"> og funna i midtvegsevalueringa. 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1078AEDD" w14:textId="77777777" w:rsidR="00972395" w:rsidRPr="00E73D4B" w:rsidRDefault="00F120C7" w:rsidP="00E73D4B">
      <w:pPr>
        <w:pStyle w:val="avsnitt-tittel"/>
      </w:pPr>
      <w:r w:rsidRPr="00E73D4B">
        <w:t>Evaluering av fagskulereforma</w:t>
      </w:r>
    </w:p>
    <w:p w14:paraId="00D90A2A" w14:textId="77777777" w:rsidR="00972395" w:rsidRPr="00E73D4B" w:rsidRDefault="00F120C7" w:rsidP="00E73D4B">
      <w:pPr>
        <w:pStyle w:val="avsnitt-undertittel"/>
      </w:pPr>
      <w:r w:rsidRPr="00E73D4B">
        <w:t>Vedtak nr. 643, 2. mai 2017</w:t>
      </w:r>
    </w:p>
    <w:p w14:paraId="21679160" w14:textId="77777777" w:rsidR="00972395" w:rsidRPr="00E73D4B" w:rsidRDefault="00F120C7" w:rsidP="00E73D4B">
      <w:pPr>
        <w:pStyle w:val="blokksit"/>
        <w:rPr>
          <w:rStyle w:val="kursiv"/>
        </w:rPr>
      </w:pPr>
      <w:r w:rsidRPr="00E73D4B">
        <w:rPr>
          <w:rStyle w:val="kursiv"/>
        </w:rPr>
        <w:t>Stortinget ber regjeringen foreta en midtveisevaluering av fagskolereformen etter 3 år og en full evaluering etter 5 år.</w:t>
      </w:r>
    </w:p>
    <w:p w14:paraId="1D40D87C"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9 (2016–2017) </w:t>
      </w:r>
      <w:r w:rsidRPr="00E73D4B">
        <w:rPr>
          <w:rStyle w:val="kursiv"/>
        </w:rPr>
        <w:t>Fagfolk for fremtiden – Fagskoleutdanning</w:t>
      </w:r>
      <w:r w:rsidRPr="00E73D4B">
        <w:t xml:space="preserve">, jf. </w:t>
      </w:r>
      <w:proofErr w:type="spellStart"/>
      <w:r w:rsidRPr="00E73D4B">
        <w:t>Innst</w:t>
      </w:r>
      <w:proofErr w:type="spellEnd"/>
      <w:r w:rsidRPr="00E73D4B">
        <w:t>. 254 S (2016–2017).</w:t>
      </w:r>
    </w:p>
    <w:p w14:paraId="5BBDCC66" w14:textId="77777777" w:rsidR="00972395" w:rsidRPr="00E73D4B" w:rsidRDefault="00F120C7" w:rsidP="00E73D4B">
      <w:r w:rsidRPr="00E73D4B">
        <w:t xml:space="preserve">Kunnskapsdepartementet har i 2020 sett i gang ei evaluering av innføringa og verknadene av tiltaka i fagskulemeldinga, jf. Meld. St. 9 (2016–2017) </w:t>
      </w:r>
      <w:r w:rsidRPr="00E73D4B">
        <w:rPr>
          <w:rStyle w:val="kursiv"/>
        </w:rPr>
        <w:t xml:space="preserve">Fagfolk for fremtiden </w:t>
      </w:r>
      <w:r w:rsidRPr="00E73D4B">
        <w:t xml:space="preserve">– </w:t>
      </w:r>
      <w:r w:rsidRPr="00E73D4B">
        <w:rPr>
          <w:rStyle w:val="kursiv"/>
        </w:rPr>
        <w:t>Fagskoleutdanning</w:t>
      </w:r>
      <w:r w:rsidRPr="00E73D4B">
        <w:t xml:space="preserve">. Evalueringa vil </w:t>
      </w:r>
      <w:proofErr w:type="spellStart"/>
      <w:r w:rsidRPr="00E73D4B">
        <w:t>innehalde</w:t>
      </w:r>
      <w:proofErr w:type="spellEnd"/>
      <w:r w:rsidRPr="00E73D4B">
        <w:t xml:space="preserve"> tre </w:t>
      </w:r>
      <w:proofErr w:type="spellStart"/>
      <w:r w:rsidRPr="00E73D4B">
        <w:t>leveransar</w:t>
      </w:r>
      <w:proofErr w:type="spellEnd"/>
      <w:r w:rsidRPr="00E73D4B">
        <w:t xml:space="preserve">. </w:t>
      </w:r>
      <w:proofErr w:type="spellStart"/>
      <w:r w:rsidRPr="00E73D4B">
        <w:t>Ein</w:t>
      </w:r>
      <w:proofErr w:type="spellEnd"/>
      <w:r w:rsidRPr="00E73D4B">
        <w:t xml:space="preserve"> midtvegsrapport er levert departementet i 2021. Rapporten gir i </w:t>
      </w:r>
      <w:proofErr w:type="spellStart"/>
      <w:r w:rsidRPr="00E73D4B">
        <w:t>hovudsak</w:t>
      </w:r>
      <w:proofErr w:type="spellEnd"/>
      <w:r w:rsidRPr="00E73D4B">
        <w:t xml:space="preserve"> </w:t>
      </w:r>
      <w:proofErr w:type="spellStart"/>
      <w:r w:rsidRPr="00E73D4B">
        <w:t>ein</w:t>
      </w:r>
      <w:proofErr w:type="spellEnd"/>
      <w:r w:rsidRPr="00E73D4B">
        <w:t xml:space="preserve"> status for innføring av tiltaka. </w:t>
      </w:r>
      <w:proofErr w:type="spellStart"/>
      <w:r w:rsidRPr="00E73D4B">
        <w:t>Ein</w:t>
      </w:r>
      <w:proofErr w:type="spellEnd"/>
      <w:r w:rsidRPr="00E73D4B">
        <w:t xml:space="preserve"> rapport om evaluering av finansieringssystemet for </w:t>
      </w:r>
      <w:proofErr w:type="spellStart"/>
      <w:r w:rsidRPr="00E73D4B">
        <w:t>fagskular</w:t>
      </w:r>
      <w:proofErr w:type="spellEnd"/>
      <w:r w:rsidRPr="00E73D4B">
        <w:t xml:space="preserve"> er levert departementet i 2022. Rapporten har </w:t>
      </w:r>
      <w:proofErr w:type="spellStart"/>
      <w:r w:rsidRPr="00E73D4B">
        <w:t>vore</w:t>
      </w:r>
      <w:proofErr w:type="spellEnd"/>
      <w:r w:rsidRPr="00E73D4B">
        <w:t xml:space="preserve"> på </w:t>
      </w:r>
      <w:proofErr w:type="spellStart"/>
      <w:r w:rsidRPr="00E73D4B">
        <w:t>høyring</w:t>
      </w:r>
      <w:proofErr w:type="spellEnd"/>
      <w:r w:rsidRPr="00E73D4B">
        <w:t xml:space="preserve">. </w:t>
      </w:r>
      <w:proofErr w:type="spellStart"/>
      <w:r w:rsidRPr="00E73D4B">
        <w:t>Ein</w:t>
      </w:r>
      <w:proofErr w:type="spellEnd"/>
      <w:r w:rsidRPr="00E73D4B">
        <w:t xml:space="preserve"> </w:t>
      </w:r>
      <w:proofErr w:type="spellStart"/>
      <w:r w:rsidRPr="00E73D4B">
        <w:t>endeleg</w:t>
      </w:r>
      <w:proofErr w:type="spellEnd"/>
      <w:r w:rsidRPr="00E73D4B">
        <w:t xml:space="preserve"> rapport skal </w:t>
      </w:r>
      <w:proofErr w:type="spellStart"/>
      <w:r w:rsidRPr="00E73D4B">
        <w:t>vere</w:t>
      </w:r>
      <w:proofErr w:type="spellEnd"/>
      <w:r w:rsidRPr="00E73D4B">
        <w:t xml:space="preserve"> klar i 2023 og ta omsyn til evalueringa av finansieringssystemet for </w:t>
      </w:r>
      <w:proofErr w:type="spellStart"/>
      <w:r w:rsidRPr="00E73D4B">
        <w:t>fagskulane</w:t>
      </w:r>
      <w:proofErr w:type="spellEnd"/>
      <w:r w:rsidRPr="00E73D4B">
        <w:t xml:space="preserve"> og funna i midtvegsevalueringa. Departementet vil </w:t>
      </w:r>
      <w:proofErr w:type="spellStart"/>
      <w:r w:rsidRPr="00E73D4B">
        <w:t>kome</w:t>
      </w:r>
      <w:proofErr w:type="spellEnd"/>
      <w:r w:rsidRPr="00E73D4B">
        <w:t xml:space="preserve"> tilbake til Stortinget på </w:t>
      </w:r>
      <w:proofErr w:type="spellStart"/>
      <w:r w:rsidRPr="00E73D4B">
        <w:t>ein</w:t>
      </w:r>
      <w:proofErr w:type="spellEnd"/>
      <w:r w:rsidRPr="00E73D4B">
        <w:t xml:space="preserve"> eigna måte.</w:t>
      </w:r>
    </w:p>
    <w:p w14:paraId="1B5741DB" w14:textId="77777777" w:rsidR="00972395" w:rsidRPr="00E73D4B" w:rsidRDefault="00F120C7" w:rsidP="00E73D4B">
      <w:pPr>
        <w:pStyle w:val="Overskrift2"/>
      </w:pPr>
      <w:r w:rsidRPr="00E73D4B">
        <w:t>Stortingssesjon 2015–2016</w:t>
      </w:r>
    </w:p>
    <w:p w14:paraId="7D8633CA" w14:textId="77777777" w:rsidR="00972395" w:rsidRPr="00E73D4B" w:rsidRDefault="00F120C7" w:rsidP="00E73D4B">
      <w:pPr>
        <w:pStyle w:val="Undertittel"/>
      </w:pPr>
      <w:r w:rsidRPr="00E73D4B">
        <w:t>Oppmodingsvedtak under kunnskapsministeren</w:t>
      </w:r>
    </w:p>
    <w:p w14:paraId="207DC64B" w14:textId="77777777" w:rsidR="00972395" w:rsidRPr="00E73D4B" w:rsidRDefault="00F120C7" w:rsidP="00E73D4B">
      <w:pPr>
        <w:pStyle w:val="avsnitt-tittel"/>
      </w:pPr>
      <w:r w:rsidRPr="00E73D4B">
        <w:t>Krav om norsk og samisk språk i barnehagesektoren</w:t>
      </w:r>
    </w:p>
    <w:p w14:paraId="142CF31B" w14:textId="77777777" w:rsidR="00972395" w:rsidRPr="00E73D4B" w:rsidRDefault="00F120C7" w:rsidP="00E73D4B">
      <w:pPr>
        <w:pStyle w:val="avsnitt-undertittel"/>
      </w:pPr>
      <w:r w:rsidRPr="00E73D4B">
        <w:t>Vedtak nr. 796, 7. juni 2016</w:t>
      </w:r>
    </w:p>
    <w:p w14:paraId="1B770DB4" w14:textId="77777777" w:rsidR="00972395" w:rsidRPr="00E73D4B" w:rsidRDefault="00F120C7" w:rsidP="00E73D4B">
      <w:pPr>
        <w:pStyle w:val="blokksit"/>
        <w:rPr>
          <w:rStyle w:val="kursiv"/>
        </w:rPr>
      </w:pPr>
      <w:r w:rsidRPr="00E73D4B">
        <w:rPr>
          <w:rStyle w:val="kursiv"/>
        </w:rPr>
        <w:t>Stortinget ber regjeringen utarbeide forslag til endringer i barnehageloven som sikrer at ansatte i offentlige og private barnehager behersker norsk språk, og at ansatte i samiske barnehager behersker samisk språk.</w:t>
      </w:r>
    </w:p>
    <w:p w14:paraId="41558363" w14:textId="77777777" w:rsidR="00972395" w:rsidRPr="00E73D4B" w:rsidRDefault="00F120C7" w:rsidP="00E73D4B">
      <w:r w:rsidRPr="00E73D4B">
        <w:t xml:space="preserve">Oppmodingsvedtaket blei gjort i samband med </w:t>
      </w:r>
      <w:proofErr w:type="spellStart"/>
      <w:r w:rsidRPr="00E73D4B">
        <w:t>behandlinga</w:t>
      </w:r>
      <w:proofErr w:type="spellEnd"/>
      <w:r w:rsidRPr="00E73D4B">
        <w:t xml:space="preserve"> av Meld. St. 19 (2015–2016) </w:t>
      </w:r>
      <w:r w:rsidRPr="00E73D4B">
        <w:rPr>
          <w:rStyle w:val="kursiv"/>
        </w:rPr>
        <w:t>Tid for lek og læring. Bedre innhold i barnehagen</w:t>
      </w:r>
      <w:r w:rsidRPr="00E73D4B">
        <w:t xml:space="preserve">, jf. </w:t>
      </w:r>
      <w:proofErr w:type="spellStart"/>
      <w:r w:rsidRPr="00E73D4B">
        <w:t>Innst</w:t>
      </w:r>
      <w:proofErr w:type="spellEnd"/>
      <w:r w:rsidRPr="00E73D4B">
        <w:t>. 348 S (2015–2016).</w:t>
      </w:r>
    </w:p>
    <w:p w14:paraId="089E545F" w14:textId="77777777" w:rsidR="00972395" w:rsidRPr="00E73D4B" w:rsidRDefault="00F120C7" w:rsidP="00E73D4B">
      <w:r w:rsidRPr="00E73D4B">
        <w:t xml:space="preserve">Departementet viser til omtale i </w:t>
      </w:r>
      <w:proofErr w:type="spellStart"/>
      <w:r w:rsidRPr="00E73D4B">
        <w:t>Prop</w:t>
      </w:r>
      <w:proofErr w:type="spellEnd"/>
      <w:r w:rsidRPr="00E73D4B">
        <w:t xml:space="preserve">. 1 S (2018–2019) om den delen av vedtaket som gjeld norsk språk, og at denne delen er </w:t>
      </w:r>
      <w:proofErr w:type="spellStart"/>
      <w:r w:rsidRPr="00E73D4B">
        <w:t>følgd</w:t>
      </w:r>
      <w:proofErr w:type="spellEnd"/>
      <w:r w:rsidRPr="00E73D4B">
        <w:t xml:space="preserve"> opp gjennom ei lovendring som tok til å gjelde 1. august 2018, jf. barnehagelova § 27.</w:t>
      </w:r>
    </w:p>
    <w:p w14:paraId="3D17671A" w14:textId="77777777" w:rsidR="00972395" w:rsidRPr="00E73D4B" w:rsidRDefault="00F120C7" w:rsidP="00E73D4B">
      <w:r w:rsidRPr="00E73D4B">
        <w:t xml:space="preserve">Når det </w:t>
      </w:r>
      <w:proofErr w:type="spellStart"/>
      <w:r w:rsidRPr="00E73D4B">
        <w:t>gjeld</w:t>
      </w:r>
      <w:proofErr w:type="spellEnd"/>
      <w:r w:rsidRPr="00E73D4B">
        <w:t xml:space="preserve"> den delen av vedtaket som gjeld samisk språk, heng dette </w:t>
      </w:r>
      <w:proofErr w:type="spellStart"/>
      <w:r w:rsidRPr="00E73D4B">
        <w:t>saman</w:t>
      </w:r>
      <w:proofErr w:type="spellEnd"/>
      <w:r w:rsidRPr="00E73D4B">
        <w:t xml:space="preserve"> med oppfølginga av NOU 2016: 18 </w:t>
      </w:r>
      <w:r w:rsidRPr="00E73D4B">
        <w:rPr>
          <w:rStyle w:val="kursiv"/>
        </w:rPr>
        <w:t xml:space="preserve">Hjertespråket. Forslag til lovverk, tiltak og </w:t>
      </w:r>
      <w:proofErr w:type="spellStart"/>
      <w:r w:rsidRPr="00E73D4B">
        <w:rPr>
          <w:rStyle w:val="kursiv"/>
        </w:rPr>
        <w:t>ordningar</w:t>
      </w:r>
      <w:proofErr w:type="spellEnd"/>
      <w:r w:rsidRPr="00E73D4B">
        <w:rPr>
          <w:rStyle w:val="kursiv"/>
        </w:rPr>
        <w:t xml:space="preserve"> for samiske språk</w:t>
      </w:r>
      <w:r w:rsidRPr="00E73D4B">
        <w:t xml:space="preserve">. </w:t>
      </w:r>
      <w:proofErr w:type="spellStart"/>
      <w:r w:rsidRPr="00E73D4B">
        <w:t>Språkutvalet</w:t>
      </w:r>
      <w:proofErr w:type="spellEnd"/>
      <w:r w:rsidRPr="00E73D4B">
        <w:t xml:space="preserve"> foreslo </w:t>
      </w:r>
      <w:proofErr w:type="spellStart"/>
      <w:r w:rsidRPr="00E73D4B">
        <w:t>lovendringar</w:t>
      </w:r>
      <w:proofErr w:type="spellEnd"/>
      <w:r w:rsidRPr="00E73D4B">
        <w:t xml:space="preserve"> og tiltak på ulike departements ansvarsområde. Som </w:t>
      </w:r>
      <w:proofErr w:type="spellStart"/>
      <w:r w:rsidRPr="00E73D4B">
        <w:t>ein</w:t>
      </w:r>
      <w:proofErr w:type="spellEnd"/>
      <w:r w:rsidRPr="00E73D4B">
        <w:t xml:space="preserve"> del av oppfølginga av rapporten har det </w:t>
      </w:r>
      <w:proofErr w:type="spellStart"/>
      <w:r w:rsidRPr="00E73D4B">
        <w:t>dåverande</w:t>
      </w:r>
      <w:proofErr w:type="spellEnd"/>
      <w:r w:rsidRPr="00E73D4B">
        <w:t xml:space="preserve"> Kommunal- og moderniseringsdepartementet i 2021 hatt </w:t>
      </w:r>
      <w:proofErr w:type="spellStart"/>
      <w:r w:rsidRPr="00E73D4B">
        <w:t>eit</w:t>
      </w:r>
      <w:proofErr w:type="spellEnd"/>
      <w:r w:rsidRPr="00E73D4B">
        <w:t xml:space="preserve"> forslag til </w:t>
      </w:r>
      <w:proofErr w:type="spellStart"/>
      <w:r w:rsidRPr="00E73D4B">
        <w:t>endringar</w:t>
      </w:r>
      <w:proofErr w:type="spellEnd"/>
      <w:r w:rsidRPr="00E73D4B">
        <w:t xml:space="preserve"> i </w:t>
      </w:r>
      <w:proofErr w:type="spellStart"/>
      <w:r w:rsidRPr="00E73D4B">
        <w:t>språkreglane</w:t>
      </w:r>
      <w:proofErr w:type="spellEnd"/>
      <w:r w:rsidRPr="00E73D4B">
        <w:t xml:space="preserve"> i samelova på </w:t>
      </w:r>
      <w:proofErr w:type="spellStart"/>
      <w:r w:rsidRPr="00E73D4B">
        <w:t>alminneleg</w:t>
      </w:r>
      <w:proofErr w:type="spellEnd"/>
      <w:r w:rsidRPr="00E73D4B">
        <w:t xml:space="preserve"> </w:t>
      </w:r>
      <w:proofErr w:type="spellStart"/>
      <w:r w:rsidRPr="00E73D4B">
        <w:t>høyring</w:t>
      </w:r>
      <w:proofErr w:type="spellEnd"/>
      <w:r w:rsidRPr="00E73D4B">
        <w:t xml:space="preserve">. Sametinget blir konsultert om forslaget. Regjeringa </w:t>
      </w:r>
      <w:proofErr w:type="spellStart"/>
      <w:r w:rsidRPr="00E73D4B">
        <w:t>tek</w:t>
      </w:r>
      <w:proofErr w:type="spellEnd"/>
      <w:r w:rsidRPr="00E73D4B">
        <w:t xml:space="preserve"> sikte på å </w:t>
      </w:r>
      <w:proofErr w:type="spellStart"/>
      <w:r w:rsidRPr="00E73D4B">
        <w:t>fremje</w:t>
      </w:r>
      <w:proofErr w:type="spellEnd"/>
      <w:r w:rsidRPr="00E73D4B">
        <w:t xml:space="preserve"> </w:t>
      </w:r>
      <w:proofErr w:type="spellStart"/>
      <w:r w:rsidRPr="00E73D4B">
        <w:t>ein</w:t>
      </w:r>
      <w:proofErr w:type="spellEnd"/>
      <w:r w:rsidRPr="00E73D4B">
        <w:t xml:space="preserve"> lovproposisjon våren 2023.</w:t>
      </w:r>
    </w:p>
    <w:p w14:paraId="45DB18D3" w14:textId="77777777" w:rsidR="00972395" w:rsidRPr="00E73D4B" w:rsidRDefault="00F120C7" w:rsidP="00E73D4B">
      <w:r w:rsidRPr="00E73D4B">
        <w:t xml:space="preserve">Regjeringa har i tillegg bestemt at den neste stortingsmeldinga om samisk språk, kultur og samfunnsliv skal handle om rekruttering og kompetanse. Her vil regjeringa sjå </w:t>
      </w:r>
      <w:proofErr w:type="spellStart"/>
      <w:r w:rsidRPr="00E73D4B">
        <w:t>nærare</w:t>
      </w:r>
      <w:proofErr w:type="spellEnd"/>
      <w:r w:rsidRPr="00E73D4B">
        <w:t xml:space="preserve"> på </w:t>
      </w:r>
      <w:proofErr w:type="spellStart"/>
      <w:r w:rsidRPr="00E73D4B">
        <w:t>barnehagar</w:t>
      </w:r>
      <w:proofErr w:type="spellEnd"/>
      <w:r w:rsidRPr="00E73D4B">
        <w:t xml:space="preserve">, grunnopplæringa og </w:t>
      </w:r>
      <w:proofErr w:type="spellStart"/>
      <w:r w:rsidRPr="00E73D4B">
        <w:t>høgare</w:t>
      </w:r>
      <w:proofErr w:type="spellEnd"/>
      <w:r w:rsidRPr="00E73D4B">
        <w:t xml:space="preserve"> utdanning.</w:t>
      </w:r>
    </w:p>
    <w:p w14:paraId="01544254"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vedtaket overfor Stortinget på </w:t>
      </w:r>
      <w:proofErr w:type="spellStart"/>
      <w:r w:rsidRPr="00E73D4B">
        <w:t>ein</w:t>
      </w:r>
      <w:proofErr w:type="spellEnd"/>
      <w:r w:rsidRPr="00E73D4B">
        <w:t xml:space="preserve"> eigna måte.</w:t>
      </w:r>
    </w:p>
    <w:p w14:paraId="188144AB" w14:textId="77777777" w:rsidR="00972395" w:rsidRPr="00E73D4B" w:rsidRDefault="00F120C7" w:rsidP="00E73D4B">
      <w:pPr>
        <w:pStyle w:val="Overskrift1"/>
      </w:pPr>
      <w:r w:rsidRPr="00E73D4B">
        <w:t xml:space="preserve">Landbruks- og </w:t>
      </w:r>
      <w:proofErr w:type="spellStart"/>
      <w:r w:rsidRPr="00E73D4B">
        <w:t>matdepartmentet</w:t>
      </w:r>
      <w:proofErr w:type="spellEnd"/>
    </w:p>
    <w:p w14:paraId="323417C9" w14:textId="77777777" w:rsidR="00972395" w:rsidRPr="00E73D4B" w:rsidRDefault="00F120C7" w:rsidP="00E73D4B">
      <w:r w:rsidRPr="00E73D4B">
        <w:t xml:space="preserve">Tabell 12.1 viser </w:t>
      </w:r>
      <w:proofErr w:type="gramStart"/>
      <w:r w:rsidRPr="00E73D4B">
        <w:t>ei oversikt</w:t>
      </w:r>
      <w:proofErr w:type="gramEnd"/>
      <w:r w:rsidRPr="00E73D4B">
        <w:t xml:space="preserve"> over oppfølginga av oppmodings- og utgreiingsvedtak under Landbruks- og matdepartementet.</w:t>
      </w:r>
    </w:p>
    <w:p w14:paraId="138139D3" w14:textId="4BD9B719" w:rsidR="00972395" w:rsidRDefault="00F120C7" w:rsidP="00E73D4B">
      <w:r w:rsidRPr="00E73D4B">
        <w:t xml:space="preserve">I kolonne 4 i tabellen </w:t>
      </w:r>
      <w:proofErr w:type="spellStart"/>
      <w:r w:rsidRPr="00E73D4B">
        <w:t>nedanfor</w:t>
      </w:r>
      <w:proofErr w:type="spellEnd"/>
      <w:r w:rsidRPr="00E73D4B">
        <w:t xml:space="preserve"> går det fram om departementet </w:t>
      </w:r>
      <w:proofErr w:type="spellStart"/>
      <w:r w:rsidRPr="00E73D4B">
        <w:t>legg</w:t>
      </w:r>
      <w:proofErr w:type="spellEnd"/>
      <w:r w:rsidRPr="00E73D4B">
        <w:t xml:space="preserve"> opp til at rapporteringa på oppmodingsvedtaket </w:t>
      </w:r>
      <w:proofErr w:type="spellStart"/>
      <w:r w:rsidRPr="00E73D4B">
        <w:t>no</w:t>
      </w:r>
      <w:proofErr w:type="spellEnd"/>
      <w:r w:rsidRPr="00E73D4B">
        <w:t xml:space="preserve"> blir avslutta, eller om departementet òg vil rapportere på vedtaket i budsjettproposisjonen for neste år.</w:t>
      </w:r>
    </w:p>
    <w:p w14:paraId="7A522766" w14:textId="3CBE74C8" w:rsidR="001C4219" w:rsidRPr="00E73D4B" w:rsidRDefault="001C4219" w:rsidP="001C4219">
      <w:pPr>
        <w:pStyle w:val="tabell-tittel"/>
      </w:pPr>
      <w:r w:rsidRPr="00E73D4B">
        <w:t>Oversikt over oppmodings- og utgreiingsvedtak, ordna etter sesjon og nummer</w:t>
      </w:r>
    </w:p>
    <w:p w14:paraId="5F940D88"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418"/>
        <w:gridCol w:w="1276"/>
        <w:gridCol w:w="5103"/>
        <w:gridCol w:w="1403"/>
      </w:tblGrid>
      <w:tr w:rsidR="00972395" w:rsidRPr="00E73D4B" w14:paraId="699D61C9" w14:textId="77777777" w:rsidTr="001C4219">
        <w:trPr>
          <w:trHeight w:val="600"/>
        </w:trPr>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FD180A6" w14:textId="77777777" w:rsidR="00972395" w:rsidRPr="00E73D4B" w:rsidRDefault="00F120C7" w:rsidP="001C4219">
            <w:r w:rsidRPr="00E73D4B">
              <w:t>Sesjon</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4120D1" w14:textId="77777777" w:rsidR="00972395" w:rsidRPr="00E73D4B" w:rsidRDefault="00F120C7" w:rsidP="001C4219">
            <w:pPr>
              <w:jc w:val="right"/>
            </w:pPr>
            <w:r w:rsidRPr="00E73D4B">
              <w:t>Vedtak nr.</w:t>
            </w:r>
          </w:p>
        </w:tc>
        <w:tc>
          <w:tcPr>
            <w:tcW w:w="510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494DAD4" w14:textId="77777777" w:rsidR="00972395" w:rsidRPr="00E73D4B" w:rsidRDefault="00F120C7" w:rsidP="001C4219">
            <w:r w:rsidRPr="00E73D4B">
              <w:t>Stikkord</w:t>
            </w:r>
          </w:p>
        </w:tc>
        <w:tc>
          <w:tcPr>
            <w:tcW w:w="140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D9BB5E1" w14:textId="77777777" w:rsidR="00972395" w:rsidRPr="00E73D4B" w:rsidRDefault="00F120C7" w:rsidP="001C4219">
            <w:pPr>
              <w:jc w:val="right"/>
            </w:pPr>
            <w:r w:rsidRPr="00E73D4B">
              <w:t>Rapportering blir avslutta (Ja/Nei)</w:t>
            </w:r>
          </w:p>
        </w:tc>
      </w:tr>
      <w:tr w:rsidR="00972395" w:rsidRPr="00E73D4B" w14:paraId="4A55262D" w14:textId="77777777" w:rsidTr="001C4219">
        <w:trPr>
          <w:trHeight w:val="380"/>
        </w:trPr>
        <w:tc>
          <w:tcPr>
            <w:tcW w:w="1418" w:type="dxa"/>
            <w:tcBorders>
              <w:top w:val="single" w:sz="4" w:space="0" w:color="000000"/>
              <w:left w:val="nil"/>
              <w:bottom w:val="nil"/>
              <w:right w:val="nil"/>
            </w:tcBorders>
            <w:tcMar>
              <w:top w:w="128" w:type="dxa"/>
              <w:left w:w="43" w:type="dxa"/>
              <w:bottom w:w="43" w:type="dxa"/>
              <w:right w:w="43" w:type="dxa"/>
            </w:tcMar>
          </w:tcPr>
          <w:p w14:paraId="55BD4F2F" w14:textId="77777777" w:rsidR="00972395" w:rsidRPr="00E73D4B" w:rsidRDefault="00F120C7" w:rsidP="001C4219">
            <w:r w:rsidRPr="00E73D4B">
              <w:t>2021–2022</w:t>
            </w:r>
          </w:p>
        </w:tc>
        <w:tc>
          <w:tcPr>
            <w:tcW w:w="1276" w:type="dxa"/>
            <w:tcBorders>
              <w:top w:val="single" w:sz="4" w:space="0" w:color="000000"/>
              <w:left w:val="nil"/>
              <w:bottom w:val="nil"/>
              <w:right w:val="nil"/>
            </w:tcBorders>
            <w:tcMar>
              <w:top w:w="128" w:type="dxa"/>
              <w:left w:w="43" w:type="dxa"/>
              <w:bottom w:w="43" w:type="dxa"/>
              <w:right w:w="43" w:type="dxa"/>
            </w:tcMar>
          </w:tcPr>
          <w:p w14:paraId="5A939EE1" w14:textId="77777777" w:rsidR="00972395" w:rsidRPr="00E73D4B" w:rsidRDefault="00F120C7" w:rsidP="001C4219">
            <w:pPr>
              <w:jc w:val="right"/>
            </w:pPr>
            <w:r w:rsidRPr="00E73D4B">
              <w:t>836</w:t>
            </w:r>
          </w:p>
        </w:tc>
        <w:tc>
          <w:tcPr>
            <w:tcW w:w="5103" w:type="dxa"/>
            <w:tcBorders>
              <w:top w:val="single" w:sz="4" w:space="0" w:color="000000"/>
              <w:left w:val="nil"/>
              <w:bottom w:val="nil"/>
              <w:right w:val="nil"/>
            </w:tcBorders>
            <w:tcMar>
              <w:top w:w="128" w:type="dxa"/>
              <w:left w:w="43" w:type="dxa"/>
              <w:bottom w:w="43" w:type="dxa"/>
              <w:right w:w="43" w:type="dxa"/>
            </w:tcMar>
          </w:tcPr>
          <w:p w14:paraId="6C4311A6" w14:textId="77777777" w:rsidR="00972395" w:rsidRPr="00E73D4B" w:rsidRDefault="00F120C7" w:rsidP="001C4219">
            <w:r w:rsidRPr="00E73D4B">
              <w:t xml:space="preserve">Overgang </w:t>
            </w:r>
            <w:proofErr w:type="spellStart"/>
            <w:r w:rsidRPr="00E73D4B">
              <w:t>frå</w:t>
            </w:r>
            <w:proofErr w:type="spellEnd"/>
            <w:r w:rsidRPr="00E73D4B">
              <w:t xml:space="preserve"> kronetoll til prosenttoll</w:t>
            </w:r>
          </w:p>
        </w:tc>
        <w:tc>
          <w:tcPr>
            <w:tcW w:w="1403" w:type="dxa"/>
            <w:tcBorders>
              <w:top w:val="single" w:sz="4" w:space="0" w:color="000000"/>
              <w:left w:val="nil"/>
              <w:bottom w:val="nil"/>
              <w:right w:val="nil"/>
            </w:tcBorders>
            <w:tcMar>
              <w:top w:w="128" w:type="dxa"/>
              <w:left w:w="43" w:type="dxa"/>
              <w:bottom w:w="43" w:type="dxa"/>
              <w:right w:w="43" w:type="dxa"/>
            </w:tcMar>
            <w:vAlign w:val="bottom"/>
          </w:tcPr>
          <w:p w14:paraId="64090D6E" w14:textId="77777777" w:rsidR="00972395" w:rsidRPr="00E73D4B" w:rsidRDefault="00F120C7" w:rsidP="001C4219">
            <w:pPr>
              <w:jc w:val="right"/>
            </w:pPr>
            <w:r w:rsidRPr="00E73D4B">
              <w:t>Nei</w:t>
            </w:r>
          </w:p>
        </w:tc>
      </w:tr>
      <w:tr w:rsidR="00972395" w:rsidRPr="00E73D4B" w14:paraId="7DF0BF99"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3FA677CC"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704E92B7" w14:textId="77777777" w:rsidR="00972395" w:rsidRPr="00E73D4B" w:rsidRDefault="00F120C7" w:rsidP="001C4219">
            <w:pPr>
              <w:jc w:val="right"/>
            </w:pPr>
            <w:r w:rsidRPr="00E73D4B">
              <w:t>799</w:t>
            </w:r>
          </w:p>
        </w:tc>
        <w:tc>
          <w:tcPr>
            <w:tcW w:w="5103" w:type="dxa"/>
            <w:tcBorders>
              <w:top w:val="nil"/>
              <w:left w:val="nil"/>
              <w:bottom w:val="nil"/>
              <w:right w:val="nil"/>
            </w:tcBorders>
            <w:tcMar>
              <w:top w:w="128" w:type="dxa"/>
              <w:left w:w="43" w:type="dxa"/>
              <w:bottom w:w="43" w:type="dxa"/>
              <w:right w:w="43" w:type="dxa"/>
            </w:tcMar>
          </w:tcPr>
          <w:p w14:paraId="115F6CDF" w14:textId="77777777" w:rsidR="00972395" w:rsidRPr="00E73D4B" w:rsidRDefault="00F120C7" w:rsidP="001C4219">
            <w:r w:rsidRPr="00E73D4B">
              <w:t>Oppdatering av jordvernstrategien</w:t>
            </w:r>
          </w:p>
        </w:tc>
        <w:tc>
          <w:tcPr>
            <w:tcW w:w="1403" w:type="dxa"/>
            <w:tcBorders>
              <w:top w:val="nil"/>
              <w:left w:val="nil"/>
              <w:bottom w:val="nil"/>
              <w:right w:val="nil"/>
            </w:tcBorders>
            <w:tcMar>
              <w:top w:w="128" w:type="dxa"/>
              <w:left w:w="43" w:type="dxa"/>
              <w:bottom w:w="43" w:type="dxa"/>
              <w:right w:w="43" w:type="dxa"/>
            </w:tcMar>
            <w:vAlign w:val="bottom"/>
          </w:tcPr>
          <w:p w14:paraId="14E05A31" w14:textId="77777777" w:rsidR="00972395" w:rsidRPr="00E73D4B" w:rsidRDefault="00F120C7" w:rsidP="001C4219">
            <w:pPr>
              <w:jc w:val="right"/>
            </w:pPr>
            <w:r w:rsidRPr="00E73D4B">
              <w:t>Nei</w:t>
            </w:r>
          </w:p>
        </w:tc>
      </w:tr>
      <w:tr w:rsidR="00972395" w:rsidRPr="00E73D4B" w14:paraId="352BBE0A"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17F33A75"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6916674E" w14:textId="77777777" w:rsidR="00972395" w:rsidRPr="00E73D4B" w:rsidRDefault="00F120C7" w:rsidP="001C4219">
            <w:pPr>
              <w:jc w:val="right"/>
            </w:pPr>
            <w:r w:rsidRPr="00E73D4B">
              <w:t>754</w:t>
            </w:r>
          </w:p>
        </w:tc>
        <w:tc>
          <w:tcPr>
            <w:tcW w:w="5103" w:type="dxa"/>
            <w:tcBorders>
              <w:top w:val="nil"/>
              <w:left w:val="nil"/>
              <w:bottom w:val="nil"/>
              <w:right w:val="nil"/>
            </w:tcBorders>
            <w:tcMar>
              <w:top w:w="128" w:type="dxa"/>
              <w:left w:w="43" w:type="dxa"/>
              <w:bottom w:w="43" w:type="dxa"/>
              <w:right w:w="43" w:type="dxa"/>
            </w:tcMar>
          </w:tcPr>
          <w:p w14:paraId="1B85FC25" w14:textId="77777777" w:rsidR="00972395" w:rsidRPr="00E73D4B" w:rsidRDefault="00F120C7" w:rsidP="001C4219">
            <w:r w:rsidRPr="00E73D4B">
              <w:t>Bransjeavtaler for biogassproduksjon</w:t>
            </w:r>
          </w:p>
        </w:tc>
        <w:tc>
          <w:tcPr>
            <w:tcW w:w="1403" w:type="dxa"/>
            <w:tcBorders>
              <w:top w:val="nil"/>
              <w:left w:val="nil"/>
              <w:bottom w:val="nil"/>
              <w:right w:val="nil"/>
            </w:tcBorders>
            <w:tcMar>
              <w:top w:w="128" w:type="dxa"/>
              <w:left w:w="43" w:type="dxa"/>
              <w:bottom w:w="43" w:type="dxa"/>
              <w:right w:w="43" w:type="dxa"/>
            </w:tcMar>
            <w:vAlign w:val="bottom"/>
          </w:tcPr>
          <w:p w14:paraId="7E26E4FD" w14:textId="77777777" w:rsidR="00972395" w:rsidRPr="00E73D4B" w:rsidRDefault="00F120C7" w:rsidP="001C4219">
            <w:pPr>
              <w:jc w:val="right"/>
            </w:pPr>
            <w:r w:rsidRPr="00E73D4B">
              <w:t>Nei</w:t>
            </w:r>
          </w:p>
        </w:tc>
      </w:tr>
      <w:tr w:rsidR="00972395" w:rsidRPr="00E73D4B" w14:paraId="1009ADB0"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6A26507C"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5AEA907E" w14:textId="77777777" w:rsidR="00972395" w:rsidRPr="00E73D4B" w:rsidRDefault="00F120C7" w:rsidP="001C4219">
            <w:pPr>
              <w:jc w:val="right"/>
            </w:pPr>
            <w:r w:rsidRPr="00E73D4B">
              <w:t>381</w:t>
            </w:r>
          </w:p>
        </w:tc>
        <w:tc>
          <w:tcPr>
            <w:tcW w:w="5103" w:type="dxa"/>
            <w:tcBorders>
              <w:top w:val="nil"/>
              <w:left w:val="nil"/>
              <w:bottom w:val="nil"/>
              <w:right w:val="nil"/>
            </w:tcBorders>
            <w:tcMar>
              <w:top w:w="128" w:type="dxa"/>
              <w:left w:w="43" w:type="dxa"/>
              <w:bottom w:w="43" w:type="dxa"/>
              <w:right w:w="43" w:type="dxa"/>
            </w:tcMar>
          </w:tcPr>
          <w:p w14:paraId="73B61DBE" w14:textId="77777777" w:rsidR="00972395" w:rsidRPr="00E73D4B" w:rsidRDefault="00F120C7" w:rsidP="001C4219">
            <w:r w:rsidRPr="00E73D4B">
              <w:t>Melding til Stortinget om dyrevelferd som bygger på oppdatert kunnskap</w:t>
            </w:r>
          </w:p>
        </w:tc>
        <w:tc>
          <w:tcPr>
            <w:tcW w:w="1403" w:type="dxa"/>
            <w:tcBorders>
              <w:top w:val="nil"/>
              <w:left w:val="nil"/>
              <w:bottom w:val="nil"/>
              <w:right w:val="nil"/>
            </w:tcBorders>
            <w:tcMar>
              <w:top w:w="128" w:type="dxa"/>
              <w:left w:w="43" w:type="dxa"/>
              <w:bottom w:w="43" w:type="dxa"/>
              <w:right w:w="43" w:type="dxa"/>
            </w:tcMar>
            <w:vAlign w:val="bottom"/>
          </w:tcPr>
          <w:p w14:paraId="2C9FF869" w14:textId="77777777" w:rsidR="00972395" w:rsidRPr="00E73D4B" w:rsidRDefault="00F120C7" w:rsidP="001C4219">
            <w:pPr>
              <w:jc w:val="right"/>
            </w:pPr>
            <w:r w:rsidRPr="00E73D4B">
              <w:t>Nei</w:t>
            </w:r>
          </w:p>
        </w:tc>
      </w:tr>
      <w:tr w:rsidR="00972395" w:rsidRPr="00E73D4B" w14:paraId="6DC60BAC"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5E58EEBC"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14CB8C2C" w14:textId="77777777" w:rsidR="00972395" w:rsidRPr="00E73D4B" w:rsidRDefault="00F120C7" w:rsidP="001C4219">
            <w:pPr>
              <w:jc w:val="right"/>
            </w:pPr>
            <w:r w:rsidRPr="00E73D4B">
              <w:t>382</w:t>
            </w:r>
          </w:p>
        </w:tc>
        <w:tc>
          <w:tcPr>
            <w:tcW w:w="5103" w:type="dxa"/>
            <w:tcBorders>
              <w:top w:val="nil"/>
              <w:left w:val="nil"/>
              <w:bottom w:val="nil"/>
              <w:right w:val="nil"/>
            </w:tcBorders>
            <w:tcMar>
              <w:top w:w="128" w:type="dxa"/>
              <w:left w:w="43" w:type="dxa"/>
              <w:bottom w:w="43" w:type="dxa"/>
              <w:right w:w="43" w:type="dxa"/>
            </w:tcMar>
          </w:tcPr>
          <w:p w14:paraId="5FCD40B6" w14:textId="77777777" w:rsidR="00972395" w:rsidRPr="00E73D4B" w:rsidRDefault="00F120C7" w:rsidP="001C4219">
            <w:r w:rsidRPr="00E73D4B">
              <w:t>Dyrevelferda i svinenæringen</w:t>
            </w:r>
          </w:p>
        </w:tc>
        <w:tc>
          <w:tcPr>
            <w:tcW w:w="1403" w:type="dxa"/>
            <w:tcBorders>
              <w:top w:val="nil"/>
              <w:left w:val="nil"/>
              <w:bottom w:val="nil"/>
              <w:right w:val="nil"/>
            </w:tcBorders>
            <w:tcMar>
              <w:top w:w="128" w:type="dxa"/>
              <w:left w:w="43" w:type="dxa"/>
              <w:bottom w:w="43" w:type="dxa"/>
              <w:right w:w="43" w:type="dxa"/>
            </w:tcMar>
            <w:vAlign w:val="bottom"/>
          </w:tcPr>
          <w:p w14:paraId="60385FF4" w14:textId="77777777" w:rsidR="00972395" w:rsidRPr="00E73D4B" w:rsidRDefault="00F120C7" w:rsidP="001C4219">
            <w:pPr>
              <w:jc w:val="right"/>
            </w:pPr>
            <w:r w:rsidRPr="00E73D4B">
              <w:t>Nei</w:t>
            </w:r>
          </w:p>
        </w:tc>
      </w:tr>
      <w:tr w:rsidR="00972395" w:rsidRPr="00E73D4B" w14:paraId="78E0C75F"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61BAC53C"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552D8376" w14:textId="77777777" w:rsidR="00972395" w:rsidRPr="00E73D4B" w:rsidRDefault="00F120C7" w:rsidP="001C4219">
            <w:pPr>
              <w:jc w:val="right"/>
            </w:pPr>
            <w:r w:rsidRPr="00E73D4B">
              <w:t>383</w:t>
            </w:r>
          </w:p>
        </w:tc>
        <w:tc>
          <w:tcPr>
            <w:tcW w:w="5103" w:type="dxa"/>
            <w:tcBorders>
              <w:top w:val="nil"/>
              <w:left w:val="nil"/>
              <w:bottom w:val="nil"/>
              <w:right w:val="nil"/>
            </w:tcBorders>
            <w:tcMar>
              <w:top w:w="128" w:type="dxa"/>
              <w:left w:w="43" w:type="dxa"/>
              <w:bottom w:w="43" w:type="dxa"/>
              <w:right w:w="43" w:type="dxa"/>
            </w:tcMar>
          </w:tcPr>
          <w:p w14:paraId="4E191896" w14:textId="77777777" w:rsidR="00972395" w:rsidRPr="00E73D4B" w:rsidRDefault="00F120C7" w:rsidP="001C4219">
            <w:r w:rsidRPr="00E73D4B">
              <w:t>Konkrete tiltak i melding til Stortinget om dyrevelferd</w:t>
            </w:r>
          </w:p>
        </w:tc>
        <w:tc>
          <w:tcPr>
            <w:tcW w:w="1403" w:type="dxa"/>
            <w:tcBorders>
              <w:top w:val="nil"/>
              <w:left w:val="nil"/>
              <w:bottom w:val="nil"/>
              <w:right w:val="nil"/>
            </w:tcBorders>
            <w:tcMar>
              <w:top w:w="128" w:type="dxa"/>
              <w:left w:w="43" w:type="dxa"/>
              <w:bottom w:w="43" w:type="dxa"/>
              <w:right w:w="43" w:type="dxa"/>
            </w:tcMar>
            <w:vAlign w:val="bottom"/>
          </w:tcPr>
          <w:p w14:paraId="33D120B6" w14:textId="77777777" w:rsidR="00972395" w:rsidRPr="00E73D4B" w:rsidRDefault="00F120C7" w:rsidP="001C4219">
            <w:pPr>
              <w:jc w:val="right"/>
            </w:pPr>
            <w:r w:rsidRPr="00E73D4B">
              <w:t>Nei</w:t>
            </w:r>
          </w:p>
        </w:tc>
      </w:tr>
      <w:tr w:rsidR="00972395" w:rsidRPr="00E73D4B" w14:paraId="02C3C6C4"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624D7EDF"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5209187D" w14:textId="77777777" w:rsidR="00972395" w:rsidRPr="00E73D4B" w:rsidRDefault="00F120C7" w:rsidP="001C4219">
            <w:pPr>
              <w:jc w:val="right"/>
            </w:pPr>
            <w:r w:rsidRPr="00E73D4B">
              <w:t>384</w:t>
            </w:r>
          </w:p>
        </w:tc>
        <w:tc>
          <w:tcPr>
            <w:tcW w:w="5103" w:type="dxa"/>
            <w:tcBorders>
              <w:top w:val="nil"/>
              <w:left w:val="nil"/>
              <w:bottom w:val="nil"/>
              <w:right w:val="nil"/>
            </w:tcBorders>
            <w:tcMar>
              <w:top w:w="128" w:type="dxa"/>
              <w:left w:w="43" w:type="dxa"/>
              <w:bottom w:w="43" w:type="dxa"/>
              <w:right w:w="43" w:type="dxa"/>
            </w:tcMar>
          </w:tcPr>
          <w:p w14:paraId="41FD4754" w14:textId="77777777" w:rsidR="00972395" w:rsidRPr="00E73D4B" w:rsidRDefault="00F120C7" w:rsidP="001C4219">
            <w:r w:rsidRPr="00E73D4B">
              <w:t>Alternativ til CO</w:t>
            </w:r>
            <w:r w:rsidRPr="00E73D4B">
              <w:rPr>
                <w:rStyle w:val="skrift-senket"/>
              </w:rPr>
              <w:t>2</w:t>
            </w:r>
            <w:r w:rsidRPr="00E73D4B">
              <w:t>-bedøving av dyr</w:t>
            </w:r>
          </w:p>
        </w:tc>
        <w:tc>
          <w:tcPr>
            <w:tcW w:w="1403" w:type="dxa"/>
            <w:tcBorders>
              <w:top w:val="nil"/>
              <w:left w:val="nil"/>
              <w:bottom w:val="nil"/>
              <w:right w:val="nil"/>
            </w:tcBorders>
            <w:tcMar>
              <w:top w:w="128" w:type="dxa"/>
              <w:left w:w="43" w:type="dxa"/>
              <w:bottom w:w="43" w:type="dxa"/>
              <w:right w:w="43" w:type="dxa"/>
            </w:tcMar>
            <w:vAlign w:val="bottom"/>
          </w:tcPr>
          <w:p w14:paraId="2CA64C24" w14:textId="77777777" w:rsidR="00972395" w:rsidRPr="00E73D4B" w:rsidRDefault="00F120C7" w:rsidP="001C4219">
            <w:pPr>
              <w:jc w:val="right"/>
            </w:pPr>
            <w:r w:rsidRPr="00E73D4B">
              <w:t>Nei</w:t>
            </w:r>
          </w:p>
        </w:tc>
      </w:tr>
      <w:tr w:rsidR="00972395" w:rsidRPr="00E73D4B" w14:paraId="6328E32A"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2BACFDD5"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2692A9CD" w14:textId="77777777" w:rsidR="00972395" w:rsidRPr="00E73D4B" w:rsidRDefault="00F120C7" w:rsidP="001C4219">
            <w:pPr>
              <w:jc w:val="right"/>
            </w:pPr>
            <w:r w:rsidRPr="00E73D4B">
              <w:t>35 – nr. 29</w:t>
            </w:r>
          </w:p>
        </w:tc>
        <w:tc>
          <w:tcPr>
            <w:tcW w:w="5103" w:type="dxa"/>
            <w:tcBorders>
              <w:top w:val="nil"/>
              <w:left w:val="nil"/>
              <w:bottom w:val="nil"/>
              <w:right w:val="nil"/>
            </w:tcBorders>
            <w:tcMar>
              <w:top w:w="128" w:type="dxa"/>
              <w:left w:w="43" w:type="dxa"/>
              <w:bottom w:w="43" w:type="dxa"/>
              <w:right w:w="43" w:type="dxa"/>
            </w:tcMar>
          </w:tcPr>
          <w:p w14:paraId="6388EAA6" w14:textId="77777777" w:rsidR="00972395" w:rsidRPr="00E73D4B" w:rsidRDefault="00F120C7" w:rsidP="001C4219">
            <w:r w:rsidRPr="00E73D4B">
              <w:t xml:space="preserve">Inntektsgap </w:t>
            </w:r>
          </w:p>
        </w:tc>
        <w:tc>
          <w:tcPr>
            <w:tcW w:w="1403" w:type="dxa"/>
            <w:tcBorders>
              <w:top w:val="nil"/>
              <w:left w:val="nil"/>
              <w:bottom w:val="nil"/>
              <w:right w:val="nil"/>
            </w:tcBorders>
            <w:tcMar>
              <w:top w:w="128" w:type="dxa"/>
              <w:left w:w="43" w:type="dxa"/>
              <w:bottom w:w="43" w:type="dxa"/>
              <w:right w:w="43" w:type="dxa"/>
            </w:tcMar>
            <w:vAlign w:val="bottom"/>
          </w:tcPr>
          <w:p w14:paraId="169EBF98" w14:textId="77777777" w:rsidR="00972395" w:rsidRPr="00E73D4B" w:rsidRDefault="00F120C7" w:rsidP="001C4219">
            <w:pPr>
              <w:jc w:val="right"/>
            </w:pPr>
            <w:r w:rsidRPr="00E73D4B">
              <w:t>Nei</w:t>
            </w:r>
          </w:p>
        </w:tc>
      </w:tr>
      <w:tr w:rsidR="00972395" w:rsidRPr="00E73D4B" w14:paraId="3324FEF7"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329F9DE5" w14:textId="77777777" w:rsidR="00972395" w:rsidRPr="00E73D4B" w:rsidRDefault="00F120C7" w:rsidP="001C4219">
            <w:r w:rsidRPr="00E73D4B">
              <w:t>2021–2022</w:t>
            </w:r>
          </w:p>
        </w:tc>
        <w:tc>
          <w:tcPr>
            <w:tcW w:w="1276" w:type="dxa"/>
            <w:tcBorders>
              <w:top w:val="nil"/>
              <w:left w:val="nil"/>
              <w:bottom w:val="nil"/>
              <w:right w:val="nil"/>
            </w:tcBorders>
            <w:tcMar>
              <w:top w:w="128" w:type="dxa"/>
              <w:left w:w="43" w:type="dxa"/>
              <w:bottom w:w="43" w:type="dxa"/>
              <w:right w:w="43" w:type="dxa"/>
            </w:tcMar>
          </w:tcPr>
          <w:p w14:paraId="307939A7" w14:textId="77777777" w:rsidR="00972395" w:rsidRPr="00E73D4B" w:rsidRDefault="00F120C7" w:rsidP="001C4219">
            <w:pPr>
              <w:jc w:val="right"/>
            </w:pPr>
            <w:r w:rsidRPr="00E73D4B">
              <w:t>35 – nr. 59</w:t>
            </w:r>
          </w:p>
        </w:tc>
        <w:tc>
          <w:tcPr>
            <w:tcW w:w="5103" w:type="dxa"/>
            <w:tcBorders>
              <w:top w:val="nil"/>
              <w:left w:val="nil"/>
              <w:bottom w:val="nil"/>
              <w:right w:val="nil"/>
            </w:tcBorders>
            <w:tcMar>
              <w:top w:w="128" w:type="dxa"/>
              <w:left w:w="43" w:type="dxa"/>
              <w:bottom w:w="43" w:type="dxa"/>
              <w:right w:w="43" w:type="dxa"/>
            </w:tcMar>
          </w:tcPr>
          <w:p w14:paraId="35A57EE1" w14:textId="77777777" w:rsidR="00972395" w:rsidRPr="00E73D4B" w:rsidRDefault="00F120C7" w:rsidP="001C4219">
            <w:proofErr w:type="spellStart"/>
            <w:r w:rsidRPr="00E73D4B">
              <w:t>Investeringsmidlar</w:t>
            </w:r>
            <w:proofErr w:type="spellEnd"/>
          </w:p>
        </w:tc>
        <w:tc>
          <w:tcPr>
            <w:tcW w:w="1403" w:type="dxa"/>
            <w:tcBorders>
              <w:top w:val="nil"/>
              <w:left w:val="nil"/>
              <w:bottom w:val="nil"/>
              <w:right w:val="nil"/>
            </w:tcBorders>
            <w:tcMar>
              <w:top w:w="128" w:type="dxa"/>
              <w:left w:w="43" w:type="dxa"/>
              <w:bottom w:w="43" w:type="dxa"/>
              <w:right w:w="43" w:type="dxa"/>
            </w:tcMar>
            <w:vAlign w:val="bottom"/>
          </w:tcPr>
          <w:p w14:paraId="290154F5" w14:textId="77777777" w:rsidR="00972395" w:rsidRPr="00E73D4B" w:rsidRDefault="00F120C7" w:rsidP="001C4219">
            <w:pPr>
              <w:jc w:val="right"/>
            </w:pPr>
            <w:r w:rsidRPr="00E73D4B">
              <w:t>Ja</w:t>
            </w:r>
          </w:p>
        </w:tc>
      </w:tr>
      <w:tr w:rsidR="00972395" w:rsidRPr="00E73D4B" w14:paraId="602A904B"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2D5619E8"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5B2C9A65" w14:textId="77777777" w:rsidR="00972395" w:rsidRPr="00E73D4B" w:rsidRDefault="00F120C7" w:rsidP="001C4219">
            <w:pPr>
              <w:jc w:val="right"/>
            </w:pPr>
            <w:r w:rsidRPr="00E73D4B">
              <w:t>232</w:t>
            </w:r>
          </w:p>
        </w:tc>
        <w:tc>
          <w:tcPr>
            <w:tcW w:w="5103" w:type="dxa"/>
            <w:tcBorders>
              <w:top w:val="nil"/>
              <w:left w:val="nil"/>
              <w:bottom w:val="nil"/>
              <w:right w:val="nil"/>
            </w:tcBorders>
            <w:tcMar>
              <w:top w:w="128" w:type="dxa"/>
              <w:left w:w="43" w:type="dxa"/>
              <w:bottom w:w="43" w:type="dxa"/>
              <w:right w:w="43" w:type="dxa"/>
            </w:tcMar>
          </w:tcPr>
          <w:p w14:paraId="592BE89C" w14:textId="77777777" w:rsidR="00972395" w:rsidRPr="00E73D4B" w:rsidRDefault="00F120C7" w:rsidP="001C4219">
            <w:r w:rsidRPr="00E73D4B">
              <w:t>Tapsgrenser hos Norsk Rikstoto</w:t>
            </w:r>
          </w:p>
        </w:tc>
        <w:tc>
          <w:tcPr>
            <w:tcW w:w="1403" w:type="dxa"/>
            <w:tcBorders>
              <w:top w:val="nil"/>
              <w:left w:val="nil"/>
              <w:bottom w:val="nil"/>
              <w:right w:val="nil"/>
            </w:tcBorders>
            <w:tcMar>
              <w:top w:w="128" w:type="dxa"/>
              <w:left w:w="43" w:type="dxa"/>
              <w:bottom w:w="43" w:type="dxa"/>
              <w:right w:w="43" w:type="dxa"/>
            </w:tcMar>
            <w:vAlign w:val="bottom"/>
          </w:tcPr>
          <w:p w14:paraId="0487934C" w14:textId="77777777" w:rsidR="00972395" w:rsidRPr="00E73D4B" w:rsidRDefault="00F120C7" w:rsidP="001C4219">
            <w:pPr>
              <w:jc w:val="right"/>
            </w:pPr>
            <w:r w:rsidRPr="00E73D4B">
              <w:t>Nei</w:t>
            </w:r>
          </w:p>
        </w:tc>
      </w:tr>
      <w:tr w:rsidR="00972395" w:rsidRPr="00E73D4B" w14:paraId="1B5059CA"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5BEE643D"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63884D94" w14:textId="77777777" w:rsidR="00972395" w:rsidRPr="00E73D4B" w:rsidRDefault="00F120C7" w:rsidP="001C4219">
            <w:pPr>
              <w:jc w:val="right"/>
            </w:pPr>
            <w:r w:rsidRPr="00E73D4B">
              <w:t>1127</w:t>
            </w:r>
          </w:p>
        </w:tc>
        <w:tc>
          <w:tcPr>
            <w:tcW w:w="5103" w:type="dxa"/>
            <w:tcBorders>
              <w:top w:val="nil"/>
              <w:left w:val="nil"/>
              <w:bottom w:val="nil"/>
              <w:right w:val="nil"/>
            </w:tcBorders>
            <w:tcMar>
              <w:top w:w="128" w:type="dxa"/>
              <w:left w:w="43" w:type="dxa"/>
              <w:bottom w:w="43" w:type="dxa"/>
              <w:right w:w="43" w:type="dxa"/>
            </w:tcMar>
          </w:tcPr>
          <w:p w14:paraId="7F15034C" w14:textId="77777777" w:rsidR="00972395" w:rsidRPr="00E73D4B" w:rsidRDefault="00F120C7" w:rsidP="001C4219">
            <w:r w:rsidRPr="00E73D4B">
              <w:t>Pelsdyrkompensasjonsordning – berekna bruksverdi</w:t>
            </w:r>
          </w:p>
        </w:tc>
        <w:tc>
          <w:tcPr>
            <w:tcW w:w="1403" w:type="dxa"/>
            <w:tcBorders>
              <w:top w:val="nil"/>
              <w:left w:val="nil"/>
              <w:bottom w:val="nil"/>
              <w:right w:val="nil"/>
            </w:tcBorders>
            <w:tcMar>
              <w:top w:w="128" w:type="dxa"/>
              <w:left w:w="43" w:type="dxa"/>
              <w:bottom w:w="43" w:type="dxa"/>
              <w:right w:w="43" w:type="dxa"/>
            </w:tcMar>
            <w:vAlign w:val="bottom"/>
          </w:tcPr>
          <w:p w14:paraId="642C8753" w14:textId="77777777" w:rsidR="00972395" w:rsidRPr="00E73D4B" w:rsidRDefault="00F120C7" w:rsidP="001C4219">
            <w:pPr>
              <w:jc w:val="right"/>
            </w:pPr>
            <w:r w:rsidRPr="00E73D4B">
              <w:t>Ja</w:t>
            </w:r>
          </w:p>
        </w:tc>
      </w:tr>
      <w:tr w:rsidR="00972395" w:rsidRPr="00E73D4B" w14:paraId="6FA0500E"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74915DAA"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07C3474F" w14:textId="77777777" w:rsidR="00972395" w:rsidRPr="00E73D4B" w:rsidRDefault="00F120C7" w:rsidP="001C4219">
            <w:pPr>
              <w:jc w:val="right"/>
            </w:pPr>
            <w:r w:rsidRPr="00E73D4B">
              <w:t>1128</w:t>
            </w:r>
          </w:p>
        </w:tc>
        <w:tc>
          <w:tcPr>
            <w:tcW w:w="5103" w:type="dxa"/>
            <w:tcBorders>
              <w:top w:val="nil"/>
              <w:left w:val="nil"/>
              <w:bottom w:val="nil"/>
              <w:right w:val="nil"/>
            </w:tcBorders>
            <w:tcMar>
              <w:top w:w="128" w:type="dxa"/>
              <w:left w:w="43" w:type="dxa"/>
              <w:bottom w:w="43" w:type="dxa"/>
              <w:right w:w="43" w:type="dxa"/>
            </w:tcMar>
          </w:tcPr>
          <w:p w14:paraId="6993619C" w14:textId="77777777" w:rsidR="00972395" w:rsidRPr="00E73D4B" w:rsidRDefault="00F120C7" w:rsidP="001C4219">
            <w:r w:rsidRPr="00E73D4B">
              <w:t>Pelsdyrkompensasjonsordning – kapasiteten i </w:t>
            </w:r>
            <w:proofErr w:type="spellStart"/>
            <w:r w:rsidRPr="00E73D4B">
              <w:t>pelsdyrverksemda</w:t>
            </w:r>
            <w:proofErr w:type="spellEnd"/>
          </w:p>
        </w:tc>
        <w:tc>
          <w:tcPr>
            <w:tcW w:w="1403" w:type="dxa"/>
            <w:tcBorders>
              <w:top w:val="nil"/>
              <w:left w:val="nil"/>
              <w:bottom w:val="nil"/>
              <w:right w:val="nil"/>
            </w:tcBorders>
            <w:tcMar>
              <w:top w:w="128" w:type="dxa"/>
              <w:left w:w="43" w:type="dxa"/>
              <w:bottom w:w="43" w:type="dxa"/>
              <w:right w:w="43" w:type="dxa"/>
            </w:tcMar>
            <w:vAlign w:val="bottom"/>
          </w:tcPr>
          <w:p w14:paraId="56149B8D" w14:textId="77777777" w:rsidR="00972395" w:rsidRPr="00E73D4B" w:rsidRDefault="00F120C7" w:rsidP="001C4219">
            <w:pPr>
              <w:jc w:val="right"/>
            </w:pPr>
            <w:r w:rsidRPr="00E73D4B">
              <w:t>Ja</w:t>
            </w:r>
          </w:p>
        </w:tc>
      </w:tr>
      <w:tr w:rsidR="00972395" w:rsidRPr="00E73D4B" w14:paraId="66D838A0"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742C0F23"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594D9AD7" w14:textId="77777777" w:rsidR="00972395" w:rsidRPr="00E73D4B" w:rsidRDefault="00F120C7" w:rsidP="001C4219">
            <w:pPr>
              <w:jc w:val="right"/>
            </w:pPr>
            <w:r w:rsidRPr="00E73D4B">
              <w:t>1129</w:t>
            </w:r>
          </w:p>
        </w:tc>
        <w:tc>
          <w:tcPr>
            <w:tcW w:w="5103" w:type="dxa"/>
            <w:tcBorders>
              <w:top w:val="nil"/>
              <w:left w:val="nil"/>
              <w:bottom w:val="nil"/>
              <w:right w:val="nil"/>
            </w:tcBorders>
            <w:tcMar>
              <w:top w:w="128" w:type="dxa"/>
              <w:left w:w="43" w:type="dxa"/>
              <w:bottom w:w="43" w:type="dxa"/>
              <w:right w:w="43" w:type="dxa"/>
            </w:tcMar>
          </w:tcPr>
          <w:p w14:paraId="1139FDF4" w14:textId="77777777" w:rsidR="00972395" w:rsidRPr="00E73D4B" w:rsidRDefault="00F120C7" w:rsidP="001C4219">
            <w:r w:rsidRPr="00E73D4B">
              <w:t xml:space="preserve">Pelsdyrkompensasjonsordning – opprydding og sanering </w:t>
            </w:r>
          </w:p>
        </w:tc>
        <w:tc>
          <w:tcPr>
            <w:tcW w:w="1403" w:type="dxa"/>
            <w:tcBorders>
              <w:top w:val="nil"/>
              <w:left w:val="nil"/>
              <w:bottom w:val="nil"/>
              <w:right w:val="nil"/>
            </w:tcBorders>
            <w:tcMar>
              <w:top w:w="128" w:type="dxa"/>
              <w:left w:w="43" w:type="dxa"/>
              <w:bottom w:w="43" w:type="dxa"/>
              <w:right w:w="43" w:type="dxa"/>
            </w:tcMar>
            <w:vAlign w:val="bottom"/>
          </w:tcPr>
          <w:p w14:paraId="78D036EE" w14:textId="77777777" w:rsidR="00972395" w:rsidRPr="00E73D4B" w:rsidRDefault="00F120C7" w:rsidP="001C4219">
            <w:pPr>
              <w:jc w:val="right"/>
            </w:pPr>
            <w:r w:rsidRPr="00E73D4B">
              <w:t>Ja</w:t>
            </w:r>
          </w:p>
        </w:tc>
      </w:tr>
      <w:tr w:rsidR="00972395" w:rsidRPr="00E73D4B" w14:paraId="77A4FBC6" w14:textId="77777777" w:rsidTr="001C4219">
        <w:trPr>
          <w:trHeight w:val="640"/>
        </w:trPr>
        <w:tc>
          <w:tcPr>
            <w:tcW w:w="1418" w:type="dxa"/>
            <w:tcBorders>
              <w:top w:val="nil"/>
              <w:left w:val="nil"/>
              <w:bottom w:val="nil"/>
              <w:right w:val="nil"/>
            </w:tcBorders>
            <w:tcMar>
              <w:top w:w="128" w:type="dxa"/>
              <w:left w:w="43" w:type="dxa"/>
              <w:bottom w:w="43" w:type="dxa"/>
              <w:right w:w="43" w:type="dxa"/>
            </w:tcMar>
          </w:tcPr>
          <w:p w14:paraId="10014F2F"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1D47779F" w14:textId="77777777" w:rsidR="00972395" w:rsidRPr="00E73D4B" w:rsidRDefault="00F120C7" w:rsidP="001C4219">
            <w:pPr>
              <w:jc w:val="right"/>
            </w:pPr>
            <w:r w:rsidRPr="00E73D4B">
              <w:t>1130</w:t>
            </w:r>
          </w:p>
        </w:tc>
        <w:tc>
          <w:tcPr>
            <w:tcW w:w="5103" w:type="dxa"/>
            <w:tcBorders>
              <w:top w:val="nil"/>
              <w:left w:val="nil"/>
              <w:bottom w:val="nil"/>
              <w:right w:val="nil"/>
            </w:tcBorders>
            <w:tcMar>
              <w:top w:w="128" w:type="dxa"/>
              <w:left w:w="43" w:type="dxa"/>
              <w:bottom w:w="43" w:type="dxa"/>
              <w:right w:w="43" w:type="dxa"/>
            </w:tcMar>
          </w:tcPr>
          <w:p w14:paraId="59C4D56B" w14:textId="77777777" w:rsidR="00972395" w:rsidRPr="00E73D4B" w:rsidRDefault="00F120C7" w:rsidP="001C4219">
            <w:r w:rsidRPr="00E73D4B">
              <w:t>Pelsdyrkompensasjonsordning – spesialiserte maskiner og utstyr</w:t>
            </w:r>
            <w:r w:rsidRPr="00E73D4B">
              <w:tab/>
            </w:r>
          </w:p>
        </w:tc>
        <w:tc>
          <w:tcPr>
            <w:tcW w:w="1403" w:type="dxa"/>
            <w:tcBorders>
              <w:top w:val="nil"/>
              <w:left w:val="nil"/>
              <w:bottom w:val="nil"/>
              <w:right w:val="nil"/>
            </w:tcBorders>
            <w:tcMar>
              <w:top w:w="128" w:type="dxa"/>
              <w:left w:w="43" w:type="dxa"/>
              <w:bottom w:w="43" w:type="dxa"/>
              <w:right w:w="43" w:type="dxa"/>
            </w:tcMar>
            <w:vAlign w:val="bottom"/>
          </w:tcPr>
          <w:p w14:paraId="6F3C4EB9" w14:textId="77777777" w:rsidR="00972395" w:rsidRPr="00E73D4B" w:rsidRDefault="00F120C7" w:rsidP="001C4219">
            <w:pPr>
              <w:jc w:val="right"/>
            </w:pPr>
            <w:r w:rsidRPr="00E73D4B">
              <w:t>Ja</w:t>
            </w:r>
          </w:p>
        </w:tc>
      </w:tr>
      <w:tr w:rsidR="00972395" w:rsidRPr="00E73D4B" w14:paraId="6C1F034B"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0F5BE2C7"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5317ABE8" w14:textId="77777777" w:rsidR="00972395" w:rsidRPr="00E73D4B" w:rsidRDefault="00F120C7" w:rsidP="001C4219">
            <w:pPr>
              <w:jc w:val="right"/>
            </w:pPr>
            <w:r w:rsidRPr="00E73D4B">
              <w:t>1131</w:t>
            </w:r>
          </w:p>
        </w:tc>
        <w:tc>
          <w:tcPr>
            <w:tcW w:w="5103" w:type="dxa"/>
            <w:tcBorders>
              <w:top w:val="nil"/>
              <w:left w:val="nil"/>
              <w:bottom w:val="nil"/>
              <w:right w:val="nil"/>
            </w:tcBorders>
            <w:tcMar>
              <w:top w:w="128" w:type="dxa"/>
              <w:left w:w="43" w:type="dxa"/>
              <w:bottom w:w="43" w:type="dxa"/>
              <w:right w:w="43" w:type="dxa"/>
            </w:tcMar>
          </w:tcPr>
          <w:p w14:paraId="4E2AC549" w14:textId="77777777" w:rsidR="00972395" w:rsidRPr="00E73D4B" w:rsidRDefault="00F120C7" w:rsidP="001C4219">
            <w:r w:rsidRPr="00E73D4B">
              <w:t>Pelsdyrkompensasjonsordning – faktiske kostnader</w:t>
            </w:r>
          </w:p>
        </w:tc>
        <w:tc>
          <w:tcPr>
            <w:tcW w:w="1403" w:type="dxa"/>
            <w:tcBorders>
              <w:top w:val="nil"/>
              <w:left w:val="nil"/>
              <w:bottom w:val="nil"/>
              <w:right w:val="nil"/>
            </w:tcBorders>
            <w:tcMar>
              <w:top w:w="128" w:type="dxa"/>
              <w:left w:w="43" w:type="dxa"/>
              <w:bottom w:w="43" w:type="dxa"/>
              <w:right w:w="43" w:type="dxa"/>
            </w:tcMar>
            <w:vAlign w:val="bottom"/>
          </w:tcPr>
          <w:p w14:paraId="59DF71D6" w14:textId="77777777" w:rsidR="00972395" w:rsidRPr="00E73D4B" w:rsidRDefault="00F120C7" w:rsidP="001C4219">
            <w:pPr>
              <w:jc w:val="right"/>
            </w:pPr>
            <w:r w:rsidRPr="00E73D4B">
              <w:t>Ja</w:t>
            </w:r>
          </w:p>
        </w:tc>
      </w:tr>
      <w:tr w:rsidR="00972395" w:rsidRPr="00E73D4B" w14:paraId="618D9CA9" w14:textId="77777777" w:rsidTr="001C4219">
        <w:trPr>
          <w:trHeight w:val="380"/>
        </w:trPr>
        <w:tc>
          <w:tcPr>
            <w:tcW w:w="1418" w:type="dxa"/>
            <w:tcBorders>
              <w:top w:val="nil"/>
              <w:left w:val="nil"/>
              <w:bottom w:val="nil"/>
              <w:right w:val="nil"/>
            </w:tcBorders>
            <w:tcMar>
              <w:top w:w="128" w:type="dxa"/>
              <w:left w:w="43" w:type="dxa"/>
              <w:bottom w:w="43" w:type="dxa"/>
              <w:right w:w="43" w:type="dxa"/>
            </w:tcMar>
          </w:tcPr>
          <w:p w14:paraId="7CCE4B4E" w14:textId="77777777" w:rsidR="00972395" w:rsidRPr="00E73D4B" w:rsidRDefault="00F120C7" w:rsidP="001C4219">
            <w:r w:rsidRPr="00E73D4B">
              <w:t>2020–2021</w:t>
            </w:r>
          </w:p>
        </w:tc>
        <w:tc>
          <w:tcPr>
            <w:tcW w:w="1276" w:type="dxa"/>
            <w:tcBorders>
              <w:top w:val="nil"/>
              <w:left w:val="nil"/>
              <w:bottom w:val="nil"/>
              <w:right w:val="nil"/>
            </w:tcBorders>
            <w:tcMar>
              <w:top w:w="128" w:type="dxa"/>
              <w:left w:w="43" w:type="dxa"/>
              <w:bottom w:w="43" w:type="dxa"/>
              <w:right w:w="43" w:type="dxa"/>
            </w:tcMar>
          </w:tcPr>
          <w:p w14:paraId="112BE14E" w14:textId="77777777" w:rsidR="00972395" w:rsidRPr="00E73D4B" w:rsidRDefault="00F120C7" w:rsidP="001C4219">
            <w:pPr>
              <w:jc w:val="right"/>
            </w:pPr>
            <w:r w:rsidRPr="00E73D4B">
              <w:t>1134</w:t>
            </w:r>
          </w:p>
        </w:tc>
        <w:tc>
          <w:tcPr>
            <w:tcW w:w="5103" w:type="dxa"/>
            <w:tcBorders>
              <w:top w:val="nil"/>
              <w:left w:val="nil"/>
              <w:bottom w:val="nil"/>
              <w:right w:val="nil"/>
            </w:tcBorders>
            <w:tcMar>
              <w:top w:w="128" w:type="dxa"/>
              <w:left w:w="43" w:type="dxa"/>
              <w:bottom w:w="43" w:type="dxa"/>
              <w:right w:w="43" w:type="dxa"/>
            </w:tcMar>
          </w:tcPr>
          <w:p w14:paraId="5B6F2B73" w14:textId="77777777" w:rsidR="00972395" w:rsidRPr="00E73D4B" w:rsidRDefault="00F120C7" w:rsidP="001C4219">
            <w:r w:rsidRPr="00E73D4B">
              <w:t>Viltlova – utgreiing av omgrepet «kunstig lys»</w:t>
            </w:r>
          </w:p>
        </w:tc>
        <w:tc>
          <w:tcPr>
            <w:tcW w:w="1403" w:type="dxa"/>
            <w:tcBorders>
              <w:top w:val="nil"/>
              <w:left w:val="nil"/>
              <w:bottom w:val="nil"/>
              <w:right w:val="nil"/>
            </w:tcBorders>
            <w:tcMar>
              <w:top w:w="128" w:type="dxa"/>
              <w:left w:w="43" w:type="dxa"/>
              <w:bottom w:w="43" w:type="dxa"/>
              <w:right w:w="43" w:type="dxa"/>
            </w:tcMar>
            <w:vAlign w:val="bottom"/>
          </w:tcPr>
          <w:p w14:paraId="52E2CADF" w14:textId="77777777" w:rsidR="00972395" w:rsidRPr="00E73D4B" w:rsidRDefault="00F120C7" w:rsidP="001C4219">
            <w:pPr>
              <w:jc w:val="right"/>
            </w:pPr>
            <w:r w:rsidRPr="00E73D4B">
              <w:t>Nei</w:t>
            </w:r>
          </w:p>
        </w:tc>
      </w:tr>
      <w:tr w:rsidR="00972395" w:rsidRPr="00E73D4B" w14:paraId="7FDFF98C" w14:textId="77777777" w:rsidTr="001C4219">
        <w:trPr>
          <w:trHeight w:val="380"/>
        </w:trPr>
        <w:tc>
          <w:tcPr>
            <w:tcW w:w="1418" w:type="dxa"/>
            <w:tcBorders>
              <w:top w:val="nil"/>
              <w:left w:val="nil"/>
              <w:right w:val="nil"/>
            </w:tcBorders>
            <w:tcMar>
              <w:top w:w="128" w:type="dxa"/>
              <w:left w:w="43" w:type="dxa"/>
              <w:bottom w:w="43" w:type="dxa"/>
              <w:right w:w="43" w:type="dxa"/>
            </w:tcMar>
          </w:tcPr>
          <w:p w14:paraId="10BFDC75" w14:textId="77777777" w:rsidR="00972395" w:rsidRPr="00E73D4B" w:rsidRDefault="00F120C7" w:rsidP="001C4219">
            <w:r w:rsidRPr="00E73D4B">
              <w:t>2016–2017</w:t>
            </w:r>
          </w:p>
        </w:tc>
        <w:tc>
          <w:tcPr>
            <w:tcW w:w="1276" w:type="dxa"/>
            <w:tcBorders>
              <w:top w:val="nil"/>
              <w:left w:val="nil"/>
              <w:right w:val="nil"/>
            </w:tcBorders>
            <w:tcMar>
              <w:top w:w="128" w:type="dxa"/>
              <w:left w:w="43" w:type="dxa"/>
              <w:bottom w:w="43" w:type="dxa"/>
              <w:right w:w="43" w:type="dxa"/>
            </w:tcMar>
          </w:tcPr>
          <w:p w14:paraId="2B793EE9" w14:textId="77777777" w:rsidR="00972395" w:rsidRPr="00E73D4B" w:rsidRDefault="00F120C7" w:rsidP="001C4219">
            <w:pPr>
              <w:jc w:val="right"/>
            </w:pPr>
            <w:r w:rsidRPr="00E73D4B">
              <w:t>878</w:t>
            </w:r>
          </w:p>
        </w:tc>
        <w:tc>
          <w:tcPr>
            <w:tcW w:w="5103" w:type="dxa"/>
            <w:tcBorders>
              <w:top w:val="nil"/>
              <w:left w:val="nil"/>
              <w:right w:val="nil"/>
            </w:tcBorders>
            <w:tcMar>
              <w:top w:w="128" w:type="dxa"/>
              <w:left w:w="43" w:type="dxa"/>
              <w:bottom w:w="43" w:type="dxa"/>
              <w:right w:w="43" w:type="dxa"/>
            </w:tcMar>
          </w:tcPr>
          <w:p w14:paraId="656F3248" w14:textId="77777777" w:rsidR="00972395" w:rsidRPr="00E73D4B" w:rsidRDefault="00F120C7" w:rsidP="001C4219">
            <w:proofErr w:type="spellStart"/>
            <w:r w:rsidRPr="00E73D4B">
              <w:t>Konsekvensar</w:t>
            </w:r>
            <w:proofErr w:type="spellEnd"/>
            <w:r w:rsidRPr="00E73D4B">
              <w:t xml:space="preserve"> av liberalisering av konsesjonsplikta</w:t>
            </w:r>
          </w:p>
        </w:tc>
        <w:tc>
          <w:tcPr>
            <w:tcW w:w="1403" w:type="dxa"/>
            <w:tcBorders>
              <w:top w:val="nil"/>
              <w:left w:val="nil"/>
              <w:right w:val="nil"/>
            </w:tcBorders>
            <w:tcMar>
              <w:top w:w="128" w:type="dxa"/>
              <w:left w:w="43" w:type="dxa"/>
              <w:bottom w:w="43" w:type="dxa"/>
              <w:right w:w="43" w:type="dxa"/>
            </w:tcMar>
            <w:vAlign w:val="bottom"/>
          </w:tcPr>
          <w:p w14:paraId="75E8D27D" w14:textId="77777777" w:rsidR="00972395" w:rsidRPr="00E73D4B" w:rsidRDefault="00F120C7" w:rsidP="001C4219">
            <w:pPr>
              <w:jc w:val="right"/>
            </w:pPr>
            <w:r w:rsidRPr="00E73D4B">
              <w:t>Nei</w:t>
            </w:r>
          </w:p>
        </w:tc>
      </w:tr>
      <w:tr w:rsidR="00972395" w:rsidRPr="00E73D4B" w14:paraId="79D45E5A" w14:textId="77777777" w:rsidTr="001C4219">
        <w:trPr>
          <w:trHeight w:val="380"/>
        </w:trPr>
        <w:tc>
          <w:tcPr>
            <w:tcW w:w="1418" w:type="dxa"/>
            <w:tcBorders>
              <w:top w:val="nil"/>
              <w:left w:val="nil"/>
              <w:bottom w:val="single" w:sz="4" w:space="0" w:color="000000"/>
              <w:right w:val="nil"/>
            </w:tcBorders>
            <w:shd w:val="clear" w:color="auto" w:fill="auto"/>
            <w:tcMar>
              <w:top w:w="128" w:type="dxa"/>
              <w:left w:w="43" w:type="dxa"/>
              <w:bottom w:w="43" w:type="dxa"/>
              <w:right w:w="43" w:type="dxa"/>
            </w:tcMar>
          </w:tcPr>
          <w:p w14:paraId="4E755EAE" w14:textId="77777777" w:rsidR="00972395" w:rsidRPr="00E73D4B" w:rsidRDefault="00F120C7" w:rsidP="001C4219">
            <w:r w:rsidRPr="00E73D4B">
              <w:t>2016–2017</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tcPr>
          <w:p w14:paraId="07BE0591" w14:textId="77777777" w:rsidR="00972395" w:rsidRPr="00E73D4B" w:rsidRDefault="00F120C7" w:rsidP="001C4219">
            <w:pPr>
              <w:jc w:val="right"/>
            </w:pPr>
            <w:r w:rsidRPr="00E73D4B">
              <w:t>885</w:t>
            </w:r>
          </w:p>
        </w:tc>
        <w:tc>
          <w:tcPr>
            <w:tcW w:w="5103" w:type="dxa"/>
            <w:tcBorders>
              <w:top w:val="nil"/>
              <w:left w:val="nil"/>
              <w:bottom w:val="single" w:sz="4" w:space="0" w:color="000000"/>
              <w:right w:val="nil"/>
            </w:tcBorders>
            <w:shd w:val="clear" w:color="auto" w:fill="auto"/>
            <w:tcMar>
              <w:top w:w="128" w:type="dxa"/>
              <w:left w:w="43" w:type="dxa"/>
              <w:bottom w:w="43" w:type="dxa"/>
              <w:right w:w="43" w:type="dxa"/>
            </w:tcMar>
          </w:tcPr>
          <w:p w14:paraId="1FE842AD" w14:textId="77777777" w:rsidR="00972395" w:rsidRPr="00E73D4B" w:rsidRDefault="00F120C7" w:rsidP="001C4219">
            <w:r w:rsidRPr="00E73D4B">
              <w:t>Hundelova</w:t>
            </w:r>
          </w:p>
        </w:tc>
        <w:tc>
          <w:tcPr>
            <w:tcW w:w="140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52A6C3" w14:textId="77777777" w:rsidR="00972395" w:rsidRPr="00E73D4B" w:rsidRDefault="00F120C7" w:rsidP="001C4219">
            <w:pPr>
              <w:jc w:val="right"/>
            </w:pPr>
            <w:r w:rsidRPr="00E73D4B">
              <w:t>Ja</w:t>
            </w:r>
          </w:p>
        </w:tc>
      </w:tr>
    </w:tbl>
    <w:p w14:paraId="764018F4" w14:textId="77777777" w:rsidR="00972395" w:rsidRPr="00E73D4B" w:rsidRDefault="00F120C7" w:rsidP="001C4219">
      <w:pPr>
        <w:pStyle w:val="Overskrift2"/>
        <w:numPr>
          <w:ilvl w:val="1"/>
          <w:numId w:val="37"/>
        </w:numPr>
      </w:pPr>
      <w:r w:rsidRPr="00E73D4B">
        <w:t>Stortingssesjon 2021–2022</w:t>
      </w:r>
    </w:p>
    <w:p w14:paraId="140A3896" w14:textId="77777777" w:rsidR="00972395" w:rsidRPr="00E73D4B" w:rsidRDefault="00F120C7" w:rsidP="00E73D4B">
      <w:pPr>
        <w:pStyle w:val="avsnitt-tittel"/>
      </w:pPr>
      <w:r w:rsidRPr="00E73D4B">
        <w:t xml:space="preserve">Overgang </w:t>
      </w:r>
      <w:proofErr w:type="spellStart"/>
      <w:r w:rsidRPr="00E73D4B">
        <w:t>frå</w:t>
      </w:r>
      <w:proofErr w:type="spellEnd"/>
      <w:r w:rsidRPr="00E73D4B">
        <w:t xml:space="preserve"> kronetoll til prosenttoll</w:t>
      </w:r>
    </w:p>
    <w:p w14:paraId="6729945A" w14:textId="77777777" w:rsidR="00972395" w:rsidRPr="00E73D4B" w:rsidRDefault="00F120C7" w:rsidP="00E73D4B">
      <w:pPr>
        <w:pStyle w:val="avsnitt-undertittel"/>
      </w:pPr>
      <w:r w:rsidRPr="00E73D4B">
        <w:t>Vedtak nr. 836, 17. juni 2022:</w:t>
      </w:r>
    </w:p>
    <w:p w14:paraId="412D33EF" w14:textId="77777777" w:rsidR="00972395" w:rsidRPr="00E73D4B" w:rsidRDefault="00F120C7" w:rsidP="00E73D4B">
      <w:pPr>
        <w:pStyle w:val="blokksit"/>
      </w:pPr>
      <w:r w:rsidRPr="00E73D4B">
        <w:t>«</w:t>
      </w:r>
      <w:r w:rsidRPr="00E73D4B">
        <w:rPr>
          <w:rStyle w:val="kursiv"/>
        </w:rPr>
        <w:t xml:space="preserve">Stortinget ber regjeringen i forbindelse med statsbudsjettet for 2023 vurdere overgang fra kronetoll til prosenttoll, blant annet for </w:t>
      </w:r>
      <w:proofErr w:type="spellStart"/>
      <w:r w:rsidRPr="00E73D4B">
        <w:rPr>
          <w:rStyle w:val="kursiv"/>
        </w:rPr>
        <w:t>tollinjene</w:t>
      </w:r>
      <w:proofErr w:type="spellEnd"/>
      <w:r w:rsidRPr="00E73D4B">
        <w:rPr>
          <w:rStyle w:val="kursiv"/>
        </w:rPr>
        <w:t xml:space="preserve"> storfe, svin, sau, lam og potet.</w:t>
      </w:r>
      <w:r w:rsidRPr="00E73D4B">
        <w:t>»</w:t>
      </w:r>
    </w:p>
    <w:p w14:paraId="7E2E3F99"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115 S (2021–2022) </w:t>
      </w:r>
      <w:r w:rsidRPr="00E73D4B">
        <w:rPr>
          <w:rStyle w:val="kursiv"/>
        </w:rPr>
        <w:t>Tilleggsbevilgninger og omprioriteringer i statsbudsjettet 2022</w:t>
      </w:r>
      <w:r w:rsidRPr="00E73D4B">
        <w:t xml:space="preserve">, jf. </w:t>
      </w:r>
      <w:proofErr w:type="spellStart"/>
      <w:r w:rsidRPr="00E73D4B">
        <w:t>Innst</w:t>
      </w:r>
      <w:proofErr w:type="spellEnd"/>
      <w:r w:rsidRPr="00E73D4B">
        <w:t>. 450 S (2021–2022).</w:t>
      </w:r>
    </w:p>
    <w:p w14:paraId="4F4AC060" w14:textId="77777777" w:rsidR="00972395" w:rsidRPr="00E73D4B" w:rsidRDefault="00F120C7" w:rsidP="00E73D4B">
      <w:r w:rsidRPr="00E73D4B">
        <w:t xml:space="preserve">Regjeringa </w:t>
      </w:r>
      <w:proofErr w:type="spellStart"/>
      <w:r w:rsidRPr="00E73D4B">
        <w:t>gjer</w:t>
      </w:r>
      <w:proofErr w:type="spellEnd"/>
      <w:r w:rsidRPr="00E73D4B">
        <w:t xml:space="preserve"> </w:t>
      </w:r>
      <w:proofErr w:type="spellStart"/>
      <w:r w:rsidRPr="00E73D4B">
        <w:t>ikkje</w:t>
      </w:r>
      <w:proofErr w:type="spellEnd"/>
      <w:r w:rsidRPr="00E73D4B">
        <w:t xml:space="preserve"> framlegg om omlegging </w:t>
      </w:r>
      <w:proofErr w:type="spellStart"/>
      <w:r w:rsidRPr="00E73D4B">
        <w:t>frå</w:t>
      </w:r>
      <w:proofErr w:type="spellEnd"/>
      <w:r w:rsidRPr="00E73D4B">
        <w:t xml:space="preserve"> kronetoll til prosenttoll for landbruksvarer i samband med framlegging av statsbudsjettet for 2023. Regjeringa kjem tilbake til saka på </w:t>
      </w:r>
      <w:proofErr w:type="spellStart"/>
      <w:r w:rsidRPr="00E73D4B">
        <w:t>eit</w:t>
      </w:r>
      <w:proofErr w:type="spellEnd"/>
      <w:r w:rsidRPr="00E73D4B">
        <w:t xml:space="preserve"> </w:t>
      </w:r>
      <w:proofErr w:type="spellStart"/>
      <w:r w:rsidRPr="00E73D4B">
        <w:t>seinare</w:t>
      </w:r>
      <w:proofErr w:type="spellEnd"/>
      <w:r w:rsidRPr="00E73D4B">
        <w:t xml:space="preserve"> tidspunkt.</w:t>
      </w:r>
    </w:p>
    <w:p w14:paraId="01C2FD05" w14:textId="77777777" w:rsidR="00972395" w:rsidRPr="00E73D4B" w:rsidRDefault="00F120C7" w:rsidP="00E73D4B">
      <w:pPr>
        <w:pStyle w:val="avsnitt-tittel"/>
      </w:pPr>
      <w:r w:rsidRPr="00E73D4B">
        <w:t>Oppdatering av jordvernstrategien</w:t>
      </w:r>
    </w:p>
    <w:p w14:paraId="307149A3" w14:textId="77777777" w:rsidR="00972395" w:rsidRPr="00E73D4B" w:rsidRDefault="00F120C7" w:rsidP="00E73D4B">
      <w:pPr>
        <w:pStyle w:val="avsnitt-undertittel"/>
      </w:pPr>
      <w:r w:rsidRPr="00E73D4B">
        <w:t>Vedtak nr. 799, 14. juni 2022:</w:t>
      </w:r>
    </w:p>
    <w:p w14:paraId="0522BB20" w14:textId="77777777" w:rsidR="00972395" w:rsidRPr="00E73D4B" w:rsidRDefault="00F120C7" w:rsidP="00E73D4B">
      <w:pPr>
        <w:pStyle w:val="blokksit"/>
      </w:pPr>
      <w:r w:rsidRPr="00E73D4B">
        <w:t>«</w:t>
      </w:r>
      <w:r w:rsidRPr="00E73D4B">
        <w:rPr>
          <w:rStyle w:val="kursiv"/>
        </w:rPr>
        <w:t>Stortinget ber regjeringen legge frem en ny jordvernstrategi våren 2023. Strategien skal inneholde et nytt og skjerpet mål for omdisponering av matjord og nye, konkrete tiltak for å nå målet</w:t>
      </w:r>
      <w:r w:rsidRPr="00E73D4B">
        <w:t>.»</w:t>
      </w:r>
    </w:p>
    <w:p w14:paraId="20717AFE" w14:textId="77777777" w:rsidR="00972395" w:rsidRPr="00E73D4B" w:rsidRDefault="00F120C7" w:rsidP="00E73D4B">
      <w:r w:rsidRPr="00E73D4B">
        <w:t xml:space="preserve">Vedtaket blei fatta ved handsaminga av Dokument 8:234 S (2021–2022), jf. </w:t>
      </w:r>
      <w:proofErr w:type="spellStart"/>
      <w:r w:rsidRPr="00E73D4B">
        <w:t>Innst</w:t>
      </w:r>
      <w:proofErr w:type="spellEnd"/>
      <w:r w:rsidRPr="00E73D4B">
        <w:t xml:space="preserve">. 358 S (2021–2022). </w:t>
      </w:r>
    </w:p>
    <w:p w14:paraId="3C8816E0" w14:textId="77777777" w:rsidR="00972395" w:rsidRPr="00E73D4B" w:rsidRDefault="00F120C7" w:rsidP="00E73D4B">
      <w:r w:rsidRPr="00E73D4B">
        <w:t xml:space="preserve">Arbeidet med å oppdatere jordvernstrategien med nye konkrete tiltak er i gang, og </w:t>
      </w:r>
      <w:proofErr w:type="spellStart"/>
      <w:r w:rsidRPr="00E73D4B">
        <w:t>ein</w:t>
      </w:r>
      <w:proofErr w:type="spellEnd"/>
      <w:r w:rsidRPr="00E73D4B">
        <w:t xml:space="preserve"> vil vurdere </w:t>
      </w:r>
      <w:proofErr w:type="spellStart"/>
      <w:r w:rsidRPr="00E73D4B">
        <w:t>eit</w:t>
      </w:r>
      <w:proofErr w:type="spellEnd"/>
      <w:r w:rsidRPr="00E73D4B">
        <w:t xml:space="preserve"> nytt og skjerpa mål for omdisponering av dyrka mark. Departementet vil komme tilbake til Stortinget med </w:t>
      </w:r>
      <w:proofErr w:type="spellStart"/>
      <w:r w:rsidRPr="00E73D4B">
        <w:t>ein</w:t>
      </w:r>
      <w:proofErr w:type="spellEnd"/>
      <w:r w:rsidRPr="00E73D4B">
        <w:t xml:space="preserve"> oppdatert jordvernstrategi.</w:t>
      </w:r>
    </w:p>
    <w:p w14:paraId="4BE2567B" w14:textId="77777777" w:rsidR="00972395" w:rsidRPr="00E73D4B" w:rsidRDefault="00F120C7" w:rsidP="00E73D4B">
      <w:pPr>
        <w:pStyle w:val="avsnitt-tittel"/>
      </w:pPr>
      <w:r w:rsidRPr="00E73D4B">
        <w:t>Bransjeavtaler for biogassproduksjon</w:t>
      </w:r>
    </w:p>
    <w:p w14:paraId="451C94FC" w14:textId="77777777" w:rsidR="00972395" w:rsidRPr="00E73D4B" w:rsidRDefault="00F120C7" w:rsidP="00E73D4B">
      <w:pPr>
        <w:pStyle w:val="avsnitt-undertittel"/>
      </w:pPr>
      <w:r w:rsidRPr="00E73D4B">
        <w:t>Vedtak nr. 754, 10. juni 2022:</w:t>
      </w:r>
    </w:p>
    <w:p w14:paraId="748C5B64" w14:textId="77777777" w:rsidR="00972395" w:rsidRPr="00E73D4B" w:rsidRDefault="00F120C7" w:rsidP="00E73D4B">
      <w:pPr>
        <w:pStyle w:val="blokksit"/>
      </w:pPr>
      <w:r w:rsidRPr="00E73D4B">
        <w:t>«</w:t>
      </w:r>
      <w:r w:rsidRPr="00E73D4B">
        <w:rPr>
          <w:rStyle w:val="kursiv"/>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sidRPr="00E73D4B">
        <w:rPr>
          <w:rStyle w:val="kursiv"/>
        </w:rPr>
        <w:t>bionæringene</w:t>
      </w:r>
      <w:proofErr w:type="spellEnd"/>
      <w:r w:rsidRPr="00E73D4B">
        <w:rPr>
          <w:rStyle w:val="kursiv"/>
        </w:rPr>
        <w:t xml:space="preserve"> vil spille en viktig rolle i dette arbeidet</w:t>
      </w:r>
      <w:r w:rsidRPr="00E73D4B">
        <w:t>.»</w:t>
      </w:r>
    </w:p>
    <w:p w14:paraId="479AEEFC" w14:textId="77777777" w:rsidR="00972395" w:rsidRPr="00E73D4B" w:rsidRDefault="00F120C7" w:rsidP="00E73D4B">
      <w:r w:rsidRPr="00E73D4B">
        <w:t xml:space="preserve">Vedtaket blei fatta ved handsaminga av Meld. St. 36 (2020–2021) og Meld. St. 11 (2021–2022), jf. </w:t>
      </w:r>
      <w:proofErr w:type="spellStart"/>
      <w:r w:rsidRPr="00E73D4B">
        <w:t>Innst</w:t>
      </w:r>
      <w:proofErr w:type="spellEnd"/>
      <w:r w:rsidRPr="00E73D4B">
        <w:t xml:space="preserve">. 446 S 2021–2022. </w:t>
      </w:r>
    </w:p>
    <w:p w14:paraId="1DCF0381" w14:textId="77777777" w:rsidR="00972395" w:rsidRPr="00E73D4B" w:rsidRDefault="00F120C7" w:rsidP="00E73D4B">
      <w:r w:rsidRPr="00E73D4B">
        <w:t xml:space="preserve">Landbruks- og matdepartementet vil </w:t>
      </w:r>
      <w:proofErr w:type="spellStart"/>
      <w:r w:rsidRPr="00E73D4B">
        <w:t>følgje</w:t>
      </w:r>
      <w:proofErr w:type="spellEnd"/>
      <w:r w:rsidRPr="00E73D4B">
        <w:t xml:space="preserve"> opp saka i samråd med Nærings- og fiskeridepartementet og Klima- og miljødepartementet.</w:t>
      </w:r>
    </w:p>
    <w:p w14:paraId="29C62A0E" w14:textId="77777777" w:rsidR="00972395" w:rsidRPr="00E73D4B" w:rsidRDefault="00F120C7" w:rsidP="00E73D4B">
      <w:pPr>
        <w:pStyle w:val="avsnitt-tittel"/>
      </w:pPr>
      <w:r w:rsidRPr="00E73D4B">
        <w:t xml:space="preserve">Melding til Stortinget om dyrevelferd som </w:t>
      </w:r>
      <w:proofErr w:type="spellStart"/>
      <w:r w:rsidRPr="00E73D4B">
        <w:t>byggjer</w:t>
      </w:r>
      <w:proofErr w:type="spellEnd"/>
      <w:r w:rsidRPr="00E73D4B">
        <w:t xml:space="preserve"> på oppdatert kunnskap</w:t>
      </w:r>
    </w:p>
    <w:p w14:paraId="32482BC9" w14:textId="77777777" w:rsidR="00972395" w:rsidRPr="00E73D4B" w:rsidRDefault="00F120C7" w:rsidP="00E73D4B">
      <w:pPr>
        <w:pStyle w:val="avsnitt-undertittel"/>
      </w:pPr>
      <w:r w:rsidRPr="00E73D4B">
        <w:t>Vedtak nr. 381, 15. februar 2022</w:t>
      </w:r>
    </w:p>
    <w:p w14:paraId="15C4898D" w14:textId="77777777" w:rsidR="00972395" w:rsidRPr="00E73D4B" w:rsidRDefault="00F120C7" w:rsidP="00E73D4B">
      <w:pPr>
        <w:pStyle w:val="blokksit"/>
      </w:pPr>
      <w:r w:rsidRPr="00E73D4B">
        <w:t>«</w:t>
      </w:r>
      <w:r w:rsidRPr="00E73D4B">
        <w:rPr>
          <w:rStyle w:val="kursiv"/>
        </w:rPr>
        <w:t>Stortinget ber regjeringen legge fram en dyrevelferdsmelding som bygger på oppdatert kunnskap om dyrevelferd med utgangspunkt i faglige og faktiske forhold. Meldingen bør se faglig og politisk på problemstillinger knyttet til dyrehold, og gi oversikt over det vi gjør bra i dag, og om det er noe som kan gjøre annerledes og bedre i framtida. Det er sammenheng mellom menneskevelferd og dyrevelferd. Meldingen bør omtale dette</w:t>
      </w:r>
      <w:r w:rsidRPr="00E73D4B">
        <w:t>.»</w:t>
      </w:r>
    </w:p>
    <w:p w14:paraId="2FDD9D4C" w14:textId="77777777" w:rsidR="00972395" w:rsidRPr="00E73D4B" w:rsidRDefault="00F120C7" w:rsidP="00E73D4B">
      <w:r w:rsidRPr="00E73D4B">
        <w:t xml:space="preserve">Vedtaket blei fatta ved handsaminga av Dokument 8:25 S (2021–2022), jf. </w:t>
      </w:r>
      <w:proofErr w:type="spellStart"/>
      <w:r w:rsidRPr="00E73D4B">
        <w:t>Innst</w:t>
      </w:r>
      <w:proofErr w:type="spellEnd"/>
      <w:r w:rsidRPr="00E73D4B">
        <w:t>. 130 S (2021–2022).</w:t>
      </w:r>
    </w:p>
    <w:p w14:paraId="63E8337D" w14:textId="77777777" w:rsidR="00972395" w:rsidRPr="00E73D4B" w:rsidRDefault="00F120C7" w:rsidP="00E73D4B">
      <w:r w:rsidRPr="00E73D4B">
        <w:t xml:space="preserve">Landbruks- og matdepartementet og Nærings- og fiskeridepartementet vil i fellesskap utarbeide ei stortingsmelding om dyrevelferd, og det er </w:t>
      </w:r>
      <w:proofErr w:type="spellStart"/>
      <w:r w:rsidRPr="00E73D4B">
        <w:t>halde</w:t>
      </w:r>
      <w:proofErr w:type="spellEnd"/>
      <w:r w:rsidRPr="00E73D4B">
        <w:t xml:space="preserve"> </w:t>
      </w:r>
      <w:proofErr w:type="spellStart"/>
      <w:r w:rsidRPr="00E73D4B">
        <w:t>eit</w:t>
      </w:r>
      <w:proofErr w:type="spellEnd"/>
      <w:r w:rsidRPr="00E73D4B">
        <w:t xml:space="preserve"> </w:t>
      </w:r>
      <w:proofErr w:type="spellStart"/>
      <w:r w:rsidRPr="00E73D4B">
        <w:t>innleiande</w:t>
      </w:r>
      <w:proofErr w:type="spellEnd"/>
      <w:r w:rsidRPr="00E73D4B">
        <w:t xml:space="preserve"> møte med </w:t>
      </w:r>
      <w:proofErr w:type="spellStart"/>
      <w:r w:rsidRPr="00E73D4B">
        <w:t>innspel</w:t>
      </w:r>
      <w:proofErr w:type="spellEnd"/>
      <w:r w:rsidRPr="00E73D4B">
        <w:t xml:space="preserve"> for landdyrsektoren.</w:t>
      </w:r>
    </w:p>
    <w:p w14:paraId="5E0C3C2B" w14:textId="77777777" w:rsidR="00972395" w:rsidRPr="00E73D4B" w:rsidRDefault="00F120C7" w:rsidP="00E73D4B">
      <w:pPr>
        <w:pStyle w:val="avsnitt-tittel"/>
      </w:pPr>
      <w:r w:rsidRPr="00E73D4B">
        <w:t>Dyrevelferda i svinenæringa</w:t>
      </w:r>
    </w:p>
    <w:p w14:paraId="166D1DD5" w14:textId="77777777" w:rsidR="00972395" w:rsidRPr="00E73D4B" w:rsidRDefault="00F120C7" w:rsidP="00E73D4B">
      <w:pPr>
        <w:pStyle w:val="avsnitt-undertittel"/>
      </w:pPr>
      <w:r w:rsidRPr="00E73D4B">
        <w:t>Vedtak nr. 382, 15. februar 2022</w:t>
      </w:r>
    </w:p>
    <w:p w14:paraId="731E308B" w14:textId="77777777" w:rsidR="00972395" w:rsidRPr="00E73D4B" w:rsidRDefault="00F120C7" w:rsidP="00E73D4B">
      <w:pPr>
        <w:pStyle w:val="blokksit"/>
      </w:pPr>
      <w:r w:rsidRPr="00E73D4B">
        <w:t>«</w:t>
      </w:r>
      <w:r w:rsidRPr="00E73D4B">
        <w:rPr>
          <w:rStyle w:val="kursiv"/>
        </w:rPr>
        <w:t>Stortinget ber regjeringen se på insentiver som vil øke dyrevelferden i svinenæringen, særlig med hensyn til areal, underlag og miljøberikelse, og stille strengere krav til dyrevelferd ved oppgraderinger av driftsbygninger eller nybygg</w:t>
      </w:r>
      <w:r w:rsidRPr="00E73D4B">
        <w:t>.»</w:t>
      </w:r>
    </w:p>
    <w:p w14:paraId="68393F3A" w14:textId="77777777" w:rsidR="00972395" w:rsidRPr="00E73D4B" w:rsidRDefault="00F120C7" w:rsidP="00E73D4B">
      <w:r w:rsidRPr="00E73D4B">
        <w:t xml:space="preserve">Vedtaket blei fatta ved handsaminga av Dokument 8:25 S (2021–2022), jf. </w:t>
      </w:r>
      <w:proofErr w:type="spellStart"/>
      <w:r w:rsidRPr="00E73D4B">
        <w:t>Innst</w:t>
      </w:r>
      <w:proofErr w:type="spellEnd"/>
      <w:r w:rsidRPr="00E73D4B">
        <w:t>. 130 S (2021–2022).</w:t>
      </w:r>
    </w:p>
    <w:p w14:paraId="773B8249" w14:textId="77777777" w:rsidR="00972395" w:rsidRPr="00E73D4B" w:rsidRDefault="00F120C7" w:rsidP="00E73D4B">
      <w:r w:rsidRPr="00E73D4B">
        <w:t xml:space="preserve">Landbruks- og matdepartementet og Nærings- og fiskeridepartementet vil i fellesskap utarbeide ei stortingsmelding om dyrevelferd. Det er </w:t>
      </w:r>
      <w:proofErr w:type="spellStart"/>
      <w:r w:rsidRPr="00E73D4B">
        <w:t>halde</w:t>
      </w:r>
      <w:proofErr w:type="spellEnd"/>
      <w:r w:rsidRPr="00E73D4B">
        <w:t xml:space="preserve"> </w:t>
      </w:r>
      <w:proofErr w:type="spellStart"/>
      <w:r w:rsidRPr="00E73D4B">
        <w:t>eit</w:t>
      </w:r>
      <w:proofErr w:type="spellEnd"/>
      <w:r w:rsidRPr="00E73D4B">
        <w:t xml:space="preserve"> </w:t>
      </w:r>
      <w:proofErr w:type="spellStart"/>
      <w:r w:rsidRPr="00E73D4B">
        <w:t>innleiande</w:t>
      </w:r>
      <w:proofErr w:type="spellEnd"/>
      <w:r w:rsidRPr="00E73D4B">
        <w:t xml:space="preserve"> møte med </w:t>
      </w:r>
      <w:proofErr w:type="spellStart"/>
      <w:r w:rsidRPr="00E73D4B">
        <w:t>innspel</w:t>
      </w:r>
      <w:proofErr w:type="spellEnd"/>
      <w:r w:rsidRPr="00E73D4B">
        <w:t xml:space="preserve"> for landdyrsektoren. Mattilsynet fullfører i 2022 </w:t>
      </w:r>
      <w:proofErr w:type="spellStart"/>
      <w:r w:rsidRPr="00E73D4B">
        <w:t>ein</w:t>
      </w:r>
      <w:proofErr w:type="spellEnd"/>
      <w:r w:rsidRPr="00E73D4B">
        <w:t xml:space="preserve"> </w:t>
      </w:r>
      <w:proofErr w:type="spellStart"/>
      <w:r w:rsidRPr="00E73D4B">
        <w:t>landsdekkjande</w:t>
      </w:r>
      <w:proofErr w:type="spellEnd"/>
      <w:r w:rsidRPr="00E73D4B">
        <w:t xml:space="preserve"> tilsynskampanje i svineproduksjonen. Kunnskapen </w:t>
      </w:r>
      <w:proofErr w:type="spellStart"/>
      <w:r w:rsidRPr="00E73D4B">
        <w:t>frå</w:t>
      </w:r>
      <w:proofErr w:type="spellEnd"/>
      <w:r w:rsidRPr="00E73D4B">
        <w:t xml:space="preserve"> denne kampanjen skal brukast til å vurdere behovet for </w:t>
      </w:r>
      <w:proofErr w:type="spellStart"/>
      <w:r w:rsidRPr="00E73D4B">
        <w:t>ytterlegare</w:t>
      </w:r>
      <w:proofErr w:type="spellEnd"/>
      <w:r w:rsidRPr="00E73D4B">
        <w:t xml:space="preserve"> oppfølging av næringa og eventuelt justering av regelverket.</w:t>
      </w:r>
    </w:p>
    <w:p w14:paraId="41023224" w14:textId="77777777" w:rsidR="00972395" w:rsidRPr="00E73D4B" w:rsidRDefault="00F120C7" w:rsidP="00E73D4B">
      <w:r w:rsidRPr="00E73D4B">
        <w:t xml:space="preserve">Landbruks- og matdepartementet arbeider også med ei ny forskrift om hald av </w:t>
      </w:r>
      <w:proofErr w:type="spellStart"/>
      <w:r w:rsidRPr="00E73D4B">
        <w:t>dei</w:t>
      </w:r>
      <w:proofErr w:type="spellEnd"/>
      <w:r w:rsidRPr="00E73D4B">
        <w:t xml:space="preserve"> ulike produksjonsdyra.</w:t>
      </w:r>
    </w:p>
    <w:p w14:paraId="0C4A603B" w14:textId="77777777" w:rsidR="00972395" w:rsidRPr="00E73D4B" w:rsidRDefault="00F120C7" w:rsidP="00E73D4B">
      <w:pPr>
        <w:pStyle w:val="avsnitt-tittel"/>
      </w:pPr>
      <w:r w:rsidRPr="00E73D4B">
        <w:t>Konkrete tiltak i melding til Stortinget om dyrevelferd</w:t>
      </w:r>
    </w:p>
    <w:p w14:paraId="1C5A600C" w14:textId="77777777" w:rsidR="00972395" w:rsidRPr="00E73D4B" w:rsidRDefault="00F120C7" w:rsidP="00E73D4B">
      <w:pPr>
        <w:pStyle w:val="avsnitt-undertittel"/>
      </w:pPr>
      <w:r w:rsidRPr="00E73D4B">
        <w:t>Vedtak nr. 383, 15. februar 2022</w:t>
      </w:r>
    </w:p>
    <w:p w14:paraId="52237111" w14:textId="77777777" w:rsidR="00972395" w:rsidRPr="00E73D4B" w:rsidRDefault="00F120C7" w:rsidP="00E73D4B">
      <w:pPr>
        <w:pStyle w:val="blokksit"/>
      </w:pPr>
      <w:r w:rsidRPr="00E73D4B">
        <w:t>«</w:t>
      </w:r>
      <w:r w:rsidRPr="00E73D4B">
        <w:rPr>
          <w:rStyle w:val="kursiv"/>
        </w:rPr>
        <w:t xml:space="preserve">Stortinget ber regjeringa legge fram ei </w:t>
      </w:r>
      <w:proofErr w:type="spellStart"/>
      <w:r w:rsidRPr="00E73D4B">
        <w:rPr>
          <w:rStyle w:val="kursiv"/>
        </w:rPr>
        <w:t>heilskapleg</w:t>
      </w:r>
      <w:proofErr w:type="spellEnd"/>
      <w:r w:rsidRPr="00E73D4B">
        <w:rPr>
          <w:rStyle w:val="kursiv"/>
        </w:rPr>
        <w:t xml:space="preserve"> stortingsmelding om dyrevelferd som </w:t>
      </w:r>
      <w:proofErr w:type="spellStart"/>
      <w:r w:rsidRPr="00E73D4B">
        <w:rPr>
          <w:rStyle w:val="kursiv"/>
        </w:rPr>
        <w:t>omfattar</w:t>
      </w:r>
      <w:proofErr w:type="spellEnd"/>
      <w:r w:rsidRPr="00E73D4B">
        <w:rPr>
          <w:rStyle w:val="kursiv"/>
        </w:rPr>
        <w:t xml:space="preserve"> både produksjonsdyr i landbruket, kjæledyr og fiskeoppdrett, </w:t>
      </w:r>
      <w:proofErr w:type="spellStart"/>
      <w:r w:rsidRPr="00E73D4B">
        <w:rPr>
          <w:rStyle w:val="kursiv"/>
        </w:rPr>
        <w:t>seinast</w:t>
      </w:r>
      <w:proofErr w:type="spellEnd"/>
      <w:r w:rsidRPr="00E73D4B">
        <w:rPr>
          <w:rStyle w:val="kursiv"/>
        </w:rPr>
        <w:t xml:space="preserve"> i vårsesjonen 2023. Regjeringa vert </w:t>
      </w:r>
      <w:proofErr w:type="spellStart"/>
      <w:r w:rsidRPr="00E73D4B">
        <w:rPr>
          <w:rStyle w:val="kursiv"/>
        </w:rPr>
        <w:t>beden</w:t>
      </w:r>
      <w:proofErr w:type="spellEnd"/>
      <w:r w:rsidRPr="00E73D4B">
        <w:rPr>
          <w:rStyle w:val="kursiv"/>
        </w:rPr>
        <w:t xml:space="preserve"> om å greie ut og foreslå konkrete tiltak i meldinga både for </w:t>
      </w:r>
      <w:proofErr w:type="spellStart"/>
      <w:r w:rsidRPr="00E73D4B">
        <w:rPr>
          <w:rStyle w:val="kursiv"/>
        </w:rPr>
        <w:t>betra</w:t>
      </w:r>
      <w:proofErr w:type="spellEnd"/>
      <w:r w:rsidRPr="00E73D4B">
        <w:rPr>
          <w:rStyle w:val="kursiv"/>
        </w:rPr>
        <w:t xml:space="preserve"> dyrevelferd generelt og for spesifikke </w:t>
      </w:r>
      <w:proofErr w:type="spellStart"/>
      <w:r w:rsidRPr="00E73D4B">
        <w:rPr>
          <w:rStyle w:val="kursiv"/>
        </w:rPr>
        <w:t>artar</w:t>
      </w:r>
      <w:proofErr w:type="spellEnd"/>
      <w:r w:rsidRPr="00E73D4B">
        <w:rPr>
          <w:rStyle w:val="kursiv"/>
        </w:rPr>
        <w:t xml:space="preserve">/grupper av dyr, herunder </w:t>
      </w:r>
      <w:proofErr w:type="spellStart"/>
      <w:r w:rsidRPr="00E73D4B">
        <w:rPr>
          <w:rStyle w:val="kursiv"/>
        </w:rPr>
        <w:t>følgjande</w:t>
      </w:r>
      <w:proofErr w:type="spellEnd"/>
      <w:r w:rsidRPr="00E73D4B">
        <w:rPr>
          <w:rStyle w:val="kursiv"/>
        </w:rPr>
        <w:t xml:space="preserve"> tema:</w:t>
      </w:r>
    </w:p>
    <w:p w14:paraId="34B588AC" w14:textId="77777777" w:rsidR="00972395" w:rsidRPr="00E73D4B" w:rsidRDefault="00F120C7" w:rsidP="00E73D4B">
      <w:pPr>
        <w:pStyle w:val="Liste2"/>
        <w:rPr>
          <w:rStyle w:val="kursiv"/>
        </w:rPr>
      </w:pPr>
      <w:r w:rsidRPr="00E73D4B">
        <w:rPr>
          <w:rStyle w:val="kursiv"/>
        </w:rPr>
        <w:t xml:space="preserve">å greie ut korleis økonomiske </w:t>
      </w:r>
      <w:proofErr w:type="spellStart"/>
      <w:r w:rsidRPr="00E73D4B">
        <w:rPr>
          <w:rStyle w:val="kursiv"/>
        </w:rPr>
        <w:t>verkemiddel</w:t>
      </w:r>
      <w:proofErr w:type="spellEnd"/>
      <w:r w:rsidRPr="00E73D4B">
        <w:rPr>
          <w:rStyle w:val="kursiv"/>
        </w:rPr>
        <w:t xml:space="preserve"> i landbrukspolitikken kan </w:t>
      </w:r>
      <w:proofErr w:type="spellStart"/>
      <w:r w:rsidRPr="00E73D4B">
        <w:rPr>
          <w:rStyle w:val="kursiv"/>
        </w:rPr>
        <w:t>innrettast</w:t>
      </w:r>
      <w:proofErr w:type="spellEnd"/>
      <w:r w:rsidRPr="00E73D4B">
        <w:rPr>
          <w:rStyle w:val="kursiv"/>
        </w:rPr>
        <w:t xml:space="preserve"> på </w:t>
      </w:r>
      <w:proofErr w:type="spellStart"/>
      <w:r w:rsidRPr="00E73D4B">
        <w:rPr>
          <w:rStyle w:val="kursiv"/>
        </w:rPr>
        <w:t>ein</w:t>
      </w:r>
      <w:proofErr w:type="spellEnd"/>
      <w:r w:rsidRPr="00E73D4B">
        <w:rPr>
          <w:rStyle w:val="kursiv"/>
        </w:rPr>
        <w:t xml:space="preserve"> måte som </w:t>
      </w:r>
      <w:proofErr w:type="spellStart"/>
      <w:r w:rsidRPr="00E73D4B">
        <w:rPr>
          <w:rStyle w:val="kursiv"/>
        </w:rPr>
        <w:t>løner</w:t>
      </w:r>
      <w:proofErr w:type="spellEnd"/>
      <w:r w:rsidRPr="00E73D4B">
        <w:rPr>
          <w:rStyle w:val="kursiv"/>
        </w:rPr>
        <w:t xml:space="preserve"> god dyrevelferd.</w:t>
      </w:r>
    </w:p>
    <w:p w14:paraId="3348ECC0" w14:textId="77777777" w:rsidR="00972395" w:rsidRPr="00E73D4B" w:rsidRDefault="00F120C7" w:rsidP="00E73D4B">
      <w:pPr>
        <w:pStyle w:val="Liste2"/>
        <w:rPr>
          <w:rStyle w:val="kursiv"/>
        </w:rPr>
      </w:pPr>
      <w:r w:rsidRPr="00E73D4B">
        <w:rPr>
          <w:rStyle w:val="kursiv"/>
        </w:rPr>
        <w:t xml:space="preserve">å greie ut korleis norsk regelverk vil måtte </w:t>
      </w:r>
      <w:proofErr w:type="spellStart"/>
      <w:r w:rsidRPr="00E73D4B">
        <w:rPr>
          <w:rStyle w:val="kursiv"/>
        </w:rPr>
        <w:t>endrast</w:t>
      </w:r>
      <w:proofErr w:type="spellEnd"/>
      <w:r w:rsidRPr="00E73D4B">
        <w:rPr>
          <w:rStyle w:val="kursiv"/>
        </w:rPr>
        <w:t xml:space="preserve"> ved implementering av EU sitt varsla </w:t>
      </w:r>
      <w:proofErr w:type="spellStart"/>
      <w:r w:rsidRPr="00E73D4B">
        <w:rPr>
          <w:rStyle w:val="kursiv"/>
        </w:rPr>
        <w:t>forbod</w:t>
      </w:r>
      <w:proofErr w:type="spellEnd"/>
      <w:r w:rsidRPr="00E73D4B">
        <w:rPr>
          <w:rStyle w:val="kursiv"/>
        </w:rPr>
        <w:t xml:space="preserve"> mot hald av dyr i bur og trange </w:t>
      </w:r>
      <w:proofErr w:type="spellStart"/>
      <w:r w:rsidRPr="00E73D4B">
        <w:rPr>
          <w:rStyle w:val="kursiv"/>
        </w:rPr>
        <w:t>bingar</w:t>
      </w:r>
      <w:proofErr w:type="spellEnd"/>
      <w:r w:rsidRPr="00E73D4B">
        <w:rPr>
          <w:rStyle w:val="kursiv"/>
        </w:rPr>
        <w:t>.</w:t>
      </w:r>
    </w:p>
    <w:p w14:paraId="0FAF596B" w14:textId="77777777" w:rsidR="00972395" w:rsidRPr="00E73D4B" w:rsidRDefault="00F120C7" w:rsidP="00E73D4B">
      <w:pPr>
        <w:pStyle w:val="Liste2"/>
        <w:rPr>
          <w:rStyle w:val="kursiv"/>
        </w:rPr>
      </w:pPr>
      <w:r w:rsidRPr="00E73D4B">
        <w:rPr>
          <w:rStyle w:val="kursiv"/>
        </w:rPr>
        <w:t xml:space="preserve">å greie ut Mattilsynet sin kontroll- og rettleiingsfunksjon og </w:t>
      </w:r>
      <w:proofErr w:type="spellStart"/>
      <w:r w:rsidRPr="00E73D4B">
        <w:rPr>
          <w:rStyle w:val="kursiv"/>
        </w:rPr>
        <w:t>trong</w:t>
      </w:r>
      <w:proofErr w:type="spellEnd"/>
      <w:r w:rsidRPr="00E73D4B">
        <w:rPr>
          <w:rStyle w:val="kursiv"/>
        </w:rPr>
        <w:t xml:space="preserve"> for </w:t>
      </w:r>
      <w:proofErr w:type="spellStart"/>
      <w:r w:rsidRPr="00E73D4B">
        <w:rPr>
          <w:rStyle w:val="kursiv"/>
        </w:rPr>
        <w:t>ressursar</w:t>
      </w:r>
      <w:proofErr w:type="spellEnd"/>
      <w:r w:rsidRPr="00E73D4B">
        <w:rPr>
          <w:rStyle w:val="kursiv"/>
        </w:rPr>
        <w:t xml:space="preserve"> for å sikre </w:t>
      </w:r>
      <w:proofErr w:type="spellStart"/>
      <w:r w:rsidRPr="00E73D4B">
        <w:rPr>
          <w:rStyle w:val="kursiv"/>
        </w:rPr>
        <w:t>tilstrekkeleg</w:t>
      </w:r>
      <w:proofErr w:type="spellEnd"/>
      <w:r w:rsidRPr="00E73D4B">
        <w:rPr>
          <w:rStyle w:val="kursiv"/>
        </w:rPr>
        <w:t xml:space="preserve"> oppfølging av dyrevelferden i landbruket.</w:t>
      </w:r>
    </w:p>
    <w:p w14:paraId="55062547" w14:textId="77777777" w:rsidR="00972395" w:rsidRPr="00E73D4B" w:rsidRDefault="00F120C7" w:rsidP="00E73D4B">
      <w:pPr>
        <w:pStyle w:val="Liste2"/>
        <w:rPr>
          <w:rStyle w:val="kursiv"/>
        </w:rPr>
      </w:pPr>
      <w:r w:rsidRPr="00E73D4B">
        <w:rPr>
          <w:rStyle w:val="kursiv"/>
        </w:rPr>
        <w:t xml:space="preserve">å greie ut </w:t>
      </w:r>
      <w:proofErr w:type="spellStart"/>
      <w:r w:rsidRPr="00E73D4B">
        <w:rPr>
          <w:rStyle w:val="kursiv"/>
        </w:rPr>
        <w:t>merkeordningar</w:t>
      </w:r>
      <w:proofErr w:type="spellEnd"/>
      <w:r w:rsidRPr="00E73D4B">
        <w:rPr>
          <w:rStyle w:val="kursiv"/>
        </w:rPr>
        <w:t xml:space="preserve"> som </w:t>
      </w:r>
      <w:proofErr w:type="spellStart"/>
      <w:r w:rsidRPr="00E73D4B">
        <w:rPr>
          <w:rStyle w:val="kursiv"/>
        </w:rPr>
        <w:t>gjer</w:t>
      </w:r>
      <w:proofErr w:type="spellEnd"/>
      <w:r w:rsidRPr="00E73D4B">
        <w:rPr>
          <w:rStyle w:val="kursiv"/>
        </w:rPr>
        <w:t xml:space="preserve"> det </w:t>
      </w:r>
      <w:proofErr w:type="spellStart"/>
      <w:r w:rsidRPr="00E73D4B">
        <w:rPr>
          <w:rStyle w:val="kursiv"/>
        </w:rPr>
        <w:t>lettare</w:t>
      </w:r>
      <w:proofErr w:type="spellEnd"/>
      <w:r w:rsidRPr="00E73D4B">
        <w:rPr>
          <w:rStyle w:val="kursiv"/>
        </w:rPr>
        <w:t xml:space="preserve"> for </w:t>
      </w:r>
      <w:proofErr w:type="spellStart"/>
      <w:r w:rsidRPr="00E73D4B">
        <w:rPr>
          <w:rStyle w:val="kursiv"/>
        </w:rPr>
        <w:t>forbrukaren</w:t>
      </w:r>
      <w:proofErr w:type="spellEnd"/>
      <w:r w:rsidRPr="00E73D4B">
        <w:rPr>
          <w:rStyle w:val="kursiv"/>
        </w:rPr>
        <w:t xml:space="preserve"> å </w:t>
      </w:r>
      <w:proofErr w:type="spellStart"/>
      <w:r w:rsidRPr="00E73D4B">
        <w:rPr>
          <w:rStyle w:val="kursiv"/>
        </w:rPr>
        <w:t>velje</w:t>
      </w:r>
      <w:proofErr w:type="spellEnd"/>
      <w:r w:rsidRPr="00E73D4B">
        <w:rPr>
          <w:rStyle w:val="kursiv"/>
        </w:rPr>
        <w:t xml:space="preserve"> </w:t>
      </w:r>
      <w:proofErr w:type="spellStart"/>
      <w:r w:rsidRPr="00E73D4B">
        <w:rPr>
          <w:rStyle w:val="kursiv"/>
        </w:rPr>
        <w:t>dyrevenlege</w:t>
      </w:r>
      <w:proofErr w:type="spellEnd"/>
      <w:r w:rsidRPr="00E73D4B">
        <w:rPr>
          <w:rStyle w:val="kursiv"/>
        </w:rPr>
        <w:t xml:space="preserve"> produkt. Ei slik merkeordning kan </w:t>
      </w:r>
      <w:proofErr w:type="spellStart"/>
      <w:r w:rsidRPr="00E73D4B">
        <w:rPr>
          <w:rStyle w:val="kursiv"/>
        </w:rPr>
        <w:t>vere</w:t>
      </w:r>
      <w:proofErr w:type="spellEnd"/>
      <w:r w:rsidRPr="00E73D4B">
        <w:rPr>
          <w:rStyle w:val="kursiv"/>
        </w:rPr>
        <w:t xml:space="preserve"> </w:t>
      </w:r>
      <w:proofErr w:type="spellStart"/>
      <w:r w:rsidRPr="00E73D4B">
        <w:rPr>
          <w:rStyle w:val="kursiv"/>
        </w:rPr>
        <w:t>statleg</w:t>
      </w:r>
      <w:proofErr w:type="spellEnd"/>
      <w:r w:rsidRPr="00E73D4B">
        <w:rPr>
          <w:rStyle w:val="kursiv"/>
        </w:rPr>
        <w:t xml:space="preserve"> eller privat.</w:t>
      </w:r>
    </w:p>
    <w:p w14:paraId="67D0F29A" w14:textId="77777777" w:rsidR="00972395" w:rsidRPr="00E73D4B" w:rsidRDefault="00F120C7" w:rsidP="00E73D4B">
      <w:pPr>
        <w:pStyle w:val="Liste2"/>
      </w:pPr>
      <w:r w:rsidRPr="00E73D4B">
        <w:rPr>
          <w:rStyle w:val="kursiv"/>
        </w:rPr>
        <w:t xml:space="preserve">å greie ut korleis </w:t>
      </w:r>
      <w:proofErr w:type="spellStart"/>
      <w:r w:rsidRPr="00E73D4B">
        <w:rPr>
          <w:rStyle w:val="kursiv"/>
        </w:rPr>
        <w:t>grisar</w:t>
      </w:r>
      <w:proofErr w:type="spellEnd"/>
      <w:r w:rsidRPr="00E73D4B">
        <w:rPr>
          <w:rStyle w:val="kursiv"/>
        </w:rPr>
        <w:t xml:space="preserve"> kan </w:t>
      </w:r>
      <w:proofErr w:type="spellStart"/>
      <w:r w:rsidRPr="00E73D4B">
        <w:rPr>
          <w:rStyle w:val="kursiv"/>
        </w:rPr>
        <w:t>sikrast</w:t>
      </w:r>
      <w:proofErr w:type="spellEnd"/>
      <w:r w:rsidRPr="00E73D4B">
        <w:rPr>
          <w:rStyle w:val="kursiv"/>
        </w:rPr>
        <w:t xml:space="preserve"> betre tilgang til uteareal, til dømes gjennom </w:t>
      </w:r>
      <w:proofErr w:type="spellStart"/>
      <w:r w:rsidRPr="00E73D4B">
        <w:rPr>
          <w:rStyle w:val="kursiv"/>
        </w:rPr>
        <w:t>tilskots</w:t>
      </w:r>
      <w:proofErr w:type="spellEnd"/>
      <w:r w:rsidRPr="00E73D4B">
        <w:rPr>
          <w:rStyle w:val="kursiv"/>
        </w:rPr>
        <w:t xml:space="preserve">- eller </w:t>
      </w:r>
      <w:proofErr w:type="spellStart"/>
      <w:r w:rsidRPr="00E73D4B">
        <w:rPr>
          <w:rStyle w:val="kursiv"/>
        </w:rPr>
        <w:t>merkeordningar</w:t>
      </w:r>
      <w:proofErr w:type="spellEnd"/>
      <w:r w:rsidRPr="00E73D4B">
        <w:rPr>
          <w:rStyle w:val="kursiv"/>
        </w:rPr>
        <w:t xml:space="preserve">, eventuelt gjennom </w:t>
      </w:r>
      <w:proofErr w:type="spellStart"/>
      <w:r w:rsidRPr="00E73D4B">
        <w:rPr>
          <w:rStyle w:val="kursiv"/>
        </w:rPr>
        <w:t>endringar</w:t>
      </w:r>
      <w:proofErr w:type="spellEnd"/>
      <w:r w:rsidRPr="00E73D4B">
        <w:rPr>
          <w:rStyle w:val="kursiv"/>
        </w:rPr>
        <w:t xml:space="preserve"> i lovverket</w:t>
      </w:r>
      <w:r w:rsidRPr="00E73D4B">
        <w:t>.»</w:t>
      </w:r>
    </w:p>
    <w:p w14:paraId="55F7E7AB" w14:textId="77777777" w:rsidR="00972395" w:rsidRPr="00E73D4B" w:rsidRDefault="00F120C7" w:rsidP="00E73D4B">
      <w:r w:rsidRPr="00E73D4B">
        <w:t xml:space="preserve">Vedtaket blei fatta ved handsaminga av Dokument 8:25 S (2021–2022), jf. </w:t>
      </w:r>
      <w:proofErr w:type="spellStart"/>
      <w:r w:rsidRPr="00E73D4B">
        <w:t>Innst</w:t>
      </w:r>
      <w:proofErr w:type="spellEnd"/>
      <w:r w:rsidRPr="00E73D4B">
        <w:t>. 130 S (2021–2022).</w:t>
      </w:r>
    </w:p>
    <w:p w14:paraId="227F7047" w14:textId="77777777" w:rsidR="00972395" w:rsidRPr="00E73D4B" w:rsidRDefault="00F120C7" w:rsidP="00E73D4B">
      <w:r w:rsidRPr="00E73D4B">
        <w:t xml:space="preserve">Regjeringa har starta arbeidet med ei stortingsmelding om dyrevelferd. Det er </w:t>
      </w:r>
      <w:proofErr w:type="spellStart"/>
      <w:r w:rsidRPr="00E73D4B">
        <w:t>naudsynt</w:t>
      </w:r>
      <w:proofErr w:type="spellEnd"/>
      <w:r w:rsidRPr="00E73D4B">
        <w:t xml:space="preserve"> å </w:t>
      </w:r>
      <w:proofErr w:type="spellStart"/>
      <w:r w:rsidRPr="00E73D4B">
        <w:t>setje</w:t>
      </w:r>
      <w:proofErr w:type="spellEnd"/>
      <w:r w:rsidRPr="00E73D4B">
        <w:t xml:space="preserve"> av </w:t>
      </w:r>
      <w:proofErr w:type="spellStart"/>
      <w:r w:rsidRPr="00E73D4B">
        <w:t>tilstrekkeleg</w:t>
      </w:r>
      <w:proofErr w:type="spellEnd"/>
      <w:r w:rsidRPr="00E73D4B">
        <w:t xml:space="preserve"> tid til å </w:t>
      </w:r>
      <w:proofErr w:type="gramStart"/>
      <w:r w:rsidRPr="00E73D4B">
        <w:t>implementere</w:t>
      </w:r>
      <w:proofErr w:type="gramEnd"/>
      <w:r w:rsidRPr="00E73D4B">
        <w:t xml:space="preserve"> oppdatert kunnskapsgrunnlag og grundig greie ut </w:t>
      </w:r>
      <w:proofErr w:type="spellStart"/>
      <w:r w:rsidRPr="00E73D4B">
        <w:t>konsekvensar</w:t>
      </w:r>
      <w:proofErr w:type="spellEnd"/>
      <w:r w:rsidRPr="00E73D4B">
        <w:t xml:space="preserve"> </w:t>
      </w:r>
      <w:proofErr w:type="spellStart"/>
      <w:r w:rsidRPr="00E73D4B">
        <w:t>innanfor</w:t>
      </w:r>
      <w:proofErr w:type="spellEnd"/>
      <w:r w:rsidRPr="00E73D4B">
        <w:t xml:space="preserve"> </w:t>
      </w:r>
      <w:proofErr w:type="spellStart"/>
      <w:r w:rsidRPr="00E73D4B">
        <w:t>eit</w:t>
      </w:r>
      <w:proofErr w:type="spellEnd"/>
      <w:r w:rsidRPr="00E73D4B">
        <w:t xml:space="preserve"> stort og </w:t>
      </w:r>
      <w:proofErr w:type="spellStart"/>
      <w:r w:rsidRPr="00E73D4B">
        <w:t>omfattande</w:t>
      </w:r>
      <w:proofErr w:type="spellEnd"/>
      <w:r w:rsidRPr="00E73D4B">
        <w:t xml:space="preserve"> fagområde. Det er </w:t>
      </w:r>
      <w:proofErr w:type="spellStart"/>
      <w:r w:rsidRPr="00E73D4B">
        <w:t>vesentleg</w:t>
      </w:r>
      <w:proofErr w:type="spellEnd"/>
      <w:r w:rsidRPr="00E73D4B">
        <w:t xml:space="preserve"> at regjeringa sitt arbeid med ei dyrevelferdsmelding </w:t>
      </w:r>
      <w:proofErr w:type="spellStart"/>
      <w:r w:rsidRPr="00E73D4B">
        <w:t>tek</w:t>
      </w:r>
      <w:proofErr w:type="spellEnd"/>
      <w:r w:rsidRPr="00E73D4B">
        <w:t xml:space="preserve"> opp i seg utviklinga i EU. EU har varsla </w:t>
      </w:r>
      <w:proofErr w:type="spellStart"/>
      <w:r w:rsidRPr="00E73D4B">
        <w:t>ein</w:t>
      </w:r>
      <w:proofErr w:type="spellEnd"/>
      <w:r w:rsidRPr="00E73D4B">
        <w:t xml:space="preserve"> </w:t>
      </w:r>
      <w:proofErr w:type="spellStart"/>
      <w:r w:rsidRPr="00E73D4B">
        <w:t>heilskapleg</w:t>
      </w:r>
      <w:proofErr w:type="spellEnd"/>
      <w:r w:rsidRPr="00E73D4B">
        <w:t xml:space="preserve"> gjennomgang av regelverket for dyrevelferd, men utkast til dette </w:t>
      </w:r>
      <w:proofErr w:type="spellStart"/>
      <w:r w:rsidRPr="00E73D4B">
        <w:t>forventast</w:t>
      </w:r>
      <w:proofErr w:type="spellEnd"/>
      <w:r w:rsidRPr="00E73D4B">
        <w:t xml:space="preserve"> </w:t>
      </w:r>
      <w:proofErr w:type="spellStart"/>
      <w:r w:rsidRPr="00E73D4B">
        <w:t>ikkje</w:t>
      </w:r>
      <w:proofErr w:type="spellEnd"/>
      <w:r w:rsidRPr="00E73D4B">
        <w:t xml:space="preserve"> å </w:t>
      </w:r>
      <w:proofErr w:type="spellStart"/>
      <w:r w:rsidRPr="00E73D4B">
        <w:t>vere</w:t>
      </w:r>
      <w:proofErr w:type="spellEnd"/>
      <w:r w:rsidRPr="00E73D4B">
        <w:t xml:space="preserve"> klart før i slutten av 2023, </w:t>
      </w:r>
      <w:proofErr w:type="spellStart"/>
      <w:r w:rsidRPr="00E73D4B">
        <w:t>ein</w:t>
      </w:r>
      <w:proofErr w:type="spellEnd"/>
      <w:r w:rsidRPr="00E73D4B">
        <w:t xml:space="preserve"> stor del av dette i form av </w:t>
      </w:r>
      <w:proofErr w:type="spellStart"/>
      <w:r w:rsidRPr="00E73D4B">
        <w:t>forordningar</w:t>
      </w:r>
      <w:proofErr w:type="spellEnd"/>
      <w:r w:rsidRPr="00E73D4B">
        <w:t xml:space="preserve">. Gjennom EØS-avtalen kan regelverk på dette området også bli </w:t>
      </w:r>
      <w:proofErr w:type="spellStart"/>
      <w:r w:rsidRPr="00E73D4B">
        <w:t>gjeldande</w:t>
      </w:r>
      <w:proofErr w:type="spellEnd"/>
      <w:r w:rsidRPr="00E73D4B">
        <w:t xml:space="preserve"> for </w:t>
      </w:r>
      <w:proofErr w:type="spellStart"/>
      <w:r w:rsidRPr="00E73D4B">
        <w:t>Noreg</w:t>
      </w:r>
      <w:proofErr w:type="spellEnd"/>
      <w:r w:rsidRPr="00E73D4B">
        <w:t xml:space="preserve">. Departementet </w:t>
      </w:r>
      <w:proofErr w:type="spellStart"/>
      <w:r w:rsidRPr="00E73D4B">
        <w:t>legg</w:t>
      </w:r>
      <w:proofErr w:type="spellEnd"/>
      <w:r w:rsidRPr="00E73D4B">
        <w:t xml:space="preserve"> </w:t>
      </w:r>
      <w:proofErr w:type="spellStart"/>
      <w:r w:rsidRPr="00E73D4B">
        <w:t>difor</w:t>
      </w:r>
      <w:proofErr w:type="spellEnd"/>
      <w:r w:rsidRPr="00E73D4B">
        <w:t xml:space="preserve"> til grunn at meldinga </w:t>
      </w:r>
      <w:proofErr w:type="spellStart"/>
      <w:r w:rsidRPr="00E73D4B">
        <w:t>ikkje</w:t>
      </w:r>
      <w:proofErr w:type="spellEnd"/>
      <w:r w:rsidRPr="00E73D4B">
        <w:t xml:space="preserve"> kan bli lagt fram i 2023. Departementet vil på eigna måte komme tilbake til Stortinget om korleis oppmodingsvedtaket vil bli </w:t>
      </w:r>
      <w:proofErr w:type="spellStart"/>
      <w:r w:rsidRPr="00E73D4B">
        <w:t>følgt</w:t>
      </w:r>
      <w:proofErr w:type="spellEnd"/>
      <w:r w:rsidRPr="00E73D4B">
        <w:t xml:space="preserve"> opp.</w:t>
      </w:r>
    </w:p>
    <w:p w14:paraId="0E030F84" w14:textId="77777777" w:rsidR="00972395" w:rsidRPr="00E73D4B" w:rsidRDefault="00F120C7" w:rsidP="00E73D4B">
      <w:pPr>
        <w:pStyle w:val="avsnitt-tittel"/>
      </w:pPr>
      <w:r w:rsidRPr="00E73D4B">
        <w:t>Alternativ til CO</w:t>
      </w:r>
      <w:r w:rsidRPr="00E73D4B">
        <w:rPr>
          <w:rStyle w:val="skrift-senket"/>
        </w:rPr>
        <w:t>2</w:t>
      </w:r>
      <w:r w:rsidRPr="00E73D4B">
        <w:t>-bedøving av dyr</w:t>
      </w:r>
    </w:p>
    <w:p w14:paraId="2676E584" w14:textId="77777777" w:rsidR="00972395" w:rsidRPr="00E73D4B" w:rsidRDefault="00F120C7" w:rsidP="00E73D4B">
      <w:pPr>
        <w:pStyle w:val="avsnitt-undertittel"/>
      </w:pPr>
      <w:r w:rsidRPr="00E73D4B">
        <w:t>Vedtak nr. 384, 15. februar 2022</w:t>
      </w:r>
    </w:p>
    <w:p w14:paraId="3A4FB306" w14:textId="77777777" w:rsidR="00972395" w:rsidRPr="00E73D4B" w:rsidRDefault="00F120C7" w:rsidP="00E73D4B">
      <w:pPr>
        <w:pStyle w:val="blokksit"/>
      </w:pPr>
      <w:r w:rsidRPr="00E73D4B">
        <w:t>«</w:t>
      </w:r>
      <w:r w:rsidRPr="00E73D4B">
        <w:rPr>
          <w:rStyle w:val="kursiv"/>
        </w:rPr>
        <w:t>Stortinget ber regjeringa sørge for at det vert forska på alternativ til CO</w:t>
      </w:r>
      <w:r w:rsidRPr="00E73D4B">
        <w:rPr>
          <w:rStyle w:val="skrift-senket"/>
        </w:rPr>
        <w:t>2</w:t>
      </w:r>
      <w:r w:rsidRPr="00E73D4B">
        <w:rPr>
          <w:rStyle w:val="kursiv"/>
        </w:rPr>
        <w:t xml:space="preserve">-bedøving av dyr i slakteri og kverning av </w:t>
      </w:r>
      <w:proofErr w:type="spellStart"/>
      <w:r w:rsidRPr="00E73D4B">
        <w:rPr>
          <w:rStyle w:val="kursiv"/>
        </w:rPr>
        <w:t>hanekyllingar</w:t>
      </w:r>
      <w:proofErr w:type="spellEnd"/>
      <w:r w:rsidRPr="00E73D4B">
        <w:rPr>
          <w:rStyle w:val="kursiv"/>
        </w:rPr>
        <w:t xml:space="preserve"> (maserasjon), med mål om at det vert innført betre </w:t>
      </w:r>
      <w:proofErr w:type="spellStart"/>
      <w:r w:rsidRPr="00E73D4B">
        <w:rPr>
          <w:rStyle w:val="kursiv"/>
        </w:rPr>
        <w:t>metodar</w:t>
      </w:r>
      <w:proofErr w:type="spellEnd"/>
      <w:r w:rsidRPr="00E73D4B">
        <w:rPr>
          <w:rStyle w:val="kursiv"/>
        </w:rPr>
        <w:t xml:space="preserve"> for avliving, og at det på sikt kan </w:t>
      </w:r>
      <w:proofErr w:type="spellStart"/>
      <w:r w:rsidRPr="00E73D4B">
        <w:rPr>
          <w:rStyle w:val="kursiv"/>
        </w:rPr>
        <w:t>innførast</w:t>
      </w:r>
      <w:proofErr w:type="spellEnd"/>
      <w:r w:rsidRPr="00E73D4B">
        <w:rPr>
          <w:rStyle w:val="kursiv"/>
        </w:rPr>
        <w:t xml:space="preserve"> </w:t>
      </w:r>
      <w:proofErr w:type="spellStart"/>
      <w:r w:rsidRPr="00E73D4B">
        <w:rPr>
          <w:rStyle w:val="kursiv"/>
        </w:rPr>
        <w:t>eit</w:t>
      </w:r>
      <w:proofErr w:type="spellEnd"/>
      <w:r w:rsidRPr="00E73D4B">
        <w:rPr>
          <w:rStyle w:val="kursiv"/>
        </w:rPr>
        <w:t xml:space="preserve"> </w:t>
      </w:r>
      <w:proofErr w:type="spellStart"/>
      <w:r w:rsidRPr="00E73D4B">
        <w:rPr>
          <w:rStyle w:val="kursiv"/>
        </w:rPr>
        <w:t>forbod</w:t>
      </w:r>
      <w:proofErr w:type="spellEnd"/>
      <w:r w:rsidRPr="00E73D4B">
        <w:rPr>
          <w:rStyle w:val="kursiv"/>
        </w:rPr>
        <w:t xml:space="preserve"> mot dagens praksis.</w:t>
      </w:r>
      <w:r w:rsidRPr="00E73D4B">
        <w:t>»</w:t>
      </w:r>
    </w:p>
    <w:p w14:paraId="1E93BE41" w14:textId="77777777" w:rsidR="00972395" w:rsidRPr="00E73D4B" w:rsidRDefault="00F120C7" w:rsidP="00E73D4B">
      <w:r w:rsidRPr="00E73D4B">
        <w:t xml:space="preserve">Vedtaket blei fatta ved handsaminga av Dokument 8:25 S (2021–2022), jf. </w:t>
      </w:r>
      <w:proofErr w:type="spellStart"/>
      <w:r w:rsidRPr="00E73D4B">
        <w:t>Innst</w:t>
      </w:r>
      <w:proofErr w:type="spellEnd"/>
      <w:r w:rsidRPr="00E73D4B">
        <w:t>. 130 S (2021–2022).</w:t>
      </w:r>
    </w:p>
    <w:p w14:paraId="24F68B9F" w14:textId="77777777" w:rsidR="00972395" w:rsidRPr="00E73D4B" w:rsidRDefault="00F120C7" w:rsidP="00E73D4B">
      <w:r w:rsidRPr="00E73D4B">
        <w:t xml:space="preserve">Landbruks- og matdepartementet og Nærings- og fiskeridepartementet vil i fellesskap utarbeide ei stortingsmelding om dyrevelferd. </w:t>
      </w:r>
      <w:proofErr w:type="spellStart"/>
      <w:r w:rsidRPr="00E73D4B">
        <w:t>Desse</w:t>
      </w:r>
      <w:proofErr w:type="spellEnd"/>
      <w:r w:rsidRPr="00E73D4B">
        <w:t xml:space="preserve"> </w:t>
      </w:r>
      <w:proofErr w:type="spellStart"/>
      <w:r w:rsidRPr="00E73D4B">
        <w:t>temaa</w:t>
      </w:r>
      <w:proofErr w:type="spellEnd"/>
      <w:r w:rsidRPr="00E73D4B">
        <w:t xml:space="preserve"> kjem også </w:t>
      </w:r>
      <w:proofErr w:type="spellStart"/>
      <w:r w:rsidRPr="00E73D4B">
        <w:t>innanfor</w:t>
      </w:r>
      <w:proofErr w:type="spellEnd"/>
      <w:r w:rsidRPr="00E73D4B">
        <w:t xml:space="preserve"> ramma av ei slik stortingsmelding. Det er </w:t>
      </w:r>
      <w:proofErr w:type="spellStart"/>
      <w:r w:rsidRPr="00E73D4B">
        <w:t>halde</w:t>
      </w:r>
      <w:proofErr w:type="spellEnd"/>
      <w:r w:rsidRPr="00E73D4B">
        <w:t xml:space="preserve"> </w:t>
      </w:r>
      <w:proofErr w:type="spellStart"/>
      <w:r w:rsidRPr="00E73D4B">
        <w:t>eit</w:t>
      </w:r>
      <w:proofErr w:type="spellEnd"/>
      <w:r w:rsidRPr="00E73D4B">
        <w:t xml:space="preserve"> </w:t>
      </w:r>
      <w:proofErr w:type="spellStart"/>
      <w:r w:rsidRPr="00E73D4B">
        <w:t>innleiande</w:t>
      </w:r>
      <w:proofErr w:type="spellEnd"/>
      <w:r w:rsidRPr="00E73D4B">
        <w:t xml:space="preserve"> møte med </w:t>
      </w:r>
      <w:proofErr w:type="spellStart"/>
      <w:r w:rsidRPr="00E73D4B">
        <w:t>innspel</w:t>
      </w:r>
      <w:proofErr w:type="spellEnd"/>
      <w:r w:rsidRPr="00E73D4B">
        <w:t xml:space="preserve"> for landdyrsektoren. Når det gjeld </w:t>
      </w:r>
      <w:proofErr w:type="spellStart"/>
      <w:r w:rsidRPr="00E73D4B">
        <w:t>metodar</w:t>
      </w:r>
      <w:proofErr w:type="spellEnd"/>
      <w:r w:rsidRPr="00E73D4B">
        <w:t xml:space="preserve"> for avliving av dyr, er </w:t>
      </w:r>
      <w:proofErr w:type="spellStart"/>
      <w:r w:rsidRPr="00E73D4B">
        <w:t>desse</w:t>
      </w:r>
      <w:proofErr w:type="spellEnd"/>
      <w:r w:rsidRPr="00E73D4B">
        <w:t xml:space="preserve"> regulert i </w:t>
      </w:r>
      <w:proofErr w:type="spellStart"/>
      <w:r w:rsidRPr="00E73D4B">
        <w:t>eit</w:t>
      </w:r>
      <w:proofErr w:type="spellEnd"/>
      <w:r w:rsidRPr="00E73D4B">
        <w:t xml:space="preserve"> EØS-harmonisert regelverk. Regelverket blir basert på den til </w:t>
      </w:r>
      <w:proofErr w:type="spellStart"/>
      <w:r w:rsidRPr="00E73D4B">
        <w:t>eikvar</w:t>
      </w:r>
      <w:proofErr w:type="spellEnd"/>
      <w:r w:rsidRPr="00E73D4B">
        <w:t xml:space="preserve"> tid </w:t>
      </w:r>
      <w:proofErr w:type="spellStart"/>
      <w:r w:rsidRPr="00E73D4B">
        <w:t>tilgjengelege</w:t>
      </w:r>
      <w:proofErr w:type="spellEnd"/>
      <w:r w:rsidRPr="00E73D4B">
        <w:t xml:space="preserve"> kunnskapen i EØS-området.</w:t>
      </w:r>
    </w:p>
    <w:p w14:paraId="21571B98" w14:textId="77777777" w:rsidR="00972395" w:rsidRPr="00E73D4B" w:rsidRDefault="00F120C7" w:rsidP="00E73D4B">
      <w:pPr>
        <w:pStyle w:val="avsnitt-tittel"/>
      </w:pPr>
      <w:r w:rsidRPr="00E73D4B">
        <w:t>Inntektsgap</w:t>
      </w:r>
    </w:p>
    <w:p w14:paraId="25CA5EFA" w14:textId="77777777" w:rsidR="00972395" w:rsidRPr="00E73D4B" w:rsidRDefault="00F120C7" w:rsidP="00E73D4B">
      <w:pPr>
        <w:pStyle w:val="avsnitt-undertittel"/>
      </w:pPr>
      <w:r w:rsidRPr="00E73D4B">
        <w:t>Vedtak nr. 35, vedtakspunkt 29, 2. desember 2021:</w:t>
      </w:r>
    </w:p>
    <w:p w14:paraId="5FAA5E9B" w14:textId="77777777" w:rsidR="00972395" w:rsidRPr="00E73D4B" w:rsidRDefault="00F120C7" w:rsidP="00E73D4B">
      <w:pPr>
        <w:pStyle w:val="blokksit"/>
      </w:pPr>
      <w:r w:rsidRPr="00E73D4B">
        <w:t>«</w:t>
      </w:r>
      <w:r w:rsidRPr="00E73D4B">
        <w:rPr>
          <w:rStyle w:val="kursiv"/>
        </w:rPr>
        <w:t>Stortinget ber regjeringen legge frem en forpliktende og tidfestet plan i løpet av 2022 for å tette inntektsgapet mellom bønder og andre grupper i samfunnet. Inntektsgapet skal tettes uavhengig av bruksstørrelse, produksjon og landsdel.</w:t>
      </w:r>
      <w:r w:rsidRPr="00E73D4B">
        <w:t>»</w:t>
      </w:r>
    </w:p>
    <w:p w14:paraId="25FC4C95"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 S (2021–2022), jf. </w:t>
      </w:r>
      <w:proofErr w:type="spellStart"/>
      <w:r w:rsidRPr="00E73D4B">
        <w:t>Innst</w:t>
      </w:r>
      <w:proofErr w:type="spellEnd"/>
      <w:r w:rsidRPr="00E73D4B">
        <w:t>. 2 S (2021–2022). Grytten-</w:t>
      </w:r>
      <w:proofErr w:type="spellStart"/>
      <w:r w:rsidRPr="00E73D4B">
        <w:t>utvalet</w:t>
      </w:r>
      <w:proofErr w:type="spellEnd"/>
      <w:r w:rsidRPr="00E73D4B">
        <w:t xml:space="preserve"> har fått utsett frist for å </w:t>
      </w:r>
      <w:proofErr w:type="spellStart"/>
      <w:r w:rsidRPr="00E73D4B">
        <w:t>leggje</w:t>
      </w:r>
      <w:proofErr w:type="spellEnd"/>
      <w:r w:rsidRPr="00E73D4B">
        <w:t xml:space="preserve"> fram sitt arbeid til 1. oktober 2022 og rapporten skal deretter på </w:t>
      </w:r>
      <w:proofErr w:type="spellStart"/>
      <w:r w:rsidRPr="00E73D4B">
        <w:t>høyring</w:t>
      </w:r>
      <w:proofErr w:type="spellEnd"/>
      <w:r w:rsidRPr="00E73D4B">
        <w:t xml:space="preserve">. Arbeidet med regjeringa sin plan må </w:t>
      </w:r>
      <w:proofErr w:type="spellStart"/>
      <w:r w:rsidRPr="00E73D4B">
        <w:t>tilpassast</w:t>
      </w:r>
      <w:proofErr w:type="spellEnd"/>
      <w:r w:rsidRPr="00E73D4B">
        <w:t xml:space="preserve"> prosessen etter </w:t>
      </w:r>
      <w:proofErr w:type="spellStart"/>
      <w:r w:rsidRPr="00E73D4B">
        <w:t>utvalet</w:t>
      </w:r>
      <w:proofErr w:type="spellEnd"/>
      <w:r w:rsidRPr="00E73D4B">
        <w:t xml:space="preserve"> </w:t>
      </w:r>
      <w:proofErr w:type="spellStart"/>
      <w:r w:rsidRPr="00E73D4B">
        <w:t>si</w:t>
      </w:r>
      <w:proofErr w:type="spellEnd"/>
      <w:r w:rsidRPr="00E73D4B">
        <w:t xml:space="preserve"> innstilling.</w:t>
      </w:r>
    </w:p>
    <w:p w14:paraId="5B12B5A9" w14:textId="77777777" w:rsidR="00972395" w:rsidRPr="00E73D4B" w:rsidRDefault="00F120C7" w:rsidP="00E73D4B">
      <w:pPr>
        <w:pStyle w:val="avsnitt-tittel"/>
      </w:pPr>
      <w:proofErr w:type="spellStart"/>
      <w:r w:rsidRPr="00E73D4B">
        <w:t>Investeringsmidlar</w:t>
      </w:r>
      <w:proofErr w:type="spellEnd"/>
    </w:p>
    <w:p w14:paraId="77D003CF" w14:textId="77777777" w:rsidR="00972395" w:rsidRPr="00E73D4B" w:rsidRDefault="00F120C7" w:rsidP="00E73D4B">
      <w:pPr>
        <w:pStyle w:val="avsnitt-undertittel"/>
      </w:pPr>
      <w:r w:rsidRPr="00E73D4B">
        <w:t>Vedtak nr. 35, vedtakspunkt 59, 2. desember 2021:</w:t>
      </w:r>
    </w:p>
    <w:p w14:paraId="022F203A" w14:textId="77777777" w:rsidR="00972395" w:rsidRPr="00E73D4B" w:rsidRDefault="00F120C7" w:rsidP="00E73D4B">
      <w:pPr>
        <w:pStyle w:val="blokksit"/>
      </w:pPr>
      <w:r w:rsidRPr="00E73D4B">
        <w:t>«</w:t>
      </w:r>
      <w:r w:rsidRPr="00E73D4B">
        <w:rPr>
          <w:rStyle w:val="kursiv"/>
        </w:rPr>
        <w:t>Stortinget ber regjeringen sikre at investeringsmidler bidrar til å realisere løsdriftskravet for små og mellomstore bruk.</w:t>
      </w:r>
      <w:r w:rsidRPr="00E73D4B">
        <w:t>»</w:t>
      </w:r>
    </w:p>
    <w:p w14:paraId="64F406A4"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 S (2021–2022), jf. </w:t>
      </w:r>
      <w:proofErr w:type="spellStart"/>
      <w:r w:rsidRPr="00E73D4B">
        <w:t>Innst</w:t>
      </w:r>
      <w:proofErr w:type="spellEnd"/>
      <w:r w:rsidRPr="00E73D4B">
        <w:t xml:space="preserve">. 2 S (2021–2022). Investerings- og bedriftsutviklingsordninga i landbruket blei gjennom Stortinget si handsaming av statsbudsjettet for 2022 </w:t>
      </w:r>
      <w:proofErr w:type="spellStart"/>
      <w:r w:rsidRPr="00E73D4B">
        <w:t>auka</w:t>
      </w:r>
      <w:proofErr w:type="spellEnd"/>
      <w:r w:rsidRPr="00E73D4B">
        <w:t xml:space="preserve"> med 200 mill. kroner. I årets </w:t>
      </w:r>
      <w:proofErr w:type="spellStart"/>
      <w:r w:rsidRPr="00E73D4B">
        <w:t>jordbruksoppgjer</w:t>
      </w:r>
      <w:proofErr w:type="spellEnd"/>
      <w:r w:rsidRPr="00E73D4B">
        <w:t xml:space="preserve"> blei ramma for 2023 </w:t>
      </w:r>
      <w:proofErr w:type="spellStart"/>
      <w:r w:rsidRPr="00E73D4B">
        <w:t>auka</w:t>
      </w:r>
      <w:proofErr w:type="spellEnd"/>
      <w:r w:rsidRPr="00E73D4B">
        <w:t xml:space="preserve"> med 271 mill. kroner til 1 150,5 mill. kroner. </w:t>
      </w:r>
      <w:proofErr w:type="spellStart"/>
      <w:r w:rsidRPr="00E73D4B">
        <w:t>Innanfor</w:t>
      </w:r>
      <w:proofErr w:type="spellEnd"/>
      <w:r w:rsidRPr="00E73D4B">
        <w:t xml:space="preserve"> ordninga skal små- og mellomstore bruk </w:t>
      </w:r>
      <w:proofErr w:type="spellStart"/>
      <w:r w:rsidRPr="00E73D4B">
        <w:t>prioriterast</w:t>
      </w:r>
      <w:proofErr w:type="spellEnd"/>
      <w:r w:rsidRPr="00E73D4B">
        <w:t xml:space="preserve"> ved tildeling av støtte, og </w:t>
      </w:r>
      <w:proofErr w:type="spellStart"/>
      <w:r w:rsidRPr="00E73D4B">
        <w:t>innan</w:t>
      </w:r>
      <w:proofErr w:type="spellEnd"/>
      <w:r w:rsidRPr="00E73D4B">
        <w:t xml:space="preserve"> mjølkeproduksjon skal </w:t>
      </w:r>
      <w:proofErr w:type="spellStart"/>
      <w:r w:rsidRPr="00E73D4B">
        <w:t>særleg</w:t>
      </w:r>
      <w:proofErr w:type="spellEnd"/>
      <w:r w:rsidRPr="00E73D4B">
        <w:t xml:space="preserve"> fjøs med inntil 30 kyr </w:t>
      </w:r>
      <w:proofErr w:type="spellStart"/>
      <w:r w:rsidRPr="00E73D4B">
        <w:t>prioriterast</w:t>
      </w:r>
      <w:proofErr w:type="spellEnd"/>
      <w:r w:rsidRPr="00E73D4B">
        <w:t xml:space="preserve">. Samla sett er dette viktige grep som er gjort for å bidra til å realisere ei </w:t>
      </w:r>
      <w:proofErr w:type="spellStart"/>
      <w:r w:rsidRPr="00E73D4B">
        <w:t>berekraftig</w:t>
      </w:r>
      <w:proofErr w:type="spellEnd"/>
      <w:r w:rsidRPr="00E73D4B">
        <w:t xml:space="preserve"> omstilling </w:t>
      </w:r>
      <w:proofErr w:type="spellStart"/>
      <w:r w:rsidRPr="00E73D4B">
        <w:t>innanfor</w:t>
      </w:r>
      <w:proofErr w:type="spellEnd"/>
      <w:r w:rsidRPr="00E73D4B">
        <w:t xml:space="preserve"> små- og mellomstore bruk fram mot 2034 når lausdriftskravet trer i kraft. Departementet </w:t>
      </w:r>
      <w:proofErr w:type="spellStart"/>
      <w:r w:rsidRPr="00E73D4B">
        <w:t>legg</w:t>
      </w:r>
      <w:proofErr w:type="spellEnd"/>
      <w:r w:rsidRPr="00E73D4B">
        <w:t xml:space="preserve"> til grunn at vedtak nr. 35, vedtakspunkt 59, 2. desember 2021 med dette er </w:t>
      </w:r>
      <w:proofErr w:type="spellStart"/>
      <w:r w:rsidRPr="00E73D4B">
        <w:t>følgt</w:t>
      </w:r>
      <w:proofErr w:type="spellEnd"/>
      <w:r w:rsidRPr="00E73D4B">
        <w:t xml:space="preserve"> opp.</w:t>
      </w:r>
    </w:p>
    <w:p w14:paraId="00AFBCEB" w14:textId="77777777" w:rsidR="00972395" w:rsidRPr="00E73D4B" w:rsidRDefault="00F120C7" w:rsidP="00E73D4B">
      <w:pPr>
        <w:pStyle w:val="Overskrift2"/>
      </w:pPr>
      <w:r w:rsidRPr="00E73D4B">
        <w:t>Stortingssesjon 2020–2021</w:t>
      </w:r>
    </w:p>
    <w:p w14:paraId="70EF26BC" w14:textId="77777777" w:rsidR="00972395" w:rsidRPr="00E73D4B" w:rsidRDefault="00F120C7" w:rsidP="00E73D4B">
      <w:pPr>
        <w:pStyle w:val="avsnitt-tittel"/>
      </w:pPr>
      <w:r w:rsidRPr="00E73D4B">
        <w:t>Tapsgrenser hos Norsk Rikstoto</w:t>
      </w:r>
    </w:p>
    <w:p w14:paraId="21ADF050" w14:textId="77777777" w:rsidR="00972395" w:rsidRPr="00E73D4B" w:rsidRDefault="00F120C7" w:rsidP="00E73D4B">
      <w:pPr>
        <w:pStyle w:val="avsnitt-undertittel"/>
      </w:pPr>
      <w:r w:rsidRPr="00E73D4B">
        <w:t>Vedtak nr. 232, 11. desember 2020:</w:t>
      </w:r>
    </w:p>
    <w:p w14:paraId="28E8EF60" w14:textId="77777777" w:rsidR="00972395" w:rsidRPr="00E73D4B" w:rsidRDefault="00F120C7" w:rsidP="00E73D4B">
      <w:pPr>
        <w:pStyle w:val="blokksit"/>
      </w:pPr>
      <w:r w:rsidRPr="00E73D4B">
        <w:t>«</w:t>
      </w:r>
      <w:r w:rsidRPr="00E73D4B">
        <w:rPr>
          <w:rStyle w:val="kursiv"/>
        </w:rPr>
        <w:t>Stortinget ber regjeringen foreta en gjennomgang av om det innenfor rammene av sosialt ansvarlige spill er mulig å innføre en ytterligere individuell tilpasning av tapsgrensene etter en vurdering av den enkelte spiller etter nærmere kriterier, og på egnet måte orientere Stortinget om resultatene av gjennomgangen.</w:t>
      </w:r>
      <w:r w:rsidRPr="00E73D4B">
        <w:t>»</w:t>
      </w:r>
    </w:p>
    <w:p w14:paraId="0B340634" w14:textId="77777777" w:rsidR="00972395" w:rsidRPr="00E73D4B" w:rsidRDefault="00F120C7" w:rsidP="00E73D4B">
      <w:r w:rsidRPr="00E73D4B">
        <w:t xml:space="preserve">Vedtaket blei fatta ved handsaminga av Dokument 8:126 S (2019–2020), jf. </w:t>
      </w:r>
      <w:proofErr w:type="spellStart"/>
      <w:r w:rsidRPr="00E73D4B">
        <w:t>Innst</w:t>
      </w:r>
      <w:proofErr w:type="spellEnd"/>
      <w:r w:rsidRPr="00E73D4B">
        <w:t xml:space="preserve">. 86 S (2020–2021). Etter </w:t>
      </w:r>
      <w:proofErr w:type="spellStart"/>
      <w:r w:rsidRPr="00E73D4B">
        <w:t>ønskje</w:t>
      </w:r>
      <w:proofErr w:type="spellEnd"/>
      <w:r w:rsidRPr="00E73D4B">
        <w:t xml:space="preserve"> </w:t>
      </w:r>
      <w:proofErr w:type="spellStart"/>
      <w:r w:rsidRPr="00E73D4B">
        <w:t>frå</w:t>
      </w:r>
      <w:proofErr w:type="spellEnd"/>
      <w:r w:rsidRPr="00E73D4B">
        <w:t xml:space="preserve"> Norsk Rikstoto, har departementet gitt Norsk Rikstoto utsett frist til 31. januar 2023 for å </w:t>
      </w:r>
      <w:proofErr w:type="spellStart"/>
      <w:r w:rsidRPr="00E73D4B">
        <w:t>føreslå</w:t>
      </w:r>
      <w:proofErr w:type="spellEnd"/>
      <w:r w:rsidRPr="00E73D4B">
        <w:t xml:space="preserve"> individuelt tilpassa tapsgrenser </w:t>
      </w:r>
      <w:proofErr w:type="spellStart"/>
      <w:r w:rsidRPr="00E73D4B">
        <w:t>innanfor</w:t>
      </w:r>
      <w:proofErr w:type="spellEnd"/>
      <w:r w:rsidRPr="00E73D4B">
        <w:t xml:space="preserve"> sosialt </w:t>
      </w:r>
      <w:proofErr w:type="spellStart"/>
      <w:r w:rsidRPr="00E73D4B">
        <w:t>ansvarlege</w:t>
      </w:r>
      <w:proofErr w:type="spellEnd"/>
      <w:r w:rsidRPr="00E73D4B">
        <w:t xml:space="preserve"> rammer. Norsk Rikstoto har formidla at </w:t>
      </w:r>
      <w:proofErr w:type="spellStart"/>
      <w:r w:rsidRPr="00E73D4B">
        <w:t>dei</w:t>
      </w:r>
      <w:proofErr w:type="spellEnd"/>
      <w:r w:rsidRPr="00E73D4B">
        <w:t xml:space="preserve"> arbeider for </w:t>
      </w:r>
      <w:proofErr w:type="spellStart"/>
      <w:r w:rsidRPr="00E73D4B">
        <w:t>ein</w:t>
      </w:r>
      <w:proofErr w:type="spellEnd"/>
      <w:r w:rsidRPr="00E73D4B">
        <w:t xml:space="preserve"> god og robust modell som </w:t>
      </w:r>
      <w:proofErr w:type="gramStart"/>
      <w:r w:rsidRPr="00E73D4B">
        <w:t>primært tek</w:t>
      </w:r>
      <w:proofErr w:type="gramEnd"/>
      <w:r w:rsidRPr="00E73D4B">
        <w:t xml:space="preserve"> omsyn til </w:t>
      </w:r>
      <w:proofErr w:type="spellStart"/>
      <w:r w:rsidRPr="00E73D4B">
        <w:t>ansvarleg</w:t>
      </w:r>
      <w:proofErr w:type="spellEnd"/>
      <w:r w:rsidRPr="00E73D4B">
        <w:t xml:space="preserve"> spel, men som òg tek omsyn til kanalisering og </w:t>
      </w:r>
      <w:proofErr w:type="spellStart"/>
      <w:r w:rsidRPr="00E73D4B">
        <w:t>ønskje</w:t>
      </w:r>
      <w:proofErr w:type="spellEnd"/>
      <w:r w:rsidRPr="00E73D4B">
        <w:t xml:space="preserve"> </w:t>
      </w:r>
      <w:proofErr w:type="spellStart"/>
      <w:r w:rsidRPr="00E73D4B">
        <w:t>frå</w:t>
      </w:r>
      <w:proofErr w:type="spellEnd"/>
      <w:r w:rsidRPr="00E73D4B">
        <w:t xml:space="preserve"> </w:t>
      </w:r>
      <w:proofErr w:type="spellStart"/>
      <w:r w:rsidRPr="00E73D4B">
        <w:t>dei</w:t>
      </w:r>
      <w:proofErr w:type="spellEnd"/>
      <w:r w:rsidRPr="00E73D4B">
        <w:t xml:space="preserve"> aktuelle </w:t>
      </w:r>
      <w:proofErr w:type="spellStart"/>
      <w:r w:rsidRPr="00E73D4B">
        <w:t>spelarane</w:t>
      </w:r>
      <w:proofErr w:type="spellEnd"/>
      <w:r w:rsidRPr="00E73D4B">
        <w:t xml:space="preserve"> om ei individuelt tilpassa grense. Norsk Rikstoto grunngav sitt </w:t>
      </w:r>
      <w:proofErr w:type="spellStart"/>
      <w:r w:rsidRPr="00E73D4B">
        <w:t>ønskje</w:t>
      </w:r>
      <w:proofErr w:type="spellEnd"/>
      <w:r w:rsidRPr="00E73D4B">
        <w:t xml:space="preserve"> om utsett frist med at </w:t>
      </w:r>
      <w:proofErr w:type="spellStart"/>
      <w:r w:rsidRPr="00E73D4B">
        <w:t>dei</w:t>
      </w:r>
      <w:proofErr w:type="spellEnd"/>
      <w:r w:rsidRPr="00E73D4B">
        <w:t xml:space="preserve"> har behov for </w:t>
      </w:r>
      <w:proofErr w:type="spellStart"/>
      <w:r w:rsidRPr="00E73D4B">
        <w:t>omfattande</w:t>
      </w:r>
      <w:proofErr w:type="spellEnd"/>
      <w:r w:rsidRPr="00E73D4B">
        <w:t xml:space="preserve"> kunnskap om </w:t>
      </w:r>
      <w:proofErr w:type="spellStart"/>
      <w:r w:rsidRPr="00E73D4B">
        <w:t>spelemønsteret</w:t>
      </w:r>
      <w:proofErr w:type="spellEnd"/>
      <w:r w:rsidRPr="00E73D4B">
        <w:t xml:space="preserve"> og </w:t>
      </w:r>
      <w:proofErr w:type="spellStart"/>
      <w:r w:rsidRPr="00E73D4B">
        <w:t>meir</w:t>
      </w:r>
      <w:proofErr w:type="spellEnd"/>
      <w:r w:rsidRPr="00E73D4B">
        <w:t xml:space="preserve"> erfaring med </w:t>
      </w:r>
      <w:proofErr w:type="spellStart"/>
      <w:r w:rsidRPr="00E73D4B">
        <w:t>ansvarlegheitsrammeverket</w:t>
      </w:r>
      <w:proofErr w:type="spellEnd"/>
      <w:r w:rsidRPr="00E73D4B">
        <w:t xml:space="preserve"> og </w:t>
      </w:r>
      <w:proofErr w:type="spellStart"/>
      <w:r w:rsidRPr="00E73D4B">
        <w:t>dei</w:t>
      </w:r>
      <w:proofErr w:type="spellEnd"/>
      <w:r w:rsidRPr="00E73D4B">
        <w:t xml:space="preserve"> tapsgrensene som er innførte, for å forstå kva tiltak som vil fungere best for å avgrense </w:t>
      </w:r>
      <w:proofErr w:type="spellStart"/>
      <w:r w:rsidRPr="00E73D4B">
        <w:t>speleproblem</w:t>
      </w:r>
      <w:proofErr w:type="spellEnd"/>
      <w:r w:rsidRPr="00E73D4B">
        <w:t>.</w:t>
      </w:r>
    </w:p>
    <w:p w14:paraId="65DEA193" w14:textId="77777777" w:rsidR="00972395" w:rsidRPr="00E73D4B" w:rsidRDefault="00F120C7" w:rsidP="00E73D4B">
      <w:pPr>
        <w:pStyle w:val="avsnitt-tittel"/>
      </w:pPr>
      <w:r w:rsidRPr="00E73D4B">
        <w:t>Pelsdyrkompensasjonsordning – berekna bruksverdi</w:t>
      </w:r>
    </w:p>
    <w:p w14:paraId="28E97672" w14:textId="77777777" w:rsidR="00972395" w:rsidRPr="00E73D4B" w:rsidRDefault="00F120C7" w:rsidP="00E73D4B">
      <w:pPr>
        <w:pStyle w:val="avsnitt-undertittel"/>
      </w:pPr>
      <w:r w:rsidRPr="00E73D4B">
        <w:t>Vedtak nr. 1127, 4. juni 2021:</w:t>
      </w:r>
    </w:p>
    <w:p w14:paraId="1F71B86D" w14:textId="77777777" w:rsidR="00972395" w:rsidRPr="00E73D4B" w:rsidRDefault="00F120C7" w:rsidP="00E73D4B">
      <w:pPr>
        <w:pStyle w:val="blokksit"/>
      </w:pPr>
      <w:r w:rsidRPr="00E73D4B">
        <w:t>«</w:t>
      </w:r>
      <w:r w:rsidRPr="00E73D4B">
        <w:rPr>
          <w:rStyle w:val="kursiv"/>
        </w:rPr>
        <w:t xml:space="preserve">Stortinget ber regjeringen gå i dialog med pelsdyrnæringen for å sikre en omforent forståelse av det videre grunnlaget som er presentert gjennom </w:t>
      </w:r>
      <w:proofErr w:type="spellStart"/>
      <w:r w:rsidRPr="00E73D4B">
        <w:rPr>
          <w:rStyle w:val="kursiv"/>
        </w:rPr>
        <w:t>NIBIOs</w:t>
      </w:r>
      <w:proofErr w:type="spellEnd"/>
      <w:r w:rsidRPr="00E73D4B">
        <w:rPr>
          <w:rStyle w:val="kursiv"/>
        </w:rPr>
        <w:t xml:space="preserve"> forslag til beregning av kompensasjon basert på bruksverdi. Anleggenes levetid, beregning av arbeidstid for de ulike skinnproduksjonene, priser på skinn og fôr og størrelse på kapitaliseringsrente er blant de elementene som er særlig viktige å få en omforent forståelse av.</w:t>
      </w:r>
      <w:r w:rsidRPr="00E73D4B">
        <w:t>»</w:t>
      </w:r>
    </w:p>
    <w:p w14:paraId="68BCEC3C"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122 L (2020–2021), jf. </w:t>
      </w:r>
      <w:proofErr w:type="spellStart"/>
      <w:r w:rsidRPr="00E73D4B">
        <w:t>Innst</w:t>
      </w:r>
      <w:proofErr w:type="spellEnd"/>
      <w:r w:rsidRPr="00E73D4B">
        <w:t xml:space="preserve">. 613 L (2020–2021). Landbruks- og matdepartementet har hatt dialog med </w:t>
      </w:r>
      <w:proofErr w:type="spellStart"/>
      <w:r w:rsidRPr="00E73D4B">
        <w:t>Pelsdyralslaget</w:t>
      </w:r>
      <w:proofErr w:type="spellEnd"/>
      <w:r w:rsidRPr="00E73D4B">
        <w:t xml:space="preserve"> og departementet </w:t>
      </w:r>
      <w:proofErr w:type="spellStart"/>
      <w:r w:rsidRPr="00E73D4B">
        <w:t>oppfattar</w:t>
      </w:r>
      <w:proofErr w:type="spellEnd"/>
      <w:r w:rsidRPr="00E73D4B">
        <w:t xml:space="preserve"> at det er sams forståing når det gjeld </w:t>
      </w:r>
      <w:proofErr w:type="spellStart"/>
      <w:r w:rsidRPr="00E73D4B">
        <w:t>innhaldet</w:t>
      </w:r>
      <w:proofErr w:type="spellEnd"/>
      <w:r w:rsidRPr="00E73D4B">
        <w:t xml:space="preserve"> i rapporten </w:t>
      </w:r>
      <w:proofErr w:type="spellStart"/>
      <w:r w:rsidRPr="00E73D4B">
        <w:t>frå</w:t>
      </w:r>
      <w:proofErr w:type="spellEnd"/>
      <w:r w:rsidRPr="00E73D4B">
        <w:t xml:space="preserve"> Norsk institutt for bioøkonomi. På bakgrunn av dialogen med </w:t>
      </w:r>
      <w:proofErr w:type="spellStart"/>
      <w:r w:rsidRPr="00E73D4B">
        <w:t>Pelsdyralslaget</w:t>
      </w:r>
      <w:proofErr w:type="spellEnd"/>
      <w:r w:rsidRPr="00E73D4B">
        <w:t xml:space="preserve">, vil det ved utforming av staten sitt </w:t>
      </w:r>
      <w:proofErr w:type="spellStart"/>
      <w:r w:rsidRPr="00E73D4B">
        <w:t>tilbod</w:t>
      </w:r>
      <w:proofErr w:type="spellEnd"/>
      <w:r w:rsidRPr="00E73D4B">
        <w:t xml:space="preserve"> om erstatning etter bruksverdi, bli nytta ei kapitaliseringsrente på 4 pst. og </w:t>
      </w:r>
      <w:proofErr w:type="spellStart"/>
      <w:r w:rsidRPr="00E73D4B">
        <w:t>ikkje</w:t>
      </w:r>
      <w:proofErr w:type="spellEnd"/>
      <w:r w:rsidRPr="00E73D4B">
        <w:t xml:space="preserve"> 4,71 pst. slik instituttet </w:t>
      </w:r>
      <w:proofErr w:type="spellStart"/>
      <w:r w:rsidRPr="00E73D4B">
        <w:t>føreslo</w:t>
      </w:r>
      <w:proofErr w:type="spellEnd"/>
      <w:r w:rsidRPr="00E73D4B">
        <w:t xml:space="preserve"> i sin fagøkonomiske rapport. Etter </w:t>
      </w:r>
      <w:proofErr w:type="spellStart"/>
      <w:r w:rsidRPr="00E73D4B">
        <w:t>innspel</w:t>
      </w:r>
      <w:proofErr w:type="spellEnd"/>
      <w:r w:rsidRPr="00E73D4B">
        <w:t xml:space="preserve"> </w:t>
      </w:r>
      <w:proofErr w:type="spellStart"/>
      <w:r w:rsidRPr="00E73D4B">
        <w:t>frå</w:t>
      </w:r>
      <w:proofErr w:type="spellEnd"/>
      <w:r w:rsidRPr="00E73D4B">
        <w:t xml:space="preserve"> </w:t>
      </w:r>
      <w:proofErr w:type="spellStart"/>
      <w:r w:rsidRPr="00E73D4B">
        <w:t>Pelsdyralslaget</w:t>
      </w:r>
      <w:proofErr w:type="spellEnd"/>
      <w:r w:rsidRPr="00E73D4B">
        <w:t xml:space="preserve"> vil òg </w:t>
      </w:r>
      <w:proofErr w:type="spellStart"/>
      <w:r w:rsidRPr="00E73D4B">
        <w:t>dei</w:t>
      </w:r>
      <w:proofErr w:type="spellEnd"/>
      <w:r w:rsidRPr="00E73D4B">
        <w:t xml:space="preserve"> berekna kostnadene i reveoppdrett bli reduserte </w:t>
      </w:r>
      <w:proofErr w:type="spellStart"/>
      <w:r w:rsidRPr="00E73D4B">
        <w:t>samanlikna</w:t>
      </w:r>
      <w:proofErr w:type="spellEnd"/>
      <w:r w:rsidRPr="00E73D4B">
        <w:t xml:space="preserve"> med Norsk institutt for bioøkonomi sin rapport. Dette vil </w:t>
      </w:r>
      <w:proofErr w:type="spellStart"/>
      <w:r w:rsidRPr="00E73D4B">
        <w:t>ytterlegare</w:t>
      </w:r>
      <w:proofErr w:type="spellEnd"/>
      <w:r w:rsidRPr="00E73D4B">
        <w:t xml:space="preserve"> </w:t>
      </w:r>
      <w:proofErr w:type="spellStart"/>
      <w:r w:rsidRPr="00E73D4B">
        <w:t>medverke</w:t>
      </w:r>
      <w:proofErr w:type="spellEnd"/>
      <w:r w:rsidRPr="00E73D4B">
        <w:t xml:space="preserve"> til </w:t>
      </w:r>
      <w:proofErr w:type="spellStart"/>
      <w:r w:rsidRPr="00E73D4B">
        <w:t>høgare</w:t>
      </w:r>
      <w:proofErr w:type="spellEnd"/>
      <w:r w:rsidRPr="00E73D4B">
        <w:t xml:space="preserve"> </w:t>
      </w:r>
      <w:proofErr w:type="spellStart"/>
      <w:r w:rsidRPr="00E73D4B">
        <w:t>tilbod</w:t>
      </w:r>
      <w:proofErr w:type="spellEnd"/>
      <w:r w:rsidRPr="00E73D4B">
        <w:t xml:space="preserve"> om erstatning etter bruksverdi enn det som var </w:t>
      </w:r>
      <w:proofErr w:type="spellStart"/>
      <w:r w:rsidRPr="00E73D4B">
        <w:t>føreslått</w:t>
      </w:r>
      <w:proofErr w:type="spellEnd"/>
      <w:r w:rsidRPr="00E73D4B">
        <w:t xml:space="preserve"> i instituttet sin rapport. Departementet </w:t>
      </w:r>
      <w:proofErr w:type="spellStart"/>
      <w:r w:rsidRPr="00E73D4B">
        <w:t>legg</w:t>
      </w:r>
      <w:proofErr w:type="spellEnd"/>
      <w:r w:rsidRPr="00E73D4B">
        <w:t xml:space="preserve"> til grunn at vedtak nr. 1127, 4. juni 2021 med dette er </w:t>
      </w:r>
      <w:proofErr w:type="spellStart"/>
      <w:r w:rsidRPr="00E73D4B">
        <w:t>følgt</w:t>
      </w:r>
      <w:proofErr w:type="spellEnd"/>
      <w:r w:rsidRPr="00E73D4B">
        <w:t xml:space="preserve"> opp.</w:t>
      </w:r>
    </w:p>
    <w:p w14:paraId="32BFB44E" w14:textId="77777777" w:rsidR="00972395" w:rsidRPr="00E73D4B" w:rsidRDefault="00F120C7" w:rsidP="00E73D4B">
      <w:pPr>
        <w:pStyle w:val="avsnitt-tittel"/>
      </w:pPr>
      <w:r w:rsidRPr="00E73D4B">
        <w:t>Pelsdyrkompensasjonsordning – kapasiteten i </w:t>
      </w:r>
      <w:proofErr w:type="spellStart"/>
      <w:r w:rsidRPr="00E73D4B">
        <w:t>pelsdyrverksemda</w:t>
      </w:r>
      <w:proofErr w:type="spellEnd"/>
    </w:p>
    <w:p w14:paraId="7F74ED7F" w14:textId="77777777" w:rsidR="00972395" w:rsidRPr="00E73D4B" w:rsidRDefault="00F120C7" w:rsidP="00E73D4B">
      <w:pPr>
        <w:pStyle w:val="avsnitt-undertittel"/>
      </w:pPr>
      <w:r w:rsidRPr="00E73D4B">
        <w:t>Vedtak nr. 1128, 4. juni 2021:</w:t>
      </w:r>
    </w:p>
    <w:p w14:paraId="43C8272F" w14:textId="77777777" w:rsidR="00972395" w:rsidRPr="00E73D4B" w:rsidRDefault="00F120C7" w:rsidP="00E73D4B">
      <w:pPr>
        <w:pStyle w:val="blokksit"/>
      </w:pPr>
      <w:r w:rsidRPr="00E73D4B">
        <w:t>«</w:t>
      </w:r>
      <w:r w:rsidRPr="00E73D4B">
        <w:rPr>
          <w:rStyle w:val="kursiv"/>
        </w:rPr>
        <w:t>Stortinget ber regjeringen legge til grunn kapasiteten i pelsdyrvirksomheten, etter forskrift om hold av pelsdyrs krav gjeldende fra 1. januar 2015 (FOR-2011-03-17-296), ved beregning av bruksverdi og økonomisk tap.</w:t>
      </w:r>
      <w:r w:rsidRPr="00E73D4B">
        <w:t>»</w:t>
      </w:r>
    </w:p>
    <w:p w14:paraId="70940E43"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122 L (2020–2021), jf. </w:t>
      </w:r>
      <w:proofErr w:type="spellStart"/>
      <w:r w:rsidRPr="00E73D4B">
        <w:t>Innst</w:t>
      </w:r>
      <w:proofErr w:type="spellEnd"/>
      <w:r w:rsidRPr="00E73D4B">
        <w:t xml:space="preserve">. 613 L (2020–2021). Landbruksdirektoratet vil </w:t>
      </w:r>
      <w:proofErr w:type="spellStart"/>
      <w:r w:rsidRPr="00E73D4B">
        <w:t>leggje</w:t>
      </w:r>
      <w:proofErr w:type="spellEnd"/>
      <w:r w:rsidRPr="00E73D4B">
        <w:t xml:space="preserve"> </w:t>
      </w:r>
      <w:proofErr w:type="spellStart"/>
      <w:r w:rsidRPr="00E73D4B">
        <w:t>lovleg</w:t>
      </w:r>
      <w:proofErr w:type="spellEnd"/>
      <w:r w:rsidRPr="00E73D4B">
        <w:t xml:space="preserve"> utnytting av kapasiteten i pelsdyranlegga til grunn når </w:t>
      </w:r>
      <w:proofErr w:type="spellStart"/>
      <w:r w:rsidRPr="00E73D4B">
        <w:t>dei</w:t>
      </w:r>
      <w:proofErr w:type="spellEnd"/>
      <w:r w:rsidRPr="00E73D4B">
        <w:t xml:space="preserve"> utarbeider staten sitt </w:t>
      </w:r>
      <w:proofErr w:type="spellStart"/>
      <w:r w:rsidRPr="00E73D4B">
        <w:t>tilbod</w:t>
      </w:r>
      <w:proofErr w:type="spellEnd"/>
      <w:r w:rsidRPr="00E73D4B">
        <w:t xml:space="preserve"> om erstatning etter bruksverdi til </w:t>
      </w:r>
      <w:proofErr w:type="spellStart"/>
      <w:r w:rsidRPr="00E73D4B">
        <w:t>pelsdyroppdrettarane</w:t>
      </w:r>
      <w:proofErr w:type="spellEnd"/>
      <w:r w:rsidRPr="00E73D4B">
        <w:t xml:space="preserve">. Departementet </w:t>
      </w:r>
      <w:proofErr w:type="spellStart"/>
      <w:r w:rsidRPr="00E73D4B">
        <w:t>legg</w:t>
      </w:r>
      <w:proofErr w:type="spellEnd"/>
      <w:r w:rsidRPr="00E73D4B">
        <w:t xml:space="preserve"> til grunn at vedtak nr. 1128, 4. juni 2021 med dette er </w:t>
      </w:r>
      <w:proofErr w:type="spellStart"/>
      <w:r w:rsidRPr="00E73D4B">
        <w:t>følgt</w:t>
      </w:r>
      <w:proofErr w:type="spellEnd"/>
      <w:r w:rsidRPr="00E73D4B">
        <w:t xml:space="preserve"> opp.</w:t>
      </w:r>
    </w:p>
    <w:p w14:paraId="7AF41886" w14:textId="77777777" w:rsidR="00972395" w:rsidRPr="00E73D4B" w:rsidRDefault="00F120C7" w:rsidP="00E73D4B">
      <w:pPr>
        <w:pStyle w:val="avsnitt-tittel"/>
      </w:pPr>
      <w:r w:rsidRPr="00E73D4B">
        <w:t>Pelsdyrkompensasjonsordning – opprydding og sanering</w:t>
      </w:r>
    </w:p>
    <w:p w14:paraId="015DB403" w14:textId="77777777" w:rsidR="00972395" w:rsidRPr="00E73D4B" w:rsidRDefault="00F120C7" w:rsidP="00E73D4B">
      <w:pPr>
        <w:pStyle w:val="avsnitt-undertittel"/>
      </w:pPr>
      <w:r w:rsidRPr="00E73D4B">
        <w:t>Vedtak nr. 1129, 4. juni 2021:</w:t>
      </w:r>
    </w:p>
    <w:p w14:paraId="02CF76CA" w14:textId="77777777" w:rsidR="00972395" w:rsidRPr="00E73D4B" w:rsidRDefault="00F120C7" w:rsidP="00E73D4B">
      <w:pPr>
        <w:pStyle w:val="blokksit"/>
      </w:pPr>
      <w:r w:rsidRPr="00E73D4B">
        <w:t>«</w:t>
      </w:r>
      <w:r w:rsidRPr="00E73D4B">
        <w:rPr>
          <w:rStyle w:val="kursiv"/>
        </w:rPr>
        <w:t>Stortinget ber regjeringen fremme forslag om å etablere en ordning der det gis tilskudd til opprydding og sanering av pelserier og fôrkjøkken, slik at restverdien av disse anleggene kan økes og anleggene gjenbrukes</w:t>
      </w:r>
      <w:r w:rsidRPr="00E73D4B">
        <w:t>.»</w:t>
      </w:r>
    </w:p>
    <w:p w14:paraId="6C0CD07D"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122 L (2020–2021), jf. </w:t>
      </w:r>
      <w:proofErr w:type="spellStart"/>
      <w:r w:rsidRPr="00E73D4B">
        <w:t>Innst</w:t>
      </w:r>
      <w:proofErr w:type="spellEnd"/>
      <w:r w:rsidRPr="00E73D4B">
        <w:t xml:space="preserve">. 613 L (2020–2021). Der </w:t>
      </w:r>
      <w:proofErr w:type="spellStart"/>
      <w:r w:rsidRPr="00E73D4B">
        <w:t>pelsingsverksemd</w:t>
      </w:r>
      <w:proofErr w:type="spellEnd"/>
      <w:r w:rsidRPr="00E73D4B">
        <w:t xml:space="preserve"> eller fôrkjøkken er </w:t>
      </w:r>
      <w:proofErr w:type="spellStart"/>
      <w:r w:rsidRPr="00E73D4B">
        <w:t>ein</w:t>
      </w:r>
      <w:proofErr w:type="spellEnd"/>
      <w:r w:rsidRPr="00E73D4B">
        <w:t xml:space="preserve"> del av ei </w:t>
      </w:r>
      <w:proofErr w:type="spellStart"/>
      <w:r w:rsidRPr="00E73D4B">
        <w:t>verksemd</w:t>
      </w:r>
      <w:proofErr w:type="spellEnd"/>
      <w:r w:rsidRPr="00E73D4B">
        <w:t xml:space="preserve"> som har drive med pelsdyrhald, vil verdien av </w:t>
      </w:r>
      <w:proofErr w:type="spellStart"/>
      <w:r w:rsidRPr="00E73D4B">
        <w:t>pelsingsverksemda</w:t>
      </w:r>
      <w:proofErr w:type="spellEnd"/>
      <w:r w:rsidRPr="00E73D4B">
        <w:t xml:space="preserve"> eller fôrkjøkkenet kunne bli kompensert etter den lovfesta erstatningsordninga for </w:t>
      </w:r>
      <w:proofErr w:type="spellStart"/>
      <w:r w:rsidRPr="00E73D4B">
        <w:t>pelsdyroppdrettarar</w:t>
      </w:r>
      <w:proofErr w:type="spellEnd"/>
      <w:r w:rsidRPr="00E73D4B">
        <w:t xml:space="preserve">. Ei eiga ordning er </w:t>
      </w:r>
      <w:proofErr w:type="spellStart"/>
      <w:r w:rsidRPr="00E73D4B">
        <w:t>difor</w:t>
      </w:r>
      <w:proofErr w:type="spellEnd"/>
      <w:r w:rsidRPr="00E73D4B">
        <w:t xml:space="preserve"> </w:t>
      </w:r>
      <w:proofErr w:type="spellStart"/>
      <w:r w:rsidRPr="00E73D4B">
        <w:t>berre</w:t>
      </w:r>
      <w:proofErr w:type="spellEnd"/>
      <w:r w:rsidRPr="00E73D4B">
        <w:t xml:space="preserve"> aktuell for </w:t>
      </w:r>
      <w:proofErr w:type="spellStart"/>
      <w:r w:rsidRPr="00E73D4B">
        <w:t>pelsingsverksemder</w:t>
      </w:r>
      <w:proofErr w:type="spellEnd"/>
      <w:r w:rsidRPr="00E73D4B">
        <w:t xml:space="preserve"> eller fôrkjøkken som har </w:t>
      </w:r>
      <w:proofErr w:type="spellStart"/>
      <w:r w:rsidRPr="00E73D4B">
        <w:t>vore</w:t>
      </w:r>
      <w:proofErr w:type="spellEnd"/>
      <w:r w:rsidRPr="00E73D4B">
        <w:t xml:space="preserve"> </w:t>
      </w:r>
      <w:proofErr w:type="spellStart"/>
      <w:r w:rsidRPr="00E73D4B">
        <w:t>drivne</w:t>
      </w:r>
      <w:proofErr w:type="spellEnd"/>
      <w:r w:rsidRPr="00E73D4B">
        <w:t xml:space="preserve"> med eige organisasjonsnummer. Etter det departementet er </w:t>
      </w:r>
      <w:proofErr w:type="spellStart"/>
      <w:r w:rsidRPr="00E73D4B">
        <w:t>kjend</w:t>
      </w:r>
      <w:proofErr w:type="spellEnd"/>
      <w:r w:rsidRPr="00E73D4B">
        <w:t xml:space="preserve"> med, er det i alt sju slike </w:t>
      </w:r>
      <w:proofErr w:type="spellStart"/>
      <w:r w:rsidRPr="00E73D4B">
        <w:t>verksemder</w:t>
      </w:r>
      <w:proofErr w:type="spellEnd"/>
      <w:r w:rsidRPr="00E73D4B">
        <w:t xml:space="preserve">. Regjeringa vil gi kompensasjon for kostnader til opprydding og sanering av </w:t>
      </w:r>
      <w:proofErr w:type="spellStart"/>
      <w:r w:rsidRPr="00E73D4B">
        <w:t>desse</w:t>
      </w:r>
      <w:proofErr w:type="spellEnd"/>
      <w:r w:rsidRPr="00E73D4B">
        <w:t xml:space="preserve"> dersom det blir lagt opp til at anlegget skal </w:t>
      </w:r>
      <w:proofErr w:type="spellStart"/>
      <w:r w:rsidRPr="00E73D4B">
        <w:t>nyttast</w:t>
      </w:r>
      <w:proofErr w:type="spellEnd"/>
      <w:r w:rsidRPr="00E73D4B">
        <w:t xml:space="preserve"> til anna formål. Kompensasjon vil bli gitt ut </w:t>
      </w:r>
      <w:proofErr w:type="spellStart"/>
      <w:r w:rsidRPr="00E73D4B">
        <w:t>frå</w:t>
      </w:r>
      <w:proofErr w:type="spellEnd"/>
      <w:r w:rsidRPr="00E73D4B">
        <w:t xml:space="preserve"> dokumenterte kostnader og </w:t>
      </w:r>
      <w:proofErr w:type="spellStart"/>
      <w:r w:rsidRPr="00E73D4B">
        <w:t>innanfor</w:t>
      </w:r>
      <w:proofErr w:type="spellEnd"/>
      <w:r w:rsidRPr="00E73D4B">
        <w:t xml:space="preserve"> rammene av statsstøtteregelverket, med opp til 500.000 kroner til kvart </w:t>
      </w:r>
      <w:proofErr w:type="spellStart"/>
      <w:r w:rsidRPr="00E73D4B">
        <w:t>pelseri</w:t>
      </w:r>
      <w:proofErr w:type="spellEnd"/>
      <w:r w:rsidRPr="00E73D4B">
        <w:t xml:space="preserve"> og opp til 2 mill. kroner til kvart fôrkjøkken. Kompensasjonen blir utgiftsført på kap. 1142, post 77. Departementet </w:t>
      </w:r>
      <w:proofErr w:type="spellStart"/>
      <w:r w:rsidRPr="00E73D4B">
        <w:t>legg</w:t>
      </w:r>
      <w:proofErr w:type="spellEnd"/>
      <w:r w:rsidRPr="00E73D4B">
        <w:t xml:space="preserve"> til grunn at vedtak nr. 1129, 4. juni 2021 med dette er </w:t>
      </w:r>
      <w:proofErr w:type="spellStart"/>
      <w:r w:rsidRPr="00E73D4B">
        <w:t>følgt</w:t>
      </w:r>
      <w:proofErr w:type="spellEnd"/>
      <w:r w:rsidRPr="00E73D4B">
        <w:t xml:space="preserve"> opp.</w:t>
      </w:r>
    </w:p>
    <w:p w14:paraId="42A73E16" w14:textId="77777777" w:rsidR="00972395" w:rsidRPr="00E73D4B" w:rsidRDefault="00F120C7" w:rsidP="00E73D4B">
      <w:pPr>
        <w:pStyle w:val="avsnitt-tittel"/>
      </w:pPr>
      <w:r w:rsidRPr="00E73D4B">
        <w:t>Pelsdyrkompensasjonsordning – spesialiserte maskiner og utstyr</w:t>
      </w:r>
    </w:p>
    <w:p w14:paraId="2505A816" w14:textId="77777777" w:rsidR="00972395" w:rsidRPr="00E73D4B" w:rsidRDefault="00F120C7" w:rsidP="00E73D4B">
      <w:pPr>
        <w:pStyle w:val="avsnitt-undertittel"/>
      </w:pPr>
      <w:r w:rsidRPr="00E73D4B">
        <w:t>Vedtak nr. 1130, 4. juni 2021:</w:t>
      </w:r>
    </w:p>
    <w:p w14:paraId="650E2284" w14:textId="77777777" w:rsidR="00972395" w:rsidRPr="00E73D4B" w:rsidRDefault="00F120C7" w:rsidP="00E73D4B">
      <w:pPr>
        <w:pStyle w:val="blokksit"/>
      </w:pPr>
      <w:r w:rsidRPr="00E73D4B">
        <w:t>«</w:t>
      </w:r>
      <w:r w:rsidRPr="00E73D4B">
        <w:rPr>
          <w:rStyle w:val="kursiv"/>
        </w:rPr>
        <w:t>Stortinget ber regjeringen fremme forslag om å etablere en erstatningsordning for maskiner og utstyr som er spesialisert knyttet til driften av fôrkjøkken og pelserier, og som er uten restverdi som følge av forbudet mot pelsdyrhold</w:t>
      </w:r>
      <w:r w:rsidRPr="00E73D4B">
        <w:t>.»</w:t>
      </w:r>
    </w:p>
    <w:p w14:paraId="6A4F0994"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122 L (2020–2021), jf. </w:t>
      </w:r>
      <w:proofErr w:type="spellStart"/>
      <w:r w:rsidRPr="00E73D4B">
        <w:t>Innst</w:t>
      </w:r>
      <w:proofErr w:type="spellEnd"/>
      <w:r w:rsidRPr="00E73D4B">
        <w:t xml:space="preserve">. 613 L (2020–2021). Der </w:t>
      </w:r>
      <w:proofErr w:type="spellStart"/>
      <w:r w:rsidRPr="00E73D4B">
        <w:t>pelsingsverksemd</w:t>
      </w:r>
      <w:proofErr w:type="spellEnd"/>
      <w:r w:rsidRPr="00E73D4B">
        <w:t xml:space="preserve"> eller fôrkjøkken er del av ei </w:t>
      </w:r>
      <w:proofErr w:type="spellStart"/>
      <w:r w:rsidRPr="00E73D4B">
        <w:t>verksemd</w:t>
      </w:r>
      <w:proofErr w:type="spellEnd"/>
      <w:r w:rsidRPr="00E73D4B">
        <w:t xml:space="preserve"> som har drive med pelsdyrhald, vil verdien av </w:t>
      </w:r>
      <w:proofErr w:type="spellStart"/>
      <w:r w:rsidRPr="00E73D4B">
        <w:t>pelsingsverksemda</w:t>
      </w:r>
      <w:proofErr w:type="spellEnd"/>
      <w:r w:rsidRPr="00E73D4B">
        <w:t xml:space="preserve"> eller fôrkjøkkenet kunne bli kompensert etter den lovfesta erstatningsordninga for </w:t>
      </w:r>
      <w:proofErr w:type="spellStart"/>
      <w:r w:rsidRPr="00E73D4B">
        <w:t>pelsdyroppdrettarer</w:t>
      </w:r>
      <w:proofErr w:type="spellEnd"/>
      <w:r w:rsidRPr="00E73D4B">
        <w:t xml:space="preserve">. Ei eiga ordning er </w:t>
      </w:r>
      <w:proofErr w:type="spellStart"/>
      <w:r w:rsidRPr="00E73D4B">
        <w:t>difor</w:t>
      </w:r>
      <w:proofErr w:type="spellEnd"/>
      <w:r w:rsidRPr="00E73D4B">
        <w:t xml:space="preserve"> </w:t>
      </w:r>
      <w:proofErr w:type="spellStart"/>
      <w:r w:rsidRPr="00E73D4B">
        <w:t>berre</w:t>
      </w:r>
      <w:proofErr w:type="spellEnd"/>
      <w:r w:rsidRPr="00E73D4B">
        <w:t xml:space="preserve"> aktuell for </w:t>
      </w:r>
      <w:proofErr w:type="spellStart"/>
      <w:r w:rsidRPr="00E73D4B">
        <w:t>pelsingsverksemder</w:t>
      </w:r>
      <w:proofErr w:type="spellEnd"/>
      <w:r w:rsidRPr="00E73D4B">
        <w:t xml:space="preserve"> eller fôrkjøkken som har </w:t>
      </w:r>
      <w:proofErr w:type="spellStart"/>
      <w:r w:rsidRPr="00E73D4B">
        <w:t>vore</w:t>
      </w:r>
      <w:proofErr w:type="spellEnd"/>
      <w:r w:rsidRPr="00E73D4B">
        <w:t xml:space="preserve"> drive med eige organisasjonsnummer. Etter det departementet er </w:t>
      </w:r>
      <w:proofErr w:type="spellStart"/>
      <w:r w:rsidRPr="00E73D4B">
        <w:t>kjend</w:t>
      </w:r>
      <w:proofErr w:type="spellEnd"/>
      <w:r w:rsidRPr="00E73D4B">
        <w:t xml:space="preserve"> med, er det i alt sju slike </w:t>
      </w:r>
      <w:proofErr w:type="spellStart"/>
      <w:r w:rsidRPr="00E73D4B">
        <w:t>verksemder</w:t>
      </w:r>
      <w:proofErr w:type="spellEnd"/>
      <w:r w:rsidRPr="00E73D4B">
        <w:t xml:space="preserve">. Regjeringa vil gi kompensasjon for maskiner og utstyr som er spesialisert til drifta av fôrkjøkken og </w:t>
      </w:r>
      <w:proofErr w:type="spellStart"/>
      <w:r w:rsidRPr="00E73D4B">
        <w:t>pelseri</w:t>
      </w:r>
      <w:proofErr w:type="spellEnd"/>
      <w:r w:rsidRPr="00E73D4B">
        <w:t xml:space="preserve">, og som er </w:t>
      </w:r>
      <w:proofErr w:type="spellStart"/>
      <w:r w:rsidRPr="00E73D4B">
        <w:t>utan</w:t>
      </w:r>
      <w:proofErr w:type="spellEnd"/>
      <w:r w:rsidRPr="00E73D4B">
        <w:t xml:space="preserve"> restverdi som </w:t>
      </w:r>
      <w:proofErr w:type="spellStart"/>
      <w:r w:rsidRPr="00E73D4B">
        <w:t>følgje</w:t>
      </w:r>
      <w:proofErr w:type="spellEnd"/>
      <w:r w:rsidRPr="00E73D4B">
        <w:t xml:space="preserve"> av </w:t>
      </w:r>
      <w:proofErr w:type="spellStart"/>
      <w:r w:rsidRPr="00E73D4B">
        <w:t>forbodet</w:t>
      </w:r>
      <w:proofErr w:type="spellEnd"/>
      <w:r w:rsidRPr="00E73D4B">
        <w:t xml:space="preserve"> mot hald av pelsdyr. Kompensasjonen vil bli gitt i tråd med statsstøtteregelverket og </w:t>
      </w:r>
      <w:proofErr w:type="spellStart"/>
      <w:r w:rsidRPr="00E73D4B">
        <w:t>innanfor</w:t>
      </w:r>
      <w:proofErr w:type="spellEnd"/>
      <w:r w:rsidRPr="00E73D4B">
        <w:t xml:space="preserve"> ei samla ramme på 30 mill. kroner. Kompensasjonen vil bli utgiftsført på kap. 1142, post 77. Departementet </w:t>
      </w:r>
      <w:proofErr w:type="spellStart"/>
      <w:r w:rsidRPr="00E73D4B">
        <w:t>legg</w:t>
      </w:r>
      <w:proofErr w:type="spellEnd"/>
      <w:r w:rsidRPr="00E73D4B">
        <w:t xml:space="preserve"> til grunn at vedtak nr. 1130, 4. juni 2021 med dette er </w:t>
      </w:r>
      <w:proofErr w:type="spellStart"/>
      <w:r w:rsidRPr="00E73D4B">
        <w:t>følgt</w:t>
      </w:r>
      <w:proofErr w:type="spellEnd"/>
      <w:r w:rsidRPr="00E73D4B">
        <w:t xml:space="preserve"> opp.</w:t>
      </w:r>
    </w:p>
    <w:p w14:paraId="752F549E" w14:textId="77777777" w:rsidR="00972395" w:rsidRPr="00E73D4B" w:rsidRDefault="00F120C7" w:rsidP="00E73D4B">
      <w:pPr>
        <w:pStyle w:val="avsnitt-tittel"/>
      </w:pPr>
      <w:r w:rsidRPr="00E73D4B">
        <w:t>Pelsdyrkompensasjonsordning – faktiske kostnader</w:t>
      </w:r>
    </w:p>
    <w:p w14:paraId="33CE3A25" w14:textId="77777777" w:rsidR="00972395" w:rsidRPr="00E73D4B" w:rsidRDefault="00F120C7" w:rsidP="00E73D4B">
      <w:pPr>
        <w:pStyle w:val="avsnitt-undertittel"/>
      </w:pPr>
      <w:r w:rsidRPr="00E73D4B">
        <w:t>Vedtak nr. 1131, 4. juni 2021:</w:t>
      </w:r>
    </w:p>
    <w:p w14:paraId="099963F4" w14:textId="77777777" w:rsidR="00972395" w:rsidRPr="00E73D4B" w:rsidRDefault="00F120C7" w:rsidP="00E73D4B">
      <w:pPr>
        <w:pStyle w:val="blokksit"/>
      </w:pPr>
      <w:r w:rsidRPr="00E73D4B">
        <w:t>«</w:t>
      </w:r>
      <w:r w:rsidRPr="00E73D4B">
        <w:rPr>
          <w:rStyle w:val="kursiv"/>
        </w:rPr>
        <w:t xml:space="preserve">Stortinget ber regjeringen endre forskrift om kompensasjon etter avvikling av hold av pelsdyr mv., slik at det i § 7 første punktum bestemmes at for </w:t>
      </w:r>
      <w:proofErr w:type="spellStart"/>
      <w:r w:rsidRPr="00E73D4B">
        <w:rPr>
          <w:rStyle w:val="kursiv"/>
        </w:rPr>
        <w:t>riving</w:t>
      </w:r>
      <w:proofErr w:type="spellEnd"/>
      <w:r w:rsidRPr="00E73D4B">
        <w:rPr>
          <w:rStyle w:val="kursiv"/>
        </w:rPr>
        <w:t xml:space="preserve"> og opprydding av pelsdyrvirksomhet som var i drift i godkjent anlegg etter forskrift om hold av pelsdyr per 1. januar 2015, gis kompensasjon som dekker de faktiske kostnadene, og uten gjeldende krav om at videresalg og gjenvinning skal hensyntas.</w:t>
      </w:r>
      <w:r w:rsidRPr="00E73D4B">
        <w:t>»</w:t>
      </w:r>
    </w:p>
    <w:p w14:paraId="5C9C3831"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122 L (2020–2021), jf. </w:t>
      </w:r>
      <w:proofErr w:type="spellStart"/>
      <w:r w:rsidRPr="00E73D4B">
        <w:t>Innst</w:t>
      </w:r>
      <w:proofErr w:type="spellEnd"/>
      <w:r w:rsidRPr="00E73D4B">
        <w:t xml:space="preserve">. 613 L (2020–2021). Landbruks- og matdepartementet fastsatte 8. juli 2022 ei ny forskrift om særskilte kompensasjonsordninger mv. etter avvikling av hald av pelsdyr. Det er her lagt opp til å </w:t>
      </w:r>
      <w:proofErr w:type="spellStart"/>
      <w:r w:rsidRPr="00E73D4B">
        <w:t>dekkje</w:t>
      </w:r>
      <w:proofErr w:type="spellEnd"/>
      <w:r w:rsidRPr="00E73D4B">
        <w:t xml:space="preserve"> </w:t>
      </w:r>
      <w:proofErr w:type="spellStart"/>
      <w:r w:rsidRPr="00E73D4B">
        <w:t>dei</w:t>
      </w:r>
      <w:proofErr w:type="spellEnd"/>
      <w:r w:rsidRPr="00E73D4B">
        <w:t xml:space="preserve"> faktiske kostnadene ved </w:t>
      </w:r>
      <w:proofErr w:type="spellStart"/>
      <w:r w:rsidRPr="00E73D4B">
        <w:t>riving</w:t>
      </w:r>
      <w:proofErr w:type="spellEnd"/>
      <w:r w:rsidRPr="00E73D4B">
        <w:t xml:space="preserve"> og opprydding av pelsdyranlegg med </w:t>
      </w:r>
      <w:proofErr w:type="spellStart"/>
      <w:r w:rsidRPr="00E73D4B">
        <w:t>tilhøyrande</w:t>
      </w:r>
      <w:proofErr w:type="spellEnd"/>
      <w:r w:rsidRPr="00E73D4B">
        <w:t xml:space="preserve"> infrastruktur. Dette </w:t>
      </w:r>
      <w:proofErr w:type="spellStart"/>
      <w:r w:rsidRPr="00E73D4B">
        <w:t>gjeld</w:t>
      </w:r>
      <w:proofErr w:type="spellEnd"/>
      <w:r w:rsidRPr="00E73D4B">
        <w:t xml:space="preserve"> dersom anlegget tilfredsstilte </w:t>
      </w:r>
      <w:proofErr w:type="spellStart"/>
      <w:r w:rsidRPr="00E73D4B">
        <w:t>gjeldande</w:t>
      </w:r>
      <w:proofErr w:type="spellEnd"/>
      <w:r w:rsidRPr="00E73D4B">
        <w:t xml:space="preserve"> forskriftskrav pr. 15. januar 2018 og det blei </w:t>
      </w:r>
      <w:proofErr w:type="spellStart"/>
      <w:r w:rsidRPr="00E73D4B">
        <w:t>halde</w:t>
      </w:r>
      <w:proofErr w:type="spellEnd"/>
      <w:r w:rsidRPr="00E73D4B">
        <w:t xml:space="preserve"> pelsdyr i anlegget etter 1. januar 2015. Det </w:t>
      </w:r>
      <w:proofErr w:type="spellStart"/>
      <w:r w:rsidRPr="00E73D4B">
        <w:t>tidlegare</w:t>
      </w:r>
      <w:proofErr w:type="spellEnd"/>
      <w:r w:rsidRPr="00E73D4B">
        <w:t xml:space="preserve"> kravet om at det ved utrekning av kompensasjon skal </w:t>
      </w:r>
      <w:proofErr w:type="spellStart"/>
      <w:r w:rsidRPr="00E73D4B">
        <w:t>takast</w:t>
      </w:r>
      <w:proofErr w:type="spellEnd"/>
      <w:r w:rsidRPr="00E73D4B">
        <w:t xml:space="preserve"> omsyn til </w:t>
      </w:r>
      <w:proofErr w:type="spellStart"/>
      <w:r w:rsidRPr="00E73D4B">
        <w:t>vidaresal</w:t>
      </w:r>
      <w:proofErr w:type="spellEnd"/>
      <w:r w:rsidRPr="00E73D4B">
        <w:t xml:space="preserve"> og gjenvinning, er </w:t>
      </w:r>
      <w:proofErr w:type="spellStart"/>
      <w:r w:rsidRPr="00E73D4B">
        <w:t>ikkje</w:t>
      </w:r>
      <w:proofErr w:type="spellEnd"/>
      <w:r w:rsidRPr="00E73D4B">
        <w:t xml:space="preserve"> </w:t>
      </w:r>
      <w:proofErr w:type="spellStart"/>
      <w:r w:rsidRPr="00E73D4B">
        <w:t>vidareført</w:t>
      </w:r>
      <w:proofErr w:type="spellEnd"/>
      <w:r w:rsidRPr="00E73D4B">
        <w:t xml:space="preserve"> i forskrifta. Departementet </w:t>
      </w:r>
      <w:proofErr w:type="spellStart"/>
      <w:r w:rsidRPr="00E73D4B">
        <w:t>legg</w:t>
      </w:r>
      <w:proofErr w:type="spellEnd"/>
      <w:r w:rsidRPr="00E73D4B">
        <w:t xml:space="preserve"> til grunn at vedtak nr. 1131, 4. juni 2021 med dette er </w:t>
      </w:r>
      <w:proofErr w:type="spellStart"/>
      <w:r w:rsidRPr="00E73D4B">
        <w:t>følgt</w:t>
      </w:r>
      <w:proofErr w:type="spellEnd"/>
      <w:r w:rsidRPr="00E73D4B">
        <w:t xml:space="preserve"> opp.</w:t>
      </w:r>
    </w:p>
    <w:p w14:paraId="7024A49D" w14:textId="77777777" w:rsidR="00972395" w:rsidRPr="00E73D4B" w:rsidRDefault="00F120C7" w:rsidP="00E73D4B">
      <w:pPr>
        <w:pStyle w:val="avsnitt-tittel"/>
      </w:pPr>
      <w:r w:rsidRPr="00E73D4B">
        <w:t>Viltlova – utgreiing av omgrepet «kunstig lys»</w:t>
      </w:r>
    </w:p>
    <w:p w14:paraId="48CBFBB1" w14:textId="77777777" w:rsidR="00972395" w:rsidRPr="00E73D4B" w:rsidRDefault="00F120C7" w:rsidP="00E73D4B">
      <w:pPr>
        <w:pStyle w:val="avsnitt-undertittel"/>
      </w:pPr>
      <w:r w:rsidRPr="00E73D4B">
        <w:t>Vedtak nr. 1134, 4. juni 2021:</w:t>
      </w:r>
    </w:p>
    <w:p w14:paraId="54839B6D" w14:textId="77777777" w:rsidR="00972395" w:rsidRPr="00E73D4B" w:rsidRDefault="00F120C7" w:rsidP="00E73D4B">
      <w:pPr>
        <w:pStyle w:val="blokksit"/>
      </w:pPr>
      <w:r w:rsidRPr="00E73D4B">
        <w:t>«</w:t>
      </w:r>
      <w:r w:rsidRPr="00E73D4B">
        <w:rPr>
          <w:rStyle w:val="kursiv"/>
        </w:rPr>
        <w:t>Stortinget ber regjeringen gjøre en utredning med sikte på å avklare definisjonen av begrepet «kunstig lys» i viltloven, og hvilke prinsipper som bør legges til grunn for en ny bestemmelse om dette i viltloven, i forbindelse med det pågående arbeidet med modernisering av viltloven.</w:t>
      </w:r>
      <w:r w:rsidRPr="00E73D4B">
        <w:t>»</w:t>
      </w:r>
    </w:p>
    <w:p w14:paraId="57EE948A"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149 L (2020–2021), jf. </w:t>
      </w:r>
      <w:proofErr w:type="spellStart"/>
      <w:r w:rsidRPr="00E73D4B">
        <w:t>Innst</w:t>
      </w:r>
      <w:proofErr w:type="spellEnd"/>
      <w:r w:rsidRPr="00E73D4B">
        <w:t xml:space="preserve">. 604 L. Landbruks- og matdepartementet og Klima- og miljødepartementet arbeider med å gå gjennom og modernisere viltlova. Arbeidet </w:t>
      </w:r>
      <w:proofErr w:type="spellStart"/>
      <w:r w:rsidRPr="00E73D4B">
        <w:t>inneber</w:t>
      </w:r>
      <w:proofErr w:type="spellEnd"/>
      <w:r w:rsidRPr="00E73D4B">
        <w:t xml:space="preserve"> </w:t>
      </w:r>
      <w:proofErr w:type="spellStart"/>
      <w:r w:rsidRPr="00E73D4B">
        <w:t>ein</w:t>
      </w:r>
      <w:proofErr w:type="spellEnd"/>
      <w:r w:rsidRPr="00E73D4B">
        <w:t xml:space="preserve"> revisjon av heile lova, </w:t>
      </w:r>
      <w:proofErr w:type="spellStart"/>
      <w:r w:rsidRPr="00E73D4B">
        <w:t>noko</w:t>
      </w:r>
      <w:proofErr w:type="spellEnd"/>
      <w:r w:rsidRPr="00E73D4B">
        <w:t xml:space="preserve"> som òg gjeld </w:t>
      </w:r>
      <w:proofErr w:type="spellStart"/>
      <w:r w:rsidRPr="00E73D4B">
        <w:t>reglane</w:t>
      </w:r>
      <w:proofErr w:type="spellEnd"/>
      <w:r w:rsidRPr="00E73D4B">
        <w:t xml:space="preserve"> om bruk av kunstig lys i samband jakt og fangst. Miljødirektoratet har i </w:t>
      </w:r>
      <w:proofErr w:type="spellStart"/>
      <w:r w:rsidRPr="00E73D4B">
        <w:t>supplerande</w:t>
      </w:r>
      <w:proofErr w:type="spellEnd"/>
      <w:r w:rsidRPr="00E73D4B">
        <w:t xml:space="preserve"> tildelingsbrev av 18. mars 2022 fått i oppdrag </w:t>
      </w:r>
      <w:proofErr w:type="gramStart"/>
      <w:r w:rsidRPr="00E73D4B">
        <w:t>å sjå</w:t>
      </w:r>
      <w:proofErr w:type="gramEnd"/>
      <w:r w:rsidRPr="00E73D4B">
        <w:t xml:space="preserve"> </w:t>
      </w:r>
      <w:proofErr w:type="spellStart"/>
      <w:r w:rsidRPr="00E73D4B">
        <w:t>nærare</w:t>
      </w:r>
      <w:proofErr w:type="spellEnd"/>
      <w:r w:rsidRPr="00E73D4B">
        <w:t xml:space="preserve"> på teknologiutviklinga ved utøving av jakt, fangst og felling. </w:t>
      </w:r>
      <w:proofErr w:type="spellStart"/>
      <w:r w:rsidRPr="00E73D4B">
        <w:t>Reglane</w:t>
      </w:r>
      <w:proofErr w:type="spellEnd"/>
      <w:r w:rsidRPr="00E73D4B">
        <w:t xml:space="preserve"> om bruk av kunstig lys er blant </w:t>
      </w:r>
      <w:proofErr w:type="spellStart"/>
      <w:r w:rsidRPr="00E73D4B">
        <w:t>dei</w:t>
      </w:r>
      <w:proofErr w:type="spellEnd"/>
      <w:r w:rsidRPr="00E73D4B">
        <w:t xml:space="preserve"> </w:t>
      </w:r>
      <w:proofErr w:type="spellStart"/>
      <w:r w:rsidRPr="00E73D4B">
        <w:t>temaa</w:t>
      </w:r>
      <w:proofErr w:type="spellEnd"/>
      <w:r w:rsidRPr="00E73D4B">
        <w:t xml:space="preserve"> som direktoratet skal vurdere. Departementet vil komme tilbake til Stortinget med </w:t>
      </w:r>
      <w:proofErr w:type="spellStart"/>
      <w:r w:rsidRPr="00E73D4B">
        <w:t>eit</w:t>
      </w:r>
      <w:proofErr w:type="spellEnd"/>
      <w:r w:rsidRPr="00E73D4B">
        <w:t xml:space="preserve"> lovforslag.</w:t>
      </w:r>
    </w:p>
    <w:p w14:paraId="76C55A35" w14:textId="77777777" w:rsidR="00972395" w:rsidRPr="00E73D4B" w:rsidRDefault="00F120C7" w:rsidP="00E73D4B">
      <w:pPr>
        <w:pStyle w:val="Overskrift2"/>
      </w:pPr>
      <w:r w:rsidRPr="00E73D4B">
        <w:t>Stortingssesjon 2016–2017</w:t>
      </w:r>
    </w:p>
    <w:p w14:paraId="0C22888F" w14:textId="77777777" w:rsidR="00972395" w:rsidRPr="00E73D4B" w:rsidRDefault="00F120C7" w:rsidP="00E73D4B">
      <w:pPr>
        <w:pStyle w:val="avsnitt-tittel"/>
      </w:pPr>
      <w:proofErr w:type="spellStart"/>
      <w:r w:rsidRPr="00E73D4B">
        <w:t>Konsekvensar</w:t>
      </w:r>
      <w:proofErr w:type="spellEnd"/>
      <w:r w:rsidRPr="00E73D4B">
        <w:t xml:space="preserve"> av liberalisering av konsesjonsplikta</w:t>
      </w:r>
    </w:p>
    <w:p w14:paraId="23DD9F9B" w14:textId="77777777" w:rsidR="00972395" w:rsidRPr="00E73D4B" w:rsidRDefault="00F120C7" w:rsidP="00E73D4B">
      <w:pPr>
        <w:pStyle w:val="avsnitt-undertittel"/>
      </w:pPr>
      <w:r w:rsidRPr="00E73D4B">
        <w:t>Vedtak nr. 878, 13. juni 2017:</w:t>
      </w:r>
    </w:p>
    <w:p w14:paraId="0840C5FE" w14:textId="77777777" w:rsidR="00972395" w:rsidRPr="00E73D4B" w:rsidRDefault="00F120C7" w:rsidP="00E73D4B">
      <w:pPr>
        <w:pStyle w:val="blokksit"/>
      </w:pPr>
      <w:r w:rsidRPr="00E73D4B">
        <w:t>«</w:t>
      </w:r>
      <w:r w:rsidRPr="00E73D4B">
        <w:rPr>
          <w:rStyle w:val="kursiv"/>
        </w:rPr>
        <w:t>Stortinget ber regjeringen utrede konsekvensen av en videre liberalisering av konsesjons- plikten utover de lovmessige endringer som nå vedtas for rene skogeiendommer.</w:t>
      </w:r>
      <w:r w:rsidRPr="00E73D4B">
        <w:t>»</w:t>
      </w:r>
    </w:p>
    <w:p w14:paraId="37F85C18" w14:textId="77777777" w:rsidR="00972395" w:rsidRPr="00E73D4B" w:rsidRDefault="00F120C7" w:rsidP="00E73D4B">
      <w:r w:rsidRPr="00E73D4B">
        <w:t xml:space="preserve">Vedtaket blei fatta ved handsaminga av </w:t>
      </w:r>
      <w:proofErr w:type="spellStart"/>
      <w:r w:rsidRPr="00E73D4B">
        <w:t>Prop</w:t>
      </w:r>
      <w:proofErr w:type="spellEnd"/>
      <w:r w:rsidRPr="00E73D4B">
        <w:t xml:space="preserve">. 92 L (2016–2017), jf. </w:t>
      </w:r>
      <w:proofErr w:type="spellStart"/>
      <w:r w:rsidRPr="00E73D4B">
        <w:t>Innst</w:t>
      </w:r>
      <w:proofErr w:type="spellEnd"/>
      <w:r w:rsidRPr="00E73D4B">
        <w:t xml:space="preserve">. 427 L (2016–2017). I Meld. St. 15 (2020–2021) la departementet til grunn at det var for </w:t>
      </w:r>
      <w:proofErr w:type="spellStart"/>
      <w:r w:rsidRPr="00E73D4B">
        <w:t>tidleg</w:t>
      </w:r>
      <w:proofErr w:type="spellEnd"/>
      <w:r w:rsidRPr="00E73D4B">
        <w:t xml:space="preserve"> å fastslå kva for følgjer </w:t>
      </w:r>
      <w:proofErr w:type="spellStart"/>
      <w:r w:rsidRPr="00E73D4B">
        <w:t>endringane</w:t>
      </w:r>
      <w:proofErr w:type="spellEnd"/>
      <w:r w:rsidRPr="00E73D4B">
        <w:t xml:space="preserve"> </w:t>
      </w:r>
      <w:proofErr w:type="spellStart"/>
      <w:r w:rsidRPr="00E73D4B">
        <w:t>frå</w:t>
      </w:r>
      <w:proofErr w:type="spellEnd"/>
      <w:r w:rsidRPr="00E73D4B">
        <w:t xml:space="preserve"> 2017 hadde på </w:t>
      </w:r>
      <w:proofErr w:type="spellStart"/>
      <w:r w:rsidRPr="00E73D4B">
        <w:t>eigedoms</w:t>
      </w:r>
      <w:proofErr w:type="spellEnd"/>
      <w:r w:rsidRPr="00E73D4B">
        <w:t xml:space="preserve">- og bruksstrukturen, og at det </w:t>
      </w:r>
      <w:proofErr w:type="spellStart"/>
      <w:r w:rsidRPr="00E73D4B">
        <w:t>difor</w:t>
      </w:r>
      <w:proofErr w:type="spellEnd"/>
      <w:r w:rsidRPr="00E73D4B">
        <w:t xml:space="preserve"> heller </w:t>
      </w:r>
      <w:proofErr w:type="spellStart"/>
      <w:r w:rsidRPr="00E73D4B">
        <w:t>ikkje</w:t>
      </w:r>
      <w:proofErr w:type="spellEnd"/>
      <w:r w:rsidRPr="00E73D4B">
        <w:t xml:space="preserve"> var grunnlag for å </w:t>
      </w:r>
      <w:proofErr w:type="spellStart"/>
      <w:r w:rsidRPr="00E73D4B">
        <w:t>føreslå</w:t>
      </w:r>
      <w:proofErr w:type="spellEnd"/>
      <w:r w:rsidRPr="00E73D4B">
        <w:t xml:space="preserve"> </w:t>
      </w:r>
      <w:proofErr w:type="spellStart"/>
      <w:r w:rsidRPr="00E73D4B">
        <w:t>ytterlegare</w:t>
      </w:r>
      <w:proofErr w:type="spellEnd"/>
      <w:r w:rsidRPr="00E73D4B">
        <w:t xml:space="preserve"> liberalisering av regelverket. I </w:t>
      </w:r>
      <w:proofErr w:type="spellStart"/>
      <w:r w:rsidRPr="00E73D4B">
        <w:t>Prop</w:t>
      </w:r>
      <w:proofErr w:type="spellEnd"/>
      <w:r w:rsidRPr="00E73D4B">
        <w:t xml:space="preserve">. 1 S (2021–2022) viste departementet til at det har gått ei tid, og at det </w:t>
      </w:r>
      <w:proofErr w:type="spellStart"/>
      <w:r w:rsidRPr="00E73D4B">
        <w:t>no</w:t>
      </w:r>
      <w:proofErr w:type="spellEnd"/>
      <w:r w:rsidRPr="00E73D4B">
        <w:t xml:space="preserve"> er grunnlag for å sjå kva for følgjer </w:t>
      </w:r>
      <w:proofErr w:type="spellStart"/>
      <w:r w:rsidRPr="00E73D4B">
        <w:t>endringane</w:t>
      </w:r>
      <w:proofErr w:type="spellEnd"/>
      <w:r w:rsidRPr="00E73D4B">
        <w:t xml:space="preserve"> har ført til. Departementet har på grunnlag av dette bedt Landbruksdirektoratet om å </w:t>
      </w:r>
      <w:proofErr w:type="spellStart"/>
      <w:r w:rsidRPr="00E73D4B">
        <w:t>gjere</w:t>
      </w:r>
      <w:proofErr w:type="spellEnd"/>
      <w:r w:rsidRPr="00E73D4B">
        <w:t xml:space="preserve"> ei evaluering av </w:t>
      </w:r>
      <w:proofErr w:type="spellStart"/>
      <w:r w:rsidRPr="00E73D4B">
        <w:t>endringane</w:t>
      </w:r>
      <w:proofErr w:type="spellEnd"/>
      <w:r w:rsidRPr="00E73D4B">
        <w:t xml:space="preserve"> som blei </w:t>
      </w:r>
      <w:proofErr w:type="spellStart"/>
      <w:r w:rsidRPr="00E73D4B">
        <w:t>vedtekne</w:t>
      </w:r>
      <w:proofErr w:type="spellEnd"/>
      <w:r w:rsidRPr="00E73D4B">
        <w:t xml:space="preserve"> i 2017. Evalueringa </w:t>
      </w:r>
      <w:proofErr w:type="spellStart"/>
      <w:r w:rsidRPr="00E73D4B">
        <w:t>gjeld</w:t>
      </w:r>
      <w:proofErr w:type="spellEnd"/>
      <w:r w:rsidRPr="00E73D4B">
        <w:t xml:space="preserve"> både </w:t>
      </w:r>
      <w:proofErr w:type="spellStart"/>
      <w:r w:rsidRPr="00E73D4B">
        <w:t>endringane</w:t>
      </w:r>
      <w:proofErr w:type="spellEnd"/>
      <w:r w:rsidRPr="00E73D4B">
        <w:t xml:space="preserve"> i arealgrensa ved overtaking av </w:t>
      </w:r>
      <w:proofErr w:type="spellStart"/>
      <w:r w:rsidRPr="00E73D4B">
        <w:t>eigedom</w:t>
      </w:r>
      <w:proofErr w:type="spellEnd"/>
      <w:r w:rsidRPr="00E73D4B">
        <w:t xml:space="preserve"> med bygning, og endringa av </w:t>
      </w:r>
      <w:proofErr w:type="spellStart"/>
      <w:r w:rsidRPr="00E73D4B">
        <w:t>reglane</w:t>
      </w:r>
      <w:proofErr w:type="spellEnd"/>
      <w:r w:rsidRPr="00E73D4B">
        <w:t xml:space="preserve"> om priskontroll ved overtaking av reine </w:t>
      </w:r>
      <w:proofErr w:type="spellStart"/>
      <w:r w:rsidRPr="00E73D4B">
        <w:t>skogeigedommar</w:t>
      </w:r>
      <w:proofErr w:type="spellEnd"/>
      <w:r w:rsidRPr="00E73D4B">
        <w:t xml:space="preserve">. Departementet vil komme tilbake til Stortinget med orientering om evalueringa på </w:t>
      </w:r>
      <w:proofErr w:type="spellStart"/>
      <w:r w:rsidRPr="00E73D4B">
        <w:t>ein</w:t>
      </w:r>
      <w:proofErr w:type="spellEnd"/>
      <w:r w:rsidRPr="00E73D4B">
        <w:t xml:space="preserve"> eigna måte.</w:t>
      </w:r>
    </w:p>
    <w:p w14:paraId="4DF1CEBF" w14:textId="77777777" w:rsidR="00972395" w:rsidRPr="00E73D4B" w:rsidRDefault="00F120C7" w:rsidP="00E73D4B">
      <w:r w:rsidRPr="00E73D4B">
        <w:t xml:space="preserve">Departementet har bedt Landbruksdirektoratet om å </w:t>
      </w:r>
      <w:proofErr w:type="spellStart"/>
      <w:r w:rsidRPr="00E73D4B">
        <w:t>undersøkje</w:t>
      </w:r>
      <w:proofErr w:type="spellEnd"/>
      <w:r w:rsidRPr="00E73D4B">
        <w:t xml:space="preserve"> og utarbeide </w:t>
      </w:r>
      <w:proofErr w:type="gramStart"/>
      <w:r w:rsidRPr="00E73D4B">
        <w:t>ei oversikt</w:t>
      </w:r>
      <w:proofErr w:type="gramEnd"/>
      <w:r w:rsidRPr="00E73D4B">
        <w:t xml:space="preserve"> som syner utviklinga av saker </w:t>
      </w:r>
      <w:proofErr w:type="spellStart"/>
      <w:r w:rsidRPr="00E73D4B">
        <w:t>dei</w:t>
      </w:r>
      <w:proofErr w:type="spellEnd"/>
      <w:r w:rsidRPr="00E73D4B">
        <w:t xml:space="preserve"> siste fem åra der landbruksstyresmaktene har handsama søknader </w:t>
      </w:r>
      <w:proofErr w:type="spellStart"/>
      <w:r w:rsidRPr="00E73D4B">
        <w:t>frå</w:t>
      </w:r>
      <w:proofErr w:type="spellEnd"/>
      <w:r w:rsidRPr="00E73D4B">
        <w:t xml:space="preserve"> </w:t>
      </w:r>
      <w:proofErr w:type="spellStart"/>
      <w:r w:rsidRPr="00E73D4B">
        <w:t>eit</w:t>
      </w:r>
      <w:proofErr w:type="spellEnd"/>
      <w:r w:rsidRPr="00E73D4B">
        <w:t xml:space="preserve"> aksjeselskap om å få konsesjon. Departementet har bedt om at </w:t>
      </w:r>
      <w:proofErr w:type="spellStart"/>
      <w:r w:rsidRPr="00E73D4B">
        <w:t>oversikta</w:t>
      </w:r>
      <w:proofErr w:type="spellEnd"/>
      <w:r w:rsidRPr="00E73D4B">
        <w:t xml:space="preserve"> skal vise </w:t>
      </w:r>
      <w:proofErr w:type="spellStart"/>
      <w:r w:rsidRPr="00E73D4B">
        <w:t>eigedommar</w:t>
      </w:r>
      <w:proofErr w:type="spellEnd"/>
      <w:r w:rsidRPr="00E73D4B">
        <w:t xml:space="preserve"> med ulikt arealgrunnlag, både </w:t>
      </w:r>
      <w:proofErr w:type="spellStart"/>
      <w:r w:rsidRPr="00E73D4B">
        <w:t>eigedommar</w:t>
      </w:r>
      <w:proofErr w:type="spellEnd"/>
      <w:r w:rsidRPr="00E73D4B">
        <w:t xml:space="preserve"> med </w:t>
      </w:r>
      <w:proofErr w:type="spellStart"/>
      <w:r w:rsidRPr="00E73D4B">
        <w:t>eit</w:t>
      </w:r>
      <w:proofErr w:type="spellEnd"/>
      <w:r w:rsidRPr="00E73D4B">
        <w:t xml:space="preserve"> ressursgrunnlag som ville </w:t>
      </w:r>
      <w:proofErr w:type="spellStart"/>
      <w:r w:rsidRPr="00E73D4B">
        <w:t>krevje</w:t>
      </w:r>
      <w:proofErr w:type="spellEnd"/>
      <w:r w:rsidRPr="00E73D4B">
        <w:t xml:space="preserve"> buplikt dersom </w:t>
      </w:r>
      <w:proofErr w:type="spellStart"/>
      <w:r w:rsidRPr="00E73D4B">
        <w:t>eigedomen</w:t>
      </w:r>
      <w:proofErr w:type="spellEnd"/>
      <w:r w:rsidRPr="00E73D4B">
        <w:t xml:space="preserve"> hadde blitt omsett </w:t>
      </w:r>
      <w:proofErr w:type="spellStart"/>
      <w:r w:rsidRPr="00E73D4B">
        <w:t>innan</w:t>
      </w:r>
      <w:proofErr w:type="spellEnd"/>
      <w:r w:rsidRPr="00E73D4B">
        <w:t xml:space="preserve"> familien, og </w:t>
      </w:r>
      <w:proofErr w:type="spellStart"/>
      <w:r w:rsidRPr="00E73D4B">
        <w:t>eigedommar</w:t>
      </w:r>
      <w:proofErr w:type="spellEnd"/>
      <w:r w:rsidRPr="00E73D4B">
        <w:t xml:space="preserve"> med </w:t>
      </w:r>
      <w:proofErr w:type="spellStart"/>
      <w:r w:rsidRPr="00E73D4B">
        <w:t>eit</w:t>
      </w:r>
      <w:proofErr w:type="spellEnd"/>
      <w:r w:rsidRPr="00E73D4B">
        <w:t xml:space="preserve"> </w:t>
      </w:r>
      <w:proofErr w:type="spellStart"/>
      <w:r w:rsidRPr="00E73D4B">
        <w:t>svakare</w:t>
      </w:r>
      <w:proofErr w:type="spellEnd"/>
      <w:r w:rsidRPr="00E73D4B">
        <w:t xml:space="preserve"> ressursgrunnlag.</w:t>
      </w:r>
    </w:p>
    <w:p w14:paraId="509560E8" w14:textId="77777777" w:rsidR="00972395" w:rsidRPr="00E73D4B" w:rsidRDefault="00F120C7" w:rsidP="00E73D4B">
      <w:pPr>
        <w:pStyle w:val="avsnitt-tittel"/>
      </w:pPr>
      <w:r w:rsidRPr="00E73D4B">
        <w:t>Hundelova</w:t>
      </w:r>
    </w:p>
    <w:p w14:paraId="0DB3973A" w14:textId="77777777" w:rsidR="00972395" w:rsidRPr="00E73D4B" w:rsidRDefault="00F120C7" w:rsidP="00E73D4B">
      <w:pPr>
        <w:pStyle w:val="avsnitt-undertittel"/>
      </w:pPr>
      <w:r w:rsidRPr="00E73D4B">
        <w:t>Vedtak nr. 885, 13. juni 2017:</w:t>
      </w:r>
    </w:p>
    <w:p w14:paraId="3DBD319C" w14:textId="77777777" w:rsidR="00972395" w:rsidRPr="00E73D4B" w:rsidRDefault="00F120C7" w:rsidP="00E73D4B">
      <w:pPr>
        <w:pStyle w:val="blokksit"/>
      </w:pPr>
      <w:r w:rsidRPr="00E73D4B">
        <w:t>«</w:t>
      </w:r>
      <w:r w:rsidRPr="00E73D4B">
        <w:rPr>
          <w:rStyle w:val="kursiv"/>
        </w:rPr>
        <w:t>Stortinget ber regjeringen komme tilbake til Stortinget på egnet måte med en helhetlig gjennomgang av hundeloven av 2003 for å sikre at reglene om hundehold bygger på et godt og velfundert grunnlag.</w:t>
      </w:r>
      <w:r w:rsidRPr="00E73D4B">
        <w:t>»</w:t>
      </w:r>
    </w:p>
    <w:p w14:paraId="1E250797" w14:textId="77777777" w:rsidR="00972395" w:rsidRPr="00E73D4B" w:rsidRDefault="00F120C7" w:rsidP="00E73D4B">
      <w:r w:rsidRPr="00E73D4B">
        <w:t xml:space="preserve">Vedtaket blei fatta i samband med handsaminga av Dokument 8:71 S (2016–2017), jf. </w:t>
      </w:r>
      <w:proofErr w:type="spellStart"/>
      <w:r w:rsidRPr="00E73D4B">
        <w:t>Innst</w:t>
      </w:r>
      <w:proofErr w:type="spellEnd"/>
      <w:r w:rsidRPr="00E73D4B">
        <w:t>. 340 S (2016–2017).</w:t>
      </w:r>
    </w:p>
    <w:p w14:paraId="0DA0DE23" w14:textId="77777777" w:rsidR="00972395" w:rsidRPr="00E73D4B" w:rsidRDefault="00F120C7" w:rsidP="00E73D4B">
      <w:r w:rsidRPr="00E73D4B">
        <w:t xml:space="preserve">Landbruks- og matdepartementet </w:t>
      </w:r>
      <w:proofErr w:type="spellStart"/>
      <w:r w:rsidRPr="00E73D4B">
        <w:t>fekk</w:t>
      </w:r>
      <w:proofErr w:type="spellEnd"/>
      <w:r w:rsidRPr="00E73D4B">
        <w:t xml:space="preserve"> ved kgl.res. den 1. mars 2019 overført ansvaret for hundelova </w:t>
      </w:r>
      <w:proofErr w:type="spellStart"/>
      <w:r w:rsidRPr="00E73D4B">
        <w:t>frå</w:t>
      </w:r>
      <w:proofErr w:type="spellEnd"/>
      <w:r w:rsidRPr="00E73D4B">
        <w:t xml:space="preserve"> Justis- og beredskapsdepartementet. Landbruks- og matdepartementet har gjort </w:t>
      </w:r>
      <w:proofErr w:type="spellStart"/>
      <w:r w:rsidRPr="00E73D4B">
        <w:t>ein</w:t>
      </w:r>
      <w:proofErr w:type="spellEnd"/>
      <w:r w:rsidRPr="00E73D4B">
        <w:t xml:space="preserve"> gjennomgang av lova. Forslag til </w:t>
      </w:r>
      <w:proofErr w:type="spellStart"/>
      <w:r w:rsidRPr="00E73D4B">
        <w:t>endringar</w:t>
      </w:r>
      <w:proofErr w:type="spellEnd"/>
      <w:r w:rsidRPr="00E73D4B">
        <w:t xml:space="preserve"> av hundelova blei lagt fram i </w:t>
      </w:r>
      <w:proofErr w:type="spellStart"/>
      <w:r w:rsidRPr="00E73D4B">
        <w:t>Prop</w:t>
      </w:r>
      <w:proofErr w:type="spellEnd"/>
      <w:r w:rsidRPr="00E73D4B">
        <w:t xml:space="preserve">. 85 L (2021–2022). Departementet </w:t>
      </w:r>
      <w:proofErr w:type="spellStart"/>
      <w:r w:rsidRPr="00E73D4B">
        <w:t>legg</w:t>
      </w:r>
      <w:proofErr w:type="spellEnd"/>
      <w:r w:rsidRPr="00E73D4B">
        <w:t xml:space="preserve"> til grunn at vedtak nr. 885, 13. juni 2017 med dette er </w:t>
      </w:r>
      <w:proofErr w:type="spellStart"/>
      <w:r w:rsidRPr="00E73D4B">
        <w:t>følgt</w:t>
      </w:r>
      <w:proofErr w:type="spellEnd"/>
      <w:r w:rsidRPr="00E73D4B">
        <w:t xml:space="preserve"> opp.</w:t>
      </w:r>
    </w:p>
    <w:p w14:paraId="6F76939E" w14:textId="77777777" w:rsidR="00972395" w:rsidRPr="00E73D4B" w:rsidRDefault="00F120C7" w:rsidP="00E73D4B">
      <w:pPr>
        <w:pStyle w:val="Overskrift1"/>
      </w:pPr>
      <w:r w:rsidRPr="00E73D4B">
        <w:t xml:space="preserve">Nærings- og </w:t>
      </w:r>
      <w:proofErr w:type="spellStart"/>
      <w:r w:rsidRPr="00E73D4B">
        <w:t>fiskeridepartmentet</w:t>
      </w:r>
      <w:proofErr w:type="spellEnd"/>
    </w:p>
    <w:p w14:paraId="330A095D" w14:textId="77777777" w:rsidR="00972395" w:rsidRPr="00E73D4B" w:rsidRDefault="00F120C7" w:rsidP="00E73D4B">
      <w:r w:rsidRPr="00E73D4B">
        <w:t>Nedenfor følger tabell med oversikt over anmodnings- og utredningsvedtak, ordnet etter sesjon og nummer. I fjerde kolonne i tabellen angis det hvorvidt departementet planlegger at rapporteringen knyttet til anmodningsvedtaket nå avsluttes eller om departementet vil rapportere konkret på vedtaket også i neste års budsjettproposisjon. Rapporteringen på vedtak som innebærer at departementet skal legge fram en konkret sak for Stortinget, f.eks. proposisjon, stortingsmelding, utredning e.l., vil normalt avsluttes først når saken er lagt fram for Stortinget.</w:t>
      </w:r>
    </w:p>
    <w:p w14:paraId="2315FD18" w14:textId="3C610F03" w:rsidR="00972395" w:rsidRDefault="00F120C7" w:rsidP="00E73D4B">
      <w:r w:rsidRPr="00E73D4B">
        <w:t>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14:paraId="7289AAF2" w14:textId="26700359" w:rsidR="001C4219" w:rsidRPr="00E73D4B" w:rsidRDefault="001C4219" w:rsidP="001C4219">
      <w:pPr>
        <w:pStyle w:val="tabell-tittel"/>
      </w:pPr>
      <w:r w:rsidRPr="00E73D4B">
        <w:t>Oversikt over anmodnings- og utredningsvedtak, ordnet etter sesjon og nummer</w:t>
      </w:r>
    </w:p>
    <w:p w14:paraId="1D9B4010" w14:textId="77777777" w:rsidR="00972395" w:rsidRPr="00E73D4B" w:rsidRDefault="00F120C7" w:rsidP="00E73D4B">
      <w:pPr>
        <w:pStyle w:val="Tabellnavn"/>
      </w:pPr>
      <w:r w:rsidRPr="00E73D4B">
        <w:t>04J1xx2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1418"/>
        <w:gridCol w:w="1417"/>
        <w:gridCol w:w="4820"/>
        <w:gridCol w:w="1545"/>
      </w:tblGrid>
      <w:tr w:rsidR="00972395" w:rsidRPr="00E73D4B" w14:paraId="4BF9CA3A" w14:textId="77777777" w:rsidTr="004A107D">
        <w:trPr>
          <w:trHeight w:val="860"/>
        </w:trPr>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A33C2FA" w14:textId="77777777" w:rsidR="00972395" w:rsidRPr="00E73D4B" w:rsidRDefault="00F120C7" w:rsidP="004A107D">
            <w:r w:rsidRPr="00E73D4B">
              <w:t>Sesjon</w:t>
            </w: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CBD705" w14:textId="77777777" w:rsidR="00972395" w:rsidRPr="00E73D4B" w:rsidRDefault="00F120C7" w:rsidP="004A107D">
            <w:pPr>
              <w:jc w:val="right"/>
            </w:pPr>
            <w:r w:rsidRPr="00E73D4B">
              <w:t>Vedtak nr.</w:t>
            </w:r>
          </w:p>
        </w:tc>
        <w:tc>
          <w:tcPr>
            <w:tcW w:w="4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D04D1BB" w14:textId="77777777" w:rsidR="00972395" w:rsidRPr="00E73D4B" w:rsidRDefault="00F120C7" w:rsidP="004A107D">
            <w:r w:rsidRPr="00E73D4B">
              <w:t>Stikkord</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CEEB099" w14:textId="77777777" w:rsidR="00972395" w:rsidRPr="00E73D4B" w:rsidRDefault="00F120C7" w:rsidP="004A107D">
            <w:pPr>
              <w:jc w:val="right"/>
            </w:pPr>
            <w:r w:rsidRPr="00E73D4B">
              <w:t xml:space="preserve">Rapportering </w:t>
            </w:r>
            <w:r w:rsidRPr="00E73D4B">
              <w:br/>
              <w:t xml:space="preserve">avsluttes </w:t>
            </w:r>
            <w:r w:rsidRPr="00E73D4B">
              <w:br/>
              <w:t>(Ja/Nei)</w:t>
            </w:r>
          </w:p>
        </w:tc>
      </w:tr>
      <w:tr w:rsidR="00972395" w:rsidRPr="00E73D4B" w14:paraId="29EC8D61" w14:textId="77777777" w:rsidTr="004A107D">
        <w:trPr>
          <w:trHeight w:val="880"/>
        </w:trPr>
        <w:tc>
          <w:tcPr>
            <w:tcW w:w="1418" w:type="dxa"/>
            <w:tcBorders>
              <w:top w:val="single" w:sz="4" w:space="0" w:color="000000"/>
              <w:left w:val="nil"/>
              <w:bottom w:val="nil"/>
              <w:right w:val="nil"/>
            </w:tcBorders>
            <w:tcMar>
              <w:top w:w="128" w:type="dxa"/>
              <w:left w:w="43" w:type="dxa"/>
              <w:bottom w:w="43" w:type="dxa"/>
              <w:right w:w="43" w:type="dxa"/>
            </w:tcMar>
          </w:tcPr>
          <w:p w14:paraId="48CFFB72" w14:textId="77777777" w:rsidR="00972395" w:rsidRPr="00E73D4B" w:rsidRDefault="00F120C7" w:rsidP="004A107D">
            <w:r w:rsidRPr="00E73D4B">
              <w:t>2021-2022</w:t>
            </w:r>
          </w:p>
        </w:tc>
        <w:tc>
          <w:tcPr>
            <w:tcW w:w="1417" w:type="dxa"/>
            <w:tcBorders>
              <w:top w:val="single" w:sz="4" w:space="0" w:color="000000"/>
              <w:left w:val="nil"/>
              <w:bottom w:val="nil"/>
              <w:right w:val="nil"/>
            </w:tcBorders>
            <w:tcMar>
              <w:top w:w="128" w:type="dxa"/>
              <w:left w:w="43" w:type="dxa"/>
              <w:bottom w:w="43" w:type="dxa"/>
              <w:right w:w="43" w:type="dxa"/>
            </w:tcMar>
          </w:tcPr>
          <w:p w14:paraId="6DEE1F3A" w14:textId="77777777" w:rsidR="00972395" w:rsidRPr="00E73D4B" w:rsidRDefault="00F120C7" w:rsidP="004A107D">
            <w:pPr>
              <w:jc w:val="right"/>
            </w:pPr>
            <w:r w:rsidRPr="00E73D4B">
              <w:t>35. nr. 2</w:t>
            </w:r>
          </w:p>
        </w:tc>
        <w:tc>
          <w:tcPr>
            <w:tcW w:w="4820" w:type="dxa"/>
            <w:tcBorders>
              <w:top w:val="single" w:sz="4" w:space="0" w:color="000000"/>
              <w:left w:val="nil"/>
              <w:bottom w:val="nil"/>
              <w:right w:val="nil"/>
            </w:tcBorders>
            <w:tcMar>
              <w:top w:w="128" w:type="dxa"/>
              <w:left w:w="43" w:type="dxa"/>
              <w:bottom w:w="43" w:type="dxa"/>
              <w:right w:w="43" w:type="dxa"/>
            </w:tcMar>
          </w:tcPr>
          <w:p w14:paraId="6330D39A" w14:textId="77777777" w:rsidR="00972395" w:rsidRPr="00E73D4B" w:rsidRDefault="00F120C7" w:rsidP="004A107D">
            <w:r w:rsidRPr="00E73D4B">
              <w:t>Et tydelig klima- og miljømandat for Eksfin og etablering av et eget program for eksport av norsk, grønn teknologi og kompetanse</w:t>
            </w:r>
          </w:p>
        </w:tc>
        <w:tc>
          <w:tcPr>
            <w:tcW w:w="1545" w:type="dxa"/>
            <w:tcBorders>
              <w:top w:val="single" w:sz="4" w:space="0" w:color="000000"/>
              <w:left w:val="nil"/>
              <w:bottom w:val="nil"/>
              <w:right w:val="nil"/>
            </w:tcBorders>
            <w:tcMar>
              <w:top w:w="128" w:type="dxa"/>
              <w:left w:w="43" w:type="dxa"/>
              <w:bottom w:w="43" w:type="dxa"/>
              <w:right w:w="43" w:type="dxa"/>
            </w:tcMar>
          </w:tcPr>
          <w:p w14:paraId="6332AB90" w14:textId="77777777" w:rsidR="00972395" w:rsidRPr="00E73D4B" w:rsidRDefault="00F120C7" w:rsidP="004A107D">
            <w:pPr>
              <w:jc w:val="right"/>
            </w:pPr>
            <w:r w:rsidRPr="00E73D4B">
              <w:t>Ja</w:t>
            </w:r>
          </w:p>
        </w:tc>
      </w:tr>
      <w:tr w:rsidR="00972395" w:rsidRPr="00E73D4B" w14:paraId="15B80ED5"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72F88273"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42B1692B" w14:textId="77777777" w:rsidR="00972395" w:rsidRPr="00E73D4B" w:rsidRDefault="00F120C7" w:rsidP="004A107D">
            <w:pPr>
              <w:jc w:val="right"/>
            </w:pPr>
            <w:r w:rsidRPr="00E73D4B">
              <w:t>35. nr. 3</w:t>
            </w:r>
          </w:p>
        </w:tc>
        <w:tc>
          <w:tcPr>
            <w:tcW w:w="4820" w:type="dxa"/>
            <w:tcBorders>
              <w:top w:val="nil"/>
              <w:left w:val="nil"/>
              <w:bottom w:val="nil"/>
              <w:right w:val="nil"/>
            </w:tcBorders>
            <w:tcMar>
              <w:top w:w="128" w:type="dxa"/>
              <w:left w:w="43" w:type="dxa"/>
              <w:bottom w:w="43" w:type="dxa"/>
              <w:right w:w="43" w:type="dxa"/>
            </w:tcMar>
          </w:tcPr>
          <w:p w14:paraId="2B1C65F9" w14:textId="77777777" w:rsidR="00972395" w:rsidRPr="00E73D4B" w:rsidRDefault="00F120C7" w:rsidP="004A107D">
            <w:r w:rsidRPr="00E73D4B">
              <w:t>Investeringer i presåkornfasen</w:t>
            </w:r>
          </w:p>
        </w:tc>
        <w:tc>
          <w:tcPr>
            <w:tcW w:w="1545" w:type="dxa"/>
            <w:tcBorders>
              <w:top w:val="nil"/>
              <w:left w:val="nil"/>
              <w:bottom w:val="nil"/>
              <w:right w:val="nil"/>
            </w:tcBorders>
            <w:tcMar>
              <w:top w:w="128" w:type="dxa"/>
              <w:left w:w="43" w:type="dxa"/>
              <w:bottom w:w="43" w:type="dxa"/>
              <w:right w:w="43" w:type="dxa"/>
            </w:tcMar>
          </w:tcPr>
          <w:p w14:paraId="7B80C2A4" w14:textId="77777777" w:rsidR="00972395" w:rsidRPr="00E73D4B" w:rsidRDefault="00F120C7" w:rsidP="004A107D">
            <w:pPr>
              <w:jc w:val="right"/>
            </w:pPr>
            <w:r w:rsidRPr="00E73D4B">
              <w:t>Ja</w:t>
            </w:r>
          </w:p>
        </w:tc>
      </w:tr>
      <w:tr w:rsidR="00972395" w:rsidRPr="00E73D4B" w14:paraId="450AF717"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511DC197"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7D98B13E" w14:textId="77777777" w:rsidR="00972395" w:rsidRPr="00E73D4B" w:rsidRDefault="00F120C7" w:rsidP="004A107D">
            <w:pPr>
              <w:jc w:val="right"/>
            </w:pPr>
            <w:r w:rsidRPr="00E73D4B">
              <w:t>35. nr. 12</w:t>
            </w:r>
          </w:p>
        </w:tc>
        <w:tc>
          <w:tcPr>
            <w:tcW w:w="4820" w:type="dxa"/>
            <w:tcBorders>
              <w:top w:val="nil"/>
              <w:left w:val="nil"/>
              <w:bottom w:val="nil"/>
              <w:right w:val="nil"/>
            </w:tcBorders>
            <w:tcMar>
              <w:top w:w="128" w:type="dxa"/>
              <w:left w:w="43" w:type="dxa"/>
              <w:bottom w:w="43" w:type="dxa"/>
              <w:right w:w="43" w:type="dxa"/>
            </w:tcMar>
          </w:tcPr>
          <w:p w14:paraId="65D48D3C" w14:textId="77777777" w:rsidR="00972395" w:rsidRPr="00E73D4B" w:rsidRDefault="00F120C7" w:rsidP="004A107D">
            <w:proofErr w:type="spellStart"/>
            <w:r w:rsidRPr="00E73D4B">
              <w:t>Nullutslippløsninger</w:t>
            </w:r>
            <w:proofErr w:type="spellEnd"/>
            <w:r w:rsidRPr="00E73D4B">
              <w:t xml:space="preserve"> for servicefartøy i havbruksnæringen</w:t>
            </w:r>
          </w:p>
        </w:tc>
        <w:tc>
          <w:tcPr>
            <w:tcW w:w="1545" w:type="dxa"/>
            <w:tcBorders>
              <w:top w:val="nil"/>
              <w:left w:val="nil"/>
              <w:bottom w:val="nil"/>
              <w:right w:val="nil"/>
            </w:tcBorders>
            <w:tcMar>
              <w:top w:w="128" w:type="dxa"/>
              <w:left w:w="43" w:type="dxa"/>
              <w:bottom w:w="43" w:type="dxa"/>
              <w:right w:w="43" w:type="dxa"/>
            </w:tcMar>
          </w:tcPr>
          <w:p w14:paraId="263B1E6D" w14:textId="77777777" w:rsidR="00972395" w:rsidRPr="00E73D4B" w:rsidRDefault="00F120C7" w:rsidP="004A107D">
            <w:pPr>
              <w:jc w:val="right"/>
            </w:pPr>
            <w:r w:rsidRPr="00E73D4B">
              <w:t>Nei</w:t>
            </w:r>
          </w:p>
        </w:tc>
      </w:tr>
      <w:tr w:rsidR="00972395" w:rsidRPr="00E73D4B" w14:paraId="64B81474"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50B60FBC"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73868C17" w14:textId="77777777" w:rsidR="00972395" w:rsidRPr="00E73D4B" w:rsidRDefault="00F120C7" w:rsidP="004A107D">
            <w:pPr>
              <w:jc w:val="right"/>
            </w:pPr>
            <w:r w:rsidRPr="00E73D4B">
              <w:t>35. nr. 57</w:t>
            </w:r>
          </w:p>
        </w:tc>
        <w:tc>
          <w:tcPr>
            <w:tcW w:w="4820" w:type="dxa"/>
            <w:tcBorders>
              <w:top w:val="nil"/>
              <w:left w:val="nil"/>
              <w:bottom w:val="nil"/>
              <w:right w:val="nil"/>
            </w:tcBorders>
            <w:tcMar>
              <w:top w:w="128" w:type="dxa"/>
              <w:left w:w="43" w:type="dxa"/>
              <w:bottom w:w="43" w:type="dxa"/>
              <w:right w:w="43" w:type="dxa"/>
            </w:tcMar>
          </w:tcPr>
          <w:p w14:paraId="0BB944AC" w14:textId="77777777" w:rsidR="00972395" w:rsidRPr="00E73D4B" w:rsidRDefault="00F120C7" w:rsidP="004A107D">
            <w:r w:rsidRPr="00E73D4B">
              <w:t>Opprettholde aktivitetskrav i kongekrabbefiske</w:t>
            </w:r>
          </w:p>
        </w:tc>
        <w:tc>
          <w:tcPr>
            <w:tcW w:w="1545" w:type="dxa"/>
            <w:tcBorders>
              <w:top w:val="nil"/>
              <w:left w:val="nil"/>
              <w:bottom w:val="nil"/>
              <w:right w:val="nil"/>
            </w:tcBorders>
            <w:tcMar>
              <w:top w:w="128" w:type="dxa"/>
              <w:left w:w="43" w:type="dxa"/>
              <w:bottom w:w="43" w:type="dxa"/>
              <w:right w:w="43" w:type="dxa"/>
            </w:tcMar>
          </w:tcPr>
          <w:p w14:paraId="5D8C26C4" w14:textId="77777777" w:rsidR="00972395" w:rsidRPr="00E73D4B" w:rsidRDefault="00F120C7" w:rsidP="004A107D">
            <w:pPr>
              <w:jc w:val="right"/>
            </w:pPr>
            <w:r w:rsidRPr="00E73D4B">
              <w:t>Ja</w:t>
            </w:r>
          </w:p>
        </w:tc>
      </w:tr>
      <w:tr w:rsidR="00972395" w:rsidRPr="00E73D4B" w14:paraId="74E15670"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04F58B86"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5AF63DF0" w14:textId="77777777" w:rsidR="00972395" w:rsidRPr="00E73D4B" w:rsidRDefault="00F120C7" w:rsidP="004A107D">
            <w:pPr>
              <w:jc w:val="right"/>
            </w:pPr>
            <w:r w:rsidRPr="00E73D4B">
              <w:t>35. nr. 58</w:t>
            </w:r>
          </w:p>
        </w:tc>
        <w:tc>
          <w:tcPr>
            <w:tcW w:w="4820" w:type="dxa"/>
            <w:tcBorders>
              <w:top w:val="nil"/>
              <w:left w:val="nil"/>
              <w:bottom w:val="nil"/>
              <w:right w:val="nil"/>
            </w:tcBorders>
            <w:tcMar>
              <w:top w:w="128" w:type="dxa"/>
              <w:left w:w="43" w:type="dxa"/>
              <w:bottom w:w="43" w:type="dxa"/>
              <w:right w:w="43" w:type="dxa"/>
            </w:tcMar>
          </w:tcPr>
          <w:p w14:paraId="33B30B1C" w14:textId="77777777" w:rsidR="00972395" w:rsidRPr="00E73D4B" w:rsidRDefault="00F120C7" w:rsidP="004A107D">
            <w:proofErr w:type="spellStart"/>
            <w:r w:rsidRPr="00E73D4B">
              <w:t>Søknadsbaset</w:t>
            </w:r>
            <w:proofErr w:type="spellEnd"/>
            <w:r w:rsidRPr="00E73D4B">
              <w:t xml:space="preserve"> tilskuddsordning for ungdomsfiske</w:t>
            </w:r>
          </w:p>
        </w:tc>
        <w:tc>
          <w:tcPr>
            <w:tcW w:w="1545" w:type="dxa"/>
            <w:tcBorders>
              <w:top w:val="nil"/>
              <w:left w:val="nil"/>
              <w:bottom w:val="nil"/>
              <w:right w:val="nil"/>
            </w:tcBorders>
            <w:tcMar>
              <w:top w:w="128" w:type="dxa"/>
              <w:left w:w="43" w:type="dxa"/>
              <w:bottom w:w="43" w:type="dxa"/>
              <w:right w:w="43" w:type="dxa"/>
            </w:tcMar>
          </w:tcPr>
          <w:p w14:paraId="76BE12BA" w14:textId="77777777" w:rsidR="00972395" w:rsidRPr="00E73D4B" w:rsidRDefault="00F120C7" w:rsidP="004A107D">
            <w:pPr>
              <w:jc w:val="right"/>
            </w:pPr>
            <w:r w:rsidRPr="00E73D4B">
              <w:t>Ja</w:t>
            </w:r>
          </w:p>
        </w:tc>
      </w:tr>
      <w:tr w:rsidR="00972395" w:rsidRPr="00E73D4B" w14:paraId="592A0305"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03BE040C"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2BADEF7E" w14:textId="77777777" w:rsidR="00972395" w:rsidRPr="00E73D4B" w:rsidRDefault="00F120C7" w:rsidP="004A107D">
            <w:pPr>
              <w:jc w:val="right"/>
            </w:pPr>
            <w:r w:rsidRPr="00E73D4B">
              <w:t>481</w:t>
            </w:r>
          </w:p>
        </w:tc>
        <w:tc>
          <w:tcPr>
            <w:tcW w:w="4820" w:type="dxa"/>
            <w:tcBorders>
              <w:top w:val="nil"/>
              <w:left w:val="nil"/>
              <w:bottom w:val="nil"/>
              <w:right w:val="nil"/>
            </w:tcBorders>
            <w:tcMar>
              <w:top w:w="128" w:type="dxa"/>
              <w:left w:w="43" w:type="dxa"/>
              <w:bottom w:w="43" w:type="dxa"/>
              <w:right w:w="43" w:type="dxa"/>
            </w:tcMar>
          </w:tcPr>
          <w:p w14:paraId="4AC971EA" w14:textId="77777777" w:rsidR="00972395" w:rsidRPr="00E73D4B" w:rsidRDefault="00F120C7" w:rsidP="004A107D">
            <w:r w:rsidRPr="00E73D4B">
              <w:t>Nullvisjon for næringer til havs</w:t>
            </w:r>
          </w:p>
        </w:tc>
        <w:tc>
          <w:tcPr>
            <w:tcW w:w="1545" w:type="dxa"/>
            <w:tcBorders>
              <w:top w:val="nil"/>
              <w:left w:val="nil"/>
              <w:bottom w:val="nil"/>
              <w:right w:val="nil"/>
            </w:tcBorders>
            <w:tcMar>
              <w:top w:w="128" w:type="dxa"/>
              <w:left w:w="43" w:type="dxa"/>
              <w:bottom w:w="43" w:type="dxa"/>
              <w:right w:w="43" w:type="dxa"/>
            </w:tcMar>
          </w:tcPr>
          <w:p w14:paraId="2D24003E" w14:textId="77777777" w:rsidR="00972395" w:rsidRPr="00E73D4B" w:rsidRDefault="00F120C7" w:rsidP="004A107D">
            <w:pPr>
              <w:jc w:val="right"/>
            </w:pPr>
            <w:r w:rsidRPr="00E73D4B">
              <w:t>Nei</w:t>
            </w:r>
          </w:p>
        </w:tc>
      </w:tr>
      <w:tr w:rsidR="00972395" w:rsidRPr="00E73D4B" w14:paraId="56879DBC"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3BC2AF02"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36C0B18D" w14:textId="77777777" w:rsidR="00972395" w:rsidRPr="00E73D4B" w:rsidRDefault="00F120C7" w:rsidP="004A107D">
            <w:pPr>
              <w:jc w:val="right"/>
            </w:pPr>
            <w:r w:rsidRPr="00E73D4B">
              <w:t>498</w:t>
            </w:r>
          </w:p>
        </w:tc>
        <w:tc>
          <w:tcPr>
            <w:tcW w:w="4820" w:type="dxa"/>
            <w:tcBorders>
              <w:top w:val="nil"/>
              <w:left w:val="nil"/>
              <w:bottom w:val="nil"/>
              <w:right w:val="nil"/>
            </w:tcBorders>
            <w:tcMar>
              <w:top w:w="128" w:type="dxa"/>
              <w:left w:w="43" w:type="dxa"/>
              <w:bottom w:w="43" w:type="dxa"/>
              <w:right w:w="43" w:type="dxa"/>
            </w:tcMar>
          </w:tcPr>
          <w:p w14:paraId="19682F30" w14:textId="77777777" w:rsidR="00972395" w:rsidRPr="00E73D4B" w:rsidRDefault="00F120C7" w:rsidP="004A107D">
            <w:r w:rsidRPr="00E73D4B">
              <w:t>Finnmarksløpet</w:t>
            </w:r>
          </w:p>
        </w:tc>
        <w:tc>
          <w:tcPr>
            <w:tcW w:w="1545" w:type="dxa"/>
            <w:tcBorders>
              <w:top w:val="nil"/>
              <w:left w:val="nil"/>
              <w:bottom w:val="nil"/>
              <w:right w:val="nil"/>
            </w:tcBorders>
            <w:tcMar>
              <w:top w:w="128" w:type="dxa"/>
              <w:left w:w="43" w:type="dxa"/>
              <w:bottom w:w="43" w:type="dxa"/>
              <w:right w:w="43" w:type="dxa"/>
            </w:tcMar>
          </w:tcPr>
          <w:p w14:paraId="4CE70A6C" w14:textId="77777777" w:rsidR="00972395" w:rsidRPr="00E73D4B" w:rsidRDefault="00F120C7" w:rsidP="004A107D">
            <w:pPr>
              <w:jc w:val="right"/>
            </w:pPr>
            <w:r w:rsidRPr="00E73D4B">
              <w:t>Ja</w:t>
            </w:r>
          </w:p>
        </w:tc>
      </w:tr>
      <w:tr w:rsidR="00972395" w:rsidRPr="00E73D4B" w14:paraId="5D66C43F"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2BBB2099"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44DE4541" w14:textId="77777777" w:rsidR="00972395" w:rsidRPr="00E73D4B" w:rsidRDefault="00F120C7" w:rsidP="004A107D">
            <w:pPr>
              <w:jc w:val="right"/>
            </w:pPr>
            <w:r w:rsidRPr="00E73D4B">
              <w:t>562</w:t>
            </w:r>
          </w:p>
        </w:tc>
        <w:tc>
          <w:tcPr>
            <w:tcW w:w="4820" w:type="dxa"/>
            <w:tcBorders>
              <w:top w:val="nil"/>
              <w:left w:val="nil"/>
              <w:bottom w:val="nil"/>
              <w:right w:val="nil"/>
            </w:tcBorders>
            <w:tcMar>
              <w:top w:w="128" w:type="dxa"/>
              <w:left w:w="43" w:type="dxa"/>
              <w:bottom w:w="43" w:type="dxa"/>
              <w:right w:w="43" w:type="dxa"/>
            </w:tcMar>
          </w:tcPr>
          <w:p w14:paraId="1E13A6E2" w14:textId="77777777" w:rsidR="00972395" w:rsidRPr="00E73D4B" w:rsidRDefault="00F120C7" w:rsidP="004A107D">
            <w:r w:rsidRPr="00E73D4B">
              <w:t>Grensekryssende fiske i Skagerrak</w:t>
            </w:r>
          </w:p>
        </w:tc>
        <w:tc>
          <w:tcPr>
            <w:tcW w:w="1545" w:type="dxa"/>
            <w:tcBorders>
              <w:top w:val="nil"/>
              <w:left w:val="nil"/>
              <w:bottom w:val="nil"/>
              <w:right w:val="nil"/>
            </w:tcBorders>
            <w:tcMar>
              <w:top w:w="128" w:type="dxa"/>
              <w:left w:w="43" w:type="dxa"/>
              <w:bottom w:w="43" w:type="dxa"/>
              <w:right w:w="43" w:type="dxa"/>
            </w:tcMar>
          </w:tcPr>
          <w:p w14:paraId="72F5DE87" w14:textId="77777777" w:rsidR="00972395" w:rsidRPr="00E73D4B" w:rsidRDefault="00F120C7" w:rsidP="004A107D">
            <w:pPr>
              <w:jc w:val="right"/>
            </w:pPr>
            <w:r w:rsidRPr="00E73D4B">
              <w:t>Nei</w:t>
            </w:r>
          </w:p>
        </w:tc>
      </w:tr>
      <w:tr w:rsidR="00972395" w:rsidRPr="00E73D4B" w14:paraId="083F9B8A"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4A83919B"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3475D6A7" w14:textId="77777777" w:rsidR="00972395" w:rsidRPr="00E73D4B" w:rsidRDefault="00F120C7" w:rsidP="004A107D">
            <w:pPr>
              <w:jc w:val="right"/>
            </w:pPr>
            <w:r w:rsidRPr="00E73D4B">
              <w:t>601</w:t>
            </w:r>
          </w:p>
        </w:tc>
        <w:tc>
          <w:tcPr>
            <w:tcW w:w="4820" w:type="dxa"/>
            <w:tcBorders>
              <w:top w:val="nil"/>
              <w:left w:val="nil"/>
              <w:bottom w:val="nil"/>
              <w:right w:val="nil"/>
            </w:tcBorders>
            <w:tcMar>
              <w:top w:w="128" w:type="dxa"/>
              <w:left w:w="43" w:type="dxa"/>
              <w:bottom w:w="43" w:type="dxa"/>
              <w:right w:w="43" w:type="dxa"/>
            </w:tcMar>
          </w:tcPr>
          <w:p w14:paraId="27B89B5D" w14:textId="77777777" w:rsidR="00972395" w:rsidRPr="00E73D4B" w:rsidRDefault="00F120C7" w:rsidP="004A107D">
            <w:r w:rsidRPr="00E73D4B">
              <w:t>Dagligvare – hvordan aktører uten stor kapitaltilgang kan få innpass</w:t>
            </w:r>
          </w:p>
        </w:tc>
        <w:tc>
          <w:tcPr>
            <w:tcW w:w="1545" w:type="dxa"/>
            <w:tcBorders>
              <w:top w:val="nil"/>
              <w:left w:val="nil"/>
              <w:bottom w:val="nil"/>
              <w:right w:val="nil"/>
            </w:tcBorders>
            <w:tcMar>
              <w:top w:w="128" w:type="dxa"/>
              <w:left w:w="43" w:type="dxa"/>
              <w:bottom w:w="43" w:type="dxa"/>
              <w:right w:w="43" w:type="dxa"/>
            </w:tcMar>
          </w:tcPr>
          <w:p w14:paraId="702CF854" w14:textId="77777777" w:rsidR="00972395" w:rsidRPr="00E73D4B" w:rsidRDefault="00F120C7" w:rsidP="004A107D">
            <w:pPr>
              <w:jc w:val="right"/>
            </w:pPr>
            <w:r w:rsidRPr="00E73D4B">
              <w:t>Nei</w:t>
            </w:r>
          </w:p>
        </w:tc>
      </w:tr>
      <w:tr w:rsidR="00972395" w:rsidRPr="00E73D4B" w14:paraId="5E0DD02A"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0B3EBBB4"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00B38F35" w14:textId="77777777" w:rsidR="00972395" w:rsidRPr="00E73D4B" w:rsidRDefault="00F120C7" w:rsidP="004A107D">
            <w:pPr>
              <w:jc w:val="right"/>
            </w:pPr>
            <w:r w:rsidRPr="00E73D4B">
              <w:t>602</w:t>
            </w:r>
          </w:p>
        </w:tc>
        <w:tc>
          <w:tcPr>
            <w:tcW w:w="4820" w:type="dxa"/>
            <w:tcBorders>
              <w:top w:val="nil"/>
              <w:left w:val="nil"/>
              <w:bottom w:val="nil"/>
              <w:right w:val="nil"/>
            </w:tcBorders>
            <w:tcMar>
              <w:top w:w="128" w:type="dxa"/>
              <w:left w:w="43" w:type="dxa"/>
              <w:bottom w:w="43" w:type="dxa"/>
              <w:right w:w="43" w:type="dxa"/>
            </w:tcMar>
          </w:tcPr>
          <w:p w14:paraId="03899B2E" w14:textId="77777777" w:rsidR="00972395" w:rsidRPr="00E73D4B" w:rsidRDefault="00F120C7" w:rsidP="004A107D">
            <w:r w:rsidRPr="00E73D4B">
              <w:t>Dagligvare – rettferdig andel av verdiskapinga i verdikjeden for mat</w:t>
            </w:r>
          </w:p>
        </w:tc>
        <w:tc>
          <w:tcPr>
            <w:tcW w:w="1545" w:type="dxa"/>
            <w:tcBorders>
              <w:top w:val="nil"/>
              <w:left w:val="nil"/>
              <w:bottom w:val="nil"/>
              <w:right w:val="nil"/>
            </w:tcBorders>
            <w:tcMar>
              <w:top w:w="128" w:type="dxa"/>
              <w:left w:w="43" w:type="dxa"/>
              <w:bottom w:w="43" w:type="dxa"/>
              <w:right w:w="43" w:type="dxa"/>
            </w:tcMar>
          </w:tcPr>
          <w:p w14:paraId="5112ECA8" w14:textId="77777777" w:rsidR="00972395" w:rsidRPr="00E73D4B" w:rsidRDefault="00F120C7" w:rsidP="004A107D">
            <w:pPr>
              <w:jc w:val="right"/>
            </w:pPr>
            <w:r w:rsidRPr="00E73D4B">
              <w:t>Nei</w:t>
            </w:r>
          </w:p>
        </w:tc>
      </w:tr>
      <w:tr w:rsidR="00972395" w:rsidRPr="00E73D4B" w14:paraId="6E3A6477"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52F7C1C2"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05D11BE7" w14:textId="77777777" w:rsidR="00972395" w:rsidRPr="00E73D4B" w:rsidRDefault="00F120C7" w:rsidP="004A107D">
            <w:pPr>
              <w:jc w:val="right"/>
            </w:pPr>
            <w:r w:rsidRPr="00E73D4B">
              <w:t>603</w:t>
            </w:r>
          </w:p>
        </w:tc>
        <w:tc>
          <w:tcPr>
            <w:tcW w:w="4820" w:type="dxa"/>
            <w:tcBorders>
              <w:top w:val="nil"/>
              <w:left w:val="nil"/>
              <w:bottom w:val="nil"/>
              <w:right w:val="nil"/>
            </w:tcBorders>
            <w:tcMar>
              <w:top w:w="128" w:type="dxa"/>
              <w:left w:w="43" w:type="dxa"/>
              <w:bottom w:w="43" w:type="dxa"/>
              <w:right w:w="43" w:type="dxa"/>
            </w:tcMar>
          </w:tcPr>
          <w:p w14:paraId="42281A06" w14:textId="77777777" w:rsidR="00972395" w:rsidRPr="00E73D4B" w:rsidRDefault="00F120C7" w:rsidP="004A107D">
            <w:r w:rsidRPr="00E73D4B">
              <w:t>Dagligvare – usaklig forskjell i innkjøpsbetingelser</w:t>
            </w:r>
          </w:p>
        </w:tc>
        <w:tc>
          <w:tcPr>
            <w:tcW w:w="1545" w:type="dxa"/>
            <w:tcBorders>
              <w:top w:val="nil"/>
              <w:left w:val="nil"/>
              <w:bottom w:val="nil"/>
              <w:right w:val="nil"/>
            </w:tcBorders>
            <w:tcMar>
              <w:top w:w="128" w:type="dxa"/>
              <w:left w:w="43" w:type="dxa"/>
              <w:bottom w:w="43" w:type="dxa"/>
              <w:right w:w="43" w:type="dxa"/>
            </w:tcMar>
          </w:tcPr>
          <w:p w14:paraId="177B3F5C" w14:textId="77777777" w:rsidR="00972395" w:rsidRPr="00E73D4B" w:rsidRDefault="00F120C7" w:rsidP="004A107D">
            <w:pPr>
              <w:jc w:val="right"/>
            </w:pPr>
            <w:r w:rsidRPr="00E73D4B">
              <w:t>Ja</w:t>
            </w:r>
          </w:p>
        </w:tc>
      </w:tr>
      <w:tr w:rsidR="00972395" w:rsidRPr="00E73D4B" w14:paraId="1FD1E66F"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512D2456"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4BD7E1DD" w14:textId="77777777" w:rsidR="00972395" w:rsidRPr="00E73D4B" w:rsidRDefault="00F120C7" w:rsidP="004A107D">
            <w:pPr>
              <w:jc w:val="right"/>
            </w:pPr>
            <w:r w:rsidRPr="00E73D4B">
              <w:t>604</w:t>
            </w:r>
          </w:p>
        </w:tc>
        <w:tc>
          <w:tcPr>
            <w:tcW w:w="4820" w:type="dxa"/>
            <w:tcBorders>
              <w:top w:val="nil"/>
              <w:left w:val="nil"/>
              <w:bottom w:val="nil"/>
              <w:right w:val="nil"/>
            </w:tcBorders>
            <w:tcMar>
              <w:top w:w="128" w:type="dxa"/>
              <w:left w:w="43" w:type="dxa"/>
              <w:bottom w:w="43" w:type="dxa"/>
              <w:right w:w="43" w:type="dxa"/>
            </w:tcMar>
          </w:tcPr>
          <w:p w14:paraId="3400C755" w14:textId="77777777" w:rsidR="00972395" w:rsidRPr="00E73D4B" w:rsidRDefault="00F120C7" w:rsidP="004A107D">
            <w:r w:rsidRPr="00E73D4B">
              <w:t>Dagligvare – vurdere terskelen for dominans i dagligvaremarkedet</w:t>
            </w:r>
          </w:p>
        </w:tc>
        <w:tc>
          <w:tcPr>
            <w:tcW w:w="1545" w:type="dxa"/>
            <w:tcBorders>
              <w:top w:val="nil"/>
              <w:left w:val="nil"/>
              <w:bottom w:val="nil"/>
              <w:right w:val="nil"/>
            </w:tcBorders>
            <w:tcMar>
              <w:top w:w="128" w:type="dxa"/>
              <w:left w:w="43" w:type="dxa"/>
              <w:bottom w:w="43" w:type="dxa"/>
              <w:right w:w="43" w:type="dxa"/>
            </w:tcMar>
          </w:tcPr>
          <w:p w14:paraId="1CEBDEE0" w14:textId="77777777" w:rsidR="00972395" w:rsidRPr="00E73D4B" w:rsidRDefault="00F120C7" w:rsidP="004A107D">
            <w:pPr>
              <w:jc w:val="right"/>
            </w:pPr>
            <w:r w:rsidRPr="00E73D4B">
              <w:t>Ja</w:t>
            </w:r>
          </w:p>
        </w:tc>
      </w:tr>
      <w:tr w:rsidR="00972395" w:rsidRPr="00E73D4B" w14:paraId="45C50D58"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5281E67F"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5C747C7D" w14:textId="77777777" w:rsidR="00972395" w:rsidRPr="00E73D4B" w:rsidRDefault="00F120C7" w:rsidP="004A107D">
            <w:pPr>
              <w:jc w:val="right"/>
            </w:pPr>
            <w:r w:rsidRPr="00E73D4B">
              <w:t>605</w:t>
            </w:r>
          </w:p>
        </w:tc>
        <w:tc>
          <w:tcPr>
            <w:tcW w:w="4820" w:type="dxa"/>
            <w:tcBorders>
              <w:top w:val="nil"/>
              <w:left w:val="nil"/>
              <w:bottom w:val="nil"/>
              <w:right w:val="nil"/>
            </w:tcBorders>
            <w:tcMar>
              <w:top w:w="128" w:type="dxa"/>
              <w:left w:w="43" w:type="dxa"/>
              <w:bottom w:w="43" w:type="dxa"/>
              <w:right w:w="43" w:type="dxa"/>
            </w:tcMar>
          </w:tcPr>
          <w:p w14:paraId="7BD8A5E4" w14:textId="77777777" w:rsidR="00972395" w:rsidRPr="00E73D4B" w:rsidRDefault="00F120C7" w:rsidP="004A107D">
            <w:r w:rsidRPr="00E73D4B">
              <w:t>Dagligvare – ytterligere konkurransefremmende tiltak</w:t>
            </w:r>
          </w:p>
        </w:tc>
        <w:tc>
          <w:tcPr>
            <w:tcW w:w="1545" w:type="dxa"/>
            <w:tcBorders>
              <w:top w:val="nil"/>
              <w:left w:val="nil"/>
              <w:bottom w:val="nil"/>
              <w:right w:val="nil"/>
            </w:tcBorders>
            <w:tcMar>
              <w:top w:w="128" w:type="dxa"/>
              <w:left w:w="43" w:type="dxa"/>
              <w:bottom w:w="43" w:type="dxa"/>
              <w:right w:w="43" w:type="dxa"/>
            </w:tcMar>
          </w:tcPr>
          <w:p w14:paraId="41611DE7" w14:textId="77777777" w:rsidR="00972395" w:rsidRPr="00E73D4B" w:rsidRDefault="00F120C7" w:rsidP="004A107D">
            <w:pPr>
              <w:jc w:val="right"/>
            </w:pPr>
            <w:r w:rsidRPr="00E73D4B">
              <w:t>Ja</w:t>
            </w:r>
          </w:p>
        </w:tc>
      </w:tr>
      <w:tr w:rsidR="00972395" w:rsidRPr="00E73D4B" w14:paraId="6A4408F6"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339DCE6C"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4804DCD3" w14:textId="77777777" w:rsidR="00972395" w:rsidRPr="00E73D4B" w:rsidRDefault="00F120C7" w:rsidP="004A107D">
            <w:pPr>
              <w:jc w:val="right"/>
            </w:pPr>
            <w:r w:rsidRPr="00E73D4B">
              <w:t>606</w:t>
            </w:r>
          </w:p>
        </w:tc>
        <w:tc>
          <w:tcPr>
            <w:tcW w:w="4820" w:type="dxa"/>
            <w:tcBorders>
              <w:top w:val="nil"/>
              <w:left w:val="nil"/>
              <w:bottom w:val="nil"/>
              <w:right w:val="nil"/>
            </w:tcBorders>
            <w:tcMar>
              <w:top w:w="128" w:type="dxa"/>
              <w:left w:w="43" w:type="dxa"/>
              <w:bottom w:w="43" w:type="dxa"/>
              <w:right w:w="43" w:type="dxa"/>
            </w:tcMar>
          </w:tcPr>
          <w:p w14:paraId="7D987173" w14:textId="77777777" w:rsidR="00972395" w:rsidRPr="00E73D4B" w:rsidRDefault="00F120C7" w:rsidP="004A107D">
            <w:r w:rsidRPr="00E73D4B">
              <w:t>Dagligvare – felles merkeordning for kjedenes egne merkevarer (EMV)</w:t>
            </w:r>
          </w:p>
        </w:tc>
        <w:tc>
          <w:tcPr>
            <w:tcW w:w="1545" w:type="dxa"/>
            <w:tcBorders>
              <w:top w:val="nil"/>
              <w:left w:val="nil"/>
              <w:bottom w:val="nil"/>
              <w:right w:val="nil"/>
            </w:tcBorders>
            <w:tcMar>
              <w:top w:w="128" w:type="dxa"/>
              <w:left w:w="43" w:type="dxa"/>
              <w:bottom w:w="43" w:type="dxa"/>
              <w:right w:w="43" w:type="dxa"/>
            </w:tcMar>
          </w:tcPr>
          <w:p w14:paraId="5C455112" w14:textId="77777777" w:rsidR="00972395" w:rsidRPr="00E73D4B" w:rsidRDefault="00F120C7" w:rsidP="004A107D">
            <w:pPr>
              <w:jc w:val="right"/>
            </w:pPr>
            <w:r w:rsidRPr="00E73D4B">
              <w:t>Nei</w:t>
            </w:r>
          </w:p>
        </w:tc>
      </w:tr>
      <w:tr w:rsidR="00972395" w:rsidRPr="00E73D4B" w14:paraId="1D71835A"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4F18B502"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01E5004C" w14:textId="77777777" w:rsidR="00972395" w:rsidRPr="00E73D4B" w:rsidRDefault="00F120C7" w:rsidP="004A107D">
            <w:pPr>
              <w:jc w:val="right"/>
            </w:pPr>
            <w:r w:rsidRPr="00E73D4B">
              <w:t>607</w:t>
            </w:r>
          </w:p>
        </w:tc>
        <w:tc>
          <w:tcPr>
            <w:tcW w:w="4820" w:type="dxa"/>
            <w:tcBorders>
              <w:top w:val="nil"/>
              <w:left w:val="nil"/>
              <w:bottom w:val="nil"/>
              <w:right w:val="nil"/>
            </w:tcBorders>
            <w:tcMar>
              <w:top w:w="128" w:type="dxa"/>
              <w:left w:w="43" w:type="dxa"/>
              <w:bottom w:w="43" w:type="dxa"/>
              <w:right w:w="43" w:type="dxa"/>
            </w:tcMar>
          </w:tcPr>
          <w:p w14:paraId="49490CAB" w14:textId="77777777" w:rsidR="00972395" w:rsidRPr="00E73D4B" w:rsidRDefault="00F120C7" w:rsidP="004A107D">
            <w:r w:rsidRPr="00E73D4B">
              <w:t>Dagligvare – utrede virkningene av egne merkevarer på konkurransesituasjonen</w:t>
            </w:r>
          </w:p>
        </w:tc>
        <w:tc>
          <w:tcPr>
            <w:tcW w:w="1545" w:type="dxa"/>
            <w:tcBorders>
              <w:top w:val="nil"/>
              <w:left w:val="nil"/>
              <w:bottom w:val="nil"/>
              <w:right w:val="nil"/>
            </w:tcBorders>
            <w:tcMar>
              <w:top w:w="128" w:type="dxa"/>
              <w:left w:w="43" w:type="dxa"/>
              <w:bottom w:w="43" w:type="dxa"/>
              <w:right w:w="43" w:type="dxa"/>
            </w:tcMar>
          </w:tcPr>
          <w:p w14:paraId="1277EAA5" w14:textId="77777777" w:rsidR="00972395" w:rsidRPr="00E73D4B" w:rsidRDefault="00F120C7" w:rsidP="004A107D">
            <w:pPr>
              <w:jc w:val="right"/>
            </w:pPr>
            <w:r w:rsidRPr="00E73D4B">
              <w:t>Nei</w:t>
            </w:r>
          </w:p>
        </w:tc>
      </w:tr>
      <w:tr w:rsidR="00972395" w:rsidRPr="00E73D4B" w14:paraId="0D2E4291"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26C8CB25"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00260DCE" w14:textId="77777777" w:rsidR="00972395" w:rsidRPr="00E73D4B" w:rsidRDefault="00F120C7" w:rsidP="004A107D">
            <w:pPr>
              <w:jc w:val="right"/>
            </w:pPr>
            <w:r w:rsidRPr="00E73D4B">
              <w:t>608</w:t>
            </w:r>
          </w:p>
        </w:tc>
        <w:tc>
          <w:tcPr>
            <w:tcW w:w="4820" w:type="dxa"/>
            <w:tcBorders>
              <w:top w:val="nil"/>
              <w:left w:val="nil"/>
              <w:bottom w:val="nil"/>
              <w:right w:val="nil"/>
            </w:tcBorders>
            <w:tcMar>
              <w:top w:w="128" w:type="dxa"/>
              <w:left w:w="43" w:type="dxa"/>
              <w:bottom w:w="43" w:type="dxa"/>
              <w:right w:w="43" w:type="dxa"/>
            </w:tcMar>
          </w:tcPr>
          <w:p w14:paraId="4EEC56A0" w14:textId="77777777" w:rsidR="00972395" w:rsidRPr="00E73D4B" w:rsidRDefault="00F120C7" w:rsidP="004A107D">
            <w:r w:rsidRPr="00E73D4B">
              <w:t>Dagligvare – vertikal integrasjon og egne merkevarer i dagligvarebransjen</w:t>
            </w:r>
          </w:p>
        </w:tc>
        <w:tc>
          <w:tcPr>
            <w:tcW w:w="1545" w:type="dxa"/>
            <w:tcBorders>
              <w:top w:val="nil"/>
              <w:left w:val="nil"/>
              <w:bottom w:val="nil"/>
              <w:right w:val="nil"/>
            </w:tcBorders>
            <w:tcMar>
              <w:top w:w="128" w:type="dxa"/>
              <w:left w:w="43" w:type="dxa"/>
              <w:bottom w:w="43" w:type="dxa"/>
              <w:right w:w="43" w:type="dxa"/>
            </w:tcMar>
          </w:tcPr>
          <w:p w14:paraId="5BC41A35" w14:textId="77777777" w:rsidR="00972395" w:rsidRPr="00E73D4B" w:rsidRDefault="00F120C7" w:rsidP="004A107D">
            <w:pPr>
              <w:jc w:val="right"/>
            </w:pPr>
            <w:r w:rsidRPr="00E73D4B">
              <w:t>Nei</w:t>
            </w:r>
          </w:p>
        </w:tc>
      </w:tr>
      <w:tr w:rsidR="00972395" w:rsidRPr="00E73D4B" w14:paraId="49813865"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42BC69F3"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51396EBC" w14:textId="77777777" w:rsidR="00972395" w:rsidRPr="00E73D4B" w:rsidRDefault="00F120C7" w:rsidP="004A107D">
            <w:pPr>
              <w:jc w:val="right"/>
            </w:pPr>
            <w:r w:rsidRPr="00E73D4B">
              <w:t>609</w:t>
            </w:r>
          </w:p>
        </w:tc>
        <w:tc>
          <w:tcPr>
            <w:tcW w:w="4820" w:type="dxa"/>
            <w:tcBorders>
              <w:top w:val="nil"/>
              <w:left w:val="nil"/>
              <w:bottom w:val="nil"/>
              <w:right w:val="nil"/>
            </w:tcBorders>
            <w:tcMar>
              <w:top w:w="128" w:type="dxa"/>
              <w:left w:w="43" w:type="dxa"/>
              <w:bottom w:w="43" w:type="dxa"/>
              <w:right w:w="43" w:type="dxa"/>
            </w:tcMar>
          </w:tcPr>
          <w:p w14:paraId="235A0BDF" w14:textId="77777777" w:rsidR="00972395" w:rsidRPr="00E73D4B" w:rsidRDefault="00F120C7" w:rsidP="004A107D">
            <w:r w:rsidRPr="00E73D4B">
              <w:t>Dagligvare – hindre bruk av negative servitutter</w:t>
            </w:r>
          </w:p>
        </w:tc>
        <w:tc>
          <w:tcPr>
            <w:tcW w:w="1545" w:type="dxa"/>
            <w:tcBorders>
              <w:top w:val="nil"/>
              <w:left w:val="nil"/>
              <w:bottom w:val="nil"/>
              <w:right w:val="nil"/>
            </w:tcBorders>
            <w:tcMar>
              <w:top w:w="128" w:type="dxa"/>
              <w:left w:w="43" w:type="dxa"/>
              <w:bottom w:w="43" w:type="dxa"/>
              <w:right w:w="43" w:type="dxa"/>
            </w:tcMar>
          </w:tcPr>
          <w:p w14:paraId="5086413A" w14:textId="77777777" w:rsidR="00972395" w:rsidRPr="00E73D4B" w:rsidRDefault="00F120C7" w:rsidP="004A107D">
            <w:pPr>
              <w:jc w:val="right"/>
            </w:pPr>
            <w:r w:rsidRPr="00E73D4B">
              <w:t>Nei</w:t>
            </w:r>
          </w:p>
        </w:tc>
      </w:tr>
      <w:tr w:rsidR="00972395" w:rsidRPr="00E73D4B" w14:paraId="32C5CCE4"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7D5D4ADC"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7F0DE7C2" w14:textId="77777777" w:rsidR="00972395" w:rsidRPr="00E73D4B" w:rsidRDefault="00F120C7" w:rsidP="004A107D">
            <w:pPr>
              <w:jc w:val="right"/>
            </w:pPr>
            <w:r w:rsidRPr="00E73D4B">
              <w:t>610</w:t>
            </w:r>
          </w:p>
        </w:tc>
        <w:tc>
          <w:tcPr>
            <w:tcW w:w="4820" w:type="dxa"/>
            <w:tcBorders>
              <w:top w:val="nil"/>
              <w:left w:val="nil"/>
              <w:bottom w:val="nil"/>
              <w:right w:val="nil"/>
            </w:tcBorders>
            <w:tcMar>
              <w:top w:w="128" w:type="dxa"/>
              <w:left w:w="43" w:type="dxa"/>
              <w:bottom w:w="43" w:type="dxa"/>
              <w:right w:w="43" w:type="dxa"/>
            </w:tcMar>
          </w:tcPr>
          <w:p w14:paraId="5380F7D5" w14:textId="77777777" w:rsidR="00972395" w:rsidRPr="00E73D4B" w:rsidRDefault="00F120C7" w:rsidP="004A107D">
            <w:r w:rsidRPr="00E73D4B">
              <w:t>Dagligvare – konkurranse og mer åpenhet innenfor grossist- og distribusjonsleddet</w:t>
            </w:r>
          </w:p>
        </w:tc>
        <w:tc>
          <w:tcPr>
            <w:tcW w:w="1545" w:type="dxa"/>
            <w:tcBorders>
              <w:top w:val="nil"/>
              <w:left w:val="nil"/>
              <w:bottom w:val="nil"/>
              <w:right w:val="nil"/>
            </w:tcBorders>
            <w:tcMar>
              <w:top w:w="128" w:type="dxa"/>
              <w:left w:w="43" w:type="dxa"/>
              <w:bottom w:w="43" w:type="dxa"/>
              <w:right w:w="43" w:type="dxa"/>
            </w:tcMar>
          </w:tcPr>
          <w:p w14:paraId="15B0980C" w14:textId="77777777" w:rsidR="00972395" w:rsidRPr="00E73D4B" w:rsidRDefault="00F120C7" w:rsidP="004A107D">
            <w:pPr>
              <w:jc w:val="right"/>
            </w:pPr>
            <w:r w:rsidRPr="00E73D4B">
              <w:t>Nei</w:t>
            </w:r>
          </w:p>
        </w:tc>
      </w:tr>
      <w:tr w:rsidR="00972395" w:rsidRPr="00E73D4B" w14:paraId="531BBED5"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69521A12"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0DBF1D2D" w14:textId="77777777" w:rsidR="00972395" w:rsidRPr="00E73D4B" w:rsidRDefault="00F120C7" w:rsidP="004A107D">
            <w:pPr>
              <w:jc w:val="right"/>
            </w:pPr>
            <w:r w:rsidRPr="00E73D4B">
              <w:t>611</w:t>
            </w:r>
          </w:p>
        </w:tc>
        <w:tc>
          <w:tcPr>
            <w:tcW w:w="4820" w:type="dxa"/>
            <w:tcBorders>
              <w:top w:val="nil"/>
              <w:left w:val="nil"/>
              <w:bottom w:val="nil"/>
              <w:right w:val="nil"/>
            </w:tcBorders>
            <w:tcMar>
              <w:top w:w="128" w:type="dxa"/>
              <w:left w:w="43" w:type="dxa"/>
              <w:bottom w:w="43" w:type="dxa"/>
              <w:right w:w="43" w:type="dxa"/>
            </w:tcMar>
          </w:tcPr>
          <w:p w14:paraId="77CF0BC1" w14:textId="77777777" w:rsidR="00972395" w:rsidRPr="00E73D4B" w:rsidRDefault="00F120C7" w:rsidP="004A107D">
            <w:r w:rsidRPr="00E73D4B">
              <w:t>Dagligvare – definisjon av kjedenes egne merkevarer (EMV)</w:t>
            </w:r>
          </w:p>
        </w:tc>
        <w:tc>
          <w:tcPr>
            <w:tcW w:w="1545" w:type="dxa"/>
            <w:tcBorders>
              <w:top w:val="nil"/>
              <w:left w:val="nil"/>
              <w:bottom w:val="nil"/>
              <w:right w:val="nil"/>
            </w:tcBorders>
            <w:tcMar>
              <w:top w:w="128" w:type="dxa"/>
              <w:left w:w="43" w:type="dxa"/>
              <w:bottom w:w="43" w:type="dxa"/>
              <w:right w:w="43" w:type="dxa"/>
            </w:tcMar>
          </w:tcPr>
          <w:p w14:paraId="5D02E518" w14:textId="77777777" w:rsidR="00972395" w:rsidRPr="00E73D4B" w:rsidRDefault="00F120C7" w:rsidP="004A107D">
            <w:pPr>
              <w:jc w:val="right"/>
            </w:pPr>
            <w:r w:rsidRPr="00E73D4B">
              <w:t>Nei</w:t>
            </w:r>
          </w:p>
        </w:tc>
      </w:tr>
      <w:tr w:rsidR="00972395" w:rsidRPr="00E73D4B" w14:paraId="05A88657"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6A74C78B"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1D181B5B" w14:textId="77777777" w:rsidR="00972395" w:rsidRPr="00E73D4B" w:rsidRDefault="00F120C7" w:rsidP="004A107D">
            <w:pPr>
              <w:jc w:val="right"/>
            </w:pPr>
            <w:r w:rsidRPr="00E73D4B">
              <w:t>612</w:t>
            </w:r>
          </w:p>
        </w:tc>
        <w:tc>
          <w:tcPr>
            <w:tcW w:w="4820" w:type="dxa"/>
            <w:tcBorders>
              <w:top w:val="nil"/>
              <w:left w:val="nil"/>
              <w:bottom w:val="nil"/>
              <w:right w:val="nil"/>
            </w:tcBorders>
            <w:tcMar>
              <w:top w:w="128" w:type="dxa"/>
              <w:left w:w="43" w:type="dxa"/>
              <w:bottom w:w="43" w:type="dxa"/>
              <w:right w:w="43" w:type="dxa"/>
            </w:tcMar>
          </w:tcPr>
          <w:p w14:paraId="40DE2F33" w14:textId="77777777" w:rsidR="00972395" w:rsidRPr="00E73D4B" w:rsidRDefault="00F120C7" w:rsidP="004A107D">
            <w:r w:rsidRPr="00E73D4B">
              <w:t>Dagligvare – midlertidig forskrift om usaklig prisdiskriminering</w:t>
            </w:r>
          </w:p>
        </w:tc>
        <w:tc>
          <w:tcPr>
            <w:tcW w:w="1545" w:type="dxa"/>
            <w:tcBorders>
              <w:top w:val="nil"/>
              <w:left w:val="nil"/>
              <w:bottom w:val="nil"/>
              <w:right w:val="nil"/>
            </w:tcBorders>
            <w:tcMar>
              <w:top w:w="128" w:type="dxa"/>
              <w:left w:w="43" w:type="dxa"/>
              <w:bottom w:w="43" w:type="dxa"/>
              <w:right w:w="43" w:type="dxa"/>
            </w:tcMar>
          </w:tcPr>
          <w:p w14:paraId="26C599C3" w14:textId="77777777" w:rsidR="00972395" w:rsidRPr="00E73D4B" w:rsidRDefault="00F120C7" w:rsidP="004A107D">
            <w:pPr>
              <w:jc w:val="right"/>
            </w:pPr>
            <w:r w:rsidRPr="00E73D4B">
              <w:t>Nei</w:t>
            </w:r>
          </w:p>
        </w:tc>
      </w:tr>
      <w:tr w:rsidR="00972395" w:rsidRPr="00E73D4B" w14:paraId="4224ABBA"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2D36696F"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1B779926" w14:textId="77777777" w:rsidR="00972395" w:rsidRPr="00E73D4B" w:rsidRDefault="00F120C7" w:rsidP="004A107D">
            <w:pPr>
              <w:jc w:val="right"/>
            </w:pPr>
            <w:r w:rsidRPr="00E73D4B">
              <w:t>719</w:t>
            </w:r>
          </w:p>
        </w:tc>
        <w:tc>
          <w:tcPr>
            <w:tcW w:w="4820" w:type="dxa"/>
            <w:tcBorders>
              <w:top w:val="nil"/>
              <w:left w:val="nil"/>
              <w:bottom w:val="nil"/>
              <w:right w:val="nil"/>
            </w:tcBorders>
            <w:tcMar>
              <w:top w:w="128" w:type="dxa"/>
              <w:left w:w="43" w:type="dxa"/>
              <w:bottom w:w="43" w:type="dxa"/>
              <w:right w:w="43" w:type="dxa"/>
            </w:tcMar>
          </w:tcPr>
          <w:p w14:paraId="563B07C4" w14:textId="77777777" w:rsidR="00972395" w:rsidRPr="00E73D4B" w:rsidRDefault="00F120C7" w:rsidP="004A107D">
            <w:r w:rsidRPr="00E73D4B">
              <w:t>Tilrettelegging for testsentre for flytende havvind</w:t>
            </w:r>
          </w:p>
        </w:tc>
        <w:tc>
          <w:tcPr>
            <w:tcW w:w="1545" w:type="dxa"/>
            <w:tcBorders>
              <w:top w:val="nil"/>
              <w:left w:val="nil"/>
              <w:bottom w:val="nil"/>
              <w:right w:val="nil"/>
            </w:tcBorders>
            <w:tcMar>
              <w:top w:w="128" w:type="dxa"/>
              <w:left w:w="43" w:type="dxa"/>
              <w:bottom w:w="43" w:type="dxa"/>
              <w:right w:w="43" w:type="dxa"/>
            </w:tcMar>
          </w:tcPr>
          <w:p w14:paraId="31A5D68D" w14:textId="77777777" w:rsidR="00972395" w:rsidRPr="00E73D4B" w:rsidRDefault="00F120C7" w:rsidP="004A107D">
            <w:pPr>
              <w:jc w:val="right"/>
            </w:pPr>
            <w:r w:rsidRPr="00E73D4B">
              <w:t>Ja</w:t>
            </w:r>
          </w:p>
        </w:tc>
      </w:tr>
      <w:tr w:rsidR="00972395" w:rsidRPr="00E73D4B" w14:paraId="13088379"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13DCC382"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174509E7" w14:textId="77777777" w:rsidR="00972395" w:rsidRPr="00E73D4B" w:rsidRDefault="00F120C7" w:rsidP="004A107D">
            <w:pPr>
              <w:jc w:val="right"/>
            </w:pPr>
            <w:r w:rsidRPr="00E73D4B">
              <w:t>725</w:t>
            </w:r>
          </w:p>
        </w:tc>
        <w:tc>
          <w:tcPr>
            <w:tcW w:w="4820" w:type="dxa"/>
            <w:tcBorders>
              <w:top w:val="nil"/>
              <w:left w:val="nil"/>
              <w:bottom w:val="nil"/>
              <w:right w:val="nil"/>
            </w:tcBorders>
            <w:tcMar>
              <w:top w:w="128" w:type="dxa"/>
              <w:left w:w="43" w:type="dxa"/>
              <w:bottom w:w="43" w:type="dxa"/>
              <w:right w:w="43" w:type="dxa"/>
            </w:tcMar>
          </w:tcPr>
          <w:p w14:paraId="4E9994D2" w14:textId="77777777" w:rsidR="00972395" w:rsidRPr="00E73D4B" w:rsidRDefault="00F120C7" w:rsidP="004A107D">
            <w:r w:rsidRPr="00E73D4B">
              <w:t>Offentlige innkjøp – krav til bærekraftig produksjon av batterier ved offentlige innkjøp</w:t>
            </w:r>
          </w:p>
        </w:tc>
        <w:tc>
          <w:tcPr>
            <w:tcW w:w="1545" w:type="dxa"/>
            <w:tcBorders>
              <w:top w:val="nil"/>
              <w:left w:val="nil"/>
              <w:bottom w:val="nil"/>
              <w:right w:val="nil"/>
            </w:tcBorders>
            <w:tcMar>
              <w:top w:w="128" w:type="dxa"/>
              <w:left w:w="43" w:type="dxa"/>
              <w:bottom w:w="43" w:type="dxa"/>
              <w:right w:w="43" w:type="dxa"/>
            </w:tcMar>
          </w:tcPr>
          <w:p w14:paraId="74EF1514" w14:textId="77777777" w:rsidR="00972395" w:rsidRPr="00E73D4B" w:rsidRDefault="00F120C7" w:rsidP="004A107D">
            <w:pPr>
              <w:jc w:val="right"/>
            </w:pPr>
            <w:r w:rsidRPr="00E73D4B">
              <w:t>Nei</w:t>
            </w:r>
          </w:p>
        </w:tc>
      </w:tr>
      <w:tr w:rsidR="00972395" w:rsidRPr="00E73D4B" w14:paraId="6929964E"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48A87F51"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03290F69" w14:textId="77777777" w:rsidR="00972395" w:rsidRPr="00E73D4B" w:rsidRDefault="00F120C7" w:rsidP="004A107D">
            <w:pPr>
              <w:jc w:val="right"/>
            </w:pPr>
            <w:r w:rsidRPr="00E73D4B">
              <w:t>732</w:t>
            </w:r>
          </w:p>
        </w:tc>
        <w:tc>
          <w:tcPr>
            <w:tcW w:w="4820" w:type="dxa"/>
            <w:tcBorders>
              <w:top w:val="nil"/>
              <w:left w:val="nil"/>
              <w:bottom w:val="nil"/>
              <w:right w:val="nil"/>
            </w:tcBorders>
            <w:tcMar>
              <w:top w:w="128" w:type="dxa"/>
              <w:left w:w="43" w:type="dxa"/>
              <w:bottom w:w="43" w:type="dxa"/>
              <w:right w:w="43" w:type="dxa"/>
            </w:tcMar>
          </w:tcPr>
          <w:p w14:paraId="5940DF79" w14:textId="77777777" w:rsidR="00972395" w:rsidRPr="00E73D4B" w:rsidRDefault="00F120C7" w:rsidP="004A107D">
            <w:r w:rsidRPr="00E73D4B">
              <w:t>Batteritoll – handels- og samarbeidsavtalen mellom EU og Storbritannia</w:t>
            </w:r>
          </w:p>
        </w:tc>
        <w:tc>
          <w:tcPr>
            <w:tcW w:w="1545" w:type="dxa"/>
            <w:tcBorders>
              <w:top w:val="nil"/>
              <w:left w:val="nil"/>
              <w:bottom w:val="nil"/>
              <w:right w:val="nil"/>
            </w:tcBorders>
            <w:tcMar>
              <w:top w:w="128" w:type="dxa"/>
              <w:left w:w="43" w:type="dxa"/>
              <w:bottom w:w="43" w:type="dxa"/>
              <w:right w:w="43" w:type="dxa"/>
            </w:tcMar>
          </w:tcPr>
          <w:p w14:paraId="28CA04DF" w14:textId="77777777" w:rsidR="00972395" w:rsidRPr="00E73D4B" w:rsidRDefault="00F120C7" w:rsidP="004A107D">
            <w:pPr>
              <w:jc w:val="right"/>
            </w:pPr>
            <w:r w:rsidRPr="00E73D4B">
              <w:t xml:space="preserve">Nei </w:t>
            </w:r>
          </w:p>
        </w:tc>
      </w:tr>
      <w:tr w:rsidR="00972395" w:rsidRPr="00E73D4B" w14:paraId="7AC1B2F4"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7B78307C"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4CE8F271" w14:textId="77777777" w:rsidR="00972395" w:rsidRPr="00E73D4B" w:rsidRDefault="00F120C7" w:rsidP="004A107D">
            <w:pPr>
              <w:jc w:val="right"/>
            </w:pPr>
            <w:r w:rsidRPr="00E73D4B">
              <w:t>733</w:t>
            </w:r>
          </w:p>
        </w:tc>
        <w:tc>
          <w:tcPr>
            <w:tcW w:w="4820" w:type="dxa"/>
            <w:tcBorders>
              <w:top w:val="nil"/>
              <w:left w:val="nil"/>
              <w:bottom w:val="nil"/>
              <w:right w:val="nil"/>
            </w:tcBorders>
            <w:tcMar>
              <w:top w:w="128" w:type="dxa"/>
              <w:left w:w="43" w:type="dxa"/>
              <w:bottom w:w="43" w:type="dxa"/>
              <w:right w:w="43" w:type="dxa"/>
            </w:tcMar>
          </w:tcPr>
          <w:p w14:paraId="1FA9BA63" w14:textId="77777777" w:rsidR="00972395" w:rsidRPr="00E73D4B" w:rsidRDefault="00F120C7" w:rsidP="004A107D">
            <w:r w:rsidRPr="00E73D4B">
              <w:t xml:space="preserve">Produksjon og </w:t>
            </w:r>
            <w:proofErr w:type="spellStart"/>
            <w:r w:rsidRPr="00E73D4B">
              <w:t>resikulering</w:t>
            </w:r>
            <w:proofErr w:type="spellEnd"/>
            <w:r w:rsidRPr="00E73D4B">
              <w:t xml:space="preserve"> av batterier</w:t>
            </w:r>
          </w:p>
        </w:tc>
        <w:tc>
          <w:tcPr>
            <w:tcW w:w="1545" w:type="dxa"/>
            <w:tcBorders>
              <w:top w:val="nil"/>
              <w:left w:val="nil"/>
              <w:bottom w:val="nil"/>
              <w:right w:val="nil"/>
            </w:tcBorders>
            <w:tcMar>
              <w:top w:w="128" w:type="dxa"/>
              <w:left w:w="43" w:type="dxa"/>
              <w:bottom w:w="43" w:type="dxa"/>
              <w:right w:w="43" w:type="dxa"/>
            </w:tcMar>
          </w:tcPr>
          <w:p w14:paraId="4D601991" w14:textId="77777777" w:rsidR="00972395" w:rsidRPr="00E73D4B" w:rsidRDefault="00F120C7" w:rsidP="004A107D">
            <w:pPr>
              <w:jc w:val="right"/>
            </w:pPr>
            <w:r w:rsidRPr="00E73D4B">
              <w:t>Ja</w:t>
            </w:r>
          </w:p>
        </w:tc>
      </w:tr>
      <w:tr w:rsidR="00972395" w:rsidRPr="00E73D4B" w14:paraId="07762C50"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73FB2E54"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062D37BE" w14:textId="77777777" w:rsidR="00972395" w:rsidRPr="00E73D4B" w:rsidRDefault="00F120C7" w:rsidP="004A107D">
            <w:pPr>
              <w:jc w:val="right"/>
            </w:pPr>
            <w:r w:rsidRPr="00E73D4B">
              <w:t>734</w:t>
            </w:r>
          </w:p>
        </w:tc>
        <w:tc>
          <w:tcPr>
            <w:tcW w:w="4820" w:type="dxa"/>
            <w:tcBorders>
              <w:top w:val="nil"/>
              <w:left w:val="nil"/>
              <w:bottom w:val="nil"/>
              <w:right w:val="nil"/>
            </w:tcBorders>
            <w:tcMar>
              <w:top w:w="128" w:type="dxa"/>
              <w:left w:w="43" w:type="dxa"/>
              <w:bottom w:w="43" w:type="dxa"/>
              <w:right w:w="43" w:type="dxa"/>
            </w:tcMar>
          </w:tcPr>
          <w:p w14:paraId="0FC024CE" w14:textId="77777777" w:rsidR="00972395" w:rsidRPr="00E73D4B" w:rsidRDefault="00F120C7" w:rsidP="004A107D">
            <w:r w:rsidRPr="00E73D4B">
              <w:t>Satsing på utvikling og produksjon av batterier og andre nye grønne næringer</w:t>
            </w:r>
          </w:p>
        </w:tc>
        <w:tc>
          <w:tcPr>
            <w:tcW w:w="1545" w:type="dxa"/>
            <w:tcBorders>
              <w:top w:val="nil"/>
              <w:left w:val="nil"/>
              <w:bottom w:val="nil"/>
              <w:right w:val="nil"/>
            </w:tcBorders>
            <w:tcMar>
              <w:top w:w="128" w:type="dxa"/>
              <w:left w:w="43" w:type="dxa"/>
              <w:bottom w:w="43" w:type="dxa"/>
              <w:right w:w="43" w:type="dxa"/>
            </w:tcMar>
          </w:tcPr>
          <w:p w14:paraId="5950AFD4" w14:textId="77777777" w:rsidR="00972395" w:rsidRPr="00E73D4B" w:rsidRDefault="00F120C7" w:rsidP="004A107D">
            <w:pPr>
              <w:jc w:val="right"/>
            </w:pPr>
            <w:r w:rsidRPr="00E73D4B">
              <w:t>Ja</w:t>
            </w:r>
          </w:p>
        </w:tc>
      </w:tr>
      <w:tr w:rsidR="00972395" w:rsidRPr="00E73D4B" w14:paraId="22AF99AD"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5B8EB9CD"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0D7AC4EB" w14:textId="77777777" w:rsidR="00972395" w:rsidRPr="00E73D4B" w:rsidRDefault="00F120C7" w:rsidP="004A107D">
            <w:pPr>
              <w:jc w:val="right"/>
            </w:pPr>
            <w:r w:rsidRPr="00E73D4B">
              <w:t>735</w:t>
            </w:r>
          </w:p>
        </w:tc>
        <w:tc>
          <w:tcPr>
            <w:tcW w:w="4820" w:type="dxa"/>
            <w:tcBorders>
              <w:top w:val="nil"/>
              <w:left w:val="nil"/>
              <w:bottom w:val="nil"/>
              <w:right w:val="nil"/>
            </w:tcBorders>
            <w:tcMar>
              <w:top w:w="128" w:type="dxa"/>
              <w:left w:w="43" w:type="dxa"/>
              <w:bottom w:w="43" w:type="dxa"/>
              <w:right w:w="43" w:type="dxa"/>
            </w:tcMar>
          </w:tcPr>
          <w:p w14:paraId="39E11DE0" w14:textId="77777777" w:rsidR="00972395" w:rsidRPr="00E73D4B" w:rsidRDefault="00F120C7" w:rsidP="004A107D">
            <w:r w:rsidRPr="00E73D4B">
              <w:t xml:space="preserve">Batterispesifikke utdanningsløp, herunder etablere flere </w:t>
            </w:r>
            <w:proofErr w:type="spellStart"/>
            <w:r w:rsidRPr="00E73D4B">
              <w:t>treparts</w:t>
            </w:r>
            <w:proofErr w:type="spellEnd"/>
            <w:r w:rsidRPr="00E73D4B">
              <w:t xml:space="preserve"> bransjeprogram</w:t>
            </w:r>
          </w:p>
        </w:tc>
        <w:tc>
          <w:tcPr>
            <w:tcW w:w="1545" w:type="dxa"/>
            <w:tcBorders>
              <w:top w:val="nil"/>
              <w:left w:val="nil"/>
              <w:bottom w:val="nil"/>
              <w:right w:val="nil"/>
            </w:tcBorders>
            <w:tcMar>
              <w:top w:w="128" w:type="dxa"/>
              <w:left w:w="43" w:type="dxa"/>
              <w:bottom w:w="43" w:type="dxa"/>
              <w:right w:w="43" w:type="dxa"/>
            </w:tcMar>
          </w:tcPr>
          <w:p w14:paraId="0C43DE30" w14:textId="77777777" w:rsidR="00972395" w:rsidRPr="00E73D4B" w:rsidRDefault="00F120C7" w:rsidP="004A107D">
            <w:pPr>
              <w:jc w:val="right"/>
            </w:pPr>
            <w:r w:rsidRPr="00E73D4B">
              <w:t>Nei</w:t>
            </w:r>
          </w:p>
        </w:tc>
      </w:tr>
      <w:tr w:rsidR="00972395" w:rsidRPr="00E73D4B" w14:paraId="6FA0E434"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45A74B34"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3DFCDD10" w14:textId="77777777" w:rsidR="00972395" w:rsidRPr="00E73D4B" w:rsidRDefault="00F120C7" w:rsidP="004A107D">
            <w:pPr>
              <w:jc w:val="right"/>
            </w:pPr>
            <w:r w:rsidRPr="00E73D4B">
              <w:t>754</w:t>
            </w:r>
          </w:p>
        </w:tc>
        <w:tc>
          <w:tcPr>
            <w:tcW w:w="4820" w:type="dxa"/>
            <w:tcBorders>
              <w:top w:val="nil"/>
              <w:left w:val="nil"/>
              <w:bottom w:val="nil"/>
              <w:right w:val="nil"/>
            </w:tcBorders>
            <w:tcMar>
              <w:top w:w="128" w:type="dxa"/>
              <w:left w:w="43" w:type="dxa"/>
              <w:bottom w:w="43" w:type="dxa"/>
              <w:right w:w="43" w:type="dxa"/>
            </w:tcMar>
          </w:tcPr>
          <w:p w14:paraId="28B97A1E" w14:textId="77777777" w:rsidR="00972395" w:rsidRPr="00E73D4B" w:rsidRDefault="00F120C7" w:rsidP="004A107D">
            <w:r w:rsidRPr="00E73D4B">
              <w:t xml:space="preserve">Bransjeavtaler – råstoff til Biogass </w:t>
            </w:r>
            <w:proofErr w:type="spellStart"/>
            <w:r w:rsidRPr="00E73D4B">
              <w:t>produsjon</w:t>
            </w:r>
            <w:proofErr w:type="spellEnd"/>
          </w:p>
        </w:tc>
        <w:tc>
          <w:tcPr>
            <w:tcW w:w="1545" w:type="dxa"/>
            <w:tcBorders>
              <w:top w:val="nil"/>
              <w:left w:val="nil"/>
              <w:bottom w:val="nil"/>
              <w:right w:val="nil"/>
            </w:tcBorders>
            <w:tcMar>
              <w:top w:w="128" w:type="dxa"/>
              <w:left w:w="43" w:type="dxa"/>
              <w:bottom w:w="43" w:type="dxa"/>
              <w:right w:w="43" w:type="dxa"/>
            </w:tcMar>
          </w:tcPr>
          <w:p w14:paraId="6E8E996D" w14:textId="77777777" w:rsidR="00972395" w:rsidRPr="00E73D4B" w:rsidRDefault="00F120C7" w:rsidP="004A107D">
            <w:pPr>
              <w:jc w:val="right"/>
            </w:pPr>
            <w:r w:rsidRPr="00E73D4B">
              <w:t>Nei</w:t>
            </w:r>
          </w:p>
        </w:tc>
      </w:tr>
      <w:tr w:rsidR="00972395" w:rsidRPr="00E73D4B" w14:paraId="2CE00899"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0A5F979B"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1047BA67" w14:textId="77777777" w:rsidR="00972395" w:rsidRPr="00E73D4B" w:rsidRDefault="00F120C7" w:rsidP="004A107D">
            <w:pPr>
              <w:jc w:val="right"/>
            </w:pPr>
            <w:r w:rsidRPr="00E73D4B">
              <w:t>755</w:t>
            </w:r>
          </w:p>
        </w:tc>
        <w:tc>
          <w:tcPr>
            <w:tcW w:w="4820" w:type="dxa"/>
            <w:tcBorders>
              <w:top w:val="nil"/>
              <w:left w:val="nil"/>
              <w:bottom w:val="nil"/>
              <w:right w:val="nil"/>
            </w:tcBorders>
            <w:tcMar>
              <w:top w:w="128" w:type="dxa"/>
              <w:left w:w="43" w:type="dxa"/>
              <w:bottom w:w="43" w:type="dxa"/>
              <w:right w:w="43" w:type="dxa"/>
            </w:tcMar>
          </w:tcPr>
          <w:p w14:paraId="2AC6B186" w14:textId="77777777" w:rsidR="00972395" w:rsidRPr="00E73D4B" w:rsidRDefault="00F120C7" w:rsidP="004A107D">
            <w:r w:rsidRPr="00E73D4B">
              <w:t>Sirkulær økonomi i virkemiddelapparatet</w:t>
            </w:r>
          </w:p>
        </w:tc>
        <w:tc>
          <w:tcPr>
            <w:tcW w:w="1545" w:type="dxa"/>
            <w:tcBorders>
              <w:top w:val="nil"/>
              <w:left w:val="nil"/>
              <w:bottom w:val="nil"/>
              <w:right w:val="nil"/>
            </w:tcBorders>
            <w:tcMar>
              <w:top w:w="128" w:type="dxa"/>
              <w:left w:w="43" w:type="dxa"/>
              <w:bottom w:w="43" w:type="dxa"/>
              <w:right w:w="43" w:type="dxa"/>
            </w:tcMar>
          </w:tcPr>
          <w:p w14:paraId="23952CAF" w14:textId="77777777" w:rsidR="00972395" w:rsidRPr="00E73D4B" w:rsidRDefault="00F120C7" w:rsidP="004A107D">
            <w:pPr>
              <w:jc w:val="right"/>
            </w:pPr>
            <w:r w:rsidRPr="00E73D4B">
              <w:t>Ja</w:t>
            </w:r>
          </w:p>
        </w:tc>
      </w:tr>
      <w:tr w:rsidR="00972395" w:rsidRPr="00E73D4B" w14:paraId="1BCE49A7"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29B692F3"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5C30450C" w14:textId="77777777" w:rsidR="00972395" w:rsidRPr="00E73D4B" w:rsidRDefault="00F120C7" w:rsidP="004A107D">
            <w:pPr>
              <w:jc w:val="right"/>
            </w:pPr>
            <w:r w:rsidRPr="00E73D4B">
              <w:t>840</w:t>
            </w:r>
          </w:p>
        </w:tc>
        <w:tc>
          <w:tcPr>
            <w:tcW w:w="4820" w:type="dxa"/>
            <w:tcBorders>
              <w:top w:val="nil"/>
              <w:left w:val="nil"/>
              <w:bottom w:val="nil"/>
              <w:right w:val="nil"/>
            </w:tcBorders>
            <w:tcMar>
              <w:top w:w="128" w:type="dxa"/>
              <w:left w:w="43" w:type="dxa"/>
              <w:bottom w:w="43" w:type="dxa"/>
              <w:right w:w="43" w:type="dxa"/>
            </w:tcMar>
          </w:tcPr>
          <w:p w14:paraId="42D5D638" w14:textId="77777777" w:rsidR="00972395" w:rsidRPr="00E73D4B" w:rsidRDefault="00F120C7" w:rsidP="004A107D">
            <w:r w:rsidRPr="00E73D4B">
              <w:t>Videreføring av prosjektorganisasjonen for Ocean Space Centre</w:t>
            </w:r>
          </w:p>
        </w:tc>
        <w:tc>
          <w:tcPr>
            <w:tcW w:w="1545" w:type="dxa"/>
            <w:tcBorders>
              <w:top w:val="nil"/>
              <w:left w:val="nil"/>
              <w:bottom w:val="nil"/>
              <w:right w:val="nil"/>
            </w:tcBorders>
            <w:tcMar>
              <w:top w:w="128" w:type="dxa"/>
              <w:left w:w="43" w:type="dxa"/>
              <w:bottom w:w="43" w:type="dxa"/>
              <w:right w:w="43" w:type="dxa"/>
            </w:tcMar>
          </w:tcPr>
          <w:p w14:paraId="2087FBA9" w14:textId="77777777" w:rsidR="00972395" w:rsidRPr="00E73D4B" w:rsidRDefault="00F120C7" w:rsidP="004A107D">
            <w:pPr>
              <w:jc w:val="right"/>
            </w:pPr>
            <w:r w:rsidRPr="00E73D4B">
              <w:t>Ja</w:t>
            </w:r>
          </w:p>
        </w:tc>
      </w:tr>
      <w:tr w:rsidR="00972395" w:rsidRPr="00E73D4B" w14:paraId="70DA97C0"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53EC5B8A" w14:textId="77777777" w:rsidR="00972395" w:rsidRPr="00E73D4B" w:rsidRDefault="00F120C7" w:rsidP="004A107D">
            <w:r w:rsidRPr="00E73D4B">
              <w:t>2021-2022</w:t>
            </w:r>
          </w:p>
        </w:tc>
        <w:tc>
          <w:tcPr>
            <w:tcW w:w="1417" w:type="dxa"/>
            <w:tcBorders>
              <w:top w:val="nil"/>
              <w:left w:val="nil"/>
              <w:bottom w:val="nil"/>
              <w:right w:val="nil"/>
            </w:tcBorders>
            <w:tcMar>
              <w:top w:w="128" w:type="dxa"/>
              <w:left w:w="43" w:type="dxa"/>
              <w:bottom w:w="43" w:type="dxa"/>
              <w:right w:w="43" w:type="dxa"/>
            </w:tcMar>
          </w:tcPr>
          <w:p w14:paraId="2D80AF1A" w14:textId="77777777" w:rsidR="00972395" w:rsidRPr="00E73D4B" w:rsidRDefault="00F120C7" w:rsidP="004A107D">
            <w:pPr>
              <w:jc w:val="right"/>
            </w:pPr>
            <w:r w:rsidRPr="00E73D4B">
              <w:t>841</w:t>
            </w:r>
          </w:p>
        </w:tc>
        <w:tc>
          <w:tcPr>
            <w:tcW w:w="4820" w:type="dxa"/>
            <w:tcBorders>
              <w:top w:val="nil"/>
              <w:left w:val="nil"/>
              <w:bottom w:val="nil"/>
              <w:right w:val="nil"/>
            </w:tcBorders>
            <w:tcMar>
              <w:top w:w="128" w:type="dxa"/>
              <w:left w:w="43" w:type="dxa"/>
              <w:bottom w:w="43" w:type="dxa"/>
              <w:right w:w="43" w:type="dxa"/>
            </w:tcMar>
          </w:tcPr>
          <w:p w14:paraId="3CCA367D" w14:textId="77777777" w:rsidR="00972395" w:rsidRPr="00E73D4B" w:rsidRDefault="00F120C7" w:rsidP="004A107D">
            <w:r w:rsidRPr="00E73D4B">
              <w:t>Kystfiske – rapportering av posisjon og fangstmeldinger over mobilnettet</w:t>
            </w:r>
          </w:p>
        </w:tc>
        <w:tc>
          <w:tcPr>
            <w:tcW w:w="1545" w:type="dxa"/>
            <w:tcBorders>
              <w:top w:val="nil"/>
              <w:left w:val="nil"/>
              <w:bottom w:val="nil"/>
              <w:right w:val="nil"/>
            </w:tcBorders>
            <w:tcMar>
              <w:top w:w="128" w:type="dxa"/>
              <w:left w:w="43" w:type="dxa"/>
              <w:bottom w:w="43" w:type="dxa"/>
              <w:right w:w="43" w:type="dxa"/>
            </w:tcMar>
          </w:tcPr>
          <w:p w14:paraId="34991C2C" w14:textId="77777777" w:rsidR="00972395" w:rsidRPr="00E73D4B" w:rsidRDefault="00F120C7" w:rsidP="004A107D">
            <w:pPr>
              <w:jc w:val="right"/>
            </w:pPr>
            <w:r w:rsidRPr="00E73D4B">
              <w:t>Ja</w:t>
            </w:r>
          </w:p>
        </w:tc>
      </w:tr>
      <w:tr w:rsidR="00972395" w:rsidRPr="00E73D4B" w14:paraId="57022A20"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0CFCA3CE"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5324BD79" w14:textId="77777777" w:rsidR="00972395" w:rsidRPr="00E73D4B" w:rsidRDefault="00F120C7" w:rsidP="004A107D">
            <w:pPr>
              <w:jc w:val="right"/>
            </w:pPr>
            <w:r w:rsidRPr="00E73D4B">
              <w:t>71</w:t>
            </w:r>
          </w:p>
        </w:tc>
        <w:tc>
          <w:tcPr>
            <w:tcW w:w="4820" w:type="dxa"/>
            <w:tcBorders>
              <w:top w:val="nil"/>
              <w:left w:val="nil"/>
              <w:bottom w:val="nil"/>
              <w:right w:val="nil"/>
            </w:tcBorders>
            <w:tcMar>
              <w:top w:w="128" w:type="dxa"/>
              <w:left w:w="43" w:type="dxa"/>
              <w:bottom w:w="43" w:type="dxa"/>
              <w:right w:w="43" w:type="dxa"/>
            </w:tcMar>
          </w:tcPr>
          <w:p w14:paraId="4385A82B" w14:textId="77777777" w:rsidR="00972395" w:rsidRPr="00E73D4B" w:rsidRDefault="00F120C7" w:rsidP="004A107D">
            <w:r w:rsidRPr="00E73D4B">
              <w:t>Sikre egenproduksjon – ordning med utleie av akvakulturtillatelser</w:t>
            </w:r>
          </w:p>
        </w:tc>
        <w:tc>
          <w:tcPr>
            <w:tcW w:w="1545" w:type="dxa"/>
            <w:tcBorders>
              <w:top w:val="nil"/>
              <w:left w:val="nil"/>
              <w:bottom w:val="nil"/>
              <w:right w:val="nil"/>
            </w:tcBorders>
            <w:tcMar>
              <w:top w:w="128" w:type="dxa"/>
              <w:left w:w="43" w:type="dxa"/>
              <w:bottom w:w="43" w:type="dxa"/>
              <w:right w:w="43" w:type="dxa"/>
            </w:tcMar>
          </w:tcPr>
          <w:p w14:paraId="799151F5" w14:textId="77777777" w:rsidR="00972395" w:rsidRPr="00E73D4B" w:rsidRDefault="00F120C7" w:rsidP="004A107D">
            <w:pPr>
              <w:jc w:val="right"/>
            </w:pPr>
            <w:r w:rsidRPr="00E73D4B">
              <w:t>Nei</w:t>
            </w:r>
          </w:p>
        </w:tc>
      </w:tr>
      <w:tr w:rsidR="00972395" w:rsidRPr="00E73D4B" w14:paraId="72C4BA6A"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0916ECDD"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4F898897" w14:textId="77777777" w:rsidR="00972395" w:rsidRPr="00E73D4B" w:rsidRDefault="00F120C7" w:rsidP="004A107D">
            <w:pPr>
              <w:jc w:val="right"/>
            </w:pPr>
            <w:r w:rsidRPr="00E73D4B">
              <w:t>98</w:t>
            </w:r>
          </w:p>
        </w:tc>
        <w:tc>
          <w:tcPr>
            <w:tcW w:w="4820" w:type="dxa"/>
            <w:tcBorders>
              <w:top w:val="nil"/>
              <w:left w:val="nil"/>
              <w:bottom w:val="nil"/>
              <w:right w:val="nil"/>
            </w:tcBorders>
            <w:tcMar>
              <w:top w:w="128" w:type="dxa"/>
              <w:left w:w="43" w:type="dxa"/>
              <w:bottom w:w="43" w:type="dxa"/>
              <w:right w:w="43" w:type="dxa"/>
            </w:tcMar>
          </w:tcPr>
          <w:p w14:paraId="6A49EC6F" w14:textId="77777777" w:rsidR="00972395" w:rsidRPr="00E73D4B" w:rsidRDefault="00F120C7" w:rsidP="004A107D">
            <w:r w:rsidRPr="00E73D4B">
              <w:t>Oppfølging av kvotesystemet i kyst- og havfiske</w:t>
            </w:r>
          </w:p>
        </w:tc>
        <w:tc>
          <w:tcPr>
            <w:tcW w:w="1545" w:type="dxa"/>
            <w:tcBorders>
              <w:top w:val="nil"/>
              <w:left w:val="nil"/>
              <w:bottom w:val="nil"/>
              <w:right w:val="nil"/>
            </w:tcBorders>
            <w:tcMar>
              <w:top w:w="128" w:type="dxa"/>
              <w:left w:w="43" w:type="dxa"/>
              <w:bottom w:w="43" w:type="dxa"/>
              <w:right w:w="43" w:type="dxa"/>
            </w:tcMar>
          </w:tcPr>
          <w:p w14:paraId="31004786" w14:textId="77777777" w:rsidR="00972395" w:rsidRPr="00E73D4B" w:rsidRDefault="00F120C7" w:rsidP="004A107D">
            <w:pPr>
              <w:jc w:val="right"/>
            </w:pPr>
            <w:r w:rsidRPr="00E73D4B">
              <w:t>Nei</w:t>
            </w:r>
          </w:p>
        </w:tc>
      </w:tr>
      <w:tr w:rsidR="00972395" w:rsidRPr="00E73D4B" w14:paraId="60AB0B96"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00307371"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5DC95E23" w14:textId="77777777" w:rsidR="00972395" w:rsidRPr="00E73D4B" w:rsidRDefault="00F120C7" w:rsidP="004A107D">
            <w:pPr>
              <w:jc w:val="right"/>
            </w:pPr>
            <w:r w:rsidRPr="00E73D4B">
              <w:t>172</w:t>
            </w:r>
          </w:p>
        </w:tc>
        <w:tc>
          <w:tcPr>
            <w:tcW w:w="4820" w:type="dxa"/>
            <w:tcBorders>
              <w:top w:val="nil"/>
              <w:left w:val="nil"/>
              <w:bottom w:val="nil"/>
              <w:right w:val="nil"/>
            </w:tcBorders>
            <w:tcMar>
              <w:top w:w="128" w:type="dxa"/>
              <w:left w:w="43" w:type="dxa"/>
              <w:bottom w:w="43" w:type="dxa"/>
              <w:right w:w="43" w:type="dxa"/>
            </w:tcMar>
          </w:tcPr>
          <w:p w14:paraId="112D4561" w14:textId="77777777" w:rsidR="00972395" w:rsidRPr="00E73D4B" w:rsidRDefault="00F120C7" w:rsidP="004A107D">
            <w:r w:rsidRPr="00E73D4B">
              <w:t>Mineralloven – forbedringer og forenklinger</w:t>
            </w:r>
          </w:p>
        </w:tc>
        <w:tc>
          <w:tcPr>
            <w:tcW w:w="1545" w:type="dxa"/>
            <w:tcBorders>
              <w:top w:val="nil"/>
              <w:left w:val="nil"/>
              <w:bottom w:val="nil"/>
              <w:right w:val="nil"/>
            </w:tcBorders>
            <w:tcMar>
              <w:top w:w="128" w:type="dxa"/>
              <w:left w:w="43" w:type="dxa"/>
              <w:bottom w:w="43" w:type="dxa"/>
              <w:right w:w="43" w:type="dxa"/>
            </w:tcMar>
          </w:tcPr>
          <w:p w14:paraId="10CB41E1" w14:textId="77777777" w:rsidR="00972395" w:rsidRPr="00E73D4B" w:rsidRDefault="00F120C7" w:rsidP="004A107D">
            <w:pPr>
              <w:jc w:val="right"/>
            </w:pPr>
            <w:r w:rsidRPr="00E73D4B">
              <w:t>Nei</w:t>
            </w:r>
          </w:p>
        </w:tc>
      </w:tr>
      <w:tr w:rsidR="00972395" w:rsidRPr="00E73D4B" w14:paraId="3C16B6B7"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1CE851D6"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17983824" w14:textId="77777777" w:rsidR="00972395" w:rsidRPr="00E73D4B" w:rsidRDefault="00F120C7" w:rsidP="004A107D">
            <w:pPr>
              <w:jc w:val="right"/>
            </w:pPr>
            <w:r w:rsidRPr="00E73D4B">
              <w:t>572</w:t>
            </w:r>
          </w:p>
        </w:tc>
        <w:tc>
          <w:tcPr>
            <w:tcW w:w="4820" w:type="dxa"/>
            <w:tcBorders>
              <w:top w:val="nil"/>
              <w:left w:val="nil"/>
              <w:bottom w:val="nil"/>
              <w:right w:val="nil"/>
            </w:tcBorders>
            <w:tcMar>
              <w:top w:w="128" w:type="dxa"/>
              <w:left w:w="43" w:type="dxa"/>
              <w:bottom w:w="43" w:type="dxa"/>
              <w:right w:w="43" w:type="dxa"/>
            </w:tcMar>
          </w:tcPr>
          <w:p w14:paraId="45AE75CC" w14:textId="77777777" w:rsidR="00972395" w:rsidRPr="00E73D4B" w:rsidRDefault="00F120C7" w:rsidP="004A107D">
            <w:r w:rsidRPr="00E73D4B">
              <w:t>Innkjøpspriser i dagligvaremarkedet</w:t>
            </w:r>
          </w:p>
        </w:tc>
        <w:tc>
          <w:tcPr>
            <w:tcW w:w="1545" w:type="dxa"/>
            <w:tcBorders>
              <w:top w:val="nil"/>
              <w:left w:val="nil"/>
              <w:bottom w:val="nil"/>
              <w:right w:val="nil"/>
            </w:tcBorders>
            <w:tcMar>
              <w:top w:w="128" w:type="dxa"/>
              <w:left w:w="43" w:type="dxa"/>
              <w:bottom w:w="43" w:type="dxa"/>
              <w:right w:w="43" w:type="dxa"/>
            </w:tcMar>
          </w:tcPr>
          <w:p w14:paraId="50EA0034" w14:textId="77777777" w:rsidR="00972395" w:rsidRPr="00E73D4B" w:rsidRDefault="00F120C7" w:rsidP="004A107D">
            <w:pPr>
              <w:jc w:val="right"/>
            </w:pPr>
            <w:r w:rsidRPr="00E73D4B">
              <w:t>Nei</w:t>
            </w:r>
          </w:p>
        </w:tc>
      </w:tr>
      <w:tr w:rsidR="00972395" w:rsidRPr="00E73D4B" w14:paraId="714483AB"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4E6C4C91"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2BC23875" w14:textId="77777777" w:rsidR="00972395" w:rsidRPr="00E73D4B" w:rsidRDefault="00F120C7" w:rsidP="004A107D">
            <w:pPr>
              <w:jc w:val="right"/>
            </w:pPr>
            <w:r w:rsidRPr="00E73D4B">
              <w:t>573</w:t>
            </w:r>
          </w:p>
        </w:tc>
        <w:tc>
          <w:tcPr>
            <w:tcW w:w="4820" w:type="dxa"/>
            <w:tcBorders>
              <w:top w:val="nil"/>
              <w:left w:val="nil"/>
              <w:bottom w:val="nil"/>
              <w:right w:val="nil"/>
            </w:tcBorders>
            <w:tcMar>
              <w:top w:w="128" w:type="dxa"/>
              <w:left w:w="43" w:type="dxa"/>
              <w:bottom w:w="43" w:type="dxa"/>
              <w:right w:w="43" w:type="dxa"/>
            </w:tcMar>
          </w:tcPr>
          <w:p w14:paraId="54FCBBEA" w14:textId="77777777" w:rsidR="00972395" w:rsidRPr="00E73D4B" w:rsidRDefault="00F120C7" w:rsidP="004A107D">
            <w:r w:rsidRPr="00E73D4B">
              <w:t xml:space="preserve">Dagligvaremarkedet – regnskaps- og </w:t>
            </w:r>
            <w:proofErr w:type="spellStart"/>
            <w:r w:rsidRPr="00E73D4B">
              <w:t>funksjonsmessig</w:t>
            </w:r>
            <w:proofErr w:type="spellEnd"/>
            <w:r w:rsidRPr="00E73D4B">
              <w:t xml:space="preserve"> skille mellom leddene</w:t>
            </w:r>
          </w:p>
        </w:tc>
        <w:tc>
          <w:tcPr>
            <w:tcW w:w="1545" w:type="dxa"/>
            <w:tcBorders>
              <w:top w:val="nil"/>
              <w:left w:val="nil"/>
              <w:bottom w:val="nil"/>
              <w:right w:val="nil"/>
            </w:tcBorders>
            <w:tcMar>
              <w:top w:w="128" w:type="dxa"/>
              <w:left w:w="43" w:type="dxa"/>
              <w:bottom w:w="43" w:type="dxa"/>
              <w:right w:w="43" w:type="dxa"/>
            </w:tcMar>
          </w:tcPr>
          <w:p w14:paraId="7EC1F0EC" w14:textId="77777777" w:rsidR="00972395" w:rsidRPr="00E73D4B" w:rsidRDefault="00F120C7" w:rsidP="004A107D">
            <w:pPr>
              <w:jc w:val="right"/>
            </w:pPr>
            <w:r w:rsidRPr="00E73D4B">
              <w:t>Nei</w:t>
            </w:r>
          </w:p>
        </w:tc>
      </w:tr>
      <w:tr w:rsidR="00972395" w:rsidRPr="00E73D4B" w14:paraId="3B4D16CA"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6C7C33B9"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73D9431B" w14:textId="77777777" w:rsidR="00972395" w:rsidRPr="00E73D4B" w:rsidRDefault="00F120C7" w:rsidP="004A107D">
            <w:pPr>
              <w:jc w:val="right"/>
            </w:pPr>
            <w:r w:rsidRPr="00E73D4B">
              <w:t>574</w:t>
            </w:r>
          </w:p>
        </w:tc>
        <w:tc>
          <w:tcPr>
            <w:tcW w:w="4820" w:type="dxa"/>
            <w:tcBorders>
              <w:top w:val="nil"/>
              <w:left w:val="nil"/>
              <w:bottom w:val="nil"/>
              <w:right w:val="nil"/>
            </w:tcBorders>
            <w:tcMar>
              <w:top w:w="128" w:type="dxa"/>
              <w:left w:w="43" w:type="dxa"/>
              <w:bottom w:w="43" w:type="dxa"/>
              <w:right w:w="43" w:type="dxa"/>
            </w:tcMar>
          </w:tcPr>
          <w:p w14:paraId="70F0493C" w14:textId="77777777" w:rsidR="00972395" w:rsidRPr="00E73D4B" w:rsidRDefault="00F120C7" w:rsidP="004A107D">
            <w:r w:rsidRPr="00E73D4B">
              <w:t>Dagligvare – rabatter skal i større grad følge varen</w:t>
            </w:r>
          </w:p>
        </w:tc>
        <w:tc>
          <w:tcPr>
            <w:tcW w:w="1545" w:type="dxa"/>
            <w:tcBorders>
              <w:top w:val="nil"/>
              <w:left w:val="nil"/>
              <w:bottom w:val="nil"/>
              <w:right w:val="nil"/>
            </w:tcBorders>
            <w:tcMar>
              <w:top w:w="128" w:type="dxa"/>
              <w:left w:w="43" w:type="dxa"/>
              <w:bottom w:w="43" w:type="dxa"/>
              <w:right w:w="43" w:type="dxa"/>
            </w:tcMar>
          </w:tcPr>
          <w:p w14:paraId="4D366853" w14:textId="77777777" w:rsidR="00972395" w:rsidRPr="00E73D4B" w:rsidRDefault="00F120C7" w:rsidP="004A107D">
            <w:pPr>
              <w:jc w:val="right"/>
            </w:pPr>
            <w:r w:rsidRPr="00E73D4B">
              <w:t>Nei</w:t>
            </w:r>
          </w:p>
        </w:tc>
      </w:tr>
      <w:tr w:rsidR="00972395" w:rsidRPr="00E73D4B" w14:paraId="2F20DF2B"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177006AC"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3FBCAC4E" w14:textId="77777777" w:rsidR="00972395" w:rsidRPr="00E73D4B" w:rsidRDefault="00F120C7" w:rsidP="004A107D">
            <w:pPr>
              <w:jc w:val="right"/>
            </w:pPr>
            <w:r w:rsidRPr="00E73D4B">
              <w:t>829</w:t>
            </w:r>
          </w:p>
        </w:tc>
        <w:tc>
          <w:tcPr>
            <w:tcW w:w="4820" w:type="dxa"/>
            <w:tcBorders>
              <w:top w:val="nil"/>
              <w:left w:val="nil"/>
              <w:bottom w:val="nil"/>
              <w:right w:val="nil"/>
            </w:tcBorders>
            <w:tcMar>
              <w:top w:w="128" w:type="dxa"/>
              <w:left w:w="43" w:type="dxa"/>
              <w:bottom w:w="43" w:type="dxa"/>
              <w:right w:w="43" w:type="dxa"/>
            </w:tcMar>
          </w:tcPr>
          <w:p w14:paraId="442B128A" w14:textId="77777777" w:rsidR="00972395" w:rsidRPr="00E73D4B" w:rsidRDefault="00F120C7" w:rsidP="004A107D">
            <w:r w:rsidRPr="00E73D4B">
              <w:t>Fiskeflåten – strategi for fornyelse</w:t>
            </w:r>
          </w:p>
        </w:tc>
        <w:tc>
          <w:tcPr>
            <w:tcW w:w="1545" w:type="dxa"/>
            <w:tcBorders>
              <w:top w:val="nil"/>
              <w:left w:val="nil"/>
              <w:bottom w:val="nil"/>
              <w:right w:val="nil"/>
            </w:tcBorders>
            <w:tcMar>
              <w:top w:w="128" w:type="dxa"/>
              <w:left w:w="43" w:type="dxa"/>
              <w:bottom w:w="43" w:type="dxa"/>
              <w:right w:w="43" w:type="dxa"/>
            </w:tcMar>
          </w:tcPr>
          <w:p w14:paraId="437308AE" w14:textId="77777777" w:rsidR="00972395" w:rsidRPr="00E73D4B" w:rsidRDefault="00F120C7" w:rsidP="004A107D">
            <w:pPr>
              <w:jc w:val="right"/>
            </w:pPr>
            <w:r w:rsidRPr="00E73D4B">
              <w:t>Nei</w:t>
            </w:r>
          </w:p>
        </w:tc>
      </w:tr>
      <w:tr w:rsidR="00972395" w:rsidRPr="00E73D4B" w14:paraId="64FCE647"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1B1E33F0"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70BB4451" w14:textId="77777777" w:rsidR="00972395" w:rsidRPr="00E73D4B" w:rsidRDefault="00F120C7" w:rsidP="004A107D">
            <w:pPr>
              <w:jc w:val="right"/>
            </w:pPr>
            <w:r w:rsidRPr="00E73D4B">
              <w:t>834</w:t>
            </w:r>
          </w:p>
        </w:tc>
        <w:tc>
          <w:tcPr>
            <w:tcW w:w="4820" w:type="dxa"/>
            <w:tcBorders>
              <w:top w:val="nil"/>
              <w:left w:val="nil"/>
              <w:bottom w:val="nil"/>
              <w:right w:val="nil"/>
            </w:tcBorders>
            <w:tcMar>
              <w:top w:w="128" w:type="dxa"/>
              <w:left w:w="43" w:type="dxa"/>
              <w:bottom w:w="43" w:type="dxa"/>
              <w:right w:w="43" w:type="dxa"/>
            </w:tcMar>
          </w:tcPr>
          <w:p w14:paraId="5B38D83A" w14:textId="77777777" w:rsidR="00972395" w:rsidRPr="00E73D4B" w:rsidRDefault="00F120C7" w:rsidP="004A107D">
            <w:r w:rsidRPr="00E73D4B">
              <w:t>Innføre krav om norske lønns- og arbeidsvilkår for transport av gods eller passasjerer</w:t>
            </w:r>
          </w:p>
        </w:tc>
        <w:tc>
          <w:tcPr>
            <w:tcW w:w="1545" w:type="dxa"/>
            <w:tcBorders>
              <w:top w:val="nil"/>
              <w:left w:val="nil"/>
              <w:bottom w:val="nil"/>
              <w:right w:val="nil"/>
            </w:tcBorders>
            <w:tcMar>
              <w:top w:w="128" w:type="dxa"/>
              <w:left w:w="43" w:type="dxa"/>
              <w:bottom w:w="43" w:type="dxa"/>
              <w:right w:w="43" w:type="dxa"/>
            </w:tcMar>
          </w:tcPr>
          <w:p w14:paraId="2ECC0C34" w14:textId="77777777" w:rsidR="00972395" w:rsidRPr="00E73D4B" w:rsidRDefault="00F120C7" w:rsidP="004A107D">
            <w:pPr>
              <w:jc w:val="right"/>
            </w:pPr>
            <w:r w:rsidRPr="00E73D4B">
              <w:t xml:space="preserve">Ja </w:t>
            </w:r>
          </w:p>
        </w:tc>
      </w:tr>
      <w:tr w:rsidR="00972395" w:rsidRPr="00E73D4B" w14:paraId="4D36B427"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551B2542"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0D712B4C" w14:textId="77777777" w:rsidR="00972395" w:rsidRPr="00E73D4B" w:rsidRDefault="00F120C7" w:rsidP="004A107D">
            <w:pPr>
              <w:jc w:val="right"/>
            </w:pPr>
            <w:r w:rsidRPr="00E73D4B">
              <w:t>835</w:t>
            </w:r>
          </w:p>
        </w:tc>
        <w:tc>
          <w:tcPr>
            <w:tcW w:w="4820" w:type="dxa"/>
            <w:tcBorders>
              <w:top w:val="nil"/>
              <w:left w:val="nil"/>
              <w:bottom w:val="nil"/>
              <w:right w:val="nil"/>
            </w:tcBorders>
            <w:tcMar>
              <w:top w:w="128" w:type="dxa"/>
              <w:left w:w="43" w:type="dxa"/>
              <w:bottom w:w="43" w:type="dxa"/>
              <w:right w:w="43" w:type="dxa"/>
            </w:tcMar>
          </w:tcPr>
          <w:p w14:paraId="4996BFAD" w14:textId="77777777" w:rsidR="00972395" w:rsidRPr="00E73D4B" w:rsidRDefault="00F120C7" w:rsidP="004A107D">
            <w:r w:rsidRPr="00E73D4B">
              <w:t>Innføre krav om norske lønns- og arbeidsvilkår for passasjerskip i norske farvann</w:t>
            </w:r>
          </w:p>
        </w:tc>
        <w:tc>
          <w:tcPr>
            <w:tcW w:w="1545" w:type="dxa"/>
            <w:tcBorders>
              <w:top w:val="nil"/>
              <w:left w:val="nil"/>
              <w:bottom w:val="nil"/>
              <w:right w:val="nil"/>
            </w:tcBorders>
            <w:tcMar>
              <w:top w:w="128" w:type="dxa"/>
              <w:left w:w="43" w:type="dxa"/>
              <w:bottom w:w="43" w:type="dxa"/>
              <w:right w:w="43" w:type="dxa"/>
            </w:tcMar>
          </w:tcPr>
          <w:p w14:paraId="37442B1C" w14:textId="77777777" w:rsidR="00972395" w:rsidRPr="00E73D4B" w:rsidRDefault="00F120C7" w:rsidP="004A107D">
            <w:pPr>
              <w:jc w:val="right"/>
            </w:pPr>
            <w:r w:rsidRPr="00E73D4B">
              <w:t>Ja</w:t>
            </w:r>
          </w:p>
        </w:tc>
      </w:tr>
      <w:tr w:rsidR="00972395" w:rsidRPr="00E73D4B" w14:paraId="7E545D5D"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46AA13FC"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05CD7FE5" w14:textId="77777777" w:rsidR="00972395" w:rsidRPr="00E73D4B" w:rsidRDefault="00F120C7" w:rsidP="004A107D">
            <w:pPr>
              <w:jc w:val="right"/>
            </w:pPr>
            <w:r w:rsidRPr="00E73D4B">
              <w:t>836</w:t>
            </w:r>
          </w:p>
        </w:tc>
        <w:tc>
          <w:tcPr>
            <w:tcW w:w="4820" w:type="dxa"/>
            <w:tcBorders>
              <w:top w:val="nil"/>
              <w:left w:val="nil"/>
              <w:bottom w:val="nil"/>
              <w:right w:val="nil"/>
            </w:tcBorders>
            <w:tcMar>
              <w:top w:w="128" w:type="dxa"/>
              <w:left w:w="43" w:type="dxa"/>
              <w:bottom w:w="43" w:type="dxa"/>
              <w:right w:w="43" w:type="dxa"/>
            </w:tcMar>
          </w:tcPr>
          <w:p w14:paraId="37B02366" w14:textId="77777777" w:rsidR="00972395" w:rsidRPr="00E73D4B" w:rsidRDefault="00F120C7" w:rsidP="004A107D">
            <w:r w:rsidRPr="00E73D4B">
              <w:t>Innføre krav om norske lønns- og arbeidsvilkår for skip som utfører stasjonær virksomhet</w:t>
            </w:r>
          </w:p>
        </w:tc>
        <w:tc>
          <w:tcPr>
            <w:tcW w:w="1545" w:type="dxa"/>
            <w:tcBorders>
              <w:top w:val="nil"/>
              <w:left w:val="nil"/>
              <w:bottom w:val="nil"/>
              <w:right w:val="nil"/>
            </w:tcBorders>
            <w:tcMar>
              <w:top w:w="128" w:type="dxa"/>
              <w:left w:w="43" w:type="dxa"/>
              <w:bottom w:w="43" w:type="dxa"/>
              <w:right w:w="43" w:type="dxa"/>
            </w:tcMar>
          </w:tcPr>
          <w:p w14:paraId="7B4AC429" w14:textId="77777777" w:rsidR="00972395" w:rsidRPr="00E73D4B" w:rsidRDefault="00F120C7" w:rsidP="004A107D">
            <w:pPr>
              <w:jc w:val="right"/>
            </w:pPr>
            <w:r w:rsidRPr="00E73D4B">
              <w:t>Ja</w:t>
            </w:r>
          </w:p>
        </w:tc>
      </w:tr>
      <w:tr w:rsidR="00972395" w:rsidRPr="00E73D4B" w14:paraId="4CF00305"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058EBE63"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502A8A58" w14:textId="77777777" w:rsidR="00972395" w:rsidRPr="00E73D4B" w:rsidRDefault="00F120C7" w:rsidP="004A107D">
            <w:pPr>
              <w:jc w:val="right"/>
            </w:pPr>
            <w:r w:rsidRPr="00E73D4B">
              <w:t>837</w:t>
            </w:r>
          </w:p>
        </w:tc>
        <w:tc>
          <w:tcPr>
            <w:tcW w:w="4820" w:type="dxa"/>
            <w:tcBorders>
              <w:top w:val="nil"/>
              <w:left w:val="nil"/>
              <w:bottom w:val="nil"/>
              <w:right w:val="nil"/>
            </w:tcBorders>
            <w:tcMar>
              <w:top w:w="128" w:type="dxa"/>
              <w:left w:w="43" w:type="dxa"/>
              <w:bottom w:w="43" w:type="dxa"/>
              <w:right w:w="43" w:type="dxa"/>
            </w:tcMar>
          </w:tcPr>
          <w:p w14:paraId="0B0A3C85" w14:textId="77777777" w:rsidR="00972395" w:rsidRPr="00E73D4B" w:rsidRDefault="00F120C7" w:rsidP="004A107D">
            <w:r w:rsidRPr="00E73D4B">
              <w:t>Legge til grunn norske lønns- og arbeidsvilkår for skip som betjener nye havnæringer i norske farvann</w:t>
            </w:r>
          </w:p>
        </w:tc>
        <w:tc>
          <w:tcPr>
            <w:tcW w:w="1545" w:type="dxa"/>
            <w:tcBorders>
              <w:top w:val="nil"/>
              <w:left w:val="nil"/>
              <w:bottom w:val="nil"/>
              <w:right w:val="nil"/>
            </w:tcBorders>
            <w:tcMar>
              <w:top w:w="128" w:type="dxa"/>
              <w:left w:w="43" w:type="dxa"/>
              <w:bottom w:w="43" w:type="dxa"/>
              <w:right w:w="43" w:type="dxa"/>
            </w:tcMar>
          </w:tcPr>
          <w:p w14:paraId="22C07909" w14:textId="77777777" w:rsidR="00972395" w:rsidRPr="00E73D4B" w:rsidRDefault="00F120C7" w:rsidP="004A107D">
            <w:pPr>
              <w:jc w:val="right"/>
            </w:pPr>
            <w:r w:rsidRPr="00E73D4B">
              <w:t>Ja</w:t>
            </w:r>
          </w:p>
        </w:tc>
      </w:tr>
      <w:tr w:rsidR="00972395" w:rsidRPr="00E73D4B" w14:paraId="5672483D"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2EB0ABDD"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4ABDF6FB" w14:textId="77777777" w:rsidR="00972395" w:rsidRPr="00E73D4B" w:rsidRDefault="00F120C7" w:rsidP="004A107D">
            <w:pPr>
              <w:jc w:val="right"/>
            </w:pPr>
            <w:r w:rsidRPr="00E73D4B">
              <w:t>839</w:t>
            </w:r>
          </w:p>
        </w:tc>
        <w:tc>
          <w:tcPr>
            <w:tcW w:w="4820" w:type="dxa"/>
            <w:tcBorders>
              <w:top w:val="nil"/>
              <w:left w:val="nil"/>
              <w:bottom w:val="nil"/>
              <w:right w:val="nil"/>
            </w:tcBorders>
            <w:tcMar>
              <w:top w:w="128" w:type="dxa"/>
              <w:left w:w="43" w:type="dxa"/>
              <w:bottom w:w="43" w:type="dxa"/>
              <w:right w:w="43" w:type="dxa"/>
            </w:tcMar>
          </w:tcPr>
          <w:p w14:paraId="74B8CFC6" w14:textId="77777777" w:rsidR="00972395" w:rsidRPr="00E73D4B" w:rsidRDefault="00F120C7" w:rsidP="004A107D">
            <w:r w:rsidRPr="00E73D4B">
              <w:t xml:space="preserve">Styrke og lovfeste tilskuddsordningen for sysselsetting av sjøfolk </w:t>
            </w:r>
          </w:p>
        </w:tc>
        <w:tc>
          <w:tcPr>
            <w:tcW w:w="1545" w:type="dxa"/>
            <w:tcBorders>
              <w:top w:val="nil"/>
              <w:left w:val="nil"/>
              <w:bottom w:val="nil"/>
              <w:right w:val="nil"/>
            </w:tcBorders>
            <w:tcMar>
              <w:top w:w="128" w:type="dxa"/>
              <w:left w:w="43" w:type="dxa"/>
              <w:bottom w:w="43" w:type="dxa"/>
              <w:right w:w="43" w:type="dxa"/>
            </w:tcMar>
          </w:tcPr>
          <w:p w14:paraId="7107E1E7" w14:textId="77777777" w:rsidR="00972395" w:rsidRPr="00E73D4B" w:rsidRDefault="00F120C7" w:rsidP="004A107D">
            <w:pPr>
              <w:jc w:val="right"/>
            </w:pPr>
            <w:r w:rsidRPr="00E73D4B">
              <w:t>Nei</w:t>
            </w:r>
          </w:p>
        </w:tc>
      </w:tr>
      <w:tr w:rsidR="00972395" w:rsidRPr="00E73D4B" w14:paraId="4CBAE36E"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794A2698"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2CB79EA4" w14:textId="77777777" w:rsidR="00972395" w:rsidRPr="00E73D4B" w:rsidRDefault="00F120C7" w:rsidP="004A107D">
            <w:pPr>
              <w:jc w:val="right"/>
            </w:pPr>
            <w:r w:rsidRPr="00E73D4B">
              <w:t>841</w:t>
            </w:r>
          </w:p>
        </w:tc>
        <w:tc>
          <w:tcPr>
            <w:tcW w:w="4820" w:type="dxa"/>
            <w:tcBorders>
              <w:top w:val="nil"/>
              <w:left w:val="nil"/>
              <w:bottom w:val="nil"/>
              <w:right w:val="nil"/>
            </w:tcBorders>
            <w:tcMar>
              <w:top w:w="128" w:type="dxa"/>
              <w:left w:w="43" w:type="dxa"/>
              <w:bottom w:w="43" w:type="dxa"/>
              <w:right w:w="43" w:type="dxa"/>
            </w:tcMar>
          </w:tcPr>
          <w:p w14:paraId="1B4DB227" w14:textId="77777777" w:rsidR="00972395" w:rsidRPr="00E73D4B" w:rsidRDefault="00F120C7" w:rsidP="004A107D">
            <w:r w:rsidRPr="00E73D4B">
              <w:t>Utrede handlingsrommet innenfor EØS-avtalen for å plassere offentlig oppdrag hos norske verft</w:t>
            </w:r>
          </w:p>
        </w:tc>
        <w:tc>
          <w:tcPr>
            <w:tcW w:w="1545" w:type="dxa"/>
            <w:tcBorders>
              <w:top w:val="nil"/>
              <w:left w:val="nil"/>
              <w:bottom w:val="nil"/>
              <w:right w:val="nil"/>
            </w:tcBorders>
            <w:tcMar>
              <w:top w:w="128" w:type="dxa"/>
              <w:left w:w="43" w:type="dxa"/>
              <w:bottom w:w="43" w:type="dxa"/>
              <w:right w:w="43" w:type="dxa"/>
            </w:tcMar>
          </w:tcPr>
          <w:p w14:paraId="0EB83AF8" w14:textId="77777777" w:rsidR="00972395" w:rsidRPr="00E73D4B" w:rsidRDefault="00F120C7" w:rsidP="004A107D">
            <w:pPr>
              <w:jc w:val="right"/>
            </w:pPr>
            <w:r w:rsidRPr="00E73D4B">
              <w:t>Nei</w:t>
            </w:r>
          </w:p>
        </w:tc>
      </w:tr>
      <w:tr w:rsidR="00972395" w:rsidRPr="00E73D4B" w14:paraId="44E0A053"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38B3DAAA"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66D86E38" w14:textId="77777777" w:rsidR="00972395" w:rsidRPr="00E73D4B" w:rsidRDefault="00F120C7" w:rsidP="004A107D">
            <w:pPr>
              <w:jc w:val="right"/>
            </w:pPr>
            <w:r w:rsidRPr="00E73D4B">
              <w:t>980</w:t>
            </w:r>
          </w:p>
        </w:tc>
        <w:tc>
          <w:tcPr>
            <w:tcW w:w="4820" w:type="dxa"/>
            <w:tcBorders>
              <w:top w:val="nil"/>
              <w:left w:val="nil"/>
              <w:bottom w:val="nil"/>
              <w:right w:val="nil"/>
            </w:tcBorders>
            <w:tcMar>
              <w:top w:w="128" w:type="dxa"/>
              <w:left w:w="43" w:type="dxa"/>
              <w:bottom w:w="43" w:type="dxa"/>
              <w:right w:w="43" w:type="dxa"/>
            </w:tcMar>
          </w:tcPr>
          <w:p w14:paraId="1809389B" w14:textId="77777777" w:rsidR="00972395" w:rsidRPr="00E73D4B" w:rsidRDefault="00F120C7" w:rsidP="004A107D">
            <w:r w:rsidRPr="00E73D4B">
              <w:t>Representantforslag om å sikre en mer helhetlig havbruksforvaltning</w:t>
            </w:r>
          </w:p>
        </w:tc>
        <w:tc>
          <w:tcPr>
            <w:tcW w:w="1545" w:type="dxa"/>
            <w:tcBorders>
              <w:top w:val="nil"/>
              <w:left w:val="nil"/>
              <w:bottom w:val="nil"/>
              <w:right w:val="nil"/>
            </w:tcBorders>
            <w:tcMar>
              <w:top w:w="128" w:type="dxa"/>
              <w:left w:w="43" w:type="dxa"/>
              <w:bottom w:w="43" w:type="dxa"/>
              <w:right w:w="43" w:type="dxa"/>
            </w:tcMar>
          </w:tcPr>
          <w:p w14:paraId="34CD591E" w14:textId="77777777" w:rsidR="00972395" w:rsidRPr="00E73D4B" w:rsidRDefault="00F120C7" w:rsidP="004A107D">
            <w:pPr>
              <w:jc w:val="right"/>
            </w:pPr>
            <w:r w:rsidRPr="00E73D4B">
              <w:t>Nei</w:t>
            </w:r>
          </w:p>
        </w:tc>
      </w:tr>
      <w:tr w:rsidR="00972395" w:rsidRPr="00E73D4B" w14:paraId="7175B2E4"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7873747A"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004874D8" w14:textId="77777777" w:rsidR="00972395" w:rsidRPr="00E73D4B" w:rsidRDefault="00F120C7" w:rsidP="004A107D">
            <w:pPr>
              <w:jc w:val="right"/>
            </w:pPr>
            <w:r w:rsidRPr="00E73D4B">
              <w:t>1111</w:t>
            </w:r>
          </w:p>
        </w:tc>
        <w:tc>
          <w:tcPr>
            <w:tcW w:w="4820" w:type="dxa"/>
            <w:tcBorders>
              <w:top w:val="nil"/>
              <w:left w:val="nil"/>
              <w:bottom w:val="nil"/>
              <w:right w:val="nil"/>
            </w:tcBorders>
            <w:tcMar>
              <w:top w:w="128" w:type="dxa"/>
              <w:left w:w="43" w:type="dxa"/>
              <w:bottom w:w="43" w:type="dxa"/>
              <w:right w:w="43" w:type="dxa"/>
            </w:tcMar>
          </w:tcPr>
          <w:p w14:paraId="76B73425" w14:textId="77777777" w:rsidR="00972395" w:rsidRPr="00E73D4B" w:rsidRDefault="00F120C7" w:rsidP="004A107D">
            <w:r w:rsidRPr="00E73D4B">
              <w:t>Forenkling for næringslivet</w:t>
            </w:r>
          </w:p>
        </w:tc>
        <w:tc>
          <w:tcPr>
            <w:tcW w:w="1545" w:type="dxa"/>
            <w:tcBorders>
              <w:top w:val="nil"/>
              <w:left w:val="nil"/>
              <w:bottom w:val="nil"/>
              <w:right w:val="nil"/>
            </w:tcBorders>
            <w:tcMar>
              <w:top w:w="128" w:type="dxa"/>
              <w:left w:w="43" w:type="dxa"/>
              <w:bottom w:w="43" w:type="dxa"/>
              <w:right w:w="43" w:type="dxa"/>
            </w:tcMar>
          </w:tcPr>
          <w:p w14:paraId="6D5859B0" w14:textId="77777777" w:rsidR="00972395" w:rsidRPr="00E73D4B" w:rsidRDefault="00F120C7" w:rsidP="004A107D">
            <w:pPr>
              <w:jc w:val="right"/>
            </w:pPr>
            <w:r w:rsidRPr="00E73D4B">
              <w:t>Ja</w:t>
            </w:r>
          </w:p>
        </w:tc>
      </w:tr>
      <w:tr w:rsidR="00972395" w:rsidRPr="00E73D4B" w14:paraId="28C467B7"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4B5CBBB4"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3F99D15E" w14:textId="77777777" w:rsidR="00972395" w:rsidRPr="00E73D4B" w:rsidRDefault="00F120C7" w:rsidP="004A107D">
            <w:pPr>
              <w:jc w:val="right"/>
            </w:pPr>
            <w:r w:rsidRPr="00E73D4B">
              <w:t>1135</w:t>
            </w:r>
          </w:p>
        </w:tc>
        <w:tc>
          <w:tcPr>
            <w:tcW w:w="4820" w:type="dxa"/>
            <w:tcBorders>
              <w:top w:val="nil"/>
              <w:left w:val="nil"/>
              <w:bottom w:val="nil"/>
              <w:right w:val="nil"/>
            </w:tcBorders>
            <w:tcMar>
              <w:top w:w="128" w:type="dxa"/>
              <w:left w:w="43" w:type="dxa"/>
              <w:bottom w:w="43" w:type="dxa"/>
              <w:right w:w="43" w:type="dxa"/>
            </w:tcMar>
          </w:tcPr>
          <w:p w14:paraId="0B01C8FC" w14:textId="77777777" w:rsidR="00972395" w:rsidRPr="00E73D4B" w:rsidRDefault="00F120C7" w:rsidP="004A107D">
            <w:r w:rsidRPr="00E73D4B">
              <w:t>Kartlegging av mineralressurser</w:t>
            </w:r>
          </w:p>
        </w:tc>
        <w:tc>
          <w:tcPr>
            <w:tcW w:w="1545" w:type="dxa"/>
            <w:tcBorders>
              <w:top w:val="nil"/>
              <w:left w:val="nil"/>
              <w:bottom w:val="nil"/>
              <w:right w:val="nil"/>
            </w:tcBorders>
            <w:tcMar>
              <w:top w:w="128" w:type="dxa"/>
              <w:left w:w="43" w:type="dxa"/>
              <w:bottom w:w="43" w:type="dxa"/>
              <w:right w:w="43" w:type="dxa"/>
            </w:tcMar>
          </w:tcPr>
          <w:p w14:paraId="5E882A1C" w14:textId="77777777" w:rsidR="00972395" w:rsidRPr="00E73D4B" w:rsidRDefault="00F120C7" w:rsidP="004A107D">
            <w:pPr>
              <w:jc w:val="right"/>
            </w:pPr>
            <w:r w:rsidRPr="00E73D4B">
              <w:t>Ja</w:t>
            </w:r>
          </w:p>
        </w:tc>
      </w:tr>
      <w:tr w:rsidR="00972395" w:rsidRPr="00E73D4B" w14:paraId="0E7006B2"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11CB8E68"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4922E4BA" w14:textId="77777777" w:rsidR="00972395" w:rsidRPr="00E73D4B" w:rsidRDefault="00F120C7" w:rsidP="004A107D">
            <w:pPr>
              <w:jc w:val="right"/>
            </w:pPr>
            <w:r w:rsidRPr="00E73D4B">
              <w:t>1137</w:t>
            </w:r>
          </w:p>
        </w:tc>
        <w:tc>
          <w:tcPr>
            <w:tcW w:w="4820" w:type="dxa"/>
            <w:tcBorders>
              <w:top w:val="nil"/>
              <w:left w:val="nil"/>
              <w:bottom w:val="nil"/>
              <w:right w:val="nil"/>
            </w:tcBorders>
            <w:tcMar>
              <w:top w:w="128" w:type="dxa"/>
              <w:left w:w="43" w:type="dxa"/>
              <w:bottom w:w="43" w:type="dxa"/>
              <w:right w:w="43" w:type="dxa"/>
            </w:tcMar>
          </w:tcPr>
          <w:p w14:paraId="5AAD8F35" w14:textId="77777777" w:rsidR="00972395" w:rsidRPr="00E73D4B" w:rsidRDefault="00F120C7" w:rsidP="004A107D">
            <w:r w:rsidRPr="00E73D4B">
              <w:t>Mineralstrategi</w:t>
            </w:r>
          </w:p>
        </w:tc>
        <w:tc>
          <w:tcPr>
            <w:tcW w:w="1545" w:type="dxa"/>
            <w:tcBorders>
              <w:top w:val="nil"/>
              <w:left w:val="nil"/>
              <w:bottom w:val="nil"/>
              <w:right w:val="nil"/>
            </w:tcBorders>
            <w:tcMar>
              <w:top w:w="128" w:type="dxa"/>
              <w:left w:w="43" w:type="dxa"/>
              <w:bottom w:w="43" w:type="dxa"/>
              <w:right w:w="43" w:type="dxa"/>
            </w:tcMar>
          </w:tcPr>
          <w:p w14:paraId="4F5BC3B6" w14:textId="77777777" w:rsidR="00972395" w:rsidRPr="00E73D4B" w:rsidRDefault="00F120C7" w:rsidP="004A107D">
            <w:pPr>
              <w:jc w:val="right"/>
            </w:pPr>
            <w:r w:rsidRPr="00E73D4B">
              <w:t>Nei</w:t>
            </w:r>
          </w:p>
        </w:tc>
      </w:tr>
      <w:tr w:rsidR="00972395" w:rsidRPr="00E73D4B" w14:paraId="560ECE10"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7ABD8B84" w14:textId="77777777" w:rsidR="00972395" w:rsidRPr="00E73D4B" w:rsidRDefault="00F120C7" w:rsidP="004A107D">
            <w:r w:rsidRPr="00E73D4B">
              <w:t>2020-2021</w:t>
            </w:r>
          </w:p>
        </w:tc>
        <w:tc>
          <w:tcPr>
            <w:tcW w:w="1417" w:type="dxa"/>
            <w:tcBorders>
              <w:top w:val="nil"/>
              <w:left w:val="nil"/>
              <w:bottom w:val="nil"/>
              <w:right w:val="nil"/>
            </w:tcBorders>
            <w:tcMar>
              <w:top w:w="128" w:type="dxa"/>
              <w:left w:w="43" w:type="dxa"/>
              <w:bottom w:w="43" w:type="dxa"/>
              <w:right w:w="43" w:type="dxa"/>
            </w:tcMar>
          </w:tcPr>
          <w:p w14:paraId="549E3147" w14:textId="77777777" w:rsidR="00972395" w:rsidRPr="00E73D4B" w:rsidRDefault="00F120C7" w:rsidP="004A107D">
            <w:pPr>
              <w:jc w:val="right"/>
            </w:pPr>
            <w:r w:rsidRPr="00E73D4B">
              <w:t>1231</w:t>
            </w:r>
          </w:p>
        </w:tc>
        <w:tc>
          <w:tcPr>
            <w:tcW w:w="4820" w:type="dxa"/>
            <w:tcBorders>
              <w:top w:val="nil"/>
              <w:left w:val="nil"/>
              <w:bottom w:val="nil"/>
              <w:right w:val="nil"/>
            </w:tcBorders>
            <w:tcMar>
              <w:top w:w="128" w:type="dxa"/>
              <w:left w:w="43" w:type="dxa"/>
              <w:bottom w:w="43" w:type="dxa"/>
              <w:right w:w="43" w:type="dxa"/>
            </w:tcMar>
          </w:tcPr>
          <w:p w14:paraId="53D5410A" w14:textId="77777777" w:rsidR="00972395" w:rsidRPr="00E73D4B" w:rsidRDefault="00F120C7" w:rsidP="004A107D">
            <w:r w:rsidRPr="00E73D4B">
              <w:t>Løse utfordringene Svinesundtersklene har for innseilingen til Halden</w:t>
            </w:r>
          </w:p>
        </w:tc>
        <w:tc>
          <w:tcPr>
            <w:tcW w:w="1545" w:type="dxa"/>
            <w:tcBorders>
              <w:top w:val="nil"/>
              <w:left w:val="nil"/>
              <w:bottom w:val="nil"/>
              <w:right w:val="nil"/>
            </w:tcBorders>
            <w:tcMar>
              <w:top w:w="128" w:type="dxa"/>
              <w:left w:w="43" w:type="dxa"/>
              <w:bottom w:w="43" w:type="dxa"/>
              <w:right w:w="43" w:type="dxa"/>
            </w:tcMar>
          </w:tcPr>
          <w:p w14:paraId="372D0B14" w14:textId="77777777" w:rsidR="00972395" w:rsidRPr="00E73D4B" w:rsidRDefault="00F120C7" w:rsidP="004A107D">
            <w:pPr>
              <w:jc w:val="right"/>
            </w:pPr>
            <w:r w:rsidRPr="00E73D4B">
              <w:t>Nei</w:t>
            </w:r>
          </w:p>
        </w:tc>
      </w:tr>
      <w:tr w:rsidR="00972395" w:rsidRPr="00E73D4B" w14:paraId="47A0D48A"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110426D0" w14:textId="77777777" w:rsidR="00972395" w:rsidRPr="00E73D4B" w:rsidRDefault="00F120C7" w:rsidP="004A107D">
            <w:r w:rsidRPr="00E73D4B">
              <w:t>2019–2020</w:t>
            </w:r>
          </w:p>
        </w:tc>
        <w:tc>
          <w:tcPr>
            <w:tcW w:w="1417" w:type="dxa"/>
            <w:tcBorders>
              <w:top w:val="nil"/>
              <w:left w:val="nil"/>
              <w:bottom w:val="nil"/>
              <w:right w:val="nil"/>
            </w:tcBorders>
            <w:tcMar>
              <w:top w:w="128" w:type="dxa"/>
              <w:left w:w="43" w:type="dxa"/>
              <w:bottom w:w="43" w:type="dxa"/>
              <w:right w:w="43" w:type="dxa"/>
            </w:tcMar>
          </w:tcPr>
          <w:p w14:paraId="6751BBB9" w14:textId="77777777" w:rsidR="00972395" w:rsidRPr="00E73D4B" w:rsidRDefault="00F120C7" w:rsidP="004A107D">
            <w:pPr>
              <w:jc w:val="right"/>
            </w:pPr>
            <w:r w:rsidRPr="00E73D4B">
              <w:t>549</w:t>
            </w:r>
          </w:p>
        </w:tc>
        <w:tc>
          <w:tcPr>
            <w:tcW w:w="4820" w:type="dxa"/>
            <w:tcBorders>
              <w:top w:val="nil"/>
              <w:left w:val="nil"/>
              <w:bottom w:val="nil"/>
              <w:right w:val="nil"/>
            </w:tcBorders>
            <w:tcMar>
              <w:top w:w="128" w:type="dxa"/>
              <w:left w:w="43" w:type="dxa"/>
              <w:bottom w:w="43" w:type="dxa"/>
              <w:right w:w="43" w:type="dxa"/>
            </w:tcMar>
          </w:tcPr>
          <w:p w14:paraId="459B90F5" w14:textId="77777777" w:rsidR="00972395" w:rsidRPr="00E73D4B" w:rsidRDefault="00F120C7" w:rsidP="004A107D">
            <w:r w:rsidRPr="00E73D4B">
              <w:t>Kvotemeldingen – fordeling mellom flåtegruppene</w:t>
            </w:r>
          </w:p>
        </w:tc>
        <w:tc>
          <w:tcPr>
            <w:tcW w:w="1545" w:type="dxa"/>
            <w:tcBorders>
              <w:top w:val="nil"/>
              <w:left w:val="nil"/>
              <w:bottom w:val="nil"/>
              <w:right w:val="nil"/>
            </w:tcBorders>
            <w:tcMar>
              <w:top w:w="128" w:type="dxa"/>
              <w:left w:w="43" w:type="dxa"/>
              <w:bottom w:w="43" w:type="dxa"/>
              <w:right w:w="43" w:type="dxa"/>
            </w:tcMar>
          </w:tcPr>
          <w:p w14:paraId="7C14DE4B" w14:textId="77777777" w:rsidR="00972395" w:rsidRPr="00E73D4B" w:rsidRDefault="00F120C7" w:rsidP="004A107D">
            <w:pPr>
              <w:jc w:val="right"/>
            </w:pPr>
            <w:r w:rsidRPr="00E73D4B">
              <w:t>Nei</w:t>
            </w:r>
          </w:p>
        </w:tc>
      </w:tr>
      <w:tr w:rsidR="00972395" w:rsidRPr="00E73D4B" w14:paraId="5A0ED880"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00067E30" w14:textId="77777777" w:rsidR="00972395" w:rsidRPr="00E73D4B" w:rsidRDefault="00F120C7" w:rsidP="004A107D">
            <w:r w:rsidRPr="00E73D4B">
              <w:t>2019–2020</w:t>
            </w:r>
          </w:p>
        </w:tc>
        <w:tc>
          <w:tcPr>
            <w:tcW w:w="1417" w:type="dxa"/>
            <w:tcBorders>
              <w:top w:val="nil"/>
              <w:left w:val="nil"/>
              <w:bottom w:val="nil"/>
              <w:right w:val="nil"/>
            </w:tcBorders>
            <w:tcMar>
              <w:top w:w="128" w:type="dxa"/>
              <w:left w:w="43" w:type="dxa"/>
              <w:bottom w:w="43" w:type="dxa"/>
              <w:right w:w="43" w:type="dxa"/>
            </w:tcMar>
          </w:tcPr>
          <w:p w14:paraId="1423B8EE" w14:textId="77777777" w:rsidR="00972395" w:rsidRPr="00E73D4B" w:rsidRDefault="00F120C7" w:rsidP="004A107D">
            <w:pPr>
              <w:jc w:val="right"/>
            </w:pPr>
            <w:r w:rsidRPr="00E73D4B">
              <w:t>551</w:t>
            </w:r>
          </w:p>
        </w:tc>
        <w:tc>
          <w:tcPr>
            <w:tcW w:w="4820" w:type="dxa"/>
            <w:tcBorders>
              <w:top w:val="nil"/>
              <w:left w:val="nil"/>
              <w:bottom w:val="nil"/>
              <w:right w:val="nil"/>
            </w:tcBorders>
            <w:tcMar>
              <w:top w:w="128" w:type="dxa"/>
              <w:left w:w="43" w:type="dxa"/>
              <w:bottom w:w="43" w:type="dxa"/>
              <w:right w:w="43" w:type="dxa"/>
            </w:tcMar>
          </w:tcPr>
          <w:p w14:paraId="397A2C7F" w14:textId="77777777" w:rsidR="00972395" w:rsidRPr="00E73D4B" w:rsidRDefault="00F120C7" w:rsidP="004A107D">
            <w:r w:rsidRPr="00E73D4B">
              <w:t>Kvotemeldingen – fordeling av strukturgevinst</w:t>
            </w:r>
          </w:p>
        </w:tc>
        <w:tc>
          <w:tcPr>
            <w:tcW w:w="1545" w:type="dxa"/>
            <w:tcBorders>
              <w:top w:val="nil"/>
              <w:left w:val="nil"/>
              <w:bottom w:val="nil"/>
              <w:right w:val="nil"/>
            </w:tcBorders>
            <w:tcMar>
              <w:top w:w="128" w:type="dxa"/>
              <w:left w:w="43" w:type="dxa"/>
              <w:bottom w:w="43" w:type="dxa"/>
              <w:right w:w="43" w:type="dxa"/>
            </w:tcMar>
          </w:tcPr>
          <w:p w14:paraId="1F09E7D0" w14:textId="77777777" w:rsidR="00972395" w:rsidRPr="00E73D4B" w:rsidRDefault="00F120C7" w:rsidP="004A107D">
            <w:pPr>
              <w:jc w:val="right"/>
            </w:pPr>
            <w:r w:rsidRPr="00E73D4B">
              <w:t>Nei</w:t>
            </w:r>
          </w:p>
        </w:tc>
      </w:tr>
      <w:tr w:rsidR="00972395" w:rsidRPr="00E73D4B" w14:paraId="0B50C936" w14:textId="77777777" w:rsidTr="004A107D">
        <w:trPr>
          <w:trHeight w:val="640"/>
        </w:trPr>
        <w:tc>
          <w:tcPr>
            <w:tcW w:w="1418" w:type="dxa"/>
            <w:tcBorders>
              <w:top w:val="nil"/>
              <w:left w:val="nil"/>
              <w:bottom w:val="nil"/>
              <w:right w:val="nil"/>
            </w:tcBorders>
            <w:tcMar>
              <w:top w:w="128" w:type="dxa"/>
              <w:left w:w="43" w:type="dxa"/>
              <w:bottom w:w="43" w:type="dxa"/>
              <w:right w:w="43" w:type="dxa"/>
            </w:tcMar>
          </w:tcPr>
          <w:p w14:paraId="06947A59" w14:textId="77777777" w:rsidR="00972395" w:rsidRPr="00E73D4B" w:rsidRDefault="00F120C7" w:rsidP="004A107D">
            <w:r w:rsidRPr="00E73D4B">
              <w:t>2019–2020</w:t>
            </w:r>
          </w:p>
        </w:tc>
        <w:tc>
          <w:tcPr>
            <w:tcW w:w="1417" w:type="dxa"/>
            <w:tcBorders>
              <w:top w:val="nil"/>
              <w:left w:val="nil"/>
              <w:bottom w:val="nil"/>
              <w:right w:val="nil"/>
            </w:tcBorders>
            <w:tcMar>
              <w:top w:w="128" w:type="dxa"/>
              <w:left w:w="43" w:type="dxa"/>
              <w:bottom w:w="43" w:type="dxa"/>
              <w:right w:w="43" w:type="dxa"/>
            </w:tcMar>
          </w:tcPr>
          <w:p w14:paraId="092665A1" w14:textId="77777777" w:rsidR="00972395" w:rsidRPr="00E73D4B" w:rsidRDefault="00F120C7" w:rsidP="004A107D">
            <w:pPr>
              <w:jc w:val="right"/>
            </w:pPr>
            <w:r w:rsidRPr="00E73D4B">
              <w:t>553</w:t>
            </w:r>
          </w:p>
        </w:tc>
        <w:tc>
          <w:tcPr>
            <w:tcW w:w="4820" w:type="dxa"/>
            <w:tcBorders>
              <w:top w:val="nil"/>
              <w:left w:val="nil"/>
              <w:bottom w:val="nil"/>
              <w:right w:val="nil"/>
            </w:tcBorders>
            <w:tcMar>
              <w:top w:w="128" w:type="dxa"/>
              <w:left w:w="43" w:type="dxa"/>
              <w:bottom w:w="43" w:type="dxa"/>
              <w:right w:w="43" w:type="dxa"/>
            </w:tcMar>
          </w:tcPr>
          <w:p w14:paraId="211574EE" w14:textId="77777777" w:rsidR="00972395" w:rsidRPr="00E73D4B" w:rsidRDefault="00F120C7" w:rsidP="004A107D">
            <w:r w:rsidRPr="00E73D4B">
              <w:t>Kvotemeldingen – kvotefleksibilitet i fisket etter torsk, hyse og sei nord for 62° N</w:t>
            </w:r>
          </w:p>
        </w:tc>
        <w:tc>
          <w:tcPr>
            <w:tcW w:w="1545" w:type="dxa"/>
            <w:tcBorders>
              <w:top w:val="nil"/>
              <w:left w:val="nil"/>
              <w:bottom w:val="nil"/>
              <w:right w:val="nil"/>
            </w:tcBorders>
            <w:tcMar>
              <w:top w:w="128" w:type="dxa"/>
              <w:left w:w="43" w:type="dxa"/>
              <w:bottom w:w="43" w:type="dxa"/>
              <w:right w:w="43" w:type="dxa"/>
            </w:tcMar>
          </w:tcPr>
          <w:p w14:paraId="4F33A514" w14:textId="77777777" w:rsidR="00972395" w:rsidRPr="00E73D4B" w:rsidRDefault="00F120C7" w:rsidP="004A107D">
            <w:pPr>
              <w:jc w:val="right"/>
            </w:pPr>
            <w:r w:rsidRPr="00E73D4B">
              <w:t>Nei</w:t>
            </w:r>
          </w:p>
        </w:tc>
      </w:tr>
      <w:tr w:rsidR="00972395" w:rsidRPr="00E73D4B" w14:paraId="0021D821"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3543C109" w14:textId="77777777" w:rsidR="00972395" w:rsidRPr="00E73D4B" w:rsidRDefault="00F120C7" w:rsidP="004A107D">
            <w:r w:rsidRPr="00E73D4B">
              <w:t>2019–2020</w:t>
            </w:r>
          </w:p>
        </w:tc>
        <w:tc>
          <w:tcPr>
            <w:tcW w:w="1417" w:type="dxa"/>
            <w:tcBorders>
              <w:top w:val="nil"/>
              <w:left w:val="nil"/>
              <w:bottom w:val="nil"/>
              <w:right w:val="nil"/>
            </w:tcBorders>
            <w:tcMar>
              <w:top w:w="128" w:type="dxa"/>
              <w:left w:w="43" w:type="dxa"/>
              <w:bottom w:w="43" w:type="dxa"/>
              <w:right w:w="43" w:type="dxa"/>
            </w:tcMar>
          </w:tcPr>
          <w:p w14:paraId="03513464" w14:textId="77777777" w:rsidR="00972395" w:rsidRPr="00E73D4B" w:rsidRDefault="00F120C7" w:rsidP="004A107D">
            <w:pPr>
              <w:jc w:val="right"/>
            </w:pPr>
            <w:r w:rsidRPr="00E73D4B">
              <w:t>555</w:t>
            </w:r>
          </w:p>
        </w:tc>
        <w:tc>
          <w:tcPr>
            <w:tcW w:w="4820" w:type="dxa"/>
            <w:tcBorders>
              <w:top w:val="nil"/>
              <w:left w:val="nil"/>
              <w:bottom w:val="nil"/>
              <w:right w:val="nil"/>
            </w:tcBorders>
            <w:tcMar>
              <w:top w:w="128" w:type="dxa"/>
              <w:left w:w="43" w:type="dxa"/>
              <w:bottom w:w="43" w:type="dxa"/>
              <w:right w:w="43" w:type="dxa"/>
            </w:tcMar>
          </w:tcPr>
          <w:p w14:paraId="5D5383B1" w14:textId="77777777" w:rsidR="00972395" w:rsidRPr="00E73D4B" w:rsidRDefault="00F120C7" w:rsidP="004A107D">
            <w:r w:rsidRPr="00E73D4B">
              <w:t>Kvotemeldingen – om faktisk lengde og hjemmelslengde</w:t>
            </w:r>
          </w:p>
        </w:tc>
        <w:tc>
          <w:tcPr>
            <w:tcW w:w="1545" w:type="dxa"/>
            <w:tcBorders>
              <w:top w:val="nil"/>
              <w:left w:val="nil"/>
              <w:bottom w:val="nil"/>
              <w:right w:val="nil"/>
            </w:tcBorders>
            <w:tcMar>
              <w:top w:w="128" w:type="dxa"/>
              <w:left w:w="43" w:type="dxa"/>
              <w:bottom w:w="43" w:type="dxa"/>
              <w:right w:w="43" w:type="dxa"/>
            </w:tcMar>
          </w:tcPr>
          <w:p w14:paraId="67F01350" w14:textId="77777777" w:rsidR="00972395" w:rsidRPr="00E73D4B" w:rsidRDefault="00F120C7" w:rsidP="004A107D">
            <w:pPr>
              <w:jc w:val="right"/>
            </w:pPr>
            <w:r w:rsidRPr="00E73D4B">
              <w:t>Nei</w:t>
            </w:r>
          </w:p>
        </w:tc>
      </w:tr>
      <w:tr w:rsidR="00972395" w:rsidRPr="00E73D4B" w14:paraId="2EAF4C20"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2D6D2B54" w14:textId="77777777" w:rsidR="00972395" w:rsidRPr="00E73D4B" w:rsidRDefault="00F120C7" w:rsidP="004A107D">
            <w:r w:rsidRPr="00E73D4B">
              <w:t>2019–2020</w:t>
            </w:r>
          </w:p>
        </w:tc>
        <w:tc>
          <w:tcPr>
            <w:tcW w:w="1417" w:type="dxa"/>
            <w:tcBorders>
              <w:top w:val="nil"/>
              <w:left w:val="nil"/>
              <w:bottom w:val="nil"/>
              <w:right w:val="nil"/>
            </w:tcBorders>
            <w:tcMar>
              <w:top w:w="128" w:type="dxa"/>
              <w:left w:w="43" w:type="dxa"/>
              <w:bottom w:w="43" w:type="dxa"/>
              <w:right w:w="43" w:type="dxa"/>
            </w:tcMar>
          </w:tcPr>
          <w:p w14:paraId="5023F7FA" w14:textId="77777777" w:rsidR="00972395" w:rsidRPr="00E73D4B" w:rsidRDefault="00F120C7" w:rsidP="004A107D">
            <w:pPr>
              <w:jc w:val="right"/>
            </w:pPr>
            <w:r w:rsidRPr="00E73D4B">
              <w:t>556</w:t>
            </w:r>
          </w:p>
        </w:tc>
        <w:tc>
          <w:tcPr>
            <w:tcW w:w="4820" w:type="dxa"/>
            <w:tcBorders>
              <w:top w:val="nil"/>
              <w:left w:val="nil"/>
              <w:bottom w:val="nil"/>
              <w:right w:val="nil"/>
            </w:tcBorders>
            <w:tcMar>
              <w:top w:w="128" w:type="dxa"/>
              <w:left w:w="43" w:type="dxa"/>
              <w:bottom w:w="43" w:type="dxa"/>
              <w:right w:w="43" w:type="dxa"/>
            </w:tcMar>
          </w:tcPr>
          <w:p w14:paraId="0EED1E78" w14:textId="77777777" w:rsidR="00972395" w:rsidRPr="00E73D4B" w:rsidRDefault="00F120C7" w:rsidP="004A107D">
            <w:r w:rsidRPr="00E73D4B">
              <w:t>Kvotemeldingen – avvikling av «samfiske med seg selv»</w:t>
            </w:r>
          </w:p>
        </w:tc>
        <w:tc>
          <w:tcPr>
            <w:tcW w:w="1545" w:type="dxa"/>
            <w:tcBorders>
              <w:top w:val="nil"/>
              <w:left w:val="nil"/>
              <w:bottom w:val="nil"/>
              <w:right w:val="nil"/>
            </w:tcBorders>
            <w:tcMar>
              <w:top w:w="128" w:type="dxa"/>
              <w:left w:w="43" w:type="dxa"/>
              <w:bottom w:w="43" w:type="dxa"/>
              <w:right w:w="43" w:type="dxa"/>
            </w:tcMar>
          </w:tcPr>
          <w:p w14:paraId="39B6A39B" w14:textId="77777777" w:rsidR="00972395" w:rsidRPr="00E73D4B" w:rsidRDefault="00F120C7" w:rsidP="004A107D">
            <w:pPr>
              <w:jc w:val="right"/>
            </w:pPr>
            <w:r w:rsidRPr="00E73D4B">
              <w:t>Nei</w:t>
            </w:r>
          </w:p>
        </w:tc>
      </w:tr>
      <w:tr w:rsidR="00972395" w:rsidRPr="00E73D4B" w14:paraId="37D9D4F8" w14:textId="77777777" w:rsidTr="004A107D">
        <w:trPr>
          <w:trHeight w:val="380"/>
        </w:trPr>
        <w:tc>
          <w:tcPr>
            <w:tcW w:w="1418" w:type="dxa"/>
            <w:tcBorders>
              <w:top w:val="nil"/>
              <w:left w:val="nil"/>
              <w:bottom w:val="nil"/>
              <w:right w:val="nil"/>
            </w:tcBorders>
            <w:tcMar>
              <w:top w:w="128" w:type="dxa"/>
              <w:left w:w="43" w:type="dxa"/>
              <w:bottom w:w="43" w:type="dxa"/>
              <w:right w:w="43" w:type="dxa"/>
            </w:tcMar>
          </w:tcPr>
          <w:p w14:paraId="160820CC" w14:textId="77777777" w:rsidR="00972395" w:rsidRPr="00E73D4B" w:rsidRDefault="00F120C7" w:rsidP="004A107D">
            <w:r w:rsidRPr="00E73D4B">
              <w:t>2019–2020</w:t>
            </w:r>
          </w:p>
        </w:tc>
        <w:tc>
          <w:tcPr>
            <w:tcW w:w="1417" w:type="dxa"/>
            <w:tcBorders>
              <w:top w:val="nil"/>
              <w:left w:val="nil"/>
              <w:bottom w:val="nil"/>
              <w:right w:val="nil"/>
            </w:tcBorders>
            <w:tcMar>
              <w:top w:w="128" w:type="dxa"/>
              <w:left w:w="43" w:type="dxa"/>
              <w:bottom w:w="43" w:type="dxa"/>
              <w:right w:w="43" w:type="dxa"/>
            </w:tcMar>
          </w:tcPr>
          <w:p w14:paraId="50DEFC4A" w14:textId="77777777" w:rsidR="00972395" w:rsidRPr="00E73D4B" w:rsidRDefault="00F120C7" w:rsidP="004A107D">
            <w:pPr>
              <w:jc w:val="right"/>
            </w:pPr>
            <w:r w:rsidRPr="00E73D4B">
              <w:t>558</w:t>
            </w:r>
          </w:p>
        </w:tc>
        <w:tc>
          <w:tcPr>
            <w:tcW w:w="4820" w:type="dxa"/>
            <w:tcBorders>
              <w:top w:val="nil"/>
              <w:left w:val="nil"/>
              <w:bottom w:val="nil"/>
              <w:right w:val="nil"/>
            </w:tcBorders>
            <w:tcMar>
              <w:top w:w="128" w:type="dxa"/>
              <w:left w:w="43" w:type="dxa"/>
              <w:bottom w:w="43" w:type="dxa"/>
              <w:right w:w="43" w:type="dxa"/>
            </w:tcMar>
          </w:tcPr>
          <w:p w14:paraId="158175FB" w14:textId="77777777" w:rsidR="00972395" w:rsidRPr="00E73D4B" w:rsidRDefault="00F120C7" w:rsidP="004A107D">
            <w:r w:rsidRPr="00E73D4B">
              <w:t xml:space="preserve">Kvotemeldingen – om konsekvensutredninger </w:t>
            </w:r>
          </w:p>
        </w:tc>
        <w:tc>
          <w:tcPr>
            <w:tcW w:w="1545" w:type="dxa"/>
            <w:tcBorders>
              <w:top w:val="nil"/>
              <w:left w:val="nil"/>
              <w:bottom w:val="nil"/>
              <w:right w:val="nil"/>
            </w:tcBorders>
            <w:tcMar>
              <w:top w:w="128" w:type="dxa"/>
              <w:left w:w="43" w:type="dxa"/>
              <w:bottom w:w="43" w:type="dxa"/>
              <w:right w:w="43" w:type="dxa"/>
            </w:tcMar>
          </w:tcPr>
          <w:p w14:paraId="2297E285" w14:textId="77777777" w:rsidR="00972395" w:rsidRPr="00E73D4B" w:rsidRDefault="00F120C7" w:rsidP="004A107D">
            <w:pPr>
              <w:jc w:val="right"/>
            </w:pPr>
            <w:r w:rsidRPr="00E73D4B">
              <w:t>Nei</w:t>
            </w:r>
          </w:p>
        </w:tc>
      </w:tr>
      <w:tr w:rsidR="00972395" w:rsidRPr="00E73D4B" w14:paraId="2D09B481" w14:textId="77777777" w:rsidTr="004A107D">
        <w:trPr>
          <w:trHeight w:val="640"/>
        </w:trPr>
        <w:tc>
          <w:tcPr>
            <w:tcW w:w="1418" w:type="dxa"/>
            <w:tcBorders>
              <w:top w:val="nil"/>
              <w:left w:val="nil"/>
              <w:right w:val="nil"/>
            </w:tcBorders>
            <w:tcMar>
              <w:top w:w="128" w:type="dxa"/>
              <w:left w:w="43" w:type="dxa"/>
              <w:bottom w:w="43" w:type="dxa"/>
              <w:right w:w="43" w:type="dxa"/>
            </w:tcMar>
          </w:tcPr>
          <w:p w14:paraId="3ACC00F7" w14:textId="77777777" w:rsidR="00972395" w:rsidRPr="00E73D4B" w:rsidRDefault="00F120C7" w:rsidP="004A107D">
            <w:r w:rsidRPr="00E73D4B">
              <w:t>2016–2017</w:t>
            </w:r>
          </w:p>
        </w:tc>
        <w:tc>
          <w:tcPr>
            <w:tcW w:w="1417" w:type="dxa"/>
            <w:tcBorders>
              <w:top w:val="nil"/>
              <w:left w:val="nil"/>
              <w:right w:val="nil"/>
            </w:tcBorders>
            <w:tcMar>
              <w:top w:w="128" w:type="dxa"/>
              <w:left w:w="43" w:type="dxa"/>
              <w:bottom w:w="43" w:type="dxa"/>
              <w:right w:w="43" w:type="dxa"/>
            </w:tcMar>
          </w:tcPr>
          <w:p w14:paraId="3F4DD986" w14:textId="77777777" w:rsidR="00972395" w:rsidRPr="00E73D4B" w:rsidRDefault="00F120C7" w:rsidP="004A107D">
            <w:pPr>
              <w:jc w:val="right"/>
            </w:pPr>
            <w:r w:rsidRPr="00E73D4B">
              <w:t>108 pkt. 35</w:t>
            </w:r>
          </w:p>
        </w:tc>
        <w:tc>
          <w:tcPr>
            <w:tcW w:w="4820" w:type="dxa"/>
            <w:tcBorders>
              <w:top w:val="nil"/>
              <w:left w:val="nil"/>
              <w:right w:val="nil"/>
            </w:tcBorders>
            <w:tcMar>
              <w:top w:w="128" w:type="dxa"/>
              <w:left w:w="43" w:type="dxa"/>
              <w:bottom w:w="43" w:type="dxa"/>
              <w:right w:w="43" w:type="dxa"/>
            </w:tcMar>
          </w:tcPr>
          <w:p w14:paraId="289EC2B2" w14:textId="77777777" w:rsidR="00972395" w:rsidRPr="00E73D4B" w:rsidRDefault="00F120C7" w:rsidP="004A107D">
            <w:r w:rsidRPr="00E73D4B">
              <w:t>Registrering av firmaer og selskap i Norge uten fysisk tilstedeværelse</w:t>
            </w:r>
          </w:p>
        </w:tc>
        <w:tc>
          <w:tcPr>
            <w:tcW w:w="1545" w:type="dxa"/>
            <w:tcBorders>
              <w:top w:val="nil"/>
              <w:left w:val="nil"/>
              <w:right w:val="nil"/>
            </w:tcBorders>
            <w:tcMar>
              <w:top w:w="128" w:type="dxa"/>
              <w:left w:w="43" w:type="dxa"/>
              <w:bottom w:w="43" w:type="dxa"/>
              <w:right w:w="43" w:type="dxa"/>
            </w:tcMar>
          </w:tcPr>
          <w:p w14:paraId="6D9FF869" w14:textId="77777777" w:rsidR="00972395" w:rsidRPr="00E73D4B" w:rsidRDefault="00F120C7" w:rsidP="004A107D">
            <w:pPr>
              <w:jc w:val="right"/>
            </w:pPr>
            <w:r w:rsidRPr="00E73D4B">
              <w:t>Nei</w:t>
            </w:r>
          </w:p>
        </w:tc>
      </w:tr>
      <w:tr w:rsidR="00972395" w:rsidRPr="00E73D4B" w14:paraId="106182E7" w14:textId="77777777" w:rsidTr="004A107D">
        <w:trPr>
          <w:trHeight w:val="380"/>
        </w:trPr>
        <w:tc>
          <w:tcPr>
            <w:tcW w:w="1418" w:type="dxa"/>
            <w:tcBorders>
              <w:top w:val="nil"/>
              <w:left w:val="nil"/>
              <w:bottom w:val="single" w:sz="4" w:space="0" w:color="000000"/>
              <w:right w:val="nil"/>
            </w:tcBorders>
            <w:shd w:val="clear" w:color="auto" w:fill="auto"/>
            <w:tcMar>
              <w:top w:w="128" w:type="dxa"/>
              <w:left w:w="43" w:type="dxa"/>
              <w:bottom w:w="43" w:type="dxa"/>
              <w:right w:w="43" w:type="dxa"/>
            </w:tcMar>
          </w:tcPr>
          <w:p w14:paraId="685E831D" w14:textId="77777777" w:rsidR="00972395" w:rsidRPr="00E73D4B" w:rsidRDefault="00F120C7" w:rsidP="004A107D">
            <w:r w:rsidRPr="00E73D4B">
              <w:t>2013–2014</w:t>
            </w:r>
          </w:p>
        </w:tc>
        <w:tc>
          <w:tcPr>
            <w:tcW w:w="1417" w:type="dxa"/>
            <w:tcBorders>
              <w:top w:val="nil"/>
              <w:left w:val="nil"/>
              <w:bottom w:val="single" w:sz="4" w:space="0" w:color="000000"/>
              <w:right w:val="nil"/>
            </w:tcBorders>
            <w:shd w:val="clear" w:color="auto" w:fill="auto"/>
            <w:tcMar>
              <w:top w:w="128" w:type="dxa"/>
              <w:left w:w="43" w:type="dxa"/>
              <w:bottom w:w="43" w:type="dxa"/>
              <w:right w:w="43" w:type="dxa"/>
            </w:tcMar>
          </w:tcPr>
          <w:p w14:paraId="0CD8EFF7" w14:textId="77777777" w:rsidR="00972395" w:rsidRPr="00E73D4B" w:rsidRDefault="00F120C7" w:rsidP="004A107D">
            <w:pPr>
              <w:jc w:val="right"/>
            </w:pPr>
            <w:r w:rsidRPr="00E73D4B">
              <w:t>496</w:t>
            </w:r>
          </w:p>
        </w:tc>
        <w:tc>
          <w:tcPr>
            <w:tcW w:w="4820" w:type="dxa"/>
            <w:tcBorders>
              <w:top w:val="nil"/>
              <w:left w:val="nil"/>
              <w:bottom w:val="single" w:sz="4" w:space="0" w:color="000000"/>
              <w:right w:val="nil"/>
            </w:tcBorders>
            <w:shd w:val="clear" w:color="auto" w:fill="auto"/>
            <w:tcMar>
              <w:top w:w="128" w:type="dxa"/>
              <w:left w:w="43" w:type="dxa"/>
              <w:bottom w:w="43" w:type="dxa"/>
              <w:right w:w="43" w:type="dxa"/>
            </w:tcMar>
          </w:tcPr>
          <w:p w14:paraId="797A96F1" w14:textId="77777777" w:rsidR="00972395" w:rsidRPr="00E73D4B" w:rsidRDefault="00F120C7" w:rsidP="004A107D">
            <w:r w:rsidRPr="00E73D4B">
              <w:t>Informasjon om eiere av aksjeselskap</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tcPr>
          <w:p w14:paraId="6EFD8EF0" w14:textId="77777777" w:rsidR="00972395" w:rsidRPr="00E73D4B" w:rsidRDefault="00F120C7" w:rsidP="004A107D">
            <w:pPr>
              <w:jc w:val="right"/>
            </w:pPr>
            <w:r w:rsidRPr="00E73D4B">
              <w:t>Nei</w:t>
            </w:r>
          </w:p>
        </w:tc>
      </w:tr>
    </w:tbl>
    <w:p w14:paraId="5AEC5B91" w14:textId="77777777" w:rsidR="00972395" w:rsidRPr="00E73D4B" w:rsidRDefault="00F120C7" w:rsidP="004A107D">
      <w:pPr>
        <w:pStyle w:val="Overskrift2"/>
        <w:numPr>
          <w:ilvl w:val="1"/>
          <w:numId w:val="38"/>
        </w:numPr>
      </w:pPr>
      <w:r w:rsidRPr="00E73D4B">
        <w:t>Stortingssesjon 2021–2022</w:t>
      </w:r>
    </w:p>
    <w:p w14:paraId="3881AC0F" w14:textId="77777777" w:rsidR="00972395" w:rsidRPr="00E73D4B" w:rsidRDefault="00F120C7" w:rsidP="00E73D4B">
      <w:pPr>
        <w:pStyle w:val="avsnitt-tittel"/>
      </w:pPr>
      <w:r w:rsidRPr="00E73D4B">
        <w:t>Et tydelig klima- og miljømandat for Eksfin og etablering av eget program for eksport av norsk, grønn teknologi og kompetanse</w:t>
      </w:r>
    </w:p>
    <w:p w14:paraId="61B281E1" w14:textId="77777777" w:rsidR="00972395" w:rsidRPr="00E73D4B" w:rsidRDefault="00F120C7" w:rsidP="00E73D4B">
      <w:pPr>
        <w:pStyle w:val="avsnitt-undertittel"/>
      </w:pPr>
      <w:r w:rsidRPr="00E73D4B">
        <w:t>Vedtak nr. 35. nr. 2, 2. desember 2021</w:t>
      </w:r>
    </w:p>
    <w:p w14:paraId="182D8B0E" w14:textId="77777777" w:rsidR="00972395" w:rsidRPr="00E73D4B" w:rsidRDefault="00F120C7" w:rsidP="00E73D4B">
      <w:pPr>
        <w:pStyle w:val="blokksit"/>
        <w:rPr>
          <w:rStyle w:val="kursiv"/>
        </w:rPr>
      </w:pPr>
      <w:r w:rsidRPr="00E73D4B">
        <w:rPr>
          <w:rStyle w:val="kursiv"/>
        </w:rPr>
        <w:t>«Stortinget ber regjeringen: 2. 2. gi Eksportfinansiering Norge et tydelig klima- og miljømandat, etablere et eget program for eksport av norsk, grønn teknologi og kompetanse og melde tilbake til Stortinget om dette på egnet måte.»</w:t>
      </w:r>
    </w:p>
    <w:p w14:paraId="263C444C" w14:textId="77777777" w:rsidR="00972395" w:rsidRPr="00E73D4B" w:rsidRDefault="00F120C7" w:rsidP="00E73D4B">
      <w:r w:rsidRPr="00E73D4B">
        <w:t xml:space="preserve">Vedtaket ble truffet under behandling av Meld. St. 1 (2021–2022) </w:t>
      </w:r>
      <w:r w:rsidRPr="00E73D4B">
        <w:rPr>
          <w:rStyle w:val="kursiv"/>
        </w:rPr>
        <w:t>Finansinnstillingen – nasjonalbudsjettet og statsbudsjettet 2022</w:t>
      </w:r>
      <w:r w:rsidRPr="00E73D4B">
        <w:t xml:space="preserve">, jf. </w:t>
      </w:r>
      <w:proofErr w:type="spellStart"/>
      <w:r w:rsidRPr="00E73D4B">
        <w:t>Innst</w:t>
      </w:r>
      <w:proofErr w:type="spellEnd"/>
      <w:r w:rsidRPr="00E73D4B">
        <w:t>. 2 S (2021–2022)</w:t>
      </w:r>
    </w:p>
    <w:p w14:paraId="7114D187" w14:textId="77777777" w:rsidR="00972395" w:rsidRPr="00E73D4B" w:rsidRDefault="00F120C7" w:rsidP="00E73D4B">
      <w:r w:rsidRPr="00E73D4B">
        <w:t xml:space="preserve">Regjeringen har besluttet å utvide Eksportfinansiering Norge (Eksfin) sitt mandat, i tråd med redegjørelsen for Stortinget i </w:t>
      </w:r>
      <w:proofErr w:type="spellStart"/>
      <w:r w:rsidRPr="00E73D4B">
        <w:t>Prop</w:t>
      </w:r>
      <w:proofErr w:type="spellEnd"/>
      <w:r w:rsidRPr="00E73D4B">
        <w:t>. 77 S (2021–2022). Regjeringen gir Eksfin mulighet til å gi langsiktig finansiering (lån og garanti) til bedrifter i Norge med klimavennlige investeringer og eksportpotensial. Dette innebærer at Eksfin kan finansiere klimavennlige investeringer også hvis prosjektet ikke gir eksportinntekter direkte, men har potensial for eksport framover. Formålet er å bidra til at samfunnsøkonomisk lønnsomme og klimavennlige investeringer får tilgang på langsiktig finansiering. Regjeringen har også, gjennom Veikart for grønt industriløft varslet, at man vil styrke Eksfin som virkemiddel for store industriprosjekter og foreta en «grønn spissing» av virkemiddelapparatet. Samlet bidrar dette til at Eksfin får en tydelig «grønnere» profil og portefølje framover.</w:t>
      </w:r>
    </w:p>
    <w:p w14:paraId="46B7118B" w14:textId="77777777" w:rsidR="00972395" w:rsidRPr="00E73D4B" w:rsidRDefault="00F120C7" w:rsidP="00E73D4B">
      <w:r w:rsidRPr="00E73D4B">
        <w:t>Vedtaket anses med dette som fulgt opp.</w:t>
      </w:r>
    </w:p>
    <w:p w14:paraId="7828D1BE" w14:textId="77777777" w:rsidR="00972395" w:rsidRPr="00E73D4B" w:rsidRDefault="00F120C7" w:rsidP="00E73D4B">
      <w:pPr>
        <w:pStyle w:val="avsnitt-tittel"/>
      </w:pPr>
      <w:r w:rsidRPr="00E73D4B">
        <w:t>Investeringer i presåkornfasen</w:t>
      </w:r>
    </w:p>
    <w:p w14:paraId="51035478" w14:textId="77777777" w:rsidR="00972395" w:rsidRPr="00E73D4B" w:rsidRDefault="00F120C7" w:rsidP="00E73D4B">
      <w:pPr>
        <w:pStyle w:val="avsnitt-undertittel"/>
      </w:pPr>
      <w:r w:rsidRPr="00E73D4B">
        <w:t>Vedtak nr. 35. nr. 3, 2. desember 2021</w:t>
      </w:r>
    </w:p>
    <w:p w14:paraId="07CC4F8C" w14:textId="77777777" w:rsidR="00972395" w:rsidRPr="00E73D4B" w:rsidRDefault="00F120C7" w:rsidP="00E73D4B">
      <w:pPr>
        <w:pStyle w:val="blokksit"/>
        <w:rPr>
          <w:rStyle w:val="kursiv"/>
        </w:rPr>
      </w:pPr>
      <w:r w:rsidRPr="00E73D4B">
        <w:rPr>
          <w:rStyle w:val="kursiv"/>
        </w:rPr>
        <w:t xml:space="preserve">«Stortinget ber regjeringen: 3. sikre at </w:t>
      </w:r>
      <w:proofErr w:type="spellStart"/>
      <w:r w:rsidRPr="00E73D4B">
        <w:rPr>
          <w:rStyle w:val="kursiv"/>
        </w:rPr>
        <w:t>Investinor</w:t>
      </w:r>
      <w:proofErr w:type="spellEnd"/>
      <w:r w:rsidRPr="00E73D4B">
        <w:rPr>
          <w:rStyle w:val="kursiv"/>
        </w:rPr>
        <w:t xml:space="preserve"> fortsetter satsingen på investeringer i presåkornfasen.»</w:t>
      </w:r>
    </w:p>
    <w:p w14:paraId="44145A11" w14:textId="77777777" w:rsidR="00972395" w:rsidRPr="00E73D4B" w:rsidRDefault="00F120C7" w:rsidP="00E73D4B">
      <w:r w:rsidRPr="00E73D4B">
        <w:t xml:space="preserve">Vedtaket ble truffet under behandling av Meld. St. 1 (2021–2022) </w:t>
      </w:r>
      <w:r w:rsidRPr="00E73D4B">
        <w:rPr>
          <w:rStyle w:val="kursiv"/>
        </w:rPr>
        <w:t>Finansinnstillingen – nasjonalbudsjettet og statsbudsjettet 2022</w:t>
      </w:r>
      <w:r w:rsidRPr="00E73D4B">
        <w:t xml:space="preserve">, jf. </w:t>
      </w:r>
      <w:proofErr w:type="spellStart"/>
      <w:r w:rsidRPr="00E73D4B">
        <w:t>Innst</w:t>
      </w:r>
      <w:proofErr w:type="spellEnd"/>
      <w:r w:rsidRPr="00E73D4B">
        <w:t>. 2 S (2021–2022).</w:t>
      </w:r>
    </w:p>
    <w:p w14:paraId="5BD01E75" w14:textId="77777777" w:rsidR="00972395" w:rsidRPr="00E73D4B" w:rsidRDefault="00F120C7" w:rsidP="00E73D4B">
      <w:r w:rsidRPr="00E73D4B">
        <w:t xml:space="preserve">I </w:t>
      </w:r>
      <w:proofErr w:type="spellStart"/>
      <w:r w:rsidRPr="00E73D4B">
        <w:t>Prop</w:t>
      </w:r>
      <w:proofErr w:type="spellEnd"/>
      <w:r w:rsidRPr="00E73D4B">
        <w:t xml:space="preserve">. 1 S (2019–2020) for Nærings- og fiskeridepartementet framgår det at det nye mandatet for fonds- og </w:t>
      </w:r>
      <w:proofErr w:type="spellStart"/>
      <w:r w:rsidRPr="00E73D4B">
        <w:t>matchinginvesteringer</w:t>
      </w:r>
      <w:proofErr w:type="spellEnd"/>
      <w:r w:rsidRPr="00E73D4B">
        <w:t xml:space="preserve"> som ble tilført </w:t>
      </w:r>
      <w:proofErr w:type="spellStart"/>
      <w:r w:rsidRPr="00E73D4B">
        <w:t>Investinor</w:t>
      </w:r>
      <w:proofErr w:type="spellEnd"/>
      <w:r w:rsidRPr="00E73D4B">
        <w:t xml:space="preserve"> i 2020, også kan ivareta formålet med såkorn- og pre-såkornordningen framover. Det nye mandatet gir selskapet fleksibilitet når det gjelder investeringsfaser. Det er styret i selskapet som gjør de endelige vurderingene av investeringene, herunder også fordelingen mellom fasene. En stor andel av investeringene under mandatet for fonds- og </w:t>
      </w:r>
      <w:proofErr w:type="spellStart"/>
      <w:r w:rsidRPr="00E73D4B">
        <w:t>matchinginvesteringer</w:t>
      </w:r>
      <w:proofErr w:type="spellEnd"/>
      <w:r w:rsidRPr="00E73D4B">
        <w:t xml:space="preserve"> er i pre-såkornfasen, jf. ytterligere omtale under kap. 952 </w:t>
      </w:r>
      <w:proofErr w:type="spellStart"/>
      <w:r w:rsidRPr="00E73D4B">
        <w:t>Investinor</w:t>
      </w:r>
      <w:proofErr w:type="spellEnd"/>
      <w:r w:rsidRPr="00E73D4B">
        <w:t xml:space="preserve">. Etter departementets vurdering tilsier resultatene fra fonds- og </w:t>
      </w:r>
      <w:proofErr w:type="spellStart"/>
      <w:r w:rsidRPr="00E73D4B">
        <w:t>matchingmandatet</w:t>
      </w:r>
      <w:proofErr w:type="spellEnd"/>
      <w:r w:rsidRPr="00E73D4B">
        <w:t xml:space="preserve"> så langt at det ikke er behov for ytterligere oppfølging av vedtaket.</w:t>
      </w:r>
    </w:p>
    <w:p w14:paraId="5A2D5800" w14:textId="77777777" w:rsidR="00972395" w:rsidRPr="00E73D4B" w:rsidRDefault="00F120C7" w:rsidP="00E73D4B">
      <w:r w:rsidRPr="00E73D4B">
        <w:t>Vedtaket anses med dette som fulgt opp.</w:t>
      </w:r>
    </w:p>
    <w:p w14:paraId="1895EE9D" w14:textId="77777777" w:rsidR="00972395" w:rsidRPr="00E73D4B" w:rsidRDefault="00F120C7" w:rsidP="00E73D4B">
      <w:pPr>
        <w:pStyle w:val="avsnitt-tittel"/>
      </w:pPr>
      <w:proofErr w:type="spellStart"/>
      <w:r w:rsidRPr="00E73D4B">
        <w:t>Nullutslippløsninger</w:t>
      </w:r>
      <w:proofErr w:type="spellEnd"/>
      <w:r w:rsidRPr="00E73D4B">
        <w:t xml:space="preserve"> for servicefartøy i havbruksnæringen</w:t>
      </w:r>
    </w:p>
    <w:p w14:paraId="4AEFC51E" w14:textId="77777777" w:rsidR="00972395" w:rsidRPr="00E73D4B" w:rsidRDefault="00F120C7" w:rsidP="00E73D4B">
      <w:pPr>
        <w:pStyle w:val="avsnitt-undertittel"/>
      </w:pPr>
      <w:r w:rsidRPr="00E73D4B">
        <w:t>Vedtak nr. 35. nr. 12, 2. desember 2021</w:t>
      </w:r>
    </w:p>
    <w:p w14:paraId="6B69DFB2" w14:textId="77777777" w:rsidR="00972395" w:rsidRPr="00E73D4B" w:rsidRDefault="00F120C7" w:rsidP="00E73D4B">
      <w:pPr>
        <w:pStyle w:val="blokksit"/>
        <w:rPr>
          <w:rStyle w:val="kursiv"/>
        </w:rPr>
      </w:pPr>
      <w:r w:rsidRPr="00E73D4B">
        <w:rPr>
          <w:rStyle w:val="kursiv"/>
        </w:rPr>
        <w:t>«Stortinget ber regjeringen: 12. 12. utrede et påbud om nullutslippsløsninger for servicefartøy i havbruksnæringen.»</w:t>
      </w:r>
    </w:p>
    <w:p w14:paraId="57B79AA9" w14:textId="77777777" w:rsidR="00972395" w:rsidRPr="00E73D4B" w:rsidRDefault="00F120C7" w:rsidP="00E73D4B">
      <w:r w:rsidRPr="00E73D4B">
        <w:t xml:space="preserve">Vedtaket ble truffet under behandling av Meld. St. 1 (2021–2022) </w:t>
      </w:r>
      <w:r w:rsidRPr="00E73D4B">
        <w:rPr>
          <w:rStyle w:val="kursiv"/>
        </w:rPr>
        <w:t>Finansinnstillingen – nasjonalbudsjettet og statsbudsjettet 2022</w:t>
      </w:r>
      <w:r w:rsidRPr="00E73D4B">
        <w:t xml:space="preserve">, jf. </w:t>
      </w:r>
      <w:proofErr w:type="spellStart"/>
      <w:r w:rsidRPr="00E73D4B">
        <w:t>Innst</w:t>
      </w:r>
      <w:proofErr w:type="spellEnd"/>
      <w:r w:rsidRPr="00E73D4B">
        <w:t>. 2 S (2021–2022).</w:t>
      </w:r>
    </w:p>
    <w:p w14:paraId="39B52DEC" w14:textId="77777777" w:rsidR="00972395" w:rsidRPr="00E73D4B" w:rsidRDefault="00F120C7" w:rsidP="00E73D4B">
      <w:r w:rsidRPr="00E73D4B">
        <w:t>Nærings- fiskeridepartementet arbeider med oppfølgingen av vedtaket. Regjeringen vil på egnet måte komme tilbake til hvordan Stortingets vedtak følges opp.</w:t>
      </w:r>
    </w:p>
    <w:p w14:paraId="76AF791E" w14:textId="77777777" w:rsidR="00972395" w:rsidRPr="00E73D4B" w:rsidRDefault="00F120C7" w:rsidP="00E73D4B">
      <w:pPr>
        <w:pStyle w:val="avsnitt-tittel"/>
      </w:pPr>
      <w:r w:rsidRPr="00E73D4B">
        <w:t>Opprettholde aktivitetskrav i kongekrabbefiske</w:t>
      </w:r>
    </w:p>
    <w:p w14:paraId="44C6718E" w14:textId="77777777" w:rsidR="00972395" w:rsidRPr="00E73D4B" w:rsidRDefault="00F120C7" w:rsidP="00E73D4B">
      <w:pPr>
        <w:pStyle w:val="avsnitt-undertittel"/>
      </w:pPr>
      <w:r w:rsidRPr="00E73D4B">
        <w:t>Vedtak nr. 35. nr. 57, 2. desember 2021</w:t>
      </w:r>
    </w:p>
    <w:p w14:paraId="0BFF1F98" w14:textId="77777777" w:rsidR="00972395" w:rsidRPr="00E73D4B" w:rsidRDefault="00F120C7" w:rsidP="00E73D4B">
      <w:pPr>
        <w:pStyle w:val="blokksit"/>
        <w:rPr>
          <w:rStyle w:val="kursiv"/>
        </w:rPr>
      </w:pPr>
      <w:r w:rsidRPr="00E73D4B">
        <w:rPr>
          <w:rStyle w:val="kursiv"/>
        </w:rPr>
        <w:t>«Stortinget ber regjeringen: 57. opprettholde dagens aktivitetskrav i kongekrabbefisket på 200 000 NOK.»</w:t>
      </w:r>
    </w:p>
    <w:p w14:paraId="556BB6E0" w14:textId="77777777" w:rsidR="00972395" w:rsidRPr="00E73D4B" w:rsidRDefault="00F120C7" w:rsidP="00E73D4B">
      <w:r w:rsidRPr="00E73D4B">
        <w:t xml:space="preserve">Vedtaket ble truffet under behandling av Meld. St. 1 (2021–2022) </w:t>
      </w:r>
      <w:r w:rsidRPr="00E73D4B">
        <w:rPr>
          <w:rStyle w:val="kursiv"/>
        </w:rPr>
        <w:t>Finansinnstillingen – nasjonalbudsjettet og statsbudsjettet 2022</w:t>
      </w:r>
      <w:r w:rsidRPr="00E73D4B">
        <w:t xml:space="preserve">, jf. </w:t>
      </w:r>
      <w:proofErr w:type="spellStart"/>
      <w:r w:rsidRPr="00E73D4B">
        <w:t>Innst</w:t>
      </w:r>
      <w:proofErr w:type="spellEnd"/>
      <w:r w:rsidRPr="00E73D4B">
        <w:t>. 2 S (2021–2022).</w:t>
      </w:r>
    </w:p>
    <w:p w14:paraId="2053931B" w14:textId="77777777" w:rsidR="00972395" w:rsidRPr="00E73D4B" w:rsidRDefault="00F120C7" w:rsidP="00E73D4B">
      <w:r w:rsidRPr="00E73D4B">
        <w:t>Aktivitetskravet for å få full kvote i det kvoteregulerte fisket etter kongekrabbe i 2022 er opprettholdt på 200 000 kroner.</w:t>
      </w:r>
    </w:p>
    <w:p w14:paraId="413F4395" w14:textId="77777777" w:rsidR="00972395" w:rsidRPr="00E73D4B" w:rsidRDefault="00F120C7" w:rsidP="00E73D4B">
      <w:r w:rsidRPr="00E73D4B">
        <w:t>Vedtaket anses med dette som fulgt opp.</w:t>
      </w:r>
    </w:p>
    <w:p w14:paraId="33107DA0" w14:textId="77777777" w:rsidR="00972395" w:rsidRPr="00E73D4B" w:rsidRDefault="00F120C7" w:rsidP="00E73D4B">
      <w:pPr>
        <w:pStyle w:val="avsnitt-tittel"/>
      </w:pPr>
      <w:r w:rsidRPr="00E73D4B">
        <w:t>Søknadsbasert tilskuddsordning for ungdomsfiske</w:t>
      </w:r>
    </w:p>
    <w:p w14:paraId="1AB03C71" w14:textId="77777777" w:rsidR="00972395" w:rsidRPr="00E73D4B" w:rsidRDefault="00F120C7" w:rsidP="00E73D4B">
      <w:pPr>
        <w:pStyle w:val="avsnitt-undertittel"/>
      </w:pPr>
      <w:r w:rsidRPr="00E73D4B">
        <w:t>Vedtak nr. 35. nr. 58., 2. desember 2021</w:t>
      </w:r>
    </w:p>
    <w:p w14:paraId="760B824E" w14:textId="77777777" w:rsidR="00972395" w:rsidRPr="00E73D4B" w:rsidRDefault="00F120C7" w:rsidP="00E73D4B">
      <w:pPr>
        <w:pStyle w:val="blokksit"/>
        <w:rPr>
          <w:rStyle w:val="kursiv"/>
        </w:rPr>
      </w:pPr>
      <w:r w:rsidRPr="00E73D4B">
        <w:rPr>
          <w:rStyle w:val="kursiv"/>
        </w:rPr>
        <w:t>«Stortinget ber regjeringen: 58. øremerke 2 millioner kroner under kap. 900, post 75 til en ny nasjonal søknadsbasert tilskuddordning for kommuner som vil legge til rette for at ungdom får erfaring med fiske.»</w:t>
      </w:r>
    </w:p>
    <w:p w14:paraId="3292E093" w14:textId="77777777" w:rsidR="00972395" w:rsidRPr="00E73D4B" w:rsidRDefault="00F120C7" w:rsidP="00E73D4B">
      <w:r w:rsidRPr="00E73D4B">
        <w:t xml:space="preserve">Vedtaket ble truffet under behandling av Meld. St. 1 (2021–2022) </w:t>
      </w:r>
      <w:r w:rsidRPr="00E73D4B">
        <w:rPr>
          <w:rStyle w:val="kursiv"/>
        </w:rPr>
        <w:t>Finansinnstillingen – nasjonalbudsjettet og statsbudsjettet 2022</w:t>
      </w:r>
      <w:r w:rsidRPr="00E73D4B">
        <w:t xml:space="preserve">, jf. </w:t>
      </w:r>
      <w:proofErr w:type="spellStart"/>
      <w:r w:rsidRPr="00E73D4B">
        <w:t>Innst</w:t>
      </w:r>
      <w:proofErr w:type="spellEnd"/>
      <w:r w:rsidRPr="00E73D4B">
        <w:t>. 2 S (2021–2022).</w:t>
      </w:r>
    </w:p>
    <w:p w14:paraId="47BE3328" w14:textId="77777777" w:rsidR="00972395" w:rsidRPr="00E73D4B" w:rsidRDefault="00F120C7" w:rsidP="00E73D4B">
      <w:r w:rsidRPr="00E73D4B">
        <w:t>Frist for kommuner til å søke om midler var 20. mai. Ved søknadsfristens utløp var det kommet inn søknader fra ti kommuner og alle fikk støtte. Tilsagn ble gitt 2. juni 2022.</w:t>
      </w:r>
    </w:p>
    <w:p w14:paraId="66BD5182" w14:textId="77777777" w:rsidR="00972395" w:rsidRPr="00E73D4B" w:rsidRDefault="00F120C7" w:rsidP="00E73D4B">
      <w:r w:rsidRPr="00E73D4B">
        <w:t>Vedtaket anses med dette som fulgt opp.</w:t>
      </w:r>
    </w:p>
    <w:p w14:paraId="07ECC91D" w14:textId="77777777" w:rsidR="00972395" w:rsidRPr="00E73D4B" w:rsidRDefault="00F120C7" w:rsidP="00E73D4B">
      <w:pPr>
        <w:pStyle w:val="avsnitt-tittel"/>
      </w:pPr>
      <w:r w:rsidRPr="00E73D4B">
        <w:t>Nullvisjon for næringer til havs</w:t>
      </w:r>
    </w:p>
    <w:p w14:paraId="21EC0BB1" w14:textId="77777777" w:rsidR="00972395" w:rsidRPr="00E73D4B" w:rsidRDefault="00F120C7" w:rsidP="00E73D4B">
      <w:pPr>
        <w:pStyle w:val="avsnitt-undertittel"/>
      </w:pPr>
      <w:r w:rsidRPr="00E73D4B">
        <w:t>Vedtak nr. 481, 8. april 2022</w:t>
      </w:r>
    </w:p>
    <w:p w14:paraId="77895AF1" w14:textId="77777777" w:rsidR="00972395" w:rsidRPr="00E73D4B" w:rsidRDefault="00F120C7" w:rsidP="00E73D4B">
      <w:pPr>
        <w:pStyle w:val="blokksit"/>
        <w:rPr>
          <w:rStyle w:val="kursiv"/>
        </w:rPr>
      </w:pPr>
      <w:r w:rsidRPr="00E73D4B">
        <w:rPr>
          <w:rStyle w:val="kursiv"/>
        </w:rPr>
        <w:t xml:space="preserve">«Stortinget stiller seg positiv til </w:t>
      </w:r>
      <w:proofErr w:type="spellStart"/>
      <w:r w:rsidRPr="00E73D4B">
        <w:rPr>
          <w:rStyle w:val="kursiv"/>
        </w:rPr>
        <w:t>ein</w:t>
      </w:r>
      <w:proofErr w:type="spellEnd"/>
      <w:r w:rsidRPr="00E73D4B">
        <w:rPr>
          <w:rStyle w:val="kursiv"/>
        </w:rPr>
        <w:t xml:space="preserve"> nullvisjon for </w:t>
      </w:r>
      <w:proofErr w:type="spellStart"/>
      <w:r w:rsidRPr="00E73D4B">
        <w:rPr>
          <w:rStyle w:val="kursiv"/>
        </w:rPr>
        <w:t>næringane</w:t>
      </w:r>
      <w:proofErr w:type="spellEnd"/>
      <w:r w:rsidRPr="00E73D4B">
        <w:rPr>
          <w:rStyle w:val="kursiv"/>
        </w:rPr>
        <w:t xml:space="preserve"> til havs, og ber om at regjeringa kjem tilbake til Stortinget på eigna måte, slik statsråden har gjort greie for i svaret sitt.»</w:t>
      </w:r>
    </w:p>
    <w:p w14:paraId="6B72C0FD" w14:textId="77777777" w:rsidR="00972395" w:rsidRPr="00E73D4B" w:rsidRDefault="00F120C7" w:rsidP="00E73D4B">
      <w:r w:rsidRPr="00E73D4B">
        <w:t xml:space="preserve">Vedtaket ble truffet under behandlingen av Dokument 8:86 S (2021–2022) Representantforslag fra </w:t>
      </w:r>
      <w:proofErr w:type="spellStart"/>
      <w:r w:rsidRPr="00E73D4B">
        <w:t>stortingsresentantene</w:t>
      </w:r>
      <w:proofErr w:type="spellEnd"/>
      <w:r w:rsidRPr="00E73D4B">
        <w:t xml:space="preserve"> Olve Grotle, Linda Hofstad Helleland og Lene Westgaard-Halle om </w:t>
      </w:r>
      <w:proofErr w:type="spellStart"/>
      <w:r w:rsidRPr="00E73D4B">
        <w:t>ein</w:t>
      </w:r>
      <w:proofErr w:type="spellEnd"/>
      <w:r w:rsidRPr="00E73D4B">
        <w:t xml:space="preserve"> visjon om at ingen </w:t>
      </w:r>
      <w:proofErr w:type="spellStart"/>
      <w:r w:rsidRPr="00E73D4B">
        <w:t>fiskarar</w:t>
      </w:r>
      <w:proofErr w:type="spellEnd"/>
      <w:r w:rsidRPr="00E73D4B">
        <w:t xml:space="preserve"> skal </w:t>
      </w:r>
      <w:proofErr w:type="spellStart"/>
      <w:r w:rsidRPr="00E73D4B">
        <w:t>omkome</w:t>
      </w:r>
      <w:proofErr w:type="spellEnd"/>
      <w:r w:rsidRPr="00E73D4B">
        <w:t xml:space="preserve"> på havet i framtida, jf. </w:t>
      </w:r>
      <w:proofErr w:type="spellStart"/>
      <w:r w:rsidRPr="00E73D4B">
        <w:t>Innst</w:t>
      </w:r>
      <w:proofErr w:type="spellEnd"/>
      <w:r w:rsidRPr="00E73D4B">
        <w:t>. 224 S (2021–2022).</w:t>
      </w:r>
    </w:p>
    <w:p w14:paraId="2C62AA6A" w14:textId="77777777" w:rsidR="00972395" w:rsidRPr="00E73D4B" w:rsidRDefault="00F120C7" w:rsidP="00E73D4B">
      <w:r w:rsidRPr="00E73D4B">
        <w:t>Regjeringen vil følge opp saken og komme tilbake til Stortinget på egnet måte.</w:t>
      </w:r>
    </w:p>
    <w:p w14:paraId="60306BC3" w14:textId="77777777" w:rsidR="00972395" w:rsidRPr="00E73D4B" w:rsidRDefault="00F120C7" w:rsidP="00E73D4B">
      <w:pPr>
        <w:pStyle w:val="avsnitt-tittel"/>
      </w:pPr>
      <w:r w:rsidRPr="00E73D4B">
        <w:t>Finnmarksløpet</w:t>
      </w:r>
    </w:p>
    <w:p w14:paraId="3CA30E14" w14:textId="77777777" w:rsidR="00972395" w:rsidRPr="00E73D4B" w:rsidRDefault="00F120C7" w:rsidP="00E73D4B">
      <w:pPr>
        <w:pStyle w:val="avsnitt-undertittel"/>
      </w:pPr>
      <w:r w:rsidRPr="00E73D4B">
        <w:t>Vedtak nr. 498, 26. april 2022</w:t>
      </w:r>
    </w:p>
    <w:p w14:paraId="565FE0DE" w14:textId="77777777" w:rsidR="00972395" w:rsidRPr="00E73D4B" w:rsidRDefault="00F120C7" w:rsidP="00E73D4B">
      <w:pPr>
        <w:pStyle w:val="blokksit"/>
        <w:rPr>
          <w:rStyle w:val="kursiv"/>
        </w:rPr>
      </w:pPr>
      <w:r w:rsidRPr="00E73D4B">
        <w:rPr>
          <w:rStyle w:val="kursiv"/>
        </w:rPr>
        <w:t>«Stortinget ber regjeringen gå i dialog med Finnmarksløpet for å vurdere videreføring av prosjektet ‘Finnmarksløpet – Et verktøy for promotering av Norge’ i 2022 og 2023, og melde tilbake til Stortinget om dette i revidert nasjonalbudsjett for 2022.»</w:t>
      </w:r>
    </w:p>
    <w:p w14:paraId="3742890E" w14:textId="77777777" w:rsidR="00972395" w:rsidRPr="00E73D4B" w:rsidRDefault="00F120C7" w:rsidP="00E73D4B">
      <w:r w:rsidRPr="00E73D4B">
        <w:t xml:space="preserve">Vedtaket ble truffet under behandling av Dokument 8:105 S (2021–2022) Representantforslag fra stortingsrepresentantene Sylvi Listhaug, Silje Hjemdal, Sivert Bjørnstad og Bengt Rune </w:t>
      </w:r>
      <w:proofErr w:type="spellStart"/>
      <w:r w:rsidRPr="00E73D4B">
        <w:t>Strifeldt</w:t>
      </w:r>
      <w:proofErr w:type="spellEnd"/>
      <w:r w:rsidRPr="00E73D4B">
        <w:t xml:space="preserve"> om Finnmarksløpet – Et verktøy for promotering av Norge, jf. </w:t>
      </w:r>
      <w:proofErr w:type="spellStart"/>
      <w:r w:rsidRPr="00E73D4B">
        <w:t>Innst</w:t>
      </w:r>
      <w:proofErr w:type="spellEnd"/>
      <w:r w:rsidRPr="00E73D4B">
        <w:t>. 239 S (2021–2022).</w:t>
      </w:r>
    </w:p>
    <w:p w14:paraId="0E90A0DA" w14:textId="77777777" w:rsidR="00972395" w:rsidRPr="00E73D4B" w:rsidRDefault="00F120C7" w:rsidP="00E73D4B">
      <w:r w:rsidRPr="00E73D4B">
        <w:t>Finnmarksløpet har tidligere søkt og fått økonomisk støtte fra ulike offentlige instanser, bl.a. fylkeskommune, Innovasjon Norge og direkte over statsbudsjettet. I statsbudsjettet for 2021 ble det gitt 5 mill. kroner i støtte til prosjektarbeid i regi av Finnmarksløpet. Det ble i næringskomiteens innstilling lagt vekt på at prosjektet «Finnmarksløpet – et verktøy for promotering av Norge» bør vurderes i det ordinære virkemiddelapparatet. Nærings- og fiskeridepartementet har innledet dialog med Finnmarksløpet for å vurdere videreføring av prosjektet «Finnmarksløpet – Et verktøy for promotering av Norge» i 2022 og 2023.</w:t>
      </w:r>
    </w:p>
    <w:p w14:paraId="5D77789A" w14:textId="77777777" w:rsidR="00972395" w:rsidRPr="00E73D4B" w:rsidRDefault="00F120C7" w:rsidP="00E73D4B">
      <w:r w:rsidRPr="00E73D4B">
        <w:t>Vedtaket anses med dette som fulgt opp.</w:t>
      </w:r>
    </w:p>
    <w:p w14:paraId="4B5A88A2" w14:textId="77777777" w:rsidR="00972395" w:rsidRPr="00E73D4B" w:rsidRDefault="00F120C7" w:rsidP="00E73D4B">
      <w:pPr>
        <w:pStyle w:val="avsnitt-tittel"/>
      </w:pPr>
      <w:r w:rsidRPr="00E73D4B">
        <w:t>Grensekryssende fiske i Skagerrak</w:t>
      </w:r>
    </w:p>
    <w:p w14:paraId="6B387CC6" w14:textId="77777777" w:rsidR="00972395" w:rsidRPr="00E73D4B" w:rsidRDefault="00F120C7" w:rsidP="00E73D4B">
      <w:pPr>
        <w:pStyle w:val="avsnitt-undertittel"/>
      </w:pPr>
      <w:r w:rsidRPr="00E73D4B">
        <w:t>Vedtak nr. 562, 24. mai 2022</w:t>
      </w:r>
    </w:p>
    <w:p w14:paraId="7117B488" w14:textId="77777777" w:rsidR="00972395" w:rsidRPr="00E73D4B" w:rsidRDefault="00F120C7" w:rsidP="00E73D4B">
      <w:pPr>
        <w:pStyle w:val="blokksit"/>
      </w:pPr>
      <w:r w:rsidRPr="00E73D4B">
        <w:rPr>
          <w:rStyle w:val="kursiv"/>
        </w:rPr>
        <w:t>«Stortinget ber regjeringen arbeide opp mot danske myndigheter for å sikre at det ikke forekommer to-sonefiske av kveite i Norges økonomiske sone sør for 62° nord og i Skagerrak mellom 20. november og 31. mars.»</w:t>
      </w:r>
    </w:p>
    <w:p w14:paraId="3575C84F" w14:textId="77777777" w:rsidR="00972395" w:rsidRPr="00E73D4B" w:rsidRDefault="00F120C7" w:rsidP="00E73D4B">
      <w:r w:rsidRPr="00E73D4B">
        <w:t xml:space="preserve">Vedtaket ble truffet under behandlingen av den årlige stortingsmeldingen om Norges fiskeriavtaler. Meld. St. 8 (2021–2022) </w:t>
      </w:r>
      <w:r w:rsidRPr="00E73D4B">
        <w:rPr>
          <w:rStyle w:val="kursiv"/>
        </w:rPr>
        <w:t>Norges fiskeriavtaler for 2022 og fisket etter avtalene i 2020 og 2021</w:t>
      </w:r>
      <w:r w:rsidRPr="00E73D4B">
        <w:t xml:space="preserve">, jf. </w:t>
      </w:r>
      <w:proofErr w:type="spellStart"/>
      <w:r w:rsidRPr="00E73D4B">
        <w:t>Innst</w:t>
      </w:r>
      <w:proofErr w:type="spellEnd"/>
      <w:r w:rsidRPr="00E73D4B">
        <w:t>. 293 S (2021–2022).</w:t>
      </w:r>
    </w:p>
    <w:p w14:paraId="02923EC4" w14:textId="77777777" w:rsidR="00972395" w:rsidRPr="00E73D4B" w:rsidRDefault="00F120C7" w:rsidP="00E73D4B">
      <w:r w:rsidRPr="00E73D4B">
        <w:t xml:space="preserve">Fiskeri- og havministeren har tatt saken opp med EU-kommissæren for miljø, hav og fiskeri og den danske ministeren for fødevarer, </w:t>
      </w:r>
      <w:proofErr w:type="spellStart"/>
      <w:r w:rsidRPr="00E73D4B">
        <w:t>landbrug</w:t>
      </w:r>
      <w:proofErr w:type="spellEnd"/>
      <w:r w:rsidRPr="00E73D4B">
        <w:t xml:space="preserve"> og fiskeri. Saken er også tatt opp i et trilateralt møte under Nordisk ministerråd 20.-22. juni. Det tas sikte på å få løst saken i forbindelse med forhandlingene med EU (på vegne av Danmark og Sverige) høsten 2022.</w:t>
      </w:r>
    </w:p>
    <w:p w14:paraId="3F7EA44B" w14:textId="77777777" w:rsidR="00972395" w:rsidRPr="00E73D4B" w:rsidRDefault="00F120C7" w:rsidP="00E73D4B">
      <w:r w:rsidRPr="00E73D4B">
        <w:t>Regjeringen vil komme tilbake til Stortinget på egnet måte.</w:t>
      </w:r>
    </w:p>
    <w:p w14:paraId="7871A8D6" w14:textId="77777777" w:rsidR="00972395" w:rsidRPr="00E73D4B" w:rsidRDefault="00F120C7" w:rsidP="00E73D4B">
      <w:pPr>
        <w:pStyle w:val="avsnitt-tittel"/>
      </w:pPr>
      <w:r w:rsidRPr="00E73D4B">
        <w:t>Dagligvare – hvordan aktører uten stor kapitaltilgang kan få innpass</w:t>
      </w:r>
    </w:p>
    <w:p w14:paraId="3B67178C" w14:textId="77777777" w:rsidR="00972395" w:rsidRPr="00E73D4B" w:rsidRDefault="00F120C7" w:rsidP="00E73D4B">
      <w:pPr>
        <w:pStyle w:val="avsnitt-undertittel"/>
      </w:pPr>
      <w:r w:rsidRPr="00E73D4B">
        <w:t>Vedtak nr. 601, 31. mai 2022</w:t>
      </w:r>
    </w:p>
    <w:p w14:paraId="7CFF2ECC" w14:textId="77777777" w:rsidR="00972395" w:rsidRPr="00E73D4B" w:rsidRDefault="00F120C7" w:rsidP="00E73D4B">
      <w:pPr>
        <w:pStyle w:val="blokksit"/>
        <w:rPr>
          <w:rStyle w:val="kursiv"/>
        </w:rPr>
      </w:pPr>
      <w:r w:rsidRPr="00E73D4B">
        <w:rPr>
          <w:rStyle w:val="kursiv"/>
        </w:rPr>
        <w:t>«Stortinget ber regjeringen vurdere hvordan også aktører uten stor kapitaltilgang kan få innpass i dagligvarehandelen.»</w:t>
      </w:r>
    </w:p>
    <w:p w14:paraId="64B33940"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w:t>
      </w:r>
    </w:p>
    <w:p w14:paraId="4AA830E1" w14:textId="77777777" w:rsidR="00972395" w:rsidRPr="00E73D4B" w:rsidRDefault="00F120C7" w:rsidP="00E73D4B">
      <w:r w:rsidRPr="00E73D4B">
        <w:t>Regjeringen vil følge opp vedtaket og komme tilbake til Stortinget på egnet måte.</w:t>
      </w:r>
    </w:p>
    <w:p w14:paraId="3167FF68" w14:textId="77777777" w:rsidR="00972395" w:rsidRPr="00E73D4B" w:rsidRDefault="00F120C7" w:rsidP="00E73D4B">
      <w:pPr>
        <w:pStyle w:val="avsnitt-tittel"/>
      </w:pPr>
      <w:r w:rsidRPr="00E73D4B">
        <w:t>Dagligvare – rettferdig andel av verdiskapinga i verdikjeden for mat</w:t>
      </w:r>
    </w:p>
    <w:p w14:paraId="7DBE002F" w14:textId="77777777" w:rsidR="00972395" w:rsidRPr="00E73D4B" w:rsidRDefault="00F120C7" w:rsidP="00E73D4B">
      <w:pPr>
        <w:pStyle w:val="avsnitt-undertittel"/>
      </w:pPr>
      <w:r w:rsidRPr="00E73D4B">
        <w:t>Vedtak nr. 602, 31. mai 2022</w:t>
      </w:r>
    </w:p>
    <w:p w14:paraId="7D1A0F3F" w14:textId="77777777" w:rsidR="00972395" w:rsidRPr="00E73D4B" w:rsidRDefault="00F120C7" w:rsidP="00E73D4B">
      <w:pPr>
        <w:pStyle w:val="blokksit"/>
        <w:rPr>
          <w:rStyle w:val="kursiv"/>
        </w:rPr>
      </w:pPr>
      <w:r w:rsidRPr="00E73D4B">
        <w:rPr>
          <w:rStyle w:val="kursiv"/>
        </w:rPr>
        <w:t>«Stortinget ber regjeringen vurdere tiltak som bidrar til at matprodusentene får en rettferdig andel av verdiskapinga i verdikjeden for mat.»</w:t>
      </w:r>
    </w:p>
    <w:p w14:paraId="6BC7CD9C"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w:t>
      </w:r>
    </w:p>
    <w:p w14:paraId="6B27BEE6" w14:textId="77777777" w:rsidR="00972395" w:rsidRPr="00E73D4B" w:rsidRDefault="00F120C7" w:rsidP="00E73D4B">
      <w:r w:rsidRPr="00E73D4B">
        <w:t>Regjeringen vil følge opp vedtaket og komme tilbake til Stortinget på egnet måte.</w:t>
      </w:r>
    </w:p>
    <w:p w14:paraId="6ED366AD" w14:textId="77777777" w:rsidR="00972395" w:rsidRPr="00E73D4B" w:rsidRDefault="00F120C7" w:rsidP="00E73D4B">
      <w:pPr>
        <w:pStyle w:val="avsnitt-tittel"/>
      </w:pPr>
      <w:r w:rsidRPr="00E73D4B">
        <w:t>Dagligvare – usaklig forskjell i innkjøpsbetingelser</w:t>
      </w:r>
    </w:p>
    <w:p w14:paraId="3F16F50E" w14:textId="77777777" w:rsidR="00972395" w:rsidRPr="00E73D4B" w:rsidRDefault="00F120C7" w:rsidP="00E73D4B">
      <w:pPr>
        <w:pStyle w:val="avsnitt-undertittel"/>
      </w:pPr>
      <w:r w:rsidRPr="00E73D4B">
        <w:t>Vedtak nr. 603, 31. mai 2022</w:t>
      </w:r>
    </w:p>
    <w:p w14:paraId="6EC3FDD0" w14:textId="77777777" w:rsidR="00972395" w:rsidRPr="00E73D4B" w:rsidRDefault="00F120C7" w:rsidP="00E73D4B">
      <w:pPr>
        <w:pStyle w:val="blokksit"/>
        <w:rPr>
          <w:rStyle w:val="kursiv"/>
        </w:rPr>
      </w:pPr>
      <w:r w:rsidRPr="00E73D4B">
        <w:rPr>
          <w:rStyle w:val="kursiv"/>
        </w:rPr>
        <w:t xml:space="preserve">«Stortinget ber regjeringen følge opp vedtak 572 (jf. </w:t>
      </w:r>
      <w:proofErr w:type="spellStart"/>
      <w:r w:rsidRPr="00E73D4B">
        <w:rPr>
          <w:rStyle w:val="kursiv"/>
        </w:rPr>
        <w:t>Innst</w:t>
      </w:r>
      <w:proofErr w:type="spellEnd"/>
      <w:r w:rsidRPr="00E73D4B">
        <w:rPr>
          <w:rStyle w:val="kursiv"/>
        </w:rPr>
        <w:t>. 185 S (2020–2021)) om usaklig forskjell i innkjøpsbetingelser.»</w:t>
      </w:r>
    </w:p>
    <w:p w14:paraId="6FED0BB2"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xml:space="preserve">. 322 S (2021–2022). Vedtak nr. 572, 4. februar 2021, som det vises til, ble vedtatt under behandlingen av Meld. St. 27 (2019–2020) </w:t>
      </w:r>
      <w:proofErr w:type="spellStart"/>
      <w:r w:rsidRPr="00E73D4B">
        <w:rPr>
          <w:rStyle w:val="kursiv"/>
        </w:rPr>
        <w:t>Daglegvare</w:t>
      </w:r>
      <w:proofErr w:type="spellEnd"/>
      <w:r w:rsidRPr="00E73D4B">
        <w:rPr>
          <w:rStyle w:val="kursiv"/>
        </w:rPr>
        <w:t xml:space="preserve"> og konkurranse – kampen om </w:t>
      </w:r>
      <w:proofErr w:type="spellStart"/>
      <w:r w:rsidRPr="00E73D4B">
        <w:rPr>
          <w:rStyle w:val="kursiv"/>
        </w:rPr>
        <w:t>kundane</w:t>
      </w:r>
      <w:proofErr w:type="spellEnd"/>
      <w:r w:rsidRPr="00E73D4B">
        <w:t xml:space="preserve">, jf. </w:t>
      </w:r>
      <w:proofErr w:type="spellStart"/>
      <w:r w:rsidRPr="00E73D4B">
        <w:t>Innst</w:t>
      </w:r>
      <w:proofErr w:type="spellEnd"/>
      <w:r w:rsidRPr="00E73D4B">
        <w:t>. 185 S (2020–2021). Vedtaket omhandler forskjeller i innkjøpspriser.</w:t>
      </w:r>
    </w:p>
    <w:p w14:paraId="73E6A4AC" w14:textId="77777777" w:rsidR="00972395" w:rsidRPr="00E73D4B" w:rsidRDefault="00F120C7" w:rsidP="00E73D4B">
      <w:r w:rsidRPr="00E73D4B">
        <w:t>Nærings- og fiskeridepartementet er i ferd med å utarbeide utkast til forskrift om regulering av prisdifferensiering som etter planen skal på høring i 2022. Det vises til omtale under vedtak nr. 612, 31. mai 2022.</w:t>
      </w:r>
    </w:p>
    <w:p w14:paraId="724841CF" w14:textId="77777777" w:rsidR="00972395" w:rsidRPr="00E73D4B" w:rsidRDefault="00F120C7" w:rsidP="00E73D4B">
      <w:r w:rsidRPr="00E73D4B">
        <w:t>Vedtaket anses med dette som fulgt opp.</w:t>
      </w:r>
    </w:p>
    <w:p w14:paraId="59118E9F" w14:textId="77777777" w:rsidR="00972395" w:rsidRPr="00E73D4B" w:rsidRDefault="00F120C7" w:rsidP="00E73D4B">
      <w:pPr>
        <w:pStyle w:val="avsnitt-tittel"/>
      </w:pPr>
      <w:r w:rsidRPr="00E73D4B">
        <w:t>Dagligvare – vurdere terskelen for dominans i dagligvaremarkedet</w:t>
      </w:r>
    </w:p>
    <w:p w14:paraId="11993D4F" w14:textId="77777777" w:rsidR="00972395" w:rsidRPr="00E73D4B" w:rsidRDefault="00F120C7" w:rsidP="00E73D4B">
      <w:pPr>
        <w:pStyle w:val="avsnitt-undertittel"/>
      </w:pPr>
      <w:r w:rsidRPr="00E73D4B">
        <w:t>Vedtak nr. 604, 31. mai 2022</w:t>
      </w:r>
    </w:p>
    <w:p w14:paraId="3ED1C77B" w14:textId="77777777" w:rsidR="00972395" w:rsidRPr="00E73D4B" w:rsidRDefault="00F120C7" w:rsidP="00E73D4B">
      <w:pPr>
        <w:pStyle w:val="blokksit"/>
        <w:rPr>
          <w:rStyle w:val="kursiv"/>
        </w:rPr>
      </w:pPr>
      <w:r w:rsidRPr="00E73D4B">
        <w:rPr>
          <w:rStyle w:val="kursiv"/>
        </w:rPr>
        <w:t>«Stortinget ber regjeringen vurdere å senke terskelen for når aktører i dagligvaremarkedet anses som dominerende.»</w:t>
      </w:r>
    </w:p>
    <w:p w14:paraId="10DE93FA"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 Nærings- og fiskeridepartementet jobber med å utarbeide utkast til forskrift om regulering av prisdifferensiering, som etter planen skal på høring høsten 2022. En vurdering av terskelen for når en dagligvareaktør anes som dominerende vil inngå i forskriftsarbeidet. Det vises til omtale under vedtak nr. 612, 31. mai 2022.</w:t>
      </w:r>
    </w:p>
    <w:p w14:paraId="45DF8C93" w14:textId="77777777" w:rsidR="00972395" w:rsidRPr="00E73D4B" w:rsidRDefault="00F120C7" w:rsidP="00E73D4B">
      <w:r w:rsidRPr="00E73D4B">
        <w:t>Vedtaket anses med dette som fulgt opp.</w:t>
      </w:r>
    </w:p>
    <w:p w14:paraId="2C20CA6E" w14:textId="77777777" w:rsidR="00972395" w:rsidRPr="00E73D4B" w:rsidRDefault="00F120C7" w:rsidP="00E73D4B">
      <w:pPr>
        <w:pStyle w:val="avsnitt-tittel"/>
      </w:pPr>
      <w:r w:rsidRPr="00E73D4B">
        <w:t>Dagligvare – ytterligere konkurransefremmende tiltak</w:t>
      </w:r>
    </w:p>
    <w:p w14:paraId="0102AE70" w14:textId="77777777" w:rsidR="00972395" w:rsidRPr="00E73D4B" w:rsidRDefault="00F120C7" w:rsidP="00E73D4B">
      <w:pPr>
        <w:pStyle w:val="avsnitt-undertittel"/>
      </w:pPr>
      <w:r w:rsidRPr="00E73D4B">
        <w:t>Vedtak nr. 605, 31. mai 2022</w:t>
      </w:r>
    </w:p>
    <w:p w14:paraId="5EEAB54F" w14:textId="77777777" w:rsidR="00972395" w:rsidRPr="00E73D4B" w:rsidRDefault="00F120C7" w:rsidP="00E73D4B">
      <w:pPr>
        <w:pStyle w:val="blokksit"/>
        <w:rPr>
          <w:rStyle w:val="kursiv"/>
        </w:rPr>
      </w:pPr>
      <w:r w:rsidRPr="00E73D4B">
        <w:rPr>
          <w:rStyle w:val="kursiv"/>
        </w:rPr>
        <w:t>«Stortinget ber regjeringen utrede ytterligere konkurransefremmende tiltak og fremme forslag som kan hindre dominerende markedsaktører i dagligvarebransjen i å misbruke sin markedsmakt til å svekke konkurransen og stå i veien for nye innovative aktører, herunder vurdere former for regulering av prisdifferanser, og komme tilbake til Stortinget i løpet av 2022. Det er viktig at tiltakene som vurderes, bidrar til økt konkurranse, mer mangfold, lavere priser til forbrukerne og at det blir enklere for nye aktører å etablere seg i dagligvaremarkedet.»</w:t>
      </w:r>
    </w:p>
    <w:p w14:paraId="6D3A817F"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w:t>
      </w:r>
    </w:p>
    <w:p w14:paraId="7886DCB8" w14:textId="77777777" w:rsidR="00972395" w:rsidRPr="00E73D4B" w:rsidRDefault="00F120C7" w:rsidP="00E73D4B">
      <w:r w:rsidRPr="00E73D4B">
        <w:t>Nærings- og fiskeridepartementet er i gang med å vurdere flere konkurransefremmende tiltak i dagligvarebransjen. Bl.a. er departementet i gang med å utarbeide utkast til forskrift om regulering av forskjeller i innkjøpspriser, som etter planen skal på høring høsten 2022. En vurdering av tiltak for å hindre dominerende markedsaktører i</w:t>
      </w:r>
      <w:r w:rsidRPr="00E73D4B">
        <w:rPr>
          <w:rStyle w:val="kursiv"/>
        </w:rPr>
        <w:t xml:space="preserve"> </w:t>
      </w:r>
      <w:r w:rsidRPr="00E73D4B">
        <w:t>dagligvarebransjen fra å misbruke sin markedsmakt, herunder ulike former for regulering av prisdifferanser, vil inngå i forskriftsarbeidet. Videre har Konkurransetilsynet foreslått et nytt og mer fleksibelt markedsetterforskningsverktøy for å kunne komme med bransjespesifikke konkurransefremmende tiltak. En vurdering av dette verktøyet vil også inngå i forskriftsarbeidet. Det vises til omtale under vedtak nr. 612, 31. mai 2022.</w:t>
      </w:r>
    </w:p>
    <w:p w14:paraId="68CE7B26" w14:textId="77777777" w:rsidR="00972395" w:rsidRPr="00E73D4B" w:rsidRDefault="00F120C7" w:rsidP="00E73D4B">
      <w:r w:rsidRPr="00E73D4B">
        <w:t>Departementet jobber med tiltak for å lette tilgangen til attraktive butikklokaler i dagligvaremarkedet. Som en oppfølging av dette ble det sendt et utkast til forskrift om forbud mot negative servitutter og eksklusive leiekontrakter i dagligvaremarkedet på høring 5. juli 2022, med høringsfrist 5. oktober 2022. Det vises til omtale under vedtak nr. 609, 31. mai 2022.</w:t>
      </w:r>
    </w:p>
    <w:p w14:paraId="545747D5" w14:textId="77777777" w:rsidR="00972395" w:rsidRPr="00E73D4B" w:rsidRDefault="00F120C7" w:rsidP="00E73D4B">
      <w:r w:rsidRPr="00E73D4B">
        <w:t>I tillegg til dette skal departementet lyse ut en utredning om omfanget og virkningene på konkurransen av dagligvarekjedenes egne merkevarer (EMV) i løpet av høsten 2022. Det vises til omtale under vedtak nr. 606–608, og nr. 611, 31. mai 2022.</w:t>
      </w:r>
    </w:p>
    <w:p w14:paraId="336B86DA" w14:textId="77777777" w:rsidR="00972395" w:rsidRPr="00E73D4B" w:rsidRDefault="00F120C7" w:rsidP="00E73D4B">
      <w:r w:rsidRPr="00E73D4B">
        <w:t>Regjeringen og departementet er dermed i gang med å vurdere flere tiltak som skal kunne bidra til bedre konkurranse i dagligvaremarkedet.</w:t>
      </w:r>
    </w:p>
    <w:p w14:paraId="3F21362F" w14:textId="77777777" w:rsidR="00972395" w:rsidRPr="00E73D4B" w:rsidRDefault="00F120C7" w:rsidP="00E73D4B">
      <w:r w:rsidRPr="00E73D4B">
        <w:t>Vedtaket anses med dette som fulgt opp.</w:t>
      </w:r>
    </w:p>
    <w:p w14:paraId="78286C82" w14:textId="77777777" w:rsidR="00972395" w:rsidRPr="00E73D4B" w:rsidRDefault="00F120C7" w:rsidP="00E73D4B">
      <w:pPr>
        <w:pStyle w:val="avsnitt-tittel"/>
      </w:pPr>
      <w:r w:rsidRPr="00E73D4B">
        <w:t>Dagligvare – felles merkeordning for kjedenes egne merkevarer (EMV)</w:t>
      </w:r>
    </w:p>
    <w:p w14:paraId="41D7A359" w14:textId="77777777" w:rsidR="00972395" w:rsidRPr="00E73D4B" w:rsidRDefault="00F120C7" w:rsidP="00E73D4B">
      <w:pPr>
        <w:pStyle w:val="avsnitt-undertittel"/>
      </w:pPr>
      <w:r w:rsidRPr="00E73D4B">
        <w:t>Vedtak nr. 606, 31. mai 2022</w:t>
      </w:r>
    </w:p>
    <w:p w14:paraId="08A26B5F" w14:textId="77777777" w:rsidR="00972395" w:rsidRPr="00E73D4B" w:rsidRDefault="00F120C7" w:rsidP="00E73D4B">
      <w:pPr>
        <w:pStyle w:val="blokksit"/>
        <w:rPr>
          <w:rStyle w:val="kursiv"/>
        </w:rPr>
      </w:pPr>
      <w:r w:rsidRPr="00E73D4B">
        <w:rPr>
          <w:rStyle w:val="kursiv"/>
        </w:rPr>
        <w:t>«Stortinget ber regjeringen utarbeide et regelverk som pålegger kjedene en felles merkeordning for EMV, med kjedenavn, produsent og produktets opprinnelsesland, slik at forbrukerne kan gjøre opplyste valg.»</w:t>
      </w:r>
    </w:p>
    <w:p w14:paraId="59FDCD6A"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 Nærings- og fiskeridepartementet skal utrede omfanget og virkningene på konkurransen av kjedenes EMV. Regjeringen vil vurdere arbeidet med en merkeordning i forbindelse med dette arbeidet. Det vises til omtale under vedtak nr. 607, 31. mai 2022.</w:t>
      </w:r>
    </w:p>
    <w:p w14:paraId="78BE344B" w14:textId="77777777" w:rsidR="00972395" w:rsidRPr="00E73D4B" w:rsidRDefault="00F120C7" w:rsidP="00E73D4B">
      <w:r w:rsidRPr="00E73D4B">
        <w:t>Regjeringen vil følge opp vedtaket og komme tilbake til Stortinget på egnet måte.</w:t>
      </w:r>
    </w:p>
    <w:p w14:paraId="33E92AD1" w14:textId="77777777" w:rsidR="00972395" w:rsidRPr="00E73D4B" w:rsidRDefault="00F120C7" w:rsidP="00E73D4B">
      <w:pPr>
        <w:pStyle w:val="avsnitt-tittel"/>
      </w:pPr>
      <w:r w:rsidRPr="00E73D4B">
        <w:t>Dagligvare – utrede virkningene av egne merkevarer på konkurransesituasjonen</w:t>
      </w:r>
    </w:p>
    <w:p w14:paraId="131C5A49" w14:textId="77777777" w:rsidR="00972395" w:rsidRPr="00E73D4B" w:rsidRDefault="00F120C7" w:rsidP="00E73D4B">
      <w:pPr>
        <w:pStyle w:val="avsnitt-undertittel"/>
      </w:pPr>
      <w:r w:rsidRPr="00E73D4B">
        <w:t>Vedtak nr. 607, 31. mai 2022</w:t>
      </w:r>
    </w:p>
    <w:p w14:paraId="41C06B80" w14:textId="77777777" w:rsidR="00972395" w:rsidRPr="00E73D4B" w:rsidRDefault="00F120C7" w:rsidP="00E73D4B">
      <w:pPr>
        <w:pStyle w:val="blokksit"/>
        <w:rPr>
          <w:rStyle w:val="kursiv"/>
        </w:rPr>
      </w:pPr>
      <w:r w:rsidRPr="00E73D4B">
        <w:rPr>
          <w:rStyle w:val="kursiv"/>
        </w:rPr>
        <w:t>«Stortinget ber regjeringen om å utrede og fremme sak til Stortinget på egnet måte om virkningene som vertikal integrasjon og EMV har på konkurransesituasjonen, prisene og utvalget. En slik sak må omfatte mulig utvidelse av kjedenes meldeplikt til Konkurransetilsynet til å omfatte kjøp eller leie av produksjonskapasitet, en begrunnelsesplikt ved forskjeller i påslag mellom EMV og uavhengige merkevarer og en hjemmel for Konkurransetilsynet eller Dagligvaretilsynet for å føre tilsyn med bruken av EMV i dagligvaremarkedet.»</w:t>
      </w:r>
    </w:p>
    <w:p w14:paraId="0DE8E432"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w:t>
      </w:r>
    </w:p>
    <w:p w14:paraId="3A870BB6" w14:textId="77777777" w:rsidR="00972395" w:rsidRPr="00E73D4B" w:rsidRDefault="00F120C7" w:rsidP="00E73D4B">
      <w:r w:rsidRPr="00E73D4B">
        <w:t>Egne merkevarer (EMV) kan ha ulike virkninger for konkurranseforholdene i verdikjeden for mat. Hvorvidt EMV har flest positive eller negative virkninger på konkurransen, og dermed på priser, utvalg og innovasjon, er omstridt. Det er derfor behov for mer kunnskap. Nærings- og fiskeridepartementet skal lyse ut et oppdrag om omfanget og virkningene på konkurransen av kjedenes egne merkevarer i løpet av høsten 2022.</w:t>
      </w:r>
    </w:p>
    <w:p w14:paraId="69D90BC6" w14:textId="77777777" w:rsidR="00972395" w:rsidRPr="00E73D4B" w:rsidRDefault="00F120C7" w:rsidP="00E73D4B">
      <w:r w:rsidRPr="00E73D4B">
        <w:t>Regjeringen vil følge opp vedtaket og komme tilbake til Stortinget på egnet måte</w:t>
      </w:r>
    </w:p>
    <w:p w14:paraId="46A58FC8" w14:textId="77777777" w:rsidR="00972395" w:rsidRPr="00E73D4B" w:rsidRDefault="00F120C7" w:rsidP="00E73D4B">
      <w:pPr>
        <w:pStyle w:val="avsnitt-tittel"/>
      </w:pPr>
      <w:r w:rsidRPr="00E73D4B">
        <w:t>Dagligvare – vertikal integrasjon og egne merkevarer i dagligvarebransjen</w:t>
      </w:r>
    </w:p>
    <w:p w14:paraId="5889D83A" w14:textId="77777777" w:rsidR="00972395" w:rsidRPr="00E73D4B" w:rsidRDefault="00F120C7" w:rsidP="00E73D4B">
      <w:pPr>
        <w:pStyle w:val="avsnitt-undertittel"/>
      </w:pPr>
      <w:r w:rsidRPr="00E73D4B">
        <w:t>Vedtak nr. 608, 31. mai 2022</w:t>
      </w:r>
    </w:p>
    <w:p w14:paraId="3B390A7A" w14:textId="77777777" w:rsidR="00972395" w:rsidRPr="00E73D4B" w:rsidRDefault="00F120C7" w:rsidP="00E73D4B">
      <w:pPr>
        <w:pStyle w:val="blokksit"/>
        <w:rPr>
          <w:rStyle w:val="kursiv"/>
        </w:rPr>
      </w:pPr>
      <w:r w:rsidRPr="00E73D4B">
        <w:rPr>
          <w:rStyle w:val="kursiv"/>
        </w:rPr>
        <w:t>«Stortinget ber regjeringen raskest mulig komme tilbake til Stortinget med en konkret plan for oppfølging av stortingsvedtak nr. 577 og 578 (2020 -2021) om vertikal integrasjon og egne merkevarer i dagligvarebransjen.»</w:t>
      </w:r>
    </w:p>
    <w:p w14:paraId="1653C942"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xml:space="preserve">. 322 S (2021–2022). Vedtak nr. 577 og 578 (2020–2021) ble fattet under behandlingen av Meld. St. 27 (2019–2020) </w:t>
      </w:r>
      <w:proofErr w:type="spellStart"/>
      <w:r w:rsidRPr="00E73D4B">
        <w:rPr>
          <w:rStyle w:val="kursiv"/>
        </w:rPr>
        <w:t>Daglegvare</w:t>
      </w:r>
      <w:proofErr w:type="spellEnd"/>
      <w:r w:rsidRPr="00E73D4B">
        <w:rPr>
          <w:rStyle w:val="kursiv"/>
        </w:rPr>
        <w:t xml:space="preserve"> og konkurranse – kampen om </w:t>
      </w:r>
      <w:proofErr w:type="spellStart"/>
      <w:r w:rsidRPr="00E73D4B">
        <w:rPr>
          <w:rStyle w:val="kursiv"/>
        </w:rPr>
        <w:t>kundane</w:t>
      </w:r>
      <w:proofErr w:type="spellEnd"/>
      <w:r w:rsidRPr="00E73D4B">
        <w:t xml:space="preserve">, jf. </w:t>
      </w:r>
      <w:proofErr w:type="spellStart"/>
      <w:r w:rsidRPr="00E73D4B">
        <w:t>Innst</w:t>
      </w:r>
      <w:proofErr w:type="spellEnd"/>
      <w:r w:rsidRPr="00E73D4B">
        <w:t>. 185 S (2020–2021).</w:t>
      </w:r>
    </w:p>
    <w:p w14:paraId="275CA1C6" w14:textId="77777777" w:rsidR="00972395" w:rsidRPr="00E73D4B" w:rsidRDefault="00F120C7" w:rsidP="00E73D4B">
      <w:r w:rsidRPr="00E73D4B">
        <w:t>Nærings- og fiskeridepartementet skal utrede omfanget og virkningene på konkurransen av kjedenes egne merkevarer (EMV), og planlegger å lyse ut oppdraget i løpet av høsten 2022. Det er naturlig at anmodningsvedtakene det vises til, følges opp i den forbindelse. Det vises til omtale under vedtak nr. 607, 31. mai 2022.</w:t>
      </w:r>
    </w:p>
    <w:p w14:paraId="27B6F6A2" w14:textId="77777777" w:rsidR="00972395" w:rsidRPr="00E73D4B" w:rsidRDefault="00F120C7" w:rsidP="00E73D4B">
      <w:r w:rsidRPr="00E73D4B">
        <w:t>Regjeringen vil følge opp vedtaket og komme tilbake til Stortinget på egnet måte.</w:t>
      </w:r>
    </w:p>
    <w:p w14:paraId="31206631" w14:textId="77777777" w:rsidR="00972395" w:rsidRPr="00E73D4B" w:rsidRDefault="00F120C7" w:rsidP="00E73D4B">
      <w:pPr>
        <w:pStyle w:val="avsnitt-tittel"/>
      </w:pPr>
      <w:r w:rsidRPr="00E73D4B">
        <w:t>Dagligvare – hindre bruk av negative servitutter</w:t>
      </w:r>
    </w:p>
    <w:p w14:paraId="42FD2843" w14:textId="77777777" w:rsidR="00972395" w:rsidRPr="00E73D4B" w:rsidRDefault="00F120C7" w:rsidP="00E73D4B">
      <w:pPr>
        <w:pStyle w:val="avsnitt-undertittel"/>
      </w:pPr>
      <w:r w:rsidRPr="00E73D4B">
        <w:t>Vedtak nr. 609, 31. mai 2022</w:t>
      </w:r>
    </w:p>
    <w:p w14:paraId="04FE709B" w14:textId="77777777" w:rsidR="00972395" w:rsidRPr="00E73D4B" w:rsidRDefault="00F120C7" w:rsidP="00E73D4B">
      <w:pPr>
        <w:rPr>
          <w:rStyle w:val="kursiv"/>
        </w:rPr>
      </w:pPr>
      <w:r w:rsidRPr="00E73D4B">
        <w:rPr>
          <w:rStyle w:val="kursiv"/>
        </w:rPr>
        <w:t>«Stortinget ber regjeringen om å vurdere hvordan en kan hindre bruken av negative servitutter på næringsareal, som hindrer etablering av nye dagligvareaktører.»</w:t>
      </w:r>
    </w:p>
    <w:p w14:paraId="30328AC1"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 Nærings- og fiskeridepartementet sendte på høring utkast til forskrift om forbud mot negative servitutter og eksklusive leiekontrakter i dagligvaremarkedet 5. juli 2022, med høringsfrist 5. oktober 2022.</w:t>
      </w:r>
    </w:p>
    <w:p w14:paraId="1E01DA8B" w14:textId="77777777" w:rsidR="00972395" w:rsidRPr="00E73D4B" w:rsidRDefault="00F120C7" w:rsidP="00E73D4B">
      <w:r w:rsidRPr="00E73D4B">
        <w:t>Regjeringen vil følge opp vedtaket og komme tilbake til Stortinget på egnet måte.</w:t>
      </w:r>
    </w:p>
    <w:p w14:paraId="4829C476" w14:textId="77777777" w:rsidR="00972395" w:rsidRPr="00E73D4B" w:rsidRDefault="00F120C7" w:rsidP="00E73D4B">
      <w:pPr>
        <w:pStyle w:val="avsnitt-tittel"/>
      </w:pPr>
      <w:r w:rsidRPr="00E73D4B">
        <w:t>Dagligvare – konkurranse og mer åpenhet innenfor grossist- og distribusjonsleddet</w:t>
      </w:r>
    </w:p>
    <w:p w14:paraId="0562C507" w14:textId="77777777" w:rsidR="00972395" w:rsidRPr="00E73D4B" w:rsidRDefault="00F120C7" w:rsidP="00E73D4B">
      <w:pPr>
        <w:pStyle w:val="avsnitt-undertittel"/>
      </w:pPr>
      <w:r w:rsidRPr="00E73D4B">
        <w:t>Vedtak nr. 610, 31. mai 2022</w:t>
      </w:r>
    </w:p>
    <w:p w14:paraId="392D4F12" w14:textId="77777777" w:rsidR="00972395" w:rsidRPr="00E73D4B" w:rsidRDefault="00F120C7" w:rsidP="00E73D4B">
      <w:pPr>
        <w:pStyle w:val="blokksit"/>
        <w:rPr>
          <w:rStyle w:val="kursiv"/>
        </w:rPr>
      </w:pPr>
      <w:r w:rsidRPr="00E73D4B">
        <w:rPr>
          <w:rStyle w:val="kursiv"/>
        </w:rPr>
        <w:t>«Stortinget ber regjeringen utrede tiltak for å sikre konkurranse og mer åpenhet innenfor grossist- og distributørleddet i dagligvarehandelen, herunder tilsyn med priskalkylene for distribusjonstjenester.»</w:t>
      </w:r>
    </w:p>
    <w:p w14:paraId="1A3F41DA"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w:t>
      </w:r>
    </w:p>
    <w:p w14:paraId="07CE19A5" w14:textId="77777777" w:rsidR="00972395" w:rsidRPr="00E73D4B" w:rsidRDefault="00F120C7" w:rsidP="00E73D4B">
      <w:r w:rsidRPr="00E73D4B">
        <w:t>Regjeringen vil følge opp vedtaket og komme tilbake til Stortinget på egnet måte.</w:t>
      </w:r>
    </w:p>
    <w:p w14:paraId="08BA936E" w14:textId="77777777" w:rsidR="00972395" w:rsidRPr="00E73D4B" w:rsidRDefault="00F120C7" w:rsidP="00E73D4B">
      <w:pPr>
        <w:pStyle w:val="avsnitt-tittel"/>
      </w:pPr>
      <w:r w:rsidRPr="00E73D4B">
        <w:t>Dagligvare – definisjon av kjedenes egne merkevarer (EMV)</w:t>
      </w:r>
    </w:p>
    <w:p w14:paraId="78B6972F" w14:textId="77777777" w:rsidR="00972395" w:rsidRPr="00E73D4B" w:rsidRDefault="00F120C7" w:rsidP="00E73D4B">
      <w:pPr>
        <w:pStyle w:val="avsnitt-undertittel"/>
      </w:pPr>
      <w:r w:rsidRPr="00E73D4B">
        <w:t>Vedtak nr. 611, 31. mai 2022</w:t>
      </w:r>
    </w:p>
    <w:p w14:paraId="0FD2D712" w14:textId="77777777" w:rsidR="00972395" w:rsidRPr="00E73D4B" w:rsidRDefault="00F120C7" w:rsidP="00E73D4B">
      <w:pPr>
        <w:pStyle w:val="blokksit"/>
        <w:rPr>
          <w:rStyle w:val="kursiv"/>
        </w:rPr>
      </w:pPr>
      <w:r w:rsidRPr="00E73D4B">
        <w:rPr>
          <w:rStyle w:val="kursiv"/>
        </w:rPr>
        <w:t>«Stortinget ber regjeringen utarbeide en mer presis definisjon på hva som regnes som kjedenes egne merkevarer (EMV), for å få en bedre oversikt over totalandelen i dagligvaremarkedet.»</w:t>
      </w:r>
    </w:p>
    <w:p w14:paraId="26917DB8"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 Nærings- og fiskeridepartementet skal utrede omfanget og virkningene på konkurransen av kjedenes egne merkevarer (EMV). Regjeringen vil vurdere en definisjon av hva som regnes som EMV i forbindelse med dette arbeidet.</w:t>
      </w:r>
    </w:p>
    <w:p w14:paraId="3690CDD1" w14:textId="77777777" w:rsidR="00972395" w:rsidRPr="00E73D4B" w:rsidRDefault="00F120C7" w:rsidP="00E73D4B">
      <w:r w:rsidRPr="00E73D4B">
        <w:t>Regjeringen vil følge opp vedtaket og komme tilbake til Stortinget på egnet måte.</w:t>
      </w:r>
    </w:p>
    <w:p w14:paraId="6C3499D3" w14:textId="77777777" w:rsidR="00972395" w:rsidRPr="00E73D4B" w:rsidRDefault="00F120C7" w:rsidP="00E73D4B">
      <w:pPr>
        <w:pStyle w:val="avsnitt-tittel"/>
      </w:pPr>
      <w:r w:rsidRPr="00E73D4B">
        <w:t>Dagligvare – midlertidig forskrift om usaklig prisdiskriminering</w:t>
      </w:r>
    </w:p>
    <w:p w14:paraId="38FE17C2" w14:textId="77777777" w:rsidR="00972395" w:rsidRPr="00E73D4B" w:rsidRDefault="00F120C7" w:rsidP="00E73D4B">
      <w:pPr>
        <w:pStyle w:val="avsnitt-undertittel"/>
      </w:pPr>
      <w:r w:rsidRPr="00E73D4B">
        <w:t>Vedtak nr. 612, 31. mai 2022</w:t>
      </w:r>
    </w:p>
    <w:p w14:paraId="06E23ABB" w14:textId="77777777" w:rsidR="00972395" w:rsidRPr="00E73D4B" w:rsidRDefault="00F120C7" w:rsidP="00E73D4B">
      <w:pPr>
        <w:pStyle w:val="blokksit"/>
        <w:rPr>
          <w:rStyle w:val="kursiv"/>
        </w:rPr>
      </w:pPr>
      <w:r w:rsidRPr="00E73D4B">
        <w:rPr>
          <w:rStyle w:val="kursiv"/>
        </w:rPr>
        <w:t xml:space="preserve">«Stortinget ber regjeringen sende på høring en midlertidig forskrift i </w:t>
      </w:r>
      <w:proofErr w:type="gramStart"/>
      <w:r w:rsidRPr="00E73D4B">
        <w:rPr>
          <w:rStyle w:val="kursiv"/>
        </w:rPr>
        <w:t>medhold av</w:t>
      </w:r>
      <w:proofErr w:type="gramEnd"/>
      <w:r w:rsidRPr="00E73D4B">
        <w:rPr>
          <w:rStyle w:val="kursiv"/>
        </w:rPr>
        <w:t xml:space="preserve"> konkurranseloven A § 14 om usaklig prisdiskriminering, og eventuelt andre bestemmelser om usaklig prisdiskriminering. Følgende hensyn bør være en del av høringsutkastet:</w:t>
      </w:r>
    </w:p>
    <w:p w14:paraId="2FF3D5D3" w14:textId="77777777" w:rsidR="00972395" w:rsidRPr="00E73D4B" w:rsidRDefault="00F120C7" w:rsidP="00E73D4B">
      <w:pPr>
        <w:pStyle w:val="friliste2"/>
        <w:rPr>
          <w:rStyle w:val="kursiv"/>
        </w:rPr>
      </w:pPr>
      <w:r w:rsidRPr="00E73D4B">
        <w:rPr>
          <w:rStyle w:val="kursiv"/>
        </w:rPr>
        <w:t>a.</w:t>
      </w:r>
      <w:r w:rsidRPr="00E73D4B">
        <w:rPr>
          <w:rStyle w:val="kursiv"/>
        </w:rPr>
        <w:tab/>
        <w:t>En operasjonell definisjon av vesentlig markedsmakt</w:t>
      </w:r>
    </w:p>
    <w:p w14:paraId="385EDAD7" w14:textId="77777777" w:rsidR="00972395" w:rsidRPr="00E73D4B" w:rsidRDefault="00F120C7" w:rsidP="00E73D4B">
      <w:pPr>
        <w:pStyle w:val="friliste2"/>
        <w:rPr>
          <w:rStyle w:val="kursiv"/>
        </w:rPr>
      </w:pPr>
      <w:r w:rsidRPr="00E73D4B">
        <w:rPr>
          <w:rStyle w:val="kursiv"/>
        </w:rPr>
        <w:t>b.</w:t>
      </w:r>
      <w:r w:rsidRPr="00E73D4B">
        <w:rPr>
          <w:rStyle w:val="kursiv"/>
        </w:rPr>
        <w:tab/>
        <w:t>En operasjonell definisjon av hva som utgjør en varekategori</w:t>
      </w:r>
    </w:p>
    <w:p w14:paraId="29FE461E" w14:textId="77777777" w:rsidR="00972395" w:rsidRPr="00E73D4B" w:rsidRDefault="00F120C7" w:rsidP="00E73D4B">
      <w:pPr>
        <w:pStyle w:val="friliste2"/>
        <w:rPr>
          <w:rStyle w:val="kursiv"/>
        </w:rPr>
      </w:pPr>
      <w:r w:rsidRPr="00E73D4B">
        <w:rPr>
          <w:rStyle w:val="kursiv"/>
        </w:rPr>
        <w:t>c.</w:t>
      </w:r>
      <w:r w:rsidRPr="00E73D4B">
        <w:rPr>
          <w:rStyle w:val="kursiv"/>
        </w:rPr>
        <w:tab/>
        <w:t>En operasjonell definisjon av ulike innkjøpsbetingelser</w:t>
      </w:r>
    </w:p>
    <w:p w14:paraId="1AD4C8D7" w14:textId="77777777" w:rsidR="00972395" w:rsidRPr="00E73D4B" w:rsidRDefault="00F120C7" w:rsidP="00E73D4B">
      <w:pPr>
        <w:pStyle w:val="friliste2"/>
        <w:rPr>
          <w:rStyle w:val="kursiv"/>
        </w:rPr>
      </w:pPr>
      <w:r w:rsidRPr="00E73D4B">
        <w:rPr>
          <w:rStyle w:val="kursiv"/>
        </w:rPr>
        <w:t>d.</w:t>
      </w:r>
      <w:r w:rsidRPr="00E73D4B">
        <w:rPr>
          <w:rStyle w:val="kursiv"/>
        </w:rPr>
        <w:tab/>
        <w:t xml:space="preserve">At dersom leverandører med vesentlig markedsmakt skal tilby dagligvarekjeder og grossister ulike innkjøpsbetingelser, skal leverandøren kunne begrunne ulikheten saklig. Det vises til vedtak 572 (jf. </w:t>
      </w:r>
      <w:proofErr w:type="spellStart"/>
      <w:r w:rsidRPr="00E73D4B">
        <w:rPr>
          <w:rStyle w:val="kursiv"/>
        </w:rPr>
        <w:t>Innst</w:t>
      </w:r>
      <w:proofErr w:type="spellEnd"/>
      <w:r w:rsidRPr="00E73D4B">
        <w:rPr>
          <w:rStyle w:val="kursiv"/>
        </w:rPr>
        <w:t>. 185 S (2020–2021) for definisjon og konsekvenser av forskjeller i innkjøpsbetingelser som ikke kan begrunnes saklig.</w:t>
      </w:r>
    </w:p>
    <w:p w14:paraId="70298EB5" w14:textId="77777777" w:rsidR="00972395" w:rsidRPr="00E73D4B" w:rsidRDefault="00F120C7" w:rsidP="00E73D4B">
      <w:pPr>
        <w:pStyle w:val="blokksit"/>
        <w:rPr>
          <w:rStyle w:val="kursiv"/>
        </w:rPr>
      </w:pPr>
      <w:r w:rsidRPr="00E73D4B">
        <w:rPr>
          <w:rStyle w:val="kursiv"/>
        </w:rPr>
        <w:t>Regjeringen bes komme tilbake til Stortinget innen utgangen av 2022 med resultatene av høringen, og forslag til videre oppfølging. Det bør inngå i høringsgrunnlaget at forskriftene skal evalueres etter 3 år, og at evalueringen skal fremlegges for Stortinget.»</w:t>
      </w:r>
    </w:p>
    <w:p w14:paraId="0554B536" w14:textId="77777777" w:rsidR="00972395" w:rsidRPr="00E73D4B" w:rsidRDefault="00F120C7" w:rsidP="00E73D4B">
      <w:r w:rsidRPr="00E73D4B">
        <w:t xml:space="preserve">Vedtaket ble truffet under behandlingen av Dokument 8:161 S (2021–2022), Dokument 8:170 S (2021–2022) og Dokument 8:191 S (2021–2022), jf. </w:t>
      </w:r>
      <w:proofErr w:type="spellStart"/>
      <w:r w:rsidRPr="00E73D4B">
        <w:t>Innst</w:t>
      </w:r>
      <w:proofErr w:type="spellEnd"/>
      <w:r w:rsidRPr="00E73D4B">
        <w:t>. 322 S (2021–2022). Nærings- og fiskeridepartementet arbeider med utkast til forskrift om regulering av forskjeller i innkjøpspriser, som etter planen skal på høring høsten 2022.</w:t>
      </w:r>
    </w:p>
    <w:p w14:paraId="1DB88B0C" w14:textId="77777777" w:rsidR="00972395" w:rsidRPr="00E73D4B" w:rsidRDefault="00F120C7" w:rsidP="00E73D4B">
      <w:r w:rsidRPr="00E73D4B">
        <w:t>Regjeringen vil følge opp vedtaket og komme tilbake til Stortinget på egnet måte.</w:t>
      </w:r>
    </w:p>
    <w:p w14:paraId="4BBB0833" w14:textId="77777777" w:rsidR="00972395" w:rsidRPr="00E73D4B" w:rsidRDefault="00F120C7" w:rsidP="00E73D4B">
      <w:pPr>
        <w:pStyle w:val="avsnitt-tittel"/>
      </w:pPr>
      <w:r w:rsidRPr="00E73D4B">
        <w:t>Tilrettelegging for testsentre for flytende havvind</w:t>
      </w:r>
    </w:p>
    <w:p w14:paraId="6136793F" w14:textId="77777777" w:rsidR="00972395" w:rsidRPr="00E73D4B" w:rsidRDefault="00F120C7" w:rsidP="00E73D4B">
      <w:pPr>
        <w:pStyle w:val="avsnitt-undertittel"/>
      </w:pPr>
      <w:r w:rsidRPr="00E73D4B">
        <w:t>Vedtak nr. 719, 10. juni 2022</w:t>
      </w:r>
    </w:p>
    <w:p w14:paraId="01D6553C" w14:textId="77777777" w:rsidR="00972395" w:rsidRPr="00E73D4B" w:rsidRDefault="00F120C7" w:rsidP="00E73D4B">
      <w:pPr>
        <w:pStyle w:val="blokksit"/>
        <w:rPr>
          <w:rStyle w:val="kursiv"/>
        </w:rPr>
      </w:pPr>
      <w:r w:rsidRPr="00E73D4B">
        <w:rPr>
          <w:rStyle w:val="kursiv"/>
        </w:rPr>
        <w:t>«Stortinget ber regjeringen fortsette å legge til rette for at Norge skal ha ledende testsentre for flytende havvind, som Marine Energy Test Centre (</w:t>
      </w:r>
      <w:proofErr w:type="spellStart"/>
      <w:r w:rsidRPr="00E73D4B">
        <w:rPr>
          <w:rStyle w:val="kursiv"/>
        </w:rPr>
        <w:t>Metcentre</w:t>
      </w:r>
      <w:proofErr w:type="spellEnd"/>
      <w:r w:rsidRPr="00E73D4B">
        <w:rPr>
          <w:rStyle w:val="kursiv"/>
        </w:rPr>
        <w:t>), for å utvikle verdensledende kompetanse i norsk industri.»</w:t>
      </w:r>
    </w:p>
    <w:p w14:paraId="16908F21" w14:textId="77777777" w:rsidR="00972395" w:rsidRPr="00E73D4B" w:rsidRDefault="00F120C7" w:rsidP="00E73D4B">
      <w:r w:rsidRPr="00E73D4B">
        <w:t xml:space="preserve">Vedtaket ble truffet under behandlingen av innstilling fra energi- og miljøkomiteen om Meld. St. 36 (2020–2021) </w:t>
      </w:r>
      <w:r w:rsidRPr="00E73D4B">
        <w:rPr>
          <w:rStyle w:val="kursiv"/>
        </w:rPr>
        <w:t>Energi til arbeid – langsiktig verdiskaping fra norske energiressurser</w:t>
      </w:r>
      <w:r w:rsidRPr="00E73D4B">
        <w:t xml:space="preserve">, Meld. St. 11 (2021–2022) </w:t>
      </w:r>
      <w:r w:rsidRPr="00E73D4B">
        <w:rPr>
          <w:rStyle w:val="kursiv"/>
        </w:rPr>
        <w:t xml:space="preserve">Tilleggsmelding til Meld. St. 36 (2020–2021) </w:t>
      </w:r>
      <w:r w:rsidRPr="00E73D4B">
        <w:t xml:space="preserve">og seks representantforslag som også omhandler energispørsmål, jf. </w:t>
      </w:r>
      <w:proofErr w:type="spellStart"/>
      <w:r w:rsidRPr="00E73D4B">
        <w:t>Innst</w:t>
      </w:r>
      <w:proofErr w:type="spellEnd"/>
      <w:r w:rsidRPr="00E73D4B">
        <w:t>. 446 S (2021–2022).</w:t>
      </w:r>
    </w:p>
    <w:p w14:paraId="42CF9E89" w14:textId="77777777" w:rsidR="00972395" w:rsidRPr="00E73D4B" w:rsidRDefault="00F120C7" w:rsidP="00E73D4B">
      <w:r w:rsidRPr="00E73D4B">
        <w:t>Regjeringen prioriterer satsinger som bidrar til grønn omstilling og industriutvikling. I det nylig framlagte veikartet for grønt industriløft beskrives nye ambisjoner, virkemidler og tiltak. Havvind er ett av satsingsområdene som presenteres i veikartet.</w:t>
      </w:r>
    </w:p>
    <w:p w14:paraId="3201CB6E" w14:textId="77777777" w:rsidR="00972395" w:rsidRPr="00E73D4B" w:rsidRDefault="00F120C7" w:rsidP="00E73D4B">
      <w:r w:rsidRPr="00E73D4B">
        <w:t xml:space="preserve">I tillegg til at de generelle ordningene i virkemiddelapparatet skal spisses i grønn retning videreføres Grønn plattform, der Forskningsrådet, Innovasjon Norge og Siva samarbeider om å støtte store prosjekter gjennom hele løpet fra forskning til markedsintroduksjon. Regjeringen vil også videreføre Katapultordningen, slik at de fem etablerte katapultsentrene fortsatt kan bidra til utvikling og testing av ny teknologi og nye løsninger i samarbeid med næringslivet. Dette er viktig for videre innovasjon og teknologiutvikling innenfor områder der Norge har sterk kompetanse, som flytende havvind. Flere av katapultsentrene har også deltatt i </w:t>
      </w:r>
      <w:proofErr w:type="spellStart"/>
      <w:r w:rsidRPr="00E73D4B">
        <w:t>konsortieprosjekter</w:t>
      </w:r>
      <w:proofErr w:type="spellEnd"/>
      <w:r w:rsidRPr="00E73D4B">
        <w:t xml:space="preserve"> med finansiering fra Grønn plattform. Ordninger under Horisont Europa og den sterke satsingen gjennom EUs grønne strategi for et klimanøytralt Europa, representerer dessuten store muligheter for finansiering av prosjekter som bidrar til det grønne skiftet.</w:t>
      </w:r>
    </w:p>
    <w:p w14:paraId="09E616C0" w14:textId="77777777" w:rsidR="00972395" w:rsidRPr="00E73D4B" w:rsidRDefault="00F120C7" w:rsidP="00E73D4B">
      <w:r w:rsidRPr="00E73D4B">
        <w:t>Vedtaket anses med dette som fulgt opp.</w:t>
      </w:r>
    </w:p>
    <w:p w14:paraId="5B038AC8" w14:textId="77777777" w:rsidR="00972395" w:rsidRPr="00E73D4B" w:rsidRDefault="00F120C7" w:rsidP="00E73D4B">
      <w:pPr>
        <w:pStyle w:val="avsnitt-tittel"/>
      </w:pPr>
      <w:r w:rsidRPr="00E73D4B">
        <w:t>Offentlige innkjøp – krav til bærekraftig produksjon av batterier ved offentlige innkjøp</w:t>
      </w:r>
    </w:p>
    <w:p w14:paraId="31EFFBFD" w14:textId="77777777" w:rsidR="00972395" w:rsidRPr="00E73D4B" w:rsidRDefault="00F120C7" w:rsidP="00E73D4B">
      <w:pPr>
        <w:pStyle w:val="avsnitt-undertittel"/>
      </w:pPr>
      <w:r w:rsidRPr="00E73D4B">
        <w:t>Vedtak nr. 725, 10. juni 2022</w:t>
      </w:r>
    </w:p>
    <w:p w14:paraId="5EA2F0E0" w14:textId="77777777" w:rsidR="00972395" w:rsidRPr="00E73D4B" w:rsidRDefault="00F120C7" w:rsidP="00E73D4B">
      <w:pPr>
        <w:pStyle w:val="blokksit"/>
        <w:rPr>
          <w:rStyle w:val="kursiv"/>
        </w:rPr>
      </w:pPr>
      <w:r w:rsidRPr="00E73D4B">
        <w:rPr>
          <w:rStyle w:val="kursiv"/>
        </w:rPr>
        <w:t>«Stortinget ber regjeringen gjennom offentlige innkjøp om å trinnvis innføre krav til bærekraftig produksjon av batterier for elektrisk transport kjøpt inn gjennom offentlige innkjøp. Dette skal skje så raskt som mulig i forbindelse med regjeringens arbeid med grønne anskaffelser.»</w:t>
      </w:r>
    </w:p>
    <w:p w14:paraId="2BFFA4A8" w14:textId="77777777" w:rsidR="00972395" w:rsidRPr="00E73D4B" w:rsidRDefault="00F120C7" w:rsidP="00E73D4B">
      <w:r w:rsidRPr="00E73D4B">
        <w:t xml:space="preserve">Vedtaket ble truffet under behandlingen av innstilling fra energi- og miljøkomiteen om Meld. St. 36 (2020–2021) </w:t>
      </w:r>
      <w:r w:rsidRPr="00E73D4B">
        <w:rPr>
          <w:rStyle w:val="kursiv"/>
        </w:rPr>
        <w:t>Energi til arbeid – langsiktig verdiskaping fra norske energiressurser</w:t>
      </w:r>
      <w:r w:rsidRPr="00E73D4B">
        <w:t xml:space="preserve">, Meld. St. 11 (2021–2022) </w:t>
      </w:r>
      <w:r w:rsidRPr="00E73D4B">
        <w:rPr>
          <w:rStyle w:val="kursiv"/>
        </w:rPr>
        <w:t>Tilleggsmelding til Meld. St. 36 (2020–2021)</w:t>
      </w:r>
      <w:r w:rsidRPr="00E73D4B">
        <w:t xml:space="preserve"> og seks representantforslag som også omhandler energispørsmål, jf. </w:t>
      </w:r>
      <w:proofErr w:type="spellStart"/>
      <w:r w:rsidRPr="00E73D4B">
        <w:t>Innst</w:t>
      </w:r>
      <w:proofErr w:type="spellEnd"/>
      <w:r w:rsidRPr="00E73D4B">
        <w:t>. 446 S (2021–2022).</w:t>
      </w:r>
    </w:p>
    <w:p w14:paraId="095C8E5C" w14:textId="77777777" w:rsidR="00972395" w:rsidRPr="00E73D4B" w:rsidRDefault="00F120C7" w:rsidP="00E73D4B">
      <w:r w:rsidRPr="00E73D4B">
        <w:t>Regjeringen vil følge opp vedtaket og komme tilbake til Stortinget på egnet måte.</w:t>
      </w:r>
    </w:p>
    <w:p w14:paraId="3ECE2448" w14:textId="77777777" w:rsidR="00972395" w:rsidRPr="00E73D4B" w:rsidRDefault="00F120C7" w:rsidP="00E73D4B">
      <w:pPr>
        <w:pStyle w:val="avsnitt-tittel"/>
      </w:pPr>
      <w:r w:rsidRPr="00E73D4B">
        <w:t>Batteritoll – handels- og samarbeidsavtalen mellom EU og Storbritannia</w:t>
      </w:r>
    </w:p>
    <w:p w14:paraId="0552B53A" w14:textId="77777777" w:rsidR="00972395" w:rsidRPr="00E73D4B" w:rsidRDefault="00F120C7" w:rsidP="00E73D4B">
      <w:pPr>
        <w:rPr>
          <w:rStyle w:val="kursiv"/>
        </w:rPr>
      </w:pPr>
      <w:r w:rsidRPr="00E73D4B">
        <w:rPr>
          <w:rStyle w:val="kursiv"/>
        </w:rPr>
        <w:t>Vedtak nr. 732, 10. juni 2022</w:t>
      </w:r>
    </w:p>
    <w:p w14:paraId="50FF2818" w14:textId="77777777" w:rsidR="00972395" w:rsidRPr="00E73D4B" w:rsidRDefault="00F120C7" w:rsidP="00E73D4B">
      <w:pPr>
        <w:pStyle w:val="blokksit"/>
        <w:rPr>
          <w:rStyle w:val="kursiv"/>
        </w:rPr>
      </w:pPr>
      <w:r w:rsidRPr="00E73D4B">
        <w:rPr>
          <w:rStyle w:val="kursiv"/>
        </w:rPr>
        <w:t>«Stortinget ber regjeringen sikre norske batteriaktørers internasjonale konkurransedyktighet, blant annet ved å arbeide for at norske aktører ikke blir pålagt den varslede batteritollen som følge av handelsavtalen mellom Storbritannia og EU.»</w:t>
      </w:r>
    </w:p>
    <w:p w14:paraId="67B1F922" w14:textId="77777777" w:rsidR="00972395" w:rsidRPr="00E73D4B" w:rsidRDefault="00F120C7" w:rsidP="00E73D4B">
      <w:r w:rsidRPr="00E73D4B">
        <w:t xml:space="preserve">Vedtaket ble truffet under behandlingen av innstilling fra energi- og miljøkomiteen om Meld. St. 36 (2020–2021) </w:t>
      </w:r>
      <w:r w:rsidRPr="00E73D4B">
        <w:rPr>
          <w:rStyle w:val="kursiv"/>
        </w:rPr>
        <w:t>Energi til arbeid – langsiktig verdiskaping fra norske energiressurser</w:t>
      </w:r>
      <w:r w:rsidRPr="00E73D4B">
        <w:t xml:space="preserve">, Meld. St. 11 (2021–2022) </w:t>
      </w:r>
      <w:r w:rsidRPr="00E73D4B">
        <w:rPr>
          <w:rStyle w:val="kursiv"/>
        </w:rPr>
        <w:t>Tilleggsmelding til Meld. St. 36 (2020–2021)</w:t>
      </w:r>
      <w:r w:rsidRPr="00E73D4B">
        <w:t xml:space="preserve"> og seks representantforslag som også omhandler energispørsmål.</w:t>
      </w:r>
    </w:p>
    <w:p w14:paraId="31AF7414" w14:textId="77777777" w:rsidR="00972395" w:rsidRPr="00E73D4B" w:rsidRDefault="00F120C7" w:rsidP="00E73D4B">
      <w:r w:rsidRPr="00E73D4B">
        <w:t>Opprinnelsesreglene i frihandels- og samarbeidsavtalen mellom EU og Storbritannia (TCA) er gjennomgående strenge og setter klare begrensninger for bruk av innsatsmaterialer fra tredjeland for at en ferdigvare skal defineres som å ha opprinnelse i EU eller Storbritannia, og være berettiget til tollfri handel mellom de to områdene. Norge er i denne sammenhengen et tredjeland.</w:t>
      </w:r>
    </w:p>
    <w:p w14:paraId="3304FE3B" w14:textId="77777777" w:rsidR="00972395" w:rsidRPr="00E73D4B" w:rsidRDefault="00F120C7" w:rsidP="00E73D4B">
      <w:r w:rsidRPr="00E73D4B">
        <w:t xml:space="preserve">En særlig utfordring med opprinnelsesreglene i TCA er kravene til batterier i elbiler som skal eksporteres mellom EU og Storbritannia. For å oppnå tollfrihet for selve elbilen må elbilens batteripakke fra 1. januar 2027 være produsert (dvs. ha opprinnelse) i EU eller Storbritannia. Dette kravet kommer i tillegg til kravet om at verdien av tredjelandsmateriale brukt i elbilen maksimalt kan utgjøre 45 prosent av elbilens «pris fra fabrikk». Som et resultat vil bruk av norskproduserte batterier i elbiler produsert i EU eller Storbritannia – og som eksporteres til den andre parten – ilegges 10 pst. toll fra og med 1. januar 2027. Det antas at dette vil gjøre det mindre attraktivt for britisk og EUs bilindustri å benytte seg av norske batteripakker i elbiler som sådan. </w:t>
      </w:r>
    </w:p>
    <w:p w14:paraId="6199E48A" w14:textId="77777777" w:rsidR="00972395" w:rsidRPr="00E73D4B" w:rsidRDefault="00F120C7" w:rsidP="00E73D4B">
      <w:r w:rsidRPr="00E73D4B">
        <w:t xml:space="preserve">Det har blitt gjennomført flere møter med EU og Storbritannia, både på politisk nivå og embetsnivå, for å diskutere mulige løsninger for å unngå denne tollen. I felleserklæringen om et nytt industripartnerskap mellom Norge og EU fra næringsminister Jan Christian Vestre og EU-kommisjonens visepresident </w:t>
      </w:r>
      <w:proofErr w:type="spellStart"/>
      <w:r w:rsidRPr="00E73D4B">
        <w:t>Maroš</w:t>
      </w:r>
      <w:proofErr w:type="spellEnd"/>
      <w:r w:rsidRPr="00E73D4B">
        <w:t xml:space="preserve"> </w:t>
      </w:r>
      <w:proofErr w:type="spellStart"/>
      <w:r w:rsidRPr="00E73D4B">
        <w:t>Šefčovič</w:t>
      </w:r>
      <w:proofErr w:type="spellEnd"/>
      <w:r w:rsidRPr="00E73D4B">
        <w:t xml:space="preserve"> 27. juni 2022, er å diskutere anvendelsen av opprinnelsesreglene i TCA på norske batterier utpekt som </w:t>
      </w:r>
      <w:proofErr w:type="gramStart"/>
      <w:r w:rsidRPr="00E73D4B">
        <w:t>et særlige fokusområde</w:t>
      </w:r>
      <w:proofErr w:type="gramEnd"/>
      <w:r w:rsidRPr="00E73D4B">
        <w:t xml:space="preserve"> i arbeidet med styrket samarbeid på batteri- og råvarer framover.</w:t>
      </w:r>
    </w:p>
    <w:p w14:paraId="67E16A6E" w14:textId="77777777" w:rsidR="00972395" w:rsidRPr="00E73D4B" w:rsidRDefault="00F120C7" w:rsidP="00E73D4B">
      <w:r w:rsidRPr="00E73D4B">
        <w:t>Vedtaket er under løpende oppfølging.</w:t>
      </w:r>
    </w:p>
    <w:p w14:paraId="4DBCF82B" w14:textId="77777777" w:rsidR="00972395" w:rsidRPr="00E73D4B" w:rsidRDefault="00F120C7" w:rsidP="00E73D4B">
      <w:pPr>
        <w:pStyle w:val="avsnitt-tittel"/>
      </w:pPr>
      <w:r w:rsidRPr="00E73D4B">
        <w:t xml:space="preserve">Produksjon og </w:t>
      </w:r>
      <w:proofErr w:type="spellStart"/>
      <w:r w:rsidRPr="00E73D4B">
        <w:t>resikulering</w:t>
      </w:r>
      <w:proofErr w:type="spellEnd"/>
      <w:r w:rsidRPr="00E73D4B">
        <w:t xml:space="preserve"> av batterier</w:t>
      </w:r>
    </w:p>
    <w:p w14:paraId="65896D46" w14:textId="77777777" w:rsidR="00972395" w:rsidRPr="00E73D4B" w:rsidRDefault="00F120C7" w:rsidP="00E73D4B">
      <w:pPr>
        <w:pStyle w:val="avsnitt-tittel"/>
      </w:pPr>
      <w:r w:rsidRPr="00E73D4B">
        <w:t>Vedtak nr. 733, 10. juni 2022</w:t>
      </w:r>
    </w:p>
    <w:p w14:paraId="64320698" w14:textId="77777777" w:rsidR="00972395" w:rsidRPr="00E73D4B" w:rsidRDefault="00F120C7" w:rsidP="00E73D4B">
      <w:pPr>
        <w:pStyle w:val="blokksit"/>
        <w:rPr>
          <w:rStyle w:val="kursiv"/>
        </w:rPr>
      </w:pPr>
      <w:r w:rsidRPr="00E73D4B">
        <w:rPr>
          <w:rStyle w:val="kursiv"/>
        </w:rPr>
        <w:t>«Stortinget ber regjeringen legge til rette for en helhetlig verdikjede for batteriproduksjon og resirkulering av batteri i Norge.»</w:t>
      </w:r>
    </w:p>
    <w:p w14:paraId="6E33F232" w14:textId="77777777" w:rsidR="00972395" w:rsidRPr="00E73D4B" w:rsidRDefault="00F120C7" w:rsidP="00E73D4B">
      <w:r w:rsidRPr="00E73D4B">
        <w:t xml:space="preserve">Vedtaket ble truffet under behandlingen av innstilling fra energi- og miljøkomiteen om Meld. St. 36 (2020–2021) </w:t>
      </w:r>
      <w:r w:rsidRPr="00E73D4B">
        <w:rPr>
          <w:rStyle w:val="kursiv"/>
        </w:rPr>
        <w:t>Energi til arbeid – langsiktig verdiskaping fra norske energiressurser</w:t>
      </w:r>
      <w:r w:rsidRPr="00E73D4B">
        <w:t xml:space="preserve">, Meld. St. 11 (2021–2022) </w:t>
      </w:r>
      <w:r w:rsidRPr="00E73D4B">
        <w:rPr>
          <w:rStyle w:val="kursiv"/>
        </w:rPr>
        <w:t>Tilleggsmelding til Meld. St. 36 (2020–2021)</w:t>
      </w:r>
      <w:r w:rsidRPr="00E73D4B">
        <w:t xml:space="preserve"> og seks representantforslag som også omhandler energispørsmål, jf. </w:t>
      </w:r>
      <w:proofErr w:type="spellStart"/>
      <w:r w:rsidRPr="00E73D4B">
        <w:t>Innst</w:t>
      </w:r>
      <w:proofErr w:type="spellEnd"/>
      <w:r w:rsidRPr="00E73D4B">
        <w:t>. 446 S (2021–2022).</w:t>
      </w:r>
    </w:p>
    <w:p w14:paraId="59DF6777" w14:textId="77777777" w:rsidR="00972395" w:rsidRPr="00E73D4B" w:rsidRDefault="00F120C7" w:rsidP="00E73D4B">
      <w:r w:rsidRPr="00E73D4B">
        <w:t>Regjeringen lanserte i juni 2022 dokumentet «Norges batteristrategi». Verdikjeden for batterier er ett av de syv innsatsområdene i regjeringens initiativ «Grønt industriløft» og kan bidra til reduserte globale klimagassutslipp, omstilling til fornybarsamfunnet og etablering av lønnsomme, grønne arbeidsplasser i Norge.</w:t>
      </w:r>
    </w:p>
    <w:p w14:paraId="6A913172" w14:textId="77777777" w:rsidR="00972395" w:rsidRPr="00E73D4B" w:rsidRDefault="00F120C7" w:rsidP="00E73D4B">
      <w:r w:rsidRPr="00E73D4B">
        <w:t>Batteristrategien oppsummerer eksisterende kunnskapsgrunnlag og konkretiserer regjeringens ambisjoner. Den viser hva som skal til for å bidra til å realisere det norske verdiskapingspotensialet i batteriverdikjeden på en miljømessig, bærekraftig måte.</w:t>
      </w:r>
    </w:p>
    <w:p w14:paraId="5F22CDDC" w14:textId="77777777" w:rsidR="00972395" w:rsidRPr="00E73D4B" w:rsidRDefault="00F120C7" w:rsidP="00E73D4B">
      <w:r w:rsidRPr="00E73D4B">
        <w:t>Norge har gode forutsetninger for økt verdiskaping i flere deler av batteriverdikjeden i form av fornybar kraft, kritiske råvarer og industriell kompetanse. Sistnevnte særlig innenfor storskala industrialisering i prosessindustrien, maritim industriell kompetanse og mer generelt i forbindelse med utnyttelse av digital teknologi og materialkompetanse/resirkulering av materialer.</w:t>
      </w:r>
    </w:p>
    <w:p w14:paraId="55405CE4" w14:textId="77777777" w:rsidR="00972395" w:rsidRPr="00E73D4B" w:rsidRDefault="00F120C7" w:rsidP="00E73D4B">
      <w:r w:rsidRPr="00E73D4B">
        <w:t xml:space="preserve">I Norges batteristrategi framgår det at regjeringen vil arbeide for at Norge utvikler en bærekraftig europeisk batteriverdikjede med høy ytelse, høy ressursutnyttelse og </w:t>
      </w:r>
      <w:proofErr w:type="spellStart"/>
      <w:r w:rsidRPr="00E73D4B">
        <w:t>miljønytte</w:t>
      </w:r>
      <w:proofErr w:type="spellEnd"/>
      <w:r w:rsidRPr="00E73D4B">
        <w:t xml:space="preserve"> og lave klimafotavtrykk. Regjeringen vil videre vurdere ny regulering og forbedret informasjonsdeling om produktinnhold i industrien. Oppfølging av EUs strategi for sirkulærøkonomi er en viktig del av dette.</w:t>
      </w:r>
    </w:p>
    <w:p w14:paraId="21388D38" w14:textId="77777777" w:rsidR="00972395" w:rsidRPr="00E73D4B" w:rsidRDefault="00F120C7" w:rsidP="00E73D4B">
      <w:r w:rsidRPr="00E73D4B">
        <w:t>Vedtaket anses med dette som fulgt opp.</w:t>
      </w:r>
    </w:p>
    <w:p w14:paraId="118E5086" w14:textId="77777777" w:rsidR="00972395" w:rsidRPr="00E73D4B" w:rsidRDefault="00F120C7" w:rsidP="00E73D4B">
      <w:pPr>
        <w:pStyle w:val="avsnitt-tittel"/>
      </w:pPr>
      <w:r w:rsidRPr="00E73D4B">
        <w:t>Satsing på utvikling og produksjon av batterier og andre nye grønne næringer</w:t>
      </w:r>
    </w:p>
    <w:p w14:paraId="1BB3DA7B" w14:textId="77777777" w:rsidR="00972395" w:rsidRPr="00E73D4B" w:rsidRDefault="00F120C7" w:rsidP="00E73D4B">
      <w:pPr>
        <w:rPr>
          <w:rStyle w:val="kursiv"/>
        </w:rPr>
      </w:pPr>
      <w:r w:rsidRPr="00E73D4B">
        <w:rPr>
          <w:rStyle w:val="kursiv"/>
        </w:rPr>
        <w:t>Vedtak nr. 734, 10. juni 2022</w:t>
      </w:r>
    </w:p>
    <w:p w14:paraId="5DD16431" w14:textId="77777777" w:rsidR="00972395" w:rsidRPr="00E73D4B" w:rsidRDefault="00F120C7" w:rsidP="00E73D4B">
      <w:pPr>
        <w:pStyle w:val="blokksit"/>
        <w:rPr>
          <w:rStyle w:val="kursiv"/>
        </w:rPr>
      </w:pPr>
      <w:r w:rsidRPr="00E73D4B">
        <w:rPr>
          <w:rStyle w:val="kursiv"/>
        </w:rPr>
        <w:t>«Stortinget ber regjeringen, senest i forbindelse med statsbudsjettet for 2023, legge til rette for en industriell storsatsing på utvikling og produksjon av batterier og andre nye grønne næringer.»</w:t>
      </w:r>
    </w:p>
    <w:p w14:paraId="44FD9EE4" w14:textId="77777777" w:rsidR="00972395" w:rsidRPr="00E73D4B" w:rsidRDefault="00F120C7" w:rsidP="00E73D4B">
      <w:r w:rsidRPr="00E73D4B">
        <w:t xml:space="preserve">Vedtaket ble truffet under behandlingen av innstilling fra energi- og miljøkomiteen om Meld. St. 36 (2020–2021) </w:t>
      </w:r>
      <w:r w:rsidRPr="00E73D4B">
        <w:rPr>
          <w:rStyle w:val="kursiv"/>
        </w:rPr>
        <w:t>Energi til arbeid – langsiktig verdiskaping fra norske energiressurser</w:t>
      </w:r>
      <w:r w:rsidRPr="00E73D4B">
        <w:t xml:space="preserve">, Meld. St. 11 (2021–2022) </w:t>
      </w:r>
      <w:r w:rsidRPr="00E73D4B">
        <w:rPr>
          <w:rStyle w:val="kursiv"/>
        </w:rPr>
        <w:t>Tilleggsmelding til Meld. St. 36 (2020–2021)</w:t>
      </w:r>
      <w:r w:rsidRPr="00E73D4B">
        <w:t xml:space="preserve"> og seks representantforslag som også omhandler energispørsmål, jf. </w:t>
      </w:r>
      <w:proofErr w:type="spellStart"/>
      <w:r w:rsidRPr="00E73D4B">
        <w:t>Innst</w:t>
      </w:r>
      <w:proofErr w:type="spellEnd"/>
      <w:r w:rsidRPr="00E73D4B">
        <w:t>. 446 S (2021–2022).</w:t>
      </w:r>
    </w:p>
    <w:p w14:paraId="50C56AAB" w14:textId="77777777" w:rsidR="00972395" w:rsidRPr="00E73D4B" w:rsidRDefault="00F120C7" w:rsidP="00E73D4B">
      <w:r w:rsidRPr="00E73D4B">
        <w:t>Verdikjeden for batterier er ett av de syv innsatsområdene i regjeringens initiativ «Grønt industriløft» og kan bidra til reduserte globale klimagassutslipp og omstilling til fornybarsamfunnet samtidig som det kan skape nye grønne, lønnsomme arbeidsplasser i hele Norge, øke investeringene og eksporten og kutte utslipp.</w:t>
      </w:r>
    </w:p>
    <w:p w14:paraId="4099F3CB" w14:textId="77777777" w:rsidR="00972395" w:rsidRPr="00E73D4B" w:rsidRDefault="00F120C7" w:rsidP="00E73D4B">
      <w:r w:rsidRPr="00E73D4B">
        <w:t>Regjeringen lanserte i juni 2022 dokumentet «Norges batteristrategi». Av den framgår det at Norge skal videreutvikle en sammenhengende og lønnsom batteriverdikjede, som spenner fra bærekraftig mineralutvinning til resirkulering av batterier. Norges skal være et attraktivt vertsland for lønnsom aktivitet i hele batteriverdikjeden og tiltrekke seg de store batteriinvesteringene og gigafabrikkene.</w:t>
      </w:r>
    </w:p>
    <w:p w14:paraId="6D2A8C22" w14:textId="77777777" w:rsidR="00972395" w:rsidRPr="00E73D4B" w:rsidRDefault="00F120C7" w:rsidP="00E73D4B">
      <w:r w:rsidRPr="00E73D4B">
        <w:t>Batteristrategien oppsummerer eksisterende kunnskapsgrunnlag og konkretiserer regjeringens ambisjoner. Den viser hva som skal til for å bidra til å realisere det norske verdiskapingspotensialet i batteriverdikjeden på en miljømessig, bærekraftig måte.</w:t>
      </w:r>
    </w:p>
    <w:p w14:paraId="144EE8F1" w14:textId="77777777" w:rsidR="00972395" w:rsidRPr="00E73D4B" w:rsidRDefault="00F120C7" w:rsidP="00E73D4B">
      <w:r w:rsidRPr="00E73D4B">
        <w:t xml:space="preserve">I Norges batteristrategi framgår det at regjeringen vil arbeide for at Norge utvikler en bærekraftig europeisk batteriverdikjede med høy ytelse, høy ressursutnyttelse og </w:t>
      </w:r>
      <w:proofErr w:type="spellStart"/>
      <w:r w:rsidRPr="00E73D4B">
        <w:t>miljønytte</w:t>
      </w:r>
      <w:proofErr w:type="spellEnd"/>
      <w:r w:rsidRPr="00E73D4B">
        <w:t xml:space="preserve"> og lave klimafotavtrykk. I strategien framgår det også at regjeringen vil dimensjonere virkemiddelapparatet for å kunne møte det økende behovet for garantier og lån til grønne industriprosjekter og stille opp med målrettet risikoavlastning, primært gjennom garantier og lån til gode, bedriftsøkonomiske lønnsomme prosjekter innenfor de syv satsingsområdene i Grønt industriløft. Dette kan omfatte ulike varianter av lån, garantier og egenkapital. Regjeringen vil komme tilbake til innretningen i de årlige statsbudsjettene. Økt statlig risikoavlastning forutsetter at det er gode prosjekter og privat investeringsvilje.</w:t>
      </w:r>
    </w:p>
    <w:p w14:paraId="324B314E" w14:textId="77777777" w:rsidR="00972395" w:rsidRPr="00E73D4B" w:rsidRDefault="00F120C7" w:rsidP="00E73D4B">
      <w:r w:rsidRPr="00E73D4B">
        <w:t>Regjeringen vil fortsette å styrke Eksfins rolle som virkemiddel for store nye prosjekter innen grønn industriutvikling. Regjeringen vil utrede behovet for økte rammer, muligheten til å ta økt risiko og se på eventuelle målrettede ordninger for å bidra til å realisere flere store, grønne industriprosjekter de neste årene.</w:t>
      </w:r>
    </w:p>
    <w:p w14:paraId="09AF4951" w14:textId="77777777" w:rsidR="00972395" w:rsidRPr="00E73D4B" w:rsidRDefault="00F120C7" w:rsidP="00E73D4B">
      <w:r w:rsidRPr="00E73D4B">
        <w:t>Regjeringen vil gjennomgå hele virkemiddelapparatet for å spisse innsatsen ytterligere mot grønn omstilling i næringslivet og bygge opp under grønt industriløft.</w:t>
      </w:r>
    </w:p>
    <w:p w14:paraId="249C62F2" w14:textId="77777777" w:rsidR="00972395" w:rsidRPr="00E73D4B" w:rsidRDefault="00F120C7" w:rsidP="00E73D4B">
      <w:r w:rsidRPr="00E73D4B">
        <w:t>Vedtaket anses med dette som fulgt opp.</w:t>
      </w:r>
    </w:p>
    <w:p w14:paraId="1E8CB26F" w14:textId="77777777" w:rsidR="00972395" w:rsidRPr="00E73D4B" w:rsidRDefault="00F120C7" w:rsidP="00E73D4B">
      <w:pPr>
        <w:pStyle w:val="avsnitt-tittel"/>
      </w:pPr>
      <w:r w:rsidRPr="00E73D4B">
        <w:t xml:space="preserve">Batterispesifikke utdanningsløp, herunder etablere flere </w:t>
      </w:r>
      <w:proofErr w:type="spellStart"/>
      <w:r w:rsidRPr="00E73D4B">
        <w:t>treparts</w:t>
      </w:r>
      <w:proofErr w:type="spellEnd"/>
      <w:r w:rsidRPr="00E73D4B">
        <w:t xml:space="preserve"> bransjeprogram</w:t>
      </w:r>
    </w:p>
    <w:p w14:paraId="16A621F8" w14:textId="77777777" w:rsidR="00972395" w:rsidRPr="00E73D4B" w:rsidRDefault="00F120C7" w:rsidP="00E73D4B">
      <w:pPr>
        <w:rPr>
          <w:rStyle w:val="kursiv"/>
        </w:rPr>
      </w:pPr>
      <w:r w:rsidRPr="00E73D4B">
        <w:rPr>
          <w:rStyle w:val="kursiv"/>
        </w:rPr>
        <w:t>Vedtak nr. 735, 10. juni 2022</w:t>
      </w:r>
    </w:p>
    <w:p w14:paraId="7E71F22B" w14:textId="77777777" w:rsidR="00972395" w:rsidRPr="00E73D4B" w:rsidRDefault="00F120C7" w:rsidP="00E73D4B">
      <w:pPr>
        <w:pStyle w:val="blokksit"/>
        <w:rPr>
          <w:rStyle w:val="kursiv"/>
        </w:rPr>
      </w:pPr>
      <w:r w:rsidRPr="00E73D4B">
        <w:rPr>
          <w:rStyle w:val="kursiv"/>
        </w:rPr>
        <w:t xml:space="preserve">«Stortinget ber regjeringen legge til rette for å tiltrekke kompetent arbeidskraft og starte arbeidet med å etablere batterispesifikke utdanningsløp i Norge, herunder etablere flere </w:t>
      </w:r>
      <w:proofErr w:type="spellStart"/>
      <w:r w:rsidRPr="00E73D4B">
        <w:rPr>
          <w:rStyle w:val="kursiv"/>
        </w:rPr>
        <w:t>treparts</w:t>
      </w:r>
      <w:proofErr w:type="spellEnd"/>
      <w:r w:rsidRPr="00E73D4B">
        <w:rPr>
          <w:rStyle w:val="kursiv"/>
        </w:rPr>
        <w:t xml:space="preserve"> bransjeprogram.»</w:t>
      </w:r>
    </w:p>
    <w:p w14:paraId="74645BF8" w14:textId="77777777" w:rsidR="00972395" w:rsidRPr="00E73D4B" w:rsidRDefault="00F120C7" w:rsidP="00E73D4B">
      <w:r w:rsidRPr="00E73D4B">
        <w:t xml:space="preserve">Vedtaket ble truffet under behandlingen av innstilling fra energi- og miljøkomiteen om Meld. St. 36 (2020–2021) </w:t>
      </w:r>
      <w:r w:rsidRPr="00E73D4B">
        <w:rPr>
          <w:rStyle w:val="kursiv"/>
        </w:rPr>
        <w:t>Energi til arbeid – langsiktig verdiskaping fra norske energiressurser</w:t>
      </w:r>
      <w:r w:rsidRPr="00E73D4B">
        <w:t xml:space="preserve">, Meld. St. 11 (2021–2022) </w:t>
      </w:r>
      <w:r w:rsidRPr="00E73D4B">
        <w:rPr>
          <w:rStyle w:val="kursiv"/>
        </w:rPr>
        <w:t>Tilleggsmelding til Meld. St. 36 (2020–2021)</w:t>
      </w:r>
      <w:r w:rsidRPr="00E73D4B">
        <w:t xml:space="preserve"> og seks representantforslag som også omhandler energispørsmål, jf. </w:t>
      </w:r>
      <w:proofErr w:type="spellStart"/>
      <w:r w:rsidRPr="00E73D4B">
        <w:t>Innst</w:t>
      </w:r>
      <w:proofErr w:type="spellEnd"/>
      <w:r w:rsidRPr="00E73D4B">
        <w:t>. 446 S (2021–2022).</w:t>
      </w:r>
    </w:p>
    <w:p w14:paraId="49293F24" w14:textId="77777777" w:rsidR="00972395" w:rsidRPr="00E73D4B" w:rsidRDefault="00F120C7" w:rsidP="00E73D4B">
      <w:r w:rsidRPr="00E73D4B">
        <w:t>Regjeringen lanserte i juni 2022 dokumentet «Norges batteristrategi». I strategien understrekes det at norsk industri skal ha tilgang til kompetent arbeidskraft. Gjennom trepartssamarbeidet skal det legges til rette for kontinuerlig kompetanseutvikling, og regjeringen fører en aktiv politikk for å inkludere flere i arbeidslivet. Norge har rike naturressurser, men det er arbeidskraft med rett kompetanse som er vår viktigste ressurs. Tilgang på tilstrekkelig mengde arbeidskraft med rett kompetanse vil være en sentral faktor å realisere regjeringens ambisjoner for batteriverdikjeden i Norge. Kompetansen må kontinuerlig vedlikeholdes og utvikles i bedriftene. For å opprettholde god konkurranseevne over tid er det sentralt å ha gode norske forskningsmiljøer og fagmiljøer innen batteriverdikjeden, i samarbeid med andre aktører i særlig Norden og Europa.</w:t>
      </w:r>
    </w:p>
    <w:p w14:paraId="4E682045" w14:textId="77777777" w:rsidR="00972395" w:rsidRPr="00E73D4B" w:rsidRDefault="00F120C7" w:rsidP="00E73D4B">
      <w:r w:rsidRPr="00E73D4B">
        <w:t>Batteriaktørene vil ha behov for mange typer kompetanse. De fleste ansatte i batteriverdikjeden er forventet å ha en yrkesfaglig bakgrunn, men det er også behov for teknologer med dyp innsikt innen batteriteknologi og tilhørende produksjonsteknologier. I tillegg vil aktivitet i batteriverdikjeden medføre etterspørsel etter underleverandører, servicefunksjoner og ulike tjenester lokalt, som hver for seg innebærer særskilte kompetansebehov.</w:t>
      </w:r>
    </w:p>
    <w:p w14:paraId="0BAAC8E4" w14:textId="77777777" w:rsidR="00972395" w:rsidRPr="00E73D4B" w:rsidRDefault="00F120C7" w:rsidP="00E73D4B">
      <w:r w:rsidRPr="00E73D4B">
        <w:t xml:space="preserve">Partene i arbeidslivet ved LO og Norsk Industri (leder), samt Prosess21, har satt i gang prosjektet </w:t>
      </w:r>
      <w:proofErr w:type="spellStart"/>
      <w:r w:rsidRPr="00E73D4B">
        <w:t>BattKOMP</w:t>
      </w:r>
      <w:proofErr w:type="spellEnd"/>
      <w:r w:rsidRPr="00E73D4B">
        <w:t xml:space="preserve"> for å kartlegge og analysere kompetansebehov forbundet med en storskala satsing på batteriindustri i Norge. Prosjektet er delt i tre; Del 1 har kartlagt det forventede</w:t>
      </w:r>
      <w:r w:rsidRPr="00E73D4B">
        <w:rPr>
          <w:rStyle w:val="kursiv"/>
        </w:rPr>
        <w:t xml:space="preserve"> kompetansebehovet </w:t>
      </w:r>
      <w:r w:rsidRPr="00E73D4B">
        <w:t xml:space="preserve">til aktørene på ulike utdanningsnivå i batteriverdikjeden i Norge. Del 2 har kartlagt </w:t>
      </w:r>
      <w:r w:rsidRPr="00E73D4B">
        <w:rPr>
          <w:rStyle w:val="kursiv"/>
        </w:rPr>
        <w:t>eksisterende tilbud og kompetanse som utdanningsinstitusjonene har i dag</w:t>
      </w:r>
      <w:r w:rsidRPr="00E73D4B">
        <w:t xml:space="preserve">, fra fagbrev til høyere utdanning, og har sammenstilt dette og erfaringer fra Del 1 i form av en «gap-analyse». Del 3 av </w:t>
      </w:r>
      <w:proofErr w:type="spellStart"/>
      <w:r w:rsidRPr="00E73D4B">
        <w:t>BattKOMP</w:t>
      </w:r>
      <w:proofErr w:type="spellEnd"/>
      <w:r w:rsidRPr="00E73D4B">
        <w:t xml:space="preserve">, som ennå ikke er gjennomført, vil se på mulige nye grep som skal sikre nødvendig kunnskapsløft (faglig og volumbehov) for framtidens batteriindustri gjennom utdanning og akademia </w:t>
      </w:r>
      <w:proofErr w:type="gramStart"/>
      <w:r w:rsidRPr="00E73D4B">
        <w:t>for øvrig</w:t>
      </w:r>
      <w:proofErr w:type="gramEnd"/>
      <w:r w:rsidRPr="00E73D4B">
        <w:t>.</w:t>
      </w:r>
    </w:p>
    <w:p w14:paraId="31E993CB" w14:textId="77777777" w:rsidR="00972395" w:rsidRPr="00E73D4B" w:rsidRDefault="00F120C7" w:rsidP="00E73D4B">
      <w:r w:rsidRPr="00E73D4B">
        <w:t xml:space="preserve">Regjeringen vil vurdere anbefalingene fra </w:t>
      </w:r>
      <w:proofErr w:type="spellStart"/>
      <w:r w:rsidRPr="00E73D4B">
        <w:t>BattKOMP</w:t>
      </w:r>
      <w:proofErr w:type="spellEnd"/>
      <w:r w:rsidRPr="00E73D4B">
        <w:t>-prosjektet når del 3 er ferdigstilt. Dette vil utgjøre et viktig underlag for å vurdere kompetansegrunnlag, kompetansebehov og hvilket tilbud av ulike former for utdannings- og kompetansetilbud lokalt, regionalt og nasjonalt som er nødvendig for å understøtte regjeringens målsettinger for batteriverdikjeden.</w:t>
      </w:r>
    </w:p>
    <w:p w14:paraId="68D798BA" w14:textId="77777777" w:rsidR="00972395" w:rsidRPr="00E73D4B" w:rsidRDefault="00F120C7" w:rsidP="00E73D4B">
      <w:r w:rsidRPr="00E73D4B">
        <w:t xml:space="preserve">Regjeringen har videreført </w:t>
      </w:r>
      <w:proofErr w:type="spellStart"/>
      <w:r w:rsidRPr="00E73D4B">
        <w:t>treparts</w:t>
      </w:r>
      <w:proofErr w:type="spellEnd"/>
      <w:r w:rsidRPr="00E73D4B">
        <w:t xml:space="preserve"> bransjeprogram for kompetanseutvikling for industri- og byggenæringen. Gjennom dette bransjeprogrammet har flere fagskoler mottatt støtte til «Batterifagskolen» som er et videreutdanningstilbud rettet mot fagarbeidere som ønsker å jobbe i batteriindustrien. Dette er tilbud som er utviklet i samarbeid mellom fagskolene og industrien.</w:t>
      </w:r>
    </w:p>
    <w:p w14:paraId="320B0A70" w14:textId="77777777" w:rsidR="00972395" w:rsidRPr="00E73D4B" w:rsidRDefault="00F120C7" w:rsidP="00E73D4B">
      <w:r w:rsidRPr="00E73D4B">
        <w:t>Regjeringen tar sikte på å legge fram en stortingsmelding om kompetansebehov våren 2023. Stortingsmeldingen vil gjøre rede for regjeringens prioriteringer og videre politikk for å dekke kompetansebehovene til grønne industrier som batteriindustrien.</w:t>
      </w:r>
    </w:p>
    <w:p w14:paraId="6C9C2F9E" w14:textId="77777777" w:rsidR="00972395" w:rsidRPr="00E73D4B" w:rsidRDefault="00F120C7" w:rsidP="00E73D4B">
      <w:pPr>
        <w:pStyle w:val="avsnitt-tittel"/>
      </w:pPr>
      <w:r w:rsidRPr="00E73D4B">
        <w:t>Bransjeavtaler – råstoff til Biogass produksjon</w:t>
      </w:r>
    </w:p>
    <w:p w14:paraId="3EDBC4CC" w14:textId="77777777" w:rsidR="00972395" w:rsidRPr="00E73D4B" w:rsidRDefault="00F120C7" w:rsidP="00E73D4B">
      <w:pPr>
        <w:pStyle w:val="avsnitt-undertittel"/>
      </w:pPr>
      <w:r w:rsidRPr="00E73D4B">
        <w:t>Vedtak nr. 754, 10. juni 2022</w:t>
      </w:r>
    </w:p>
    <w:p w14:paraId="10199E74" w14:textId="77777777" w:rsidR="00972395" w:rsidRPr="00E73D4B" w:rsidRDefault="00F120C7" w:rsidP="00E73D4B">
      <w:pPr>
        <w:pStyle w:val="blokksit"/>
        <w:rPr>
          <w:rStyle w:val="kursiv"/>
        </w:rPr>
      </w:pPr>
      <w:r w:rsidRPr="00E73D4B">
        <w:rPr>
          <w:rStyle w:val="kursiv"/>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sidRPr="00E73D4B">
        <w:rPr>
          <w:rStyle w:val="kursiv"/>
        </w:rPr>
        <w:t>bionæringene</w:t>
      </w:r>
      <w:proofErr w:type="spellEnd"/>
      <w:r w:rsidRPr="00E73D4B">
        <w:rPr>
          <w:rStyle w:val="kursiv"/>
        </w:rPr>
        <w:t xml:space="preserve"> vil spille en viktig rolle i dette arbeidet.»</w:t>
      </w:r>
    </w:p>
    <w:p w14:paraId="41E08189" w14:textId="77777777" w:rsidR="00972395" w:rsidRPr="00E73D4B" w:rsidRDefault="00F120C7" w:rsidP="00E73D4B">
      <w:r w:rsidRPr="00E73D4B">
        <w:t xml:space="preserve">Vedtaket ble truffet under behandlingen av innstilling fra energi- og miljøkomiteen om Meld. St. 36 (2020–2021) </w:t>
      </w:r>
      <w:r w:rsidRPr="00E73D4B">
        <w:rPr>
          <w:rStyle w:val="kursiv"/>
        </w:rPr>
        <w:t>Energi til arbeid – langsiktig verdiskaping fra norske energiressurser</w:t>
      </w:r>
      <w:r w:rsidRPr="00E73D4B">
        <w:t xml:space="preserve">, Meld. St. 11 (2021–2022) </w:t>
      </w:r>
      <w:r w:rsidRPr="00E73D4B">
        <w:rPr>
          <w:rStyle w:val="kursiv"/>
        </w:rPr>
        <w:t>Tilleggsmelding til Meld. St. 36 (2020–2021)</w:t>
      </w:r>
      <w:r w:rsidRPr="00E73D4B">
        <w:t xml:space="preserve"> og seks representantforslag som også omhandler energispørsmål, jf. </w:t>
      </w:r>
      <w:proofErr w:type="spellStart"/>
      <w:r w:rsidRPr="00E73D4B">
        <w:t>Innst</w:t>
      </w:r>
      <w:proofErr w:type="spellEnd"/>
      <w:r w:rsidRPr="00E73D4B">
        <w:t>. 446 S (2021–2022).</w:t>
      </w:r>
    </w:p>
    <w:p w14:paraId="5CD643DA" w14:textId="77777777" w:rsidR="00972395" w:rsidRPr="00E73D4B" w:rsidRDefault="00F120C7" w:rsidP="00E73D4B">
      <w:r w:rsidRPr="00E73D4B">
        <w:t>Regjeringen vil følge opp vedtaket og komme tilbake til Stortinget på egnet måte.</w:t>
      </w:r>
    </w:p>
    <w:p w14:paraId="22F5EF4B" w14:textId="77777777" w:rsidR="00972395" w:rsidRPr="00E73D4B" w:rsidRDefault="00F120C7" w:rsidP="00E73D4B">
      <w:pPr>
        <w:pStyle w:val="avsnitt-tittel"/>
      </w:pPr>
      <w:r w:rsidRPr="00E73D4B">
        <w:t>Sirkulær økonomi i virkemiddelapparatet</w:t>
      </w:r>
    </w:p>
    <w:p w14:paraId="4FE9D5B4" w14:textId="77777777" w:rsidR="00972395" w:rsidRPr="00E73D4B" w:rsidRDefault="00F120C7" w:rsidP="00E73D4B">
      <w:pPr>
        <w:pStyle w:val="avsnitt-undertittel"/>
      </w:pPr>
      <w:r w:rsidRPr="00E73D4B">
        <w:t>Vedtak nr. 755, 10. juni 2022</w:t>
      </w:r>
    </w:p>
    <w:p w14:paraId="58B842D7" w14:textId="77777777" w:rsidR="00972395" w:rsidRPr="00E73D4B" w:rsidRDefault="00F120C7" w:rsidP="00E73D4B">
      <w:pPr>
        <w:pStyle w:val="blokksit"/>
        <w:rPr>
          <w:rStyle w:val="kursiv"/>
        </w:rPr>
      </w:pPr>
      <w:r w:rsidRPr="00E73D4B">
        <w:rPr>
          <w:rStyle w:val="kursiv"/>
        </w:rPr>
        <w:t>«Stortinget ber regjeringen sørge for at sirkulær økonomi er et tverrgående satsingsområde for virkemiddelapparatet</w:t>
      </w:r>
      <w:r w:rsidRPr="00E73D4B">
        <w:t>.»</w:t>
      </w:r>
    </w:p>
    <w:p w14:paraId="2FE913E3" w14:textId="77777777" w:rsidR="00972395" w:rsidRPr="00E73D4B" w:rsidRDefault="00F120C7" w:rsidP="00E73D4B">
      <w:r w:rsidRPr="00E73D4B">
        <w:t xml:space="preserve">Vedtaket ble truffet under behandlingen av innstilling fra energi- og miljøkomiteen om Meld. St. 36 (2020–2021) </w:t>
      </w:r>
      <w:r w:rsidRPr="00E73D4B">
        <w:rPr>
          <w:rStyle w:val="kursiv"/>
        </w:rPr>
        <w:t>Energi til arbeid – langsiktig verdiskaping fra norske energiressurser</w:t>
      </w:r>
      <w:r w:rsidRPr="00E73D4B">
        <w:t xml:space="preserve">, Meld. St. 11 (2021–2022) </w:t>
      </w:r>
      <w:r w:rsidRPr="00E73D4B">
        <w:rPr>
          <w:rStyle w:val="kursiv"/>
        </w:rPr>
        <w:t>Tilleggsmelding til Meld. St. 36 (2020–2021)</w:t>
      </w:r>
      <w:r w:rsidRPr="00E73D4B">
        <w:t xml:space="preserve"> og seks representantforslag som også omhandler energispørsmål, jf. </w:t>
      </w:r>
      <w:proofErr w:type="spellStart"/>
      <w:r w:rsidRPr="00E73D4B">
        <w:t>Innst</w:t>
      </w:r>
      <w:proofErr w:type="spellEnd"/>
      <w:r w:rsidRPr="00E73D4B">
        <w:t>. 446 S (2021–2022).</w:t>
      </w:r>
    </w:p>
    <w:p w14:paraId="1BACC6E1" w14:textId="77777777" w:rsidR="00972395" w:rsidRPr="00E73D4B" w:rsidRDefault="00F120C7" w:rsidP="00E73D4B">
      <w:r w:rsidRPr="00E73D4B">
        <w:t>Det næringsrettede virkemiddelapparatet har en rekke tverrgående satsinger innenfor sirkulær økonomi. Satsingene inkluderer bl.a. følgende:</w:t>
      </w:r>
    </w:p>
    <w:p w14:paraId="4E56704B" w14:textId="77777777" w:rsidR="00972395" w:rsidRPr="00E73D4B" w:rsidRDefault="00F120C7" w:rsidP="00E73D4B">
      <w:r w:rsidRPr="00E73D4B">
        <w:t xml:space="preserve">Forskningsrådet, Innovasjon Norge, Siva, </w:t>
      </w:r>
      <w:proofErr w:type="spellStart"/>
      <w:r w:rsidRPr="00E73D4B">
        <w:t>Enova</w:t>
      </w:r>
      <w:proofErr w:type="spellEnd"/>
      <w:r w:rsidRPr="00E73D4B">
        <w:t xml:space="preserve"> og Gassnova inngikk i 2022 en ny samarbeidsavtale om grønn vekst. Avtalen viderefører et mangeårig samarbeid mellom aktørene og er en rammeavtale for aktiviteter knyttet til grønn omstilling. Intensjonen bak initiativet er å styrke samarbeid på områder som gir merverdi for brukerne, og som bidrar til økt måloppnåelse for den enkelte virkemiddelaktør. Avtalen regulerer hvordan samarbeid om virkemidler, mobilisering, systemutvikling og digitalisering best kan rigges.</w:t>
      </w:r>
    </w:p>
    <w:p w14:paraId="651EBCD1" w14:textId="77777777" w:rsidR="00972395" w:rsidRPr="00E73D4B" w:rsidRDefault="00F120C7" w:rsidP="00E73D4B">
      <w:r w:rsidRPr="00E73D4B">
        <w:t>Når det gjelder Forskningsrådet, har det vært en satsing siden 2020 for å styrke forskning og innovasjon på sirkulær økonomi. Forskningsrådets totale innsats på sirkulær økonomi har nært doblet seg fra drøye 100 mill. kroner i 2020 til snaue 200 mill. kroner i 2021. Satsingen har blitt noe redusert i 2022 på grunn av tiltak for å redusere Forskningsrådets negative avsetninger, men de hadde en utlysning på 72 mill. kroner i juni 2022. Forskningsrådet har også opprettet et eget budsjettformål for å synliggjøre tverrgående satsinger på sirkulær økonomi, og flere av Forskningsrådets porteføljer bidrar med midler til budsjettformålet.</w:t>
      </w:r>
    </w:p>
    <w:p w14:paraId="673E9A61" w14:textId="77777777" w:rsidR="00972395" w:rsidRPr="00E73D4B" w:rsidRDefault="00F120C7" w:rsidP="00E73D4B">
      <w:pPr>
        <w:rPr>
          <w:rStyle w:val="kursiv"/>
        </w:rPr>
      </w:pPr>
      <w:r w:rsidRPr="00E73D4B">
        <w:rPr>
          <w:rStyle w:val="kursiv"/>
        </w:rPr>
        <w:t>Grønn plattform</w:t>
      </w:r>
      <w:r w:rsidRPr="00E73D4B">
        <w:t xml:space="preserve"> er en forsknings- og innovasjonssatsing som skal gi fart til den grønne omstillingen. Satsingen er et felles oppdrag til Siva, Innovasjon Norge og Forskningsrådet og bygger på etablerte ordninger og virkemidler hos de nevnte aktørene. Plattformen retter seg mot store prosjekter som kan dekke hele løpet fra forskning, kommersialisering, skalering og til markedsintroduksjon. Grønn plattform ble første gang utlyst i 2021 og i alt 12 store </w:t>
      </w:r>
      <w:proofErr w:type="spellStart"/>
      <w:r w:rsidRPr="00E73D4B">
        <w:t>konsortieprosjekter</w:t>
      </w:r>
      <w:proofErr w:type="spellEnd"/>
      <w:r w:rsidRPr="00E73D4B">
        <w:t xml:space="preserve"> innenfor energi, industri, sirkulærøkonomi og bioøkonomi er igangsatt gjennom en treårig investering på nær 1,2 mrd. kroner. Blant prosjektene som har fått finansiering, er prosjektet </w:t>
      </w:r>
      <w:proofErr w:type="spellStart"/>
      <w:r w:rsidRPr="00E73D4B">
        <w:t>SirkTRE</w:t>
      </w:r>
      <w:proofErr w:type="spellEnd"/>
      <w:r w:rsidRPr="00E73D4B">
        <w:t>. Prosjektet fikk tildelt 106 mill. kroner for å utvikle en sirkulær verdikjede for trevirke.</w:t>
      </w:r>
    </w:p>
    <w:p w14:paraId="67B57020" w14:textId="77777777" w:rsidR="00972395" w:rsidRPr="00E73D4B" w:rsidRDefault="00F120C7" w:rsidP="00E73D4B">
      <w:pPr>
        <w:rPr>
          <w:rStyle w:val="kursiv"/>
        </w:rPr>
      </w:pPr>
      <w:r w:rsidRPr="00E73D4B">
        <w:rPr>
          <w:rStyle w:val="kursiv"/>
        </w:rPr>
        <w:t>Bionova</w:t>
      </w:r>
      <w:r w:rsidRPr="00E73D4B">
        <w:t xml:space="preserve"> etableres i 2023 og skal bl.a. være et verktøy for økt verdiskaping gjennom overgang til en mer sirkulær bioøkonomi basert på fornybare biologiske ressurser fra land og hav. I tillegg til å være et verktøy for å nå Norges klimamål for 2030 og målet om å være et lavutslippssamfunn i 2050. Bionova vil organiseres som en enhet i Innovasjon Norge og virkemidlene i Bionova vil samspille med andre virkemidler.</w:t>
      </w:r>
    </w:p>
    <w:p w14:paraId="369B6340" w14:textId="77777777" w:rsidR="00972395" w:rsidRPr="00E73D4B" w:rsidRDefault="00F120C7" w:rsidP="00E73D4B">
      <w:pPr>
        <w:rPr>
          <w:rStyle w:val="kursiv"/>
        </w:rPr>
      </w:pPr>
      <w:r w:rsidRPr="00E73D4B">
        <w:rPr>
          <w:rStyle w:val="kursiv"/>
        </w:rPr>
        <w:t>Europas grønne giv</w:t>
      </w:r>
      <w:r w:rsidRPr="00E73D4B">
        <w:t xml:space="preserve">, som er EUs grønne vekststrategi for et klimanøytralt Europa, vil åpne opp nye muligheter for norsk næringsliv på det europeiske markedet. Strategien skal bringe EU mot klimanøytralitet i 2050 og gi et EU med mer sirkulær økonomi, mindre forurensing og bedre beskyttelse og restaurering av økosystemer og naturmangfold. Grønn omstilling og sirkulærøkonomi står også sentralt i flere av EU-programmene med norsk deltakelse, inkludert EUs rammeprogram for forskning og innovasjon Horisont Europa og EUs investeringsprogram </w:t>
      </w:r>
      <w:proofErr w:type="spellStart"/>
      <w:r w:rsidRPr="00E73D4B">
        <w:t>InvestEU</w:t>
      </w:r>
      <w:proofErr w:type="spellEnd"/>
      <w:r w:rsidRPr="00E73D4B">
        <w:t>. Det er også et nordisk samarbeid om sirkulær økonomi hvor Norge deltar aktivt.</w:t>
      </w:r>
    </w:p>
    <w:p w14:paraId="023B701C" w14:textId="77777777" w:rsidR="00972395" w:rsidRPr="00E73D4B" w:rsidRDefault="00F120C7" w:rsidP="00E73D4B">
      <w:r w:rsidRPr="00E73D4B">
        <w:t>Gjennom statsbudsjettet for 2023 vil Forskningsrådet, Innovasjon Norge og Siva også gis føringer om å styrke innsatsen og koordinere det tverrgående arbeidet innenfor sirkulær økonomi med utgangspunkt i virkemiddelaktørenes samarbeidsavtale om grønn vekst.</w:t>
      </w:r>
    </w:p>
    <w:p w14:paraId="3D489E31" w14:textId="77777777" w:rsidR="00972395" w:rsidRPr="00E73D4B" w:rsidRDefault="00F120C7" w:rsidP="00E73D4B">
      <w:r w:rsidRPr="00E73D4B">
        <w:t>Vedtaket anses med dette som fulgt opp.</w:t>
      </w:r>
    </w:p>
    <w:p w14:paraId="25E9843D" w14:textId="77777777" w:rsidR="00972395" w:rsidRPr="00E73D4B" w:rsidRDefault="00F120C7" w:rsidP="00E73D4B">
      <w:pPr>
        <w:pStyle w:val="avsnitt-tittel"/>
      </w:pPr>
      <w:r w:rsidRPr="00E73D4B">
        <w:t>Videreføring av prosjektorganisasjonen for Ocean Space Centre</w:t>
      </w:r>
    </w:p>
    <w:p w14:paraId="0A82D8C0" w14:textId="77777777" w:rsidR="00972395" w:rsidRPr="00E73D4B" w:rsidRDefault="00F120C7" w:rsidP="00E73D4B">
      <w:pPr>
        <w:pStyle w:val="avsnitt-undertittel"/>
      </w:pPr>
      <w:r w:rsidRPr="00E73D4B">
        <w:t>Vedtak nr. 840, 17. juni 2022</w:t>
      </w:r>
    </w:p>
    <w:p w14:paraId="58C20741" w14:textId="77777777" w:rsidR="00972395" w:rsidRPr="00E73D4B" w:rsidRDefault="00F120C7" w:rsidP="00E73D4B">
      <w:pPr>
        <w:pStyle w:val="blokksit"/>
        <w:rPr>
          <w:rStyle w:val="kursiv"/>
        </w:rPr>
      </w:pPr>
      <w:r w:rsidRPr="00E73D4B">
        <w:rPr>
          <w:rStyle w:val="kursiv"/>
        </w:rPr>
        <w:t xml:space="preserve">«Stortinget ber regjeringen videreføre prosjektorganisasjonen i Ocean Space Centre i tråd med vurderingen som </w:t>
      </w:r>
      <w:proofErr w:type="gramStart"/>
      <w:r w:rsidRPr="00E73D4B">
        <w:rPr>
          <w:rStyle w:val="kursiv"/>
        </w:rPr>
        <w:t>fremkommer</w:t>
      </w:r>
      <w:proofErr w:type="gramEnd"/>
      <w:r w:rsidRPr="00E73D4B">
        <w:rPr>
          <w:rStyle w:val="kursiv"/>
        </w:rPr>
        <w:t xml:space="preserve"> i brev til finanskomiteen fra fiskeri- og havministeren datert 6. juni 2022 om at det vil være mulig å starte opp med deler av prosjektet mens prosjektet omarbeides og kostnadene vurderes.»</w:t>
      </w:r>
    </w:p>
    <w:p w14:paraId="269D29B9" w14:textId="77777777" w:rsidR="00972395" w:rsidRPr="00E73D4B" w:rsidRDefault="00F120C7" w:rsidP="00E73D4B">
      <w:r w:rsidRPr="00E73D4B">
        <w:t xml:space="preserve">Vedtaket ble truffet under behandling av Revidert nasjonalbudsjett 2022 Meld. St. 2 (2021–2022), jf. </w:t>
      </w:r>
      <w:proofErr w:type="spellStart"/>
      <w:r w:rsidRPr="00E73D4B">
        <w:t>Innst</w:t>
      </w:r>
      <w:proofErr w:type="spellEnd"/>
      <w:r w:rsidRPr="00E73D4B">
        <w:t>. 450 S (2021–2022).</w:t>
      </w:r>
    </w:p>
    <w:p w14:paraId="76566144" w14:textId="77777777" w:rsidR="00972395" w:rsidRPr="00E73D4B" w:rsidRDefault="00F120C7" w:rsidP="00E73D4B">
      <w:r w:rsidRPr="00E73D4B">
        <w:t>Revidert oppdragsbrev i tråd med Stortingets vedtak ble oversendt til Statsbygg 22. juni 2022. Prosjektorganisasjonen for Ocean Space Centre videreføres i 2022.</w:t>
      </w:r>
    </w:p>
    <w:p w14:paraId="6ADE5D58" w14:textId="77777777" w:rsidR="00972395" w:rsidRPr="00E73D4B" w:rsidRDefault="00F120C7" w:rsidP="00E73D4B">
      <w:r w:rsidRPr="00E73D4B">
        <w:t>Vedtaket anses med dette som fulgt opp.</w:t>
      </w:r>
    </w:p>
    <w:p w14:paraId="6FAFEBAE" w14:textId="77777777" w:rsidR="00972395" w:rsidRPr="00E73D4B" w:rsidRDefault="00F120C7" w:rsidP="00E73D4B">
      <w:pPr>
        <w:pStyle w:val="avsnitt-tittel"/>
      </w:pPr>
      <w:r w:rsidRPr="00E73D4B">
        <w:t>Kystfiske – rapportering av posisjon og fangstmeldinger over mobilnettet</w:t>
      </w:r>
    </w:p>
    <w:p w14:paraId="4AF17602" w14:textId="77777777" w:rsidR="00972395" w:rsidRPr="00E73D4B" w:rsidRDefault="00F120C7" w:rsidP="00E73D4B">
      <w:pPr>
        <w:pStyle w:val="avsnitt-undertittel"/>
      </w:pPr>
      <w:r w:rsidRPr="00E73D4B">
        <w:t>Vedtak nr. 841, 17. juni 2022</w:t>
      </w:r>
    </w:p>
    <w:p w14:paraId="2C49180C" w14:textId="77777777" w:rsidR="00972395" w:rsidRPr="00E73D4B" w:rsidRDefault="00F120C7" w:rsidP="00E73D4B">
      <w:pPr>
        <w:pStyle w:val="blokksit"/>
        <w:rPr>
          <w:rStyle w:val="kursiv"/>
        </w:rPr>
      </w:pPr>
      <w:r w:rsidRPr="00E73D4B">
        <w:rPr>
          <w:rStyle w:val="kursiv"/>
        </w:rPr>
        <w:t>«Stortinget ber regjeringen frita fartøy med fartsområde kystfiske eller mindre fra kravet om å ha satellittabonnement, slik at disse fartøyene kun rapporterer posisjon og fangstmeldinger over mobilnettet.»</w:t>
      </w:r>
    </w:p>
    <w:p w14:paraId="0B2C5EBA" w14:textId="77777777" w:rsidR="00972395" w:rsidRPr="00E73D4B" w:rsidRDefault="00F120C7" w:rsidP="00E73D4B">
      <w:r w:rsidRPr="00E73D4B">
        <w:t xml:space="preserve">Vedtaket ble truffet under behandling av Revidert nasjonalbudsjett 2022 Meld. St. 2 (2021–2022), jf. </w:t>
      </w:r>
      <w:proofErr w:type="spellStart"/>
      <w:r w:rsidRPr="00E73D4B">
        <w:t>Innst</w:t>
      </w:r>
      <w:proofErr w:type="spellEnd"/>
      <w:r w:rsidRPr="00E73D4B">
        <w:t>. 450 S (2021–2022).</w:t>
      </w:r>
    </w:p>
    <w:p w14:paraId="403ABB4B" w14:textId="77777777" w:rsidR="00972395" w:rsidRPr="00E73D4B" w:rsidRDefault="00F120C7" w:rsidP="00E73D4B">
      <w:r w:rsidRPr="00E73D4B">
        <w:t>Vedtaket ble fulgt opp ved forskriftsendring 1. juli 2022, jf. FOR-2022-07-01-1289 Forskrift om endring i forskrift om posisjonsrapportering og elektronisk rapportering for norske fiske- og fangstfartøy (ERS-forskriften).</w:t>
      </w:r>
    </w:p>
    <w:p w14:paraId="28300F27" w14:textId="77777777" w:rsidR="00972395" w:rsidRPr="00E73D4B" w:rsidRDefault="00F120C7" w:rsidP="00E73D4B">
      <w:r w:rsidRPr="00E73D4B">
        <w:t>Vedtaket anses med dette som fulgt opp.</w:t>
      </w:r>
    </w:p>
    <w:p w14:paraId="56C21C04" w14:textId="77777777" w:rsidR="00972395" w:rsidRPr="00E73D4B" w:rsidRDefault="00F120C7" w:rsidP="00E73D4B">
      <w:pPr>
        <w:pStyle w:val="Overskrift2"/>
      </w:pPr>
      <w:r w:rsidRPr="00E73D4B">
        <w:t>Stortingssesjon 2020–2021</w:t>
      </w:r>
    </w:p>
    <w:p w14:paraId="6FB99EEA" w14:textId="77777777" w:rsidR="00972395" w:rsidRPr="00E73D4B" w:rsidRDefault="00F120C7" w:rsidP="00E73D4B">
      <w:pPr>
        <w:pStyle w:val="avsnitt-tittel"/>
      </w:pPr>
      <w:r w:rsidRPr="00E73D4B">
        <w:t>Sikre egenproduksjon – ordning med utleie av akvakulturtillatelser</w:t>
      </w:r>
    </w:p>
    <w:p w14:paraId="3F127291" w14:textId="77777777" w:rsidR="00972395" w:rsidRPr="00E73D4B" w:rsidRDefault="00F120C7" w:rsidP="00E73D4B">
      <w:pPr>
        <w:pStyle w:val="avsnitt-undertittel"/>
      </w:pPr>
      <w:r w:rsidRPr="00E73D4B">
        <w:t>Vedtak nr. 71, 12. november 2020</w:t>
      </w:r>
    </w:p>
    <w:p w14:paraId="41C1EC62" w14:textId="77777777" w:rsidR="00972395" w:rsidRPr="00E73D4B" w:rsidRDefault="00F120C7" w:rsidP="00E73D4B">
      <w:pPr>
        <w:pStyle w:val="blokksit"/>
        <w:rPr>
          <w:rStyle w:val="kursiv"/>
        </w:rPr>
      </w:pPr>
      <w:r w:rsidRPr="00E73D4B">
        <w:rPr>
          <w:rStyle w:val="kursiv"/>
        </w:rPr>
        <w:t>«Stortinget ber regjeringen om å utrede en ordning med utleie av tidsbegrensede akvakulturtillatelser for å sikre egenproduksjon i fiskeindustrien.»</w:t>
      </w:r>
    </w:p>
    <w:p w14:paraId="47963EEC" w14:textId="77777777" w:rsidR="00972395" w:rsidRPr="00E73D4B" w:rsidRDefault="00F120C7" w:rsidP="00E73D4B">
      <w:r w:rsidRPr="00E73D4B">
        <w:t xml:space="preserve">Vedtaket ble truffet ved behandling Dokument 8:122 S (2019–2020) </w:t>
      </w:r>
      <w:r w:rsidRPr="00E73D4B">
        <w:rPr>
          <w:rStyle w:val="kursiv"/>
        </w:rPr>
        <w:t xml:space="preserve">Representantforslag fra stortingsrepresentantene Cecilie Myrseth, Terje Aasland og </w:t>
      </w:r>
      <w:proofErr w:type="spellStart"/>
      <w:r w:rsidRPr="00E73D4B">
        <w:rPr>
          <w:rStyle w:val="kursiv"/>
        </w:rPr>
        <w:t>Åsunn</w:t>
      </w:r>
      <w:proofErr w:type="spellEnd"/>
      <w:r w:rsidRPr="00E73D4B">
        <w:rPr>
          <w:rStyle w:val="kursiv"/>
        </w:rPr>
        <w:t xml:space="preserve"> </w:t>
      </w:r>
      <w:proofErr w:type="spellStart"/>
      <w:r w:rsidRPr="00E73D4B">
        <w:rPr>
          <w:rStyle w:val="kursiv"/>
        </w:rPr>
        <w:t>Lyngedal</w:t>
      </w:r>
      <w:proofErr w:type="spellEnd"/>
      <w:r w:rsidRPr="00E73D4B">
        <w:rPr>
          <w:rStyle w:val="kursiv"/>
        </w:rPr>
        <w:t xml:space="preserve"> om utleie av oppdrettstillatelser til egenproduksjon i fiskeindustrien</w:t>
      </w:r>
      <w:r w:rsidRPr="00E73D4B">
        <w:t xml:space="preserve">, jf. </w:t>
      </w:r>
      <w:proofErr w:type="spellStart"/>
      <w:r w:rsidRPr="00E73D4B">
        <w:t>Innst</w:t>
      </w:r>
      <w:proofErr w:type="spellEnd"/>
      <w:r w:rsidRPr="00E73D4B">
        <w:t>. 65 S (2020–2021).</w:t>
      </w:r>
    </w:p>
    <w:p w14:paraId="69F8BCF9" w14:textId="77777777" w:rsidR="00972395" w:rsidRPr="00E73D4B" w:rsidRDefault="00F120C7" w:rsidP="00E73D4B">
      <w:r w:rsidRPr="00E73D4B">
        <w:t>Nærings- og fiskeridepartementet arbeider med å vurdere vedtaket. Regjeringen vil komme tilbake til Stortinget på egnet måte.</w:t>
      </w:r>
    </w:p>
    <w:p w14:paraId="0676831D" w14:textId="77777777" w:rsidR="00972395" w:rsidRPr="00E73D4B" w:rsidRDefault="00F120C7" w:rsidP="00E73D4B">
      <w:pPr>
        <w:pStyle w:val="avsnitt-tittel"/>
      </w:pPr>
      <w:r w:rsidRPr="00E73D4B">
        <w:t>Oppfølging av kvotesystemet i kyst- og havfiske</w:t>
      </w:r>
    </w:p>
    <w:p w14:paraId="0B909D2C" w14:textId="77777777" w:rsidR="00972395" w:rsidRPr="00E73D4B" w:rsidRDefault="00F120C7" w:rsidP="00E73D4B">
      <w:pPr>
        <w:pStyle w:val="avsnitt-undertittel"/>
      </w:pPr>
      <w:r w:rsidRPr="00E73D4B">
        <w:t>Vedtak nr. 98, 24. november 2020</w:t>
      </w:r>
    </w:p>
    <w:p w14:paraId="45EA45D9" w14:textId="77777777" w:rsidR="00972395" w:rsidRPr="00E73D4B" w:rsidRDefault="00F120C7" w:rsidP="00E73D4B">
      <w:pPr>
        <w:pStyle w:val="blokksit"/>
        <w:rPr>
          <w:rStyle w:val="kursiv"/>
        </w:rPr>
      </w:pPr>
      <w:r w:rsidRPr="00E73D4B">
        <w:rPr>
          <w:rStyle w:val="kursiv"/>
        </w:rPr>
        <w:t>«Stortinget ber regjeringen komme tilbake med forslag til hvordan anbefalingene i Riksrevisjonens undersøkelse av kvotesystemet i kyst- og havfisket skal følges opp på en måte som ivaretar det tredelte formålet i havressursloven og sikrer en forsvarlig forvaltning av kvotesystemet som skaper tillit hos alle aktører i fiskerinæringen.»</w:t>
      </w:r>
    </w:p>
    <w:p w14:paraId="47867DC2" w14:textId="77777777" w:rsidR="00972395" w:rsidRPr="00E73D4B" w:rsidRDefault="00F120C7" w:rsidP="00E73D4B">
      <w:r w:rsidRPr="00E73D4B">
        <w:t xml:space="preserve">Vedtaket ble truffet under behandlingen av Dokument 3:6 (2019–2020) </w:t>
      </w:r>
      <w:r w:rsidRPr="00E73D4B">
        <w:rPr>
          <w:rStyle w:val="kursiv"/>
        </w:rPr>
        <w:t xml:space="preserve">Riksrevisjonens undersøkelse av kvotesystemet i kyst- og havfisket, </w:t>
      </w:r>
      <w:r w:rsidRPr="00E73D4B">
        <w:t xml:space="preserve">jf. </w:t>
      </w:r>
      <w:proofErr w:type="spellStart"/>
      <w:r w:rsidRPr="00E73D4B">
        <w:t>Innst</w:t>
      </w:r>
      <w:proofErr w:type="spellEnd"/>
      <w:r w:rsidRPr="00E73D4B">
        <w:t>. 80 S (2020–2021).</w:t>
      </w:r>
    </w:p>
    <w:p w14:paraId="0D9352D9" w14:textId="77777777" w:rsidR="00972395" w:rsidRPr="00E73D4B" w:rsidRDefault="00F120C7" w:rsidP="00E73D4B">
      <w:r w:rsidRPr="00E73D4B">
        <w:t>Nærings- og fiskeridepartementet arbeider med å vurdere vedtaket. Regjeringen vil komme tilbake til Stortinget på egnet måte.</w:t>
      </w:r>
    </w:p>
    <w:p w14:paraId="67DDFA5D" w14:textId="77777777" w:rsidR="00972395" w:rsidRPr="00E73D4B" w:rsidRDefault="00F120C7" w:rsidP="00E73D4B">
      <w:pPr>
        <w:pStyle w:val="avsnitt-tittel"/>
      </w:pPr>
      <w:r w:rsidRPr="00E73D4B">
        <w:t>Mineralloven – forbedringer og forenklinger</w:t>
      </w:r>
    </w:p>
    <w:p w14:paraId="49DAB014" w14:textId="77777777" w:rsidR="00972395" w:rsidRPr="00E73D4B" w:rsidRDefault="00F120C7" w:rsidP="00E73D4B">
      <w:pPr>
        <w:pStyle w:val="avsnitt-undertittel"/>
      </w:pPr>
      <w:r w:rsidRPr="00E73D4B">
        <w:t>Vedtak nr. 172, 3. desember 2020</w:t>
      </w:r>
    </w:p>
    <w:p w14:paraId="65A1D77D" w14:textId="77777777" w:rsidR="00972395" w:rsidRPr="00E73D4B" w:rsidRDefault="00F120C7" w:rsidP="00E73D4B">
      <w:pPr>
        <w:pStyle w:val="blokksit"/>
        <w:rPr>
          <w:rStyle w:val="kursiv"/>
        </w:rPr>
      </w:pPr>
      <w:r w:rsidRPr="00E73D4B">
        <w:rPr>
          <w:rStyle w:val="kursiv"/>
        </w:rPr>
        <w:t>«Stortinget ber regjeringen følge opp minerallovutvalget gjennom å foreslå forbedringer og forenklinger i mineralloven, herunder i avgrensningene mot annet regelverk, blant annet for å sikre at koordineringen er god og tidsbruken så lav som mulig. Regjeringen bes komme tilbake til Stortinget på egnet måte.»</w:t>
      </w:r>
    </w:p>
    <w:p w14:paraId="0CD4C9A7" w14:textId="77777777" w:rsidR="00972395" w:rsidRPr="00E73D4B" w:rsidRDefault="00F120C7" w:rsidP="00E73D4B">
      <w:r w:rsidRPr="00E73D4B">
        <w:t xml:space="preserve">Vedtaket ble truffet ved behandling av Meld. St. 1 (2020–2021) og </w:t>
      </w:r>
      <w:proofErr w:type="spellStart"/>
      <w:r w:rsidRPr="00E73D4B">
        <w:t>Prop</w:t>
      </w:r>
      <w:proofErr w:type="spellEnd"/>
      <w:r w:rsidRPr="00E73D4B">
        <w:t xml:space="preserve">. 1 S (2020–2021) </w:t>
      </w:r>
      <w:r w:rsidRPr="00E73D4B">
        <w:rPr>
          <w:rStyle w:val="kursiv"/>
        </w:rPr>
        <w:t>Statsbudsjettet 2021</w:t>
      </w:r>
      <w:r w:rsidRPr="00E73D4B">
        <w:t xml:space="preserve">, jf. </w:t>
      </w:r>
      <w:proofErr w:type="spellStart"/>
      <w:r w:rsidRPr="00E73D4B">
        <w:t>Innst</w:t>
      </w:r>
      <w:proofErr w:type="spellEnd"/>
      <w:r w:rsidRPr="00E73D4B">
        <w:t>. 2 S (2020–2021).</w:t>
      </w:r>
    </w:p>
    <w:p w14:paraId="5A48CD14" w14:textId="77777777" w:rsidR="00972395" w:rsidRPr="00E73D4B" w:rsidRDefault="00F120C7" w:rsidP="00E73D4B">
      <w:r w:rsidRPr="00E73D4B">
        <w:t>Mineralloven ble evaluert i 2018 av et utvalg som anbefalte at det ble vurdert endringer i loven på flere områder. Oppfølgingen av evalueringen har vært todelt. Regjeringen oppnevnte 23. juni 2020 et offentlig utvalg (Minerallovutvalget) som har fått et bredt mandat til å foreslå endringer i mineralloven. Utvalget leverte sin innstilling 1. juli 2022. Utvalgets rapport er sendt på høring med frist 1. november 2022. Nærings- og fiskeridepartementet vil etter høringen vurdere hvordan departementet skal følge opp saken.</w:t>
      </w:r>
    </w:p>
    <w:p w14:paraId="35F0680F" w14:textId="77777777" w:rsidR="00972395" w:rsidRPr="00E73D4B" w:rsidRDefault="00F120C7" w:rsidP="00E73D4B">
      <w:proofErr w:type="spellStart"/>
      <w:r w:rsidRPr="00E73D4B">
        <w:t>Prop</w:t>
      </w:r>
      <w:proofErr w:type="spellEnd"/>
      <w:r w:rsidRPr="00E73D4B">
        <w:t>. L 124 (2020–2021) om endringer i mineralloven (kvalifikasjonskrav, rekkefølgekrav, overdragelse av driftskonsesjon m.m.) ble behandlet i Stortinget 4. juni 2021 (behandlet andre gang 7. juni), og forslagene ble vedtatt med unntak av forslag om rekkefølgekrav som ble oversendt Minerallovutvalget for vurdering, jf. vedtak 1136.</w:t>
      </w:r>
    </w:p>
    <w:p w14:paraId="62D4E196" w14:textId="77777777" w:rsidR="00972395" w:rsidRPr="00E73D4B" w:rsidRDefault="00F120C7" w:rsidP="00E73D4B">
      <w:r w:rsidRPr="00E73D4B">
        <w:t>Regjeringen følger opp saken og vil komme tilbake til Stortinget på egnet måte.</w:t>
      </w:r>
    </w:p>
    <w:p w14:paraId="1BDF250A" w14:textId="77777777" w:rsidR="00972395" w:rsidRPr="00E73D4B" w:rsidRDefault="00F120C7" w:rsidP="00E73D4B">
      <w:pPr>
        <w:pStyle w:val="avsnitt-tittel"/>
      </w:pPr>
      <w:r w:rsidRPr="00E73D4B">
        <w:t>Innkjøpspriser i dagligvaremarkedet</w:t>
      </w:r>
    </w:p>
    <w:p w14:paraId="5A9CB989" w14:textId="77777777" w:rsidR="00972395" w:rsidRPr="00E73D4B" w:rsidRDefault="00F120C7" w:rsidP="00E73D4B">
      <w:pPr>
        <w:pStyle w:val="avsnitt-undertittel"/>
      </w:pPr>
      <w:r w:rsidRPr="00E73D4B">
        <w:t>Vedtak nr. 572, 4. februar 2021</w:t>
      </w:r>
    </w:p>
    <w:p w14:paraId="4986B2DB" w14:textId="77777777" w:rsidR="00972395" w:rsidRPr="00E73D4B" w:rsidRDefault="00F120C7" w:rsidP="00E73D4B">
      <w:pPr>
        <w:pStyle w:val="blokksit"/>
        <w:rPr>
          <w:rStyle w:val="kursiv"/>
        </w:rPr>
      </w:pPr>
      <w:r w:rsidRPr="00E73D4B">
        <w:rPr>
          <w:rStyle w:val="kursiv"/>
        </w:rPr>
        <w:t xml:space="preserve">«Stortinget ber regjeringen klargjøre overfor Konkurransetilsynet at tilsynet i sitt arbeid må legge til grunn at leverandører med en dominerende stilling har et særlig ansvar for å vise at forskjeller i innkjøpsbetingelser er saklig begrunnet og ikke skader konkurransen. Det må legges til grunn at forskjeller i innkjøpspris fra dominerende leverandører, som ikke har en saklig begrunnelse gjennom forskjeller mellom kjedene i produksjons- eller distribusjonskostnader, eller ulik verdi på konkrete motytelser, skader konkurransen mellom kjedene. Det bør formidles til de ulike aktørene i bransjen, både på leverandør- og </w:t>
      </w:r>
      <w:proofErr w:type="spellStart"/>
      <w:r w:rsidRPr="00E73D4B">
        <w:rPr>
          <w:rStyle w:val="kursiv"/>
        </w:rPr>
        <w:t>kjedeleddet</w:t>
      </w:r>
      <w:proofErr w:type="spellEnd"/>
      <w:r w:rsidRPr="00E73D4B">
        <w:rPr>
          <w:rStyle w:val="kursiv"/>
        </w:rPr>
        <w:t>, at selv om bevisbyrden ligger på leverandørene, er kjedene i like stor grad ansvarlige for å etterleve regelverket.»</w:t>
      </w:r>
    </w:p>
    <w:p w14:paraId="4F885F96" w14:textId="77777777" w:rsidR="00972395" w:rsidRPr="00E73D4B" w:rsidRDefault="00F120C7" w:rsidP="00E73D4B">
      <w:r w:rsidRPr="00E73D4B">
        <w:t xml:space="preserve">Vedtaket ble truffet under behandlingen av Meld. St. 27 (2019–2020) </w:t>
      </w:r>
      <w:proofErr w:type="spellStart"/>
      <w:r w:rsidRPr="00E73D4B">
        <w:rPr>
          <w:rStyle w:val="kursiv"/>
        </w:rPr>
        <w:t>Daglegvare</w:t>
      </w:r>
      <w:proofErr w:type="spellEnd"/>
      <w:r w:rsidRPr="00E73D4B">
        <w:rPr>
          <w:rStyle w:val="kursiv"/>
        </w:rPr>
        <w:t xml:space="preserve"> og konkurranse – kampen om </w:t>
      </w:r>
      <w:proofErr w:type="spellStart"/>
      <w:r w:rsidRPr="00E73D4B">
        <w:rPr>
          <w:rStyle w:val="kursiv"/>
        </w:rPr>
        <w:t>kundane</w:t>
      </w:r>
      <w:proofErr w:type="spellEnd"/>
      <w:r w:rsidRPr="00E73D4B">
        <w:t xml:space="preserve">, jf. </w:t>
      </w:r>
      <w:proofErr w:type="spellStart"/>
      <w:r w:rsidRPr="00E73D4B">
        <w:t>Innst</w:t>
      </w:r>
      <w:proofErr w:type="spellEnd"/>
      <w:r w:rsidRPr="00E73D4B">
        <w:t>. 185 S (2020–2021).</w:t>
      </w:r>
    </w:p>
    <w:p w14:paraId="3DC7EA23" w14:textId="77777777" w:rsidR="00972395" w:rsidRPr="00E73D4B" w:rsidRDefault="00F120C7" w:rsidP="00E73D4B">
      <w:r w:rsidRPr="00E73D4B">
        <w:t>Nærings- og fiskeridepartementet arbeider med utkast til forskrift om regulering av forskjeller i innkjøpspriser, som etter planen skal på høring høsten 2022. Det vises til omtale under vedtak nr. 612, 31. mai 2022.</w:t>
      </w:r>
    </w:p>
    <w:p w14:paraId="396E2917" w14:textId="77777777" w:rsidR="00972395" w:rsidRPr="00E73D4B" w:rsidRDefault="00F120C7" w:rsidP="00E73D4B">
      <w:r w:rsidRPr="00E73D4B">
        <w:t>Regjeringen vil på egnet måte komme tilbake til hvordan Stortingets vedtak følges opp.</w:t>
      </w:r>
    </w:p>
    <w:p w14:paraId="522B322B" w14:textId="77777777" w:rsidR="00972395" w:rsidRPr="00E73D4B" w:rsidRDefault="00F120C7" w:rsidP="00E73D4B">
      <w:pPr>
        <w:pStyle w:val="avsnitt-tittel"/>
      </w:pPr>
      <w:r w:rsidRPr="00E73D4B">
        <w:t xml:space="preserve">Dagligvaremarkedet – regnskaps- og </w:t>
      </w:r>
      <w:proofErr w:type="spellStart"/>
      <w:r w:rsidRPr="00E73D4B">
        <w:t>funksjonsmessig</w:t>
      </w:r>
      <w:proofErr w:type="spellEnd"/>
      <w:r w:rsidRPr="00E73D4B">
        <w:t xml:space="preserve"> skille mellom leddene</w:t>
      </w:r>
    </w:p>
    <w:p w14:paraId="5E307B27" w14:textId="77777777" w:rsidR="00972395" w:rsidRPr="00E73D4B" w:rsidRDefault="00F120C7" w:rsidP="00E73D4B">
      <w:pPr>
        <w:pStyle w:val="avsnitt-undertittel"/>
      </w:pPr>
      <w:r w:rsidRPr="00E73D4B">
        <w:t>Vedtak nr. 573, 4. februar 2021</w:t>
      </w:r>
    </w:p>
    <w:p w14:paraId="04F177B7" w14:textId="77777777" w:rsidR="00972395" w:rsidRPr="00E73D4B" w:rsidRDefault="00F120C7" w:rsidP="00E73D4B">
      <w:pPr>
        <w:pStyle w:val="blokksit"/>
        <w:rPr>
          <w:rStyle w:val="kursiv"/>
        </w:rPr>
      </w:pPr>
      <w:r w:rsidRPr="00E73D4B">
        <w:rPr>
          <w:rStyle w:val="kursiv"/>
        </w:rPr>
        <w:t xml:space="preserve">«Stortinget ber regjeringen stille regnskapsmessig og </w:t>
      </w:r>
      <w:proofErr w:type="spellStart"/>
      <w:r w:rsidRPr="00E73D4B">
        <w:rPr>
          <w:rStyle w:val="kursiv"/>
        </w:rPr>
        <w:t>funksjonsmessig</w:t>
      </w:r>
      <w:proofErr w:type="spellEnd"/>
      <w:r w:rsidRPr="00E73D4B">
        <w:rPr>
          <w:rStyle w:val="kursiv"/>
        </w:rPr>
        <w:t xml:space="preserve"> skille mellom leddene i verdikjeden i dagligvarebransjen.»</w:t>
      </w:r>
    </w:p>
    <w:p w14:paraId="3E8A5437" w14:textId="77777777" w:rsidR="00972395" w:rsidRPr="00E73D4B" w:rsidRDefault="00F120C7" w:rsidP="00E73D4B">
      <w:r w:rsidRPr="00E73D4B">
        <w:t xml:space="preserve">Vedtaket ble truffet under behandlingen av Meld. St. 27 (2019–2020) </w:t>
      </w:r>
      <w:proofErr w:type="spellStart"/>
      <w:r w:rsidRPr="00E73D4B">
        <w:rPr>
          <w:rStyle w:val="kursiv"/>
        </w:rPr>
        <w:t>Daglegvare</w:t>
      </w:r>
      <w:proofErr w:type="spellEnd"/>
      <w:r w:rsidRPr="00E73D4B">
        <w:rPr>
          <w:rStyle w:val="kursiv"/>
        </w:rPr>
        <w:t xml:space="preserve"> og konkurranse – kampen om </w:t>
      </w:r>
      <w:proofErr w:type="spellStart"/>
      <w:r w:rsidRPr="00E73D4B">
        <w:rPr>
          <w:rStyle w:val="kursiv"/>
        </w:rPr>
        <w:t>kundane</w:t>
      </w:r>
      <w:proofErr w:type="spellEnd"/>
      <w:r w:rsidRPr="00E73D4B">
        <w:t xml:space="preserve">, jf. </w:t>
      </w:r>
      <w:proofErr w:type="spellStart"/>
      <w:r w:rsidRPr="00E73D4B">
        <w:t>Innst</w:t>
      </w:r>
      <w:proofErr w:type="spellEnd"/>
      <w:r w:rsidRPr="00E73D4B">
        <w:t>. 185 S (2020–2021).</w:t>
      </w:r>
    </w:p>
    <w:p w14:paraId="5BCD8650" w14:textId="77777777" w:rsidR="00972395" w:rsidRPr="00E73D4B" w:rsidRDefault="00F120C7" w:rsidP="00E73D4B">
      <w:r w:rsidRPr="00E73D4B">
        <w:t>Et krav om å innføre et regnskapsmessig skille mellom leddene i verdikjeden har grenseflater mot flere av tiltakene i arbeidet med konkurransen i dagligvaremarkedet, bl.a. tiltak som omhandler kartlegging av lønnsomhet og selskapsstrukturer i verdikjeden for dagligvarer, og vurdering av konkurransevirkninger av dagligvarekjedenes samlede markedsmakt i ulike markeder. Disse tiltakene bør vurderes samlet siden de til dels omhandler samme problemstillinger. På denne måten kan man komme fram til mest mulig effektive og treffsikre tiltak.</w:t>
      </w:r>
    </w:p>
    <w:p w14:paraId="76A69E13" w14:textId="77777777" w:rsidR="00972395" w:rsidRPr="00E73D4B" w:rsidRDefault="00F120C7" w:rsidP="00E73D4B">
      <w:r w:rsidRPr="00E73D4B">
        <w:t>Regjeringen vil på egnet måte komme tilbake til hvordan Stortingets vedtak følges opp.</w:t>
      </w:r>
    </w:p>
    <w:p w14:paraId="710B3822" w14:textId="77777777" w:rsidR="00972395" w:rsidRPr="00E73D4B" w:rsidRDefault="00F120C7" w:rsidP="00E73D4B">
      <w:pPr>
        <w:pStyle w:val="avsnitt-tittel"/>
      </w:pPr>
      <w:r w:rsidRPr="00E73D4B">
        <w:t>Dagligvare – rabatter skal i større grad følge varen</w:t>
      </w:r>
    </w:p>
    <w:p w14:paraId="56756CA8" w14:textId="77777777" w:rsidR="00972395" w:rsidRPr="00E73D4B" w:rsidRDefault="00F120C7" w:rsidP="00E73D4B">
      <w:pPr>
        <w:pStyle w:val="avsnitt-undertittel"/>
      </w:pPr>
      <w:r w:rsidRPr="00E73D4B">
        <w:t>Vedtak nr. 574, 4. februar 2021</w:t>
      </w:r>
    </w:p>
    <w:p w14:paraId="71D6500E" w14:textId="77777777" w:rsidR="00972395" w:rsidRPr="00E73D4B" w:rsidRDefault="00F120C7" w:rsidP="00E73D4B">
      <w:pPr>
        <w:pStyle w:val="blokksit"/>
        <w:rPr>
          <w:rStyle w:val="kursiv"/>
        </w:rPr>
      </w:pPr>
      <w:r w:rsidRPr="00E73D4B">
        <w:rPr>
          <w:rStyle w:val="kursiv"/>
        </w:rPr>
        <w:t>«Stortinget ber regjeringen komme tilbake til Stortinget med egen sak med forslag om hvordan man i dagligvarebransjen kan tilrettelegge for at rabatter som oppnås i forhandlingene mellom leverandører og kjeder, i større grad følger varen.»</w:t>
      </w:r>
    </w:p>
    <w:p w14:paraId="45CA1FEC" w14:textId="77777777" w:rsidR="00972395" w:rsidRPr="00E73D4B" w:rsidRDefault="00F120C7" w:rsidP="00E73D4B">
      <w:r w:rsidRPr="00E73D4B">
        <w:t xml:space="preserve">Vedtaket ble truffet under behandlingen av Meld. St. 27 (2019–2020) </w:t>
      </w:r>
      <w:proofErr w:type="spellStart"/>
      <w:r w:rsidRPr="00E73D4B">
        <w:rPr>
          <w:rStyle w:val="kursiv"/>
        </w:rPr>
        <w:t>Daglegvare</w:t>
      </w:r>
      <w:proofErr w:type="spellEnd"/>
      <w:r w:rsidRPr="00E73D4B">
        <w:rPr>
          <w:rStyle w:val="kursiv"/>
        </w:rPr>
        <w:t xml:space="preserve"> og konkurranse – kampen om </w:t>
      </w:r>
      <w:proofErr w:type="spellStart"/>
      <w:r w:rsidRPr="00E73D4B">
        <w:rPr>
          <w:rStyle w:val="kursiv"/>
        </w:rPr>
        <w:t>kundane</w:t>
      </w:r>
      <w:proofErr w:type="spellEnd"/>
      <w:r w:rsidRPr="00E73D4B">
        <w:t xml:space="preserve">, jf. </w:t>
      </w:r>
      <w:proofErr w:type="spellStart"/>
      <w:r w:rsidRPr="00E73D4B">
        <w:t>Innst</w:t>
      </w:r>
      <w:proofErr w:type="spellEnd"/>
      <w:r w:rsidRPr="00E73D4B">
        <w:t>. 185 S (2020–2021).</w:t>
      </w:r>
    </w:p>
    <w:p w14:paraId="76377DDE" w14:textId="77777777" w:rsidR="00972395" w:rsidRPr="00E73D4B" w:rsidRDefault="00F120C7" w:rsidP="00E73D4B">
      <w:r w:rsidRPr="00E73D4B">
        <w:t>Formålet med at rabatter i større grad skal følge varen, er å styrke konkurransen til fordel for forbrukerne. Et tiltak må utformes slik at forhandlingene mellom aktørene og fastsettelsen av priser ikke utformes på en måte som fører til mindre effektive kontrakter mellom aktørene eller utilsiktede tilpasninger fra aktørenes side.</w:t>
      </w:r>
    </w:p>
    <w:p w14:paraId="49E4A562" w14:textId="77777777" w:rsidR="00972395" w:rsidRPr="00E73D4B" w:rsidRDefault="00F120C7" w:rsidP="00E73D4B">
      <w:r w:rsidRPr="00E73D4B">
        <w:t>Regjeringen vil på egnet måte komme tilbake til hvordan Stortingets vedtak følges opp.</w:t>
      </w:r>
    </w:p>
    <w:p w14:paraId="63A984A1" w14:textId="77777777" w:rsidR="00972395" w:rsidRPr="00E73D4B" w:rsidRDefault="00F120C7" w:rsidP="00E73D4B">
      <w:pPr>
        <w:pStyle w:val="avsnitt-tittel"/>
      </w:pPr>
      <w:r w:rsidRPr="00E73D4B">
        <w:t>Fiskeflåten – strategi for fornyelse</w:t>
      </w:r>
    </w:p>
    <w:p w14:paraId="79520122" w14:textId="77777777" w:rsidR="00972395" w:rsidRPr="00E73D4B" w:rsidRDefault="00F120C7" w:rsidP="00E73D4B">
      <w:pPr>
        <w:pStyle w:val="avsnitt-undertittel"/>
      </w:pPr>
      <w:r w:rsidRPr="00E73D4B">
        <w:t>Vedtak nr. 829, 22. april 2021</w:t>
      </w:r>
    </w:p>
    <w:p w14:paraId="5A025DBA" w14:textId="77777777" w:rsidR="00972395" w:rsidRPr="00E73D4B" w:rsidRDefault="00F120C7" w:rsidP="00E73D4B">
      <w:pPr>
        <w:pStyle w:val="blokksit"/>
        <w:rPr>
          <w:rStyle w:val="kursiv"/>
        </w:rPr>
      </w:pPr>
      <w:r w:rsidRPr="00E73D4B">
        <w:rPr>
          <w:rStyle w:val="kursiv"/>
        </w:rPr>
        <w:t>«Stortinget ber regjeringen komme tilbake til Stortinget med en strategi for å fornye fiskeflåten, som utformes i samarbeid med næringen (etter modell av klimaavtalen med landbruket.»</w:t>
      </w:r>
    </w:p>
    <w:p w14:paraId="27D28376" w14:textId="77777777" w:rsidR="00972395" w:rsidRPr="00E73D4B" w:rsidRDefault="00F120C7" w:rsidP="00E73D4B">
      <w:r w:rsidRPr="00E73D4B">
        <w:t xml:space="preserve">Vedtaket ble truffet under behandling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w:t>
      </w:r>
    </w:p>
    <w:p w14:paraId="520A0601" w14:textId="77777777" w:rsidR="00972395" w:rsidRPr="00E73D4B" w:rsidRDefault="00F120C7" w:rsidP="00E73D4B">
      <w:r w:rsidRPr="00E73D4B">
        <w:t>Arbeidet med grønn omstilling i fiskeflåten er tatt inn som en del av regjeringens arbeid med grønn skipsfart.</w:t>
      </w:r>
    </w:p>
    <w:p w14:paraId="659540C8" w14:textId="77777777" w:rsidR="00972395" w:rsidRPr="00E73D4B" w:rsidRDefault="00F120C7" w:rsidP="00E73D4B">
      <w:r w:rsidRPr="00E73D4B">
        <w:t>Regjeringen vil følge opp saken og komme tilbake til Stortinget på egnet måte.</w:t>
      </w:r>
    </w:p>
    <w:p w14:paraId="29E3327E" w14:textId="77777777" w:rsidR="00972395" w:rsidRPr="00E73D4B" w:rsidRDefault="00F120C7" w:rsidP="00E73D4B">
      <w:pPr>
        <w:pStyle w:val="avsnitt-tittel"/>
      </w:pPr>
      <w:r w:rsidRPr="00E73D4B">
        <w:t>Innføre krav om norske lønns- og arbeidsvilkår for transport av gods eller passasjerer</w:t>
      </w:r>
    </w:p>
    <w:p w14:paraId="0C14CC97" w14:textId="77777777" w:rsidR="00972395" w:rsidRPr="00E73D4B" w:rsidRDefault="00F120C7" w:rsidP="00E73D4B">
      <w:pPr>
        <w:pStyle w:val="avsnitt-undertittel"/>
      </w:pPr>
      <w:r w:rsidRPr="00E73D4B">
        <w:t>Vedtak nr. 834, 22. april 2021</w:t>
      </w:r>
    </w:p>
    <w:p w14:paraId="14F974E8" w14:textId="77777777" w:rsidR="00972395" w:rsidRPr="00E73D4B" w:rsidRDefault="00F120C7" w:rsidP="00E73D4B">
      <w:pPr>
        <w:pStyle w:val="blokksit"/>
        <w:rPr>
          <w:rStyle w:val="kursiv"/>
        </w:rPr>
      </w:pPr>
      <w:r w:rsidRPr="00E73D4B">
        <w:rPr>
          <w:rStyle w:val="kursiv"/>
        </w:rPr>
        <w:t>«Stortinget ber regjeringen igangsette arbeidet med å innføre krav om norske lønns- og arbeidsvilkår for transport av gods eller passasjerer mellom norske havner, nærmere avgrenset mot skip i internasjonal fart.»</w:t>
      </w:r>
    </w:p>
    <w:p w14:paraId="410696AA" w14:textId="77777777" w:rsidR="00972395" w:rsidRPr="00E73D4B" w:rsidRDefault="00F120C7" w:rsidP="00E73D4B">
      <w:r w:rsidRPr="00E73D4B">
        <w:t xml:space="preserve">Vedtaket ble truffet under behandling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 og er i tråd med anbefalingen til det partssammensatte maritime utvalget om å innføre et krav om norske lønns- og arbeidsvilkår på skip i norske farvann. Utvalget har i rapporten «Forslag for å styrke norsk maritim kompetanse, sysselsetting og konkurransekraft» av 19. mars 2021 beskrevet sin anbefaling om å innføre et krav om norske lønns- og arbeidsvilkår i fire punkter. Disse samsvarer i hovedsak med Stortingets fire anmodningsvedtak nr. 834-837.</w:t>
      </w:r>
    </w:p>
    <w:p w14:paraId="34CEBBF2" w14:textId="77777777" w:rsidR="00972395" w:rsidRPr="00E73D4B" w:rsidRDefault="00F120C7" w:rsidP="00E73D4B">
      <w:r w:rsidRPr="00E73D4B">
        <w:t xml:space="preserve">Det framgår av Hurdalsplattformen at regjeringen vil innføre et krav om norske lønns- og arbeidsvilkår på skip i norske farvann og på norsk sokkel. 30. mai 2022 sendte regjeringen på høring et forslag til lov om norske lønns- og arbeidsvilkår i norske farvann og på norsk sokkel med høringsfrist 31. august 2022. Lovforslaget bygger på anbefalingene til det </w:t>
      </w:r>
      <w:proofErr w:type="spellStart"/>
      <w:r w:rsidRPr="00E73D4B">
        <w:t>partsammensatte</w:t>
      </w:r>
      <w:proofErr w:type="spellEnd"/>
      <w:r w:rsidRPr="00E73D4B">
        <w:t xml:space="preserve"> maritime utvalget (Holmefjordutvalget) og følger opp Stortingets anmodningsvedtak nr. 834–837 (2020–2021).</w:t>
      </w:r>
    </w:p>
    <w:p w14:paraId="7A0CF1A0" w14:textId="77777777" w:rsidR="00972395" w:rsidRPr="00E73D4B" w:rsidRDefault="00F120C7" w:rsidP="00E73D4B">
      <w:r w:rsidRPr="00E73D4B">
        <w:t>Vedtaket anses med dette som fulgt opp.</w:t>
      </w:r>
    </w:p>
    <w:p w14:paraId="5D9E8899" w14:textId="77777777" w:rsidR="00972395" w:rsidRPr="00E73D4B" w:rsidRDefault="00F120C7" w:rsidP="00E73D4B">
      <w:pPr>
        <w:pStyle w:val="avsnitt-tittel"/>
      </w:pPr>
      <w:r w:rsidRPr="00E73D4B">
        <w:t>Innføre krav om norske lønns- og arbeidsvilkår for passasjerskip i norske farvann</w:t>
      </w:r>
    </w:p>
    <w:p w14:paraId="25EB50FE" w14:textId="77777777" w:rsidR="00972395" w:rsidRPr="00E73D4B" w:rsidRDefault="00F120C7" w:rsidP="00E73D4B">
      <w:pPr>
        <w:pStyle w:val="avsnitt-undertittel"/>
      </w:pPr>
      <w:r w:rsidRPr="00E73D4B">
        <w:t>Vedtak nr. 835, 22. april 2021</w:t>
      </w:r>
    </w:p>
    <w:p w14:paraId="4F8ED9F8" w14:textId="77777777" w:rsidR="00972395" w:rsidRPr="00E73D4B" w:rsidRDefault="00F120C7" w:rsidP="00E73D4B">
      <w:pPr>
        <w:pStyle w:val="blokksit"/>
        <w:rPr>
          <w:rStyle w:val="kursiv"/>
        </w:rPr>
      </w:pPr>
      <w:r w:rsidRPr="00E73D4B">
        <w:rPr>
          <w:rStyle w:val="kursiv"/>
        </w:rPr>
        <w:t>«Stortinget ber regjeringen igangsette arbeidet med å innføre krav om norske lønns- og arbeidsvilkår for passasjerskip i norske farvann som er i direkte konkurranse med kystruten, samt på cruise hvor Norge er hovedreisemålet, avgrenset mot skip i internasjonal cruisevirksomhet.»</w:t>
      </w:r>
    </w:p>
    <w:p w14:paraId="364CD3B0" w14:textId="77777777" w:rsidR="00972395" w:rsidRPr="00E73D4B" w:rsidRDefault="00F120C7" w:rsidP="00E73D4B">
      <w:r w:rsidRPr="00E73D4B">
        <w:t xml:space="preserve">Vedtaket ble truffet under behandling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 og er i tråd med anbefalingen til det partssammensatte maritime utvalget om å innføre et krav om norske lønns- og arbeidsvilkår på skip i norske farvann. Utvalget har i rapporten «Forslag for å styrke norsk maritim kompetanse, sysselsetting og konkurransekraft» av 19. mars 2021 beskrevet sin anbefaling om å innføre et krav om norske lønns- og arbeidsvilkår i fire punkter. Disse samsvarer i hovedsak med Stortingets fire anmodningsvedtak nr. 834-837.</w:t>
      </w:r>
    </w:p>
    <w:p w14:paraId="3C61E38D" w14:textId="77777777" w:rsidR="00972395" w:rsidRPr="00E73D4B" w:rsidRDefault="00F120C7" w:rsidP="00E73D4B">
      <w:r w:rsidRPr="00E73D4B">
        <w:t xml:space="preserve">Det framgår av Hurdalsplattformen at regjeringen vil innføre et krav om norske lønns- og arbeidsvilkår på skip i norske farvann og på norsk sokkel. 30. mai 2022 sendte regjeringen på høring et forslag til lov om norske lønns- og arbeidsvilkår i norske farvann og på norsk sokkel med høringsfrist 31. august 2022. Lovforslaget bygger på anbefalingene til det </w:t>
      </w:r>
      <w:proofErr w:type="spellStart"/>
      <w:r w:rsidRPr="00E73D4B">
        <w:t>partsammensatte</w:t>
      </w:r>
      <w:proofErr w:type="spellEnd"/>
      <w:r w:rsidRPr="00E73D4B">
        <w:t xml:space="preserve"> maritime utvalget (Holmefjordutvalget) og følger opp Stortingets anmodningsvedtak nr. 834–837 (2020–2021).</w:t>
      </w:r>
    </w:p>
    <w:p w14:paraId="12635F2F" w14:textId="77777777" w:rsidR="00972395" w:rsidRPr="00E73D4B" w:rsidRDefault="00F120C7" w:rsidP="00E73D4B">
      <w:r w:rsidRPr="00E73D4B">
        <w:t>Vedtaket anses med dette som fulgt opp.</w:t>
      </w:r>
    </w:p>
    <w:p w14:paraId="09474214" w14:textId="77777777" w:rsidR="00972395" w:rsidRPr="00E73D4B" w:rsidRDefault="00F120C7" w:rsidP="00E73D4B">
      <w:pPr>
        <w:pStyle w:val="avsnitt-tittel"/>
      </w:pPr>
      <w:r w:rsidRPr="00E73D4B">
        <w:t>Innføre krav om norske lønns- og arbeidsvilkår for skip som utfører stasjonær virksomhet</w:t>
      </w:r>
    </w:p>
    <w:p w14:paraId="0DBEAEFE" w14:textId="77777777" w:rsidR="00972395" w:rsidRPr="00E73D4B" w:rsidRDefault="00F120C7" w:rsidP="00E73D4B">
      <w:pPr>
        <w:pStyle w:val="avsnitt-undertittel"/>
      </w:pPr>
      <w:r w:rsidRPr="00E73D4B">
        <w:t>Vedtak nr. 836, 22. april 2021</w:t>
      </w:r>
    </w:p>
    <w:p w14:paraId="674C02D0" w14:textId="77777777" w:rsidR="00972395" w:rsidRPr="00E73D4B" w:rsidRDefault="00F120C7" w:rsidP="00E73D4B">
      <w:pPr>
        <w:pStyle w:val="blokksit"/>
        <w:rPr>
          <w:rStyle w:val="kursiv"/>
        </w:rPr>
      </w:pPr>
      <w:r w:rsidRPr="00E73D4B">
        <w:rPr>
          <w:rStyle w:val="kursiv"/>
        </w:rPr>
        <w:t>«Stortinget ber regjeringen igangsette arbeidet med å innføre krav om norske lønns- og arbeidsvilkår for skip som utfører stasjonær virksomhet i norsk farvann, herunder hotellskip.»</w:t>
      </w:r>
    </w:p>
    <w:p w14:paraId="6A14DCC5" w14:textId="77777777" w:rsidR="00972395" w:rsidRPr="00E73D4B" w:rsidRDefault="00F120C7" w:rsidP="00E73D4B">
      <w:r w:rsidRPr="00E73D4B">
        <w:t xml:space="preserve">Vedtaket ble truffet under behandling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 og er i tråd med anbefalingen til det partssammensatte maritime utvalget om å innføre et krav om norske lønns- og arbeidsvilkår på skip i norske farvann. Utvalget har i rapporten «Forslag for å styrke norsk maritim kompetanse, sysselsetting og konkurransekraft» av 19. mars 2021 beskrevet sin anbefaling om å innføre et krav om norske lønns- og arbeidsvilkår i fire punkter. Disse samsvarer i hovedsak med Stortingets fire anmodningsvedtak nr. 834-837.</w:t>
      </w:r>
    </w:p>
    <w:p w14:paraId="3D667165" w14:textId="77777777" w:rsidR="00972395" w:rsidRPr="00E73D4B" w:rsidRDefault="00F120C7" w:rsidP="00E73D4B">
      <w:r w:rsidRPr="00E73D4B">
        <w:t xml:space="preserve">Det framgår av Hurdalsplattformen at regjeringen vil innføre et krav om norske lønns- og arbeidsvilkår på skip i norske farvann og på norsk sokkel. 30. mai 2022 sendte regjeringen på høring et forslag til lov om norske lønns- og arbeidsvilkår i norske farvann og på norsk sokkel med høringsfrist 31. august 2022. Lovforslaget bygger på anbefalingene til det </w:t>
      </w:r>
      <w:proofErr w:type="spellStart"/>
      <w:r w:rsidRPr="00E73D4B">
        <w:t>partsammensatte</w:t>
      </w:r>
      <w:proofErr w:type="spellEnd"/>
      <w:r w:rsidRPr="00E73D4B">
        <w:t xml:space="preserve"> maritime utvalget (Holmefjordutvalget) og følger opp Stortingets anmodningsvedtak nr. 834–837 (2020–2021).</w:t>
      </w:r>
    </w:p>
    <w:p w14:paraId="1E1904E3" w14:textId="77777777" w:rsidR="00972395" w:rsidRPr="00E73D4B" w:rsidRDefault="00F120C7" w:rsidP="00E73D4B">
      <w:r w:rsidRPr="00E73D4B">
        <w:t>Vedtaket anses med dette som fulgt opp.</w:t>
      </w:r>
    </w:p>
    <w:p w14:paraId="40DD4019" w14:textId="77777777" w:rsidR="00972395" w:rsidRPr="00E73D4B" w:rsidRDefault="00F120C7" w:rsidP="00E73D4B">
      <w:pPr>
        <w:pStyle w:val="avsnitt-tittel"/>
      </w:pPr>
      <w:r w:rsidRPr="00E73D4B">
        <w:t>Legge til grunn norske lønns- og arbeidsvilkår for skip som betjener nye havnæringer i norske farvann</w:t>
      </w:r>
    </w:p>
    <w:p w14:paraId="02F0CB70" w14:textId="77777777" w:rsidR="00972395" w:rsidRPr="00E73D4B" w:rsidRDefault="00F120C7" w:rsidP="00E73D4B">
      <w:pPr>
        <w:pStyle w:val="avsnitt-undertittel"/>
      </w:pPr>
      <w:r w:rsidRPr="00E73D4B">
        <w:t>Vedtak nr. 837, 22. april 2021</w:t>
      </w:r>
    </w:p>
    <w:p w14:paraId="6AB93EAF" w14:textId="77777777" w:rsidR="00972395" w:rsidRPr="00E73D4B" w:rsidRDefault="00F120C7" w:rsidP="00E73D4B">
      <w:pPr>
        <w:pStyle w:val="blokksit"/>
        <w:rPr>
          <w:rStyle w:val="kursiv"/>
        </w:rPr>
      </w:pPr>
      <w:r w:rsidRPr="00E73D4B">
        <w:rPr>
          <w:rStyle w:val="kursiv"/>
        </w:rPr>
        <w:t>«Stortinget ber regjeringen foreslå at norske lønns- og arbeidsvilkår også bør legges til grunn for skip som betjener nye havnæringer i norske farvann, herunder fremtidige havnæringer som ikke er kjent.»</w:t>
      </w:r>
    </w:p>
    <w:p w14:paraId="5FA6A5DA" w14:textId="77777777" w:rsidR="00972395" w:rsidRPr="00E73D4B" w:rsidRDefault="00F120C7" w:rsidP="00E73D4B">
      <w:r w:rsidRPr="00E73D4B">
        <w:t xml:space="preserve">Vedtaket ble truffet under behandling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 og er i tråd med anbefalingen til det partssammensatte maritime utvalget om å innføre et krav om norske lønns- og arbeidsvilkår på skip i norske farvann. Utvalget har i rapporten «Forslag for å styrke norsk maritim kompetanse, sysselsetting og konkurransekraft» av 19. mars 2021 beskrevet sin anbefaling om å innføre et krav om norske lønns- og arbeidsvilkår i fire punkter. Disse samsvarer i hovedsak med Stortingets fire anmodningsvedtak nr. 834-837.</w:t>
      </w:r>
    </w:p>
    <w:p w14:paraId="17358AB8" w14:textId="77777777" w:rsidR="00972395" w:rsidRPr="00E73D4B" w:rsidRDefault="00F120C7" w:rsidP="00E73D4B">
      <w:r w:rsidRPr="00E73D4B">
        <w:t xml:space="preserve">Det framgår av Hurdalsplattformen at regjeringen vil innføre et krav om norske lønns- og arbeidsvilkår på skip i norske farvann og på norsk sokkel. 30. mai 2022 sendte regjeringen på høring et forslag til lov om norske lønns- og arbeidsvilkår i norske farvann og på norsk sokkel med høringsfrist 31. august 2022. Lovforslaget bygger på anbefalingene til det </w:t>
      </w:r>
      <w:proofErr w:type="spellStart"/>
      <w:r w:rsidRPr="00E73D4B">
        <w:t>partsammensatte</w:t>
      </w:r>
      <w:proofErr w:type="spellEnd"/>
      <w:r w:rsidRPr="00E73D4B">
        <w:t xml:space="preserve"> maritime utvalget (Holmefjordutvalget) og følger opp Stortingets anmodningsvedtak nr. 834–837 (2020–2021).</w:t>
      </w:r>
    </w:p>
    <w:p w14:paraId="7C17653E" w14:textId="77777777" w:rsidR="00972395" w:rsidRPr="00E73D4B" w:rsidRDefault="00F120C7" w:rsidP="00E73D4B">
      <w:r w:rsidRPr="00E73D4B">
        <w:t>Vedtaket anses med dette som fulgt opp.</w:t>
      </w:r>
    </w:p>
    <w:p w14:paraId="289408C4" w14:textId="77777777" w:rsidR="00972395" w:rsidRPr="00E73D4B" w:rsidRDefault="00F120C7" w:rsidP="00E73D4B">
      <w:pPr>
        <w:pStyle w:val="avsnitt-tittel"/>
      </w:pPr>
      <w:r w:rsidRPr="00E73D4B">
        <w:t>Styrke og lovfeste tilskuddsordningen for sysselsetting av sjøfolk</w:t>
      </w:r>
    </w:p>
    <w:p w14:paraId="522109D0" w14:textId="77777777" w:rsidR="00972395" w:rsidRPr="00E73D4B" w:rsidRDefault="00F120C7" w:rsidP="00E73D4B">
      <w:pPr>
        <w:pStyle w:val="avsnitt-undertittel"/>
      </w:pPr>
      <w:r w:rsidRPr="00E73D4B">
        <w:t>Vedtak nr. 839, 22. april 2021</w:t>
      </w:r>
    </w:p>
    <w:p w14:paraId="58825CC2" w14:textId="77777777" w:rsidR="00972395" w:rsidRPr="00E73D4B" w:rsidRDefault="00F120C7" w:rsidP="00E73D4B">
      <w:pPr>
        <w:pStyle w:val="blokksit"/>
        <w:rPr>
          <w:rStyle w:val="kursiv"/>
        </w:rPr>
      </w:pPr>
      <w:r w:rsidRPr="00E73D4B">
        <w:rPr>
          <w:rStyle w:val="kursiv"/>
        </w:rPr>
        <w:t>«Stortinget ber regjeringen fremme forslag som bidrar til at tilskuddsordningen for norske sjøfolk styrkes og blir mer forutsigbar gjennom lovfesting.»</w:t>
      </w:r>
    </w:p>
    <w:p w14:paraId="1C2D6368" w14:textId="77777777" w:rsidR="00972395" w:rsidRPr="00E73D4B" w:rsidRDefault="00F120C7" w:rsidP="00E73D4B">
      <w:r w:rsidRPr="00E73D4B">
        <w:t xml:space="preserve">Vedtaket ble truffet under behandling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w:t>
      </w:r>
    </w:p>
    <w:p w14:paraId="144B59F6" w14:textId="77777777" w:rsidR="00972395" w:rsidRPr="00E73D4B" w:rsidRDefault="00F120C7" w:rsidP="00E73D4B">
      <w:r w:rsidRPr="00E73D4B">
        <w:t>Tilskuddsordningen for sysselsetting av sjøfolk ble lovfestet i 2017. Regjeringen har mottatt en ekstern studie for å kartlegge omfanget og effekten av kompetanseoverføringen blant sjøfolkene i tilskuddsordningen for sysselsetting av sjøfolk.</w:t>
      </w:r>
    </w:p>
    <w:p w14:paraId="29C6E94B" w14:textId="77777777" w:rsidR="00972395" w:rsidRPr="00E73D4B" w:rsidRDefault="00F120C7" w:rsidP="00E73D4B">
      <w:r w:rsidRPr="00E73D4B">
        <w:t>Regjeringen har lagt fram et lovforslag om å innføre norske lønns- og arbeidsvilkår i norske farvann og på norsk sokkel. Regjeringen vil vurdere tilskuddsordningen opp mot eventuell innføring av norske lønns- og arbeidsvilkår.</w:t>
      </w:r>
    </w:p>
    <w:p w14:paraId="4EF09B31" w14:textId="77777777" w:rsidR="00972395" w:rsidRPr="00E73D4B" w:rsidRDefault="00F120C7" w:rsidP="00E73D4B">
      <w:r w:rsidRPr="00E73D4B">
        <w:t>Regjeringen vil på egnet måte komme tilbake til Stortinget om hvordan vedtaket følges opp.</w:t>
      </w:r>
    </w:p>
    <w:p w14:paraId="7F7E826F" w14:textId="77777777" w:rsidR="00972395" w:rsidRPr="00E73D4B" w:rsidRDefault="00F120C7" w:rsidP="00E73D4B">
      <w:pPr>
        <w:pStyle w:val="avsnitt-tittel"/>
      </w:pPr>
      <w:r w:rsidRPr="00E73D4B">
        <w:t>Utrede handlingsrommet innenfor EØS-avtalen for å plassere offentlig oppdrag hos norske verft</w:t>
      </w:r>
    </w:p>
    <w:p w14:paraId="335EE226" w14:textId="77777777" w:rsidR="00972395" w:rsidRPr="00E73D4B" w:rsidRDefault="00F120C7" w:rsidP="00E73D4B">
      <w:pPr>
        <w:pStyle w:val="avsnitt-undertittel"/>
      </w:pPr>
      <w:r w:rsidRPr="00E73D4B">
        <w:t>Vedtak nr. 841, 22. april 2021</w:t>
      </w:r>
    </w:p>
    <w:p w14:paraId="5A168F2A" w14:textId="77777777" w:rsidR="00972395" w:rsidRPr="00E73D4B" w:rsidRDefault="00F120C7" w:rsidP="00E73D4B">
      <w:pPr>
        <w:pStyle w:val="blokksit"/>
        <w:rPr>
          <w:rStyle w:val="kursiv"/>
        </w:rPr>
      </w:pPr>
      <w:r w:rsidRPr="00E73D4B">
        <w:rPr>
          <w:rStyle w:val="kursiv"/>
        </w:rPr>
        <w:t>«Stortinget ber regjeringen utrede handlingsrommet innenfor EØS-avtalen for å plassere offentlige oppdrag hos norske verft. Utredningen bør særlig se på norske krav til standarder for utforming, utstyr, arbeidsspråk, lærlinger og HMS, samt krav om lokalt nærvær eller responstid.»</w:t>
      </w:r>
    </w:p>
    <w:p w14:paraId="2E7F236A" w14:textId="77777777" w:rsidR="00972395" w:rsidRPr="00E73D4B" w:rsidRDefault="00F120C7" w:rsidP="00E73D4B">
      <w:r w:rsidRPr="00E73D4B">
        <w:t xml:space="preserve">Vedtaket ble truffet under behandling av Meld. St. 10 (2020–2021) </w:t>
      </w:r>
      <w:r w:rsidRPr="00E73D4B">
        <w:rPr>
          <w:rStyle w:val="kursiv"/>
        </w:rPr>
        <w:t>Grønnere og smartere – morgendagens maritime næring</w:t>
      </w:r>
      <w:r w:rsidRPr="00E73D4B">
        <w:t xml:space="preserve">, jf. </w:t>
      </w:r>
      <w:proofErr w:type="spellStart"/>
      <w:r w:rsidRPr="00E73D4B">
        <w:t>Innst</w:t>
      </w:r>
      <w:proofErr w:type="spellEnd"/>
      <w:r w:rsidRPr="00E73D4B">
        <w:t>. 338 S (2020–2021).</w:t>
      </w:r>
    </w:p>
    <w:p w14:paraId="5E7E5539" w14:textId="77777777" w:rsidR="00972395" w:rsidRPr="00E73D4B" w:rsidRDefault="00F120C7" w:rsidP="00E73D4B">
      <w:r w:rsidRPr="00E73D4B">
        <w:t>Nærings- og fiskeridepartementet har igangsatt en ekstern utredning av handlingsrommet innenfor EØS-avtalen for å plassere offentlige oppdrag hos norske verft.</w:t>
      </w:r>
    </w:p>
    <w:p w14:paraId="2F9862FF" w14:textId="77777777" w:rsidR="00972395" w:rsidRPr="00E73D4B" w:rsidRDefault="00F120C7" w:rsidP="00E73D4B">
      <w:r w:rsidRPr="00E73D4B">
        <w:t>Regjeringen vil på egnet måte komme tilbake til Stortinget om hvordan vedtaket følges opp.</w:t>
      </w:r>
    </w:p>
    <w:p w14:paraId="041A8AB6" w14:textId="77777777" w:rsidR="00972395" w:rsidRPr="00E73D4B" w:rsidRDefault="00F120C7" w:rsidP="00E73D4B">
      <w:pPr>
        <w:pStyle w:val="avsnitt-tittel"/>
      </w:pPr>
      <w:r w:rsidRPr="00E73D4B">
        <w:t>Representantforslag om å sikre en mer helhetlig havbruksforvaltning</w:t>
      </w:r>
    </w:p>
    <w:p w14:paraId="094812D4" w14:textId="77777777" w:rsidR="00972395" w:rsidRPr="00E73D4B" w:rsidRDefault="00F120C7" w:rsidP="00E73D4B">
      <w:pPr>
        <w:pStyle w:val="avsnitt-undertittel"/>
      </w:pPr>
      <w:r w:rsidRPr="00E73D4B">
        <w:t>Vedtak nr. 980, 25. mai 2021</w:t>
      </w:r>
    </w:p>
    <w:p w14:paraId="2D071706" w14:textId="77777777" w:rsidR="00972395" w:rsidRPr="00E73D4B" w:rsidRDefault="00F120C7" w:rsidP="00E73D4B">
      <w:pPr>
        <w:pStyle w:val="blokksit"/>
        <w:rPr>
          <w:rStyle w:val="kursiv"/>
        </w:rPr>
      </w:pPr>
      <w:r w:rsidRPr="00E73D4B">
        <w:rPr>
          <w:rStyle w:val="kursiv"/>
        </w:rPr>
        <w:t>«Stortinget ber regjeringen fremme forslag om å sikre en mer helhetlig og effektiv havbruksforvaltning.»</w:t>
      </w:r>
    </w:p>
    <w:p w14:paraId="040B0A04" w14:textId="77777777" w:rsidR="00972395" w:rsidRPr="00E73D4B" w:rsidRDefault="00F120C7" w:rsidP="00E73D4B">
      <w:r w:rsidRPr="00E73D4B">
        <w:t xml:space="preserve">Vedtaket ble truffet under behandling av Dokument 8:185 S (2020–2021) </w:t>
      </w:r>
      <w:r w:rsidRPr="00E73D4B">
        <w:rPr>
          <w:rStyle w:val="kursiv"/>
        </w:rPr>
        <w:t xml:space="preserve">Representantforslag fra stortingsrepresentantene Bengt Rune </w:t>
      </w:r>
      <w:proofErr w:type="spellStart"/>
      <w:r w:rsidRPr="00E73D4B">
        <w:rPr>
          <w:rStyle w:val="kursiv"/>
        </w:rPr>
        <w:t>Strifeldt</w:t>
      </w:r>
      <w:proofErr w:type="spellEnd"/>
      <w:r w:rsidRPr="00E73D4B">
        <w:rPr>
          <w:rStyle w:val="kursiv"/>
        </w:rPr>
        <w:t>, Helge André Njåstad, Roy Steffensen, Sivert Bjørnstad og Terje Halleland om å sikre en mer helhetlig havbruksforvaltning</w:t>
      </w:r>
      <w:r w:rsidRPr="00E73D4B">
        <w:t xml:space="preserve">, jf. </w:t>
      </w:r>
      <w:proofErr w:type="spellStart"/>
      <w:r w:rsidRPr="00E73D4B">
        <w:t>Innst</w:t>
      </w:r>
      <w:proofErr w:type="spellEnd"/>
      <w:r w:rsidRPr="00E73D4B">
        <w:t>. 428 S (2020–2021).</w:t>
      </w:r>
    </w:p>
    <w:p w14:paraId="368BDDD9" w14:textId="77777777" w:rsidR="00972395" w:rsidRPr="00E73D4B" w:rsidRDefault="00F120C7" w:rsidP="00E73D4B">
      <w:r w:rsidRPr="00E73D4B">
        <w:t>Nærings- og fiskeridepartementet har satt ned et offentlig utvalg der en del av mandatet går ut på å vurdere hvordan en kunnskapsorientert forvaltning av havbruksnæringen kan foregå på en effektiv og samordnet måte. Utvalget skal levere sitt arbeid innen mars 2023.</w:t>
      </w:r>
    </w:p>
    <w:p w14:paraId="2ECA8F9F" w14:textId="77777777" w:rsidR="00972395" w:rsidRPr="00E73D4B" w:rsidRDefault="00F120C7" w:rsidP="00E73D4B">
      <w:r w:rsidRPr="00E73D4B">
        <w:t>Regjeringen vil på egnet måte komme tilbake til Stortinget om hvordan vedtaket følges opp.</w:t>
      </w:r>
    </w:p>
    <w:p w14:paraId="2BF48CAC" w14:textId="77777777" w:rsidR="00972395" w:rsidRPr="00E73D4B" w:rsidRDefault="00F120C7" w:rsidP="00E73D4B">
      <w:pPr>
        <w:pStyle w:val="avsnitt-tittel"/>
      </w:pPr>
      <w:r w:rsidRPr="00E73D4B">
        <w:t>Forenkling for næringslivet</w:t>
      </w:r>
    </w:p>
    <w:p w14:paraId="5FC56804" w14:textId="77777777" w:rsidR="00972395" w:rsidRPr="00E73D4B" w:rsidRDefault="00F120C7" w:rsidP="00E73D4B">
      <w:pPr>
        <w:pStyle w:val="avsnitt-undertittel"/>
      </w:pPr>
      <w:r w:rsidRPr="00E73D4B">
        <w:t>Vedtak nr. 1111, 3. juni 2021</w:t>
      </w:r>
    </w:p>
    <w:p w14:paraId="333450DF" w14:textId="77777777" w:rsidR="00972395" w:rsidRPr="00E73D4B" w:rsidRDefault="00F120C7" w:rsidP="00E73D4B">
      <w:pPr>
        <w:pStyle w:val="blokksit"/>
        <w:rPr>
          <w:rStyle w:val="kursiv"/>
        </w:rPr>
      </w:pPr>
      <w:r w:rsidRPr="00E73D4B">
        <w:rPr>
          <w:rStyle w:val="kursiv"/>
        </w:rPr>
        <w:t>«Stortinget ber regjeringen fastsette et mål om 11 mrd. kroners reduksjon i næringslivets administrative kostnader knyttet til pålagte regler og skjemavelde fra det offentlige innen 2025.»</w:t>
      </w:r>
    </w:p>
    <w:p w14:paraId="790F58AB" w14:textId="77777777" w:rsidR="00972395" w:rsidRPr="00E73D4B" w:rsidRDefault="00F120C7" w:rsidP="00E73D4B">
      <w:r w:rsidRPr="00E73D4B">
        <w:t xml:space="preserve">Vedtaket ble truffet under behandling av dokument 8:239 S (2020–2021) </w:t>
      </w:r>
      <w:r w:rsidRPr="00E73D4B">
        <w:rPr>
          <w:rStyle w:val="kursiv"/>
        </w:rPr>
        <w:t xml:space="preserve">Representantforslag fra stortingsrepresentantene Bengt Rune </w:t>
      </w:r>
      <w:proofErr w:type="spellStart"/>
      <w:r w:rsidRPr="00E73D4B">
        <w:rPr>
          <w:rStyle w:val="kursiv"/>
        </w:rPr>
        <w:t>Strifeldt</w:t>
      </w:r>
      <w:proofErr w:type="spellEnd"/>
      <w:r w:rsidRPr="00E73D4B">
        <w:rPr>
          <w:rStyle w:val="kursiv"/>
        </w:rPr>
        <w:t xml:space="preserve">, Erlend Wiborg, </w:t>
      </w:r>
      <w:proofErr w:type="spellStart"/>
      <w:r w:rsidRPr="00E73D4B">
        <w:rPr>
          <w:rStyle w:val="kursiv"/>
        </w:rPr>
        <w:t>Himanshu</w:t>
      </w:r>
      <w:proofErr w:type="spellEnd"/>
      <w:r w:rsidRPr="00E73D4B">
        <w:rPr>
          <w:rStyle w:val="kursiv"/>
        </w:rPr>
        <w:t xml:space="preserve"> </w:t>
      </w:r>
      <w:proofErr w:type="spellStart"/>
      <w:r w:rsidRPr="00E73D4B">
        <w:rPr>
          <w:rStyle w:val="kursiv"/>
        </w:rPr>
        <w:t>Gulati</w:t>
      </w:r>
      <w:proofErr w:type="spellEnd"/>
      <w:r w:rsidRPr="00E73D4B">
        <w:rPr>
          <w:rStyle w:val="kursiv"/>
        </w:rPr>
        <w:t xml:space="preserve">, Hans Andreas </w:t>
      </w:r>
      <w:proofErr w:type="spellStart"/>
      <w:r w:rsidRPr="00E73D4B">
        <w:rPr>
          <w:rStyle w:val="kursiv"/>
        </w:rPr>
        <w:t>Limi</w:t>
      </w:r>
      <w:proofErr w:type="spellEnd"/>
      <w:r w:rsidRPr="00E73D4B">
        <w:rPr>
          <w:rStyle w:val="kursiv"/>
        </w:rPr>
        <w:t xml:space="preserve"> og Sivert Bjørnstad om å redusere næringslivets administrative kostnader med 20 prosent innen 2025</w:t>
      </w:r>
      <w:r w:rsidRPr="00E73D4B">
        <w:t xml:space="preserve">, jf. </w:t>
      </w:r>
      <w:proofErr w:type="spellStart"/>
      <w:r w:rsidRPr="00E73D4B">
        <w:t>Innst</w:t>
      </w:r>
      <w:proofErr w:type="spellEnd"/>
      <w:r w:rsidRPr="00E73D4B">
        <w:t>. 565 S (2020–2021).</w:t>
      </w:r>
    </w:p>
    <w:p w14:paraId="5CC99A45" w14:textId="77777777" w:rsidR="00972395" w:rsidRPr="00E73D4B" w:rsidRDefault="00F120C7" w:rsidP="00E73D4B">
      <w:r w:rsidRPr="00E73D4B">
        <w:t>I regjeringserklæringen heter det: «Regjeringen vil redusere næringslivets kostnader knyttet til pålagte regler og utfylling av offentlige skjemaer med 11 milliarder kroner innen 2025.»</w:t>
      </w:r>
    </w:p>
    <w:p w14:paraId="3D30368A" w14:textId="77777777" w:rsidR="00972395" w:rsidRPr="00E73D4B" w:rsidRDefault="00F120C7" w:rsidP="00E73D4B">
      <w:r w:rsidRPr="00E73D4B">
        <w:t>Regjeringen har etablert en interdepartemental arbeidsgruppe med representanter som skal følge opp forenklingsarbeidet for næringslivet.</w:t>
      </w:r>
    </w:p>
    <w:p w14:paraId="7DA90E11" w14:textId="77777777" w:rsidR="00972395" w:rsidRPr="00E73D4B" w:rsidRDefault="00F120C7" w:rsidP="00E73D4B">
      <w:r w:rsidRPr="00E73D4B">
        <w:t>Vedtaket anses med dette som fulgt opp.</w:t>
      </w:r>
    </w:p>
    <w:p w14:paraId="598D9C62" w14:textId="77777777" w:rsidR="00972395" w:rsidRPr="00E73D4B" w:rsidRDefault="00F120C7" w:rsidP="00E73D4B">
      <w:pPr>
        <w:pStyle w:val="avsnitt-tittel"/>
      </w:pPr>
      <w:r w:rsidRPr="00E73D4B">
        <w:t>Kartlegging av mineralressurser</w:t>
      </w:r>
    </w:p>
    <w:p w14:paraId="28B53F55" w14:textId="77777777" w:rsidR="00972395" w:rsidRPr="00E73D4B" w:rsidRDefault="00F120C7" w:rsidP="00E73D4B">
      <w:pPr>
        <w:pStyle w:val="avsnitt-undertittel"/>
      </w:pPr>
      <w:r w:rsidRPr="00E73D4B">
        <w:t>Vedtak nr. 1135, 4. juni 2021</w:t>
      </w:r>
    </w:p>
    <w:p w14:paraId="4C4B70A7" w14:textId="77777777" w:rsidR="00972395" w:rsidRPr="00E73D4B" w:rsidRDefault="00F120C7" w:rsidP="00E73D4B">
      <w:pPr>
        <w:pStyle w:val="blokksit"/>
        <w:rPr>
          <w:rStyle w:val="kursiv"/>
        </w:rPr>
      </w:pPr>
      <w:r w:rsidRPr="00E73D4B">
        <w:rPr>
          <w:rStyle w:val="kursiv"/>
        </w:rPr>
        <w:t>«Stortinget ber regjeringen foreslå tiltak for å øke tempoet i kartleggingen av mineralressurser i Norge.»</w:t>
      </w:r>
    </w:p>
    <w:p w14:paraId="052D892B"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124 L (2020–2021) </w:t>
      </w:r>
      <w:r w:rsidRPr="00E73D4B">
        <w:rPr>
          <w:rStyle w:val="kursiv"/>
        </w:rPr>
        <w:t xml:space="preserve">Endringer i mineralloven (kvalifikasjonskrav, rekkefølgekrav, overdragelse av driftskonsesjon m.m.), </w:t>
      </w:r>
      <w:r w:rsidRPr="00E73D4B">
        <w:t xml:space="preserve">jf. </w:t>
      </w:r>
      <w:proofErr w:type="spellStart"/>
      <w:r w:rsidRPr="00E73D4B">
        <w:t>Innst</w:t>
      </w:r>
      <w:proofErr w:type="spellEnd"/>
      <w:r w:rsidRPr="00E73D4B">
        <w:t>. 611 L (2020–2021) og Lovvedtak 156 (2020–2021). Norges geologiske undersøkelse (NGU) fikk i 2019 en økt bevilgning på 10 mill. kroner til økt geologisk kartlegging. Den økte bevilgningen er videreført i de etterfølgende årene. For 2023 foreslår regjeringen å styrke kartleggingen av mineralressurser med ytterligere 10 mill. kroner.</w:t>
      </w:r>
    </w:p>
    <w:p w14:paraId="3EF3E993" w14:textId="77777777" w:rsidR="00972395" w:rsidRPr="00E73D4B" w:rsidRDefault="00F120C7" w:rsidP="00E73D4B">
      <w:r w:rsidRPr="00E73D4B">
        <w:t>Regjeringen vil høsten 2022 legge fram en mineralstrategi, jf. vedtak 1137 der behovet for geologisk kartlegging for å legge til rette for privat leting og undersøkelser med sikte på utvikling av mineralprosjekter vil være blant temaene.</w:t>
      </w:r>
    </w:p>
    <w:p w14:paraId="2E5473A9" w14:textId="77777777" w:rsidR="00972395" w:rsidRPr="00E73D4B" w:rsidRDefault="00F120C7" w:rsidP="00E73D4B">
      <w:r w:rsidRPr="00E73D4B">
        <w:t>Vedtaket anses med dette som fulgt opp.</w:t>
      </w:r>
    </w:p>
    <w:p w14:paraId="78E5EA44" w14:textId="77777777" w:rsidR="00972395" w:rsidRPr="00E73D4B" w:rsidRDefault="00F120C7" w:rsidP="00E73D4B">
      <w:pPr>
        <w:pStyle w:val="avsnitt-tittel"/>
      </w:pPr>
      <w:r w:rsidRPr="00E73D4B">
        <w:t>Mineralstrategi</w:t>
      </w:r>
    </w:p>
    <w:p w14:paraId="275924AC" w14:textId="77777777" w:rsidR="00972395" w:rsidRPr="00E73D4B" w:rsidRDefault="00F120C7" w:rsidP="00E73D4B">
      <w:pPr>
        <w:pStyle w:val="avsnitt-undertittel"/>
      </w:pPr>
      <w:r w:rsidRPr="00E73D4B">
        <w:t>Vedtak nr. 1137, 4. juni 2021</w:t>
      </w:r>
    </w:p>
    <w:p w14:paraId="21E0989A" w14:textId="77777777" w:rsidR="00972395" w:rsidRPr="00E73D4B" w:rsidRDefault="00F120C7" w:rsidP="00E73D4B">
      <w:pPr>
        <w:pStyle w:val="blokksit"/>
        <w:rPr>
          <w:rStyle w:val="kursiv"/>
        </w:rPr>
      </w:pPr>
      <w:r w:rsidRPr="00E73D4B">
        <w:rPr>
          <w:rStyle w:val="kursiv"/>
        </w:rPr>
        <w:t>«Stortinget ber regjeringen utarbeide en norsk mineralstrategi, der den norske mineralnæringen ses i sammenheng med EUs arbeid med å sikre tilgang på kritiske mineraler og metaller.»</w:t>
      </w:r>
    </w:p>
    <w:p w14:paraId="404B15AD" w14:textId="77777777" w:rsidR="00972395" w:rsidRPr="00E73D4B" w:rsidRDefault="00F120C7" w:rsidP="00E73D4B">
      <w:r w:rsidRPr="00E73D4B">
        <w:t xml:space="preserve">Vedtaket ble truffet ved behandling av </w:t>
      </w:r>
      <w:proofErr w:type="spellStart"/>
      <w:r w:rsidRPr="00E73D4B">
        <w:t>Prop</w:t>
      </w:r>
      <w:proofErr w:type="spellEnd"/>
      <w:r w:rsidRPr="00E73D4B">
        <w:t xml:space="preserve">. 124 L (2020–2021) </w:t>
      </w:r>
      <w:r w:rsidRPr="00E73D4B">
        <w:rPr>
          <w:rStyle w:val="kursiv"/>
        </w:rPr>
        <w:t xml:space="preserve">Endringer i mineralloven (kvalifikasjonskrav, rekkefølgekrav, overdragelse av driftskonsesjon m.m.), </w:t>
      </w:r>
      <w:r w:rsidRPr="00E73D4B">
        <w:t xml:space="preserve">jf., </w:t>
      </w:r>
      <w:proofErr w:type="spellStart"/>
      <w:r w:rsidRPr="00E73D4B">
        <w:t>Innst</w:t>
      </w:r>
      <w:proofErr w:type="spellEnd"/>
      <w:r w:rsidRPr="00E73D4B">
        <w:t>. 611 L (2020–2021) og Lovvedtak 156 (2020–2021).</w:t>
      </w:r>
    </w:p>
    <w:p w14:paraId="1B8B5D80" w14:textId="77777777" w:rsidR="00972395" w:rsidRPr="00E73D4B" w:rsidRDefault="00F120C7" w:rsidP="00E73D4B">
      <w:r w:rsidRPr="00E73D4B">
        <w:t>Regjeringen arbeider med en mineralstrategi. Det tas sikte på at strategien legges fram innen utgangen av 2022. Regjeringen vil komme tilbake til Stortinget på egnet måte.</w:t>
      </w:r>
    </w:p>
    <w:p w14:paraId="4C8EAE32" w14:textId="77777777" w:rsidR="00972395" w:rsidRPr="00E73D4B" w:rsidRDefault="00F120C7" w:rsidP="00E73D4B">
      <w:pPr>
        <w:pStyle w:val="avsnitt-tittel"/>
      </w:pPr>
      <w:r w:rsidRPr="00E73D4B">
        <w:t>Løse utfordringene Svinesundtersklene har for innseilingen til Halden</w:t>
      </w:r>
    </w:p>
    <w:p w14:paraId="18BDA4EF" w14:textId="77777777" w:rsidR="00972395" w:rsidRPr="00E73D4B" w:rsidRDefault="00F120C7" w:rsidP="00E73D4B">
      <w:pPr>
        <w:pStyle w:val="avsnitt-undertittel"/>
      </w:pPr>
      <w:r w:rsidRPr="00E73D4B">
        <w:t>Vedtak nr. 1231, 15. juni 2021</w:t>
      </w:r>
    </w:p>
    <w:p w14:paraId="3E6D2676" w14:textId="77777777" w:rsidR="00972395" w:rsidRPr="00E73D4B" w:rsidRDefault="00F120C7" w:rsidP="00E73D4B">
      <w:pPr>
        <w:pStyle w:val="blokksit"/>
        <w:rPr>
          <w:rStyle w:val="kursiv"/>
        </w:rPr>
      </w:pPr>
      <w:r w:rsidRPr="00E73D4B">
        <w:rPr>
          <w:rStyle w:val="kursiv"/>
        </w:rPr>
        <w:t>«Stortinget ber regjeringen få fortgang i prosjektet med å slipe og løse utfordringene Svinesundtersklene har for innseilingen til Halden.»</w:t>
      </w:r>
    </w:p>
    <w:p w14:paraId="7C695B33" w14:textId="77777777" w:rsidR="00972395" w:rsidRPr="00E73D4B" w:rsidRDefault="00F120C7" w:rsidP="00E73D4B">
      <w:r w:rsidRPr="00E73D4B">
        <w:t xml:space="preserve">Vedtaket ble truffet ved behandlingen av Meld. St. 20 (2020–2021) </w:t>
      </w:r>
      <w:r w:rsidRPr="00E73D4B">
        <w:rPr>
          <w:rStyle w:val="kursiv"/>
        </w:rPr>
        <w:t>Nasjonal transportplan 2022–2033</w:t>
      </w:r>
      <w:r w:rsidRPr="00E73D4B">
        <w:t xml:space="preserve">, jf. </w:t>
      </w:r>
      <w:proofErr w:type="spellStart"/>
      <w:r w:rsidRPr="00E73D4B">
        <w:t>Innst</w:t>
      </w:r>
      <w:proofErr w:type="spellEnd"/>
      <w:r w:rsidRPr="00E73D4B">
        <w:t>. 653 S (2020–2021).</w:t>
      </w:r>
    </w:p>
    <w:p w14:paraId="70DCA7AA" w14:textId="77777777" w:rsidR="00972395" w:rsidRPr="00E73D4B" w:rsidRDefault="00F120C7" w:rsidP="00E73D4B">
      <w:r w:rsidRPr="00E73D4B">
        <w:t xml:space="preserve">Dette farledstiltaket vil innebære inngrep både på norsk og svensk side av Ringdalsfjorden, og det krever derfor tillatelse fra myndigheter på begge sider av grensen. Uten en slik avklaring har det ikke vært grunnlag for å legge prosjektet inn i planrammen og investeringsporteføljen, som den går fram av Meld. St. 20 (2020–2021) </w:t>
      </w:r>
      <w:r w:rsidRPr="00E73D4B">
        <w:rPr>
          <w:rStyle w:val="kursiv"/>
        </w:rPr>
        <w:t>Nasjonal transportplan 2022–2033</w:t>
      </w:r>
      <w:r w:rsidRPr="00E73D4B">
        <w:t>.</w:t>
      </w:r>
    </w:p>
    <w:p w14:paraId="5C191393" w14:textId="77777777" w:rsidR="00972395" w:rsidRPr="00E73D4B" w:rsidRDefault="00F120C7" w:rsidP="00E73D4B">
      <w:r w:rsidRPr="00E73D4B">
        <w:t>På bakgrunn av tidligere korrespondanse mellom norske og svenske myndigheter fikk Kystverket i 2017 i oppdrag å gjennomføre de undersøkelser og prosesser som er nødvendige for å få behandlet en tiltakssøknad på svensk side av grensen. Etaten har så langt gjennomført flere forundersøkelser og vært i kontakt med berørte svenske lokale og statlige myndigheter for å få avklart utredningskrav og videre søknadsprosess.</w:t>
      </w:r>
    </w:p>
    <w:p w14:paraId="4910E11E" w14:textId="77777777" w:rsidR="00972395" w:rsidRPr="00E73D4B" w:rsidRDefault="00F120C7" w:rsidP="00E73D4B">
      <w:r w:rsidRPr="00E73D4B">
        <w:t xml:space="preserve">De undersøkelser som er gjennomført, har vist at Kystverket vil være avhengig av kunne inngå en samarbeidsavtale med </w:t>
      </w:r>
      <w:proofErr w:type="spellStart"/>
      <w:r w:rsidRPr="00E73D4B">
        <w:t>Sjöfartsverket</w:t>
      </w:r>
      <w:proofErr w:type="spellEnd"/>
      <w:r w:rsidRPr="00E73D4B">
        <w:t xml:space="preserve"> i Sverige for å kunne få fullført en søknadsprosess etter svensk regelverk. Norske myndigheter har på denne bakgrunn tatt kontakt med svenske myndigheter på overordnet nivå, med anmodning om en klarering på at et slikt samarbeid kan etableres. Videre håndtering og framdrift for det planlagte tiltaket i innseilingen til Halden vil avhenge av tilbakemeldingen fra svenske myndigheter. Regjeringen vil komme tilbake til Stortinget på egnet måte.</w:t>
      </w:r>
    </w:p>
    <w:p w14:paraId="27991943" w14:textId="77777777" w:rsidR="00972395" w:rsidRPr="00E73D4B" w:rsidRDefault="00F120C7" w:rsidP="00E73D4B">
      <w:pPr>
        <w:pStyle w:val="Overskrift2"/>
      </w:pPr>
      <w:r w:rsidRPr="00E73D4B">
        <w:t>Stortingssesjon 2019–2020</w:t>
      </w:r>
    </w:p>
    <w:p w14:paraId="376ADF41" w14:textId="77777777" w:rsidR="00972395" w:rsidRPr="00E73D4B" w:rsidRDefault="00F120C7" w:rsidP="00E73D4B">
      <w:pPr>
        <w:pStyle w:val="avsnitt-tittel"/>
      </w:pPr>
      <w:r w:rsidRPr="00E73D4B">
        <w:t>Kvotemeldingen – fordeling mellom flåtegruppene</w:t>
      </w:r>
    </w:p>
    <w:p w14:paraId="1A039822" w14:textId="77777777" w:rsidR="00972395" w:rsidRPr="00E73D4B" w:rsidRDefault="00F120C7" w:rsidP="00E73D4B">
      <w:pPr>
        <w:pStyle w:val="avsnitt-undertittel"/>
      </w:pPr>
      <w:r w:rsidRPr="00E73D4B">
        <w:t>Vedtak nr. 549, 7. mai 2020</w:t>
      </w:r>
    </w:p>
    <w:p w14:paraId="16F009D3" w14:textId="77777777" w:rsidR="00972395" w:rsidRPr="00E73D4B" w:rsidRDefault="00F120C7" w:rsidP="00E73D4B">
      <w:pPr>
        <w:pStyle w:val="blokksit"/>
        <w:rPr>
          <w:rStyle w:val="kursiv"/>
        </w:rPr>
      </w:pPr>
      <w:r w:rsidRPr="00E73D4B">
        <w:rPr>
          <w:rStyle w:val="kursiv"/>
        </w:rPr>
        <w:t>«Stortinget ber regjeringen sørge for at fordelingen av kvoter mellom flåtegruppene ikke endres vesentlig».</w:t>
      </w:r>
    </w:p>
    <w:p w14:paraId="11B5A358" w14:textId="77777777" w:rsidR="00972395" w:rsidRPr="00E73D4B" w:rsidRDefault="00F120C7" w:rsidP="00E73D4B">
      <w:r w:rsidRPr="00E73D4B">
        <w:t xml:space="preserve">Vedtaket ble truffet ved behandlingen av Meld. St. 32 (2018–2019) </w:t>
      </w:r>
      <w:r w:rsidRPr="00E73D4B">
        <w:rPr>
          <w:rStyle w:val="kursiv"/>
        </w:rPr>
        <w:t xml:space="preserve">Et kvotesystem for økt verdiskaping – En fremtidsrettet fiskerinæring, </w:t>
      </w:r>
      <w:r w:rsidRPr="00E73D4B">
        <w:t xml:space="preserve">jf. </w:t>
      </w:r>
      <w:proofErr w:type="spellStart"/>
      <w:r w:rsidRPr="00E73D4B">
        <w:t>Innst</w:t>
      </w:r>
      <w:proofErr w:type="spellEnd"/>
      <w:r w:rsidRPr="00E73D4B">
        <w:t>. 243 S (2019–2020).</w:t>
      </w:r>
    </w:p>
    <w:p w14:paraId="00482996" w14:textId="77777777" w:rsidR="00972395" w:rsidRPr="00E73D4B" w:rsidRDefault="00F120C7" w:rsidP="00E73D4B">
      <w:r w:rsidRPr="00E73D4B">
        <w:t>Regjeringen har fulgt opp vedtaket i arbeidet med innfasingen av et nytt kvotesystem. Regjeringen vil vurdere å komme tilbake til Stortinget med mulige alternative tilnærminger til dette i forbindelse med en ny Stortingsmelding om kvotesystemet som skal legges fram tidlig i 2023.</w:t>
      </w:r>
    </w:p>
    <w:p w14:paraId="6B6FFEF6" w14:textId="77777777" w:rsidR="00972395" w:rsidRPr="00E73D4B" w:rsidRDefault="00F120C7" w:rsidP="00E73D4B">
      <w:pPr>
        <w:pStyle w:val="avsnitt-tittel"/>
      </w:pPr>
      <w:r w:rsidRPr="00E73D4B">
        <w:t>Kvotemeldingen – fordeling av strukturgevinst</w:t>
      </w:r>
    </w:p>
    <w:p w14:paraId="4295084C" w14:textId="77777777" w:rsidR="00972395" w:rsidRPr="00E73D4B" w:rsidRDefault="00F120C7" w:rsidP="00E73D4B">
      <w:pPr>
        <w:pStyle w:val="avsnitt-undertittel"/>
      </w:pPr>
      <w:r w:rsidRPr="00E73D4B">
        <w:t>Vedtak nr. 551, 7. mai 2020</w:t>
      </w:r>
    </w:p>
    <w:p w14:paraId="6A6C273F" w14:textId="77777777" w:rsidR="00972395" w:rsidRPr="00E73D4B" w:rsidRDefault="00F120C7" w:rsidP="00E73D4B">
      <w:pPr>
        <w:pStyle w:val="blokksit"/>
        <w:rPr>
          <w:rStyle w:val="kursiv"/>
        </w:rPr>
      </w:pPr>
      <w:r w:rsidRPr="00E73D4B">
        <w:rPr>
          <w:rStyle w:val="kursiv"/>
        </w:rPr>
        <w:t>«Stortinget ber regjeringen sørge for at ved utløp av tidsbegrensningen for strukturkvoter fordeles strukturgevinsten til den fartøygruppen fartøyet tilhører når tidsbegrensningen inntrer, og fordeles relativt etter grunnkvote. Ved opprettelse av strukturkvote fordeles strukturgevinsten som oppstår ved avkortning, til den fartøygruppen fartøyet tilhører, og fordeles relativt etter grunnkvote. For ringnotgruppen og pelagisk trål fordeles strukturgevinsten når tidsbegrensingen inntrer etter dagens gruppetilhørighet».</w:t>
      </w:r>
    </w:p>
    <w:p w14:paraId="522A7B58" w14:textId="77777777" w:rsidR="00972395" w:rsidRPr="00E73D4B" w:rsidRDefault="00F120C7" w:rsidP="00E73D4B">
      <w:r w:rsidRPr="00E73D4B">
        <w:t xml:space="preserve">Vedtaket ble truffet ved behandlingen av Meld. St. 32 (2018–2019) </w:t>
      </w:r>
      <w:r w:rsidRPr="00E73D4B">
        <w:rPr>
          <w:rStyle w:val="kursiv"/>
        </w:rPr>
        <w:t>Et kvotesystem for økt verdiskaping – En fremtidsrettet fiskerinæring,</w:t>
      </w:r>
      <w:r w:rsidRPr="00E73D4B">
        <w:t xml:space="preserve"> jf. </w:t>
      </w:r>
      <w:proofErr w:type="spellStart"/>
      <w:r w:rsidRPr="00E73D4B">
        <w:t>Innst</w:t>
      </w:r>
      <w:proofErr w:type="spellEnd"/>
      <w:r w:rsidRPr="00E73D4B">
        <w:t>. 243 S (2019–2020).</w:t>
      </w:r>
    </w:p>
    <w:p w14:paraId="42CAC88B" w14:textId="77777777" w:rsidR="00972395" w:rsidRPr="00E73D4B" w:rsidRDefault="00F120C7" w:rsidP="00E73D4B">
      <w:r w:rsidRPr="00E73D4B">
        <w:t xml:space="preserve">Regjeringen følger opp vedtaket i arbeidet med ny melding til Stortinget om kvotesystemet. Ulike modeller for fordeling av strukturgevinster er nå </w:t>
      </w:r>
      <w:proofErr w:type="spellStart"/>
      <w:r w:rsidRPr="00E73D4B">
        <w:t>konsekvensutredet</w:t>
      </w:r>
      <w:proofErr w:type="spellEnd"/>
      <w:r w:rsidRPr="00E73D4B">
        <w:t xml:space="preserve"> av Fiskeridirektoratet.</w:t>
      </w:r>
    </w:p>
    <w:p w14:paraId="787C53B6" w14:textId="77777777" w:rsidR="00972395" w:rsidRPr="00E73D4B" w:rsidRDefault="00F120C7" w:rsidP="00E73D4B">
      <w:pPr>
        <w:pStyle w:val="avsnitt-tittel"/>
      </w:pPr>
      <w:r w:rsidRPr="00E73D4B">
        <w:t>Kvotemeldingen – kvotefleksibilitet i fisket etter torsk, hyse og sei nord for 62° N</w:t>
      </w:r>
    </w:p>
    <w:p w14:paraId="54A45771" w14:textId="77777777" w:rsidR="00972395" w:rsidRPr="00E73D4B" w:rsidRDefault="00F120C7" w:rsidP="00E73D4B">
      <w:pPr>
        <w:pStyle w:val="avsnitt-undertittel"/>
      </w:pPr>
      <w:r w:rsidRPr="00E73D4B">
        <w:t>Vedtak nr. 553, 7. mai 2020</w:t>
      </w:r>
    </w:p>
    <w:p w14:paraId="3FBB5A4D" w14:textId="77777777" w:rsidR="00972395" w:rsidRPr="00E73D4B" w:rsidRDefault="00F120C7" w:rsidP="00E73D4B">
      <w:pPr>
        <w:pStyle w:val="blokksit"/>
        <w:rPr>
          <w:rStyle w:val="kursiv"/>
        </w:rPr>
      </w:pPr>
      <w:r w:rsidRPr="00E73D4B">
        <w:rPr>
          <w:rStyle w:val="kursiv"/>
        </w:rPr>
        <w:t xml:space="preserve">«Stortinget ber regjeringen legge til rette for at det i fisket etter torsk, hyse og sei nord for 62° N etableres kvotefleksibilitet over årsskiftet på fartøynivå, slik at et fartøy kan utnytte sitt kvotegrunnlag best mulig innenfor et </w:t>
      </w:r>
      <w:proofErr w:type="spellStart"/>
      <w:r w:rsidRPr="00E73D4B">
        <w:rPr>
          <w:rStyle w:val="kursiv"/>
        </w:rPr>
        <w:t>kvoteår</w:t>
      </w:r>
      <w:proofErr w:type="spellEnd"/>
      <w:r w:rsidRPr="00E73D4B">
        <w:rPr>
          <w:rStyle w:val="kursiv"/>
        </w:rPr>
        <w:t>, på samme måte som i pelagiske fiskerier.»</w:t>
      </w:r>
    </w:p>
    <w:p w14:paraId="1184040F" w14:textId="77777777" w:rsidR="00972395" w:rsidRPr="00E73D4B" w:rsidRDefault="00F120C7" w:rsidP="00E73D4B">
      <w:r w:rsidRPr="00E73D4B">
        <w:t xml:space="preserve">Vedtaket ble truffet ved behandlingen av Meld. St. 32 (2018–2019) </w:t>
      </w:r>
      <w:r w:rsidRPr="00E73D4B">
        <w:rPr>
          <w:rStyle w:val="kursiv"/>
        </w:rPr>
        <w:t>Et kvotesystem for økt verdiskaping – En fremtidsrettet fiskerinæring</w:t>
      </w:r>
      <w:r w:rsidRPr="00E73D4B">
        <w:t xml:space="preserve">, jf. </w:t>
      </w:r>
      <w:proofErr w:type="spellStart"/>
      <w:r w:rsidRPr="00E73D4B">
        <w:t>Innst</w:t>
      </w:r>
      <w:proofErr w:type="spellEnd"/>
      <w:r w:rsidRPr="00E73D4B">
        <w:t>. 243 S (2019–2020).</w:t>
      </w:r>
    </w:p>
    <w:p w14:paraId="109C5CE3" w14:textId="77777777" w:rsidR="00972395" w:rsidRPr="00E73D4B" w:rsidRDefault="00F120C7" w:rsidP="00E73D4B">
      <w:r w:rsidRPr="00E73D4B">
        <w:t>Nærings- og fiskeridepartementet ga i 2020 adgang til kvotefleksibilitet på fartøynivå i fisket etter torsk nord for 62° nord, fra 2020 til 2021. Ordningen er videreført til 2022. Fiskeridirektoratet arbeider med å få på plass et nytt kvoteregister som kan håndtere kvotefleksibilitet på fartøynivå.</w:t>
      </w:r>
    </w:p>
    <w:p w14:paraId="59A43519" w14:textId="77777777" w:rsidR="00972395" w:rsidRPr="00E73D4B" w:rsidRDefault="00F120C7" w:rsidP="00E73D4B">
      <w:r w:rsidRPr="00E73D4B">
        <w:t>Regjeringen vil på egnet måte komme tilbake til Stortinget om hvordan vedtaket følges opp.</w:t>
      </w:r>
    </w:p>
    <w:p w14:paraId="0B95E89C" w14:textId="77777777" w:rsidR="00972395" w:rsidRPr="00E73D4B" w:rsidRDefault="00F120C7" w:rsidP="00E73D4B">
      <w:pPr>
        <w:pStyle w:val="avsnitt-tittel"/>
      </w:pPr>
      <w:r w:rsidRPr="00E73D4B">
        <w:t>Kvotemeldingen – om faktisk lengde og hjemmelslengde</w:t>
      </w:r>
    </w:p>
    <w:p w14:paraId="11096B10" w14:textId="77777777" w:rsidR="00972395" w:rsidRPr="00E73D4B" w:rsidRDefault="00F120C7" w:rsidP="00E73D4B">
      <w:pPr>
        <w:pStyle w:val="avsnitt-undertittel"/>
      </w:pPr>
      <w:r w:rsidRPr="00E73D4B">
        <w:t>Vedtak nr. 555, 7. mai 2020</w:t>
      </w:r>
    </w:p>
    <w:p w14:paraId="315CF5BE" w14:textId="77777777" w:rsidR="00972395" w:rsidRPr="00E73D4B" w:rsidRDefault="00F120C7" w:rsidP="00E73D4B">
      <w:pPr>
        <w:pStyle w:val="blokksit"/>
        <w:rPr>
          <w:rStyle w:val="kursiv"/>
        </w:rPr>
      </w:pPr>
      <w:r w:rsidRPr="00E73D4B">
        <w:rPr>
          <w:rStyle w:val="kursiv"/>
        </w:rPr>
        <w:t>«Det gis en overgangsperiode der fartøy med annen faktisk lengde enn hjemmelslengde kan velge å bringe fartøyets faktiske lengde i tråd med hjemmelslengde. Den faktiske utformingen må være gjennomført innen 31. desember 2023. Regjeringen bes komme tilbake til Stortinget på egnet måte med en konkret utforming av et slikt alternativ.»</w:t>
      </w:r>
    </w:p>
    <w:p w14:paraId="564C44F3" w14:textId="77777777" w:rsidR="00972395" w:rsidRPr="00E73D4B" w:rsidRDefault="00F120C7" w:rsidP="00E73D4B">
      <w:r w:rsidRPr="00E73D4B">
        <w:t xml:space="preserve">Vedtaket ble truffet ved behandlingen av Meld. St. 32 (2018–2019) </w:t>
      </w:r>
      <w:r w:rsidRPr="00E73D4B">
        <w:rPr>
          <w:rStyle w:val="kursiv"/>
        </w:rPr>
        <w:t xml:space="preserve">Et kvotesystem for økt verdiskaping – En fremtidsrettet fiskerinæring, </w:t>
      </w:r>
      <w:r w:rsidRPr="00E73D4B">
        <w:t xml:space="preserve">jf. </w:t>
      </w:r>
      <w:proofErr w:type="spellStart"/>
      <w:r w:rsidRPr="00E73D4B">
        <w:t>Innst</w:t>
      </w:r>
      <w:proofErr w:type="spellEnd"/>
      <w:r w:rsidRPr="00E73D4B">
        <w:t>. 243 S (2019–2020).</w:t>
      </w:r>
    </w:p>
    <w:p w14:paraId="46FE10B1" w14:textId="77777777" w:rsidR="00972395" w:rsidRPr="00E73D4B" w:rsidRDefault="00F120C7" w:rsidP="00E73D4B">
      <w:r w:rsidRPr="00E73D4B">
        <w:t>Regjeringen vil følge opp vedtaket i forbindelse med at ny melding om kvotesystemet legges fram for Stortinget.</w:t>
      </w:r>
    </w:p>
    <w:p w14:paraId="1BD33E27" w14:textId="77777777" w:rsidR="00972395" w:rsidRPr="00E73D4B" w:rsidRDefault="00F120C7" w:rsidP="00E73D4B">
      <w:pPr>
        <w:pStyle w:val="avsnitt-tittel"/>
      </w:pPr>
      <w:r w:rsidRPr="00E73D4B">
        <w:t>Kvotemeldingen – avvikling av «samfiske med seg selv»</w:t>
      </w:r>
    </w:p>
    <w:p w14:paraId="12042E92" w14:textId="77777777" w:rsidR="00972395" w:rsidRPr="00E73D4B" w:rsidRDefault="00F120C7" w:rsidP="00E73D4B">
      <w:pPr>
        <w:pStyle w:val="avsnitt-undertittel"/>
      </w:pPr>
      <w:r w:rsidRPr="00E73D4B">
        <w:t>Vedtak nr. 556, 7. mai 2020</w:t>
      </w:r>
    </w:p>
    <w:p w14:paraId="457B46B2" w14:textId="77777777" w:rsidR="00972395" w:rsidRPr="00E73D4B" w:rsidRDefault="00F120C7" w:rsidP="00E73D4B">
      <w:pPr>
        <w:pStyle w:val="blokksit"/>
        <w:rPr>
          <w:rStyle w:val="kursiv"/>
        </w:rPr>
      </w:pPr>
      <w:r w:rsidRPr="00E73D4B">
        <w:rPr>
          <w:rStyle w:val="kursiv"/>
        </w:rPr>
        <w:t>«Stortinget ber regjeringen sørge for at eksisterende ordning med «samfiske med seg selv» i torskefisket avvikles innen 31. desember 2025.»</w:t>
      </w:r>
    </w:p>
    <w:p w14:paraId="2553E239" w14:textId="77777777" w:rsidR="00972395" w:rsidRPr="00E73D4B" w:rsidRDefault="00F120C7" w:rsidP="00E73D4B">
      <w:r w:rsidRPr="00E73D4B">
        <w:t xml:space="preserve">Vedtaket ble truffet ved behandlingen av Meld. St. 32 (2018–2019) </w:t>
      </w:r>
      <w:r w:rsidRPr="00E73D4B">
        <w:rPr>
          <w:rStyle w:val="kursiv"/>
        </w:rPr>
        <w:t>Et kvotesystem for økt verdiskaping – En fremtidsrettet fiskerinæring,</w:t>
      </w:r>
      <w:r w:rsidRPr="00E73D4B">
        <w:t xml:space="preserve"> jf. </w:t>
      </w:r>
      <w:proofErr w:type="spellStart"/>
      <w:r w:rsidRPr="00E73D4B">
        <w:t>Innst</w:t>
      </w:r>
      <w:proofErr w:type="spellEnd"/>
      <w:r w:rsidRPr="00E73D4B">
        <w:t>. 243 S (2019–2020).</w:t>
      </w:r>
    </w:p>
    <w:p w14:paraId="1E1A6A18" w14:textId="77777777" w:rsidR="00972395" w:rsidRPr="00E73D4B" w:rsidRDefault="00F120C7" w:rsidP="00E73D4B">
      <w:r w:rsidRPr="00E73D4B">
        <w:t>Regjeringen vil følge opp vedtaket i forbindelse med at ny melding om kvotesystemet legges fram for Stortinget.</w:t>
      </w:r>
    </w:p>
    <w:p w14:paraId="7664D5D6" w14:textId="77777777" w:rsidR="00972395" w:rsidRPr="00E73D4B" w:rsidRDefault="00F120C7" w:rsidP="00E73D4B">
      <w:pPr>
        <w:pStyle w:val="avsnitt-tittel"/>
      </w:pPr>
      <w:r w:rsidRPr="00E73D4B">
        <w:t>Kvotemeldingen – om konsekvensutredninger</w:t>
      </w:r>
    </w:p>
    <w:p w14:paraId="156C58A6" w14:textId="77777777" w:rsidR="00972395" w:rsidRPr="00E73D4B" w:rsidRDefault="00F120C7" w:rsidP="00E73D4B">
      <w:pPr>
        <w:pStyle w:val="avsnitt-undertittel"/>
      </w:pPr>
      <w:r w:rsidRPr="00E73D4B">
        <w:t>Vedtak nr. 558, 7. mai 2020</w:t>
      </w:r>
    </w:p>
    <w:p w14:paraId="78918CFA" w14:textId="77777777" w:rsidR="00972395" w:rsidRPr="00E73D4B" w:rsidRDefault="00F120C7" w:rsidP="00E73D4B">
      <w:pPr>
        <w:pStyle w:val="blokksit"/>
        <w:rPr>
          <w:rStyle w:val="kursiv"/>
        </w:rPr>
      </w:pPr>
      <w:r w:rsidRPr="00E73D4B">
        <w:rPr>
          <w:rStyle w:val="kursiv"/>
        </w:rPr>
        <w:t xml:space="preserve">«Stortinget ber regjeringen – før iverksettelse – foreta konsekvensutredning av eventuelle elementer i beslutningene ved behandlingen av </w:t>
      </w:r>
      <w:proofErr w:type="spellStart"/>
      <w:r w:rsidRPr="00E73D4B">
        <w:rPr>
          <w:rStyle w:val="kursiv"/>
        </w:rPr>
        <w:t>lnnst</w:t>
      </w:r>
      <w:proofErr w:type="spellEnd"/>
      <w:r w:rsidRPr="00E73D4B">
        <w:rPr>
          <w:rStyle w:val="kursiv"/>
        </w:rPr>
        <w:t xml:space="preserve">. 243 S (2019–2020) som ikke er </w:t>
      </w:r>
      <w:proofErr w:type="spellStart"/>
      <w:r w:rsidRPr="00E73D4B">
        <w:rPr>
          <w:rStyle w:val="kursiv"/>
        </w:rPr>
        <w:t>konsekvensutredet</w:t>
      </w:r>
      <w:proofErr w:type="spellEnd"/>
      <w:r w:rsidRPr="00E73D4B">
        <w:rPr>
          <w:rStyle w:val="kursiv"/>
        </w:rPr>
        <w:t xml:space="preserve"> gjennom meldingen.»</w:t>
      </w:r>
    </w:p>
    <w:p w14:paraId="02DA4743" w14:textId="77777777" w:rsidR="00972395" w:rsidRPr="00E73D4B" w:rsidRDefault="00F120C7" w:rsidP="00E73D4B">
      <w:r w:rsidRPr="00E73D4B">
        <w:t xml:space="preserve">Vedtaket ble truffet ved behandlingen av Meld. St. 32 (2018–2019) </w:t>
      </w:r>
      <w:r w:rsidRPr="00E73D4B">
        <w:rPr>
          <w:rStyle w:val="kursiv"/>
        </w:rPr>
        <w:t>Et kvotesystem for økt verdiskaping – En fremtidsrettet fiskerinæring,</w:t>
      </w:r>
      <w:r w:rsidRPr="00E73D4B">
        <w:t xml:space="preserve"> jf. </w:t>
      </w:r>
      <w:proofErr w:type="spellStart"/>
      <w:r w:rsidRPr="00E73D4B">
        <w:t>Innst</w:t>
      </w:r>
      <w:proofErr w:type="spellEnd"/>
      <w:r w:rsidRPr="00E73D4B">
        <w:t>. 243 S (2019–2020).</w:t>
      </w:r>
    </w:p>
    <w:p w14:paraId="0AEC934F" w14:textId="77777777" w:rsidR="00972395" w:rsidRPr="00E73D4B" w:rsidRDefault="00F120C7" w:rsidP="00E73D4B">
      <w:r w:rsidRPr="00E73D4B">
        <w:t>Fiskeridirektoratet har utarbeidet en rapport som viser forventet utvikling som følge av Stortingets vedtak nr. 551 om fordeling av strukturgevinst når tidsbegrensningene i strukturkvoteordningene utløper.</w:t>
      </w:r>
    </w:p>
    <w:p w14:paraId="30DBF97F" w14:textId="77777777" w:rsidR="00972395" w:rsidRPr="00E73D4B" w:rsidRDefault="00F120C7" w:rsidP="00E73D4B">
      <w:r w:rsidRPr="00E73D4B">
        <w:t>Ulike forslag for fordeling av strukturgevinst er sendt på høring fra Nærings- og fiskeridepartementet. Regjeringen vil komme tilbake til Stortinget om videre oppfølgning av vedtaket i forbindelse med at en ny kvotemelding vil legges fram for Stortinget.</w:t>
      </w:r>
    </w:p>
    <w:p w14:paraId="01FF45A9" w14:textId="77777777" w:rsidR="00972395" w:rsidRPr="00E73D4B" w:rsidRDefault="00F120C7" w:rsidP="00E73D4B">
      <w:pPr>
        <w:pStyle w:val="Overskrift2"/>
      </w:pPr>
      <w:r w:rsidRPr="00E73D4B">
        <w:t>Stortingssesjon 2016–2017</w:t>
      </w:r>
    </w:p>
    <w:p w14:paraId="39202865" w14:textId="77777777" w:rsidR="00972395" w:rsidRPr="00E73D4B" w:rsidRDefault="00F120C7" w:rsidP="00E73D4B">
      <w:pPr>
        <w:pStyle w:val="avsnitt-tittel"/>
      </w:pPr>
      <w:r w:rsidRPr="00E73D4B">
        <w:t>Registrering av firmaer og selskap i Norge uten fysisk tilstedeværelse</w:t>
      </w:r>
    </w:p>
    <w:p w14:paraId="21BA6B2C" w14:textId="77777777" w:rsidR="00972395" w:rsidRPr="00E73D4B" w:rsidRDefault="00F120C7" w:rsidP="00E73D4B">
      <w:pPr>
        <w:pStyle w:val="avsnitt-undertittel"/>
      </w:pPr>
      <w:r w:rsidRPr="00E73D4B">
        <w:t>Vedtak nr. 108, vedtakspunkt 35, 5. desember 2016</w:t>
      </w:r>
    </w:p>
    <w:p w14:paraId="07AE39D3" w14:textId="77777777" w:rsidR="00972395" w:rsidRPr="00E73D4B" w:rsidRDefault="00F120C7" w:rsidP="00E73D4B">
      <w:pPr>
        <w:pStyle w:val="blokksit"/>
        <w:rPr>
          <w:rStyle w:val="kursiv"/>
        </w:rPr>
      </w:pPr>
      <w:r w:rsidRPr="00E73D4B">
        <w:rPr>
          <w:rStyle w:val="kursiv"/>
        </w:rPr>
        <w:t>«Stortinget ber regjeringen vurdere en ordning med mulighet for registrering av firmaer og selskap i Norge uten fysisk tilstedeværelse etter modell fra Estland.»</w:t>
      </w:r>
    </w:p>
    <w:p w14:paraId="41ED0807" w14:textId="77777777" w:rsidR="00972395" w:rsidRPr="00E73D4B" w:rsidRDefault="00F120C7" w:rsidP="00E73D4B">
      <w:r w:rsidRPr="00E73D4B">
        <w:t xml:space="preserve">Vedtaket ble truffet ved behandling av Meld. St. 1 (2016–2017) </w:t>
      </w:r>
      <w:r w:rsidRPr="00E73D4B">
        <w:rPr>
          <w:rStyle w:val="kursiv"/>
        </w:rPr>
        <w:t>Nasjonalbudsjettet 2017</w:t>
      </w:r>
      <w:r w:rsidRPr="00E73D4B">
        <w:t xml:space="preserve">, </w:t>
      </w:r>
      <w:proofErr w:type="spellStart"/>
      <w:r w:rsidRPr="00E73D4B">
        <w:t>Prop</w:t>
      </w:r>
      <w:proofErr w:type="spellEnd"/>
      <w:r w:rsidRPr="00E73D4B">
        <w:t xml:space="preserve">. 1 S (2016–2017) og </w:t>
      </w:r>
      <w:proofErr w:type="spellStart"/>
      <w:r w:rsidRPr="00E73D4B">
        <w:t>Prop</w:t>
      </w:r>
      <w:proofErr w:type="spellEnd"/>
      <w:r w:rsidRPr="00E73D4B">
        <w:t xml:space="preserve">. 1 S Tillegg 1-5 (2016–2017), jf. </w:t>
      </w:r>
      <w:proofErr w:type="spellStart"/>
      <w:r w:rsidRPr="00E73D4B">
        <w:t>Innst</w:t>
      </w:r>
      <w:proofErr w:type="spellEnd"/>
      <w:r w:rsidRPr="00E73D4B">
        <w:t>. 2 S (2016–2017).</w:t>
      </w:r>
    </w:p>
    <w:p w14:paraId="3D59CD1C" w14:textId="77777777" w:rsidR="00972395" w:rsidRPr="00E73D4B" w:rsidRDefault="00F120C7" w:rsidP="00E73D4B">
      <w:r w:rsidRPr="00E73D4B">
        <w:t>Vedtaket refererer til Estland der det gis mulighet for såkalte e-</w:t>
      </w:r>
      <w:proofErr w:type="spellStart"/>
      <w:r w:rsidRPr="00E73D4B">
        <w:t>Residency</w:t>
      </w:r>
      <w:proofErr w:type="spellEnd"/>
      <w:r w:rsidRPr="00E73D4B">
        <w:t>, som gir anledning til å stifte og administrere virksomhet uavhengig av opphold i landet. Estlands løsning bygger på sikker elektronisk identifisering av utenlandske statsborgere.</w:t>
      </w:r>
    </w:p>
    <w:p w14:paraId="391E7979" w14:textId="68B77D94" w:rsidR="00972395" w:rsidRPr="00E73D4B" w:rsidRDefault="00F120C7" w:rsidP="00E73D4B">
      <w:r w:rsidRPr="00E73D4B">
        <w:t>En sikker elektronisk identifisering av utenlandske statsborgere, både ved rekvirering av d</w:t>
      </w:r>
      <w:r w:rsidR="00E73D4B">
        <w:t>-</w:t>
      </w:r>
      <w:r w:rsidRPr="00E73D4B">
        <w:t>nummer og ved bruk av digital ID, er nødvendig for å innføre en lignende modell i Norge. Per i dag ligger ikke nødvendig funksjonalitet i ID-kort som utstedes til utenlandske statsborgere uten norsk fødselsnummer. Nærings- og fiskeridepartementet har også et pågående arbeid knyttet til direktiv (EU) 2019/1151, som bl.a. pålegger EØS-statene å ha regler som åpner for elektronisk stiftelse og registrering av aksjeselskaper, og elektronisk registrering av filialer, på tvers av EØS. Brønnøysundregistrene har allerede en slik løsning for aksjeselskaper stiftet av personer med norsk fødselsnummer eller d-nummer. Departementet vil i forbindelse med gjennomføringen av direktivet vurdere hvordan man best kan åpne for sikker elektronisk verifisering av utenlandske personers identitet.</w:t>
      </w:r>
    </w:p>
    <w:p w14:paraId="6126E9AD" w14:textId="77777777" w:rsidR="00972395" w:rsidRPr="00E73D4B" w:rsidRDefault="00F120C7" w:rsidP="00E73D4B">
      <w:r w:rsidRPr="00E73D4B">
        <w:t>Regjeringen vil på egnet måte komme tilbake til Stortinget om hvordan vedtaket følges opp.</w:t>
      </w:r>
    </w:p>
    <w:p w14:paraId="2CDF8012" w14:textId="77777777" w:rsidR="00972395" w:rsidRPr="00E73D4B" w:rsidRDefault="00F120C7" w:rsidP="00E73D4B">
      <w:pPr>
        <w:pStyle w:val="Overskrift2"/>
      </w:pPr>
      <w:r w:rsidRPr="00E73D4B">
        <w:t>Stortingssesjon 2013–2014</w:t>
      </w:r>
    </w:p>
    <w:p w14:paraId="1540ED70" w14:textId="77777777" w:rsidR="00972395" w:rsidRPr="00E73D4B" w:rsidRDefault="00F120C7" w:rsidP="00E73D4B">
      <w:pPr>
        <w:pStyle w:val="avsnitt-tittel"/>
      </w:pPr>
      <w:r w:rsidRPr="00E73D4B">
        <w:t>Informasjon om eiere av aksjeselskaper</w:t>
      </w:r>
    </w:p>
    <w:p w14:paraId="76E18C52" w14:textId="77777777" w:rsidR="00972395" w:rsidRPr="00E73D4B" w:rsidRDefault="00F120C7" w:rsidP="00E73D4B">
      <w:pPr>
        <w:pStyle w:val="avsnitt-undertittel"/>
      </w:pPr>
      <w:r w:rsidRPr="00E73D4B">
        <w:t>Vedtak nr. 496, 16. juni 2014</w:t>
      </w:r>
    </w:p>
    <w:p w14:paraId="45D10D31" w14:textId="77777777" w:rsidR="00972395" w:rsidRPr="00E73D4B" w:rsidRDefault="00F120C7" w:rsidP="00E73D4B">
      <w:pPr>
        <w:pStyle w:val="blokksit"/>
        <w:rPr>
          <w:rStyle w:val="kursiv"/>
        </w:rPr>
      </w:pPr>
      <w:r w:rsidRPr="00E73D4B">
        <w:rPr>
          <w:rStyle w:val="kursiv"/>
        </w:rPr>
        <w:t>«Stortinget ber regjeringen etablere en offentlig løsning med informasjon om eiere av aksjeselskaper som sikrer større åpenhet, med etablering i løpet av 2015.»</w:t>
      </w:r>
    </w:p>
    <w:p w14:paraId="7FF3DDC0" w14:textId="77777777" w:rsidR="00972395" w:rsidRPr="00E73D4B" w:rsidRDefault="00F120C7" w:rsidP="00E73D4B">
      <w:r w:rsidRPr="00E73D4B">
        <w:t xml:space="preserve">Vedtaket ble truffet ved behandling av </w:t>
      </w:r>
      <w:proofErr w:type="spellStart"/>
      <w:r w:rsidRPr="00E73D4B">
        <w:t>Prop</w:t>
      </w:r>
      <w:proofErr w:type="spellEnd"/>
      <w:r w:rsidRPr="00E73D4B">
        <w:t>. 94 LS (2013–2014</w:t>
      </w:r>
      <w:r w:rsidRPr="00E73D4B">
        <w:rPr>
          <w:rStyle w:val="kursiv"/>
        </w:rPr>
        <w:t xml:space="preserve">) </w:t>
      </w:r>
      <w:proofErr w:type="spellStart"/>
      <w:r w:rsidRPr="00E73D4B">
        <w:rPr>
          <w:rStyle w:val="kursiv"/>
        </w:rPr>
        <w:t>Endringar</w:t>
      </w:r>
      <w:proofErr w:type="spellEnd"/>
      <w:r w:rsidRPr="00E73D4B">
        <w:rPr>
          <w:rStyle w:val="kursiv"/>
        </w:rPr>
        <w:t xml:space="preserve"> i skatte-, avgifts- og </w:t>
      </w:r>
      <w:proofErr w:type="spellStart"/>
      <w:r w:rsidRPr="00E73D4B">
        <w:rPr>
          <w:rStyle w:val="kursiv"/>
        </w:rPr>
        <w:t>tollovgivinga</w:t>
      </w:r>
      <w:proofErr w:type="spellEnd"/>
      <w:r w:rsidRPr="00E73D4B">
        <w:t xml:space="preserve">, jf. </w:t>
      </w:r>
      <w:proofErr w:type="spellStart"/>
      <w:r w:rsidRPr="00E73D4B">
        <w:t>Innst</w:t>
      </w:r>
      <w:proofErr w:type="spellEnd"/>
      <w:r w:rsidRPr="00E73D4B">
        <w:t>. 261 L (2013–2014).</w:t>
      </w:r>
    </w:p>
    <w:p w14:paraId="498EFD7E" w14:textId="77777777" w:rsidR="00972395" w:rsidRPr="00E73D4B" w:rsidRDefault="00F120C7" w:rsidP="00E73D4B">
      <w:r w:rsidRPr="00E73D4B">
        <w:t>Brønnøysundregistrene er gitt i oppdrag å etablere et register over reelle rettighetshavere, dvs. personer med bestemmende innflytelse i selskaper og andre juridiske personer. Registeret skal bidra til økt åpenhet om eierskap i norske selskaper og styrke innsatsen mot skattekriminalitet, korrupsjon og hvitvasking. Norge er pålagt å opprette et slikt register via EUs fjerde hvitvaskingsdirektiv, som er tatt inn i EØS-avtalen. Et offentlig digitalt register vil både gjøre det enklere å rapportere og få tilgang til opplysninger om reelle rettighetshavere.</w:t>
      </w:r>
    </w:p>
    <w:p w14:paraId="0D9FB699" w14:textId="77777777" w:rsidR="00972395" w:rsidRPr="00E73D4B" w:rsidRDefault="00F120C7" w:rsidP="00E73D4B">
      <w:r w:rsidRPr="00E73D4B">
        <w:t xml:space="preserve">Regjeringen fremmet 9. april 2021 </w:t>
      </w:r>
      <w:proofErr w:type="spellStart"/>
      <w:r w:rsidRPr="00E73D4B">
        <w:t>Prop</w:t>
      </w:r>
      <w:proofErr w:type="spellEnd"/>
      <w:r w:rsidRPr="00E73D4B">
        <w:t xml:space="preserve">. 136 LS (2020–2021) </w:t>
      </w:r>
      <w:r w:rsidRPr="00E73D4B">
        <w:rPr>
          <w:rStyle w:val="kursiv"/>
        </w:rPr>
        <w:t>Endringer i aksjelovgivningen mv. (åpenhet om eierskap og deltakelse på generalforsamlingen) og samtykke til godkjenning av EØS-komiteens beslutning nr. 235/2020 og 236/2020 om innlemmelse i EØS-avtalen av direktiv (EU) 2017/828 og forordning (EU) 2018/1212</w:t>
      </w:r>
      <w:r w:rsidRPr="00E73D4B">
        <w:t xml:space="preserve">. I proposisjonen ble det foreslått regler som vil gi økt åpenhet om eierskap i norske selskaper. Allmennheten har i dag innsynsrett i hvem som er direkte innført som aksjeeiere i aksjeeierregisteret. I proposisjonen ble det foreslått regler som også vil gi allmennheten innsynsrett i hvem som eier forvalterregistrerte aksjer. Forslaget slår fast et prinsipp om åpenhet om alle aksjeeiere i norske selskaper. Regjeringen foreslo også forskriftshjemmel for å gi regler om at alle </w:t>
      </w:r>
      <w:proofErr w:type="spellStart"/>
      <w:r w:rsidRPr="00E73D4B">
        <w:t>allmennaksjeselskaper</w:t>
      </w:r>
      <w:proofErr w:type="spellEnd"/>
      <w:r w:rsidRPr="00E73D4B">
        <w:t xml:space="preserve"> periodisk skal offentliggjøre oversikt over sine aksjeeiere. Den samme plikten skal gjelde for aksjeselskaper som har forvalterregistrerte aksjer. Det ble i proposisjonen også foreslått at </w:t>
      </w:r>
      <w:proofErr w:type="spellStart"/>
      <w:r w:rsidRPr="00E73D4B">
        <w:t>allmennaksjeselskaper</w:t>
      </w:r>
      <w:proofErr w:type="spellEnd"/>
      <w:r w:rsidRPr="00E73D4B">
        <w:t xml:space="preserve"> skal offentliggjøre oversikt over aksjeeiere som har deltatt på generalforsamling.</w:t>
      </w:r>
    </w:p>
    <w:p w14:paraId="432CCDAB" w14:textId="77777777" w:rsidR="00972395" w:rsidRPr="00E73D4B" w:rsidRDefault="00F120C7" w:rsidP="00E73D4B">
      <w:r w:rsidRPr="00E73D4B">
        <w:t xml:space="preserve">I </w:t>
      </w:r>
      <w:proofErr w:type="spellStart"/>
      <w:r w:rsidRPr="00E73D4B">
        <w:t>Innst</w:t>
      </w:r>
      <w:proofErr w:type="spellEnd"/>
      <w:r w:rsidRPr="00E73D4B">
        <w:t>. 597 L (2020–2021) viser næringskomiteen til at samlet sett innebærer forslagene om innsynsrett og hjemmel til å gi forskrift om periodisk offentliggjøring en vesentlig utvidelse av allmennhetens tilgang til opplysninger om aksjeeiere. Næringskomiteen viser også til at forslagene til regler om økt åpenhet om aksjeeiere innenfor sitt virkeområde imøtekommer Stortingets anmodningsvedtak nr. 496 fra 16. juni 2014 om økt åpenhet om eierskap i norske selskaper.</w:t>
      </w:r>
    </w:p>
    <w:p w14:paraId="28DAFAE7" w14:textId="77777777" w:rsidR="00972395" w:rsidRPr="00E73D4B" w:rsidRDefault="00F120C7" w:rsidP="00E73D4B">
      <w:r w:rsidRPr="00E73D4B">
        <w:t>Lov om endringer i aksjelovgivningen mv. (åpenhet om eierskap og deltakelse på generalforsamlingen) ble sanksjonert i statsråd 11. juni 2021. Det må fastsettes forskrifter før endringsloven kan tre i kraft.</w:t>
      </w:r>
    </w:p>
    <w:p w14:paraId="73D84B54" w14:textId="77777777" w:rsidR="00972395" w:rsidRPr="00E73D4B" w:rsidRDefault="00F120C7" w:rsidP="00E73D4B">
      <w:r w:rsidRPr="00E73D4B">
        <w:t xml:space="preserve">Brønnøysundregistrene og Skatteetaten har vurdert alternative løsninger for en helhetlig og forenklet rapportering og tilgjengeliggjøring av eierskapsinformasjon i norske aksje- og </w:t>
      </w:r>
      <w:proofErr w:type="spellStart"/>
      <w:r w:rsidRPr="00E73D4B">
        <w:t>allmennaksjeselskaper</w:t>
      </w:r>
      <w:proofErr w:type="spellEnd"/>
      <w:r w:rsidRPr="00E73D4B">
        <w:t>. Formålet med et helhetlig oppdrag er både å sikre oppdatert og korrekt informasjon om eierskap, samtidig som næringslivets totale oppgavebelastning knyttet til oppdatering av slike opplysninger reduseres. Brønnøysundregistrenes og Skatteetatens vurderinger ble oversendt Nærings- og fiskeridepartementet og Finansdepartementet 28. juni 2021. Utviklingen av en løsning for informasjon om aksjeeiere må bygge på et solid rettslig fundament som støtter opp under regjeringens politiske målsettinger. Departementene arbeider nå med å gjennomgå utredningen og vurdere videre arbeid.</w:t>
      </w:r>
    </w:p>
    <w:p w14:paraId="4BCEC66F" w14:textId="77777777" w:rsidR="00972395" w:rsidRPr="00E73D4B" w:rsidRDefault="00F120C7" w:rsidP="00E73D4B">
      <w:r w:rsidRPr="00E73D4B">
        <w:t>Regjeringen vil på egnet måte komme tilbake til Stortinget om hvordan vedtaket følges opp.</w:t>
      </w:r>
    </w:p>
    <w:p w14:paraId="569F5FF9" w14:textId="77777777" w:rsidR="00972395" w:rsidRPr="00E73D4B" w:rsidRDefault="00F120C7" w:rsidP="00E73D4B">
      <w:pPr>
        <w:pStyle w:val="Overskrift1"/>
      </w:pPr>
      <w:r w:rsidRPr="00E73D4B">
        <w:t xml:space="preserve">Olje- og </w:t>
      </w:r>
      <w:proofErr w:type="spellStart"/>
      <w:r w:rsidRPr="00E73D4B">
        <w:t>energidepartmentet</w:t>
      </w:r>
      <w:proofErr w:type="spellEnd"/>
    </w:p>
    <w:p w14:paraId="3B31B085" w14:textId="4F0B1B04" w:rsidR="00972395" w:rsidRDefault="00F120C7" w:rsidP="00E73D4B">
      <w:r w:rsidRPr="00E73D4B">
        <w:t xml:space="preserve">Nedenfor gis en oversikt over oppfølging av anmodnings- og utredningsvedtak under Olje- og energidepartementet. Oversikten inkluderer alle vedtak fra stortingssesjonen 2021–2022, samt de vedtakene fra tidligere stortingssesjoner som kontroll- og konstitusjonskomiteen i </w:t>
      </w:r>
      <w:proofErr w:type="spellStart"/>
      <w:r w:rsidRPr="00E73D4B">
        <w:t>Innst</w:t>
      </w:r>
      <w:proofErr w:type="spellEnd"/>
      <w:r w:rsidRPr="00E73D4B">
        <w:t xml:space="preserve">. 141 S (2021–2022) mente ikke var </w:t>
      </w:r>
      <w:proofErr w:type="spellStart"/>
      <w:r w:rsidRPr="00E73D4B">
        <w:t>utkvittert</w:t>
      </w:r>
      <w:proofErr w:type="spellEnd"/>
      <w:r w:rsidRPr="00E73D4B">
        <w:t>. I tabellen nedenfor angis hvorvidt departementet planlegger at rapporteringen knyttet til anmodnings- og utredningsvedtaket nå avsluttes eller om departementet vil rapportere konkret på vedtaket også i neste års budsjettproposisjon.</w:t>
      </w:r>
    </w:p>
    <w:p w14:paraId="78184AC2" w14:textId="56F8DA4E" w:rsidR="004A107D" w:rsidRPr="00E73D4B" w:rsidRDefault="004A107D" w:rsidP="004A107D">
      <w:pPr>
        <w:pStyle w:val="tabell-tittel"/>
      </w:pPr>
      <w:r w:rsidRPr="00E73D4B">
        <w:t>Oversikt over anmodnings- og utredningsvedtak, ordnet etter sesjon og nummer</w:t>
      </w:r>
    </w:p>
    <w:p w14:paraId="7C4DA8B8" w14:textId="77777777" w:rsidR="00972395" w:rsidRPr="00E73D4B" w:rsidRDefault="00F120C7" w:rsidP="00E73D4B">
      <w:pPr>
        <w:pStyle w:val="Tabellnavn"/>
      </w:pPr>
      <w:r w:rsidRPr="00E73D4B">
        <w:t>04J1xt2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1560"/>
        <w:gridCol w:w="1134"/>
        <w:gridCol w:w="4819"/>
        <w:gridCol w:w="1587"/>
      </w:tblGrid>
      <w:tr w:rsidR="00972395" w:rsidRPr="00E73D4B" w14:paraId="0BCDE46C" w14:textId="77777777" w:rsidTr="004A107D">
        <w:trPr>
          <w:trHeight w:val="860"/>
        </w:trPr>
        <w:tc>
          <w:tcPr>
            <w:tcW w:w="1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208A9C" w14:textId="77777777" w:rsidR="00972395" w:rsidRPr="00E73D4B" w:rsidRDefault="00F120C7" w:rsidP="004A107D">
            <w:r w:rsidRPr="00E73D4B">
              <w:t>Sesjon</w:t>
            </w:r>
          </w:p>
        </w:tc>
        <w:tc>
          <w:tcPr>
            <w:tcW w:w="113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727157" w14:textId="77777777" w:rsidR="00972395" w:rsidRPr="00E73D4B" w:rsidRDefault="00F120C7" w:rsidP="004A107D">
            <w:pPr>
              <w:jc w:val="right"/>
            </w:pPr>
            <w:r w:rsidRPr="00E73D4B">
              <w:t>Vedtak</w:t>
            </w:r>
          </w:p>
        </w:tc>
        <w:tc>
          <w:tcPr>
            <w:tcW w:w="481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72FB63" w14:textId="77777777" w:rsidR="00972395" w:rsidRPr="00E73D4B" w:rsidRDefault="00F120C7" w:rsidP="004A107D">
            <w:r w:rsidRPr="00E73D4B">
              <w:t>Stikkord</w:t>
            </w:r>
          </w:p>
        </w:tc>
        <w:tc>
          <w:tcPr>
            <w:tcW w:w="15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22C434" w14:textId="77777777" w:rsidR="00972395" w:rsidRPr="00E73D4B" w:rsidRDefault="00F120C7" w:rsidP="004A107D">
            <w:pPr>
              <w:jc w:val="right"/>
            </w:pPr>
            <w:r w:rsidRPr="00E73D4B">
              <w:t xml:space="preserve">Rapportering avsluttes </w:t>
            </w:r>
            <w:r w:rsidRPr="00E73D4B">
              <w:br/>
              <w:t>(Ja/Nei)</w:t>
            </w:r>
          </w:p>
        </w:tc>
      </w:tr>
      <w:tr w:rsidR="00972395" w:rsidRPr="00E73D4B" w14:paraId="41AF5EAE" w14:textId="77777777" w:rsidTr="004A107D">
        <w:trPr>
          <w:trHeight w:val="640"/>
        </w:trPr>
        <w:tc>
          <w:tcPr>
            <w:tcW w:w="1560" w:type="dxa"/>
            <w:tcBorders>
              <w:top w:val="single" w:sz="4" w:space="0" w:color="000000"/>
              <w:left w:val="nil"/>
              <w:bottom w:val="nil"/>
              <w:right w:val="nil"/>
            </w:tcBorders>
            <w:tcMar>
              <w:top w:w="128" w:type="dxa"/>
              <w:left w:w="43" w:type="dxa"/>
              <w:bottom w:w="43" w:type="dxa"/>
              <w:right w:w="43" w:type="dxa"/>
            </w:tcMar>
          </w:tcPr>
          <w:p w14:paraId="74C0BB81" w14:textId="77777777" w:rsidR="00972395" w:rsidRPr="00E73D4B" w:rsidRDefault="00F120C7" w:rsidP="004A107D">
            <w:r w:rsidRPr="00E73D4B">
              <w:t>2021–2022</w:t>
            </w:r>
          </w:p>
        </w:tc>
        <w:tc>
          <w:tcPr>
            <w:tcW w:w="1134" w:type="dxa"/>
            <w:tcBorders>
              <w:top w:val="single" w:sz="4" w:space="0" w:color="000000"/>
              <w:left w:val="nil"/>
              <w:bottom w:val="nil"/>
              <w:right w:val="nil"/>
            </w:tcBorders>
            <w:tcMar>
              <w:top w:w="128" w:type="dxa"/>
              <w:left w:w="43" w:type="dxa"/>
              <w:bottom w:w="43" w:type="dxa"/>
              <w:right w:w="43" w:type="dxa"/>
            </w:tcMar>
          </w:tcPr>
          <w:p w14:paraId="20E62D84" w14:textId="77777777" w:rsidR="00972395" w:rsidRPr="00E73D4B" w:rsidRDefault="00F120C7" w:rsidP="004A107D">
            <w:pPr>
              <w:jc w:val="right"/>
            </w:pPr>
            <w:r w:rsidRPr="00E73D4B">
              <w:t>35-5</w:t>
            </w:r>
          </w:p>
        </w:tc>
        <w:tc>
          <w:tcPr>
            <w:tcW w:w="4819" w:type="dxa"/>
            <w:tcBorders>
              <w:top w:val="single" w:sz="4" w:space="0" w:color="000000"/>
              <w:left w:val="nil"/>
              <w:bottom w:val="nil"/>
              <w:right w:val="nil"/>
            </w:tcBorders>
            <w:tcMar>
              <w:top w:w="128" w:type="dxa"/>
              <w:left w:w="43" w:type="dxa"/>
              <w:bottom w:w="43" w:type="dxa"/>
              <w:right w:w="43" w:type="dxa"/>
            </w:tcMar>
          </w:tcPr>
          <w:p w14:paraId="396CD8ED" w14:textId="77777777" w:rsidR="00972395" w:rsidRPr="00E73D4B" w:rsidRDefault="00F120C7" w:rsidP="004A107D">
            <w:r w:rsidRPr="00E73D4B">
              <w:t xml:space="preserve">Redusere energibruken i bygg med minst 10 </w:t>
            </w:r>
            <w:proofErr w:type="spellStart"/>
            <w:r w:rsidRPr="00E73D4B">
              <w:t>TWh</w:t>
            </w:r>
            <w:proofErr w:type="spellEnd"/>
            <w:r w:rsidRPr="00E73D4B">
              <w:t>, og øke strømproduksjonen i bygg</w:t>
            </w:r>
          </w:p>
        </w:tc>
        <w:tc>
          <w:tcPr>
            <w:tcW w:w="1587" w:type="dxa"/>
            <w:tcBorders>
              <w:top w:val="single" w:sz="4" w:space="0" w:color="000000"/>
              <w:left w:val="nil"/>
              <w:bottom w:val="nil"/>
              <w:right w:val="nil"/>
            </w:tcBorders>
            <w:tcMar>
              <w:top w:w="128" w:type="dxa"/>
              <w:left w:w="43" w:type="dxa"/>
              <w:bottom w:w="43" w:type="dxa"/>
              <w:right w:w="43" w:type="dxa"/>
            </w:tcMar>
            <w:vAlign w:val="bottom"/>
          </w:tcPr>
          <w:p w14:paraId="1FCAC9E0" w14:textId="77777777" w:rsidR="00972395" w:rsidRPr="00E73D4B" w:rsidRDefault="00F120C7" w:rsidP="004A107D">
            <w:pPr>
              <w:jc w:val="right"/>
            </w:pPr>
            <w:r w:rsidRPr="00E73D4B">
              <w:t>Ja</w:t>
            </w:r>
          </w:p>
        </w:tc>
      </w:tr>
      <w:tr w:rsidR="00972395" w:rsidRPr="00E73D4B" w14:paraId="00615D95"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7FD01DE9"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6E1878A4" w14:textId="77777777" w:rsidR="00972395" w:rsidRPr="00E73D4B" w:rsidRDefault="00F120C7" w:rsidP="004A107D">
            <w:pPr>
              <w:jc w:val="right"/>
            </w:pPr>
            <w:r w:rsidRPr="00E73D4B">
              <w:t>35-18</w:t>
            </w:r>
          </w:p>
        </w:tc>
        <w:tc>
          <w:tcPr>
            <w:tcW w:w="4819" w:type="dxa"/>
            <w:tcBorders>
              <w:top w:val="nil"/>
              <w:left w:val="nil"/>
              <w:bottom w:val="nil"/>
              <w:right w:val="nil"/>
            </w:tcBorders>
            <w:tcMar>
              <w:top w:w="128" w:type="dxa"/>
              <w:left w:w="43" w:type="dxa"/>
              <w:bottom w:w="43" w:type="dxa"/>
              <w:right w:w="43" w:type="dxa"/>
            </w:tcMar>
          </w:tcPr>
          <w:p w14:paraId="3BD9154D" w14:textId="77777777" w:rsidR="00972395" w:rsidRPr="00E73D4B" w:rsidRDefault="00F120C7" w:rsidP="004A107D">
            <w:r w:rsidRPr="00E73D4B">
              <w:t>Ikke utlyse ny ordinær konsesjonsrunde på norsk sokkel i 2022</w:t>
            </w:r>
          </w:p>
        </w:tc>
        <w:tc>
          <w:tcPr>
            <w:tcW w:w="1587" w:type="dxa"/>
            <w:tcBorders>
              <w:top w:val="nil"/>
              <w:left w:val="nil"/>
              <w:bottom w:val="nil"/>
              <w:right w:val="nil"/>
            </w:tcBorders>
            <w:tcMar>
              <w:top w:w="128" w:type="dxa"/>
              <w:left w:w="43" w:type="dxa"/>
              <w:bottom w:w="43" w:type="dxa"/>
              <w:right w:w="43" w:type="dxa"/>
            </w:tcMar>
            <w:vAlign w:val="bottom"/>
          </w:tcPr>
          <w:p w14:paraId="12131034" w14:textId="77777777" w:rsidR="00972395" w:rsidRPr="00E73D4B" w:rsidRDefault="00F120C7" w:rsidP="004A107D">
            <w:pPr>
              <w:jc w:val="right"/>
            </w:pPr>
            <w:r w:rsidRPr="00E73D4B">
              <w:t>Ja</w:t>
            </w:r>
          </w:p>
        </w:tc>
      </w:tr>
      <w:tr w:rsidR="00972395" w:rsidRPr="00E73D4B" w14:paraId="6CC90331"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324FC391"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390E727C" w14:textId="77777777" w:rsidR="00972395" w:rsidRPr="00E73D4B" w:rsidRDefault="00F120C7" w:rsidP="004A107D">
            <w:pPr>
              <w:jc w:val="right"/>
            </w:pPr>
            <w:r w:rsidRPr="00E73D4B">
              <w:t>35-25</w:t>
            </w:r>
          </w:p>
        </w:tc>
        <w:tc>
          <w:tcPr>
            <w:tcW w:w="4819" w:type="dxa"/>
            <w:tcBorders>
              <w:top w:val="nil"/>
              <w:left w:val="nil"/>
              <w:bottom w:val="nil"/>
              <w:right w:val="nil"/>
            </w:tcBorders>
            <w:tcMar>
              <w:top w:w="128" w:type="dxa"/>
              <w:left w:w="43" w:type="dxa"/>
              <w:bottom w:w="43" w:type="dxa"/>
              <w:right w:w="43" w:type="dxa"/>
            </w:tcMar>
          </w:tcPr>
          <w:p w14:paraId="7A4ADAFB" w14:textId="77777777" w:rsidR="00972395" w:rsidRPr="00E73D4B" w:rsidRDefault="00F120C7" w:rsidP="004A107D">
            <w:r w:rsidRPr="00E73D4B">
              <w:t>Legge til rette for storskala grønn hydrogen-produksjon</w:t>
            </w:r>
          </w:p>
        </w:tc>
        <w:tc>
          <w:tcPr>
            <w:tcW w:w="1587" w:type="dxa"/>
            <w:tcBorders>
              <w:top w:val="nil"/>
              <w:left w:val="nil"/>
              <w:bottom w:val="nil"/>
              <w:right w:val="nil"/>
            </w:tcBorders>
            <w:tcMar>
              <w:top w:w="128" w:type="dxa"/>
              <w:left w:w="43" w:type="dxa"/>
              <w:bottom w:w="43" w:type="dxa"/>
              <w:right w:w="43" w:type="dxa"/>
            </w:tcMar>
            <w:vAlign w:val="bottom"/>
          </w:tcPr>
          <w:p w14:paraId="24BFCA84" w14:textId="77777777" w:rsidR="00972395" w:rsidRPr="00E73D4B" w:rsidRDefault="00F120C7" w:rsidP="004A107D">
            <w:pPr>
              <w:jc w:val="right"/>
            </w:pPr>
            <w:r w:rsidRPr="00E73D4B">
              <w:t>Ja</w:t>
            </w:r>
          </w:p>
        </w:tc>
      </w:tr>
      <w:tr w:rsidR="00972395" w:rsidRPr="00E73D4B" w14:paraId="02E48A7D"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768C5573"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00B7174A" w14:textId="77777777" w:rsidR="00972395" w:rsidRPr="00E73D4B" w:rsidRDefault="00F120C7" w:rsidP="004A107D">
            <w:pPr>
              <w:jc w:val="right"/>
            </w:pPr>
            <w:r w:rsidRPr="00E73D4B">
              <w:t>35-26</w:t>
            </w:r>
          </w:p>
        </w:tc>
        <w:tc>
          <w:tcPr>
            <w:tcW w:w="4819" w:type="dxa"/>
            <w:tcBorders>
              <w:top w:val="nil"/>
              <w:left w:val="nil"/>
              <w:bottom w:val="nil"/>
              <w:right w:val="nil"/>
            </w:tcBorders>
            <w:tcMar>
              <w:top w:w="128" w:type="dxa"/>
              <w:left w:w="43" w:type="dxa"/>
              <w:bottom w:w="43" w:type="dxa"/>
              <w:right w:w="43" w:type="dxa"/>
            </w:tcMar>
          </w:tcPr>
          <w:p w14:paraId="0B0524C3" w14:textId="77777777" w:rsidR="00972395" w:rsidRPr="00E73D4B" w:rsidRDefault="00F120C7" w:rsidP="004A107D">
            <w:r w:rsidRPr="00E73D4B">
              <w:t>Elektrifisering av norsk ammoniakkproduksjon</w:t>
            </w:r>
          </w:p>
        </w:tc>
        <w:tc>
          <w:tcPr>
            <w:tcW w:w="1587" w:type="dxa"/>
            <w:tcBorders>
              <w:top w:val="nil"/>
              <w:left w:val="nil"/>
              <w:bottom w:val="nil"/>
              <w:right w:val="nil"/>
            </w:tcBorders>
            <w:tcMar>
              <w:top w:w="128" w:type="dxa"/>
              <w:left w:w="43" w:type="dxa"/>
              <w:bottom w:w="43" w:type="dxa"/>
              <w:right w:w="43" w:type="dxa"/>
            </w:tcMar>
            <w:vAlign w:val="bottom"/>
          </w:tcPr>
          <w:p w14:paraId="5F600D21" w14:textId="77777777" w:rsidR="00972395" w:rsidRPr="00E73D4B" w:rsidRDefault="00F120C7" w:rsidP="004A107D">
            <w:pPr>
              <w:jc w:val="right"/>
            </w:pPr>
            <w:r w:rsidRPr="00E73D4B">
              <w:t>Ja</w:t>
            </w:r>
          </w:p>
        </w:tc>
      </w:tr>
      <w:tr w:rsidR="00972395" w:rsidRPr="00E73D4B" w14:paraId="1478C0D4"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14A190F7"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15430603" w14:textId="77777777" w:rsidR="00972395" w:rsidRPr="00E73D4B" w:rsidRDefault="00F120C7" w:rsidP="004A107D">
            <w:pPr>
              <w:jc w:val="right"/>
            </w:pPr>
            <w:r w:rsidRPr="00E73D4B">
              <w:t>339</w:t>
            </w:r>
          </w:p>
        </w:tc>
        <w:tc>
          <w:tcPr>
            <w:tcW w:w="4819" w:type="dxa"/>
            <w:tcBorders>
              <w:top w:val="nil"/>
              <w:left w:val="nil"/>
              <w:bottom w:val="nil"/>
              <w:right w:val="nil"/>
            </w:tcBorders>
            <w:tcMar>
              <w:top w:w="128" w:type="dxa"/>
              <w:left w:w="43" w:type="dxa"/>
              <w:bottom w:w="43" w:type="dxa"/>
              <w:right w:w="43" w:type="dxa"/>
            </w:tcMar>
          </w:tcPr>
          <w:p w14:paraId="474A66FF" w14:textId="77777777" w:rsidR="00972395" w:rsidRPr="00E73D4B" w:rsidRDefault="00F120C7" w:rsidP="004A107D">
            <w:r w:rsidRPr="00E73D4B">
              <w:t>Drenering av høyrisikoområdet for store fjellskred ved Åknes i Stranda kommune</w:t>
            </w:r>
          </w:p>
        </w:tc>
        <w:tc>
          <w:tcPr>
            <w:tcW w:w="1587" w:type="dxa"/>
            <w:tcBorders>
              <w:top w:val="nil"/>
              <w:left w:val="nil"/>
              <w:bottom w:val="nil"/>
              <w:right w:val="nil"/>
            </w:tcBorders>
            <w:tcMar>
              <w:top w:w="128" w:type="dxa"/>
              <w:left w:w="43" w:type="dxa"/>
              <w:bottom w:w="43" w:type="dxa"/>
              <w:right w:w="43" w:type="dxa"/>
            </w:tcMar>
            <w:vAlign w:val="bottom"/>
          </w:tcPr>
          <w:p w14:paraId="0C5E3089" w14:textId="77777777" w:rsidR="00972395" w:rsidRPr="00E73D4B" w:rsidRDefault="00F120C7" w:rsidP="004A107D">
            <w:pPr>
              <w:jc w:val="right"/>
            </w:pPr>
            <w:r w:rsidRPr="00E73D4B">
              <w:t>Ja</w:t>
            </w:r>
          </w:p>
        </w:tc>
      </w:tr>
      <w:tr w:rsidR="00972395" w:rsidRPr="00E73D4B" w14:paraId="33F87147"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778A3C4F"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0D38A4DA" w14:textId="77777777" w:rsidR="00972395" w:rsidRPr="00E73D4B" w:rsidRDefault="00F120C7" w:rsidP="004A107D">
            <w:pPr>
              <w:jc w:val="right"/>
            </w:pPr>
            <w:r w:rsidRPr="00E73D4B">
              <w:t>355</w:t>
            </w:r>
          </w:p>
        </w:tc>
        <w:tc>
          <w:tcPr>
            <w:tcW w:w="4819" w:type="dxa"/>
            <w:tcBorders>
              <w:top w:val="nil"/>
              <w:left w:val="nil"/>
              <w:bottom w:val="nil"/>
              <w:right w:val="nil"/>
            </w:tcBorders>
            <w:tcMar>
              <w:top w:w="128" w:type="dxa"/>
              <w:left w:w="43" w:type="dxa"/>
              <w:bottom w:w="43" w:type="dxa"/>
              <w:right w:w="43" w:type="dxa"/>
            </w:tcMar>
          </w:tcPr>
          <w:p w14:paraId="5119064D" w14:textId="77777777" w:rsidR="00972395" w:rsidRPr="00E73D4B" w:rsidRDefault="00F120C7" w:rsidP="004A107D">
            <w:r w:rsidRPr="00E73D4B">
              <w:t>Evaluering av støttetiltakene for høye strømpriser</w:t>
            </w:r>
          </w:p>
        </w:tc>
        <w:tc>
          <w:tcPr>
            <w:tcW w:w="1587" w:type="dxa"/>
            <w:tcBorders>
              <w:top w:val="nil"/>
              <w:left w:val="nil"/>
              <w:bottom w:val="nil"/>
              <w:right w:val="nil"/>
            </w:tcBorders>
            <w:tcMar>
              <w:top w:w="128" w:type="dxa"/>
              <w:left w:w="43" w:type="dxa"/>
              <w:bottom w:w="43" w:type="dxa"/>
              <w:right w:w="43" w:type="dxa"/>
            </w:tcMar>
            <w:vAlign w:val="bottom"/>
          </w:tcPr>
          <w:p w14:paraId="4813A046" w14:textId="77777777" w:rsidR="00972395" w:rsidRPr="00E73D4B" w:rsidRDefault="00F120C7" w:rsidP="004A107D">
            <w:pPr>
              <w:jc w:val="right"/>
            </w:pPr>
            <w:r w:rsidRPr="00E73D4B">
              <w:t>Ja</w:t>
            </w:r>
          </w:p>
        </w:tc>
      </w:tr>
      <w:tr w:rsidR="00972395" w:rsidRPr="00E73D4B" w14:paraId="67EA2371"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5D1E6E15"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3720BCB" w14:textId="77777777" w:rsidR="00972395" w:rsidRPr="00E73D4B" w:rsidRDefault="00F120C7" w:rsidP="004A107D">
            <w:pPr>
              <w:jc w:val="right"/>
            </w:pPr>
            <w:r w:rsidRPr="00E73D4B">
              <w:t>385</w:t>
            </w:r>
          </w:p>
        </w:tc>
        <w:tc>
          <w:tcPr>
            <w:tcW w:w="4819" w:type="dxa"/>
            <w:tcBorders>
              <w:top w:val="nil"/>
              <w:left w:val="nil"/>
              <w:bottom w:val="nil"/>
              <w:right w:val="nil"/>
            </w:tcBorders>
            <w:tcMar>
              <w:top w:w="128" w:type="dxa"/>
              <w:left w:w="43" w:type="dxa"/>
              <w:bottom w:w="43" w:type="dxa"/>
              <w:right w:w="43" w:type="dxa"/>
            </w:tcMar>
          </w:tcPr>
          <w:p w14:paraId="793B67B9" w14:textId="77777777" w:rsidR="00972395" w:rsidRPr="00E73D4B" w:rsidRDefault="00F120C7" w:rsidP="004A107D">
            <w:r w:rsidRPr="00E73D4B">
              <w:t>Klimavennlig kraftbehov for næringsutvikling i Geiranger, Nærøyfjorden og tilhørende fergesamband</w:t>
            </w:r>
          </w:p>
        </w:tc>
        <w:tc>
          <w:tcPr>
            <w:tcW w:w="1587" w:type="dxa"/>
            <w:tcBorders>
              <w:top w:val="nil"/>
              <w:left w:val="nil"/>
              <w:bottom w:val="nil"/>
              <w:right w:val="nil"/>
            </w:tcBorders>
            <w:tcMar>
              <w:top w:w="128" w:type="dxa"/>
              <w:left w:w="43" w:type="dxa"/>
              <w:bottom w:w="43" w:type="dxa"/>
              <w:right w:w="43" w:type="dxa"/>
            </w:tcMar>
            <w:vAlign w:val="bottom"/>
          </w:tcPr>
          <w:p w14:paraId="77072382" w14:textId="77777777" w:rsidR="00972395" w:rsidRPr="00E73D4B" w:rsidRDefault="00F120C7" w:rsidP="004A107D">
            <w:pPr>
              <w:jc w:val="right"/>
            </w:pPr>
            <w:r w:rsidRPr="00E73D4B">
              <w:t xml:space="preserve">Nei </w:t>
            </w:r>
          </w:p>
        </w:tc>
      </w:tr>
      <w:tr w:rsidR="00972395" w:rsidRPr="00E73D4B" w14:paraId="39B8DECB"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1C5E9193"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30380FA" w14:textId="77777777" w:rsidR="00972395" w:rsidRPr="00E73D4B" w:rsidRDefault="00F120C7" w:rsidP="004A107D">
            <w:pPr>
              <w:jc w:val="right"/>
            </w:pPr>
            <w:r w:rsidRPr="00E73D4B">
              <w:t>386</w:t>
            </w:r>
          </w:p>
        </w:tc>
        <w:tc>
          <w:tcPr>
            <w:tcW w:w="4819" w:type="dxa"/>
            <w:tcBorders>
              <w:top w:val="nil"/>
              <w:left w:val="nil"/>
              <w:bottom w:val="nil"/>
              <w:right w:val="nil"/>
            </w:tcBorders>
            <w:tcMar>
              <w:top w:w="128" w:type="dxa"/>
              <w:left w:w="43" w:type="dxa"/>
              <w:bottom w:w="43" w:type="dxa"/>
              <w:right w:w="43" w:type="dxa"/>
            </w:tcMar>
          </w:tcPr>
          <w:p w14:paraId="6877E915" w14:textId="77777777" w:rsidR="00972395" w:rsidRPr="00E73D4B" w:rsidRDefault="00F120C7" w:rsidP="004A107D">
            <w:r w:rsidRPr="00E73D4B">
              <w:t>Helhetlig samfunnsøkonomisk vurdering i konsesjonssaker for nettutbygging, herunder Bærum-Oslo</w:t>
            </w:r>
          </w:p>
        </w:tc>
        <w:tc>
          <w:tcPr>
            <w:tcW w:w="1587" w:type="dxa"/>
            <w:tcBorders>
              <w:top w:val="nil"/>
              <w:left w:val="nil"/>
              <w:bottom w:val="nil"/>
              <w:right w:val="nil"/>
            </w:tcBorders>
            <w:tcMar>
              <w:top w:w="128" w:type="dxa"/>
              <w:left w:w="43" w:type="dxa"/>
              <w:bottom w:w="43" w:type="dxa"/>
              <w:right w:w="43" w:type="dxa"/>
            </w:tcMar>
            <w:vAlign w:val="bottom"/>
          </w:tcPr>
          <w:p w14:paraId="5B35CAFB" w14:textId="77777777" w:rsidR="00972395" w:rsidRPr="00E73D4B" w:rsidRDefault="00F120C7" w:rsidP="004A107D">
            <w:pPr>
              <w:jc w:val="right"/>
            </w:pPr>
            <w:r w:rsidRPr="00E73D4B">
              <w:t>Ja</w:t>
            </w:r>
          </w:p>
        </w:tc>
      </w:tr>
      <w:tr w:rsidR="00972395" w:rsidRPr="00E73D4B" w14:paraId="5BB3675B"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0447E2E6"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54D83A2A" w14:textId="77777777" w:rsidR="00972395" w:rsidRPr="00E73D4B" w:rsidRDefault="00F120C7" w:rsidP="004A107D">
            <w:pPr>
              <w:jc w:val="right"/>
            </w:pPr>
            <w:r w:rsidRPr="00E73D4B">
              <w:t>486</w:t>
            </w:r>
          </w:p>
        </w:tc>
        <w:tc>
          <w:tcPr>
            <w:tcW w:w="4819" w:type="dxa"/>
            <w:tcBorders>
              <w:top w:val="nil"/>
              <w:left w:val="nil"/>
              <w:bottom w:val="nil"/>
              <w:right w:val="nil"/>
            </w:tcBorders>
            <w:tcMar>
              <w:top w:w="128" w:type="dxa"/>
              <w:left w:w="43" w:type="dxa"/>
              <w:bottom w:w="43" w:type="dxa"/>
              <w:right w:w="43" w:type="dxa"/>
            </w:tcMar>
          </w:tcPr>
          <w:p w14:paraId="063C4856" w14:textId="77777777" w:rsidR="00972395" w:rsidRPr="00E73D4B" w:rsidRDefault="00F120C7" w:rsidP="004A107D">
            <w:r w:rsidRPr="00E73D4B">
              <w:t>Nytt forslag til nettleiemodell fra Huseierne, miljøorganisasjonene og Energi Norge</w:t>
            </w:r>
          </w:p>
        </w:tc>
        <w:tc>
          <w:tcPr>
            <w:tcW w:w="1587" w:type="dxa"/>
            <w:tcBorders>
              <w:top w:val="nil"/>
              <w:left w:val="nil"/>
              <w:bottom w:val="nil"/>
              <w:right w:val="nil"/>
            </w:tcBorders>
            <w:tcMar>
              <w:top w:w="128" w:type="dxa"/>
              <w:left w:w="43" w:type="dxa"/>
              <w:bottom w:w="43" w:type="dxa"/>
              <w:right w:w="43" w:type="dxa"/>
            </w:tcMar>
            <w:vAlign w:val="bottom"/>
          </w:tcPr>
          <w:p w14:paraId="51AFAE02" w14:textId="77777777" w:rsidR="00972395" w:rsidRPr="00E73D4B" w:rsidRDefault="00F120C7" w:rsidP="004A107D">
            <w:pPr>
              <w:jc w:val="right"/>
            </w:pPr>
            <w:r w:rsidRPr="00E73D4B">
              <w:t>Ja</w:t>
            </w:r>
          </w:p>
        </w:tc>
      </w:tr>
      <w:tr w:rsidR="00972395" w:rsidRPr="00E73D4B" w14:paraId="6F76C5C5"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0C90E5BA"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DC9D7FA" w14:textId="77777777" w:rsidR="00972395" w:rsidRPr="00E73D4B" w:rsidRDefault="00F120C7" w:rsidP="004A107D">
            <w:pPr>
              <w:jc w:val="right"/>
            </w:pPr>
            <w:r w:rsidRPr="00E73D4B">
              <w:t>545</w:t>
            </w:r>
          </w:p>
        </w:tc>
        <w:tc>
          <w:tcPr>
            <w:tcW w:w="4819" w:type="dxa"/>
            <w:tcBorders>
              <w:top w:val="nil"/>
              <w:left w:val="nil"/>
              <w:bottom w:val="nil"/>
              <w:right w:val="nil"/>
            </w:tcBorders>
            <w:tcMar>
              <w:top w:w="128" w:type="dxa"/>
              <w:left w:w="43" w:type="dxa"/>
              <w:bottom w:w="43" w:type="dxa"/>
              <w:right w:w="43" w:type="dxa"/>
            </w:tcMar>
          </w:tcPr>
          <w:p w14:paraId="336F6FA2" w14:textId="77777777" w:rsidR="00972395" w:rsidRPr="00E73D4B" w:rsidRDefault="00F120C7" w:rsidP="004A107D">
            <w:r w:rsidRPr="00E73D4B">
              <w:t>Nye virkemidler for å få igangsatt prosjekter med hydrogen og ammoniakk, herunder differansekontrakter</w:t>
            </w:r>
          </w:p>
        </w:tc>
        <w:tc>
          <w:tcPr>
            <w:tcW w:w="1587" w:type="dxa"/>
            <w:tcBorders>
              <w:top w:val="nil"/>
              <w:left w:val="nil"/>
              <w:bottom w:val="nil"/>
              <w:right w:val="nil"/>
            </w:tcBorders>
            <w:tcMar>
              <w:top w:w="128" w:type="dxa"/>
              <w:left w:w="43" w:type="dxa"/>
              <w:bottom w:w="43" w:type="dxa"/>
              <w:right w:w="43" w:type="dxa"/>
            </w:tcMar>
            <w:vAlign w:val="bottom"/>
          </w:tcPr>
          <w:p w14:paraId="551A5D36" w14:textId="77777777" w:rsidR="00972395" w:rsidRPr="00E73D4B" w:rsidRDefault="00F120C7" w:rsidP="004A107D">
            <w:pPr>
              <w:jc w:val="right"/>
            </w:pPr>
            <w:r w:rsidRPr="00E73D4B">
              <w:t>Ja</w:t>
            </w:r>
          </w:p>
        </w:tc>
      </w:tr>
      <w:tr w:rsidR="00972395" w:rsidRPr="00E73D4B" w14:paraId="67584665"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3A8DF8A6"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388C94D" w14:textId="77777777" w:rsidR="00972395" w:rsidRPr="00E73D4B" w:rsidRDefault="00F120C7" w:rsidP="004A107D">
            <w:pPr>
              <w:jc w:val="right"/>
            </w:pPr>
            <w:r w:rsidRPr="00E73D4B">
              <w:t>548</w:t>
            </w:r>
          </w:p>
        </w:tc>
        <w:tc>
          <w:tcPr>
            <w:tcW w:w="4819" w:type="dxa"/>
            <w:tcBorders>
              <w:top w:val="nil"/>
              <w:left w:val="nil"/>
              <w:bottom w:val="nil"/>
              <w:right w:val="nil"/>
            </w:tcBorders>
            <w:tcMar>
              <w:top w:w="128" w:type="dxa"/>
              <w:left w:w="43" w:type="dxa"/>
              <w:bottom w:w="43" w:type="dxa"/>
              <w:right w:w="43" w:type="dxa"/>
            </w:tcMar>
          </w:tcPr>
          <w:p w14:paraId="619F765F" w14:textId="77777777" w:rsidR="00972395" w:rsidRPr="00E73D4B" w:rsidRDefault="00F120C7" w:rsidP="004A107D">
            <w:r w:rsidRPr="00E73D4B">
              <w:t>Fjerne regulatoriske barrierer som hindrer lokal energiproduksjon, energilagring og omsetning av energi mellom bygg</w:t>
            </w:r>
          </w:p>
        </w:tc>
        <w:tc>
          <w:tcPr>
            <w:tcW w:w="1587" w:type="dxa"/>
            <w:tcBorders>
              <w:top w:val="nil"/>
              <w:left w:val="nil"/>
              <w:bottom w:val="nil"/>
              <w:right w:val="nil"/>
            </w:tcBorders>
            <w:tcMar>
              <w:top w:w="128" w:type="dxa"/>
              <w:left w:w="43" w:type="dxa"/>
              <w:bottom w:w="43" w:type="dxa"/>
              <w:right w:w="43" w:type="dxa"/>
            </w:tcMar>
            <w:vAlign w:val="bottom"/>
          </w:tcPr>
          <w:p w14:paraId="3D8D0DD4" w14:textId="77777777" w:rsidR="00972395" w:rsidRPr="00E73D4B" w:rsidRDefault="00F120C7" w:rsidP="004A107D">
            <w:pPr>
              <w:jc w:val="right"/>
            </w:pPr>
            <w:r w:rsidRPr="00E73D4B">
              <w:t>Nei</w:t>
            </w:r>
          </w:p>
        </w:tc>
      </w:tr>
      <w:tr w:rsidR="00972395" w:rsidRPr="00E73D4B" w14:paraId="5771398D"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40917C5D"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85CD64D" w14:textId="77777777" w:rsidR="00972395" w:rsidRPr="00E73D4B" w:rsidRDefault="00F120C7" w:rsidP="004A107D">
            <w:pPr>
              <w:jc w:val="right"/>
            </w:pPr>
            <w:r w:rsidRPr="00E73D4B">
              <w:t>700</w:t>
            </w:r>
          </w:p>
        </w:tc>
        <w:tc>
          <w:tcPr>
            <w:tcW w:w="4819" w:type="dxa"/>
            <w:tcBorders>
              <w:top w:val="nil"/>
              <w:left w:val="nil"/>
              <w:bottom w:val="nil"/>
              <w:right w:val="nil"/>
            </w:tcBorders>
            <w:tcMar>
              <w:top w:w="128" w:type="dxa"/>
              <w:left w:w="43" w:type="dxa"/>
              <w:bottom w:w="43" w:type="dxa"/>
              <w:right w:w="43" w:type="dxa"/>
            </w:tcMar>
          </w:tcPr>
          <w:p w14:paraId="0C960BA3" w14:textId="77777777" w:rsidR="00972395" w:rsidRPr="00E73D4B" w:rsidRDefault="00F120C7" w:rsidP="004A107D">
            <w:r w:rsidRPr="00E73D4B">
              <w:t>Havvind – petroleumsnæringen og elektrifisering av sokkelen</w:t>
            </w:r>
          </w:p>
        </w:tc>
        <w:tc>
          <w:tcPr>
            <w:tcW w:w="1587" w:type="dxa"/>
            <w:tcBorders>
              <w:top w:val="nil"/>
              <w:left w:val="nil"/>
              <w:bottom w:val="nil"/>
              <w:right w:val="nil"/>
            </w:tcBorders>
            <w:tcMar>
              <w:top w:w="128" w:type="dxa"/>
              <w:left w:w="43" w:type="dxa"/>
              <w:bottom w:w="43" w:type="dxa"/>
              <w:right w:w="43" w:type="dxa"/>
            </w:tcMar>
            <w:vAlign w:val="bottom"/>
          </w:tcPr>
          <w:p w14:paraId="73492083" w14:textId="77777777" w:rsidR="00972395" w:rsidRPr="00E73D4B" w:rsidRDefault="00F120C7" w:rsidP="004A107D">
            <w:pPr>
              <w:jc w:val="right"/>
            </w:pPr>
            <w:r w:rsidRPr="00E73D4B">
              <w:t>Ja</w:t>
            </w:r>
          </w:p>
        </w:tc>
      </w:tr>
      <w:tr w:rsidR="00972395" w:rsidRPr="00E73D4B" w14:paraId="2B31099A"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2DB9A8B8"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468A7428" w14:textId="77777777" w:rsidR="00972395" w:rsidRPr="00E73D4B" w:rsidRDefault="00F120C7" w:rsidP="004A107D">
            <w:pPr>
              <w:jc w:val="right"/>
            </w:pPr>
            <w:r w:rsidRPr="00E73D4B">
              <w:t>701</w:t>
            </w:r>
          </w:p>
        </w:tc>
        <w:tc>
          <w:tcPr>
            <w:tcW w:w="4819" w:type="dxa"/>
            <w:tcBorders>
              <w:top w:val="nil"/>
              <w:left w:val="nil"/>
              <w:bottom w:val="nil"/>
              <w:right w:val="nil"/>
            </w:tcBorders>
            <w:tcMar>
              <w:top w:w="128" w:type="dxa"/>
              <w:left w:w="43" w:type="dxa"/>
              <w:bottom w:w="43" w:type="dxa"/>
              <w:right w:w="43" w:type="dxa"/>
            </w:tcMar>
          </w:tcPr>
          <w:p w14:paraId="48971027" w14:textId="77777777" w:rsidR="00972395" w:rsidRPr="00E73D4B" w:rsidRDefault="00F120C7" w:rsidP="004A107D">
            <w:r w:rsidRPr="00E73D4B">
              <w:t>Kraft- og nettutbygging knyttet til store industrietableringer</w:t>
            </w:r>
          </w:p>
        </w:tc>
        <w:tc>
          <w:tcPr>
            <w:tcW w:w="1587" w:type="dxa"/>
            <w:tcBorders>
              <w:top w:val="nil"/>
              <w:left w:val="nil"/>
              <w:bottom w:val="nil"/>
              <w:right w:val="nil"/>
            </w:tcBorders>
            <w:tcMar>
              <w:top w:w="128" w:type="dxa"/>
              <w:left w:w="43" w:type="dxa"/>
              <w:bottom w:w="43" w:type="dxa"/>
              <w:right w:w="43" w:type="dxa"/>
            </w:tcMar>
            <w:vAlign w:val="bottom"/>
          </w:tcPr>
          <w:p w14:paraId="6653780A" w14:textId="77777777" w:rsidR="00972395" w:rsidRPr="00E73D4B" w:rsidRDefault="00F120C7" w:rsidP="004A107D">
            <w:pPr>
              <w:jc w:val="right"/>
            </w:pPr>
            <w:r w:rsidRPr="00E73D4B">
              <w:t>Nei</w:t>
            </w:r>
          </w:p>
        </w:tc>
      </w:tr>
      <w:tr w:rsidR="00972395" w:rsidRPr="00E73D4B" w14:paraId="34DE85E6"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134A16FD"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1C60AAAC" w14:textId="77777777" w:rsidR="00972395" w:rsidRPr="00E73D4B" w:rsidRDefault="00F120C7" w:rsidP="004A107D">
            <w:pPr>
              <w:jc w:val="right"/>
            </w:pPr>
            <w:r w:rsidRPr="00E73D4B">
              <w:t>702</w:t>
            </w:r>
          </w:p>
        </w:tc>
        <w:tc>
          <w:tcPr>
            <w:tcW w:w="4819" w:type="dxa"/>
            <w:tcBorders>
              <w:top w:val="nil"/>
              <w:left w:val="nil"/>
              <w:bottom w:val="nil"/>
              <w:right w:val="nil"/>
            </w:tcBorders>
            <w:tcMar>
              <w:top w:w="128" w:type="dxa"/>
              <w:left w:w="43" w:type="dxa"/>
              <w:bottom w:w="43" w:type="dxa"/>
              <w:right w:w="43" w:type="dxa"/>
            </w:tcMar>
          </w:tcPr>
          <w:p w14:paraId="43805C41" w14:textId="77777777" w:rsidR="00972395" w:rsidRPr="00E73D4B" w:rsidRDefault="00F120C7" w:rsidP="004A107D">
            <w:r w:rsidRPr="00E73D4B">
              <w:t>Regulering av energifeltet</w:t>
            </w:r>
          </w:p>
        </w:tc>
        <w:tc>
          <w:tcPr>
            <w:tcW w:w="1587" w:type="dxa"/>
            <w:tcBorders>
              <w:top w:val="nil"/>
              <w:left w:val="nil"/>
              <w:bottom w:val="nil"/>
              <w:right w:val="nil"/>
            </w:tcBorders>
            <w:tcMar>
              <w:top w:w="128" w:type="dxa"/>
              <w:left w:w="43" w:type="dxa"/>
              <w:bottom w:w="43" w:type="dxa"/>
              <w:right w:w="43" w:type="dxa"/>
            </w:tcMar>
            <w:vAlign w:val="bottom"/>
          </w:tcPr>
          <w:p w14:paraId="2E60064D" w14:textId="77777777" w:rsidR="00972395" w:rsidRPr="00E73D4B" w:rsidRDefault="00F120C7" w:rsidP="004A107D">
            <w:pPr>
              <w:jc w:val="right"/>
            </w:pPr>
            <w:r w:rsidRPr="00E73D4B">
              <w:t>Nei</w:t>
            </w:r>
          </w:p>
        </w:tc>
      </w:tr>
      <w:tr w:rsidR="00972395" w:rsidRPr="00E73D4B" w14:paraId="365A2472"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57C39ECC"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06AFD493" w14:textId="77777777" w:rsidR="00972395" w:rsidRPr="00E73D4B" w:rsidRDefault="00F120C7" w:rsidP="004A107D">
            <w:pPr>
              <w:jc w:val="right"/>
            </w:pPr>
            <w:r w:rsidRPr="00E73D4B">
              <w:t>703</w:t>
            </w:r>
          </w:p>
        </w:tc>
        <w:tc>
          <w:tcPr>
            <w:tcW w:w="4819" w:type="dxa"/>
            <w:tcBorders>
              <w:top w:val="nil"/>
              <w:left w:val="nil"/>
              <w:bottom w:val="nil"/>
              <w:right w:val="nil"/>
            </w:tcBorders>
            <w:tcMar>
              <w:top w:w="128" w:type="dxa"/>
              <w:left w:w="43" w:type="dxa"/>
              <w:bottom w:w="43" w:type="dxa"/>
              <w:right w:w="43" w:type="dxa"/>
            </w:tcMar>
          </w:tcPr>
          <w:p w14:paraId="227AC46D" w14:textId="77777777" w:rsidR="00972395" w:rsidRPr="00E73D4B" w:rsidRDefault="00F120C7" w:rsidP="004A107D">
            <w:r w:rsidRPr="00E73D4B">
              <w:t>Havvind – tildeling av areal</w:t>
            </w:r>
          </w:p>
        </w:tc>
        <w:tc>
          <w:tcPr>
            <w:tcW w:w="1587" w:type="dxa"/>
            <w:tcBorders>
              <w:top w:val="nil"/>
              <w:left w:val="nil"/>
              <w:bottom w:val="nil"/>
              <w:right w:val="nil"/>
            </w:tcBorders>
            <w:tcMar>
              <w:top w:w="128" w:type="dxa"/>
              <w:left w:w="43" w:type="dxa"/>
              <w:bottom w:w="43" w:type="dxa"/>
              <w:right w:w="43" w:type="dxa"/>
            </w:tcMar>
            <w:vAlign w:val="bottom"/>
          </w:tcPr>
          <w:p w14:paraId="5ACE45D7" w14:textId="77777777" w:rsidR="00972395" w:rsidRPr="00E73D4B" w:rsidRDefault="00F120C7" w:rsidP="004A107D">
            <w:pPr>
              <w:jc w:val="right"/>
            </w:pPr>
            <w:r w:rsidRPr="00E73D4B">
              <w:t>Ja</w:t>
            </w:r>
          </w:p>
        </w:tc>
      </w:tr>
      <w:tr w:rsidR="00972395" w:rsidRPr="00E73D4B" w14:paraId="3AF1412C"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3B34ED00"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874ECB1" w14:textId="77777777" w:rsidR="00972395" w:rsidRPr="00E73D4B" w:rsidRDefault="00F120C7" w:rsidP="004A107D">
            <w:pPr>
              <w:jc w:val="right"/>
            </w:pPr>
            <w:r w:rsidRPr="00E73D4B">
              <w:t>704</w:t>
            </w:r>
          </w:p>
        </w:tc>
        <w:tc>
          <w:tcPr>
            <w:tcW w:w="4819" w:type="dxa"/>
            <w:tcBorders>
              <w:top w:val="nil"/>
              <w:left w:val="nil"/>
              <w:bottom w:val="nil"/>
              <w:right w:val="nil"/>
            </w:tcBorders>
            <w:tcMar>
              <w:top w:w="128" w:type="dxa"/>
              <w:left w:w="43" w:type="dxa"/>
              <w:bottom w:w="43" w:type="dxa"/>
              <w:right w:w="43" w:type="dxa"/>
            </w:tcMar>
          </w:tcPr>
          <w:p w14:paraId="38A93E62" w14:textId="77777777" w:rsidR="00972395" w:rsidRPr="00E73D4B" w:rsidRDefault="00F120C7" w:rsidP="004A107D">
            <w:r w:rsidRPr="00E73D4B">
              <w:t>Havvind – utredning av støtteordninger og virkemidler, deriblant differansekontrakter</w:t>
            </w:r>
          </w:p>
        </w:tc>
        <w:tc>
          <w:tcPr>
            <w:tcW w:w="1587" w:type="dxa"/>
            <w:tcBorders>
              <w:top w:val="nil"/>
              <w:left w:val="nil"/>
              <w:bottom w:val="nil"/>
              <w:right w:val="nil"/>
            </w:tcBorders>
            <w:tcMar>
              <w:top w:w="128" w:type="dxa"/>
              <w:left w:w="43" w:type="dxa"/>
              <w:bottom w:w="43" w:type="dxa"/>
              <w:right w:w="43" w:type="dxa"/>
            </w:tcMar>
            <w:vAlign w:val="bottom"/>
          </w:tcPr>
          <w:p w14:paraId="4FCB07A6" w14:textId="77777777" w:rsidR="00972395" w:rsidRPr="00E73D4B" w:rsidRDefault="00F120C7" w:rsidP="004A107D">
            <w:pPr>
              <w:jc w:val="right"/>
            </w:pPr>
            <w:r w:rsidRPr="00E73D4B">
              <w:t>Nei</w:t>
            </w:r>
          </w:p>
        </w:tc>
      </w:tr>
      <w:tr w:rsidR="00972395" w:rsidRPr="00E73D4B" w14:paraId="047A4A39"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545E14F7"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38573BB8" w14:textId="77777777" w:rsidR="00972395" w:rsidRPr="00E73D4B" w:rsidRDefault="00F120C7" w:rsidP="004A107D">
            <w:pPr>
              <w:jc w:val="right"/>
            </w:pPr>
            <w:r w:rsidRPr="00E73D4B">
              <w:t>705</w:t>
            </w:r>
          </w:p>
        </w:tc>
        <w:tc>
          <w:tcPr>
            <w:tcW w:w="4819" w:type="dxa"/>
            <w:tcBorders>
              <w:top w:val="nil"/>
              <w:left w:val="nil"/>
              <w:bottom w:val="nil"/>
              <w:right w:val="nil"/>
            </w:tcBorders>
            <w:tcMar>
              <w:top w:w="128" w:type="dxa"/>
              <w:left w:w="43" w:type="dxa"/>
              <w:bottom w:w="43" w:type="dxa"/>
              <w:right w:w="43" w:type="dxa"/>
            </w:tcMar>
          </w:tcPr>
          <w:p w14:paraId="059AE294" w14:textId="77777777" w:rsidR="00972395" w:rsidRPr="00E73D4B" w:rsidRDefault="00F120C7" w:rsidP="004A107D">
            <w:r w:rsidRPr="00E73D4B">
              <w:t>Kraftpotensial fra mindre vindmøller på gårdsbruk</w:t>
            </w:r>
          </w:p>
        </w:tc>
        <w:tc>
          <w:tcPr>
            <w:tcW w:w="1587" w:type="dxa"/>
            <w:tcBorders>
              <w:top w:val="nil"/>
              <w:left w:val="nil"/>
              <w:bottom w:val="nil"/>
              <w:right w:val="nil"/>
            </w:tcBorders>
            <w:tcMar>
              <w:top w:w="128" w:type="dxa"/>
              <w:left w:w="43" w:type="dxa"/>
              <w:bottom w:w="43" w:type="dxa"/>
              <w:right w:w="43" w:type="dxa"/>
            </w:tcMar>
            <w:vAlign w:val="bottom"/>
          </w:tcPr>
          <w:p w14:paraId="21F30E5A" w14:textId="77777777" w:rsidR="00972395" w:rsidRPr="00E73D4B" w:rsidRDefault="00F120C7" w:rsidP="004A107D">
            <w:pPr>
              <w:jc w:val="right"/>
            </w:pPr>
            <w:r w:rsidRPr="00E73D4B">
              <w:t>Nei</w:t>
            </w:r>
          </w:p>
        </w:tc>
      </w:tr>
      <w:tr w:rsidR="00972395" w:rsidRPr="00E73D4B" w14:paraId="719158AF"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627E10AC"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19527785" w14:textId="77777777" w:rsidR="00972395" w:rsidRPr="00E73D4B" w:rsidRDefault="00F120C7" w:rsidP="004A107D">
            <w:pPr>
              <w:jc w:val="right"/>
            </w:pPr>
            <w:r w:rsidRPr="00E73D4B">
              <w:t>706</w:t>
            </w:r>
          </w:p>
        </w:tc>
        <w:tc>
          <w:tcPr>
            <w:tcW w:w="4819" w:type="dxa"/>
            <w:tcBorders>
              <w:top w:val="nil"/>
              <w:left w:val="nil"/>
              <w:bottom w:val="nil"/>
              <w:right w:val="nil"/>
            </w:tcBorders>
            <w:tcMar>
              <w:top w:w="128" w:type="dxa"/>
              <w:left w:w="43" w:type="dxa"/>
              <w:bottom w:w="43" w:type="dxa"/>
              <w:right w:w="43" w:type="dxa"/>
            </w:tcMar>
          </w:tcPr>
          <w:p w14:paraId="0BBFE56A" w14:textId="77777777" w:rsidR="00972395" w:rsidRPr="00E73D4B" w:rsidRDefault="00F120C7" w:rsidP="004A107D">
            <w:r w:rsidRPr="00E73D4B">
              <w:t>Havvind – evaluering mellom hver tildeling</w:t>
            </w:r>
          </w:p>
        </w:tc>
        <w:tc>
          <w:tcPr>
            <w:tcW w:w="1587" w:type="dxa"/>
            <w:tcBorders>
              <w:top w:val="nil"/>
              <w:left w:val="nil"/>
              <w:bottom w:val="nil"/>
              <w:right w:val="nil"/>
            </w:tcBorders>
            <w:tcMar>
              <w:top w:w="128" w:type="dxa"/>
              <w:left w:w="43" w:type="dxa"/>
              <w:bottom w:w="43" w:type="dxa"/>
              <w:right w:w="43" w:type="dxa"/>
            </w:tcMar>
            <w:vAlign w:val="bottom"/>
          </w:tcPr>
          <w:p w14:paraId="5BD0BA8B" w14:textId="77777777" w:rsidR="00972395" w:rsidRPr="00E73D4B" w:rsidRDefault="00F120C7" w:rsidP="004A107D">
            <w:pPr>
              <w:jc w:val="right"/>
            </w:pPr>
            <w:r w:rsidRPr="00E73D4B">
              <w:t>Ja</w:t>
            </w:r>
          </w:p>
        </w:tc>
      </w:tr>
      <w:tr w:rsidR="00972395" w:rsidRPr="00E73D4B" w14:paraId="17F0372F"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70042AE1"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6AEDFCEF" w14:textId="77777777" w:rsidR="00972395" w:rsidRPr="00E73D4B" w:rsidRDefault="00F120C7" w:rsidP="004A107D">
            <w:pPr>
              <w:jc w:val="right"/>
            </w:pPr>
            <w:r w:rsidRPr="00E73D4B">
              <w:t>707</w:t>
            </w:r>
          </w:p>
        </w:tc>
        <w:tc>
          <w:tcPr>
            <w:tcW w:w="4819" w:type="dxa"/>
            <w:tcBorders>
              <w:top w:val="nil"/>
              <w:left w:val="nil"/>
              <w:bottom w:val="nil"/>
              <w:right w:val="nil"/>
            </w:tcBorders>
            <w:tcMar>
              <w:top w:w="128" w:type="dxa"/>
              <w:left w:w="43" w:type="dxa"/>
              <w:bottom w:w="43" w:type="dxa"/>
              <w:right w:w="43" w:type="dxa"/>
            </w:tcMar>
          </w:tcPr>
          <w:p w14:paraId="470D5F20" w14:textId="77777777" w:rsidR="00972395" w:rsidRPr="00E73D4B" w:rsidRDefault="00F120C7" w:rsidP="004A107D">
            <w:r w:rsidRPr="00E73D4B">
              <w:t>Nettløsning til havs</w:t>
            </w:r>
          </w:p>
        </w:tc>
        <w:tc>
          <w:tcPr>
            <w:tcW w:w="1587" w:type="dxa"/>
            <w:tcBorders>
              <w:top w:val="nil"/>
              <w:left w:val="nil"/>
              <w:bottom w:val="nil"/>
              <w:right w:val="nil"/>
            </w:tcBorders>
            <w:tcMar>
              <w:top w:w="128" w:type="dxa"/>
              <w:left w:w="43" w:type="dxa"/>
              <w:bottom w:w="43" w:type="dxa"/>
              <w:right w:w="43" w:type="dxa"/>
            </w:tcMar>
            <w:vAlign w:val="bottom"/>
          </w:tcPr>
          <w:p w14:paraId="670723AB" w14:textId="77777777" w:rsidR="00972395" w:rsidRPr="00E73D4B" w:rsidRDefault="00F120C7" w:rsidP="004A107D">
            <w:pPr>
              <w:jc w:val="right"/>
            </w:pPr>
            <w:r w:rsidRPr="00E73D4B">
              <w:t>Ja</w:t>
            </w:r>
          </w:p>
        </w:tc>
      </w:tr>
      <w:tr w:rsidR="00972395" w:rsidRPr="00E73D4B" w14:paraId="2109A1FC"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7581B44D"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0BEEF0F3" w14:textId="77777777" w:rsidR="00972395" w:rsidRPr="00E73D4B" w:rsidRDefault="00F120C7" w:rsidP="004A107D">
            <w:pPr>
              <w:jc w:val="right"/>
            </w:pPr>
            <w:r w:rsidRPr="00E73D4B">
              <w:t>708</w:t>
            </w:r>
          </w:p>
        </w:tc>
        <w:tc>
          <w:tcPr>
            <w:tcW w:w="4819" w:type="dxa"/>
            <w:tcBorders>
              <w:top w:val="nil"/>
              <w:left w:val="nil"/>
              <w:bottom w:val="nil"/>
              <w:right w:val="nil"/>
            </w:tcBorders>
            <w:tcMar>
              <w:top w:w="128" w:type="dxa"/>
              <w:left w:w="43" w:type="dxa"/>
              <w:bottom w:w="43" w:type="dxa"/>
              <w:right w:w="43" w:type="dxa"/>
            </w:tcMar>
          </w:tcPr>
          <w:p w14:paraId="689E613B" w14:textId="77777777" w:rsidR="00972395" w:rsidRPr="00E73D4B" w:rsidRDefault="00F120C7" w:rsidP="004A107D">
            <w:r w:rsidRPr="00E73D4B">
              <w:t>Havvind – etablere egnet regime for risikoavlastning og statsstøtte, herunder differansekontrakter</w:t>
            </w:r>
          </w:p>
        </w:tc>
        <w:tc>
          <w:tcPr>
            <w:tcW w:w="1587" w:type="dxa"/>
            <w:tcBorders>
              <w:top w:val="nil"/>
              <w:left w:val="nil"/>
              <w:bottom w:val="nil"/>
              <w:right w:val="nil"/>
            </w:tcBorders>
            <w:tcMar>
              <w:top w:w="128" w:type="dxa"/>
              <w:left w:w="43" w:type="dxa"/>
              <w:bottom w:w="43" w:type="dxa"/>
              <w:right w:w="43" w:type="dxa"/>
            </w:tcMar>
            <w:vAlign w:val="bottom"/>
          </w:tcPr>
          <w:p w14:paraId="1F05152A" w14:textId="77777777" w:rsidR="00972395" w:rsidRPr="00E73D4B" w:rsidRDefault="00F120C7" w:rsidP="004A107D">
            <w:pPr>
              <w:jc w:val="right"/>
            </w:pPr>
            <w:r w:rsidRPr="00E73D4B">
              <w:t>Nei</w:t>
            </w:r>
          </w:p>
        </w:tc>
      </w:tr>
      <w:tr w:rsidR="00972395" w:rsidRPr="00E73D4B" w14:paraId="4E56BD3F"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0997FD18"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6D52C34" w14:textId="77777777" w:rsidR="00972395" w:rsidRPr="00E73D4B" w:rsidRDefault="00F120C7" w:rsidP="004A107D">
            <w:pPr>
              <w:jc w:val="right"/>
            </w:pPr>
            <w:r w:rsidRPr="00E73D4B">
              <w:t>710</w:t>
            </w:r>
          </w:p>
        </w:tc>
        <w:tc>
          <w:tcPr>
            <w:tcW w:w="4819" w:type="dxa"/>
            <w:tcBorders>
              <w:top w:val="nil"/>
              <w:left w:val="nil"/>
              <w:bottom w:val="nil"/>
              <w:right w:val="nil"/>
            </w:tcBorders>
            <w:tcMar>
              <w:top w:w="128" w:type="dxa"/>
              <w:left w:w="43" w:type="dxa"/>
              <w:bottom w:w="43" w:type="dxa"/>
              <w:right w:w="43" w:type="dxa"/>
            </w:tcMar>
          </w:tcPr>
          <w:p w14:paraId="5B0DA05B" w14:textId="77777777" w:rsidR="00972395" w:rsidRPr="00E73D4B" w:rsidRDefault="00F120C7" w:rsidP="004A107D">
            <w:r w:rsidRPr="00E73D4B">
              <w:t>Konsesjonsbehandling av småkraftverk</w:t>
            </w:r>
          </w:p>
        </w:tc>
        <w:tc>
          <w:tcPr>
            <w:tcW w:w="1587" w:type="dxa"/>
            <w:tcBorders>
              <w:top w:val="nil"/>
              <w:left w:val="nil"/>
              <w:bottom w:val="nil"/>
              <w:right w:val="nil"/>
            </w:tcBorders>
            <w:tcMar>
              <w:top w:w="128" w:type="dxa"/>
              <w:left w:w="43" w:type="dxa"/>
              <w:bottom w:w="43" w:type="dxa"/>
              <w:right w:w="43" w:type="dxa"/>
            </w:tcMar>
            <w:vAlign w:val="bottom"/>
          </w:tcPr>
          <w:p w14:paraId="34CD9841" w14:textId="77777777" w:rsidR="00972395" w:rsidRPr="00E73D4B" w:rsidRDefault="00F120C7" w:rsidP="004A107D">
            <w:pPr>
              <w:jc w:val="right"/>
            </w:pPr>
            <w:r w:rsidRPr="00E73D4B">
              <w:t>Ja</w:t>
            </w:r>
          </w:p>
        </w:tc>
      </w:tr>
      <w:tr w:rsidR="00972395" w:rsidRPr="00E73D4B" w14:paraId="3C668510"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70A6E63C"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4DDB8F85" w14:textId="77777777" w:rsidR="00972395" w:rsidRPr="00E73D4B" w:rsidRDefault="00F120C7" w:rsidP="004A107D">
            <w:pPr>
              <w:jc w:val="right"/>
            </w:pPr>
            <w:r w:rsidRPr="00E73D4B">
              <w:t>712</w:t>
            </w:r>
          </w:p>
        </w:tc>
        <w:tc>
          <w:tcPr>
            <w:tcW w:w="4819" w:type="dxa"/>
            <w:tcBorders>
              <w:top w:val="nil"/>
              <w:left w:val="nil"/>
              <w:bottom w:val="nil"/>
              <w:right w:val="nil"/>
            </w:tcBorders>
            <w:tcMar>
              <w:top w:w="128" w:type="dxa"/>
              <w:left w:w="43" w:type="dxa"/>
              <w:bottom w:w="43" w:type="dxa"/>
              <w:right w:w="43" w:type="dxa"/>
            </w:tcMar>
          </w:tcPr>
          <w:p w14:paraId="7B1DC7BD" w14:textId="77777777" w:rsidR="00972395" w:rsidRPr="00E73D4B" w:rsidRDefault="00F120C7" w:rsidP="004A107D">
            <w:r w:rsidRPr="00E73D4B">
              <w:t>Vindkraft – sikre tydelige lokale ringvirkninger</w:t>
            </w:r>
          </w:p>
        </w:tc>
        <w:tc>
          <w:tcPr>
            <w:tcW w:w="1587" w:type="dxa"/>
            <w:tcBorders>
              <w:top w:val="nil"/>
              <w:left w:val="nil"/>
              <w:bottom w:val="nil"/>
              <w:right w:val="nil"/>
            </w:tcBorders>
            <w:tcMar>
              <w:top w:w="128" w:type="dxa"/>
              <w:left w:w="43" w:type="dxa"/>
              <w:bottom w:w="43" w:type="dxa"/>
              <w:right w:w="43" w:type="dxa"/>
            </w:tcMar>
            <w:vAlign w:val="bottom"/>
          </w:tcPr>
          <w:p w14:paraId="4084A97A" w14:textId="77777777" w:rsidR="00972395" w:rsidRPr="00E73D4B" w:rsidRDefault="00F120C7" w:rsidP="004A107D">
            <w:pPr>
              <w:jc w:val="right"/>
            </w:pPr>
            <w:r w:rsidRPr="00E73D4B">
              <w:t>Ja</w:t>
            </w:r>
          </w:p>
        </w:tc>
      </w:tr>
      <w:tr w:rsidR="00972395" w:rsidRPr="00E73D4B" w14:paraId="6F37E094"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440B8530"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09015C21" w14:textId="77777777" w:rsidR="00972395" w:rsidRPr="00E73D4B" w:rsidRDefault="00F120C7" w:rsidP="004A107D">
            <w:pPr>
              <w:jc w:val="right"/>
            </w:pPr>
            <w:r w:rsidRPr="00E73D4B">
              <w:t>714</w:t>
            </w:r>
          </w:p>
        </w:tc>
        <w:tc>
          <w:tcPr>
            <w:tcW w:w="4819" w:type="dxa"/>
            <w:tcBorders>
              <w:top w:val="nil"/>
              <w:left w:val="nil"/>
              <w:bottom w:val="nil"/>
              <w:right w:val="nil"/>
            </w:tcBorders>
            <w:tcMar>
              <w:top w:w="128" w:type="dxa"/>
              <w:left w:w="43" w:type="dxa"/>
              <w:bottom w:w="43" w:type="dxa"/>
              <w:right w:w="43" w:type="dxa"/>
            </w:tcMar>
          </w:tcPr>
          <w:p w14:paraId="143821BA" w14:textId="77777777" w:rsidR="00972395" w:rsidRPr="00E73D4B" w:rsidRDefault="00F120C7" w:rsidP="004A107D">
            <w:r w:rsidRPr="00E73D4B">
              <w:t xml:space="preserve">Havvind – utlyse og tildele areal på Utsira Nord og Sørlige </w:t>
            </w:r>
            <w:proofErr w:type="spellStart"/>
            <w:r w:rsidRPr="00E73D4B">
              <w:t>Nordsjø</w:t>
            </w:r>
            <w:proofErr w:type="spellEnd"/>
            <w:r w:rsidRPr="00E73D4B">
              <w:t xml:space="preserve"> II</w:t>
            </w:r>
          </w:p>
        </w:tc>
        <w:tc>
          <w:tcPr>
            <w:tcW w:w="1587" w:type="dxa"/>
            <w:tcBorders>
              <w:top w:val="nil"/>
              <w:left w:val="nil"/>
              <w:bottom w:val="nil"/>
              <w:right w:val="nil"/>
            </w:tcBorders>
            <w:tcMar>
              <w:top w:w="128" w:type="dxa"/>
              <w:left w:w="43" w:type="dxa"/>
              <w:bottom w:w="43" w:type="dxa"/>
              <w:right w:w="43" w:type="dxa"/>
            </w:tcMar>
            <w:vAlign w:val="bottom"/>
          </w:tcPr>
          <w:p w14:paraId="487297D7" w14:textId="77777777" w:rsidR="00972395" w:rsidRPr="00E73D4B" w:rsidRDefault="00F120C7" w:rsidP="004A107D">
            <w:pPr>
              <w:jc w:val="right"/>
            </w:pPr>
            <w:r w:rsidRPr="00E73D4B">
              <w:t>Ja</w:t>
            </w:r>
          </w:p>
        </w:tc>
      </w:tr>
      <w:tr w:rsidR="00972395" w:rsidRPr="00E73D4B" w14:paraId="3E0339AF"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4DAF86ED"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61D800FF" w14:textId="77777777" w:rsidR="00972395" w:rsidRPr="00E73D4B" w:rsidRDefault="00F120C7" w:rsidP="004A107D">
            <w:pPr>
              <w:jc w:val="right"/>
            </w:pPr>
            <w:r w:rsidRPr="00E73D4B">
              <w:t>715</w:t>
            </w:r>
          </w:p>
        </w:tc>
        <w:tc>
          <w:tcPr>
            <w:tcW w:w="4819" w:type="dxa"/>
            <w:tcBorders>
              <w:top w:val="nil"/>
              <w:left w:val="nil"/>
              <w:bottom w:val="nil"/>
              <w:right w:val="nil"/>
            </w:tcBorders>
            <w:tcMar>
              <w:top w:w="128" w:type="dxa"/>
              <w:left w:w="43" w:type="dxa"/>
              <w:bottom w:w="43" w:type="dxa"/>
              <w:right w:w="43" w:type="dxa"/>
            </w:tcMar>
          </w:tcPr>
          <w:p w14:paraId="36AB1ABE" w14:textId="77777777" w:rsidR="00972395" w:rsidRPr="00E73D4B" w:rsidRDefault="00F120C7" w:rsidP="004A107D">
            <w:r w:rsidRPr="00E73D4B">
              <w:t>Havvind – mål om tildeling av areal tilsvarende 30 GW innen 2040</w:t>
            </w:r>
          </w:p>
        </w:tc>
        <w:tc>
          <w:tcPr>
            <w:tcW w:w="1587" w:type="dxa"/>
            <w:tcBorders>
              <w:top w:val="nil"/>
              <w:left w:val="nil"/>
              <w:bottom w:val="nil"/>
              <w:right w:val="nil"/>
            </w:tcBorders>
            <w:tcMar>
              <w:top w:w="128" w:type="dxa"/>
              <w:left w:w="43" w:type="dxa"/>
              <w:bottom w:w="43" w:type="dxa"/>
              <w:right w:w="43" w:type="dxa"/>
            </w:tcMar>
            <w:vAlign w:val="bottom"/>
          </w:tcPr>
          <w:p w14:paraId="5D2DB846" w14:textId="77777777" w:rsidR="00972395" w:rsidRPr="00E73D4B" w:rsidRDefault="00F120C7" w:rsidP="004A107D">
            <w:pPr>
              <w:jc w:val="right"/>
            </w:pPr>
            <w:r w:rsidRPr="00E73D4B">
              <w:t>Ja</w:t>
            </w:r>
          </w:p>
        </w:tc>
      </w:tr>
      <w:tr w:rsidR="00972395" w:rsidRPr="00E73D4B" w14:paraId="1271B7E2"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1CC8C9C4"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5DF119DA" w14:textId="77777777" w:rsidR="00972395" w:rsidRPr="00E73D4B" w:rsidRDefault="00F120C7" w:rsidP="004A107D">
            <w:pPr>
              <w:jc w:val="right"/>
            </w:pPr>
            <w:r w:rsidRPr="00E73D4B">
              <w:t>716</w:t>
            </w:r>
          </w:p>
        </w:tc>
        <w:tc>
          <w:tcPr>
            <w:tcW w:w="4819" w:type="dxa"/>
            <w:tcBorders>
              <w:top w:val="nil"/>
              <w:left w:val="nil"/>
              <w:bottom w:val="nil"/>
              <w:right w:val="nil"/>
            </w:tcBorders>
            <w:tcMar>
              <w:top w:w="128" w:type="dxa"/>
              <w:left w:w="43" w:type="dxa"/>
              <w:bottom w:w="43" w:type="dxa"/>
              <w:right w:w="43" w:type="dxa"/>
            </w:tcMar>
          </w:tcPr>
          <w:p w14:paraId="05799C23" w14:textId="77777777" w:rsidR="00972395" w:rsidRPr="00E73D4B" w:rsidRDefault="00F120C7" w:rsidP="004A107D">
            <w:r w:rsidRPr="00E73D4B">
              <w:t>Havvind – vurdere å fastsette delmål for arealtildeling innen 2030</w:t>
            </w:r>
          </w:p>
        </w:tc>
        <w:tc>
          <w:tcPr>
            <w:tcW w:w="1587" w:type="dxa"/>
            <w:tcBorders>
              <w:top w:val="nil"/>
              <w:left w:val="nil"/>
              <w:bottom w:val="nil"/>
              <w:right w:val="nil"/>
            </w:tcBorders>
            <w:tcMar>
              <w:top w:w="128" w:type="dxa"/>
              <w:left w:w="43" w:type="dxa"/>
              <w:bottom w:w="43" w:type="dxa"/>
              <w:right w:w="43" w:type="dxa"/>
            </w:tcMar>
            <w:vAlign w:val="bottom"/>
          </w:tcPr>
          <w:p w14:paraId="25679952" w14:textId="77777777" w:rsidR="00972395" w:rsidRPr="00E73D4B" w:rsidRDefault="00F120C7" w:rsidP="004A107D">
            <w:pPr>
              <w:jc w:val="right"/>
            </w:pPr>
            <w:r w:rsidRPr="00E73D4B">
              <w:t>Nei</w:t>
            </w:r>
          </w:p>
        </w:tc>
      </w:tr>
      <w:tr w:rsidR="00972395" w:rsidRPr="00E73D4B" w14:paraId="7EA980FD"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2FA80B74"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5CCC3D60" w14:textId="77777777" w:rsidR="00972395" w:rsidRPr="00E73D4B" w:rsidRDefault="00F120C7" w:rsidP="004A107D">
            <w:pPr>
              <w:jc w:val="right"/>
            </w:pPr>
            <w:r w:rsidRPr="00E73D4B">
              <w:t>717</w:t>
            </w:r>
          </w:p>
        </w:tc>
        <w:tc>
          <w:tcPr>
            <w:tcW w:w="4819" w:type="dxa"/>
            <w:tcBorders>
              <w:top w:val="nil"/>
              <w:left w:val="nil"/>
              <w:bottom w:val="nil"/>
              <w:right w:val="nil"/>
            </w:tcBorders>
            <w:tcMar>
              <w:top w:w="128" w:type="dxa"/>
              <w:left w:w="43" w:type="dxa"/>
              <w:bottom w:w="43" w:type="dxa"/>
              <w:right w:w="43" w:type="dxa"/>
            </w:tcMar>
          </w:tcPr>
          <w:p w14:paraId="225B7CB8" w14:textId="77777777" w:rsidR="00972395" w:rsidRPr="00E73D4B" w:rsidRDefault="00F120C7" w:rsidP="004A107D">
            <w:r w:rsidRPr="00E73D4B">
              <w:t>Havvind – oppdatering av veileder som har vært på høring</w:t>
            </w:r>
          </w:p>
        </w:tc>
        <w:tc>
          <w:tcPr>
            <w:tcW w:w="1587" w:type="dxa"/>
            <w:tcBorders>
              <w:top w:val="nil"/>
              <w:left w:val="nil"/>
              <w:bottom w:val="nil"/>
              <w:right w:val="nil"/>
            </w:tcBorders>
            <w:tcMar>
              <w:top w:w="128" w:type="dxa"/>
              <w:left w:w="43" w:type="dxa"/>
              <w:bottom w:w="43" w:type="dxa"/>
              <w:right w:w="43" w:type="dxa"/>
            </w:tcMar>
            <w:vAlign w:val="bottom"/>
          </w:tcPr>
          <w:p w14:paraId="2ACC6773" w14:textId="77777777" w:rsidR="00972395" w:rsidRPr="00E73D4B" w:rsidRDefault="00F120C7" w:rsidP="004A107D">
            <w:pPr>
              <w:jc w:val="right"/>
            </w:pPr>
            <w:r w:rsidRPr="00E73D4B">
              <w:t>Ja</w:t>
            </w:r>
          </w:p>
        </w:tc>
      </w:tr>
      <w:tr w:rsidR="00972395" w:rsidRPr="00E73D4B" w14:paraId="116BAE04"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47C65E6C"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0214076" w14:textId="77777777" w:rsidR="00972395" w:rsidRPr="00E73D4B" w:rsidRDefault="00F120C7" w:rsidP="004A107D">
            <w:pPr>
              <w:jc w:val="right"/>
            </w:pPr>
            <w:r w:rsidRPr="00E73D4B">
              <w:t>718</w:t>
            </w:r>
          </w:p>
        </w:tc>
        <w:tc>
          <w:tcPr>
            <w:tcW w:w="4819" w:type="dxa"/>
            <w:tcBorders>
              <w:top w:val="nil"/>
              <w:left w:val="nil"/>
              <w:bottom w:val="nil"/>
              <w:right w:val="nil"/>
            </w:tcBorders>
            <w:tcMar>
              <w:top w:w="128" w:type="dxa"/>
              <w:left w:w="43" w:type="dxa"/>
              <w:bottom w:w="43" w:type="dxa"/>
              <w:right w:w="43" w:type="dxa"/>
            </w:tcMar>
          </w:tcPr>
          <w:p w14:paraId="36B29F92" w14:textId="77777777" w:rsidR="00972395" w:rsidRPr="00E73D4B" w:rsidRDefault="00F120C7" w:rsidP="004A107D">
            <w:r w:rsidRPr="00E73D4B">
              <w:t xml:space="preserve">Havvind – fastsette tidspunkt for å delta på prekvalifisering på utlysningene knyttet til Utsira Nord og Sørlige </w:t>
            </w:r>
            <w:proofErr w:type="spellStart"/>
            <w:r w:rsidRPr="00E73D4B">
              <w:t>Nordsjø</w:t>
            </w:r>
            <w:proofErr w:type="spellEnd"/>
            <w:r w:rsidRPr="00E73D4B">
              <w:t xml:space="preserve"> II</w:t>
            </w:r>
          </w:p>
        </w:tc>
        <w:tc>
          <w:tcPr>
            <w:tcW w:w="1587" w:type="dxa"/>
            <w:tcBorders>
              <w:top w:val="nil"/>
              <w:left w:val="nil"/>
              <w:bottom w:val="nil"/>
              <w:right w:val="nil"/>
            </w:tcBorders>
            <w:tcMar>
              <w:top w:w="128" w:type="dxa"/>
              <w:left w:w="43" w:type="dxa"/>
              <w:bottom w:w="43" w:type="dxa"/>
              <w:right w:w="43" w:type="dxa"/>
            </w:tcMar>
            <w:vAlign w:val="bottom"/>
          </w:tcPr>
          <w:p w14:paraId="7DA0806C" w14:textId="77777777" w:rsidR="00972395" w:rsidRPr="00E73D4B" w:rsidRDefault="00F120C7" w:rsidP="004A107D">
            <w:pPr>
              <w:jc w:val="right"/>
            </w:pPr>
            <w:r w:rsidRPr="00E73D4B">
              <w:t>Ja</w:t>
            </w:r>
          </w:p>
        </w:tc>
      </w:tr>
      <w:tr w:rsidR="00972395" w:rsidRPr="00E73D4B" w14:paraId="3DF97C40"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6AFF8FD0"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693D1FE3" w14:textId="77777777" w:rsidR="00972395" w:rsidRPr="00E73D4B" w:rsidRDefault="00F120C7" w:rsidP="004A107D">
            <w:pPr>
              <w:jc w:val="right"/>
            </w:pPr>
            <w:r w:rsidRPr="00E73D4B">
              <w:t>720</w:t>
            </w:r>
          </w:p>
        </w:tc>
        <w:tc>
          <w:tcPr>
            <w:tcW w:w="4819" w:type="dxa"/>
            <w:tcBorders>
              <w:top w:val="nil"/>
              <w:left w:val="nil"/>
              <w:bottom w:val="nil"/>
              <w:right w:val="nil"/>
            </w:tcBorders>
            <w:tcMar>
              <w:top w:w="128" w:type="dxa"/>
              <w:left w:w="43" w:type="dxa"/>
              <w:bottom w:w="43" w:type="dxa"/>
              <w:right w:w="43" w:type="dxa"/>
            </w:tcMar>
          </w:tcPr>
          <w:p w14:paraId="68FD3515" w14:textId="77777777" w:rsidR="00972395" w:rsidRPr="00E73D4B" w:rsidRDefault="00F120C7" w:rsidP="004A107D">
            <w:r w:rsidRPr="00E73D4B">
              <w:t>Delelektrifisering av offshoreinstallasjoner gjennom mobile havturbiner</w:t>
            </w:r>
          </w:p>
        </w:tc>
        <w:tc>
          <w:tcPr>
            <w:tcW w:w="1587" w:type="dxa"/>
            <w:tcBorders>
              <w:top w:val="nil"/>
              <w:left w:val="nil"/>
              <w:bottom w:val="nil"/>
              <w:right w:val="nil"/>
            </w:tcBorders>
            <w:tcMar>
              <w:top w:w="128" w:type="dxa"/>
              <w:left w:w="43" w:type="dxa"/>
              <w:bottom w:w="43" w:type="dxa"/>
              <w:right w:w="43" w:type="dxa"/>
            </w:tcMar>
            <w:vAlign w:val="bottom"/>
          </w:tcPr>
          <w:p w14:paraId="54EA5CDD" w14:textId="77777777" w:rsidR="00972395" w:rsidRPr="00E73D4B" w:rsidRDefault="00F120C7" w:rsidP="004A107D">
            <w:pPr>
              <w:jc w:val="right"/>
            </w:pPr>
            <w:r w:rsidRPr="00E73D4B">
              <w:t>Ja</w:t>
            </w:r>
          </w:p>
        </w:tc>
      </w:tr>
      <w:tr w:rsidR="00972395" w:rsidRPr="00E73D4B" w14:paraId="21254E81"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272087A8"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600FACB" w14:textId="77777777" w:rsidR="00972395" w:rsidRPr="00E73D4B" w:rsidRDefault="00F120C7" w:rsidP="004A107D">
            <w:pPr>
              <w:jc w:val="right"/>
            </w:pPr>
            <w:r w:rsidRPr="00E73D4B">
              <w:t>721</w:t>
            </w:r>
          </w:p>
        </w:tc>
        <w:tc>
          <w:tcPr>
            <w:tcW w:w="4819" w:type="dxa"/>
            <w:tcBorders>
              <w:top w:val="nil"/>
              <w:left w:val="nil"/>
              <w:bottom w:val="nil"/>
              <w:right w:val="nil"/>
            </w:tcBorders>
            <w:tcMar>
              <w:top w:w="128" w:type="dxa"/>
              <w:left w:w="43" w:type="dxa"/>
              <w:bottom w:w="43" w:type="dxa"/>
              <w:right w:w="43" w:type="dxa"/>
            </w:tcMar>
          </w:tcPr>
          <w:p w14:paraId="0EA21185" w14:textId="77777777" w:rsidR="00972395" w:rsidRPr="00E73D4B" w:rsidRDefault="00F120C7" w:rsidP="004A107D">
            <w:r w:rsidRPr="00E73D4B">
              <w:t>Havvind – sikre god miljøkunnskap for alle deler av havmiljøet i aktuelle områder</w:t>
            </w:r>
          </w:p>
        </w:tc>
        <w:tc>
          <w:tcPr>
            <w:tcW w:w="1587" w:type="dxa"/>
            <w:tcBorders>
              <w:top w:val="nil"/>
              <w:left w:val="nil"/>
              <w:bottom w:val="nil"/>
              <w:right w:val="nil"/>
            </w:tcBorders>
            <w:tcMar>
              <w:top w:w="128" w:type="dxa"/>
              <w:left w:w="43" w:type="dxa"/>
              <w:bottom w:w="43" w:type="dxa"/>
              <w:right w:w="43" w:type="dxa"/>
            </w:tcMar>
            <w:vAlign w:val="bottom"/>
          </w:tcPr>
          <w:p w14:paraId="7A86D1A3" w14:textId="77777777" w:rsidR="00972395" w:rsidRPr="00E73D4B" w:rsidRDefault="00F120C7" w:rsidP="004A107D">
            <w:pPr>
              <w:jc w:val="right"/>
            </w:pPr>
            <w:r w:rsidRPr="00E73D4B">
              <w:t>Ja</w:t>
            </w:r>
          </w:p>
        </w:tc>
      </w:tr>
      <w:tr w:rsidR="00972395" w:rsidRPr="00E73D4B" w14:paraId="23908FD0"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2F41811B"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F02C544" w14:textId="77777777" w:rsidR="00972395" w:rsidRPr="00E73D4B" w:rsidRDefault="00F120C7" w:rsidP="004A107D">
            <w:pPr>
              <w:jc w:val="right"/>
            </w:pPr>
            <w:r w:rsidRPr="00E73D4B">
              <w:t>723</w:t>
            </w:r>
          </w:p>
        </w:tc>
        <w:tc>
          <w:tcPr>
            <w:tcW w:w="4819" w:type="dxa"/>
            <w:tcBorders>
              <w:top w:val="nil"/>
              <w:left w:val="nil"/>
              <w:bottom w:val="nil"/>
              <w:right w:val="nil"/>
            </w:tcBorders>
            <w:tcMar>
              <w:top w:w="128" w:type="dxa"/>
              <w:left w:w="43" w:type="dxa"/>
              <w:bottom w:w="43" w:type="dxa"/>
              <w:right w:w="43" w:type="dxa"/>
            </w:tcMar>
          </w:tcPr>
          <w:p w14:paraId="2856C774" w14:textId="77777777" w:rsidR="00972395" w:rsidRPr="00E73D4B" w:rsidRDefault="00F120C7" w:rsidP="004A107D">
            <w:r w:rsidRPr="00E73D4B">
              <w:t>Vindturbiner i industriområder mv. – justering av avstandskrav</w:t>
            </w:r>
          </w:p>
        </w:tc>
        <w:tc>
          <w:tcPr>
            <w:tcW w:w="1587" w:type="dxa"/>
            <w:tcBorders>
              <w:top w:val="nil"/>
              <w:left w:val="nil"/>
              <w:bottom w:val="nil"/>
              <w:right w:val="nil"/>
            </w:tcBorders>
            <w:tcMar>
              <w:top w:w="128" w:type="dxa"/>
              <w:left w:w="43" w:type="dxa"/>
              <w:bottom w:w="43" w:type="dxa"/>
              <w:right w:w="43" w:type="dxa"/>
            </w:tcMar>
            <w:vAlign w:val="bottom"/>
          </w:tcPr>
          <w:p w14:paraId="242E6976" w14:textId="77777777" w:rsidR="00972395" w:rsidRPr="00E73D4B" w:rsidRDefault="00F120C7" w:rsidP="004A107D">
            <w:pPr>
              <w:jc w:val="right"/>
            </w:pPr>
            <w:r w:rsidRPr="00E73D4B">
              <w:t>Ja</w:t>
            </w:r>
          </w:p>
        </w:tc>
      </w:tr>
      <w:tr w:rsidR="00972395" w:rsidRPr="00E73D4B" w14:paraId="150E3DAF"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7BE9DE06"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55F7869D" w14:textId="77777777" w:rsidR="00972395" w:rsidRPr="00E73D4B" w:rsidRDefault="00F120C7" w:rsidP="004A107D">
            <w:pPr>
              <w:jc w:val="right"/>
            </w:pPr>
            <w:r w:rsidRPr="00E73D4B">
              <w:t>724</w:t>
            </w:r>
          </w:p>
        </w:tc>
        <w:tc>
          <w:tcPr>
            <w:tcW w:w="4819" w:type="dxa"/>
            <w:tcBorders>
              <w:top w:val="nil"/>
              <w:left w:val="nil"/>
              <w:bottom w:val="nil"/>
              <w:right w:val="nil"/>
            </w:tcBorders>
            <w:tcMar>
              <w:top w:w="128" w:type="dxa"/>
              <w:left w:w="43" w:type="dxa"/>
              <w:bottom w:w="43" w:type="dxa"/>
              <w:right w:w="43" w:type="dxa"/>
            </w:tcMar>
          </w:tcPr>
          <w:p w14:paraId="13F40762" w14:textId="77777777" w:rsidR="00972395" w:rsidRPr="00E73D4B" w:rsidRDefault="00F120C7" w:rsidP="004A107D">
            <w:r w:rsidRPr="00E73D4B">
              <w:t>Vurdere potensialet for småskala vindkraft-produksjon</w:t>
            </w:r>
          </w:p>
        </w:tc>
        <w:tc>
          <w:tcPr>
            <w:tcW w:w="1587" w:type="dxa"/>
            <w:tcBorders>
              <w:top w:val="nil"/>
              <w:left w:val="nil"/>
              <w:bottom w:val="nil"/>
              <w:right w:val="nil"/>
            </w:tcBorders>
            <w:tcMar>
              <w:top w:w="128" w:type="dxa"/>
              <w:left w:w="43" w:type="dxa"/>
              <w:bottom w:w="43" w:type="dxa"/>
              <w:right w:w="43" w:type="dxa"/>
            </w:tcMar>
            <w:vAlign w:val="bottom"/>
          </w:tcPr>
          <w:p w14:paraId="13CC05FC" w14:textId="77777777" w:rsidR="00972395" w:rsidRPr="00E73D4B" w:rsidRDefault="00F120C7" w:rsidP="004A107D">
            <w:pPr>
              <w:jc w:val="right"/>
            </w:pPr>
            <w:r w:rsidRPr="00E73D4B">
              <w:t>Nei</w:t>
            </w:r>
          </w:p>
        </w:tc>
      </w:tr>
      <w:tr w:rsidR="00972395" w:rsidRPr="00E73D4B" w14:paraId="4B6CF978"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5E6131B2"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51BC72AC" w14:textId="77777777" w:rsidR="00972395" w:rsidRPr="00E73D4B" w:rsidRDefault="00F120C7" w:rsidP="004A107D">
            <w:pPr>
              <w:jc w:val="right"/>
            </w:pPr>
            <w:r w:rsidRPr="00E73D4B">
              <w:t>727</w:t>
            </w:r>
          </w:p>
        </w:tc>
        <w:tc>
          <w:tcPr>
            <w:tcW w:w="4819" w:type="dxa"/>
            <w:tcBorders>
              <w:top w:val="nil"/>
              <w:left w:val="nil"/>
              <w:bottom w:val="nil"/>
              <w:right w:val="nil"/>
            </w:tcBorders>
            <w:tcMar>
              <w:top w:w="128" w:type="dxa"/>
              <w:left w:w="43" w:type="dxa"/>
              <w:bottom w:w="43" w:type="dxa"/>
              <w:right w:w="43" w:type="dxa"/>
            </w:tcMar>
          </w:tcPr>
          <w:p w14:paraId="458817BC" w14:textId="77777777" w:rsidR="00972395" w:rsidRPr="00E73D4B" w:rsidRDefault="00F120C7" w:rsidP="004A107D">
            <w:r w:rsidRPr="00E73D4B">
              <w:t>Mål om økt energisparing – utrede ulike ordninger med energisparesertifikater</w:t>
            </w:r>
          </w:p>
        </w:tc>
        <w:tc>
          <w:tcPr>
            <w:tcW w:w="1587" w:type="dxa"/>
            <w:tcBorders>
              <w:top w:val="nil"/>
              <w:left w:val="nil"/>
              <w:bottom w:val="nil"/>
              <w:right w:val="nil"/>
            </w:tcBorders>
            <w:tcMar>
              <w:top w:w="128" w:type="dxa"/>
              <w:left w:w="43" w:type="dxa"/>
              <w:bottom w:w="43" w:type="dxa"/>
              <w:right w:w="43" w:type="dxa"/>
            </w:tcMar>
            <w:vAlign w:val="bottom"/>
          </w:tcPr>
          <w:p w14:paraId="11036CAE" w14:textId="77777777" w:rsidR="00972395" w:rsidRPr="00E73D4B" w:rsidRDefault="00F120C7" w:rsidP="004A107D">
            <w:pPr>
              <w:jc w:val="right"/>
            </w:pPr>
            <w:r w:rsidRPr="00E73D4B">
              <w:t>Nei</w:t>
            </w:r>
          </w:p>
        </w:tc>
      </w:tr>
      <w:tr w:rsidR="00972395" w:rsidRPr="00E73D4B" w14:paraId="79C16C51"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2EAB5B85"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EE2B882" w14:textId="77777777" w:rsidR="00972395" w:rsidRPr="00E73D4B" w:rsidRDefault="00F120C7" w:rsidP="004A107D">
            <w:pPr>
              <w:jc w:val="right"/>
            </w:pPr>
            <w:r w:rsidRPr="00E73D4B">
              <w:t>729</w:t>
            </w:r>
          </w:p>
        </w:tc>
        <w:tc>
          <w:tcPr>
            <w:tcW w:w="4819" w:type="dxa"/>
            <w:tcBorders>
              <w:top w:val="nil"/>
              <w:left w:val="nil"/>
              <w:bottom w:val="nil"/>
              <w:right w:val="nil"/>
            </w:tcBorders>
            <w:tcMar>
              <w:top w:w="128" w:type="dxa"/>
              <w:left w:w="43" w:type="dxa"/>
              <w:bottom w:w="43" w:type="dxa"/>
              <w:right w:w="43" w:type="dxa"/>
            </w:tcMar>
          </w:tcPr>
          <w:p w14:paraId="5ACD4019" w14:textId="77777777" w:rsidR="00972395" w:rsidRPr="00E73D4B" w:rsidRDefault="00F120C7" w:rsidP="004A107D">
            <w:r w:rsidRPr="00E73D4B">
              <w:t>Videreføre satsingen på forskingssentret for miljøvennlig energi innen CO</w:t>
            </w:r>
            <w:r w:rsidRPr="00E73D4B">
              <w:rPr>
                <w:rStyle w:val="skrift-senket"/>
              </w:rPr>
              <w:t>2</w:t>
            </w:r>
            <w:r w:rsidRPr="00E73D4B">
              <w:t>-håndtering</w:t>
            </w:r>
          </w:p>
        </w:tc>
        <w:tc>
          <w:tcPr>
            <w:tcW w:w="1587" w:type="dxa"/>
            <w:tcBorders>
              <w:top w:val="nil"/>
              <w:left w:val="nil"/>
              <w:bottom w:val="nil"/>
              <w:right w:val="nil"/>
            </w:tcBorders>
            <w:tcMar>
              <w:top w:w="128" w:type="dxa"/>
              <w:left w:w="43" w:type="dxa"/>
              <w:bottom w:w="43" w:type="dxa"/>
              <w:right w:w="43" w:type="dxa"/>
            </w:tcMar>
            <w:vAlign w:val="bottom"/>
          </w:tcPr>
          <w:p w14:paraId="0F20D614" w14:textId="77777777" w:rsidR="00972395" w:rsidRPr="00E73D4B" w:rsidRDefault="00F120C7" w:rsidP="004A107D">
            <w:pPr>
              <w:jc w:val="right"/>
            </w:pPr>
            <w:r w:rsidRPr="00E73D4B">
              <w:t>Ja</w:t>
            </w:r>
          </w:p>
        </w:tc>
      </w:tr>
      <w:tr w:rsidR="00972395" w:rsidRPr="00E73D4B" w14:paraId="571BC1A0"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0C656254"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879F095" w14:textId="77777777" w:rsidR="00972395" w:rsidRPr="00E73D4B" w:rsidRDefault="00F120C7" w:rsidP="004A107D">
            <w:pPr>
              <w:jc w:val="right"/>
            </w:pPr>
            <w:r w:rsidRPr="00E73D4B">
              <w:t>730</w:t>
            </w:r>
          </w:p>
        </w:tc>
        <w:tc>
          <w:tcPr>
            <w:tcW w:w="4819" w:type="dxa"/>
            <w:tcBorders>
              <w:top w:val="nil"/>
              <w:left w:val="nil"/>
              <w:bottom w:val="nil"/>
              <w:right w:val="nil"/>
            </w:tcBorders>
            <w:tcMar>
              <w:top w:w="128" w:type="dxa"/>
              <w:left w:w="43" w:type="dxa"/>
              <w:bottom w:w="43" w:type="dxa"/>
              <w:right w:w="43" w:type="dxa"/>
            </w:tcMar>
          </w:tcPr>
          <w:p w14:paraId="690F4337" w14:textId="77777777" w:rsidR="00972395" w:rsidRPr="00E73D4B" w:rsidRDefault="00F120C7" w:rsidP="004A107D">
            <w:r w:rsidRPr="00E73D4B">
              <w:t>Utnytte den reelle kapasiteten i strømnettene</w:t>
            </w:r>
          </w:p>
        </w:tc>
        <w:tc>
          <w:tcPr>
            <w:tcW w:w="1587" w:type="dxa"/>
            <w:tcBorders>
              <w:top w:val="nil"/>
              <w:left w:val="nil"/>
              <w:bottom w:val="nil"/>
              <w:right w:val="nil"/>
            </w:tcBorders>
            <w:tcMar>
              <w:top w:w="128" w:type="dxa"/>
              <w:left w:w="43" w:type="dxa"/>
              <w:bottom w:w="43" w:type="dxa"/>
              <w:right w:w="43" w:type="dxa"/>
            </w:tcMar>
            <w:vAlign w:val="bottom"/>
          </w:tcPr>
          <w:p w14:paraId="099292F0" w14:textId="77777777" w:rsidR="00972395" w:rsidRPr="00E73D4B" w:rsidRDefault="00F120C7" w:rsidP="004A107D">
            <w:pPr>
              <w:jc w:val="right"/>
            </w:pPr>
            <w:r w:rsidRPr="00E73D4B">
              <w:t>Ja</w:t>
            </w:r>
          </w:p>
        </w:tc>
      </w:tr>
      <w:tr w:rsidR="00972395" w:rsidRPr="00E73D4B" w14:paraId="3D564534"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5EDFF90E"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5162776F" w14:textId="77777777" w:rsidR="00972395" w:rsidRPr="00E73D4B" w:rsidRDefault="00F120C7" w:rsidP="004A107D">
            <w:pPr>
              <w:jc w:val="right"/>
            </w:pPr>
            <w:r w:rsidRPr="00E73D4B">
              <w:t>731</w:t>
            </w:r>
          </w:p>
        </w:tc>
        <w:tc>
          <w:tcPr>
            <w:tcW w:w="4819" w:type="dxa"/>
            <w:tcBorders>
              <w:top w:val="nil"/>
              <w:left w:val="nil"/>
              <w:bottom w:val="nil"/>
              <w:right w:val="nil"/>
            </w:tcBorders>
            <w:tcMar>
              <w:top w:w="128" w:type="dxa"/>
              <w:left w:w="43" w:type="dxa"/>
              <w:bottom w:w="43" w:type="dxa"/>
              <w:right w:w="43" w:type="dxa"/>
            </w:tcMar>
          </w:tcPr>
          <w:p w14:paraId="498CC600" w14:textId="77777777" w:rsidR="00972395" w:rsidRPr="00E73D4B" w:rsidRDefault="00F120C7" w:rsidP="004A107D">
            <w:r w:rsidRPr="00E73D4B">
              <w:t>Prioritere hvem som får tilknytning til og uttak fra nettet av større nye forbrukere</w:t>
            </w:r>
          </w:p>
        </w:tc>
        <w:tc>
          <w:tcPr>
            <w:tcW w:w="1587" w:type="dxa"/>
            <w:tcBorders>
              <w:top w:val="nil"/>
              <w:left w:val="nil"/>
              <w:bottom w:val="nil"/>
              <w:right w:val="nil"/>
            </w:tcBorders>
            <w:tcMar>
              <w:top w:w="128" w:type="dxa"/>
              <w:left w:w="43" w:type="dxa"/>
              <w:bottom w:w="43" w:type="dxa"/>
              <w:right w:w="43" w:type="dxa"/>
            </w:tcMar>
            <w:vAlign w:val="bottom"/>
          </w:tcPr>
          <w:p w14:paraId="3894BE53" w14:textId="77777777" w:rsidR="00972395" w:rsidRPr="00E73D4B" w:rsidRDefault="00F120C7" w:rsidP="004A107D">
            <w:pPr>
              <w:jc w:val="right"/>
            </w:pPr>
            <w:r w:rsidRPr="00E73D4B">
              <w:t>Nei</w:t>
            </w:r>
          </w:p>
        </w:tc>
      </w:tr>
      <w:tr w:rsidR="00972395" w:rsidRPr="00E73D4B" w14:paraId="2C20E8B4"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31A9A792"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548E510C" w14:textId="77777777" w:rsidR="00972395" w:rsidRPr="00E73D4B" w:rsidRDefault="00F120C7" w:rsidP="004A107D">
            <w:pPr>
              <w:jc w:val="right"/>
            </w:pPr>
            <w:r w:rsidRPr="00E73D4B">
              <w:t>736</w:t>
            </w:r>
          </w:p>
        </w:tc>
        <w:tc>
          <w:tcPr>
            <w:tcW w:w="4819" w:type="dxa"/>
            <w:tcBorders>
              <w:top w:val="nil"/>
              <w:left w:val="nil"/>
              <w:bottom w:val="nil"/>
              <w:right w:val="nil"/>
            </w:tcBorders>
            <w:tcMar>
              <w:top w:w="128" w:type="dxa"/>
              <w:left w:w="43" w:type="dxa"/>
              <w:bottom w:w="43" w:type="dxa"/>
              <w:right w:w="43" w:type="dxa"/>
            </w:tcMar>
          </w:tcPr>
          <w:p w14:paraId="72C81E5C" w14:textId="77777777" w:rsidR="00972395" w:rsidRPr="00E73D4B" w:rsidRDefault="00F120C7" w:rsidP="004A107D">
            <w:r w:rsidRPr="00E73D4B">
              <w:t>Havvindparker og annen fornybar energiproduksjon på norsk sokkel – sikre betydelig industriutvikling og arbeidsplasser i Norge</w:t>
            </w:r>
          </w:p>
        </w:tc>
        <w:tc>
          <w:tcPr>
            <w:tcW w:w="1587" w:type="dxa"/>
            <w:tcBorders>
              <w:top w:val="nil"/>
              <w:left w:val="nil"/>
              <w:bottom w:val="nil"/>
              <w:right w:val="nil"/>
            </w:tcBorders>
            <w:tcMar>
              <w:top w:w="128" w:type="dxa"/>
              <w:left w:w="43" w:type="dxa"/>
              <w:bottom w:w="43" w:type="dxa"/>
              <w:right w:w="43" w:type="dxa"/>
            </w:tcMar>
            <w:vAlign w:val="bottom"/>
          </w:tcPr>
          <w:p w14:paraId="0241A9EF" w14:textId="77777777" w:rsidR="00972395" w:rsidRPr="00E73D4B" w:rsidRDefault="00F120C7" w:rsidP="004A107D">
            <w:pPr>
              <w:jc w:val="right"/>
            </w:pPr>
            <w:r w:rsidRPr="00E73D4B">
              <w:t>Ja</w:t>
            </w:r>
          </w:p>
        </w:tc>
      </w:tr>
      <w:tr w:rsidR="00972395" w:rsidRPr="00E73D4B" w14:paraId="33D0944A"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058C01AF"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67295B35" w14:textId="77777777" w:rsidR="00972395" w:rsidRPr="00E73D4B" w:rsidRDefault="00F120C7" w:rsidP="004A107D">
            <w:pPr>
              <w:jc w:val="right"/>
            </w:pPr>
            <w:r w:rsidRPr="00E73D4B">
              <w:t>737</w:t>
            </w:r>
          </w:p>
        </w:tc>
        <w:tc>
          <w:tcPr>
            <w:tcW w:w="4819" w:type="dxa"/>
            <w:tcBorders>
              <w:top w:val="nil"/>
              <w:left w:val="nil"/>
              <w:bottom w:val="nil"/>
              <w:right w:val="nil"/>
            </w:tcBorders>
            <w:tcMar>
              <w:top w:w="128" w:type="dxa"/>
              <w:left w:w="43" w:type="dxa"/>
              <w:bottom w:w="43" w:type="dxa"/>
              <w:right w:w="43" w:type="dxa"/>
            </w:tcMar>
          </w:tcPr>
          <w:p w14:paraId="389CE8C8" w14:textId="77777777" w:rsidR="00972395" w:rsidRPr="00E73D4B" w:rsidRDefault="00F120C7" w:rsidP="004A107D">
            <w:r w:rsidRPr="00E73D4B">
              <w:t>Havvindparker og annen fornybar energiproduksjon på norsk sokkel – sikre vesentlig bedre natur- og miljøregnskap enn tidligere</w:t>
            </w:r>
          </w:p>
        </w:tc>
        <w:tc>
          <w:tcPr>
            <w:tcW w:w="1587" w:type="dxa"/>
            <w:tcBorders>
              <w:top w:val="nil"/>
              <w:left w:val="nil"/>
              <w:bottom w:val="nil"/>
              <w:right w:val="nil"/>
            </w:tcBorders>
            <w:tcMar>
              <w:top w:w="128" w:type="dxa"/>
              <w:left w:w="43" w:type="dxa"/>
              <w:bottom w:w="43" w:type="dxa"/>
              <w:right w:w="43" w:type="dxa"/>
            </w:tcMar>
            <w:vAlign w:val="bottom"/>
          </w:tcPr>
          <w:p w14:paraId="769B030A" w14:textId="77777777" w:rsidR="00972395" w:rsidRPr="00E73D4B" w:rsidRDefault="00F120C7" w:rsidP="004A107D">
            <w:pPr>
              <w:jc w:val="right"/>
            </w:pPr>
            <w:r w:rsidRPr="00E73D4B">
              <w:t>Ja</w:t>
            </w:r>
          </w:p>
        </w:tc>
      </w:tr>
      <w:tr w:rsidR="00972395" w:rsidRPr="00E73D4B" w14:paraId="48BCB5AC"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63D5A5E2"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1649C87D" w14:textId="77777777" w:rsidR="00972395" w:rsidRPr="00E73D4B" w:rsidRDefault="00F120C7" w:rsidP="004A107D">
            <w:pPr>
              <w:jc w:val="right"/>
            </w:pPr>
            <w:r w:rsidRPr="00E73D4B">
              <w:t>738</w:t>
            </w:r>
          </w:p>
        </w:tc>
        <w:tc>
          <w:tcPr>
            <w:tcW w:w="4819" w:type="dxa"/>
            <w:tcBorders>
              <w:top w:val="nil"/>
              <w:left w:val="nil"/>
              <w:bottom w:val="nil"/>
              <w:right w:val="nil"/>
            </w:tcBorders>
            <w:tcMar>
              <w:top w:w="128" w:type="dxa"/>
              <w:left w:w="43" w:type="dxa"/>
              <w:bottom w:w="43" w:type="dxa"/>
              <w:right w:w="43" w:type="dxa"/>
            </w:tcMar>
          </w:tcPr>
          <w:p w14:paraId="279D20C7" w14:textId="77777777" w:rsidR="00972395" w:rsidRPr="00E73D4B" w:rsidRDefault="00F120C7" w:rsidP="004A107D">
            <w:r w:rsidRPr="00E73D4B">
              <w:t>Styrke bevilgningen til forskning på miljøkonsekvensene av havvindutbygging på norsk sokkel</w:t>
            </w:r>
          </w:p>
        </w:tc>
        <w:tc>
          <w:tcPr>
            <w:tcW w:w="1587" w:type="dxa"/>
            <w:tcBorders>
              <w:top w:val="nil"/>
              <w:left w:val="nil"/>
              <w:bottom w:val="nil"/>
              <w:right w:val="nil"/>
            </w:tcBorders>
            <w:tcMar>
              <w:top w:w="128" w:type="dxa"/>
              <w:left w:w="43" w:type="dxa"/>
              <w:bottom w:w="43" w:type="dxa"/>
              <w:right w:w="43" w:type="dxa"/>
            </w:tcMar>
            <w:vAlign w:val="bottom"/>
          </w:tcPr>
          <w:p w14:paraId="51FF4311" w14:textId="77777777" w:rsidR="00972395" w:rsidRPr="00E73D4B" w:rsidRDefault="00F120C7" w:rsidP="004A107D">
            <w:pPr>
              <w:jc w:val="right"/>
            </w:pPr>
            <w:r w:rsidRPr="00E73D4B">
              <w:t>Ja</w:t>
            </w:r>
          </w:p>
        </w:tc>
      </w:tr>
      <w:tr w:rsidR="00972395" w:rsidRPr="00E73D4B" w14:paraId="147844F4"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0A9260CD"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C985FBB" w14:textId="77777777" w:rsidR="00972395" w:rsidRPr="00E73D4B" w:rsidRDefault="00F120C7" w:rsidP="004A107D">
            <w:pPr>
              <w:jc w:val="right"/>
            </w:pPr>
            <w:r w:rsidRPr="00E73D4B">
              <w:t>739</w:t>
            </w:r>
          </w:p>
        </w:tc>
        <w:tc>
          <w:tcPr>
            <w:tcW w:w="4819" w:type="dxa"/>
            <w:tcBorders>
              <w:top w:val="nil"/>
              <w:left w:val="nil"/>
              <w:bottom w:val="nil"/>
              <w:right w:val="nil"/>
            </w:tcBorders>
            <w:tcMar>
              <w:top w:w="128" w:type="dxa"/>
              <w:left w:w="43" w:type="dxa"/>
              <w:bottom w:w="43" w:type="dxa"/>
              <w:right w:w="43" w:type="dxa"/>
            </w:tcMar>
          </w:tcPr>
          <w:p w14:paraId="6C9D58CE" w14:textId="77777777" w:rsidR="00972395" w:rsidRPr="00E73D4B" w:rsidRDefault="00F120C7" w:rsidP="004A107D">
            <w:r w:rsidRPr="00E73D4B">
              <w:t>Utredninger av miljøkonsekvenser fra havvindutbygging</w:t>
            </w:r>
          </w:p>
        </w:tc>
        <w:tc>
          <w:tcPr>
            <w:tcW w:w="1587" w:type="dxa"/>
            <w:tcBorders>
              <w:top w:val="nil"/>
              <w:left w:val="nil"/>
              <w:bottom w:val="nil"/>
              <w:right w:val="nil"/>
            </w:tcBorders>
            <w:tcMar>
              <w:top w:w="128" w:type="dxa"/>
              <w:left w:w="43" w:type="dxa"/>
              <w:bottom w:w="43" w:type="dxa"/>
              <w:right w:w="43" w:type="dxa"/>
            </w:tcMar>
            <w:vAlign w:val="bottom"/>
          </w:tcPr>
          <w:p w14:paraId="6B64C8CD" w14:textId="77777777" w:rsidR="00972395" w:rsidRPr="00E73D4B" w:rsidRDefault="00F120C7" w:rsidP="004A107D">
            <w:pPr>
              <w:jc w:val="right"/>
            </w:pPr>
            <w:r w:rsidRPr="00E73D4B">
              <w:t>Ja</w:t>
            </w:r>
          </w:p>
        </w:tc>
      </w:tr>
      <w:tr w:rsidR="00972395" w:rsidRPr="00E73D4B" w14:paraId="3D36A527"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64FA0E71"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68090207" w14:textId="77777777" w:rsidR="00972395" w:rsidRPr="00E73D4B" w:rsidRDefault="00F120C7" w:rsidP="004A107D">
            <w:pPr>
              <w:jc w:val="right"/>
            </w:pPr>
            <w:r w:rsidRPr="00E73D4B">
              <w:t>740</w:t>
            </w:r>
          </w:p>
        </w:tc>
        <w:tc>
          <w:tcPr>
            <w:tcW w:w="4819" w:type="dxa"/>
            <w:tcBorders>
              <w:top w:val="nil"/>
              <w:left w:val="nil"/>
              <w:bottom w:val="nil"/>
              <w:right w:val="nil"/>
            </w:tcBorders>
            <w:tcMar>
              <w:top w:w="128" w:type="dxa"/>
              <w:left w:w="43" w:type="dxa"/>
              <w:bottom w:w="43" w:type="dxa"/>
              <w:right w:w="43" w:type="dxa"/>
            </w:tcMar>
          </w:tcPr>
          <w:p w14:paraId="3C9FC5D9" w14:textId="77777777" w:rsidR="00972395" w:rsidRPr="00E73D4B" w:rsidRDefault="00F120C7" w:rsidP="004A107D">
            <w:r w:rsidRPr="00E73D4B">
              <w:t>Havvind – forvaltningsplanen for norske havområder</w:t>
            </w:r>
          </w:p>
        </w:tc>
        <w:tc>
          <w:tcPr>
            <w:tcW w:w="1587" w:type="dxa"/>
            <w:tcBorders>
              <w:top w:val="nil"/>
              <w:left w:val="nil"/>
              <w:bottom w:val="nil"/>
              <w:right w:val="nil"/>
            </w:tcBorders>
            <w:tcMar>
              <w:top w:w="128" w:type="dxa"/>
              <w:left w:w="43" w:type="dxa"/>
              <w:bottom w:w="43" w:type="dxa"/>
              <w:right w:w="43" w:type="dxa"/>
            </w:tcMar>
            <w:vAlign w:val="bottom"/>
          </w:tcPr>
          <w:p w14:paraId="5875E09C" w14:textId="77777777" w:rsidR="00972395" w:rsidRPr="00E73D4B" w:rsidRDefault="00F120C7" w:rsidP="004A107D">
            <w:pPr>
              <w:jc w:val="right"/>
            </w:pPr>
            <w:r w:rsidRPr="00E73D4B">
              <w:t>Ja</w:t>
            </w:r>
          </w:p>
        </w:tc>
      </w:tr>
      <w:tr w:rsidR="00972395" w:rsidRPr="00E73D4B" w14:paraId="016ABAE5"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746A92E5"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37925134" w14:textId="77777777" w:rsidR="00972395" w:rsidRPr="00E73D4B" w:rsidRDefault="00F120C7" w:rsidP="004A107D">
            <w:pPr>
              <w:jc w:val="right"/>
            </w:pPr>
            <w:r w:rsidRPr="00E73D4B">
              <w:t>741</w:t>
            </w:r>
          </w:p>
        </w:tc>
        <w:tc>
          <w:tcPr>
            <w:tcW w:w="4819" w:type="dxa"/>
            <w:tcBorders>
              <w:top w:val="nil"/>
              <w:left w:val="nil"/>
              <w:bottom w:val="nil"/>
              <w:right w:val="nil"/>
            </w:tcBorders>
            <w:tcMar>
              <w:top w:w="128" w:type="dxa"/>
              <w:left w:w="43" w:type="dxa"/>
              <w:bottom w:w="43" w:type="dxa"/>
              <w:right w:w="43" w:type="dxa"/>
            </w:tcMar>
          </w:tcPr>
          <w:p w14:paraId="03421508" w14:textId="77777777" w:rsidR="00972395" w:rsidRPr="00E73D4B" w:rsidRDefault="00F120C7" w:rsidP="004A107D">
            <w:r w:rsidRPr="00E73D4B">
              <w:t>Endre forskrift og retningslinjer slik at også andre tiltak må vurderes i tillegg til kraft fra land</w:t>
            </w:r>
          </w:p>
        </w:tc>
        <w:tc>
          <w:tcPr>
            <w:tcW w:w="1587" w:type="dxa"/>
            <w:tcBorders>
              <w:top w:val="nil"/>
              <w:left w:val="nil"/>
              <w:bottom w:val="nil"/>
              <w:right w:val="nil"/>
            </w:tcBorders>
            <w:tcMar>
              <w:top w:w="128" w:type="dxa"/>
              <w:left w:w="43" w:type="dxa"/>
              <w:bottom w:w="43" w:type="dxa"/>
              <w:right w:w="43" w:type="dxa"/>
            </w:tcMar>
            <w:vAlign w:val="bottom"/>
          </w:tcPr>
          <w:p w14:paraId="192D7EEB" w14:textId="77777777" w:rsidR="00972395" w:rsidRPr="00E73D4B" w:rsidRDefault="00F120C7" w:rsidP="004A107D">
            <w:pPr>
              <w:jc w:val="right"/>
            </w:pPr>
            <w:r w:rsidRPr="00E73D4B">
              <w:t>Ja</w:t>
            </w:r>
          </w:p>
        </w:tc>
      </w:tr>
      <w:tr w:rsidR="00972395" w:rsidRPr="00E73D4B" w14:paraId="024408CF"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76908C2D"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25E81E7" w14:textId="77777777" w:rsidR="00972395" w:rsidRPr="00E73D4B" w:rsidRDefault="00F120C7" w:rsidP="004A107D">
            <w:pPr>
              <w:jc w:val="right"/>
            </w:pPr>
            <w:r w:rsidRPr="00E73D4B">
              <w:t>742</w:t>
            </w:r>
          </w:p>
        </w:tc>
        <w:tc>
          <w:tcPr>
            <w:tcW w:w="4819" w:type="dxa"/>
            <w:tcBorders>
              <w:top w:val="nil"/>
              <w:left w:val="nil"/>
              <w:bottom w:val="nil"/>
              <w:right w:val="nil"/>
            </w:tcBorders>
            <w:tcMar>
              <w:top w:w="128" w:type="dxa"/>
              <w:left w:w="43" w:type="dxa"/>
              <w:bottom w:w="43" w:type="dxa"/>
              <w:right w:w="43" w:type="dxa"/>
            </w:tcMar>
          </w:tcPr>
          <w:p w14:paraId="1EAA3AFC" w14:textId="77777777" w:rsidR="00972395" w:rsidRPr="00E73D4B" w:rsidRDefault="00F120C7" w:rsidP="004A107D">
            <w:r w:rsidRPr="00E73D4B">
              <w:t>Hydrogen – utvikling et landsdekkende nettverk av fyllestasjoner og knutepunkter</w:t>
            </w:r>
          </w:p>
        </w:tc>
        <w:tc>
          <w:tcPr>
            <w:tcW w:w="1587" w:type="dxa"/>
            <w:tcBorders>
              <w:top w:val="nil"/>
              <w:left w:val="nil"/>
              <w:bottom w:val="nil"/>
              <w:right w:val="nil"/>
            </w:tcBorders>
            <w:tcMar>
              <w:top w:w="128" w:type="dxa"/>
              <w:left w:w="43" w:type="dxa"/>
              <w:bottom w:w="43" w:type="dxa"/>
              <w:right w:w="43" w:type="dxa"/>
            </w:tcMar>
            <w:vAlign w:val="bottom"/>
          </w:tcPr>
          <w:p w14:paraId="03A594A4" w14:textId="77777777" w:rsidR="00972395" w:rsidRPr="00E73D4B" w:rsidRDefault="00F120C7" w:rsidP="004A107D">
            <w:pPr>
              <w:jc w:val="right"/>
            </w:pPr>
            <w:r w:rsidRPr="00E73D4B">
              <w:t>Nei</w:t>
            </w:r>
          </w:p>
        </w:tc>
      </w:tr>
      <w:tr w:rsidR="00972395" w:rsidRPr="00E73D4B" w14:paraId="34AA9CF7"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0712ADA4"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29C2825" w14:textId="77777777" w:rsidR="00972395" w:rsidRPr="00E73D4B" w:rsidRDefault="00F120C7" w:rsidP="004A107D">
            <w:pPr>
              <w:jc w:val="right"/>
            </w:pPr>
            <w:r w:rsidRPr="00E73D4B">
              <w:t>743</w:t>
            </w:r>
          </w:p>
        </w:tc>
        <w:tc>
          <w:tcPr>
            <w:tcW w:w="4819" w:type="dxa"/>
            <w:tcBorders>
              <w:top w:val="nil"/>
              <w:left w:val="nil"/>
              <w:bottom w:val="nil"/>
              <w:right w:val="nil"/>
            </w:tcBorders>
            <w:tcMar>
              <w:top w:w="128" w:type="dxa"/>
              <w:left w:w="43" w:type="dxa"/>
              <w:bottom w:w="43" w:type="dxa"/>
              <w:right w:w="43" w:type="dxa"/>
            </w:tcMar>
          </w:tcPr>
          <w:p w14:paraId="6BBD13C8" w14:textId="77777777" w:rsidR="00972395" w:rsidRPr="00E73D4B" w:rsidRDefault="00F120C7" w:rsidP="004A107D">
            <w:r w:rsidRPr="00E73D4B">
              <w:t xml:space="preserve">Krav om utnyttelse av </w:t>
            </w:r>
            <w:proofErr w:type="spellStart"/>
            <w:r w:rsidRPr="00E73D4B">
              <w:t>spillvarme</w:t>
            </w:r>
            <w:proofErr w:type="spellEnd"/>
          </w:p>
        </w:tc>
        <w:tc>
          <w:tcPr>
            <w:tcW w:w="1587" w:type="dxa"/>
            <w:tcBorders>
              <w:top w:val="nil"/>
              <w:left w:val="nil"/>
              <w:bottom w:val="nil"/>
              <w:right w:val="nil"/>
            </w:tcBorders>
            <w:tcMar>
              <w:top w:w="128" w:type="dxa"/>
              <w:left w:w="43" w:type="dxa"/>
              <w:bottom w:w="43" w:type="dxa"/>
              <w:right w:w="43" w:type="dxa"/>
            </w:tcMar>
            <w:vAlign w:val="bottom"/>
          </w:tcPr>
          <w:p w14:paraId="4FACD66B" w14:textId="77777777" w:rsidR="00972395" w:rsidRPr="00E73D4B" w:rsidRDefault="00F120C7" w:rsidP="004A107D">
            <w:pPr>
              <w:jc w:val="right"/>
            </w:pPr>
            <w:r w:rsidRPr="00E73D4B">
              <w:t xml:space="preserve">Nei </w:t>
            </w:r>
          </w:p>
        </w:tc>
      </w:tr>
      <w:tr w:rsidR="00972395" w:rsidRPr="00E73D4B" w14:paraId="3B13542D"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10547E42"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147C6B3E" w14:textId="77777777" w:rsidR="00972395" w:rsidRPr="00E73D4B" w:rsidRDefault="00F120C7" w:rsidP="004A107D">
            <w:pPr>
              <w:jc w:val="right"/>
            </w:pPr>
            <w:r w:rsidRPr="00E73D4B">
              <w:t>744</w:t>
            </w:r>
          </w:p>
        </w:tc>
        <w:tc>
          <w:tcPr>
            <w:tcW w:w="4819" w:type="dxa"/>
            <w:tcBorders>
              <w:top w:val="nil"/>
              <w:left w:val="nil"/>
              <w:bottom w:val="nil"/>
              <w:right w:val="nil"/>
            </w:tcBorders>
            <w:tcMar>
              <w:top w:w="128" w:type="dxa"/>
              <w:left w:w="43" w:type="dxa"/>
              <w:bottom w:w="43" w:type="dxa"/>
              <w:right w:w="43" w:type="dxa"/>
            </w:tcMar>
          </w:tcPr>
          <w:p w14:paraId="042AE505" w14:textId="77777777" w:rsidR="00972395" w:rsidRPr="00E73D4B" w:rsidRDefault="00F120C7" w:rsidP="004A107D">
            <w:r w:rsidRPr="00E73D4B">
              <w:t>Energisparing i bygg – rapportering på måloppnåelse</w:t>
            </w:r>
          </w:p>
        </w:tc>
        <w:tc>
          <w:tcPr>
            <w:tcW w:w="1587" w:type="dxa"/>
            <w:tcBorders>
              <w:top w:val="nil"/>
              <w:left w:val="nil"/>
              <w:bottom w:val="nil"/>
              <w:right w:val="nil"/>
            </w:tcBorders>
            <w:tcMar>
              <w:top w:w="128" w:type="dxa"/>
              <w:left w:w="43" w:type="dxa"/>
              <w:bottom w:w="43" w:type="dxa"/>
              <w:right w:w="43" w:type="dxa"/>
            </w:tcMar>
            <w:vAlign w:val="bottom"/>
          </w:tcPr>
          <w:p w14:paraId="7CA0ACD5" w14:textId="77777777" w:rsidR="00972395" w:rsidRPr="00E73D4B" w:rsidRDefault="00F120C7" w:rsidP="004A107D">
            <w:pPr>
              <w:jc w:val="right"/>
            </w:pPr>
            <w:r w:rsidRPr="00E73D4B">
              <w:t>Ja</w:t>
            </w:r>
          </w:p>
        </w:tc>
      </w:tr>
      <w:tr w:rsidR="00972395" w:rsidRPr="00E73D4B" w14:paraId="27C168F6"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6F91124B"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B77C02F" w14:textId="77777777" w:rsidR="00972395" w:rsidRPr="00E73D4B" w:rsidRDefault="00F120C7" w:rsidP="004A107D">
            <w:pPr>
              <w:jc w:val="right"/>
            </w:pPr>
            <w:r w:rsidRPr="00E73D4B">
              <w:t>745</w:t>
            </w:r>
          </w:p>
        </w:tc>
        <w:tc>
          <w:tcPr>
            <w:tcW w:w="4819" w:type="dxa"/>
            <w:tcBorders>
              <w:top w:val="nil"/>
              <w:left w:val="nil"/>
              <w:bottom w:val="nil"/>
              <w:right w:val="nil"/>
            </w:tcBorders>
            <w:tcMar>
              <w:top w:w="128" w:type="dxa"/>
              <w:left w:w="43" w:type="dxa"/>
              <w:bottom w:w="43" w:type="dxa"/>
              <w:right w:w="43" w:type="dxa"/>
            </w:tcMar>
          </w:tcPr>
          <w:p w14:paraId="2C148525" w14:textId="77777777" w:rsidR="00972395" w:rsidRPr="00E73D4B" w:rsidRDefault="00F120C7" w:rsidP="004A107D">
            <w:r w:rsidRPr="00E73D4B">
              <w:t>Energieffektivisering i bygg – vurdere virkemidler</w:t>
            </w:r>
          </w:p>
        </w:tc>
        <w:tc>
          <w:tcPr>
            <w:tcW w:w="1587" w:type="dxa"/>
            <w:tcBorders>
              <w:top w:val="nil"/>
              <w:left w:val="nil"/>
              <w:bottom w:val="nil"/>
              <w:right w:val="nil"/>
            </w:tcBorders>
            <w:tcMar>
              <w:top w:w="128" w:type="dxa"/>
              <w:left w:w="43" w:type="dxa"/>
              <w:bottom w:w="43" w:type="dxa"/>
              <w:right w:w="43" w:type="dxa"/>
            </w:tcMar>
            <w:vAlign w:val="bottom"/>
          </w:tcPr>
          <w:p w14:paraId="2A44AD84" w14:textId="77777777" w:rsidR="00972395" w:rsidRPr="00E73D4B" w:rsidRDefault="00F120C7" w:rsidP="004A107D">
            <w:pPr>
              <w:jc w:val="right"/>
            </w:pPr>
            <w:r w:rsidRPr="00E73D4B">
              <w:t>Ja</w:t>
            </w:r>
          </w:p>
        </w:tc>
      </w:tr>
      <w:tr w:rsidR="00972395" w:rsidRPr="00E73D4B" w14:paraId="73954305"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41E46E33"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3646348" w14:textId="77777777" w:rsidR="00972395" w:rsidRPr="00E73D4B" w:rsidRDefault="00F120C7" w:rsidP="004A107D">
            <w:pPr>
              <w:jc w:val="right"/>
            </w:pPr>
            <w:r w:rsidRPr="00E73D4B">
              <w:t>746</w:t>
            </w:r>
          </w:p>
        </w:tc>
        <w:tc>
          <w:tcPr>
            <w:tcW w:w="4819" w:type="dxa"/>
            <w:tcBorders>
              <w:top w:val="nil"/>
              <w:left w:val="nil"/>
              <w:bottom w:val="nil"/>
              <w:right w:val="nil"/>
            </w:tcBorders>
            <w:tcMar>
              <w:top w:w="128" w:type="dxa"/>
              <w:left w:w="43" w:type="dxa"/>
              <w:bottom w:w="43" w:type="dxa"/>
              <w:right w:w="43" w:type="dxa"/>
            </w:tcMar>
          </w:tcPr>
          <w:p w14:paraId="6D41A94E" w14:textId="77777777" w:rsidR="00972395" w:rsidRPr="00E73D4B" w:rsidRDefault="00F120C7" w:rsidP="004A107D">
            <w:r w:rsidRPr="00E73D4B">
              <w:t>Prøveordning for håndverksbedrifter – energitiltak</w:t>
            </w:r>
          </w:p>
        </w:tc>
        <w:tc>
          <w:tcPr>
            <w:tcW w:w="1587" w:type="dxa"/>
            <w:tcBorders>
              <w:top w:val="nil"/>
              <w:left w:val="nil"/>
              <w:bottom w:val="nil"/>
              <w:right w:val="nil"/>
            </w:tcBorders>
            <w:tcMar>
              <w:top w:w="128" w:type="dxa"/>
              <w:left w:w="43" w:type="dxa"/>
              <w:bottom w:w="43" w:type="dxa"/>
              <w:right w:w="43" w:type="dxa"/>
            </w:tcMar>
            <w:vAlign w:val="bottom"/>
          </w:tcPr>
          <w:p w14:paraId="0B0901C3" w14:textId="77777777" w:rsidR="00972395" w:rsidRPr="00E73D4B" w:rsidRDefault="00F120C7" w:rsidP="004A107D">
            <w:pPr>
              <w:jc w:val="right"/>
            </w:pPr>
            <w:r w:rsidRPr="00E73D4B">
              <w:t>Nei</w:t>
            </w:r>
          </w:p>
        </w:tc>
      </w:tr>
      <w:tr w:rsidR="00972395" w:rsidRPr="00E73D4B" w14:paraId="2B80FD42"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403904F6"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66802BCE" w14:textId="77777777" w:rsidR="00972395" w:rsidRPr="00E73D4B" w:rsidRDefault="00F120C7" w:rsidP="004A107D">
            <w:pPr>
              <w:jc w:val="right"/>
            </w:pPr>
            <w:r w:rsidRPr="00E73D4B">
              <w:t>747</w:t>
            </w:r>
          </w:p>
        </w:tc>
        <w:tc>
          <w:tcPr>
            <w:tcW w:w="4819" w:type="dxa"/>
            <w:tcBorders>
              <w:top w:val="nil"/>
              <w:left w:val="nil"/>
              <w:bottom w:val="nil"/>
              <w:right w:val="nil"/>
            </w:tcBorders>
            <w:tcMar>
              <w:top w:w="128" w:type="dxa"/>
              <w:left w:w="43" w:type="dxa"/>
              <w:bottom w:w="43" w:type="dxa"/>
              <w:right w:w="43" w:type="dxa"/>
            </w:tcMar>
          </w:tcPr>
          <w:p w14:paraId="5E1D60E4" w14:textId="77777777" w:rsidR="00972395" w:rsidRPr="00E73D4B" w:rsidRDefault="00F120C7" w:rsidP="004A107D">
            <w:r w:rsidRPr="00E73D4B">
              <w:t>Solenergi – økt bruk</w:t>
            </w:r>
          </w:p>
        </w:tc>
        <w:tc>
          <w:tcPr>
            <w:tcW w:w="1587" w:type="dxa"/>
            <w:tcBorders>
              <w:top w:val="nil"/>
              <w:left w:val="nil"/>
              <w:bottom w:val="nil"/>
              <w:right w:val="nil"/>
            </w:tcBorders>
            <w:tcMar>
              <w:top w:w="128" w:type="dxa"/>
              <w:left w:w="43" w:type="dxa"/>
              <w:bottom w:w="43" w:type="dxa"/>
              <w:right w:w="43" w:type="dxa"/>
            </w:tcMar>
            <w:vAlign w:val="bottom"/>
          </w:tcPr>
          <w:p w14:paraId="281AE99D" w14:textId="77777777" w:rsidR="00972395" w:rsidRPr="00E73D4B" w:rsidRDefault="00F120C7" w:rsidP="004A107D">
            <w:pPr>
              <w:jc w:val="right"/>
            </w:pPr>
            <w:r w:rsidRPr="00E73D4B">
              <w:t>Nei</w:t>
            </w:r>
          </w:p>
        </w:tc>
      </w:tr>
      <w:tr w:rsidR="00972395" w:rsidRPr="00E73D4B" w14:paraId="3C71B703"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0E80A2EC"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77F6F852" w14:textId="77777777" w:rsidR="00972395" w:rsidRPr="00E73D4B" w:rsidRDefault="00F120C7" w:rsidP="004A107D">
            <w:pPr>
              <w:jc w:val="right"/>
            </w:pPr>
            <w:r w:rsidRPr="00E73D4B">
              <w:t>748</w:t>
            </w:r>
          </w:p>
        </w:tc>
        <w:tc>
          <w:tcPr>
            <w:tcW w:w="4819" w:type="dxa"/>
            <w:tcBorders>
              <w:top w:val="nil"/>
              <w:left w:val="nil"/>
              <w:bottom w:val="nil"/>
              <w:right w:val="nil"/>
            </w:tcBorders>
            <w:tcMar>
              <w:top w:w="128" w:type="dxa"/>
              <w:left w:w="43" w:type="dxa"/>
              <w:bottom w:w="43" w:type="dxa"/>
              <w:right w:w="43" w:type="dxa"/>
            </w:tcMar>
          </w:tcPr>
          <w:p w14:paraId="58A151A8" w14:textId="77777777" w:rsidR="00972395" w:rsidRPr="00E73D4B" w:rsidRDefault="00F120C7" w:rsidP="004A107D">
            <w:r w:rsidRPr="00E73D4B">
              <w:t>Solkraftanlegg – tidsbruk på behandling av søknader</w:t>
            </w:r>
          </w:p>
        </w:tc>
        <w:tc>
          <w:tcPr>
            <w:tcW w:w="1587" w:type="dxa"/>
            <w:tcBorders>
              <w:top w:val="nil"/>
              <w:left w:val="nil"/>
              <w:bottom w:val="nil"/>
              <w:right w:val="nil"/>
            </w:tcBorders>
            <w:tcMar>
              <w:top w:w="128" w:type="dxa"/>
              <w:left w:w="43" w:type="dxa"/>
              <w:bottom w:w="43" w:type="dxa"/>
              <w:right w:w="43" w:type="dxa"/>
            </w:tcMar>
            <w:vAlign w:val="bottom"/>
          </w:tcPr>
          <w:p w14:paraId="3FC67B37" w14:textId="77777777" w:rsidR="00972395" w:rsidRPr="00E73D4B" w:rsidRDefault="00F120C7" w:rsidP="004A107D">
            <w:pPr>
              <w:jc w:val="right"/>
            </w:pPr>
            <w:r w:rsidRPr="00E73D4B">
              <w:t>Ja</w:t>
            </w:r>
          </w:p>
        </w:tc>
      </w:tr>
      <w:tr w:rsidR="00972395" w:rsidRPr="00E73D4B" w14:paraId="05B2EBF2"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7186B33F"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57976AD3" w14:textId="77777777" w:rsidR="00972395" w:rsidRPr="00E73D4B" w:rsidRDefault="00F120C7" w:rsidP="004A107D">
            <w:pPr>
              <w:jc w:val="right"/>
            </w:pPr>
            <w:r w:rsidRPr="00E73D4B">
              <w:t>749</w:t>
            </w:r>
          </w:p>
        </w:tc>
        <w:tc>
          <w:tcPr>
            <w:tcW w:w="4819" w:type="dxa"/>
            <w:tcBorders>
              <w:top w:val="nil"/>
              <w:left w:val="nil"/>
              <w:bottom w:val="nil"/>
              <w:right w:val="nil"/>
            </w:tcBorders>
            <w:tcMar>
              <w:top w:w="128" w:type="dxa"/>
              <w:left w:w="43" w:type="dxa"/>
              <w:bottom w:w="43" w:type="dxa"/>
              <w:right w:w="43" w:type="dxa"/>
            </w:tcMar>
          </w:tcPr>
          <w:p w14:paraId="66EA1311" w14:textId="77777777" w:rsidR="00972395" w:rsidRPr="00E73D4B" w:rsidRDefault="00F120C7" w:rsidP="004A107D">
            <w:r w:rsidRPr="00E73D4B">
              <w:t>Utvide dagens plusskundeordning</w:t>
            </w:r>
          </w:p>
        </w:tc>
        <w:tc>
          <w:tcPr>
            <w:tcW w:w="1587" w:type="dxa"/>
            <w:tcBorders>
              <w:top w:val="nil"/>
              <w:left w:val="nil"/>
              <w:bottom w:val="nil"/>
              <w:right w:val="nil"/>
            </w:tcBorders>
            <w:tcMar>
              <w:top w:w="128" w:type="dxa"/>
              <w:left w:w="43" w:type="dxa"/>
              <w:bottom w:w="43" w:type="dxa"/>
              <w:right w:w="43" w:type="dxa"/>
            </w:tcMar>
            <w:vAlign w:val="bottom"/>
          </w:tcPr>
          <w:p w14:paraId="3CEA5B07" w14:textId="77777777" w:rsidR="00972395" w:rsidRPr="00E73D4B" w:rsidRDefault="00F120C7" w:rsidP="004A107D">
            <w:pPr>
              <w:jc w:val="right"/>
            </w:pPr>
            <w:r w:rsidRPr="00E73D4B">
              <w:t>Ja</w:t>
            </w:r>
          </w:p>
        </w:tc>
      </w:tr>
      <w:tr w:rsidR="00972395" w:rsidRPr="00E73D4B" w14:paraId="18842A99"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3C125292"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5F67299" w14:textId="77777777" w:rsidR="00972395" w:rsidRPr="00E73D4B" w:rsidRDefault="00F120C7" w:rsidP="004A107D">
            <w:pPr>
              <w:jc w:val="right"/>
            </w:pPr>
            <w:r w:rsidRPr="00E73D4B">
              <w:t>750</w:t>
            </w:r>
          </w:p>
        </w:tc>
        <w:tc>
          <w:tcPr>
            <w:tcW w:w="4819" w:type="dxa"/>
            <w:tcBorders>
              <w:top w:val="nil"/>
              <w:left w:val="nil"/>
              <w:bottom w:val="nil"/>
              <w:right w:val="nil"/>
            </w:tcBorders>
            <w:tcMar>
              <w:top w:w="128" w:type="dxa"/>
              <w:left w:w="43" w:type="dxa"/>
              <w:bottom w:w="43" w:type="dxa"/>
              <w:right w:w="43" w:type="dxa"/>
            </w:tcMar>
          </w:tcPr>
          <w:p w14:paraId="7A971CF6" w14:textId="77777777" w:rsidR="00972395" w:rsidRPr="00E73D4B" w:rsidRDefault="00F120C7" w:rsidP="004A107D">
            <w:r w:rsidRPr="00E73D4B">
              <w:t>Solenergi – vurdere å fjerne begrensningene for hvor mye solenergi som kan deles innenfor eget areal</w:t>
            </w:r>
          </w:p>
        </w:tc>
        <w:tc>
          <w:tcPr>
            <w:tcW w:w="1587" w:type="dxa"/>
            <w:tcBorders>
              <w:top w:val="nil"/>
              <w:left w:val="nil"/>
              <w:bottom w:val="nil"/>
              <w:right w:val="nil"/>
            </w:tcBorders>
            <w:tcMar>
              <w:top w:w="128" w:type="dxa"/>
              <w:left w:w="43" w:type="dxa"/>
              <w:bottom w:w="43" w:type="dxa"/>
              <w:right w:w="43" w:type="dxa"/>
            </w:tcMar>
            <w:vAlign w:val="bottom"/>
          </w:tcPr>
          <w:p w14:paraId="123F1137" w14:textId="77777777" w:rsidR="00972395" w:rsidRPr="00E73D4B" w:rsidRDefault="00F120C7" w:rsidP="004A107D">
            <w:pPr>
              <w:jc w:val="right"/>
            </w:pPr>
            <w:r w:rsidRPr="00E73D4B">
              <w:t>Ja</w:t>
            </w:r>
          </w:p>
        </w:tc>
      </w:tr>
      <w:tr w:rsidR="00972395" w:rsidRPr="00E73D4B" w14:paraId="4F4C29E8"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2162EB3A"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6AE6DA06" w14:textId="77777777" w:rsidR="00972395" w:rsidRPr="00E73D4B" w:rsidRDefault="00F120C7" w:rsidP="004A107D">
            <w:pPr>
              <w:jc w:val="right"/>
            </w:pPr>
            <w:r w:rsidRPr="00E73D4B">
              <w:t>751</w:t>
            </w:r>
          </w:p>
        </w:tc>
        <w:tc>
          <w:tcPr>
            <w:tcW w:w="4819" w:type="dxa"/>
            <w:tcBorders>
              <w:top w:val="nil"/>
              <w:left w:val="nil"/>
              <w:bottom w:val="nil"/>
              <w:right w:val="nil"/>
            </w:tcBorders>
            <w:tcMar>
              <w:top w:w="128" w:type="dxa"/>
              <w:left w:w="43" w:type="dxa"/>
              <w:bottom w:w="43" w:type="dxa"/>
              <w:right w:w="43" w:type="dxa"/>
            </w:tcMar>
          </w:tcPr>
          <w:p w14:paraId="3546FCBC" w14:textId="77777777" w:rsidR="00972395" w:rsidRPr="00E73D4B" w:rsidRDefault="00F120C7" w:rsidP="004A107D">
            <w:r w:rsidRPr="00E73D4B">
              <w:t>Solenergi – kartlegging av potensialet for produksjon på landbruksareal</w:t>
            </w:r>
          </w:p>
        </w:tc>
        <w:tc>
          <w:tcPr>
            <w:tcW w:w="1587" w:type="dxa"/>
            <w:tcBorders>
              <w:top w:val="nil"/>
              <w:left w:val="nil"/>
              <w:bottom w:val="nil"/>
              <w:right w:val="nil"/>
            </w:tcBorders>
            <w:tcMar>
              <w:top w:w="128" w:type="dxa"/>
              <w:left w:w="43" w:type="dxa"/>
              <w:bottom w:w="43" w:type="dxa"/>
              <w:right w:w="43" w:type="dxa"/>
            </w:tcMar>
            <w:vAlign w:val="bottom"/>
          </w:tcPr>
          <w:p w14:paraId="7F5A8924" w14:textId="77777777" w:rsidR="00972395" w:rsidRPr="00E73D4B" w:rsidRDefault="00F120C7" w:rsidP="004A107D">
            <w:pPr>
              <w:jc w:val="right"/>
            </w:pPr>
            <w:r w:rsidRPr="00E73D4B">
              <w:t>Nei</w:t>
            </w:r>
          </w:p>
        </w:tc>
      </w:tr>
      <w:tr w:rsidR="00972395" w:rsidRPr="00E73D4B" w14:paraId="5E1E59DD"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37F07EA0"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203695B2" w14:textId="77777777" w:rsidR="00972395" w:rsidRPr="00E73D4B" w:rsidRDefault="00F120C7" w:rsidP="004A107D">
            <w:pPr>
              <w:jc w:val="right"/>
            </w:pPr>
            <w:r w:rsidRPr="00E73D4B">
              <w:t>752</w:t>
            </w:r>
          </w:p>
        </w:tc>
        <w:tc>
          <w:tcPr>
            <w:tcW w:w="4819" w:type="dxa"/>
            <w:tcBorders>
              <w:top w:val="nil"/>
              <w:left w:val="nil"/>
              <w:bottom w:val="nil"/>
              <w:right w:val="nil"/>
            </w:tcBorders>
            <w:tcMar>
              <w:top w:w="128" w:type="dxa"/>
              <w:left w:w="43" w:type="dxa"/>
              <w:bottom w:w="43" w:type="dxa"/>
              <w:right w:w="43" w:type="dxa"/>
            </w:tcMar>
          </w:tcPr>
          <w:p w14:paraId="691991C6" w14:textId="77777777" w:rsidR="00972395" w:rsidRPr="00E73D4B" w:rsidRDefault="00F120C7" w:rsidP="004A107D">
            <w:r w:rsidRPr="00E73D4B">
              <w:t>Solenergi – kartlegge potensialet og tilrettelegging for solenergiproduksjon på eksisterende infrastruktur</w:t>
            </w:r>
          </w:p>
        </w:tc>
        <w:tc>
          <w:tcPr>
            <w:tcW w:w="1587" w:type="dxa"/>
            <w:tcBorders>
              <w:top w:val="nil"/>
              <w:left w:val="nil"/>
              <w:bottom w:val="nil"/>
              <w:right w:val="nil"/>
            </w:tcBorders>
            <w:tcMar>
              <w:top w:w="128" w:type="dxa"/>
              <w:left w:w="43" w:type="dxa"/>
              <w:bottom w:w="43" w:type="dxa"/>
              <w:right w:w="43" w:type="dxa"/>
            </w:tcMar>
            <w:vAlign w:val="bottom"/>
          </w:tcPr>
          <w:p w14:paraId="14FA370B" w14:textId="77777777" w:rsidR="00972395" w:rsidRPr="00E73D4B" w:rsidRDefault="00F120C7" w:rsidP="004A107D">
            <w:pPr>
              <w:jc w:val="right"/>
            </w:pPr>
            <w:r w:rsidRPr="00E73D4B">
              <w:t>Nei</w:t>
            </w:r>
          </w:p>
        </w:tc>
      </w:tr>
      <w:tr w:rsidR="00972395" w:rsidRPr="00E73D4B" w14:paraId="4579D64A"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4D6A6E51" w14:textId="77777777" w:rsidR="00972395" w:rsidRPr="00E73D4B" w:rsidRDefault="00F120C7" w:rsidP="004A107D">
            <w:r w:rsidRPr="00E73D4B">
              <w:t>2021–2022</w:t>
            </w:r>
          </w:p>
        </w:tc>
        <w:tc>
          <w:tcPr>
            <w:tcW w:w="1134" w:type="dxa"/>
            <w:tcBorders>
              <w:top w:val="nil"/>
              <w:left w:val="nil"/>
              <w:bottom w:val="nil"/>
              <w:right w:val="nil"/>
            </w:tcBorders>
            <w:tcMar>
              <w:top w:w="128" w:type="dxa"/>
              <w:left w:w="43" w:type="dxa"/>
              <w:bottom w:w="43" w:type="dxa"/>
              <w:right w:w="43" w:type="dxa"/>
            </w:tcMar>
          </w:tcPr>
          <w:p w14:paraId="0716FD02" w14:textId="77777777" w:rsidR="00972395" w:rsidRPr="00E73D4B" w:rsidRDefault="00F120C7" w:rsidP="004A107D">
            <w:pPr>
              <w:jc w:val="right"/>
            </w:pPr>
            <w:r w:rsidRPr="00E73D4B">
              <w:t>758</w:t>
            </w:r>
          </w:p>
        </w:tc>
        <w:tc>
          <w:tcPr>
            <w:tcW w:w="4819" w:type="dxa"/>
            <w:tcBorders>
              <w:top w:val="nil"/>
              <w:left w:val="nil"/>
              <w:bottom w:val="nil"/>
              <w:right w:val="nil"/>
            </w:tcBorders>
            <w:tcMar>
              <w:top w:w="128" w:type="dxa"/>
              <w:left w:w="43" w:type="dxa"/>
              <w:bottom w:w="43" w:type="dxa"/>
              <w:right w:w="43" w:type="dxa"/>
            </w:tcMar>
          </w:tcPr>
          <w:p w14:paraId="17F4F891" w14:textId="77777777" w:rsidR="00972395" w:rsidRPr="00E73D4B" w:rsidRDefault="00F120C7" w:rsidP="004A107D">
            <w:r w:rsidRPr="00E73D4B">
              <w:t>Klagebehandling av energikonsesjoner</w:t>
            </w:r>
          </w:p>
        </w:tc>
        <w:tc>
          <w:tcPr>
            <w:tcW w:w="1587" w:type="dxa"/>
            <w:tcBorders>
              <w:top w:val="nil"/>
              <w:left w:val="nil"/>
              <w:bottom w:val="nil"/>
              <w:right w:val="nil"/>
            </w:tcBorders>
            <w:tcMar>
              <w:top w:w="128" w:type="dxa"/>
              <w:left w:w="43" w:type="dxa"/>
              <w:bottom w:w="43" w:type="dxa"/>
              <w:right w:w="43" w:type="dxa"/>
            </w:tcMar>
            <w:vAlign w:val="bottom"/>
          </w:tcPr>
          <w:p w14:paraId="2BF0870D" w14:textId="77777777" w:rsidR="00972395" w:rsidRPr="00E73D4B" w:rsidRDefault="00F120C7" w:rsidP="004A107D">
            <w:pPr>
              <w:jc w:val="right"/>
            </w:pPr>
            <w:r w:rsidRPr="00E73D4B">
              <w:t>Ja</w:t>
            </w:r>
          </w:p>
        </w:tc>
      </w:tr>
      <w:tr w:rsidR="00972395" w:rsidRPr="00E73D4B" w14:paraId="6E8BD3E8"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6E1EA32E" w14:textId="77777777" w:rsidR="00972395" w:rsidRPr="00E73D4B" w:rsidRDefault="00F120C7" w:rsidP="004A107D">
            <w:r w:rsidRPr="00E73D4B">
              <w:t>2020–2021</w:t>
            </w:r>
          </w:p>
        </w:tc>
        <w:tc>
          <w:tcPr>
            <w:tcW w:w="1134" w:type="dxa"/>
            <w:tcBorders>
              <w:top w:val="nil"/>
              <w:left w:val="nil"/>
              <w:bottom w:val="nil"/>
              <w:right w:val="nil"/>
            </w:tcBorders>
            <w:tcMar>
              <w:top w:w="128" w:type="dxa"/>
              <w:left w:w="43" w:type="dxa"/>
              <w:bottom w:w="43" w:type="dxa"/>
              <w:right w:w="43" w:type="dxa"/>
            </w:tcMar>
          </w:tcPr>
          <w:p w14:paraId="286714CC" w14:textId="77777777" w:rsidR="00972395" w:rsidRPr="00E73D4B" w:rsidRDefault="00F120C7" w:rsidP="004A107D">
            <w:pPr>
              <w:jc w:val="right"/>
            </w:pPr>
            <w:r w:rsidRPr="00E73D4B">
              <w:t>143</w:t>
            </w:r>
          </w:p>
        </w:tc>
        <w:tc>
          <w:tcPr>
            <w:tcW w:w="4819" w:type="dxa"/>
            <w:tcBorders>
              <w:top w:val="nil"/>
              <w:left w:val="nil"/>
              <w:bottom w:val="nil"/>
              <w:right w:val="nil"/>
            </w:tcBorders>
            <w:tcMar>
              <w:top w:w="128" w:type="dxa"/>
              <w:left w:w="43" w:type="dxa"/>
              <w:bottom w:w="43" w:type="dxa"/>
              <w:right w:w="43" w:type="dxa"/>
            </w:tcMar>
          </w:tcPr>
          <w:p w14:paraId="15959DF8" w14:textId="77777777" w:rsidR="00972395" w:rsidRPr="00E73D4B" w:rsidRDefault="00F120C7" w:rsidP="004A107D">
            <w:r w:rsidRPr="00E73D4B">
              <w:t>Vindkraft på land – innlemme planlegging og bygging av vindkraftanlegg i plan- og bygningsloven</w:t>
            </w:r>
          </w:p>
        </w:tc>
        <w:tc>
          <w:tcPr>
            <w:tcW w:w="1587" w:type="dxa"/>
            <w:tcBorders>
              <w:top w:val="nil"/>
              <w:left w:val="nil"/>
              <w:bottom w:val="nil"/>
              <w:right w:val="nil"/>
            </w:tcBorders>
            <w:tcMar>
              <w:top w:w="128" w:type="dxa"/>
              <w:left w:w="43" w:type="dxa"/>
              <w:bottom w:w="43" w:type="dxa"/>
              <w:right w:w="43" w:type="dxa"/>
            </w:tcMar>
            <w:vAlign w:val="bottom"/>
          </w:tcPr>
          <w:p w14:paraId="27D9EDFD" w14:textId="77777777" w:rsidR="00972395" w:rsidRPr="00E73D4B" w:rsidRDefault="00F120C7" w:rsidP="004A107D">
            <w:pPr>
              <w:jc w:val="right"/>
            </w:pPr>
            <w:r w:rsidRPr="00E73D4B">
              <w:t>Nei</w:t>
            </w:r>
          </w:p>
        </w:tc>
      </w:tr>
      <w:tr w:rsidR="00972395" w:rsidRPr="00E73D4B" w14:paraId="565192CC"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054D52B0" w14:textId="77777777" w:rsidR="00972395" w:rsidRPr="00E73D4B" w:rsidRDefault="00F120C7" w:rsidP="004A107D">
            <w:r w:rsidRPr="00E73D4B">
              <w:t>2020–2021</w:t>
            </w:r>
          </w:p>
        </w:tc>
        <w:tc>
          <w:tcPr>
            <w:tcW w:w="1134" w:type="dxa"/>
            <w:tcBorders>
              <w:top w:val="nil"/>
              <w:left w:val="nil"/>
              <w:bottom w:val="nil"/>
              <w:right w:val="nil"/>
            </w:tcBorders>
            <w:tcMar>
              <w:top w:w="128" w:type="dxa"/>
              <w:left w:w="43" w:type="dxa"/>
              <w:bottom w:w="43" w:type="dxa"/>
              <w:right w:w="43" w:type="dxa"/>
            </w:tcMar>
          </w:tcPr>
          <w:p w14:paraId="0269D088" w14:textId="77777777" w:rsidR="00972395" w:rsidRPr="00E73D4B" w:rsidRDefault="00F120C7" w:rsidP="004A107D">
            <w:pPr>
              <w:jc w:val="right"/>
            </w:pPr>
            <w:r w:rsidRPr="00E73D4B">
              <w:t>145</w:t>
            </w:r>
          </w:p>
        </w:tc>
        <w:tc>
          <w:tcPr>
            <w:tcW w:w="4819" w:type="dxa"/>
            <w:tcBorders>
              <w:top w:val="nil"/>
              <w:left w:val="nil"/>
              <w:bottom w:val="nil"/>
              <w:right w:val="nil"/>
            </w:tcBorders>
            <w:tcMar>
              <w:top w:w="128" w:type="dxa"/>
              <w:left w:w="43" w:type="dxa"/>
              <w:bottom w:w="43" w:type="dxa"/>
              <w:right w:w="43" w:type="dxa"/>
            </w:tcMar>
          </w:tcPr>
          <w:p w14:paraId="3071936D" w14:textId="77777777" w:rsidR="00972395" w:rsidRPr="00E73D4B" w:rsidRDefault="00F120C7" w:rsidP="004A107D">
            <w:r w:rsidRPr="00E73D4B">
              <w:t>Vindkraft på land – garantistillelse for opprydding av vindkraftanlegget</w:t>
            </w:r>
          </w:p>
        </w:tc>
        <w:tc>
          <w:tcPr>
            <w:tcW w:w="1587" w:type="dxa"/>
            <w:tcBorders>
              <w:top w:val="nil"/>
              <w:left w:val="nil"/>
              <w:bottom w:val="nil"/>
              <w:right w:val="nil"/>
            </w:tcBorders>
            <w:tcMar>
              <w:top w:w="128" w:type="dxa"/>
              <w:left w:w="43" w:type="dxa"/>
              <w:bottom w:w="43" w:type="dxa"/>
              <w:right w:w="43" w:type="dxa"/>
            </w:tcMar>
            <w:vAlign w:val="bottom"/>
          </w:tcPr>
          <w:p w14:paraId="103181E9" w14:textId="77777777" w:rsidR="00972395" w:rsidRPr="00E73D4B" w:rsidRDefault="00F120C7" w:rsidP="004A107D">
            <w:pPr>
              <w:jc w:val="right"/>
            </w:pPr>
            <w:r w:rsidRPr="00E73D4B">
              <w:t>Ja</w:t>
            </w:r>
          </w:p>
        </w:tc>
      </w:tr>
      <w:tr w:rsidR="00972395" w:rsidRPr="00E73D4B" w14:paraId="09824B25"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12797D12" w14:textId="77777777" w:rsidR="00972395" w:rsidRPr="00E73D4B" w:rsidRDefault="00F120C7" w:rsidP="004A107D">
            <w:r w:rsidRPr="00E73D4B">
              <w:t>2020–2021</w:t>
            </w:r>
          </w:p>
        </w:tc>
        <w:tc>
          <w:tcPr>
            <w:tcW w:w="1134" w:type="dxa"/>
            <w:tcBorders>
              <w:top w:val="nil"/>
              <w:left w:val="nil"/>
              <w:bottom w:val="nil"/>
              <w:right w:val="nil"/>
            </w:tcBorders>
            <w:tcMar>
              <w:top w:w="128" w:type="dxa"/>
              <w:left w:w="43" w:type="dxa"/>
              <w:bottom w:w="43" w:type="dxa"/>
              <w:right w:w="43" w:type="dxa"/>
            </w:tcMar>
          </w:tcPr>
          <w:p w14:paraId="59BFD0A9" w14:textId="77777777" w:rsidR="00972395" w:rsidRPr="00E73D4B" w:rsidRDefault="00F120C7" w:rsidP="004A107D">
            <w:pPr>
              <w:jc w:val="right"/>
            </w:pPr>
            <w:r w:rsidRPr="00E73D4B">
              <w:t>732</w:t>
            </w:r>
          </w:p>
        </w:tc>
        <w:tc>
          <w:tcPr>
            <w:tcW w:w="4819" w:type="dxa"/>
            <w:tcBorders>
              <w:top w:val="nil"/>
              <w:left w:val="nil"/>
              <w:bottom w:val="nil"/>
              <w:right w:val="nil"/>
            </w:tcBorders>
            <w:tcMar>
              <w:top w:w="128" w:type="dxa"/>
              <w:left w:w="43" w:type="dxa"/>
              <w:bottom w:w="43" w:type="dxa"/>
              <w:right w:w="43" w:type="dxa"/>
            </w:tcMar>
          </w:tcPr>
          <w:p w14:paraId="2EB4DB48" w14:textId="77777777" w:rsidR="00972395" w:rsidRPr="00E73D4B" w:rsidRDefault="00F120C7" w:rsidP="004A107D">
            <w:r w:rsidRPr="00E73D4B">
              <w:t xml:space="preserve">Styrket beredskap for strømbrudd, flere øvelser og nasjonal kartlegging av nød-/reservestrøm i vitale samfunnsfunksjoner </w:t>
            </w:r>
          </w:p>
        </w:tc>
        <w:tc>
          <w:tcPr>
            <w:tcW w:w="1587" w:type="dxa"/>
            <w:tcBorders>
              <w:top w:val="nil"/>
              <w:left w:val="nil"/>
              <w:bottom w:val="nil"/>
              <w:right w:val="nil"/>
            </w:tcBorders>
            <w:tcMar>
              <w:top w:w="128" w:type="dxa"/>
              <w:left w:w="43" w:type="dxa"/>
              <w:bottom w:w="43" w:type="dxa"/>
              <w:right w:w="43" w:type="dxa"/>
            </w:tcMar>
            <w:vAlign w:val="bottom"/>
          </w:tcPr>
          <w:p w14:paraId="6B4D249B" w14:textId="77777777" w:rsidR="00972395" w:rsidRPr="00E73D4B" w:rsidRDefault="00F120C7" w:rsidP="004A107D">
            <w:pPr>
              <w:jc w:val="right"/>
            </w:pPr>
            <w:r w:rsidRPr="00E73D4B">
              <w:t>Ja</w:t>
            </w:r>
          </w:p>
        </w:tc>
      </w:tr>
      <w:tr w:rsidR="00972395" w:rsidRPr="00E73D4B" w14:paraId="4FF8C43B" w14:textId="77777777" w:rsidTr="004A107D">
        <w:trPr>
          <w:trHeight w:val="380"/>
        </w:trPr>
        <w:tc>
          <w:tcPr>
            <w:tcW w:w="1560" w:type="dxa"/>
            <w:tcBorders>
              <w:top w:val="nil"/>
              <w:left w:val="nil"/>
              <w:bottom w:val="nil"/>
              <w:right w:val="nil"/>
            </w:tcBorders>
            <w:tcMar>
              <w:top w:w="128" w:type="dxa"/>
              <w:left w:w="43" w:type="dxa"/>
              <w:bottom w:w="43" w:type="dxa"/>
              <w:right w:w="43" w:type="dxa"/>
            </w:tcMar>
          </w:tcPr>
          <w:p w14:paraId="66896F3B" w14:textId="77777777" w:rsidR="00972395" w:rsidRPr="00E73D4B" w:rsidRDefault="00F120C7" w:rsidP="004A107D">
            <w:r w:rsidRPr="00E73D4B">
              <w:t>2020–2021</w:t>
            </w:r>
          </w:p>
        </w:tc>
        <w:tc>
          <w:tcPr>
            <w:tcW w:w="1134" w:type="dxa"/>
            <w:tcBorders>
              <w:top w:val="nil"/>
              <w:left w:val="nil"/>
              <w:bottom w:val="nil"/>
              <w:right w:val="nil"/>
            </w:tcBorders>
            <w:tcMar>
              <w:top w:w="128" w:type="dxa"/>
              <w:left w:w="43" w:type="dxa"/>
              <w:bottom w:w="43" w:type="dxa"/>
              <w:right w:w="43" w:type="dxa"/>
            </w:tcMar>
          </w:tcPr>
          <w:p w14:paraId="417D0B64" w14:textId="77777777" w:rsidR="00972395" w:rsidRPr="00E73D4B" w:rsidRDefault="00F120C7" w:rsidP="004A107D">
            <w:pPr>
              <w:jc w:val="right"/>
            </w:pPr>
            <w:r w:rsidRPr="00E73D4B">
              <w:t>796</w:t>
            </w:r>
          </w:p>
        </w:tc>
        <w:tc>
          <w:tcPr>
            <w:tcW w:w="4819" w:type="dxa"/>
            <w:tcBorders>
              <w:top w:val="nil"/>
              <w:left w:val="nil"/>
              <w:bottom w:val="nil"/>
              <w:right w:val="nil"/>
            </w:tcBorders>
            <w:tcMar>
              <w:top w:w="128" w:type="dxa"/>
              <w:left w:w="43" w:type="dxa"/>
              <w:bottom w:w="43" w:type="dxa"/>
              <w:right w:w="43" w:type="dxa"/>
            </w:tcMar>
          </w:tcPr>
          <w:p w14:paraId="752AD6D0" w14:textId="77777777" w:rsidR="00972395" w:rsidRPr="00E73D4B" w:rsidRDefault="00F120C7" w:rsidP="004A107D">
            <w:r w:rsidRPr="00E73D4B">
              <w:t>Veileder for konsesjon for havvind</w:t>
            </w:r>
          </w:p>
        </w:tc>
        <w:tc>
          <w:tcPr>
            <w:tcW w:w="1587" w:type="dxa"/>
            <w:tcBorders>
              <w:top w:val="nil"/>
              <w:left w:val="nil"/>
              <w:bottom w:val="nil"/>
              <w:right w:val="nil"/>
            </w:tcBorders>
            <w:tcMar>
              <w:top w:w="128" w:type="dxa"/>
              <w:left w:w="43" w:type="dxa"/>
              <w:bottom w:w="43" w:type="dxa"/>
              <w:right w:w="43" w:type="dxa"/>
            </w:tcMar>
            <w:vAlign w:val="bottom"/>
          </w:tcPr>
          <w:p w14:paraId="077FE174" w14:textId="77777777" w:rsidR="00972395" w:rsidRPr="00E73D4B" w:rsidRDefault="00F120C7" w:rsidP="004A107D">
            <w:pPr>
              <w:jc w:val="right"/>
            </w:pPr>
            <w:r w:rsidRPr="00E73D4B">
              <w:t>Ja</w:t>
            </w:r>
          </w:p>
        </w:tc>
      </w:tr>
      <w:tr w:rsidR="00972395" w:rsidRPr="00E73D4B" w14:paraId="1A14CB3E" w14:textId="77777777" w:rsidTr="004A107D">
        <w:trPr>
          <w:trHeight w:val="640"/>
        </w:trPr>
        <w:tc>
          <w:tcPr>
            <w:tcW w:w="1560" w:type="dxa"/>
            <w:tcBorders>
              <w:top w:val="nil"/>
              <w:left w:val="nil"/>
              <w:bottom w:val="nil"/>
              <w:right w:val="nil"/>
            </w:tcBorders>
            <w:tcMar>
              <w:top w:w="128" w:type="dxa"/>
              <w:left w:w="43" w:type="dxa"/>
              <w:bottom w:w="43" w:type="dxa"/>
              <w:right w:w="43" w:type="dxa"/>
            </w:tcMar>
          </w:tcPr>
          <w:p w14:paraId="158CE1E7" w14:textId="77777777" w:rsidR="00972395" w:rsidRPr="00E73D4B" w:rsidRDefault="00F120C7" w:rsidP="004A107D">
            <w:r w:rsidRPr="00E73D4B">
              <w:t>2019–2020</w:t>
            </w:r>
          </w:p>
        </w:tc>
        <w:tc>
          <w:tcPr>
            <w:tcW w:w="1134" w:type="dxa"/>
            <w:tcBorders>
              <w:top w:val="nil"/>
              <w:left w:val="nil"/>
              <w:bottom w:val="nil"/>
              <w:right w:val="nil"/>
            </w:tcBorders>
            <w:tcMar>
              <w:top w:w="128" w:type="dxa"/>
              <w:left w:w="43" w:type="dxa"/>
              <w:bottom w:w="43" w:type="dxa"/>
              <w:right w:w="43" w:type="dxa"/>
            </w:tcMar>
          </w:tcPr>
          <w:p w14:paraId="58C325EC" w14:textId="77777777" w:rsidR="00972395" w:rsidRPr="00E73D4B" w:rsidRDefault="00F120C7" w:rsidP="004A107D">
            <w:pPr>
              <w:jc w:val="right"/>
            </w:pPr>
            <w:r w:rsidRPr="00E73D4B">
              <w:t>683</w:t>
            </w:r>
          </w:p>
        </w:tc>
        <w:tc>
          <w:tcPr>
            <w:tcW w:w="4819" w:type="dxa"/>
            <w:tcBorders>
              <w:top w:val="nil"/>
              <w:left w:val="nil"/>
              <w:bottom w:val="nil"/>
              <w:right w:val="nil"/>
            </w:tcBorders>
            <w:tcMar>
              <w:top w:w="128" w:type="dxa"/>
              <w:left w:w="43" w:type="dxa"/>
              <w:bottom w:w="43" w:type="dxa"/>
              <w:right w:w="43" w:type="dxa"/>
            </w:tcMar>
          </w:tcPr>
          <w:p w14:paraId="5192A1C1" w14:textId="77777777" w:rsidR="00972395" w:rsidRPr="00E73D4B" w:rsidRDefault="00F120C7" w:rsidP="004A107D">
            <w:r w:rsidRPr="00E73D4B">
              <w:t>Null- og lavutslippsløsninger for offshorefartøy i petroleumsproduksjon</w:t>
            </w:r>
          </w:p>
        </w:tc>
        <w:tc>
          <w:tcPr>
            <w:tcW w:w="1587" w:type="dxa"/>
            <w:tcBorders>
              <w:top w:val="nil"/>
              <w:left w:val="nil"/>
              <w:bottom w:val="nil"/>
              <w:right w:val="nil"/>
            </w:tcBorders>
            <w:tcMar>
              <w:top w:w="128" w:type="dxa"/>
              <w:left w:w="43" w:type="dxa"/>
              <w:bottom w:w="43" w:type="dxa"/>
              <w:right w:w="43" w:type="dxa"/>
            </w:tcMar>
            <w:vAlign w:val="bottom"/>
          </w:tcPr>
          <w:p w14:paraId="01544CD9" w14:textId="77777777" w:rsidR="00972395" w:rsidRPr="00E73D4B" w:rsidRDefault="00F120C7" w:rsidP="004A107D">
            <w:pPr>
              <w:jc w:val="right"/>
            </w:pPr>
            <w:r w:rsidRPr="00E73D4B">
              <w:t>Nei</w:t>
            </w:r>
          </w:p>
        </w:tc>
      </w:tr>
      <w:tr w:rsidR="00972395" w:rsidRPr="00E73D4B" w14:paraId="2D2CFD8D" w14:textId="77777777" w:rsidTr="004A107D">
        <w:trPr>
          <w:trHeight w:val="640"/>
        </w:trPr>
        <w:tc>
          <w:tcPr>
            <w:tcW w:w="1560" w:type="dxa"/>
            <w:tcBorders>
              <w:top w:val="nil"/>
              <w:left w:val="nil"/>
              <w:right w:val="nil"/>
            </w:tcBorders>
            <w:tcMar>
              <w:top w:w="128" w:type="dxa"/>
              <w:left w:w="43" w:type="dxa"/>
              <w:bottom w:w="43" w:type="dxa"/>
              <w:right w:w="43" w:type="dxa"/>
            </w:tcMar>
          </w:tcPr>
          <w:p w14:paraId="2AC5DC06" w14:textId="77777777" w:rsidR="00972395" w:rsidRPr="00E73D4B" w:rsidRDefault="00F120C7" w:rsidP="004A107D">
            <w:r w:rsidRPr="00E73D4B">
              <w:t>2019–2020</w:t>
            </w:r>
          </w:p>
        </w:tc>
        <w:tc>
          <w:tcPr>
            <w:tcW w:w="1134" w:type="dxa"/>
            <w:tcBorders>
              <w:top w:val="nil"/>
              <w:left w:val="nil"/>
              <w:right w:val="nil"/>
            </w:tcBorders>
            <w:tcMar>
              <w:top w:w="128" w:type="dxa"/>
              <w:left w:w="43" w:type="dxa"/>
              <w:bottom w:w="43" w:type="dxa"/>
              <w:right w:w="43" w:type="dxa"/>
            </w:tcMar>
          </w:tcPr>
          <w:p w14:paraId="039690A3" w14:textId="77777777" w:rsidR="00972395" w:rsidRPr="00E73D4B" w:rsidRDefault="00F120C7" w:rsidP="004A107D">
            <w:pPr>
              <w:jc w:val="right"/>
            </w:pPr>
            <w:r w:rsidRPr="00E73D4B">
              <w:t>687</w:t>
            </w:r>
          </w:p>
        </w:tc>
        <w:tc>
          <w:tcPr>
            <w:tcW w:w="4819" w:type="dxa"/>
            <w:tcBorders>
              <w:top w:val="nil"/>
              <w:left w:val="nil"/>
              <w:right w:val="nil"/>
            </w:tcBorders>
            <w:tcMar>
              <w:top w:w="128" w:type="dxa"/>
              <w:left w:w="43" w:type="dxa"/>
              <w:bottom w:w="43" w:type="dxa"/>
              <w:right w:w="43" w:type="dxa"/>
            </w:tcMar>
          </w:tcPr>
          <w:p w14:paraId="42376CC2" w14:textId="77777777" w:rsidR="00972395" w:rsidRPr="00E73D4B" w:rsidRDefault="00F120C7" w:rsidP="004A107D">
            <w:r w:rsidRPr="00E73D4B">
              <w:t>Utrede ringvirkninger på fastlandet ved nye utbygginger som omfattes av de midlertidige endringene i petroleumsskatten</w:t>
            </w:r>
          </w:p>
        </w:tc>
        <w:tc>
          <w:tcPr>
            <w:tcW w:w="1587" w:type="dxa"/>
            <w:tcBorders>
              <w:top w:val="nil"/>
              <w:left w:val="nil"/>
              <w:right w:val="nil"/>
            </w:tcBorders>
            <w:tcMar>
              <w:top w:w="128" w:type="dxa"/>
              <w:left w:w="43" w:type="dxa"/>
              <w:bottom w:w="43" w:type="dxa"/>
              <w:right w:w="43" w:type="dxa"/>
            </w:tcMar>
            <w:vAlign w:val="bottom"/>
          </w:tcPr>
          <w:p w14:paraId="63541EC3" w14:textId="77777777" w:rsidR="00972395" w:rsidRPr="00E73D4B" w:rsidRDefault="00F120C7" w:rsidP="004A107D">
            <w:pPr>
              <w:jc w:val="right"/>
            </w:pPr>
            <w:r w:rsidRPr="00E73D4B">
              <w:t>Nei</w:t>
            </w:r>
          </w:p>
        </w:tc>
      </w:tr>
      <w:tr w:rsidR="00972395" w:rsidRPr="00E73D4B" w14:paraId="4CDBD2E1" w14:textId="77777777" w:rsidTr="004A107D">
        <w:trPr>
          <w:trHeight w:val="380"/>
        </w:trPr>
        <w:tc>
          <w:tcPr>
            <w:tcW w:w="1560" w:type="dxa"/>
            <w:tcBorders>
              <w:top w:val="nil"/>
              <w:left w:val="nil"/>
              <w:bottom w:val="single" w:sz="4" w:space="0" w:color="000000"/>
              <w:right w:val="nil"/>
            </w:tcBorders>
            <w:shd w:val="clear" w:color="auto" w:fill="auto"/>
            <w:tcMar>
              <w:top w:w="128" w:type="dxa"/>
              <w:left w:w="43" w:type="dxa"/>
              <w:bottom w:w="43" w:type="dxa"/>
              <w:right w:w="43" w:type="dxa"/>
            </w:tcMar>
          </w:tcPr>
          <w:p w14:paraId="3207D47A" w14:textId="77777777" w:rsidR="00972395" w:rsidRPr="00E73D4B" w:rsidRDefault="00F120C7" w:rsidP="004A107D">
            <w:r w:rsidRPr="00E73D4B">
              <w:t>2016–2017</w:t>
            </w:r>
          </w:p>
        </w:tc>
        <w:tc>
          <w:tcPr>
            <w:tcW w:w="1134" w:type="dxa"/>
            <w:tcBorders>
              <w:top w:val="nil"/>
              <w:left w:val="nil"/>
              <w:bottom w:val="single" w:sz="4" w:space="0" w:color="000000"/>
              <w:right w:val="nil"/>
            </w:tcBorders>
            <w:shd w:val="clear" w:color="auto" w:fill="auto"/>
            <w:tcMar>
              <w:top w:w="128" w:type="dxa"/>
              <w:left w:w="43" w:type="dxa"/>
              <w:bottom w:w="43" w:type="dxa"/>
              <w:right w:w="43" w:type="dxa"/>
            </w:tcMar>
          </w:tcPr>
          <w:p w14:paraId="716F2662" w14:textId="77777777" w:rsidR="00972395" w:rsidRPr="00E73D4B" w:rsidRDefault="00F120C7" w:rsidP="004A107D">
            <w:pPr>
              <w:jc w:val="right"/>
            </w:pPr>
            <w:r w:rsidRPr="00E73D4B">
              <w:t>714</w:t>
            </w:r>
          </w:p>
        </w:tc>
        <w:tc>
          <w:tcPr>
            <w:tcW w:w="4819" w:type="dxa"/>
            <w:tcBorders>
              <w:top w:val="nil"/>
              <w:left w:val="nil"/>
              <w:bottom w:val="single" w:sz="4" w:space="0" w:color="000000"/>
              <w:right w:val="nil"/>
            </w:tcBorders>
            <w:shd w:val="clear" w:color="auto" w:fill="auto"/>
            <w:tcMar>
              <w:top w:w="128" w:type="dxa"/>
              <w:left w:w="43" w:type="dxa"/>
              <w:bottom w:w="43" w:type="dxa"/>
              <w:right w:w="43" w:type="dxa"/>
            </w:tcMar>
          </w:tcPr>
          <w:p w14:paraId="5020642E" w14:textId="77777777" w:rsidR="00972395" w:rsidRPr="00E73D4B" w:rsidRDefault="00F120C7" w:rsidP="004A107D">
            <w:r w:rsidRPr="00E73D4B">
              <w:t xml:space="preserve">Mål om 10 </w:t>
            </w:r>
            <w:proofErr w:type="spellStart"/>
            <w:r w:rsidRPr="00E73D4B">
              <w:t>TWh</w:t>
            </w:r>
            <w:proofErr w:type="spellEnd"/>
            <w:r w:rsidRPr="00E73D4B">
              <w:t xml:space="preserve"> redusert energibruk i bygg innen 2030</w:t>
            </w:r>
          </w:p>
        </w:tc>
        <w:tc>
          <w:tcPr>
            <w:tcW w:w="15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5B005D1" w14:textId="77777777" w:rsidR="00972395" w:rsidRPr="00E73D4B" w:rsidRDefault="00F120C7" w:rsidP="004A107D">
            <w:pPr>
              <w:jc w:val="right"/>
            </w:pPr>
            <w:r w:rsidRPr="00E73D4B">
              <w:t>Ja</w:t>
            </w:r>
          </w:p>
        </w:tc>
      </w:tr>
    </w:tbl>
    <w:p w14:paraId="36A57DE2" w14:textId="77777777" w:rsidR="00972395" w:rsidRPr="00E73D4B" w:rsidRDefault="00F120C7" w:rsidP="004A107D">
      <w:pPr>
        <w:pStyle w:val="Overskrift2"/>
        <w:numPr>
          <w:ilvl w:val="1"/>
          <w:numId w:val="39"/>
        </w:numPr>
      </w:pPr>
      <w:r w:rsidRPr="00E73D4B">
        <w:t>Stortingssesjon 2021–2022</w:t>
      </w:r>
    </w:p>
    <w:p w14:paraId="05DB2A16" w14:textId="77777777" w:rsidR="00972395" w:rsidRPr="00E73D4B" w:rsidRDefault="00F120C7" w:rsidP="00E73D4B">
      <w:pPr>
        <w:pStyle w:val="avsnitt-tittel"/>
      </w:pPr>
      <w:r w:rsidRPr="00E73D4B">
        <w:t xml:space="preserve">Redusere energibruken i bygg med minst 10 </w:t>
      </w:r>
      <w:proofErr w:type="spellStart"/>
      <w:r w:rsidRPr="00E73D4B">
        <w:t>TWh</w:t>
      </w:r>
      <w:proofErr w:type="spellEnd"/>
      <w:r w:rsidRPr="00E73D4B">
        <w:t>, og øke strømproduksjonen i bygg</w:t>
      </w:r>
    </w:p>
    <w:p w14:paraId="43EA3F72" w14:textId="77777777" w:rsidR="00972395" w:rsidRPr="00E73D4B" w:rsidRDefault="00F120C7" w:rsidP="00E73D4B">
      <w:pPr>
        <w:pStyle w:val="avsnitt-undertittel"/>
      </w:pPr>
      <w:r w:rsidRPr="00E73D4B">
        <w:t>Vedtak 35-5, 2. desember 2021</w:t>
      </w:r>
    </w:p>
    <w:p w14:paraId="0C90CDC3" w14:textId="77777777" w:rsidR="00972395" w:rsidRPr="00E73D4B" w:rsidRDefault="00F120C7" w:rsidP="00E73D4B">
      <w:pPr>
        <w:pStyle w:val="blokksit"/>
      </w:pPr>
      <w:r w:rsidRPr="00E73D4B">
        <w:t>«</w:t>
      </w:r>
      <w:r w:rsidRPr="00E73D4B">
        <w:rPr>
          <w:rStyle w:val="kursiv"/>
        </w:rPr>
        <w:t xml:space="preserve">Stortinget ber regjeringen utarbeide en plan med et sett tiltak som skal redusere energibruken i bygg med minst 10 </w:t>
      </w:r>
      <w:proofErr w:type="spellStart"/>
      <w:r w:rsidRPr="00E73D4B">
        <w:rPr>
          <w:rStyle w:val="kursiv"/>
        </w:rPr>
        <w:t>TWh</w:t>
      </w:r>
      <w:proofErr w:type="spellEnd"/>
      <w:r w:rsidRPr="00E73D4B">
        <w:rPr>
          <w:rStyle w:val="kursiv"/>
        </w:rPr>
        <w:t xml:space="preserve"> i 2030, og øke strømproduksjonen i bygg. Planen skal presenteres i forbindelse med statsbudsjettet 2023.</w:t>
      </w:r>
      <w:r w:rsidRPr="00E73D4B">
        <w:t>»</w:t>
      </w:r>
    </w:p>
    <w:p w14:paraId="2A32610C" w14:textId="77777777" w:rsidR="00972395" w:rsidRPr="00E73D4B" w:rsidRDefault="00F120C7" w:rsidP="00E73D4B">
      <w:r w:rsidRPr="00E73D4B">
        <w:t xml:space="preserve">Dokumentene som ligger til grunn for vedtaket er Meld. St. 1 (2021–2022) og </w:t>
      </w:r>
      <w:proofErr w:type="spellStart"/>
      <w:r w:rsidRPr="00E73D4B">
        <w:t>Innst</w:t>
      </w:r>
      <w:proofErr w:type="spellEnd"/>
      <w:r w:rsidRPr="00E73D4B">
        <w:t>. 2 S (2021–2022).</w:t>
      </w:r>
    </w:p>
    <w:p w14:paraId="69C1CD78" w14:textId="77777777" w:rsidR="00972395" w:rsidRPr="00E73D4B" w:rsidRDefault="00F120C7" w:rsidP="00E73D4B">
      <w:r w:rsidRPr="00E73D4B">
        <w:t xml:space="preserve">I punkt 10 Mål om 10 </w:t>
      </w:r>
      <w:proofErr w:type="spellStart"/>
      <w:r w:rsidRPr="00E73D4B">
        <w:t>TWh</w:t>
      </w:r>
      <w:proofErr w:type="spellEnd"/>
      <w:r w:rsidRPr="00E73D4B">
        <w:t xml:space="preserve"> redusert energibruk i bygg innen 2030, i proposisjonens Del III, er det presentert en plan og et sett av tiltak som skal redusere energibruken i bygg med minst 10 </w:t>
      </w:r>
      <w:proofErr w:type="spellStart"/>
      <w:r w:rsidRPr="00E73D4B">
        <w:t>TWh</w:t>
      </w:r>
      <w:proofErr w:type="spellEnd"/>
      <w:r w:rsidRPr="00E73D4B">
        <w:t xml:space="preserve"> i 2030 og øke strømproduksjonen i bygg.</w:t>
      </w:r>
    </w:p>
    <w:p w14:paraId="4AF452B4" w14:textId="77777777" w:rsidR="00972395" w:rsidRPr="00E73D4B" w:rsidRDefault="00F120C7" w:rsidP="00E73D4B">
      <w:r w:rsidRPr="00E73D4B">
        <w:t>Departementet anser med denne redegjørelsen og planen anmodningsvedtaket som fulgt opp.</w:t>
      </w:r>
    </w:p>
    <w:p w14:paraId="1A15A2A1" w14:textId="77777777" w:rsidR="00972395" w:rsidRPr="00E73D4B" w:rsidRDefault="00F120C7" w:rsidP="00E73D4B">
      <w:pPr>
        <w:pStyle w:val="avsnitt-tittel"/>
      </w:pPr>
      <w:r w:rsidRPr="00E73D4B">
        <w:t>Ikke utlyse ny ordinær konsesjonsrunde på norsk sokkel i 2022</w:t>
      </w:r>
    </w:p>
    <w:p w14:paraId="4B0CA8CB" w14:textId="77777777" w:rsidR="00972395" w:rsidRPr="00E73D4B" w:rsidRDefault="00F120C7" w:rsidP="00E73D4B">
      <w:pPr>
        <w:pStyle w:val="avsnitt-undertittel"/>
      </w:pPr>
      <w:r w:rsidRPr="00E73D4B">
        <w:t>Vedtak 35-18, 2. desember 2021</w:t>
      </w:r>
    </w:p>
    <w:p w14:paraId="3FB45753" w14:textId="77777777" w:rsidR="00972395" w:rsidRPr="00E73D4B" w:rsidRDefault="00F120C7" w:rsidP="00E73D4B">
      <w:pPr>
        <w:pStyle w:val="blokksit"/>
      </w:pPr>
      <w:r w:rsidRPr="00E73D4B">
        <w:t>«</w:t>
      </w:r>
      <w:r w:rsidRPr="00E73D4B">
        <w:rPr>
          <w:rStyle w:val="kursiv"/>
        </w:rPr>
        <w:t>Stortinget ber regjeringen ikke utlyse en ny ordinær konsesjonsrunde (26. konsesjonsrunde) på norsk sokkel i 2022.</w:t>
      </w:r>
      <w:r w:rsidRPr="00E73D4B">
        <w:t>»</w:t>
      </w:r>
    </w:p>
    <w:p w14:paraId="0486F45B" w14:textId="77777777" w:rsidR="00972395" w:rsidRPr="00E73D4B" w:rsidRDefault="00F120C7" w:rsidP="00E73D4B">
      <w:r w:rsidRPr="00E73D4B">
        <w:t xml:space="preserve">Dokumentene som ligger til grunn for vedtaket er Meld. St. 1 (2021–2022) og </w:t>
      </w:r>
      <w:proofErr w:type="spellStart"/>
      <w:r w:rsidRPr="00E73D4B">
        <w:t>Innst</w:t>
      </w:r>
      <w:proofErr w:type="spellEnd"/>
      <w:r w:rsidRPr="00E73D4B">
        <w:t>. 2 S (2021–2022).</w:t>
      </w:r>
    </w:p>
    <w:p w14:paraId="4858FB6F" w14:textId="77777777" w:rsidR="00972395" w:rsidRPr="00E73D4B" w:rsidRDefault="00F120C7" w:rsidP="00E73D4B">
      <w:r w:rsidRPr="00E73D4B">
        <w:t>Det gjennomføres ikke en ordinær nummerert konsesjonsrunde (26. konsesjonsrunde) i 2022.</w:t>
      </w:r>
    </w:p>
    <w:p w14:paraId="18B2A9E4" w14:textId="77777777" w:rsidR="00972395" w:rsidRPr="00E73D4B" w:rsidRDefault="00F120C7" w:rsidP="00E73D4B">
      <w:r w:rsidRPr="00E73D4B">
        <w:t>Departementet anser med dette anmodningsvedtaket som fulgt opp.</w:t>
      </w:r>
    </w:p>
    <w:p w14:paraId="192C5E22" w14:textId="77777777" w:rsidR="00972395" w:rsidRPr="00E73D4B" w:rsidRDefault="00F120C7" w:rsidP="00E73D4B">
      <w:pPr>
        <w:pStyle w:val="avsnitt-tittel"/>
      </w:pPr>
      <w:r w:rsidRPr="00E73D4B">
        <w:t>Legge til rette for storskala grønn hydrogenproduksjon</w:t>
      </w:r>
    </w:p>
    <w:p w14:paraId="5623EAB5" w14:textId="77777777" w:rsidR="00972395" w:rsidRPr="00E73D4B" w:rsidRDefault="00F120C7" w:rsidP="00E73D4B">
      <w:pPr>
        <w:pStyle w:val="avsnitt-undertittel"/>
      </w:pPr>
      <w:r w:rsidRPr="00E73D4B">
        <w:t>Vedtak 35-25, 2. desember 2021</w:t>
      </w:r>
    </w:p>
    <w:p w14:paraId="3AF00FF9" w14:textId="77777777" w:rsidR="00972395" w:rsidRPr="00E73D4B" w:rsidRDefault="00F120C7" w:rsidP="00E73D4B">
      <w:pPr>
        <w:pStyle w:val="blokksit"/>
      </w:pPr>
      <w:r w:rsidRPr="00E73D4B">
        <w:t>«</w:t>
      </w:r>
      <w:r w:rsidRPr="00E73D4B">
        <w:rPr>
          <w:rStyle w:val="kursiv"/>
        </w:rPr>
        <w:t>Stortinget ber regjeringen legge til rette for storskala grønn hydrogenproduksjon.</w:t>
      </w:r>
      <w:r w:rsidRPr="00E73D4B">
        <w:t>»</w:t>
      </w:r>
    </w:p>
    <w:p w14:paraId="26A1A4B7" w14:textId="77777777" w:rsidR="00972395" w:rsidRPr="00E73D4B" w:rsidRDefault="00F120C7" w:rsidP="00E73D4B">
      <w:r w:rsidRPr="00E73D4B">
        <w:t xml:space="preserve">Dokumentene som ligger til grunn for vedtaket er Meld. St. 1 (2021–2022) og </w:t>
      </w:r>
      <w:proofErr w:type="spellStart"/>
      <w:r w:rsidRPr="00E73D4B">
        <w:t>Innst</w:t>
      </w:r>
      <w:proofErr w:type="spellEnd"/>
      <w:r w:rsidRPr="00E73D4B">
        <w:t>. 2 S (2021–2022).</w:t>
      </w:r>
    </w:p>
    <w:p w14:paraId="2238D17B" w14:textId="77777777" w:rsidR="00972395" w:rsidRPr="00E73D4B" w:rsidRDefault="00F120C7" w:rsidP="00E73D4B">
      <w:r w:rsidRPr="00E73D4B">
        <w:t>Hydrogen er en energibærer med betydelig potensial til å redusere utslipp fra en rekke sektorer. For at hydrogen skal være en klimavennlig energibærer, er det en forutsetning at hydrogenet produseres med ingen eller lave utslipp.</w:t>
      </w:r>
      <w:r w:rsidRPr="00E73D4B">
        <w:rPr>
          <w:rStyle w:val="Fotnotereferanse"/>
        </w:rPr>
        <w:footnoteReference w:id="2"/>
      </w:r>
      <w:r w:rsidRPr="00E73D4B">
        <w:t xml:space="preserve"> Hydrogen kan særlig spille en rolle der hvor direkte elektrifisering, batterier eller annen nullutslippsteknologi ikke er egnet, noe som i dag gjelder først og fremst industrien og transportsektoren. Det er likevel stor usikkerhet om og eventuelt når et hydrogenmarked vil oppnå en størrelse av betydning.</w:t>
      </w:r>
    </w:p>
    <w:p w14:paraId="78C91CB8" w14:textId="77777777" w:rsidR="00972395" w:rsidRPr="00E73D4B" w:rsidRDefault="00F120C7" w:rsidP="00E73D4B">
      <w:r w:rsidRPr="00E73D4B">
        <w:t xml:space="preserve">Regjeringen vil bidra til å bygge opp en sammenhengende verdikjede for hydrogen produsert med lave eller ingen utslipp der produksjon, distribusjon og bruk utvikles parallelt. Regjeringen har tydeliggjort sin politikk for utvikling av hydrogen i Meld. St. 11 (2021–2022) </w:t>
      </w:r>
      <w:r w:rsidRPr="00E73D4B">
        <w:rPr>
          <w:rStyle w:val="kursiv"/>
        </w:rPr>
        <w:t>Tilleggsmelding til Meld. St. 36 (2020–2021) Energi til arbeid – langsiktig verdiskaping fra norske energiressurser</w:t>
      </w:r>
      <w:r w:rsidRPr="00E73D4B">
        <w:t xml:space="preserve"> og i regjeringens veikart for grønt industriløft.</w:t>
      </w:r>
    </w:p>
    <w:p w14:paraId="565FB228" w14:textId="77777777" w:rsidR="00972395" w:rsidRPr="00E73D4B" w:rsidRDefault="00F120C7" w:rsidP="00E73D4B">
      <w:r w:rsidRPr="00E73D4B">
        <w:t>Det finnes i dag mange prosjekter over hele landet som planlegger å produsere, distribuere og bruke hydrogen produsert med lave eller ingen utslipp. De fleste av disse er i startfasen, og har mottatt støtte fra staten gjennom ulike ordninger. For å bidra til å utvikle et marked og en helhetlig verdikjede for hydrogen, bidrar staten i dag gjennom en rekke virkemidler. Dette er blant annet gjennom støtte til forskning, utvikling og demonstrasjon, etablering av knutepunkter og infrastruktur, og gjennom krav i offentlige anskaffelser.</w:t>
      </w:r>
    </w:p>
    <w:p w14:paraId="3042975A" w14:textId="77777777" w:rsidR="00972395" w:rsidRPr="00E73D4B" w:rsidRDefault="00F120C7" w:rsidP="00E73D4B">
      <w:proofErr w:type="spellStart"/>
      <w:r w:rsidRPr="00E73D4B">
        <w:t>Enova</w:t>
      </w:r>
      <w:proofErr w:type="spellEnd"/>
      <w:r w:rsidRPr="00E73D4B">
        <w:t xml:space="preserve"> støtter pilot- og demonstrasjonsprosjekter i hele verdikjeden for hydrogen, samt infrastruktur, og tidlig markedsintroduksjon når det blir aktuelt. I juni 2022 annonserte </w:t>
      </w:r>
      <w:proofErr w:type="spellStart"/>
      <w:r w:rsidRPr="00E73D4B">
        <w:t>Enova</w:t>
      </w:r>
      <w:proofErr w:type="spellEnd"/>
      <w:r w:rsidRPr="00E73D4B">
        <w:t xml:space="preserve"> at de støtter hydrogenprosjekter i maritim sektor med 1,12 mrd. kroner, hvorav 669 mill. kroner går til å støtte etableringen av fem knutepunkt for produksjon og distribusjon av fornybart hydrogen langs norskekysten og 451,3 mill. kroner går til å støtte sju hydrogen- og ammoniakkdrevne fartøy. I desember 2021 hadde også </w:t>
      </w:r>
      <w:proofErr w:type="spellStart"/>
      <w:r w:rsidRPr="00E73D4B">
        <w:t>Enova</w:t>
      </w:r>
      <w:proofErr w:type="spellEnd"/>
      <w:r w:rsidRPr="00E73D4B">
        <w:t xml:space="preserve"> en større tildeling til hydrogen, hvor de ga tilsagn om støtte på over 1 mrd. kroner til tre prosjekter som på hver sin måte bidrar til teknologiutvikling og demonstrasjon innen produksjon og bruk av hydrogen til industrielle formål.</w:t>
      </w:r>
    </w:p>
    <w:p w14:paraId="05B523FA" w14:textId="77777777" w:rsidR="00972395" w:rsidRPr="00E73D4B" w:rsidRDefault="00F120C7" w:rsidP="00E73D4B">
      <w:r w:rsidRPr="00E73D4B">
        <w:t>Olje- og energidepartementet har satt i gang en ekstern utredning av hvordan staten kan bidra til å bygge opp en sammenhengende verdikjede for hydrogen produsert med lave eller ingen utslipp, der produksjon, distribusjon og bruk utvikles parallelt. Utredningen vil blant annet identifisere eventuelle markedssvikter som tilsier at staten ut fra samfunnsøkonomiske hensyn bør bidra til å bygge opp en økonomisk bærekraftig verdikjede for hydrogen. Utredningen vil også gi en oversikt over eksisterende relevante virkemidler nasjonalt, i EU og i europeiske land. Videre vil utredningen vurdere behovet for, og eventuelt innretningen av, forsterkede virkemidler på området, herunder bruk av statlig eierskap. Vurderingen skal ta for seg fordeler og ulemper, herunder kostnader for aktører og staten og ta hensyn til at det er begrensede midler. Utredningen vil inkludere tre scenarier for den videre utviklingen av et hydrogenmarked i Norge på et henholdsvis lavt, middels og høyt nivå for produksjon og bruk. Utreder skal også sette produksjon og bruk av hydrogen i sammenheng med det større energisystemet.</w:t>
      </w:r>
    </w:p>
    <w:p w14:paraId="1131DDDA" w14:textId="77777777" w:rsidR="00972395" w:rsidRPr="00E73D4B" w:rsidRDefault="00F120C7" w:rsidP="00E73D4B">
      <w:r w:rsidRPr="00E73D4B">
        <w:t>Departementet anser med denne redegjørelsen anmodningsvedtaket som fulgt opp.</w:t>
      </w:r>
    </w:p>
    <w:p w14:paraId="4118B83B" w14:textId="77777777" w:rsidR="00972395" w:rsidRPr="00E73D4B" w:rsidRDefault="00F120C7" w:rsidP="00E73D4B">
      <w:pPr>
        <w:pStyle w:val="avsnitt-tittel"/>
      </w:pPr>
      <w:r w:rsidRPr="00E73D4B">
        <w:t>Elektrifisering av norsk ammoniakkproduksjon</w:t>
      </w:r>
    </w:p>
    <w:p w14:paraId="6C608693" w14:textId="77777777" w:rsidR="00972395" w:rsidRPr="00E73D4B" w:rsidRDefault="00F120C7" w:rsidP="00E73D4B">
      <w:pPr>
        <w:pStyle w:val="avsnitt-undertittel"/>
      </w:pPr>
      <w:r w:rsidRPr="00E73D4B">
        <w:t>Vedtak 35-26, 2. desember 2021</w:t>
      </w:r>
    </w:p>
    <w:p w14:paraId="4E1798C2" w14:textId="77777777" w:rsidR="00972395" w:rsidRPr="00E73D4B" w:rsidRDefault="00F120C7" w:rsidP="00E73D4B">
      <w:pPr>
        <w:pStyle w:val="blokksit"/>
      </w:pPr>
      <w:r w:rsidRPr="00E73D4B">
        <w:t>«</w:t>
      </w:r>
      <w:r w:rsidRPr="00E73D4B">
        <w:rPr>
          <w:rStyle w:val="kursiv"/>
        </w:rPr>
        <w:t>Stortinget ber regjeringen gå i dialog med industrien og vurdere hvordan norsk ammoniakkproduksjon kan elektrifiseres.</w:t>
      </w:r>
      <w:r w:rsidRPr="00E73D4B">
        <w:t>»</w:t>
      </w:r>
    </w:p>
    <w:p w14:paraId="7A4C1EEB" w14:textId="77777777" w:rsidR="00972395" w:rsidRPr="00E73D4B" w:rsidRDefault="00F120C7" w:rsidP="00E73D4B">
      <w:r w:rsidRPr="00E73D4B">
        <w:t xml:space="preserve">Dokumentene som ligger til grunn for vedtaket er Meld. St. 1 (2021–2022) og </w:t>
      </w:r>
      <w:proofErr w:type="spellStart"/>
      <w:r w:rsidRPr="00E73D4B">
        <w:t>Innst</w:t>
      </w:r>
      <w:proofErr w:type="spellEnd"/>
      <w:r w:rsidRPr="00E73D4B">
        <w:t>. 2 S (2021–2022).</w:t>
      </w:r>
    </w:p>
    <w:p w14:paraId="554B1268" w14:textId="77777777" w:rsidR="00972395" w:rsidRPr="00E73D4B" w:rsidRDefault="00F120C7" w:rsidP="00E73D4B">
      <w:r w:rsidRPr="00E73D4B">
        <w:t xml:space="preserve">Regjeringen vil bidra til å bygge opp en sammenhengende verdikjede for hydrogen produsert med lave eller ingen utslipp der produksjon, distribusjon og bruk utvikles parallelt. Regjeringen har tydeliggjort sin politikk for utvikling av hydrogen i Meld. St. 11 (2021–2022) </w:t>
      </w:r>
      <w:r w:rsidRPr="00E73D4B">
        <w:rPr>
          <w:rStyle w:val="kursiv"/>
        </w:rPr>
        <w:t>Tilleggsmelding til Meld. St. 36 (2020–2021) Energi til arbeid – langsiktig verdiskaping fra norske energiressurser</w:t>
      </w:r>
      <w:r w:rsidRPr="00E73D4B">
        <w:t xml:space="preserve"> og i regjeringens veikart for grønt industriløft.</w:t>
      </w:r>
    </w:p>
    <w:p w14:paraId="3C0E157F" w14:textId="77777777" w:rsidR="00972395" w:rsidRPr="00E73D4B" w:rsidRDefault="00F120C7" w:rsidP="00E73D4B">
      <w:r w:rsidRPr="00E73D4B">
        <w:t>Det finnes i dag mange prosjekter over hele landet som planlegger å produsere, distribuere og bruke hydrogen produsert med lave eller ingen utslipp. De fleste av disse er i startfasen, og har mottatt støtte fra staten gjennom ulike ordninger. For å bidra til å utvikle et marked og en helhetlig verdikjede for hydrogen bidrar staten i dag gjennom en rekke virkemidler, blant annet gjennom støtte til forskning, utvikling og demonstrasjon, støtte til etablering av knutepunkter og infrastruktur, og gjennom krav i offentlige anskaffelser.</w:t>
      </w:r>
    </w:p>
    <w:p w14:paraId="035B6A54" w14:textId="77777777" w:rsidR="00972395" w:rsidRPr="00E73D4B" w:rsidRDefault="00F120C7" w:rsidP="00E73D4B">
      <w:r w:rsidRPr="00E73D4B">
        <w:t>Olje- og energidepartementet viser til omtale av oppfølging av anmodningsvedtak 35-25, 2. desember 2021.</w:t>
      </w:r>
    </w:p>
    <w:p w14:paraId="650ACD0A" w14:textId="77777777" w:rsidR="00972395" w:rsidRPr="00E73D4B" w:rsidRDefault="00F120C7" w:rsidP="00E73D4B">
      <w:r w:rsidRPr="00E73D4B">
        <w:t>Olje- og energidepartementet har satt i gang en ekstern utredning av hvordan staten kan bidra til å bygge opp en sammenhengende verdikjede for hydrogen produsert med lave eller ingen utslipp, der produksjon, distribusjon og bruk utvikles parallelt. Utredningen vil blant annet identifisere eventuelle markedssvikter som tilsier at staten ut fra samfunnsøkonomiske hensyn bør bidra til å bygge opp en økonomisk bærekraftig verdikjede for hydrogen. Utredningen vil også gi en oversikt over eksisterende relevante virkemidler nasjonalt, i EU og i europeiske land. Videre vil utredningen vurdere behovet for, og eventuelt innretningen av, forsterkede virkemidler på området, herunder bruk av statlig eierskap. Vurderingen skal ta for seg fordeler og ulemper, herunder kostnader for aktører og staten og ta hensyn til at det er begrensede midler. Utredningen vil inkludere tre scenarier for den videre utviklingen av et hydrogenmarked i Norge på et henholdsvis lavt, middels og høyt nivå for produksjon og bruk. Utreder skal også sette produksjon og bruk av hydrogen i sammenheng med det større energisystemet.</w:t>
      </w:r>
    </w:p>
    <w:p w14:paraId="6A68DF22" w14:textId="77777777" w:rsidR="00972395" w:rsidRPr="00E73D4B" w:rsidRDefault="00F120C7" w:rsidP="00E73D4B">
      <w:r w:rsidRPr="00E73D4B">
        <w:t xml:space="preserve">Det er flere aktører i Norge som vurderer og planlegger produksjon av ammoniakk basert på grønt hydrogen. To av flere eksempler er Yara som planlegger å elektrifisere sin ammoniakkproduksjon på Herøya i Porsgrunn og Iverson </w:t>
      </w:r>
      <w:proofErr w:type="spellStart"/>
      <w:r w:rsidRPr="00E73D4B">
        <w:t>eFuels</w:t>
      </w:r>
      <w:proofErr w:type="spellEnd"/>
      <w:r w:rsidRPr="00E73D4B">
        <w:t xml:space="preserve"> som planlegger produksjon av grønn ammoniakk i Sauda. Departementet har jevnlig dialog med aktører innen hydrogen- og ammoniakkmarkedet og det er gjennomført flere møter med aktuelle aktører. Departementet vil fortsette dialogen med industrien.</w:t>
      </w:r>
    </w:p>
    <w:p w14:paraId="544507C6" w14:textId="77777777" w:rsidR="00972395" w:rsidRPr="00E73D4B" w:rsidRDefault="00F120C7" w:rsidP="00E73D4B">
      <w:r w:rsidRPr="00E73D4B">
        <w:t>Departementet anser med dette anmodningsvedtaket som fulgt opp.</w:t>
      </w:r>
    </w:p>
    <w:p w14:paraId="77480A66" w14:textId="77777777" w:rsidR="00972395" w:rsidRPr="00E73D4B" w:rsidRDefault="00F120C7" w:rsidP="00E73D4B">
      <w:pPr>
        <w:pStyle w:val="avsnitt-tittel"/>
      </w:pPr>
      <w:r w:rsidRPr="00E73D4B">
        <w:t>Drenering av høyrisikoområdet for store fjellskred ved Åknes i Stranda kommune</w:t>
      </w:r>
    </w:p>
    <w:p w14:paraId="21C3D23C" w14:textId="77777777" w:rsidR="00972395" w:rsidRPr="00E73D4B" w:rsidRDefault="00F120C7" w:rsidP="00E73D4B">
      <w:pPr>
        <w:pStyle w:val="avsnitt-undertittel"/>
      </w:pPr>
      <w:r w:rsidRPr="00E73D4B">
        <w:t>Vedtak 339, 6. januar 2022</w:t>
      </w:r>
    </w:p>
    <w:p w14:paraId="7064FFEA" w14:textId="77777777" w:rsidR="00972395" w:rsidRPr="00E73D4B" w:rsidRDefault="00F120C7" w:rsidP="00E73D4B">
      <w:pPr>
        <w:pStyle w:val="blokksit"/>
      </w:pPr>
      <w:r w:rsidRPr="00E73D4B">
        <w:t>«</w:t>
      </w:r>
      <w:r w:rsidRPr="00E73D4B">
        <w:rPr>
          <w:rStyle w:val="kursiv"/>
        </w:rPr>
        <w:t xml:space="preserve">Stortinget ber regjeringa sikre at det raskt vert utarbeidd </w:t>
      </w:r>
      <w:proofErr w:type="spellStart"/>
      <w:r w:rsidRPr="00E73D4B">
        <w:rPr>
          <w:rStyle w:val="kursiv"/>
        </w:rPr>
        <w:t>ein</w:t>
      </w:r>
      <w:proofErr w:type="spellEnd"/>
      <w:r w:rsidRPr="00E73D4B">
        <w:rPr>
          <w:rStyle w:val="kursiv"/>
        </w:rPr>
        <w:t xml:space="preserve"> plan for drenering av høgrisikoområdet for store fjellskred ved </w:t>
      </w:r>
      <w:proofErr w:type="spellStart"/>
      <w:r w:rsidRPr="00E73D4B">
        <w:rPr>
          <w:rStyle w:val="kursiv"/>
        </w:rPr>
        <w:t>Åkneset</w:t>
      </w:r>
      <w:proofErr w:type="spellEnd"/>
      <w:r w:rsidRPr="00E73D4B">
        <w:rPr>
          <w:rStyle w:val="kursiv"/>
        </w:rPr>
        <w:t xml:space="preserve"> i Stranda kommune.</w:t>
      </w:r>
      <w:r w:rsidRPr="00E73D4B">
        <w:t>»</w:t>
      </w:r>
    </w:p>
    <w:p w14:paraId="6DBAB615" w14:textId="77777777" w:rsidR="00972395" w:rsidRPr="00E73D4B" w:rsidRDefault="00F120C7" w:rsidP="00E73D4B">
      <w:r w:rsidRPr="00E73D4B">
        <w:t xml:space="preserve">Dokumentene som ligger til grunn for vedtaket er Dokument 8:20 S (2021–2022) og </w:t>
      </w:r>
      <w:proofErr w:type="spellStart"/>
      <w:r w:rsidRPr="00E73D4B">
        <w:t>Innst</w:t>
      </w:r>
      <w:proofErr w:type="spellEnd"/>
      <w:r w:rsidRPr="00E73D4B">
        <w:t>. 89 S (2021–2022).</w:t>
      </w:r>
    </w:p>
    <w:p w14:paraId="2EE82A0F" w14:textId="77777777" w:rsidR="00972395" w:rsidRPr="00E73D4B" w:rsidRDefault="00F120C7" w:rsidP="00E73D4B">
      <w:r w:rsidRPr="00E73D4B">
        <w:t xml:space="preserve">På oppdrag fra Olje- og energidepartementet har Norges vassdrags- og energidirektorat (NVE) utarbeidet en plan for drenering av det ustabile fjellpartiet Åknes i Stranda kommune. Planen ble oversendt departementet i juli 2022. Planen beskriver aktuelle tiltak som skal </w:t>
      </w:r>
      <w:proofErr w:type="spellStart"/>
      <w:r w:rsidRPr="00E73D4B">
        <w:t>detaljutredes</w:t>
      </w:r>
      <w:proofErr w:type="spellEnd"/>
      <w:r w:rsidRPr="00E73D4B">
        <w:t xml:space="preserve"> og gir en foreløpig kostnadsramme og tidsplan for planlegging og gjennomføring av tiltak. Det er skissert at NVE planlegger, utreder, detaljprosjekterer og gjennomfører anbud i perioden 2023–2025, og at selve tiltakene utføres i perioden 2025–2027. Drenering av et stort fjellparti har aldri før blitt utført i Norge, og det er mange usikkerhetsfaktorer som kan påvirke kostnader, framdrift og valg av tiltak. Arbeidet må derfor gjennomføres trinnvis over flere år og evalueres underveis. Gjennomføring av planen avhenger av de årlige budsjettrammer til flom- og skredforebygging.</w:t>
      </w:r>
    </w:p>
    <w:p w14:paraId="1BA2409E" w14:textId="77777777" w:rsidR="00972395" w:rsidRPr="00E73D4B" w:rsidRDefault="00F120C7" w:rsidP="00E73D4B">
      <w:r w:rsidRPr="00E73D4B">
        <w:t>Departementet anser med dette anmodningsvedtaket som fulgt opp.</w:t>
      </w:r>
    </w:p>
    <w:p w14:paraId="3A95A598" w14:textId="77777777" w:rsidR="00972395" w:rsidRPr="00E73D4B" w:rsidRDefault="00F120C7" w:rsidP="00E73D4B">
      <w:pPr>
        <w:pStyle w:val="avsnitt-tittel"/>
      </w:pPr>
      <w:r w:rsidRPr="00E73D4B">
        <w:t>Evaluering av støttetiltakene for høye strømpriser</w:t>
      </w:r>
    </w:p>
    <w:p w14:paraId="19FE9AE7" w14:textId="77777777" w:rsidR="00972395" w:rsidRPr="00E73D4B" w:rsidRDefault="00F120C7" w:rsidP="00E73D4B">
      <w:pPr>
        <w:pStyle w:val="avsnitt-undertittel"/>
      </w:pPr>
      <w:r w:rsidRPr="00E73D4B">
        <w:t>Vedtak 355, 21. januar 2022</w:t>
      </w:r>
    </w:p>
    <w:p w14:paraId="57894BDC" w14:textId="77777777" w:rsidR="00972395" w:rsidRPr="00E73D4B" w:rsidRDefault="00F120C7" w:rsidP="00E73D4B">
      <w:pPr>
        <w:pStyle w:val="blokksit"/>
      </w:pPr>
      <w:r w:rsidRPr="00E73D4B">
        <w:t>«</w:t>
      </w:r>
      <w:r w:rsidRPr="00E73D4B">
        <w:rPr>
          <w:rStyle w:val="kursiv"/>
        </w:rPr>
        <w:t>Stortinget ber regjeringen i løpet av første halvår 2022 komme tilbake med en evaluering av støttetiltakene for strøm, herunder samfunnsøkonomiske konsekvenser og fordelingsvirkninger. Sammenhengen mellom husholdningenes inntekt og strømforbruk bes belyst.</w:t>
      </w:r>
      <w:r w:rsidRPr="00E73D4B">
        <w:t>»</w:t>
      </w:r>
    </w:p>
    <w:p w14:paraId="49301CC0" w14:textId="77777777" w:rsidR="00972395" w:rsidRPr="00E73D4B" w:rsidRDefault="00F120C7" w:rsidP="00E73D4B">
      <w:r w:rsidRPr="00E73D4B">
        <w:t xml:space="preserve">Dokumentene som ligger til grunn for vedtaket er </w:t>
      </w:r>
      <w:proofErr w:type="spellStart"/>
      <w:r w:rsidRPr="00E73D4B">
        <w:t>Prop</w:t>
      </w:r>
      <w:proofErr w:type="spellEnd"/>
      <w:r w:rsidRPr="00E73D4B">
        <w:t xml:space="preserve">. 50 L (2021–2022) og </w:t>
      </w:r>
      <w:proofErr w:type="spellStart"/>
      <w:r w:rsidRPr="00E73D4B">
        <w:t>Innst</w:t>
      </w:r>
      <w:proofErr w:type="spellEnd"/>
      <w:r w:rsidRPr="00E73D4B">
        <w:t>. 118 L (2021–2022).</w:t>
      </w:r>
    </w:p>
    <w:p w14:paraId="55CBC5D2" w14:textId="77777777" w:rsidR="00972395" w:rsidRPr="00E73D4B" w:rsidRDefault="00F120C7" w:rsidP="00E73D4B">
      <w:r w:rsidRPr="00E73D4B">
        <w:t>I punkt 9 Oppfølging av kraftsituasjonen, i proposisjonens Del III, er det redegjort for resultatene fra evalueringen av støttetiltakene for strøm, herunder samfunnsøkonomiske konsekvenser og fordelingsvirkninger.</w:t>
      </w:r>
    </w:p>
    <w:p w14:paraId="0570DB7D" w14:textId="77777777" w:rsidR="00972395" w:rsidRPr="00E73D4B" w:rsidRDefault="00F120C7" w:rsidP="00E73D4B">
      <w:r w:rsidRPr="00E73D4B">
        <w:t>Departementet anser med denne redegjørelsen anmodningsvedtaket som fulgt opp.</w:t>
      </w:r>
    </w:p>
    <w:p w14:paraId="55A107DA" w14:textId="77777777" w:rsidR="00972395" w:rsidRPr="00E73D4B" w:rsidRDefault="00F120C7" w:rsidP="00E73D4B">
      <w:pPr>
        <w:pStyle w:val="avsnitt-tittel"/>
      </w:pPr>
      <w:r w:rsidRPr="00E73D4B">
        <w:t>Klimavennlig kraftbehov for næringsutvikling i Geiranger, Nærøyfjorden og tilhørende fergesamband</w:t>
      </w:r>
    </w:p>
    <w:p w14:paraId="1DB70DF0" w14:textId="77777777" w:rsidR="00972395" w:rsidRPr="00E73D4B" w:rsidRDefault="00F120C7" w:rsidP="00E73D4B">
      <w:pPr>
        <w:pStyle w:val="avsnitt-undertittel"/>
      </w:pPr>
      <w:r w:rsidRPr="00E73D4B">
        <w:t>Vedtak 385, 15. februar 2022</w:t>
      </w:r>
    </w:p>
    <w:p w14:paraId="129E7E91" w14:textId="77777777" w:rsidR="00972395" w:rsidRPr="00E73D4B" w:rsidRDefault="00F120C7" w:rsidP="00E73D4B">
      <w:pPr>
        <w:pStyle w:val="blokksit"/>
      </w:pPr>
      <w:r w:rsidRPr="00E73D4B">
        <w:t>«</w:t>
      </w:r>
      <w:r w:rsidRPr="00E73D4B">
        <w:rPr>
          <w:rStyle w:val="kursiv"/>
        </w:rPr>
        <w:t xml:space="preserve">Stortinget ber regjeringa vurdere kva kraftbehov som </w:t>
      </w:r>
      <w:proofErr w:type="spellStart"/>
      <w:r w:rsidRPr="00E73D4B">
        <w:rPr>
          <w:rStyle w:val="kursiv"/>
        </w:rPr>
        <w:t>fylgjer</w:t>
      </w:r>
      <w:proofErr w:type="spellEnd"/>
      <w:r w:rsidRPr="00E73D4B">
        <w:rPr>
          <w:rStyle w:val="kursiv"/>
        </w:rPr>
        <w:t xml:space="preserve"> av målet om næringsutvikling i verdsarvområda Geiranger og Nærøyfjorden og ferjesambanda der, </w:t>
      </w:r>
      <w:proofErr w:type="spellStart"/>
      <w:r w:rsidRPr="00E73D4B">
        <w:rPr>
          <w:rStyle w:val="kursiv"/>
        </w:rPr>
        <w:t>utan</w:t>
      </w:r>
      <w:proofErr w:type="spellEnd"/>
      <w:r w:rsidRPr="00E73D4B">
        <w:rPr>
          <w:rStyle w:val="kursiv"/>
        </w:rPr>
        <w:t xml:space="preserve"> klimagassutslepp, og </w:t>
      </w:r>
      <w:proofErr w:type="spellStart"/>
      <w:r w:rsidRPr="00E73D4B">
        <w:rPr>
          <w:rStyle w:val="kursiv"/>
        </w:rPr>
        <w:t>kome</w:t>
      </w:r>
      <w:proofErr w:type="spellEnd"/>
      <w:r w:rsidRPr="00E73D4B">
        <w:rPr>
          <w:rStyle w:val="kursiv"/>
        </w:rPr>
        <w:t xml:space="preserve"> attende til Stortinget med ei sak om korleis regjeringa kan </w:t>
      </w:r>
      <w:proofErr w:type="spellStart"/>
      <w:r w:rsidRPr="00E73D4B">
        <w:rPr>
          <w:rStyle w:val="kursiv"/>
        </w:rPr>
        <w:t>medverke</w:t>
      </w:r>
      <w:proofErr w:type="spellEnd"/>
      <w:r w:rsidRPr="00E73D4B">
        <w:rPr>
          <w:rStyle w:val="kursiv"/>
        </w:rPr>
        <w:t xml:space="preserve"> til at kraftbehovet vert dekt.</w:t>
      </w:r>
      <w:r w:rsidRPr="00E73D4B">
        <w:t>»</w:t>
      </w:r>
    </w:p>
    <w:p w14:paraId="656A3400" w14:textId="77777777" w:rsidR="00972395" w:rsidRPr="00E73D4B" w:rsidRDefault="00F120C7" w:rsidP="00E73D4B">
      <w:r w:rsidRPr="00E73D4B">
        <w:t xml:space="preserve">Dokumentene som ligger til grunn for vedtaket er Dokument 8:30 S (2021–2022) og </w:t>
      </w:r>
      <w:proofErr w:type="spellStart"/>
      <w:r w:rsidRPr="00E73D4B">
        <w:t>Innst</w:t>
      </w:r>
      <w:proofErr w:type="spellEnd"/>
      <w:r w:rsidRPr="00E73D4B">
        <w:t>. 135 S (2021–2022).</w:t>
      </w:r>
    </w:p>
    <w:p w14:paraId="3659CE19" w14:textId="77777777" w:rsidR="00972395" w:rsidRPr="00E73D4B" w:rsidRDefault="00F120C7" w:rsidP="00E73D4B">
      <w:r w:rsidRPr="00E73D4B">
        <w:t>Klima- og miljøverndepartementet sendte i mars 2022 et oppdrag til Sjøfartsdirektoratet hvor det bes om forslag til hvordan krav om nullutslipp for turistskip og ferger i verdensarvfjordene fra 2026 kan gjennomføres og innrettes. Hvordan fergesambandene innrettes vil være sterkt førende for kraftbehovet i de aktuelle områdene. Olje- og energidepartementet avventer derfor resultatene fra oppdraget.</w:t>
      </w:r>
    </w:p>
    <w:p w14:paraId="2E4476B7" w14:textId="77777777" w:rsidR="00972395" w:rsidRPr="00E73D4B" w:rsidRDefault="00F120C7" w:rsidP="00E73D4B">
      <w:r w:rsidRPr="00E73D4B">
        <w:t>Departementet vil komme tilbake til Stortinget på egnet måte.</w:t>
      </w:r>
    </w:p>
    <w:p w14:paraId="138B17F6" w14:textId="77777777" w:rsidR="00972395" w:rsidRPr="00E73D4B" w:rsidRDefault="00F120C7" w:rsidP="00E73D4B">
      <w:pPr>
        <w:pStyle w:val="avsnitt-tittel"/>
      </w:pPr>
      <w:r w:rsidRPr="00E73D4B">
        <w:t>Helhetlig samfunnsøkonomisk vurdering i konsesjonssaker for nettutbygging, herunder Bærum–Oslo</w:t>
      </w:r>
    </w:p>
    <w:p w14:paraId="5A22E4CC" w14:textId="77777777" w:rsidR="00972395" w:rsidRPr="00E73D4B" w:rsidRDefault="00F120C7" w:rsidP="00E73D4B">
      <w:pPr>
        <w:pStyle w:val="avsnitt-undertittel"/>
      </w:pPr>
      <w:r w:rsidRPr="00E73D4B">
        <w:t>Vedtak 386, 15. februar 2022</w:t>
      </w:r>
    </w:p>
    <w:p w14:paraId="07B05B4D" w14:textId="77777777" w:rsidR="00972395" w:rsidRPr="00E73D4B" w:rsidRDefault="00F120C7" w:rsidP="00E73D4B">
      <w:pPr>
        <w:pStyle w:val="blokksit"/>
      </w:pPr>
      <w:r w:rsidRPr="00E73D4B">
        <w:t>«</w:t>
      </w:r>
      <w:r w:rsidRPr="00E73D4B">
        <w:rPr>
          <w:rStyle w:val="kursiv"/>
        </w:rPr>
        <w:t xml:space="preserve">Stortinget ber regjeringa i konsesjonssaker om nett legge til grunn ei </w:t>
      </w:r>
      <w:proofErr w:type="spellStart"/>
      <w:r w:rsidRPr="00E73D4B">
        <w:rPr>
          <w:rStyle w:val="kursiv"/>
        </w:rPr>
        <w:t>heilskapeleg</w:t>
      </w:r>
      <w:proofErr w:type="spellEnd"/>
      <w:r w:rsidRPr="00E73D4B">
        <w:rPr>
          <w:rStyle w:val="kursiv"/>
        </w:rPr>
        <w:t xml:space="preserve"> samfunnsøkonomisk vurdering som </w:t>
      </w:r>
      <w:proofErr w:type="spellStart"/>
      <w:r w:rsidRPr="00E73D4B">
        <w:rPr>
          <w:rStyle w:val="kursiv"/>
        </w:rPr>
        <w:t>ivaretek</w:t>
      </w:r>
      <w:proofErr w:type="spellEnd"/>
      <w:r w:rsidRPr="00E73D4B">
        <w:rPr>
          <w:rStyle w:val="kursiv"/>
        </w:rPr>
        <w:t xml:space="preserve"> omsynet til utbygging i arealknappe område og </w:t>
      </w:r>
      <w:proofErr w:type="spellStart"/>
      <w:r w:rsidRPr="00E73D4B">
        <w:rPr>
          <w:rStyle w:val="kursiv"/>
        </w:rPr>
        <w:t>offentleg</w:t>
      </w:r>
      <w:proofErr w:type="spellEnd"/>
      <w:r w:rsidRPr="00E73D4B">
        <w:rPr>
          <w:rStyle w:val="kursiv"/>
        </w:rPr>
        <w:t xml:space="preserve"> utnytting av arealet og utvikling av områda, og at dette også blir gjort i saka om den </w:t>
      </w:r>
      <w:proofErr w:type="spellStart"/>
      <w:r w:rsidRPr="00E73D4B">
        <w:rPr>
          <w:rStyle w:val="kursiv"/>
        </w:rPr>
        <w:t>planlagde</w:t>
      </w:r>
      <w:proofErr w:type="spellEnd"/>
      <w:r w:rsidRPr="00E73D4B">
        <w:rPr>
          <w:rStyle w:val="kursiv"/>
        </w:rPr>
        <w:t xml:space="preserve"> 420 kV-strekninga for kraftoverføring mellom </w:t>
      </w:r>
      <w:proofErr w:type="spellStart"/>
      <w:r w:rsidRPr="00E73D4B">
        <w:rPr>
          <w:rStyle w:val="kursiv"/>
        </w:rPr>
        <w:t>Hamang</w:t>
      </w:r>
      <w:proofErr w:type="spellEnd"/>
      <w:r w:rsidRPr="00E73D4B">
        <w:rPr>
          <w:rStyle w:val="kursiv"/>
        </w:rPr>
        <w:t xml:space="preserve"> i Bærum kommune og Smestad i Oslo kommune.</w:t>
      </w:r>
      <w:r w:rsidRPr="00E73D4B">
        <w:t>»</w:t>
      </w:r>
    </w:p>
    <w:p w14:paraId="13AB4FC0" w14:textId="77777777" w:rsidR="00972395" w:rsidRPr="00E73D4B" w:rsidRDefault="00F120C7" w:rsidP="00E73D4B">
      <w:r w:rsidRPr="00E73D4B">
        <w:t xml:space="preserve">Dokumentene som ligger til grunn for vedtaket er Dokument 8:39 S (2021–2022) og </w:t>
      </w:r>
      <w:proofErr w:type="spellStart"/>
      <w:r w:rsidRPr="00E73D4B">
        <w:t>Innst</w:t>
      </w:r>
      <w:proofErr w:type="spellEnd"/>
      <w:r w:rsidRPr="00E73D4B">
        <w:t>. 137 S (2021–2022).</w:t>
      </w:r>
    </w:p>
    <w:p w14:paraId="2E1F23C3" w14:textId="77777777" w:rsidR="00972395" w:rsidRPr="00E73D4B" w:rsidRDefault="00F120C7" w:rsidP="00E73D4B">
      <w:r w:rsidRPr="00E73D4B">
        <w:t xml:space="preserve">Konsesjonsbehandling etter energiloven skal sikre at utbygging av kraftproduksjon og nett skjer på en samfunnsmessig rasjonell måte, og at det tas hensyn til berørte interesser. Konsesjon skal gis til nettanlegg som er samfunnsmessig rasjonelle. Ved vurderingen i konkrete saker av om kabel er mer samfunnsmessig rasjonelt enn luftledning, må gevinsten ved reduserte eller endrede arealinngrep veies opp mot de økte kostnadene, eventuell svekket forsyningssikkerhet og andre ulemper bruk av kabel innebærer. Det gjennomføres omfattende utredninger og høringer av større </w:t>
      </w:r>
      <w:proofErr w:type="spellStart"/>
      <w:r w:rsidRPr="00E73D4B">
        <w:t>nettiltak</w:t>
      </w:r>
      <w:proofErr w:type="spellEnd"/>
      <w:r w:rsidRPr="00E73D4B">
        <w:t xml:space="preserve">. Høringsuttalelser fra lokale interesser og virkninger for arealbruk, natur og andre berørte interesser blir grundig vurdert og avveid i konsesjonsbehandlingen etter energiloven. Departementet vil i tråd med prinsippene over, legge en helhetlig samfunnsøkonomisk vurdering til grunn ved behandlingen av klagesaken knyttet til 420 kV-ledningen fra </w:t>
      </w:r>
      <w:proofErr w:type="spellStart"/>
      <w:r w:rsidRPr="00E73D4B">
        <w:t>Hamang</w:t>
      </w:r>
      <w:proofErr w:type="spellEnd"/>
      <w:r w:rsidRPr="00E73D4B">
        <w:t xml:space="preserve"> i Bærum kommune til Smestad i Oslo kommune.</w:t>
      </w:r>
    </w:p>
    <w:p w14:paraId="7BABAD5A" w14:textId="77777777" w:rsidR="00972395" w:rsidRPr="00E73D4B" w:rsidRDefault="00F120C7" w:rsidP="00E73D4B">
      <w:r w:rsidRPr="00E73D4B">
        <w:t>Departementet anser med dette anmodningsvedtaket som fulgt opp</w:t>
      </w:r>
    </w:p>
    <w:p w14:paraId="04265AC6" w14:textId="77777777" w:rsidR="00972395" w:rsidRPr="00E73D4B" w:rsidRDefault="00F120C7" w:rsidP="00E73D4B">
      <w:pPr>
        <w:pStyle w:val="avsnitt-tittel"/>
      </w:pPr>
      <w:r w:rsidRPr="00E73D4B">
        <w:t>Nytt forslag til nettleiemodell fra Huseierne, miljøorganisasjonene og Energi Norge</w:t>
      </w:r>
    </w:p>
    <w:p w14:paraId="4E7501D2" w14:textId="77777777" w:rsidR="00972395" w:rsidRPr="00E73D4B" w:rsidRDefault="00F120C7" w:rsidP="00E73D4B">
      <w:pPr>
        <w:pStyle w:val="avsnitt-undertittel"/>
      </w:pPr>
      <w:r w:rsidRPr="00E73D4B">
        <w:t>Vedtak 486, 8. april 2022</w:t>
      </w:r>
    </w:p>
    <w:p w14:paraId="79D3AF5A" w14:textId="77777777" w:rsidR="00972395" w:rsidRPr="00E73D4B" w:rsidRDefault="00F120C7" w:rsidP="00E73D4B">
      <w:pPr>
        <w:pStyle w:val="blokksit"/>
      </w:pPr>
      <w:r w:rsidRPr="00E73D4B">
        <w:t>«</w:t>
      </w:r>
      <w:r w:rsidRPr="00E73D4B">
        <w:rPr>
          <w:rStyle w:val="kursiv"/>
        </w:rPr>
        <w:t>Stortinget ber regjeringen vurdere det nye forslaget til nettleiemodell som har kommet fra Huseierne, miljøorganisasjonene og Energi Norge.</w:t>
      </w:r>
      <w:r w:rsidRPr="00E73D4B">
        <w:t>»</w:t>
      </w:r>
    </w:p>
    <w:p w14:paraId="48FAF646" w14:textId="77777777" w:rsidR="00972395" w:rsidRPr="00E73D4B" w:rsidRDefault="00F120C7" w:rsidP="00E73D4B">
      <w:r w:rsidRPr="00E73D4B">
        <w:t xml:space="preserve">Dokumentene som ligger til grunn for vedtaket er </w:t>
      </w:r>
      <w:proofErr w:type="spellStart"/>
      <w:r w:rsidRPr="00E73D4B">
        <w:t>Prop</w:t>
      </w:r>
      <w:proofErr w:type="spellEnd"/>
      <w:r w:rsidRPr="00E73D4B">
        <w:t xml:space="preserve">. 77 S (2021–2022) og </w:t>
      </w:r>
      <w:proofErr w:type="spellStart"/>
      <w:r w:rsidRPr="00E73D4B">
        <w:t>Innst</w:t>
      </w:r>
      <w:proofErr w:type="spellEnd"/>
      <w:r w:rsidRPr="00E73D4B">
        <w:t>. 251 S (2021–2022).</w:t>
      </w:r>
    </w:p>
    <w:p w14:paraId="5EC6A888" w14:textId="77777777" w:rsidR="00972395" w:rsidRPr="00E73D4B" w:rsidRDefault="00F120C7" w:rsidP="00E73D4B">
      <w:r w:rsidRPr="00E73D4B">
        <w:t>Fra 1. juli 2022 trådte en ny nettleiemodell i kraft som i større grad skal gi insentiver til effektiv nettutnyttelse, noe som over tid vil bidra til lavere nettkostnader for strømkundene og mindre naturinngrep. Innføringen av ny nettleiemodell ble justert etter felles innspill fra en rekke aktører, herunder Huseierne, miljøorganisasjoner og Energi Norge. Det er innført en overgangsperiode på to år for kravet om at energileddet i nettleien maksimalt kan utgjøre 50 prosent av inntektene til nettselskapene.</w:t>
      </w:r>
    </w:p>
    <w:p w14:paraId="063C3FBA" w14:textId="77777777" w:rsidR="00972395" w:rsidRPr="00E73D4B" w:rsidRDefault="00F120C7" w:rsidP="00E73D4B">
      <w:r w:rsidRPr="00E73D4B">
        <w:t>Departementet anser med dette anmodningsvedtaket som fulgt opp.</w:t>
      </w:r>
    </w:p>
    <w:p w14:paraId="50657FA3" w14:textId="77777777" w:rsidR="00972395" w:rsidRPr="00E73D4B" w:rsidRDefault="00F120C7" w:rsidP="00E73D4B">
      <w:pPr>
        <w:pStyle w:val="avsnitt-tittel"/>
      </w:pPr>
      <w:r w:rsidRPr="00E73D4B">
        <w:t>Nye virkemidler for å få igangsatt prosjekter med hydrogen og ammoniakk, herunder differansekontrakter</w:t>
      </w:r>
    </w:p>
    <w:p w14:paraId="60DE6B7A" w14:textId="77777777" w:rsidR="00972395" w:rsidRPr="00E73D4B" w:rsidRDefault="00F120C7" w:rsidP="00E73D4B">
      <w:pPr>
        <w:pStyle w:val="avsnitt-undertittel"/>
      </w:pPr>
      <w:r w:rsidRPr="00E73D4B">
        <w:t>Vedtak 545, 10. mai 2022</w:t>
      </w:r>
    </w:p>
    <w:p w14:paraId="4FCE0A4D" w14:textId="77777777" w:rsidR="00972395" w:rsidRPr="00E73D4B" w:rsidRDefault="00F120C7" w:rsidP="00E73D4B">
      <w:pPr>
        <w:pStyle w:val="blokksit"/>
      </w:pPr>
      <w:r w:rsidRPr="00E73D4B">
        <w:t>«</w:t>
      </w:r>
      <w:r w:rsidRPr="00E73D4B">
        <w:rPr>
          <w:rStyle w:val="kursiv"/>
        </w:rPr>
        <w:t>Stortinget ber regjeringen vurdere nye virkemidler som kan være utløsende for å få igangsatt prosjekter med hydrogen eller ammoniakk som energibærer deriblant differansekontrakter.</w:t>
      </w:r>
      <w:r w:rsidRPr="00E73D4B">
        <w:t>»</w:t>
      </w:r>
    </w:p>
    <w:p w14:paraId="2E6E03CA" w14:textId="77777777" w:rsidR="00972395" w:rsidRPr="00E73D4B" w:rsidRDefault="00F120C7" w:rsidP="00E73D4B">
      <w:r w:rsidRPr="00E73D4B">
        <w:t xml:space="preserve">Dokumentene som ligger til grunn for vedtaket er Dokument 8:113 S (2021–2022) og </w:t>
      </w:r>
      <w:proofErr w:type="spellStart"/>
      <w:r w:rsidRPr="00E73D4B">
        <w:t>Innst</w:t>
      </w:r>
      <w:proofErr w:type="spellEnd"/>
      <w:r w:rsidRPr="00E73D4B">
        <w:t>. 274 S (2021–2022).</w:t>
      </w:r>
    </w:p>
    <w:p w14:paraId="4D9431BA" w14:textId="77777777" w:rsidR="00972395" w:rsidRPr="00E73D4B" w:rsidRDefault="00F120C7" w:rsidP="00E73D4B">
      <w:r w:rsidRPr="00E73D4B">
        <w:t>Olje- og energidepartementet viser til omtale av oppfølging av anmodningsvedtak 35-25, 2. desember 2021.</w:t>
      </w:r>
    </w:p>
    <w:p w14:paraId="49448223" w14:textId="77777777" w:rsidR="00972395" w:rsidRPr="00E73D4B" w:rsidRDefault="00F120C7" w:rsidP="00E73D4B">
      <w:r w:rsidRPr="00E73D4B">
        <w:t>Olje- og energidepartementet har satt i gang en ekstern utredning av hvordan staten kan bidra til å bygge opp en sammenhengende verdikjede for hydrogen produsert med lave eller ingen utslipp, der produksjon, distribusjon og bruk utvikles parallelt. Utredningen vil blant annet identifisere eventuelle markedssvikter som tilsier at staten ut fra samfunnsøkonomiske hensyn bør bidra til å bygge opp en økonomisk bærekraftig verdikjede for hydrogen. Utredningen vil også gi en oversikt over eksisterende relevante virkemidler nasjonalt, i EU og i europeiske land. Videre vil utredningen vurdere behovet for, og eventuelt innretningen av, forsterkede virkemidler på området, herunder bruk av statlig eierskap. Vurderingen skal ta for seg fordeler og ulemper, herunder kostnader for aktører og staten og ta hensyn til at det er begrensede midler. Utredningen vil inkludere tre scenarier for den videre utviklingen av et hydrogenmarked i Norge på et henholdsvis lavt, middels og høyt nivå for produksjon og bruk. Utreder skal også sette produksjon og bruk av hydrogen i sammenheng med det større energisystemet.</w:t>
      </w:r>
    </w:p>
    <w:p w14:paraId="64416330" w14:textId="77777777" w:rsidR="00972395" w:rsidRPr="00E73D4B" w:rsidRDefault="00F120C7" w:rsidP="00E73D4B">
      <w:r w:rsidRPr="00E73D4B">
        <w:t>Departementet anser med dette anmodningsvedtaket som fulgt opp.</w:t>
      </w:r>
    </w:p>
    <w:p w14:paraId="3B87068C" w14:textId="77777777" w:rsidR="00972395" w:rsidRPr="00E73D4B" w:rsidRDefault="00F120C7" w:rsidP="00E73D4B">
      <w:pPr>
        <w:pStyle w:val="avsnitt-tittel"/>
      </w:pPr>
      <w:r w:rsidRPr="00E73D4B">
        <w:t>Fjerne regulatoriske barrierer som hindrer lokal energiproduksjon, energilagring og omsetning av energi mellom bygg</w:t>
      </w:r>
    </w:p>
    <w:p w14:paraId="46130818" w14:textId="77777777" w:rsidR="00972395" w:rsidRPr="00E73D4B" w:rsidRDefault="00F120C7" w:rsidP="00E73D4B">
      <w:pPr>
        <w:pStyle w:val="avsnitt-undertittel"/>
      </w:pPr>
      <w:r w:rsidRPr="00E73D4B">
        <w:t>Vedtak 548, 10. mai 2022</w:t>
      </w:r>
    </w:p>
    <w:p w14:paraId="632A5563" w14:textId="77777777" w:rsidR="00972395" w:rsidRPr="00E73D4B" w:rsidRDefault="00F120C7" w:rsidP="00E73D4B">
      <w:pPr>
        <w:pStyle w:val="blokksit"/>
      </w:pPr>
      <w:r w:rsidRPr="00E73D4B">
        <w:t>«</w:t>
      </w:r>
      <w:r w:rsidRPr="00E73D4B">
        <w:rPr>
          <w:rStyle w:val="kursiv"/>
        </w:rPr>
        <w:t>Stortinget ber regjeringen fjerne regulatoriske barrierer som hindrer lokal energiproduksjon, lokal energilagring og omsetning av energi mellom bygg.</w:t>
      </w:r>
      <w:r w:rsidRPr="00E73D4B">
        <w:t>»</w:t>
      </w:r>
    </w:p>
    <w:p w14:paraId="6A1A9A8B" w14:textId="77777777" w:rsidR="00972395" w:rsidRPr="00E73D4B" w:rsidRDefault="00F120C7" w:rsidP="00E73D4B">
      <w:r w:rsidRPr="00E73D4B">
        <w:t xml:space="preserve">Dokumentene som ligger til grunn for vedtaket er Dokument 8:130 S (2021–2022), Dokument 8:148 S (2021–2022) og </w:t>
      </w:r>
      <w:proofErr w:type="spellStart"/>
      <w:r w:rsidRPr="00E73D4B">
        <w:t>Innst</w:t>
      </w:r>
      <w:proofErr w:type="spellEnd"/>
      <w:r w:rsidRPr="00E73D4B">
        <w:t>. 272 S (2021–2022).</w:t>
      </w:r>
    </w:p>
    <w:p w14:paraId="19A7AFB3" w14:textId="77777777" w:rsidR="00972395" w:rsidRPr="00E73D4B" w:rsidRDefault="00F120C7" w:rsidP="00E73D4B">
      <w:r w:rsidRPr="00E73D4B">
        <w:t>Regjeringen er opptatt av å legge til rette for etablering av lokal energiproduksjon, og har varslet et arbeid med å kartlegge regulatoriske barrierer. Plusskundeordningen legger til rette for at kunder kan produsere strøm til eget forbruk. Slik dagens plusskundeordning er utformet omfattes i hovedsak husholdninger i eneboliger. En ny ordning for deling av egenprodusert, fornybar strøm for flermannsboliger, leilighetskomplekser og næringsbygg på samme eiendom, slik at disse slipper nettleie og elavgift for strøm de selv har produsert, har vært på offentlig høring.</w:t>
      </w:r>
    </w:p>
    <w:p w14:paraId="510C1A67" w14:textId="77777777" w:rsidR="00972395" w:rsidRPr="00E73D4B" w:rsidRDefault="00F120C7" w:rsidP="00E73D4B">
      <w:r w:rsidRPr="00E73D4B">
        <w:t>Departementet vil komme tilbake til Stortinget på egnet måte.</w:t>
      </w:r>
    </w:p>
    <w:p w14:paraId="585DB9FB" w14:textId="77777777" w:rsidR="00972395" w:rsidRPr="00E73D4B" w:rsidRDefault="00F120C7" w:rsidP="00E73D4B">
      <w:pPr>
        <w:pStyle w:val="avsnitt-tittel"/>
      </w:pPr>
      <w:r w:rsidRPr="00E73D4B">
        <w:t>Havvind – petroleumsnæringen og elektrifisering av sokkelen</w:t>
      </w:r>
    </w:p>
    <w:p w14:paraId="1EB4C6D9" w14:textId="77777777" w:rsidR="00972395" w:rsidRPr="00E73D4B" w:rsidRDefault="00F120C7" w:rsidP="00E73D4B">
      <w:pPr>
        <w:pStyle w:val="avsnitt-undertittel"/>
      </w:pPr>
      <w:r w:rsidRPr="00E73D4B">
        <w:t>Vedtak 700, 10. juni 2022</w:t>
      </w:r>
    </w:p>
    <w:p w14:paraId="183D458E" w14:textId="77777777" w:rsidR="00972395" w:rsidRPr="00E73D4B" w:rsidRDefault="00F120C7" w:rsidP="00E73D4B">
      <w:pPr>
        <w:pStyle w:val="blokksit"/>
      </w:pPr>
      <w:r w:rsidRPr="00E73D4B">
        <w:t>«</w:t>
      </w:r>
      <w:r w:rsidRPr="00E73D4B">
        <w:rPr>
          <w:rStyle w:val="kursiv"/>
        </w:rPr>
        <w:t>Stortinget ber regjeringen vurdere hvordan petroleumsnæringen på norsk sokkel best kan bidra i satsingen på havvind i Norge på en måte som legger til rette for elektrifisering av sokkelen ved utforming av krav om nullutslippsløsninger på nye petroleumsinstallasjoner og identifisere om eventuelle regulatoriske forhold i havenergiloven er til hinder for etablering av havvind for direkte elektrifisering av petroleumsinstallasjoner.</w:t>
      </w:r>
      <w:r w:rsidRPr="00E73D4B">
        <w:t>»</w:t>
      </w:r>
    </w:p>
    <w:p w14:paraId="01A22072"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43C3704F" w14:textId="77777777" w:rsidR="00972395" w:rsidRPr="00E73D4B" w:rsidRDefault="00F120C7" w:rsidP="00E73D4B">
      <w:r w:rsidRPr="00E73D4B">
        <w:t xml:space="preserve">Vindkraftverk til havs for produksjon av elektrisitet for direkte overføring og bruk på petroleumsinnretninger som ikke er knyttet til nettet, har blitt behandlet under petroleumsloven (jf. </w:t>
      </w:r>
      <w:proofErr w:type="spellStart"/>
      <w:r w:rsidRPr="00E73D4B">
        <w:t>Hywind</w:t>
      </w:r>
      <w:proofErr w:type="spellEnd"/>
      <w:r w:rsidRPr="00E73D4B">
        <w:t xml:space="preserve"> Tampen). Tilsvarende tilfeller vil også i fremtiden kunne reguleres av petroleumsloven.</w:t>
      </w:r>
    </w:p>
    <w:p w14:paraId="3BB857B3" w14:textId="77777777" w:rsidR="00972395" w:rsidRPr="00E73D4B" w:rsidRDefault="00F120C7" w:rsidP="00E73D4B">
      <w:r w:rsidRPr="00E73D4B">
        <w:t xml:space="preserve">I forbindelse med gjennomføring av nye utbyggingsprosjekter på norsk sokkel skal rettighetshaverne vurdere mulige tiltak for å redusere utslipp til luft. Dette omfatter alle egnede tiltak for å redusere utslippene som for eksempel havvind. Departementet stiller i </w:t>
      </w:r>
      <w:r w:rsidRPr="00E73D4B">
        <w:rPr>
          <w:rStyle w:val="kursiv"/>
        </w:rPr>
        <w:t>«Veileder til plan for utbygging og drift av en petroleumsforekomst (PUD) og plan for anlegg og drift av innretninger for transport og for utnyttelse av petroleum (PAD)»</w:t>
      </w:r>
      <w:r w:rsidRPr="00E73D4B">
        <w:t xml:space="preserve"> (PUD/PAD-veilederen) krav til rettighetshaverne om å gjennomføre slike vurderinger. Olje- og energidepartementet har i september 2022 revidert PUD/PAD-veilederen for å ytterligere presisere dette kravet til vurderinger/utredninger. Det fremgår nå eksplisitt i veilederen at rettighetshaverne skal vurdere alle relevante CO</w:t>
      </w:r>
      <w:r w:rsidRPr="00E73D4B">
        <w:rPr>
          <w:rStyle w:val="skrift-senket"/>
        </w:rPr>
        <w:t>2</w:t>
      </w:r>
      <w:r w:rsidRPr="00E73D4B">
        <w:t>-reduserende tiltak i forbindelse med PUD/PAD for nye utbyggingsprosjekter.</w:t>
      </w:r>
    </w:p>
    <w:p w14:paraId="2A093A88" w14:textId="77777777" w:rsidR="00972395" w:rsidRPr="00E73D4B" w:rsidRDefault="00F120C7" w:rsidP="00E73D4B">
      <w:r w:rsidRPr="00E73D4B">
        <w:t>Departementet anser med dette anmodningsvedtaket som fulgt opp.</w:t>
      </w:r>
    </w:p>
    <w:p w14:paraId="3F173857" w14:textId="77777777" w:rsidR="00972395" w:rsidRPr="00E73D4B" w:rsidRDefault="00F120C7" w:rsidP="00E73D4B">
      <w:pPr>
        <w:pStyle w:val="avsnitt-tittel"/>
      </w:pPr>
      <w:r w:rsidRPr="00E73D4B">
        <w:t>Kraft- og nettutbygging knyttet til store industrietableringer</w:t>
      </w:r>
    </w:p>
    <w:p w14:paraId="78D93FA3" w14:textId="77777777" w:rsidR="00972395" w:rsidRPr="00E73D4B" w:rsidRDefault="00F120C7" w:rsidP="00E73D4B">
      <w:pPr>
        <w:pStyle w:val="avsnitt-undertittel"/>
      </w:pPr>
      <w:r w:rsidRPr="00E73D4B">
        <w:t>Vedtak 701, 10. juni 2022</w:t>
      </w:r>
    </w:p>
    <w:p w14:paraId="416B4ED8" w14:textId="77777777" w:rsidR="00972395" w:rsidRPr="00E73D4B" w:rsidRDefault="00F120C7" w:rsidP="00E73D4B">
      <w:pPr>
        <w:pStyle w:val="blokksit"/>
      </w:pPr>
      <w:r w:rsidRPr="00E73D4B">
        <w:t>«</w:t>
      </w:r>
      <w:r w:rsidRPr="00E73D4B">
        <w:rPr>
          <w:rStyle w:val="kursiv"/>
        </w:rPr>
        <w:t>Stortinget ber regjeringen utrede et eget hurtigløp for kraft- og nettutbygging knyttet til store industrietableringer og ber regjeringen komme med en utredning i forbindelse med revidert nasjonalbudsjett 2023.</w:t>
      </w:r>
      <w:r w:rsidRPr="00E73D4B">
        <w:t>»</w:t>
      </w:r>
    </w:p>
    <w:p w14:paraId="4CBC8D68"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7889BFEB" w14:textId="77777777" w:rsidR="00972395" w:rsidRPr="00E73D4B" w:rsidRDefault="00F120C7" w:rsidP="00E73D4B">
      <w:r w:rsidRPr="00E73D4B">
        <w:t xml:space="preserve">Strømnettutvalgets utredning NOU 2022: 6 </w:t>
      </w:r>
      <w:r w:rsidRPr="00E73D4B">
        <w:rPr>
          <w:rStyle w:val="kursiv"/>
        </w:rPr>
        <w:t>Nett i tide – om utvikling av strømnettet</w:t>
      </w:r>
      <w:r w:rsidRPr="00E73D4B">
        <w:t xml:space="preserve"> ble lagt fram 14. juni. Videre skal Energikommisjonen, som ble oppnevnt 11. februar 2022, levere sin anbefaling innen 15. desember 2022.</w:t>
      </w:r>
    </w:p>
    <w:p w14:paraId="5794A536" w14:textId="77777777" w:rsidR="00972395" w:rsidRPr="00E73D4B" w:rsidRDefault="00F120C7" w:rsidP="00E73D4B">
      <w:r w:rsidRPr="00E73D4B">
        <w:t>Strømnettutvalget har anbefalt en rekke tiltak, som blant annet skal legge til rette for raskere utvikling og konsesjonsbehandling av nye nettanlegg, og bedre utnyttelse av eksisterende nett. Dette vil virke positivt for alle kunder som ønsker tilknytning til nettet.</w:t>
      </w:r>
    </w:p>
    <w:p w14:paraId="7C92F8C8" w14:textId="77777777" w:rsidR="00972395" w:rsidRPr="00E73D4B" w:rsidRDefault="00F120C7" w:rsidP="00E73D4B">
      <w:r w:rsidRPr="00E73D4B">
        <w:t>Det inngår i Energikommisjonens mandat å foreslå tiltak for økt energiproduksjon, med mål om at Norge fortsatt skal ha overskuddsproduksjon av kraft og at rikelig tilgang på fornybar kraft fortsatt skal være et konkurransefortrinn for norsk industri.</w:t>
      </w:r>
    </w:p>
    <w:p w14:paraId="2D5F0DA3" w14:textId="77777777" w:rsidR="00972395" w:rsidRPr="00E73D4B" w:rsidRDefault="00F120C7" w:rsidP="00E73D4B">
      <w:r w:rsidRPr="00E73D4B">
        <w:t>Olje- og energidepartementet vil i oppfølgingen av Strømnettutvalgets og Energikommisjonens anbefalinger, jobbe for raskere tilknytning av uttakskunder og produsenter, og legge til rette for økt produksjon og tilgang til rimelig fornybar kraft, herunder vurdere et eget hurtigløp for kraft- og nettutbygging knyttet til store industrietableringer.</w:t>
      </w:r>
    </w:p>
    <w:p w14:paraId="329AFF28" w14:textId="77777777" w:rsidR="00972395" w:rsidRPr="00E73D4B" w:rsidRDefault="00F120C7" w:rsidP="00E73D4B">
      <w:r w:rsidRPr="00E73D4B">
        <w:t>Departementet vil komme tilbake til Stortinget på egnet måte.</w:t>
      </w:r>
    </w:p>
    <w:p w14:paraId="7F3B6C4E" w14:textId="77777777" w:rsidR="00972395" w:rsidRPr="00E73D4B" w:rsidRDefault="00F120C7" w:rsidP="00E73D4B">
      <w:pPr>
        <w:pStyle w:val="avsnitt-tittel"/>
      </w:pPr>
      <w:r w:rsidRPr="00E73D4B">
        <w:t>Regulering av energifeltet</w:t>
      </w:r>
    </w:p>
    <w:p w14:paraId="25B6F72E" w14:textId="77777777" w:rsidR="00972395" w:rsidRPr="00E73D4B" w:rsidRDefault="00F120C7" w:rsidP="00E73D4B">
      <w:pPr>
        <w:pStyle w:val="avsnitt-undertittel"/>
      </w:pPr>
      <w:r w:rsidRPr="00E73D4B">
        <w:t>Vedtak 702, 10. juni 2022</w:t>
      </w:r>
    </w:p>
    <w:p w14:paraId="77356983" w14:textId="77777777" w:rsidR="00972395" w:rsidRPr="00E73D4B" w:rsidRDefault="00F120C7" w:rsidP="00E73D4B">
      <w:pPr>
        <w:pStyle w:val="blokksit"/>
      </w:pPr>
      <w:r w:rsidRPr="00E73D4B">
        <w:t>«</w:t>
      </w:r>
      <w:r w:rsidRPr="00E73D4B">
        <w:rPr>
          <w:rStyle w:val="kursiv"/>
        </w:rPr>
        <w:t>Stortinget ber regjeringen i etterkant av energikommisjonens rapport vurdere behov for ytterligere regulering av energifeltet for å oppnå tilstrekkelig energi til rimelige priser for industri, øvrig næringsliv og husholdning.</w:t>
      </w:r>
      <w:r w:rsidRPr="00E73D4B">
        <w:t>»</w:t>
      </w:r>
    </w:p>
    <w:p w14:paraId="571DC392"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2BE490FB" w14:textId="77777777" w:rsidR="00972395" w:rsidRPr="00E73D4B" w:rsidRDefault="00F120C7" w:rsidP="00E73D4B">
      <w:r w:rsidRPr="00E73D4B">
        <w:t xml:space="preserve">Energikommisjonen, som ble oppnevnt 11. februar 2022, skal levere sin rapport innen 15. desember 2022. Departementet vil komme tilbake til oppfølgingen av anmodningsvedtaket på egnet måte etter at kommisjonen har </w:t>
      </w:r>
      <w:proofErr w:type="gramStart"/>
      <w:r w:rsidRPr="00E73D4B">
        <w:t>avgitt</w:t>
      </w:r>
      <w:proofErr w:type="gramEnd"/>
      <w:r w:rsidRPr="00E73D4B">
        <w:t xml:space="preserve"> sin rapport.</w:t>
      </w:r>
    </w:p>
    <w:p w14:paraId="7A9AB7F5" w14:textId="77777777" w:rsidR="00972395" w:rsidRPr="00E73D4B" w:rsidRDefault="00F120C7" w:rsidP="00E73D4B">
      <w:pPr>
        <w:pStyle w:val="avsnitt-tittel"/>
      </w:pPr>
      <w:r w:rsidRPr="00E73D4B">
        <w:t>Havvind – tildeling av areal</w:t>
      </w:r>
    </w:p>
    <w:p w14:paraId="1C903CD9" w14:textId="77777777" w:rsidR="00972395" w:rsidRPr="00E73D4B" w:rsidRDefault="00F120C7" w:rsidP="00E73D4B">
      <w:pPr>
        <w:pStyle w:val="avsnitt-undertittel"/>
      </w:pPr>
      <w:r w:rsidRPr="00E73D4B">
        <w:t>Vedtak 703, 10. juni 2022</w:t>
      </w:r>
    </w:p>
    <w:p w14:paraId="647B1AA2" w14:textId="77777777" w:rsidR="00972395" w:rsidRPr="00E73D4B" w:rsidRDefault="00F120C7" w:rsidP="00E73D4B">
      <w:pPr>
        <w:pStyle w:val="blokksit"/>
      </w:pPr>
      <w:r w:rsidRPr="00E73D4B">
        <w:t>«</w:t>
      </w:r>
      <w:r w:rsidRPr="00E73D4B">
        <w:rPr>
          <w:rStyle w:val="kursiv"/>
        </w:rPr>
        <w:t xml:space="preserve">Stortinget ber regjeringen sørge for at neste tildeling av havvindareal etter Sørlige </w:t>
      </w:r>
      <w:proofErr w:type="spellStart"/>
      <w:r w:rsidRPr="00E73D4B">
        <w:rPr>
          <w:rStyle w:val="kursiv"/>
        </w:rPr>
        <w:t>Nordsjø</w:t>
      </w:r>
      <w:proofErr w:type="spellEnd"/>
      <w:r w:rsidRPr="00E73D4B">
        <w:rPr>
          <w:rStyle w:val="kursiv"/>
        </w:rPr>
        <w:t xml:space="preserve"> II og Utsira Nord i nye områder skjer senest i løpet av 2025. Stortinget ber om at dette er en større utlysning som legger til rette for skalering og teknologiutvikling og nye industrielle muligheter og at utlysningen sikrer god sameksistens og tar hensyn til viktige naturverdier.</w:t>
      </w:r>
      <w:r w:rsidRPr="00E73D4B">
        <w:t>»</w:t>
      </w:r>
    </w:p>
    <w:p w14:paraId="61B9B5D5"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2C818552" w14:textId="77777777" w:rsidR="00972395" w:rsidRPr="00E73D4B" w:rsidRDefault="00F120C7" w:rsidP="00E73D4B">
      <w:r w:rsidRPr="00E73D4B">
        <w:t xml:space="preserve">Neste tildeling av areal til havvind etter Sørlige </w:t>
      </w:r>
      <w:proofErr w:type="spellStart"/>
      <w:r w:rsidRPr="00E73D4B">
        <w:t>Nordsjø</w:t>
      </w:r>
      <w:proofErr w:type="spellEnd"/>
      <w:r w:rsidRPr="00E73D4B">
        <w:t xml:space="preserve"> II og Utsira Nord planlegges tildelt i 2025. Olje- og energidepartementet har gitt Norges vassdrags- og energidirektorat (NVE) i oppgave å identifisere nye områder for fornybar energiproduksjon til havs basert på innspill fra en </w:t>
      </w:r>
      <w:proofErr w:type="spellStart"/>
      <w:r w:rsidRPr="00E73D4B">
        <w:t>direktoratsgruppe</w:t>
      </w:r>
      <w:proofErr w:type="spellEnd"/>
      <w:r w:rsidRPr="00E73D4B">
        <w:t xml:space="preserve"> og å utarbeide forslag til konsekvensutredningsprogram. NVE skal i arbeidet med å finne nye områder som kan egne seg for fornybar energiproduksjon til havs søke å finne områder som legger til rette for god sameksistens med fiskeri og andre næringer, og som samtidig tar vare på viktige miljøverdier og utsikter til lønnsom utbygging.</w:t>
      </w:r>
    </w:p>
    <w:p w14:paraId="7FE46590" w14:textId="77777777" w:rsidR="00972395" w:rsidRPr="00E73D4B" w:rsidRDefault="00F120C7" w:rsidP="00E73D4B">
      <w:r w:rsidRPr="00E73D4B">
        <w:t>Departementet anser med dette anmodningsvedtaket som fulgt opp.</w:t>
      </w:r>
    </w:p>
    <w:p w14:paraId="78195027" w14:textId="77777777" w:rsidR="00972395" w:rsidRPr="00E73D4B" w:rsidRDefault="00F120C7" w:rsidP="00E73D4B">
      <w:pPr>
        <w:pStyle w:val="avsnitt-tittel"/>
      </w:pPr>
      <w:r w:rsidRPr="00E73D4B">
        <w:t>Havvind – utredning av støtteordninger og virkemidler, deriblant differansekontrakter</w:t>
      </w:r>
    </w:p>
    <w:p w14:paraId="7E24D855" w14:textId="77777777" w:rsidR="00972395" w:rsidRPr="00E73D4B" w:rsidRDefault="00F120C7" w:rsidP="00E73D4B">
      <w:pPr>
        <w:pStyle w:val="avsnitt-undertittel"/>
      </w:pPr>
      <w:r w:rsidRPr="00E73D4B">
        <w:t>Vedtak 704, 10. juni 2022</w:t>
      </w:r>
    </w:p>
    <w:p w14:paraId="668C31EF" w14:textId="77777777" w:rsidR="00972395" w:rsidRPr="00E73D4B" w:rsidRDefault="00F120C7" w:rsidP="00E73D4B">
      <w:pPr>
        <w:pStyle w:val="blokksit"/>
      </w:pPr>
      <w:r w:rsidRPr="00E73D4B">
        <w:t>«</w:t>
      </w:r>
      <w:r w:rsidRPr="00E73D4B">
        <w:rPr>
          <w:rStyle w:val="kursiv"/>
        </w:rPr>
        <w:t>Stortinget ber regjeringen utrede ulike støtteordninger og virkemidler som kan være utløsende for å få igangsatt prosjekter for flytende havvind, deriblant differansekontrakter.</w:t>
      </w:r>
      <w:r w:rsidRPr="00E73D4B">
        <w:t>»</w:t>
      </w:r>
    </w:p>
    <w:p w14:paraId="2B647DCF"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493B3BD3" w14:textId="77777777" w:rsidR="00972395" w:rsidRPr="00E73D4B" w:rsidRDefault="00F120C7" w:rsidP="00E73D4B">
      <w:r w:rsidRPr="00E73D4B">
        <w:t xml:space="preserve">Olje- og energidepartementet utreder ulike støtteordninger, herunder differansekontrakter, som del av arbeidet med utlysning og tildeling av arealer på Utsira Nord og Sørlige </w:t>
      </w:r>
      <w:proofErr w:type="spellStart"/>
      <w:r w:rsidRPr="00E73D4B">
        <w:t>Nordsjø</w:t>
      </w:r>
      <w:proofErr w:type="spellEnd"/>
      <w:r w:rsidRPr="00E73D4B">
        <w:t xml:space="preserve"> II.</w:t>
      </w:r>
    </w:p>
    <w:p w14:paraId="0072EE64" w14:textId="77777777" w:rsidR="00972395" w:rsidRPr="00E73D4B" w:rsidRDefault="00F120C7" w:rsidP="00E73D4B">
      <w:r w:rsidRPr="00E73D4B">
        <w:t>Departementet vil komme tilbake til Stortinget på egnet måte når utredningene er gjennomført.</w:t>
      </w:r>
    </w:p>
    <w:p w14:paraId="5430128C" w14:textId="77777777" w:rsidR="00972395" w:rsidRPr="00E73D4B" w:rsidRDefault="00F120C7" w:rsidP="00E73D4B">
      <w:pPr>
        <w:pStyle w:val="avsnitt-tittel"/>
      </w:pPr>
      <w:r w:rsidRPr="00E73D4B">
        <w:t>Kraftpotensial fra mindre vindmøller på gårdsbruk</w:t>
      </w:r>
    </w:p>
    <w:p w14:paraId="534462BF" w14:textId="77777777" w:rsidR="00972395" w:rsidRPr="00E73D4B" w:rsidRDefault="00F120C7" w:rsidP="00E73D4B">
      <w:pPr>
        <w:pStyle w:val="avsnitt-undertittel"/>
      </w:pPr>
      <w:r w:rsidRPr="00E73D4B">
        <w:t>Vedtak 705, 10. juni 2022</w:t>
      </w:r>
    </w:p>
    <w:p w14:paraId="018D0F2F" w14:textId="77777777" w:rsidR="00972395" w:rsidRPr="00E73D4B" w:rsidRDefault="00F120C7" w:rsidP="00E73D4B">
      <w:pPr>
        <w:pStyle w:val="blokksit"/>
      </w:pPr>
      <w:r w:rsidRPr="00E73D4B">
        <w:t>«</w:t>
      </w:r>
      <w:r w:rsidRPr="00E73D4B">
        <w:rPr>
          <w:rStyle w:val="kursiv"/>
        </w:rPr>
        <w:t>Stortinget ber regjeringen kartlegge kraftpotensialet fra mindre vindmøller på gårdsbruk og hva som skal til for å realisere en satsing på dette.</w:t>
      </w:r>
      <w:r w:rsidRPr="00E73D4B">
        <w:t>»</w:t>
      </w:r>
    </w:p>
    <w:p w14:paraId="1B8C30BA"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6C362151" w14:textId="77777777" w:rsidR="00972395" w:rsidRPr="00E73D4B" w:rsidRDefault="00F120C7" w:rsidP="00E73D4B">
      <w:r w:rsidRPr="00E73D4B">
        <w:t>Departementet vil vurdere nærmere kartlegging av kraftpotensialet fra mindre vindmøller på gårdsbruk og realisering av dette.</w:t>
      </w:r>
    </w:p>
    <w:p w14:paraId="73A90C48" w14:textId="77777777" w:rsidR="00972395" w:rsidRPr="00E73D4B" w:rsidRDefault="00F120C7" w:rsidP="00E73D4B">
      <w:r w:rsidRPr="00E73D4B">
        <w:t>Departementet vil komme tilbake til Stortinget på egnet måte.</w:t>
      </w:r>
    </w:p>
    <w:p w14:paraId="3749254F" w14:textId="77777777" w:rsidR="00972395" w:rsidRPr="00E73D4B" w:rsidRDefault="00F120C7" w:rsidP="00E73D4B">
      <w:pPr>
        <w:pStyle w:val="avsnitt-tittel"/>
      </w:pPr>
      <w:r w:rsidRPr="00E73D4B">
        <w:t>Havvind – evaluering mellom hver tildeling</w:t>
      </w:r>
    </w:p>
    <w:p w14:paraId="0C292AFC" w14:textId="77777777" w:rsidR="00972395" w:rsidRPr="00E73D4B" w:rsidRDefault="00F120C7" w:rsidP="00E73D4B">
      <w:pPr>
        <w:pStyle w:val="avsnitt-undertittel"/>
      </w:pPr>
      <w:r w:rsidRPr="00E73D4B">
        <w:t>Vedtak 706, 10. juni 2022</w:t>
      </w:r>
    </w:p>
    <w:p w14:paraId="2262AC83" w14:textId="77777777" w:rsidR="00972395" w:rsidRPr="00E73D4B" w:rsidRDefault="00F120C7" w:rsidP="00E73D4B">
      <w:pPr>
        <w:pStyle w:val="blokksit"/>
      </w:pPr>
      <w:r w:rsidRPr="00E73D4B">
        <w:t>«</w:t>
      </w:r>
      <w:r w:rsidRPr="00E73D4B">
        <w:rPr>
          <w:rStyle w:val="kursiv"/>
        </w:rPr>
        <w:t>Stortinget ber om at det mellom hver tildeling gjennomføres en evaluering for å belyse effekter på det norske kraftnettet, sameksistens, industriutvikling i Norge og miljøeffekter.</w:t>
      </w:r>
      <w:r w:rsidRPr="00E73D4B">
        <w:t>»</w:t>
      </w:r>
    </w:p>
    <w:p w14:paraId="3E80E273"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717C2CD7" w14:textId="77777777" w:rsidR="00972395" w:rsidRPr="00E73D4B" w:rsidRDefault="00F120C7" w:rsidP="00E73D4B">
      <w:r w:rsidRPr="00E73D4B">
        <w:t>Olje- og energidepartementet legger opp til evalueringer for å belyse ulike effekter, blant annet på det norske kraftnettet, sameksistens, industriutvikling i Norge og miljøeffekter mellom hver tildeling av areal til vindkraft til havs.</w:t>
      </w:r>
    </w:p>
    <w:p w14:paraId="43D136DB" w14:textId="77777777" w:rsidR="00972395" w:rsidRPr="00E73D4B" w:rsidRDefault="00F120C7" w:rsidP="00E73D4B">
      <w:r w:rsidRPr="00E73D4B">
        <w:t>Departementet anser med dette anmodningsvedtaket som fulgt opp.</w:t>
      </w:r>
    </w:p>
    <w:p w14:paraId="4C32480C" w14:textId="77777777" w:rsidR="00972395" w:rsidRPr="00E73D4B" w:rsidRDefault="00F120C7" w:rsidP="00E73D4B">
      <w:pPr>
        <w:pStyle w:val="avsnitt-tittel"/>
      </w:pPr>
      <w:r w:rsidRPr="00E73D4B">
        <w:t>Nettløsning til havs</w:t>
      </w:r>
    </w:p>
    <w:p w14:paraId="4002E20E" w14:textId="77777777" w:rsidR="00972395" w:rsidRPr="00E73D4B" w:rsidRDefault="00F120C7" w:rsidP="00E73D4B">
      <w:pPr>
        <w:pStyle w:val="avsnitt-undertittel"/>
      </w:pPr>
      <w:r w:rsidRPr="00E73D4B">
        <w:t>Vedtak 707, 10. juni 2022</w:t>
      </w:r>
    </w:p>
    <w:p w14:paraId="49A709ED" w14:textId="77777777" w:rsidR="00972395" w:rsidRPr="00E73D4B" w:rsidRDefault="00F120C7" w:rsidP="00E73D4B">
      <w:pPr>
        <w:pStyle w:val="blokksit"/>
      </w:pPr>
      <w:r w:rsidRPr="00E73D4B">
        <w:t>«</w:t>
      </w:r>
      <w:r w:rsidRPr="00E73D4B">
        <w:rPr>
          <w:rStyle w:val="kursiv"/>
        </w:rPr>
        <w:t>Stortinget ber om at regjeringen ved valg av nettløsning til havs som innebærer tilknytning til det norske kraftsystemet, skal anleggets tekniske utforming sikre nasjonale interesser, herunder forsyningssikkerhet og rimelige kraftpriser til husholdninger, industri og næringsliv.</w:t>
      </w:r>
      <w:r w:rsidRPr="00E73D4B">
        <w:t>»</w:t>
      </w:r>
    </w:p>
    <w:p w14:paraId="2834B6F2"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095B2055" w14:textId="77777777" w:rsidR="00972395" w:rsidRPr="00E73D4B" w:rsidRDefault="00F120C7" w:rsidP="00E73D4B">
      <w:r w:rsidRPr="00E73D4B">
        <w:t>Nettløsning til havs vil vurderes for hvert enkelt prosjekt, og innvirkningen på kraftsystemet på land er av de forhold som vil bli vurdert.</w:t>
      </w:r>
    </w:p>
    <w:p w14:paraId="07F41C1F" w14:textId="77777777" w:rsidR="00972395" w:rsidRPr="00E73D4B" w:rsidRDefault="00F120C7" w:rsidP="00E73D4B">
      <w:r w:rsidRPr="00E73D4B">
        <w:t>Departementet anser med dette anmodningsvedtaket som fulgt opp.</w:t>
      </w:r>
    </w:p>
    <w:p w14:paraId="3AE7906D" w14:textId="77777777" w:rsidR="00972395" w:rsidRPr="00E73D4B" w:rsidRDefault="00F120C7" w:rsidP="00E73D4B">
      <w:pPr>
        <w:pStyle w:val="avsnitt-tittel"/>
      </w:pPr>
      <w:r w:rsidRPr="00E73D4B">
        <w:t>Havvind – etablere egnet regime for risikoavlastning og statsstøtte, herunder differansekontrakter</w:t>
      </w:r>
    </w:p>
    <w:p w14:paraId="609C8428" w14:textId="77777777" w:rsidR="00972395" w:rsidRPr="00E73D4B" w:rsidRDefault="00F120C7" w:rsidP="00E73D4B">
      <w:pPr>
        <w:pStyle w:val="avsnitt-undertittel"/>
      </w:pPr>
      <w:r w:rsidRPr="00E73D4B">
        <w:t>Vedtak 708, 10. juni 2022</w:t>
      </w:r>
    </w:p>
    <w:p w14:paraId="6F86D536" w14:textId="77777777" w:rsidR="00972395" w:rsidRPr="00E73D4B" w:rsidRDefault="00F120C7" w:rsidP="00E73D4B">
      <w:pPr>
        <w:pStyle w:val="blokksit"/>
      </w:pPr>
      <w:r w:rsidRPr="00E73D4B">
        <w:t>«</w:t>
      </w:r>
      <w:r w:rsidRPr="00E73D4B">
        <w:rPr>
          <w:rStyle w:val="kursiv"/>
        </w:rPr>
        <w:t>Stortinget ber regjeringen bidra til å realisere prosjekter i de første tildelingsrundene blant annet gjennom å etablere egnet regime for risikoavlastning og statsstøtte dersom det er behov for dette. Ulike modeller skal i den sammenheng vurderes, herunder en modell med differansekontrakter knyttet til kraftprisen for utbygging av havvind etter havenergiloven i tildelte områder. Det er et mål å velge en ordning som minimerer kostnadene ved realisering av prosjektet.</w:t>
      </w:r>
      <w:r w:rsidRPr="00E73D4B">
        <w:t>»</w:t>
      </w:r>
    </w:p>
    <w:p w14:paraId="22AE5AED"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15E2F591" w14:textId="77777777" w:rsidR="00972395" w:rsidRPr="00E73D4B" w:rsidRDefault="00F120C7" w:rsidP="00E73D4B">
      <w:r w:rsidRPr="00E73D4B">
        <w:t xml:space="preserve">Olje- og energidepartementet utreder ulike støtteordninger, herunder differansekontrakter, som del av arbeidet med utlysning og tildeling av arealer på Utsira Nord og Sørlige </w:t>
      </w:r>
      <w:proofErr w:type="spellStart"/>
      <w:r w:rsidRPr="00E73D4B">
        <w:t>Nordsjø</w:t>
      </w:r>
      <w:proofErr w:type="spellEnd"/>
      <w:r w:rsidRPr="00E73D4B">
        <w:t xml:space="preserve"> II.</w:t>
      </w:r>
    </w:p>
    <w:p w14:paraId="3EF36962" w14:textId="77777777" w:rsidR="00972395" w:rsidRPr="00E73D4B" w:rsidRDefault="00F120C7" w:rsidP="00E73D4B">
      <w:r w:rsidRPr="00E73D4B">
        <w:t>Departementet vil på egnet måte komme tilbake til Stortinget når utredningene er ferdigstilt.</w:t>
      </w:r>
    </w:p>
    <w:p w14:paraId="1B1EA6CD" w14:textId="77777777" w:rsidR="00972395" w:rsidRPr="00E73D4B" w:rsidRDefault="00F120C7" w:rsidP="00E73D4B">
      <w:pPr>
        <w:pStyle w:val="avsnitt-tittel"/>
      </w:pPr>
      <w:r w:rsidRPr="00E73D4B">
        <w:t>Konsesjonsbehandling av småkraftverk</w:t>
      </w:r>
    </w:p>
    <w:p w14:paraId="01F1C3EB" w14:textId="77777777" w:rsidR="00972395" w:rsidRPr="00E73D4B" w:rsidRDefault="00F120C7" w:rsidP="00E73D4B">
      <w:pPr>
        <w:pStyle w:val="avsnitt-undertittel"/>
      </w:pPr>
      <w:r w:rsidRPr="00E73D4B">
        <w:t>Vedtak 710, 10. juni 2022</w:t>
      </w:r>
    </w:p>
    <w:p w14:paraId="32F5BFC0" w14:textId="77777777" w:rsidR="00972395" w:rsidRPr="00E73D4B" w:rsidRDefault="00F120C7" w:rsidP="00E73D4B">
      <w:pPr>
        <w:pStyle w:val="blokksit"/>
      </w:pPr>
      <w:r w:rsidRPr="00E73D4B">
        <w:t>«</w:t>
      </w:r>
      <w:r w:rsidRPr="00E73D4B">
        <w:rPr>
          <w:rStyle w:val="kursiv"/>
        </w:rPr>
        <w:t>Stortinget ber regjeringen vurdere tiltak for å få fortgang i konsesjonsbehandlingen av småkraftverk.</w:t>
      </w:r>
      <w:r w:rsidRPr="00E73D4B">
        <w:t>»</w:t>
      </w:r>
    </w:p>
    <w:p w14:paraId="18C9F721"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171A7752" w14:textId="77777777" w:rsidR="00972395" w:rsidRPr="00E73D4B" w:rsidRDefault="00F120C7" w:rsidP="00E73D4B">
      <w:r w:rsidRPr="00E73D4B">
        <w:t xml:space="preserve">Regjeringen har i Hurdalsplattformen varslet at den vil legge bedre til rette for mer småkraft. NVE skal bidra til samfunnsøkonomisk riktig ressursutnyttelse, blant annet gjennom konsesjonsbehandling av anlegg for produksjon og overføring av energi. Mange eiere av småkraftverk som fikk konsesjon for flere år siden ser nå mulighet for å realisere prosjektene, og NVE prioriterer derfor for tiden behandling av søknader om utsatt </w:t>
      </w:r>
      <w:proofErr w:type="spellStart"/>
      <w:r w:rsidRPr="00E73D4B">
        <w:t>byggefrist</w:t>
      </w:r>
      <w:proofErr w:type="spellEnd"/>
      <w:r w:rsidRPr="00E73D4B">
        <w:t xml:space="preserve"> for slike anlegg. Søknader om nye småkraftverk som ikke har konsesjon vil bli tatt til behandling fortløpende. NVEs ressurser til konsesjonsbehandling av nett og kraftproduksjon er styrket i forslag til statsbudsjett for 2023. Dette vil også bidra til raskere behandling av småkraftsaker.</w:t>
      </w:r>
    </w:p>
    <w:p w14:paraId="6D603F75" w14:textId="77777777" w:rsidR="00972395" w:rsidRPr="00E73D4B" w:rsidRDefault="00F120C7" w:rsidP="00E73D4B">
      <w:r w:rsidRPr="00E73D4B">
        <w:t>Departementet anser med dette anmodningsvedtaket som fulgt opp.</w:t>
      </w:r>
    </w:p>
    <w:p w14:paraId="206F4DF6" w14:textId="77777777" w:rsidR="00972395" w:rsidRPr="00E73D4B" w:rsidRDefault="00F120C7" w:rsidP="00E73D4B">
      <w:pPr>
        <w:pStyle w:val="avsnitt-tittel"/>
      </w:pPr>
      <w:r w:rsidRPr="00E73D4B">
        <w:t>Vindkraft – sikre tydelige lokale ringvirkninger</w:t>
      </w:r>
    </w:p>
    <w:p w14:paraId="690EA3EA" w14:textId="77777777" w:rsidR="00972395" w:rsidRPr="00E73D4B" w:rsidRDefault="00F120C7" w:rsidP="00E73D4B">
      <w:pPr>
        <w:pStyle w:val="avsnitt-undertittel"/>
      </w:pPr>
      <w:r w:rsidRPr="00E73D4B">
        <w:t>Vedtak 712, 10. juni 2022</w:t>
      </w:r>
    </w:p>
    <w:p w14:paraId="71B34822" w14:textId="77777777" w:rsidR="00972395" w:rsidRPr="00E73D4B" w:rsidRDefault="00F120C7" w:rsidP="00E73D4B">
      <w:pPr>
        <w:pStyle w:val="blokksit"/>
      </w:pPr>
      <w:r w:rsidRPr="00E73D4B">
        <w:t>«</w:t>
      </w:r>
      <w:r w:rsidRPr="00E73D4B">
        <w:rPr>
          <w:rStyle w:val="kursiv"/>
        </w:rPr>
        <w:t>Stortinget ber regjeringen sikre at fremtidige vindkraftutbygginger fører til tydelige lokale ringvirkninger, blant annet ved at det legges til rette for kommunale inntekter.</w:t>
      </w:r>
      <w:r w:rsidRPr="00E73D4B">
        <w:t>»</w:t>
      </w:r>
    </w:p>
    <w:p w14:paraId="05E3316C"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77EBB374" w14:textId="77777777" w:rsidR="00972395" w:rsidRPr="00E73D4B" w:rsidRDefault="00F120C7" w:rsidP="00E73D4B">
      <w:r w:rsidRPr="00E73D4B">
        <w:t xml:space="preserve">Det vises til omtale i Finansdepartementets </w:t>
      </w:r>
      <w:proofErr w:type="spellStart"/>
      <w:r w:rsidRPr="00E73D4B">
        <w:t>Prop</w:t>
      </w:r>
      <w:proofErr w:type="spellEnd"/>
      <w:r w:rsidRPr="00E73D4B">
        <w:t>. 1 LS (2022–2023) Skatter, avgifter og toll 2023.</w:t>
      </w:r>
    </w:p>
    <w:p w14:paraId="28506453" w14:textId="77777777" w:rsidR="00972395" w:rsidRPr="00E73D4B" w:rsidRDefault="00F120C7" w:rsidP="00E73D4B">
      <w:r w:rsidRPr="00E73D4B">
        <w:t>Departementet anser med dette anmodningsvedtaket som fulgt opp.</w:t>
      </w:r>
    </w:p>
    <w:p w14:paraId="2F258F4F" w14:textId="77777777" w:rsidR="00972395" w:rsidRPr="00E73D4B" w:rsidRDefault="00F120C7" w:rsidP="00E73D4B">
      <w:pPr>
        <w:pStyle w:val="avsnitt-tittel"/>
      </w:pPr>
      <w:r w:rsidRPr="00E73D4B">
        <w:t xml:space="preserve">Havvind – utlyse og tildele areal på Utsira Nord og Sørlige </w:t>
      </w:r>
      <w:proofErr w:type="spellStart"/>
      <w:r w:rsidRPr="00E73D4B">
        <w:t>Nordsjø</w:t>
      </w:r>
      <w:proofErr w:type="spellEnd"/>
      <w:r w:rsidRPr="00E73D4B">
        <w:t xml:space="preserve"> II</w:t>
      </w:r>
    </w:p>
    <w:p w14:paraId="4EF7844B" w14:textId="77777777" w:rsidR="00972395" w:rsidRPr="00E73D4B" w:rsidRDefault="00F120C7" w:rsidP="00E73D4B">
      <w:pPr>
        <w:pStyle w:val="avsnitt-undertittel"/>
      </w:pPr>
      <w:r w:rsidRPr="00E73D4B">
        <w:t>Vedtak 714, 10. juni 2022</w:t>
      </w:r>
    </w:p>
    <w:p w14:paraId="089B0CBD" w14:textId="77777777" w:rsidR="00972395" w:rsidRPr="00E73D4B" w:rsidRDefault="00F120C7" w:rsidP="00E73D4B">
      <w:pPr>
        <w:pStyle w:val="blokksit"/>
      </w:pPr>
      <w:r w:rsidRPr="00E73D4B">
        <w:t>«</w:t>
      </w:r>
      <w:r w:rsidRPr="00E73D4B">
        <w:rPr>
          <w:rStyle w:val="kursiv"/>
        </w:rPr>
        <w:t xml:space="preserve">Stortinget ber regjeringen utlyse og tildele areal på Utsira Nord og Sørlige </w:t>
      </w:r>
      <w:proofErr w:type="spellStart"/>
      <w:r w:rsidRPr="00E73D4B">
        <w:rPr>
          <w:rStyle w:val="kursiv"/>
        </w:rPr>
        <w:t>Nordsjø</w:t>
      </w:r>
      <w:proofErr w:type="spellEnd"/>
      <w:r w:rsidRPr="00E73D4B">
        <w:rPr>
          <w:rStyle w:val="kursiv"/>
        </w:rPr>
        <w:t xml:space="preserve"> II i løpet av 2023.</w:t>
      </w:r>
      <w:r w:rsidRPr="00E73D4B">
        <w:t>»</w:t>
      </w:r>
    </w:p>
    <w:p w14:paraId="3F4459D2"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3C3698BE" w14:textId="77777777" w:rsidR="00972395" w:rsidRPr="00E73D4B" w:rsidRDefault="00F120C7" w:rsidP="00E73D4B">
      <w:r w:rsidRPr="00E73D4B">
        <w:t xml:space="preserve">Utlysning og tildeling av areal på Utsira Nord og første fase av Sørlige </w:t>
      </w:r>
      <w:proofErr w:type="spellStart"/>
      <w:r w:rsidRPr="00E73D4B">
        <w:t>Nordsjø</w:t>
      </w:r>
      <w:proofErr w:type="spellEnd"/>
      <w:r w:rsidRPr="00E73D4B">
        <w:t xml:space="preserve"> II planlegges gjennomført i 2023.</w:t>
      </w:r>
    </w:p>
    <w:p w14:paraId="158E877E" w14:textId="77777777" w:rsidR="00972395" w:rsidRPr="00E73D4B" w:rsidRDefault="00F120C7" w:rsidP="00E73D4B">
      <w:r w:rsidRPr="00E73D4B">
        <w:t>Departementet anser med dette anmodningsvedtaket som fulgt opp.</w:t>
      </w:r>
    </w:p>
    <w:p w14:paraId="17F0B7C8" w14:textId="77777777" w:rsidR="00972395" w:rsidRPr="00E73D4B" w:rsidRDefault="00F120C7" w:rsidP="00E73D4B">
      <w:pPr>
        <w:pStyle w:val="avsnitt-tittel"/>
      </w:pPr>
      <w:r w:rsidRPr="00E73D4B">
        <w:t>Havvind – mål om tildeling av areal tilsvarende 30 GW innen 2040</w:t>
      </w:r>
    </w:p>
    <w:p w14:paraId="08C72051" w14:textId="77777777" w:rsidR="00972395" w:rsidRPr="00E73D4B" w:rsidRDefault="00F120C7" w:rsidP="00E73D4B">
      <w:pPr>
        <w:pStyle w:val="avsnitt-undertittel"/>
      </w:pPr>
      <w:r w:rsidRPr="00E73D4B">
        <w:t>Vedtak 715, 10. juni 2022</w:t>
      </w:r>
    </w:p>
    <w:p w14:paraId="5A2F80CA" w14:textId="77777777" w:rsidR="00972395" w:rsidRPr="00E73D4B" w:rsidRDefault="00F120C7" w:rsidP="00E73D4B">
      <w:pPr>
        <w:pStyle w:val="blokksit"/>
      </w:pPr>
      <w:r w:rsidRPr="00E73D4B">
        <w:t>«</w:t>
      </w:r>
      <w:r w:rsidRPr="00E73D4B">
        <w:rPr>
          <w:rStyle w:val="kursiv"/>
        </w:rPr>
        <w:t>Stortinget ber regjeringen gjennomføre jevnlige tildelinger av nytt areal for havvind, for å nå målet om tildeling av areal tilsvarende 30 GW innen 2040.</w:t>
      </w:r>
      <w:r w:rsidRPr="00E73D4B">
        <w:t>»</w:t>
      </w:r>
    </w:p>
    <w:p w14:paraId="6B6CBC84"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45890CD0" w14:textId="77777777" w:rsidR="00972395" w:rsidRPr="00E73D4B" w:rsidRDefault="00F120C7" w:rsidP="00E73D4B">
      <w:r w:rsidRPr="00E73D4B">
        <w:t xml:space="preserve">Det legges opp til jevnlige tildelinger av nytt areal for havvind for å nå målet om tildeling av areal tilsvarende 30 GW innen 2040. Utsira Nord og første fase av Sørlige </w:t>
      </w:r>
      <w:proofErr w:type="spellStart"/>
      <w:r w:rsidRPr="00E73D4B">
        <w:t>Nordsjø</w:t>
      </w:r>
      <w:proofErr w:type="spellEnd"/>
      <w:r w:rsidRPr="00E73D4B">
        <w:t xml:space="preserve"> II vil tildeles i 2023, neste tildeling er planlagt i 2025.</w:t>
      </w:r>
    </w:p>
    <w:p w14:paraId="35BD60F4" w14:textId="77777777" w:rsidR="00972395" w:rsidRPr="00E73D4B" w:rsidRDefault="00F120C7" w:rsidP="00E73D4B">
      <w:r w:rsidRPr="00E73D4B">
        <w:t>Departementet anser med dette anmodningsvedtaket som fulgt opp.</w:t>
      </w:r>
    </w:p>
    <w:p w14:paraId="3D3D3EDE" w14:textId="77777777" w:rsidR="00972395" w:rsidRPr="00E73D4B" w:rsidRDefault="00F120C7" w:rsidP="00E73D4B">
      <w:pPr>
        <w:pStyle w:val="avsnitt-tittel"/>
      </w:pPr>
      <w:r w:rsidRPr="00E73D4B">
        <w:t>Havvind – vurdere å fastsette delmål for arealtildeling innen 2030</w:t>
      </w:r>
    </w:p>
    <w:p w14:paraId="71A19666" w14:textId="77777777" w:rsidR="00972395" w:rsidRPr="00E73D4B" w:rsidRDefault="00F120C7" w:rsidP="00E73D4B">
      <w:pPr>
        <w:pStyle w:val="avsnitt-undertittel"/>
      </w:pPr>
      <w:r w:rsidRPr="00E73D4B">
        <w:t>Vedtak 716, 10. juni 2022</w:t>
      </w:r>
    </w:p>
    <w:p w14:paraId="5F13B965" w14:textId="77777777" w:rsidR="00972395" w:rsidRPr="00E73D4B" w:rsidRDefault="00F120C7" w:rsidP="00E73D4B">
      <w:pPr>
        <w:pStyle w:val="blokksit"/>
      </w:pPr>
      <w:r w:rsidRPr="00E73D4B">
        <w:t>«</w:t>
      </w:r>
      <w:r w:rsidRPr="00E73D4B">
        <w:rPr>
          <w:rStyle w:val="kursiv"/>
        </w:rPr>
        <w:t>Stortinget ber regjeringen i lys av erfaringer og evalueringen som gjøres fra de første tildelingene, vurdere å fastsette et delmål for arealtildeling innen 2030.</w:t>
      </w:r>
      <w:r w:rsidRPr="00E73D4B">
        <w:t>»</w:t>
      </w:r>
    </w:p>
    <w:p w14:paraId="12BC38BA"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59D8F3A9" w14:textId="77777777" w:rsidR="00972395" w:rsidRPr="00E73D4B" w:rsidRDefault="00F120C7" w:rsidP="00E73D4B">
      <w:r w:rsidRPr="00E73D4B">
        <w:t>Olje- og energidepartementet vil komme tilbake til Stortinget på egnet måte med en vurdering av om det bør settes et delmål for arealtildeling innen 2030.</w:t>
      </w:r>
    </w:p>
    <w:p w14:paraId="73088E28" w14:textId="77777777" w:rsidR="00972395" w:rsidRPr="00E73D4B" w:rsidRDefault="00F120C7" w:rsidP="00E73D4B">
      <w:pPr>
        <w:pStyle w:val="avsnitt-tittel"/>
      </w:pPr>
      <w:r w:rsidRPr="00E73D4B">
        <w:t>Havvind – oppdatering av veileder som har vært på høring</w:t>
      </w:r>
    </w:p>
    <w:p w14:paraId="2A4286B9" w14:textId="77777777" w:rsidR="00972395" w:rsidRPr="00E73D4B" w:rsidRDefault="00F120C7" w:rsidP="00E73D4B">
      <w:pPr>
        <w:pStyle w:val="avsnitt-undertittel"/>
      </w:pPr>
      <w:r w:rsidRPr="00E73D4B">
        <w:t>Vedtak 717, 10. juni 2022</w:t>
      </w:r>
    </w:p>
    <w:p w14:paraId="55373A27" w14:textId="77777777" w:rsidR="00972395" w:rsidRPr="00E73D4B" w:rsidRDefault="00F120C7" w:rsidP="00E73D4B">
      <w:pPr>
        <w:pStyle w:val="blokksit"/>
      </w:pPr>
      <w:r w:rsidRPr="00E73D4B">
        <w:t>«</w:t>
      </w:r>
      <w:r w:rsidRPr="00E73D4B">
        <w:rPr>
          <w:rStyle w:val="kursiv"/>
        </w:rPr>
        <w:t>Stortinget ber regjeringen snarest, komme med en oppdatering av veilederen for havvind som har vært på høring.</w:t>
      </w:r>
      <w:r w:rsidRPr="00E73D4B">
        <w:t>»</w:t>
      </w:r>
    </w:p>
    <w:p w14:paraId="42BEC6EE"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2BE26D5B" w14:textId="77777777" w:rsidR="00972395" w:rsidRPr="00E73D4B" w:rsidRDefault="00F120C7" w:rsidP="00E73D4B">
      <w:r w:rsidRPr="00E73D4B">
        <w:t>Veileder for havvind (</w:t>
      </w:r>
      <w:r w:rsidRPr="00E73D4B">
        <w:rPr>
          <w:rStyle w:val="kursiv"/>
        </w:rPr>
        <w:t>Veileder for arealtildeling, konsesjonsprosess og søknader for vindkraft til havs</w:t>
      </w:r>
      <w:r w:rsidRPr="00E73D4B">
        <w:t>) er under utarbeidelse og vil bli ferdigstilt så snart rammeverket veilederen omtaler er klart.</w:t>
      </w:r>
    </w:p>
    <w:p w14:paraId="288A0E2F" w14:textId="77777777" w:rsidR="00972395" w:rsidRPr="00E73D4B" w:rsidRDefault="00F120C7" w:rsidP="00E73D4B">
      <w:r w:rsidRPr="00E73D4B">
        <w:t>Departementet anser med dette anmodningsvedtaket som fulgt opp.</w:t>
      </w:r>
    </w:p>
    <w:p w14:paraId="534ED78C" w14:textId="77777777" w:rsidR="00972395" w:rsidRPr="00E73D4B" w:rsidRDefault="00F120C7" w:rsidP="00E73D4B">
      <w:pPr>
        <w:pStyle w:val="avsnitt-tittel"/>
      </w:pPr>
      <w:r w:rsidRPr="00E73D4B">
        <w:t xml:space="preserve">Havvind – fastsette tidspunkt for å delta på prekvalifisering på utlysningene knyttet til Utsira Nord og Sørlige </w:t>
      </w:r>
      <w:proofErr w:type="spellStart"/>
      <w:r w:rsidRPr="00E73D4B">
        <w:t>Nordsjø</w:t>
      </w:r>
      <w:proofErr w:type="spellEnd"/>
      <w:r w:rsidRPr="00E73D4B">
        <w:t xml:space="preserve"> II</w:t>
      </w:r>
    </w:p>
    <w:p w14:paraId="12AFF1B9" w14:textId="77777777" w:rsidR="00972395" w:rsidRPr="00E73D4B" w:rsidRDefault="00F120C7" w:rsidP="00E73D4B">
      <w:pPr>
        <w:pStyle w:val="avsnitt-undertittel"/>
      </w:pPr>
      <w:r w:rsidRPr="00E73D4B">
        <w:t>Vedtak 718, 10. juni 2022</w:t>
      </w:r>
    </w:p>
    <w:p w14:paraId="02D91436" w14:textId="77777777" w:rsidR="00972395" w:rsidRPr="00E73D4B" w:rsidRDefault="00F120C7" w:rsidP="00E73D4B">
      <w:pPr>
        <w:pStyle w:val="blokksit"/>
      </w:pPr>
      <w:r w:rsidRPr="00E73D4B">
        <w:t>«</w:t>
      </w:r>
      <w:r w:rsidRPr="00E73D4B">
        <w:rPr>
          <w:rStyle w:val="kursiv"/>
        </w:rPr>
        <w:t xml:space="preserve">Stortinget ber regjeringen snarest fastsette tidspunkt for prekvalifisering for å delta på utlysningene knyttet til Utsira Nord og Sørlige </w:t>
      </w:r>
      <w:proofErr w:type="spellStart"/>
      <w:r w:rsidRPr="00E73D4B">
        <w:rPr>
          <w:rStyle w:val="kursiv"/>
        </w:rPr>
        <w:t>Nordsjø</w:t>
      </w:r>
      <w:proofErr w:type="spellEnd"/>
      <w:r w:rsidRPr="00E73D4B">
        <w:rPr>
          <w:rStyle w:val="kursiv"/>
        </w:rPr>
        <w:t xml:space="preserve"> II.</w:t>
      </w:r>
      <w:r w:rsidRPr="00E73D4B">
        <w:t>»</w:t>
      </w:r>
    </w:p>
    <w:p w14:paraId="5CE91277"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74763792" w14:textId="77777777" w:rsidR="00972395" w:rsidRPr="00E73D4B" w:rsidRDefault="00F120C7" w:rsidP="00E73D4B">
      <w:r w:rsidRPr="00E73D4B">
        <w:t>Tidspunkt for prekvalifisering vil fastsettes så snart prekvalifiseringskriteriene er endelig utarbeidet.</w:t>
      </w:r>
    </w:p>
    <w:p w14:paraId="763ED2CC" w14:textId="77777777" w:rsidR="00972395" w:rsidRPr="00E73D4B" w:rsidRDefault="00F120C7" w:rsidP="00E73D4B">
      <w:r w:rsidRPr="00E73D4B">
        <w:t>Departementet anser med dette anmodningsvedtaket som fulgt opp.</w:t>
      </w:r>
    </w:p>
    <w:p w14:paraId="6329D890" w14:textId="77777777" w:rsidR="00972395" w:rsidRPr="00E73D4B" w:rsidRDefault="00F120C7" w:rsidP="00E73D4B">
      <w:pPr>
        <w:pStyle w:val="avsnitt-tittel"/>
      </w:pPr>
      <w:r w:rsidRPr="00E73D4B">
        <w:t>Delelektrifisering av offshoreinstallasjoner gjennom mobile havturbiner</w:t>
      </w:r>
    </w:p>
    <w:p w14:paraId="57660146" w14:textId="77777777" w:rsidR="00972395" w:rsidRPr="00E73D4B" w:rsidRDefault="00F120C7" w:rsidP="00E73D4B">
      <w:pPr>
        <w:pStyle w:val="avsnitt-undertittel"/>
      </w:pPr>
      <w:r w:rsidRPr="00E73D4B">
        <w:t>Vedtak 720, 10. juni 2022</w:t>
      </w:r>
    </w:p>
    <w:p w14:paraId="7F4BC905" w14:textId="77777777" w:rsidR="00972395" w:rsidRPr="00E73D4B" w:rsidRDefault="00F120C7" w:rsidP="00E73D4B">
      <w:pPr>
        <w:pStyle w:val="blokksit"/>
      </w:pPr>
      <w:r w:rsidRPr="00E73D4B">
        <w:t>«</w:t>
      </w:r>
      <w:r w:rsidRPr="00E73D4B">
        <w:rPr>
          <w:rStyle w:val="kursiv"/>
        </w:rPr>
        <w:t>Stortinget ber regjeringen vurdere å stille krav om delelektrifisering av offshoreinstallasjoner gjennom mobile vindturbiner der det er egnet og komme tilbake i forbindelse med revidert statsbudsjett for 2023, for å komme raskt i gang med havvindutbyggingen og som en komplementær løsning på lengre sikt.</w:t>
      </w:r>
      <w:r w:rsidRPr="00E73D4B">
        <w:t>»</w:t>
      </w:r>
    </w:p>
    <w:p w14:paraId="196BC8EB"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57079BD6" w14:textId="77777777" w:rsidR="00972395" w:rsidRPr="00E73D4B" w:rsidRDefault="00F120C7" w:rsidP="00E73D4B">
      <w:r w:rsidRPr="00E73D4B">
        <w:t xml:space="preserve">Olje- og energidepartementet har revidert </w:t>
      </w:r>
      <w:r w:rsidRPr="00E73D4B">
        <w:rPr>
          <w:rStyle w:val="kursiv"/>
        </w:rPr>
        <w:t>«Veileder til plan for utbygging og drift av en petroleumsforekomst (PUD) og plan for anlegg og drift av innretninger for transport og for utnyttelse av petroleum (PAD)»</w:t>
      </w:r>
      <w:r w:rsidRPr="00E73D4B">
        <w:t>. Det presiseres nå eksplisitt i veilederen at rettighetshaverne skal vurdere delelektrifisering gjennom mobile vindturbiner dersom det er et egnet tiltak i forbindelse med PUD/PAD for nye utbyggingsprosjekter.</w:t>
      </w:r>
    </w:p>
    <w:p w14:paraId="59F250FC" w14:textId="77777777" w:rsidR="00972395" w:rsidRPr="00E73D4B" w:rsidRDefault="00F120C7" w:rsidP="00E73D4B">
      <w:r w:rsidRPr="00E73D4B">
        <w:t>Departementet anser med dette anmodningsvedtaket som fulgt opp.</w:t>
      </w:r>
    </w:p>
    <w:p w14:paraId="4019B122" w14:textId="77777777" w:rsidR="00972395" w:rsidRPr="00E73D4B" w:rsidRDefault="00F120C7" w:rsidP="00E73D4B">
      <w:pPr>
        <w:pStyle w:val="avsnitt-tittel"/>
      </w:pPr>
      <w:r w:rsidRPr="00E73D4B">
        <w:t>Havvind – sikre god miljøkunnskap for alle deler av havmiljøet i aktuelle områder</w:t>
      </w:r>
    </w:p>
    <w:p w14:paraId="34AD3A2C" w14:textId="77777777" w:rsidR="00972395" w:rsidRPr="00E73D4B" w:rsidRDefault="00F120C7" w:rsidP="00E73D4B">
      <w:pPr>
        <w:pStyle w:val="avsnitt-undertittel"/>
      </w:pPr>
      <w:r w:rsidRPr="00E73D4B">
        <w:t>Vedtak 721, 10. juni 2022</w:t>
      </w:r>
    </w:p>
    <w:p w14:paraId="749D7522" w14:textId="77777777" w:rsidR="00972395" w:rsidRPr="00E73D4B" w:rsidRDefault="00F120C7" w:rsidP="00E73D4B">
      <w:pPr>
        <w:pStyle w:val="blokksit"/>
      </w:pPr>
      <w:r w:rsidRPr="00E73D4B">
        <w:t>«</w:t>
      </w:r>
      <w:r w:rsidRPr="00E73D4B">
        <w:rPr>
          <w:rStyle w:val="kursiv"/>
        </w:rPr>
        <w:t>Stortinget ber regjeringen sikre god miljøkunnskap for alle deler av havmiljøet i områder som er, og kan bli, aktuelle for norsk havvind. Oppsummering og kartlegging skal starte i 2022, og resultatene skal legges til grunn for utlysning av områder samt for natur- og miljøkrav til utbygging og drift.</w:t>
      </w:r>
      <w:r w:rsidRPr="00E73D4B">
        <w:t>»</w:t>
      </w:r>
    </w:p>
    <w:p w14:paraId="57A3A0AC"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3B57C21F" w14:textId="77777777" w:rsidR="00972395" w:rsidRPr="00E73D4B" w:rsidRDefault="00F120C7" w:rsidP="00E73D4B">
      <w:r w:rsidRPr="00E73D4B">
        <w:t xml:space="preserve">God miljøkunnskap sikres gjennom konsekvensutredninger som gjennomføres før åpning av områder for havvind, og gjennom prosjektspesifikke konsekvensutredninger. Det ble i august 2022 gjennomført grunnundersøkelser i deler av Sørlige </w:t>
      </w:r>
      <w:proofErr w:type="spellStart"/>
      <w:r w:rsidRPr="00E73D4B">
        <w:t>Nordsjø</w:t>
      </w:r>
      <w:proofErr w:type="spellEnd"/>
      <w:r w:rsidRPr="00E73D4B">
        <w:t xml:space="preserve"> II og det foreslås bevilgning for gjennomføring av grunnundersøkelser i resterende relevante deler av Sørlige </w:t>
      </w:r>
      <w:proofErr w:type="spellStart"/>
      <w:r w:rsidRPr="00E73D4B">
        <w:t>Nordsjø</w:t>
      </w:r>
      <w:proofErr w:type="spellEnd"/>
      <w:r w:rsidRPr="00E73D4B">
        <w:t xml:space="preserve"> II og Utsira Nord i 2023. Videre foreslås det økte midler til fugleundersøkelser gjennom langtidsovervåkingsprogrammet for sjøfugl (SEAPOP) og SEATRACK og til konsekvensutredning av nye områder for fornybar energiproduksjon til havs i budsjettet for 2023.</w:t>
      </w:r>
    </w:p>
    <w:p w14:paraId="30BEFEB9" w14:textId="77777777" w:rsidR="00972395" w:rsidRPr="00E73D4B" w:rsidRDefault="00F120C7" w:rsidP="00E73D4B">
      <w:r w:rsidRPr="00E73D4B">
        <w:t>Departementet anser med dette anmodningsvedtaket som fulgt opp.</w:t>
      </w:r>
    </w:p>
    <w:p w14:paraId="2A3EC26B" w14:textId="77777777" w:rsidR="00972395" w:rsidRPr="00E73D4B" w:rsidRDefault="00F120C7" w:rsidP="00E73D4B">
      <w:pPr>
        <w:pStyle w:val="avsnitt-tittel"/>
      </w:pPr>
      <w:r w:rsidRPr="00E73D4B">
        <w:t>Vindturbiner i industriområder mv. – justering av avstandskrav</w:t>
      </w:r>
    </w:p>
    <w:p w14:paraId="44B55A16" w14:textId="77777777" w:rsidR="00972395" w:rsidRPr="00E73D4B" w:rsidRDefault="00F120C7" w:rsidP="00E73D4B">
      <w:pPr>
        <w:pStyle w:val="avsnitt-undertittel"/>
      </w:pPr>
      <w:r w:rsidRPr="00E73D4B">
        <w:t>Vedtak 723, 10. juni 2022</w:t>
      </w:r>
    </w:p>
    <w:p w14:paraId="7C4DE850" w14:textId="77777777" w:rsidR="00972395" w:rsidRPr="00E73D4B" w:rsidRDefault="00F120C7" w:rsidP="00E73D4B">
      <w:pPr>
        <w:pStyle w:val="blokksit"/>
      </w:pPr>
      <w:r w:rsidRPr="00E73D4B">
        <w:t>«</w:t>
      </w:r>
      <w:r w:rsidRPr="00E73D4B">
        <w:rPr>
          <w:rStyle w:val="kursiv"/>
        </w:rPr>
        <w:t>Stortinget ber regjeringen vurdere nedjustering av avstandskrav ved utbygging av lave vindturbiner i industriområder, havner og ved annen infrastruktur hvor dette ikke gir nye naturinngrep.</w:t>
      </w:r>
      <w:r w:rsidRPr="00E73D4B">
        <w:t>»</w:t>
      </w:r>
    </w:p>
    <w:p w14:paraId="53D63B99"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5CB94435" w14:textId="77777777" w:rsidR="00972395" w:rsidRPr="00E73D4B" w:rsidRDefault="00F120C7" w:rsidP="00E73D4B">
      <w:r w:rsidRPr="00E73D4B">
        <w:t xml:space="preserve">I Meld. St. 28 (2019–2022) Om vindkraft på land, ble det foreslått en minsteavstand til bebyggelse på 800 meter. Ved behandlingen av meldingen, jf. </w:t>
      </w:r>
      <w:proofErr w:type="spellStart"/>
      <w:r w:rsidRPr="00E73D4B">
        <w:t>Innst</w:t>
      </w:r>
      <w:proofErr w:type="spellEnd"/>
      <w:r w:rsidRPr="00E73D4B">
        <w:t xml:space="preserve">. 101 S (2020–2021), uttalte en samlet komité blant annet: </w:t>
      </w:r>
      <w:r w:rsidRPr="00E73D4B">
        <w:rPr>
          <w:rStyle w:val="kursiv"/>
        </w:rPr>
        <w:t>«Det kan likevel vurderes etablering av vindmøller på industriområder. Da vil avstandskravet på 800 meter kunne fravikes.»</w:t>
      </w:r>
    </w:p>
    <w:p w14:paraId="4A7A871C" w14:textId="77777777" w:rsidR="00972395" w:rsidRPr="00E73D4B" w:rsidRDefault="00F120C7" w:rsidP="00E73D4B">
      <w:r w:rsidRPr="00E73D4B">
        <w:t xml:space="preserve">Det fremgår videre av innstillingen at et flertall i komiteen mener at </w:t>
      </w:r>
      <w:r w:rsidRPr="00E73D4B">
        <w:rPr>
          <w:rStyle w:val="kursiv"/>
        </w:rPr>
        <w:t>«de foreslåtte avstandskravene for vindturbiner på minimum 800 meter til nærmeste bebyggelse kan være for strenge når det gjelder utbygging i industriområder. Normalt vil turbinene i slike områder være vesentlig lavere enn turbiner som bygges ut i naturen, ha kortere skyggekast og støye mindre enn større turbiner.»</w:t>
      </w:r>
    </w:p>
    <w:p w14:paraId="599E1F8D" w14:textId="77777777" w:rsidR="00972395" w:rsidRPr="00E73D4B" w:rsidRDefault="00F120C7" w:rsidP="00E73D4B">
      <w:r w:rsidRPr="00E73D4B">
        <w:t>De avstandsbegrensningene som ble foreslått i Meld. St. 28 (2019–2020) er ikke juridisk bindende krav, men uttrykk for prinsipper som skal legges til grunn for forvaltningen fremover. Departementet tar energi- og miljøkomiteens presiseringer av hvordan disse avstandsbegrensningene bør praktiseres i industri- og næringsområder til etterretning. Olje- og energidepartementet vil legge disse til grunn for konsesjonsbehandlingen av vindkraft fremover.</w:t>
      </w:r>
    </w:p>
    <w:p w14:paraId="222D5105" w14:textId="77777777" w:rsidR="00972395" w:rsidRPr="00E73D4B" w:rsidRDefault="00F120C7" w:rsidP="00E73D4B">
      <w:r w:rsidRPr="00E73D4B">
        <w:t>Departementet anser med dette anmodningsvedtaket som fulgt opp.</w:t>
      </w:r>
    </w:p>
    <w:p w14:paraId="3F89FCC4" w14:textId="77777777" w:rsidR="00972395" w:rsidRPr="00E73D4B" w:rsidRDefault="00F120C7" w:rsidP="00E73D4B">
      <w:pPr>
        <w:pStyle w:val="avsnitt-tittel"/>
      </w:pPr>
      <w:r w:rsidRPr="00E73D4B">
        <w:t>Vurdere potensialet for småskala vindkraftproduksjon</w:t>
      </w:r>
    </w:p>
    <w:p w14:paraId="2BB2BDC7" w14:textId="77777777" w:rsidR="00972395" w:rsidRPr="00E73D4B" w:rsidRDefault="00F120C7" w:rsidP="00E73D4B">
      <w:pPr>
        <w:pStyle w:val="avsnitt-undertittel"/>
      </w:pPr>
      <w:r w:rsidRPr="00E73D4B">
        <w:t>Vedtak 724, 10. juni 2022</w:t>
      </w:r>
    </w:p>
    <w:p w14:paraId="03273537" w14:textId="77777777" w:rsidR="00972395" w:rsidRPr="00E73D4B" w:rsidRDefault="00F120C7" w:rsidP="00E73D4B">
      <w:pPr>
        <w:pStyle w:val="blokksit"/>
      </w:pPr>
      <w:r w:rsidRPr="00E73D4B">
        <w:t>«</w:t>
      </w:r>
      <w:r w:rsidRPr="00E73D4B">
        <w:rPr>
          <w:rStyle w:val="kursiv"/>
        </w:rPr>
        <w:t>Stortinget ber regjeringen vurdere potensialet for småskala vindkraftproduksjon i industriområder, havner og ved annen infrastruktur hvor dette ikke gir nye naturinngrep.</w:t>
      </w:r>
      <w:r w:rsidRPr="00E73D4B">
        <w:t>»</w:t>
      </w:r>
    </w:p>
    <w:p w14:paraId="1231421F"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06C24927" w14:textId="77777777" w:rsidR="00972395" w:rsidRPr="00E73D4B" w:rsidRDefault="00F120C7" w:rsidP="00E73D4B">
      <w:r w:rsidRPr="00E73D4B">
        <w:t>Departementet vil vurdere nærmere potensialet for småskala vindkraftproduksjon i industriområder, havner og ved annen infrastruktur.</w:t>
      </w:r>
    </w:p>
    <w:p w14:paraId="667D15E3" w14:textId="77777777" w:rsidR="00972395" w:rsidRPr="00E73D4B" w:rsidRDefault="00F120C7" w:rsidP="00E73D4B">
      <w:r w:rsidRPr="00E73D4B">
        <w:t>Departementet vil komme tilbake til Stortinget på egnet måte.</w:t>
      </w:r>
    </w:p>
    <w:p w14:paraId="67BD928F" w14:textId="77777777" w:rsidR="00972395" w:rsidRPr="00E73D4B" w:rsidRDefault="00F120C7" w:rsidP="00E73D4B">
      <w:pPr>
        <w:pStyle w:val="avsnitt-tittel"/>
      </w:pPr>
      <w:r w:rsidRPr="00E73D4B">
        <w:t>Mål om økt energisparing – utrede ulike ordninger med energisparesertifikater</w:t>
      </w:r>
    </w:p>
    <w:p w14:paraId="6EAC63C5" w14:textId="77777777" w:rsidR="00972395" w:rsidRPr="00E73D4B" w:rsidRDefault="00F120C7" w:rsidP="00E73D4B">
      <w:pPr>
        <w:pStyle w:val="avsnitt-undertittel"/>
      </w:pPr>
      <w:r w:rsidRPr="00E73D4B">
        <w:t>Vedtak 727, 10. juni 2022</w:t>
      </w:r>
    </w:p>
    <w:p w14:paraId="667C6504" w14:textId="77777777" w:rsidR="00972395" w:rsidRPr="00E73D4B" w:rsidRDefault="00F120C7" w:rsidP="00E73D4B">
      <w:pPr>
        <w:pStyle w:val="blokksit"/>
      </w:pPr>
      <w:r w:rsidRPr="00E73D4B">
        <w:t>«</w:t>
      </w:r>
      <w:r w:rsidRPr="00E73D4B">
        <w:rPr>
          <w:rStyle w:val="kursiv"/>
        </w:rPr>
        <w:t>Stortinget ber regjeringen utrede ulike ordninger med energisparesertifikater for å utløse mål om økt energisparing med mest mulig effekt.</w:t>
      </w:r>
      <w:r w:rsidRPr="00E73D4B">
        <w:t>»</w:t>
      </w:r>
    </w:p>
    <w:p w14:paraId="4D3C2C62"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187F94F4" w14:textId="77777777" w:rsidR="00972395" w:rsidRPr="00E73D4B" w:rsidRDefault="00F120C7" w:rsidP="00E73D4B">
      <w:r w:rsidRPr="00E73D4B">
        <w:t>Departementet vil vurdere nærmere hvordan anmodningsvedtaket skal følges opp.</w:t>
      </w:r>
    </w:p>
    <w:p w14:paraId="718216F3" w14:textId="77777777" w:rsidR="00972395" w:rsidRPr="00E73D4B" w:rsidRDefault="00F120C7" w:rsidP="00E73D4B">
      <w:r w:rsidRPr="00E73D4B">
        <w:t>Departementet vil komme tilbake til Stortinget på egnet måte.</w:t>
      </w:r>
    </w:p>
    <w:p w14:paraId="26B75EF7" w14:textId="77777777" w:rsidR="00972395" w:rsidRPr="00E73D4B" w:rsidRDefault="00F120C7" w:rsidP="00E73D4B">
      <w:pPr>
        <w:pStyle w:val="avsnitt-tittel"/>
      </w:pPr>
      <w:r w:rsidRPr="00E73D4B">
        <w:t>Videreføre satsingen på forskingssentret for miljøvennlig energi innen CO</w:t>
      </w:r>
      <w:r w:rsidRPr="00E73D4B">
        <w:rPr>
          <w:rStyle w:val="skrift-senket"/>
        </w:rPr>
        <w:t>2</w:t>
      </w:r>
      <w:r w:rsidRPr="00E73D4B">
        <w:t>-håndtering</w:t>
      </w:r>
    </w:p>
    <w:p w14:paraId="63C2F8C7" w14:textId="77777777" w:rsidR="00972395" w:rsidRPr="00E73D4B" w:rsidRDefault="00F120C7" w:rsidP="00E73D4B">
      <w:pPr>
        <w:pStyle w:val="avsnitt-undertittel"/>
      </w:pPr>
      <w:r w:rsidRPr="00E73D4B">
        <w:t>Vedtak 729, 10. juni 2022</w:t>
      </w:r>
    </w:p>
    <w:p w14:paraId="49CEDC55" w14:textId="77777777" w:rsidR="00972395" w:rsidRPr="00E73D4B" w:rsidRDefault="00F120C7" w:rsidP="00E73D4B">
      <w:pPr>
        <w:pStyle w:val="blokksit"/>
      </w:pPr>
      <w:r w:rsidRPr="00E73D4B">
        <w:t>«</w:t>
      </w:r>
      <w:r w:rsidRPr="00E73D4B">
        <w:rPr>
          <w:rStyle w:val="kursiv"/>
        </w:rPr>
        <w:t>Stortinget ber regjeringen videreføre satsingen på forskningssenteret for miljøvennlig energi dedikert til CO</w:t>
      </w:r>
      <w:r w:rsidRPr="00E73D4B">
        <w:rPr>
          <w:rStyle w:val="skrift-senket"/>
        </w:rPr>
        <w:t>2</w:t>
      </w:r>
      <w:r w:rsidRPr="00E73D4B">
        <w:rPr>
          <w:rStyle w:val="kursiv"/>
        </w:rPr>
        <w:t>-håndtering.</w:t>
      </w:r>
      <w:r w:rsidRPr="00E73D4B">
        <w:t>»</w:t>
      </w:r>
    </w:p>
    <w:p w14:paraId="1FE79441"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122F4042" w14:textId="77777777" w:rsidR="00972395" w:rsidRPr="00E73D4B" w:rsidRDefault="00F120C7" w:rsidP="00E73D4B">
      <w:r w:rsidRPr="00E73D4B">
        <w:t xml:space="preserve">Forskningssentrene for miljøvennlig energi (FME) er etablert med en varighet på åtte år, med en midtveisvurdering etter fem år. Det er ønskelig med fornyelse av sentrene med jevne mellomrom for å sikre at </w:t>
      </w:r>
      <w:proofErr w:type="spellStart"/>
      <w:r w:rsidRPr="00E73D4B">
        <w:t>FMEenes</w:t>
      </w:r>
      <w:proofErr w:type="spellEnd"/>
      <w:r w:rsidRPr="00E73D4B">
        <w:t xml:space="preserve"> virksomhet har høy kvalitet og er relevante for norsk næringsliv og norsk energiforskning. Det er ingen automatikk i at et senter videreføres for en ny periode. Norges forskningsråd lyser ut støtte til nye sentre og beslutter hvem som skal få senterstatus etter evalueringer og vurderinger av vitenskapelig kvalitet, relevans, sentrenes sammensetning og gjennomføringsevne. CO</w:t>
      </w:r>
      <w:r w:rsidRPr="00E73D4B">
        <w:rPr>
          <w:rStyle w:val="skrift-senket"/>
        </w:rPr>
        <w:t>2</w:t>
      </w:r>
      <w:r w:rsidRPr="00E73D4B">
        <w:t xml:space="preserve">-håndteringssenteret (FME NCCS) ble opprettet 2017 og har varighet til 2024. NCCS bygger tematisk på FME BIGCCS som var operativt fra 2008 til 2016. Syv andre </w:t>
      </w:r>
      <w:proofErr w:type="spellStart"/>
      <w:r w:rsidRPr="00E73D4B">
        <w:t>FMEer</w:t>
      </w:r>
      <w:proofErr w:type="spellEnd"/>
      <w:r w:rsidRPr="00E73D4B">
        <w:t xml:space="preserve"> avsluttes også i 2024. Forskningsrådet vil gjennomføre en ny utlysningsrunde i forbindelse med at sentrene avsluttes. CO</w:t>
      </w:r>
      <w:r w:rsidRPr="00E73D4B">
        <w:rPr>
          <w:rStyle w:val="skrift-senket"/>
        </w:rPr>
        <w:t>2</w:t>
      </w:r>
      <w:r w:rsidRPr="00E73D4B">
        <w:t>-håndtering er et svært aktuelt tema i en ny utlysningsrunde.</w:t>
      </w:r>
    </w:p>
    <w:p w14:paraId="39C0D1C2" w14:textId="77777777" w:rsidR="00972395" w:rsidRPr="00E73D4B" w:rsidRDefault="00F120C7" w:rsidP="00E73D4B">
      <w:r w:rsidRPr="00E73D4B">
        <w:t>Departementet anser med dette anmodningsvedtaket som fulgt opp.</w:t>
      </w:r>
    </w:p>
    <w:p w14:paraId="353BD8A4" w14:textId="77777777" w:rsidR="00972395" w:rsidRPr="00E73D4B" w:rsidRDefault="00F120C7" w:rsidP="00E73D4B">
      <w:pPr>
        <w:pStyle w:val="avsnitt-tittel"/>
      </w:pPr>
      <w:r w:rsidRPr="00E73D4B">
        <w:t>Utnytte den reelle kapasiteten i strømnettene</w:t>
      </w:r>
    </w:p>
    <w:p w14:paraId="53F2EB43" w14:textId="77777777" w:rsidR="00972395" w:rsidRPr="00E73D4B" w:rsidRDefault="00F120C7" w:rsidP="00E73D4B">
      <w:pPr>
        <w:pStyle w:val="avsnitt-undertittel"/>
      </w:pPr>
      <w:r w:rsidRPr="00E73D4B">
        <w:t>Vedtak 730, 10. juni 2022</w:t>
      </w:r>
    </w:p>
    <w:p w14:paraId="29384175" w14:textId="77777777" w:rsidR="00972395" w:rsidRPr="00E73D4B" w:rsidRDefault="00F120C7" w:rsidP="00E73D4B">
      <w:pPr>
        <w:pStyle w:val="blokksit"/>
      </w:pPr>
      <w:r w:rsidRPr="00E73D4B">
        <w:t>«</w:t>
      </w:r>
      <w:r w:rsidRPr="00E73D4B">
        <w:rPr>
          <w:rStyle w:val="kursiv"/>
        </w:rPr>
        <w:t>Stortinget ber regjeringen legge til rette for at nettselskapene benytter ny teknologi for å utnytte den reelle kapasiteten i strømnettene.</w:t>
      </w:r>
      <w:r w:rsidRPr="00E73D4B">
        <w:t>»</w:t>
      </w:r>
    </w:p>
    <w:p w14:paraId="6E33F05B"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5998BE81" w14:textId="77777777" w:rsidR="00972395" w:rsidRPr="00E73D4B" w:rsidRDefault="00F120C7" w:rsidP="00E73D4B">
      <w:r w:rsidRPr="00E73D4B">
        <w:t>Inntektsreguleringen av nettselskapene gir insentiver til effektiv drift, utvikling og utnyttelse av strømnettet. Ved kapasitetsutfordringer i strømnettet vil eksempelvis bruk av ny teknologi kunne bidra til bedre utnyttelse av den reelle kapasiteten, og vil kunne være et alternativ til å øke kapasiteten gjennom investeringer i nye nettanlegg. Inntektsreguleringen gir nettselskapene insentiver til å velge den løsningen som gir lavest kostnad over tid. Reguleringsmyndigheten for energi (RME) arbeider med flere forslag til forbedringer i inntektsreguleringen, og vurderer også tiltak som skal bidra til mest mulig balanserte insentiver mellom driftstiltak og investeringer.</w:t>
      </w:r>
    </w:p>
    <w:p w14:paraId="53D146FC" w14:textId="77777777" w:rsidR="00972395" w:rsidRPr="00E73D4B" w:rsidRDefault="00F120C7" w:rsidP="00E73D4B">
      <w:r w:rsidRPr="00E73D4B">
        <w:t>Nettselskapene har også anledning til å få dekket kostnader til godkjente FoU-prosjekter direkte gjennom sine tillatte inntekter. Dette gjelder FoU-prosjekter som kan bidra til en mer samfunnsmessig rasjonell drift, utnyttelse og utvikling av strømnettet. RME har også utviklet et rammeverk for pilot- og demoprosjekter. Dette rammeverket består i hovedsak i at nettselskaper og andre aktører på en enkel måte skal få informasjon om hvordan gjeldende regelverk påvirker nye forretningskonsepter og andre innovative løsninger. RME har allerede innvilget flere dispensasjoner etter dette rammeverket.</w:t>
      </w:r>
    </w:p>
    <w:p w14:paraId="1E9D0F82" w14:textId="77777777" w:rsidR="00972395" w:rsidRPr="00E73D4B" w:rsidRDefault="00F120C7" w:rsidP="00E73D4B">
      <w:r w:rsidRPr="00E73D4B">
        <w:t xml:space="preserve">RME og </w:t>
      </w:r>
      <w:proofErr w:type="spellStart"/>
      <w:r w:rsidRPr="00E73D4B">
        <w:t>Enova</w:t>
      </w:r>
      <w:proofErr w:type="spellEnd"/>
      <w:r w:rsidRPr="00E73D4B">
        <w:t xml:space="preserve"> finansierer en oppfølgingsstudie knyttet til </w:t>
      </w:r>
      <w:proofErr w:type="spellStart"/>
      <w:r w:rsidRPr="00E73D4B">
        <w:t>Enovas</w:t>
      </w:r>
      <w:proofErr w:type="spellEnd"/>
      <w:r w:rsidRPr="00E73D4B">
        <w:t xml:space="preserve"> Storskala demonstrasjon av fremtidens energisystem. </w:t>
      </w:r>
      <w:proofErr w:type="spellStart"/>
      <w:r w:rsidRPr="00E73D4B">
        <w:t>Enova</w:t>
      </w:r>
      <w:proofErr w:type="spellEnd"/>
      <w:r w:rsidRPr="00E73D4B">
        <w:t xml:space="preserve"> har tildelt 210,3 mill. kroner til åtte storskala demoprosjekter av framtidens energisystemer. Gjennom denne oppfølgingsstudien kartlegges bedrifts- og samfunnsøkonomiske gevinster knyttet til disse prosjektene.</w:t>
      </w:r>
    </w:p>
    <w:p w14:paraId="0A68BF87" w14:textId="77777777" w:rsidR="00972395" w:rsidRPr="00E73D4B" w:rsidRDefault="00F120C7" w:rsidP="00E73D4B">
      <w:r w:rsidRPr="00E73D4B">
        <w:t>Noen teknologier krever samarbeid mellom flere for å virkelig få utnyttet mulighetene teknologi kan gi. I prosjektet Digital samhandling samarbeider RME med bransjen om å finne hva slags områder det er hensiktsmessig at bransjen samarbeider om, og en styringsmodell for hvordan dette samarbeidet kan utvikles videre. Et sentralt mål for arbeidet er mer effektiv utnyttelse av ressursene i kraftsystemet.</w:t>
      </w:r>
    </w:p>
    <w:p w14:paraId="6F885497" w14:textId="77777777" w:rsidR="00972395" w:rsidRPr="00E73D4B" w:rsidRDefault="00F120C7" w:rsidP="00E73D4B">
      <w:r w:rsidRPr="00E73D4B">
        <w:t>Departementet anser på bakgrunn av dette at det er lagt godt til rette for at nettselskapene kan benytte ny teknologi. Departementet anser anmodningsvedtaket som fulgt opp.</w:t>
      </w:r>
    </w:p>
    <w:p w14:paraId="5C2207AF" w14:textId="77777777" w:rsidR="00972395" w:rsidRPr="00E73D4B" w:rsidRDefault="00F120C7" w:rsidP="00E73D4B">
      <w:pPr>
        <w:pStyle w:val="avsnitt-tittel"/>
      </w:pPr>
      <w:r w:rsidRPr="00E73D4B">
        <w:t>Prioritere hvem som får tilknytning til og uttak fra nettet av større nye forbrukere</w:t>
      </w:r>
    </w:p>
    <w:p w14:paraId="208DB4E5" w14:textId="77777777" w:rsidR="00972395" w:rsidRPr="00E73D4B" w:rsidRDefault="00F120C7" w:rsidP="00E73D4B">
      <w:pPr>
        <w:pStyle w:val="avsnitt-undertittel"/>
      </w:pPr>
      <w:r w:rsidRPr="00E73D4B">
        <w:t>Vedtak 731, 10. juni 2022</w:t>
      </w:r>
    </w:p>
    <w:p w14:paraId="77617361" w14:textId="77777777" w:rsidR="00972395" w:rsidRPr="00E73D4B" w:rsidRDefault="00F120C7" w:rsidP="00E73D4B">
      <w:pPr>
        <w:pStyle w:val="blokksit"/>
      </w:pPr>
      <w:r w:rsidRPr="00E73D4B">
        <w:t>«</w:t>
      </w:r>
      <w:r w:rsidRPr="00E73D4B">
        <w:rPr>
          <w:rStyle w:val="kursiv"/>
        </w:rPr>
        <w:t>Stortinget ber regjeringen, i etterkant av at Strømnettutvalget kommer med sine anbefalinger i juni 2022, vurdere og fremme forslag som sørger for at NVE gjennom forskrifter prioriterer hvem som får tilknytning til og uttak fra nettet av større nye forbrukere og komme tilbake til Stortinget i forbindelse med revidert nasjonalbudsjett 2023.</w:t>
      </w:r>
      <w:r w:rsidRPr="00E73D4B">
        <w:t>»</w:t>
      </w:r>
    </w:p>
    <w:p w14:paraId="7094474C"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03802094" w14:textId="77777777" w:rsidR="00972395" w:rsidRPr="00E73D4B" w:rsidRDefault="00F120C7" w:rsidP="00E73D4B">
      <w:r w:rsidRPr="00E73D4B">
        <w:t xml:space="preserve">Strømnettutvalgets rapport NOU 2022: 6 </w:t>
      </w:r>
      <w:r w:rsidRPr="00E73D4B">
        <w:rPr>
          <w:rStyle w:val="kursiv"/>
        </w:rPr>
        <w:t>Nett i tide – om utvikling av strømnettet</w:t>
      </w:r>
      <w:r w:rsidRPr="00E73D4B">
        <w:t xml:space="preserve"> ble lagt fram 14. juni og ble sendt på høring med høringsfrist 30. september. Departementet vurderer fortløpende forslagene i rapporten og gjennomgår nå innspillene fra høringsrunden.</w:t>
      </w:r>
    </w:p>
    <w:p w14:paraId="656E8BE1" w14:textId="77777777" w:rsidR="00972395" w:rsidRPr="00E73D4B" w:rsidRDefault="00F120C7" w:rsidP="00E73D4B">
      <w:r w:rsidRPr="00E73D4B">
        <w:t>Det er nettselskapene som tildeler kapasitet til kundene, basert på nøytrale og ikke-diskriminerende vilkår. Utvalget anbefalte å videreføre prinsippet om nøytral og ikke-diskriminerende opptreden ved tildeling av kapasitet, og pekte på at dette i dag er praktisert som først i tid, best i rett. Utvalget anbefaler samtidig at gjeldende praksis i større grad formaliseres når det gjelder hva kundene skal være først i tid til, og hva som kreves av kunden for å kunne reservere kapasitet.</w:t>
      </w:r>
    </w:p>
    <w:p w14:paraId="5CF926D4" w14:textId="77777777" w:rsidR="00972395" w:rsidRPr="00E73D4B" w:rsidRDefault="00F120C7" w:rsidP="00E73D4B">
      <w:r w:rsidRPr="00E73D4B">
        <w:t xml:space="preserve">Det viktigste tiltaket for å redusere utfordringer med manglende nettilknytning, vil være å redusere tiden det tar å utvikle og </w:t>
      </w:r>
      <w:proofErr w:type="spellStart"/>
      <w:r w:rsidRPr="00E73D4B">
        <w:t>konsesjonsbehandle</w:t>
      </w:r>
      <w:proofErr w:type="spellEnd"/>
      <w:r w:rsidRPr="00E73D4B">
        <w:t xml:space="preserve"> </w:t>
      </w:r>
      <w:proofErr w:type="spellStart"/>
      <w:r w:rsidRPr="00E73D4B">
        <w:t>nettiltak</w:t>
      </w:r>
      <w:proofErr w:type="spellEnd"/>
      <w:r w:rsidRPr="00E73D4B">
        <w:t>. Strømnettutvalget har en rekke forslag som bidrar til dette. Departementet vil følge opp utvalgets rapport raskt. Det foreslås en betydelig ressursøkning under NVE i budsjettet for 2023 for å håndtere en økende saksmengde og redusere saksbehandlingstiden. Videre legges det opp til at konsesjonsmyndighetene kan effektivisere prosessene gjennom bedre informasjonstilgang og økt bruk av digitale verktøy.</w:t>
      </w:r>
    </w:p>
    <w:p w14:paraId="5D538907" w14:textId="77777777" w:rsidR="00972395" w:rsidRPr="00E73D4B" w:rsidRDefault="00F120C7" w:rsidP="00E73D4B">
      <w:r w:rsidRPr="00E73D4B">
        <w:t>Olje- og energidepartementet vil komme tilbake til Stortinget på egnet måte.</w:t>
      </w:r>
    </w:p>
    <w:p w14:paraId="68BCAE9A" w14:textId="77777777" w:rsidR="00972395" w:rsidRPr="00E73D4B" w:rsidRDefault="00F120C7" w:rsidP="00E73D4B">
      <w:pPr>
        <w:pStyle w:val="avsnitt-tittel"/>
      </w:pPr>
      <w:r w:rsidRPr="00E73D4B">
        <w:t>Havvindparker og annen fornybar energiproduksjon på norsk sokkel – sikre betydelig industriutvikling og arbeidsplasser i Norge</w:t>
      </w:r>
    </w:p>
    <w:p w14:paraId="29833AB7" w14:textId="77777777" w:rsidR="00972395" w:rsidRPr="00E73D4B" w:rsidRDefault="00F120C7" w:rsidP="00E73D4B">
      <w:pPr>
        <w:pStyle w:val="avsnitt-undertittel"/>
      </w:pPr>
      <w:r w:rsidRPr="00E73D4B">
        <w:t>Vedtak 736, 10. juni 2022</w:t>
      </w:r>
    </w:p>
    <w:p w14:paraId="2A70401F" w14:textId="77777777" w:rsidR="00972395" w:rsidRPr="00E73D4B" w:rsidRDefault="00F120C7" w:rsidP="00E73D4B">
      <w:pPr>
        <w:pStyle w:val="blokksit"/>
      </w:pPr>
      <w:r w:rsidRPr="00E73D4B">
        <w:t>«</w:t>
      </w:r>
      <w:r w:rsidRPr="00E73D4B">
        <w:rPr>
          <w:rStyle w:val="kursiv"/>
        </w:rPr>
        <w:t>Stortinget ber regjeringen sikre at utbygging og drift av havvindparker og annen fornybar energiproduksjon på norsk sokkel skaper betydelig industriutvikling og arbeidsplasser i Norge.</w:t>
      </w:r>
      <w:r w:rsidRPr="00E73D4B">
        <w:t>»</w:t>
      </w:r>
    </w:p>
    <w:p w14:paraId="2F589D3C"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7594D492" w14:textId="77777777" w:rsidR="00972395" w:rsidRPr="00E73D4B" w:rsidRDefault="00F120C7" w:rsidP="00E73D4B">
      <w:r w:rsidRPr="00E73D4B">
        <w:t>Industriutvikling er et av regjeringens mål med havvindsatsingen. Gjennom etablering av et hjemmemarked ved utlysning av havvindområder i Norge, der en legger opp til prekvalifisering og kvalitative kriterier for Utsira Nord, vil norske aktører med sin nærhet til markedet, erfaring fra norsk sokkel og kunnskap, ha gode muligheter til å delta i konkurransen. Ved deltakelse i et hjemmemarked vil norsk leverandørindustri kunne få verdifull erfaring, også når de skal konkurrere om oppdrag i utlandet.</w:t>
      </w:r>
    </w:p>
    <w:p w14:paraId="69ABD3B5" w14:textId="77777777" w:rsidR="00972395" w:rsidRPr="00E73D4B" w:rsidRDefault="00F120C7" w:rsidP="00E73D4B">
      <w:r w:rsidRPr="00E73D4B">
        <w:t>Departementet anser med dette anmodningsvedtaket som fulgt opp.</w:t>
      </w:r>
    </w:p>
    <w:p w14:paraId="7FE5AB87" w14:textId="77777777" w:rsidR="00972395" w:rsidRPr="00E73D4B" w:rsidRDefault="00F120C7" w:rsidP="00E73D4B">
      <w:pPr>
        <w:pStyle w:val="avsnitt-tittel"/>
      </w:pPr>
      <w:r w:rsidRPr="00E73D4B">
        <w:t>Havvindparker og annen fornybar energiproduksjon på norsk sokkel – sikre vesentlig bedre natur- og miljøregnskap enn tidligere</w:t>
      </w:r>
    </w:p>
    <w:p w14:paraId="28F26603" w14:textId="77777777" w:rsidR="00972395" w:rsidRPr="00E73D4B" w:rsidRDefault="00F120C7" w:rsidP="00E73D4B">
      <w:pPr>
        <w:pStyle w:val="avsnitt-undertittel"/>
      </w:pPr>
      <w:r w:rsidRPr="00E73D4B">
        <w:t>Vedtak 737, 10. juni 2022</w:t>
      </w:r>
    </w:p>
    <w:p w14:paraId="76404040" w14:textId="77777777" w:rsidR="00972395" w:rsidRPr="00E73D4B" w:rsidRDefault="00F120C7" w:rsidP="00E73D4B">
      <w:pPr>
        <w:pStyle w:val="blokksit"/>
      </w:pPr>
      <w:r w:rsidRPr="00E73D4B">
        <w:t>«</w:t>
      </w:r>
      <w:r w:rsidRPr="00E73D4B">
        <w:rPr>
          <w:rStyle w:val="kursiv"/>
        </w:rPr>
        <w:t>Stortinget ber regjeringen sikre at utbygging og drift av havvindparker og annen fornybar energiproduksjon på norsk sokkel har vesentlig bedre natur- og miljøregnskap enn tidligere energiprosjekter i Norge. Utbygging og drift skal gjøres på en måte som sikrer svært lav eller positiv samlet naturpåvirkning over tid.</w:t>
      </w:r>
      <w:r w:rsidRPr="00E73D4B">
        <w:t>»</w:t>
      </w:r>
    </w:p>
    <w:p w14:paraId="19EDDC2D"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552466D0" w14:textId="77777777" w:rsidR="00972395" w:rsidRPr="00E73D4B" w:rsidRDefault="00F120C7" w:rsidP="00E73D4B">
      <w:r w:rsidRPr="00E73D4B">
        <w:t>Utbygging av vindkraft til havs innebærer naturinngrep som påvirker miljø og andre samfunnsinteresser. Konsekvensene av prosjektene skal utredes. Vurderinger av fordeler og ulemper av utbyggingene er en sentral del av konsesjonsbehandlingen. Gjennom konsesjonsbehandlingen og eventuelle avbøtende tiltak, vil hensyn til naturpåvirkning bli ivaretatt.</w:t>
      </w:r>
    </w:p>
    <w:p w14:paraId="708929CD" w14:textId="77777777" w:rsidR="00972395" w:rsidRPr="00E73D4B" w:rsidRDefault="00F120C7" w:rsidP="00E73D4B">
      <w:r w:rsidRPr="00E73D4B">
        <w:t>Departementet anser med dette anmodningsvedtaket som fulgt opp.</w:t>
      </w:r>
    </w:p>
    <w:p w14:paraId="5915A16C" w14:textId="77777777" w:rsidR="00972395" w:rsidRPr="00E73D4B" w:rsidRDefault="00F120C7" w:rsidP="00E73D4B">
      <w:pPr>
        <w:pStyle w:val="avsnitt-tittel"/>
      </w:pPr>
      <w:r w:rsidRPr="00E73D4B">
        <w:t>Styrke bevilgningen til forskning på miljøkonsekvensene av havvindutbygging på norsk sokkel</w:t>
      </w:r>
    </w:p>
    <w:p w14:paraId="2DDE8121" w14:textId="77777777" w:rsidR="00972395" w:rsidRPr="00E73D4B" w:rsidRDefault="00F120C7" w:rsidP="00E73D4B">
      <w:pPr>
        <w:pStyle w:val="avsnitt-undertittel"/>
      </w:pPr>
      <w:r w:rsidRPr="00E73D4B">
        <w:t>Vedtak 738, 10. juni 2022</w:t>
      </w:r>
    </w:p>
    <w:p w14:paraId="4C0CA11C" w14:textId="77777777" w:rsidR="00972395" w:rsidRPr="00E73D4B" w:rsidRDefault="00F120C7" w:rsidP="00E73D4B">
      <w:pPr>
        <w:pStyle w:val="blokksit"/>
      </w:pPr>
      <w:r w:rsidRPr="00E73D4B">
        <w:t>«</w:t>
      </w:r>
      <w:r w:rsidRPr="00E73D4B">
        <w:rPr>
          <w:rStyle w:val="kursiv"/>
        </w:rPr>
        <w:t>Stortinget ber regjeringen styrke bevilgningen til forskning på miljøkonsekvensene av havvindutbygging på norsk sokkel.</w:t>
      </w:r>
      <w:r w:rsidRPr="00E73D4B">
        <w:t>»</w:t>
      </w:r>
    </w:p>
    <w:p w14:paraId="1B8D8C03"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20410497" w14:textId="77777777" w:rsidR="00972395" w:rsidRPr="00E73D4B" w:rsidRDefault="00F120C7" w:rsidP="00E73D4B">
      <w:r w:rsidRPr="00E73D4B">
        <w:t>Miljøpåvirkning av energisystemet er et viktig tema innenfor Norges forskningsråd sitt store energiforskningsprogram ENERGIX. Dette inkluderer forskning på miljøkonsekvensene av havvindutbygging på norsk sokkel. Eksempelvis ble det i programmets tildelingsrunde i juni 2022 tildelt støtte til to relevante prosjekter: Havforskningsinstituttet skal forske på konsekvenser av havvind for det marine økosystemet og NINA skal forske på konsekvensene av storstilt vindkraftutbygging for trekkfugler i havet og kystsonen. Det er rom for å støtte slike prosjekter også fremover. Omfanget av støtte vil være avhengig av om det kommer inn søknader til programmet innenfor denne tematikken, og søknadenes kvalitet. Departementet vil i tildelingsbrevet til Norges forskningsråd for 2023 be om at forskning på miljøkonsekvensene av havvindutbygging på norsk sokkel fremheves i utlysning av midler som tildeles ENERGIX programmet.</w:t>
      </w:r>
    </w:p>
    <w:p w14:paraId="7959E2DA" w14:textId="77777777" w:rsidR="00972395" w:rsidRPr="00E73D4B" w:rsidRDefault="00F120C7" w:rsidP="00E73D4B">
      <w:r w:rsidRPr="00E73D4B">
        <w:t>Det foreslås økte midler til langtidsovervåkningsprogrammet for sjøfugl SEAPOP (</w:t>
      </w:r>
      <w:proofErr w:type="spellStart"/>
      <w:r w:rsidRPr="00E73D4B">
        <w:t>Seabird</w:t>
      </w:r>
      <w:proofErr w:type="spellEnd"/>
      <w:r w:rsidRPr="00E73D4B">
        <w:t xml:space="preserve"> </w:t>
      </w:r>
      <w:proofErr w:type="spellStart"/>
      <w:r w:rsidRPr="00E73D4B">
        <w:t>Population</w:t>
      </w:r>
      <w:proofErr w:type="spellEnd"/>
      <w:r w:rsidRPr="00E73D4B">
        <w:t xml:space="preserve"> Management and Petroleum Operations) gjennom Norges forskningsråd i budsjettet for 2023. Programmet skal gi bedre kunnskap om utbredelse, tilstand og utvikling av norske sjøfuglbestander i lys av menneskelig aktivitet i havområdene og kystsonen. Kartlegging av sjøfuglers arealbruk gjennom modulen SEATRACK (</w:t>
      </w:r>
      <w:proofErr w:type="spellStart"/>
      <w:r w:rsidRPr="00E73D4B">
        <w:t>Seabird</w:t>
      </w:r>
      <w:proofErr w:type="spellEnd"/>
      <w:r w:rsidRPr="00E73D4B">
        <w:t xml:space="preserve"> </w:t>
      </w:r>
      <w:proofErr w:type="spellStart"/>
      <w:r w:rsidRPr="00E73D4B">
        <w:t>Tracking</w:t>
      </w:r>
      <w:proofErr w:type="spellEnd"/>
      <w:r w:rsidRPr="00E73D4B">
        <w:t>) er en prioritert aktivitet.</w:t>
      </w:r>
    </w:p>
    <w:p w14:paraId="0860C8C6" w14:textId="77777777" w:rsidR="00972395" w:rsidRPr="00E73D4B" w:rsidRDefault="00F120C7" w:rsidP="00E73D4B">
      <w:r w:rsidRPr="00E73D4B">
        <w:t>Departementet anser med dette anmodningsvedtaket som fulgt opp.</w:t>
      </w:r>
    </w:p>
    <w:p w14:paraId="040305E9" w14:textId="77777777" w:rsidR="00972395" w:rsidRPr="00E73D4B" w:rsidRDefault="00F120C7" w:rsidP="00E73D4B">
      <w:pPr>
        <w:pStyle w:val="avsnitt-tittel"/>
      </w:pPr>
      <w:r w:rsidRPr="00E73D4B">
        <w:t>Utredninger av miljøkonsekvenser fra havvindutbygging</w:t>
      </w:r>
    </w:p>
    <w:p w14:paraId="0306750B" w14:textId="77777777" w:rsidR="00972395" w:rsidRPr="00E73D4B" w:rsidRDefault="00F120C7" w:rsidP="00E73D4B">
      <w:pPr>
        <w:pStyle w:val="avsnitt-undertittel"/>
      </w:pPr>
      <w:r w:rsidRPr="00E73D4B">
        <w:t>Vedtak 739, 10. juni 2022</w:t>
      </w:r>
    </w:p>
    <w:p w14:paraId="29C4DFB8" w14:textId="77777777" w:rsidR="00972395" w:rsidRPr="00E73D4B" w:rsidRDefault="00F120C7" w:rsidP="00E73D4B">
      <w:pPr>
        <w:pStyle w:val="blokksit"/>
      </w:pPr>
      <w:r w:rsidRPr="00E73D4B">
        <w:t>«</w:t>
      </w:r>
      <w:r w:rsidRPr="00E73D4B">
        <w:rPr>
          <w:rStyle w:val="kursiv"/>
        </w:rPr>
        <w:t>Stortinget ber regjeringen starte tidlig myndighetsstyrt kunnskapsinnhenting og gi oppdrag om å starte prosessen med utredningsstudier av miljøkonsekvenser knyttet til havvindutbygging umiddelbart.</w:t>
      </w:r>
      <w:r w:rsidRPr="00E73D4B">
        <w:t>»</w:t>
      </w:r>
    </w:p>
    <w:p w14:paraId="00C75C95"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7B377639" w14:textId="77777777" w:rsidR="00972395" w:rsidRPr="00E73D4B" w:rsidRDefault="00F120C7" w:rsidP="00E73D4B">
      <w:r w:rsidRPr="00E73D4B">
        <w:t xml:space="preserve">Før åpning av nye områder for havvind, gjennomføres det konsekvensutredninger i statlig regi. I tillegg gjennomføres det prosjektspesifikke konsekvensutredninger. Disse gjennomføres av utbygger. Det ER gjennomført grunnundersøkelser i deler av Sørlige </w:t>
      </w:r>
      <w:proofErr w:type="spellStart"/>
      <w:r w:rsidRPr="00E73D4B">
        <w:t>Nordsjø</w:t>
      </w:r>
      <w:proofErr w:type="spellEnd"/>
      <w:r w:rsidRPr="00E73D4B">
        <w:t xml:space="preserve"> II og det planlegges gjennomføring av grunnundersøkelser i resterende relevante deler av Sørlige </w:t>
      </w:r>
      <w:proofErr w:type="spellStart"/>
      <w:r w:rsidRPr="00E73D4B">
        <w:t>Nordsjø</w:t>
      </w:r>
      <w:proofErr w:type="spellEnd"/>
      <w:r w:rsidRPr="00E73D4B">
        <w:t xml:space="preserve"> II og Utsira Nord i 2023. Videre foreslås det økte midler til fugleundersøkelser gjennom langtidsovervåkingsprogrammet for sjøfugl, SEAPOP og SEATRACK, og til konsekvensutredning av nye områder for fornybar energiproduksjon til havs i budsjettet for 2023.</w:t>
      </w:r>
    </w:p>
    <w:p w14:paraId="19BF6E75" w14:textId="77777777" w:rsidR="00972395" w:rsidRPr="00E73D4B" w:rsidRDefault="00F120C7" w:rsidP="00E73D4B">
      <w:r w:rsidRPr="00E73D4B">
        <w:t>Miljøkonsekvenser knyttet til havvindutbygginger blir belyst gjennom disse ulike prosessene.</w:t>
      </w:r>
    </w:p>
    <w:p w14:paraId="5FFD465C" w14:textId="77777777" w:rsidR="00972395" w:rsidRPr="00E73D4B" w:rsidRDefault="00F120C7" w:rsidP="00E73D4B">
      <w:r w:rsidRPr="00E73D4B">
        <w:t>Forskningsrådet tildeler også midler til forskningsprosjekter som vil bidra til å belyse miljøkonsekvenser av havvind, blant annet konsekvensene av storstilt havvindutbygging for henholdsvis trekkfugler, ledet av Norsk institutt for naturforskning (NINA), og det marine økosystemet, ledet av Havforskningsinstituttet.</w:t>
      </w:r>
    </w:p>
    <w:p w14:paraId="128118AF" w14:textId="77777777" w:rsidR="00972395" w:rsidRPr="00E73D4B" w:rsidRDefault="00F120C7" w:rsidP="00E73D4B">
      <w:r w:rsidRPr="00E73D4B">
        <w:t>Departementet anser med dette anmodningsvedtaket som fulgt opp.</w:t>
      </w:r>
    </w:p>
    <w:p w14:paraId="7D9C9C34" w14:textId="77777777" w:rsidR="00972395" w:rsidRPr="00E73D4B" w:rsidRDefault="00F120C7" w:rsidP="00E73D4B">
      <w:pPr>
        <w:pStyle w:val="avsnitt-tittel"/>
      </w:pPr>
      <w:r w:rsidRPr="00E73D4B">
        <w:t>Havvind – forvaltningsplanen for norske havområder</w:t>
      </w:r>
    </w:p>
    <w:p w14:paraId="7C2184A7" w14:textId="77777777" w:rsidR="00972395" w:rsidRPr="00E73D4B" w:rsidRDefault="00F120C7" w:rsidP="00E73D4B">
      <w:pPr>
        <w:pStyle w:val="avsnitt-undertittel"/>
      </w:pPr>
      <w:r w:rsidRPr="00E73D4B">
        <w:t>Vedtak 740, 10. juni 2022</w:t>
      </w:r>
    </w:p>
    <w:p w14:paraId="2CEAEDFC" w14:textId="77777777" w:rsidR="00972395" w:rsidRPr="00E73D4B" w:rsidRDefault="00F120C7" w:rsidP="00E73D4B">
      <w:pPr>
        <w:pStyle w:val="blokksit"/>
      </w:pPr>
      <w:r w:rsidRPr="00E73D4B">
        <w:t>«</w:t>
      </w:r>
      <w:r w:rsidRPr="00E73D4B">
        <w:rPr>
          <w:rStyle w:val="kursiv"/>
        </w:rPr>
        <w:t>Stortinget ber regjeringen sikre at forvaltningsplanen for norske havområder bidrar til å samle og oppsummere tilgjengelig kunnskap om miljøeffekter av havvind, og bidra til grundig kartlegging for alle deler av havmiljøet i områder som er, og kan bli, aktuelle for norsk havvind. Relevant kunnskap legges til grunn og skal benyttes ved utlysning av områder samt for natur- og miljøkrav til utbygging og drift.</w:t>
      </w:r>
      <w:r w:rsidRPr="00E73D4B">
        <w:t>»</w:t>
      </w:r>
    </w:p>
    <w:p w14:paraId="4BB8A501"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059EE3A5" w14:textId="77777777" w:rsidR="00972395" w:rsidRPr="00E73D4B" w:rsidRDefault="00F120C7" w:rsidP="00E73D4B">
      <w:r w:rsidRPr="00E73D4B">
        <w:t>Relevant kunnskap vil bli lagt til grunn ved utlysning av områder. Forvaltningsplanene for norske havområder er et viktig kunnskapsgrunnlag for forvaltningen av havområdene.</w:t>
      </w:r>
    </w:p>
    <w:p w14:paraId="3B8FE0F9" w14:textId="77777777" w:rsidR="00972395" w:rsidRPr="00E73D4B" w:rsidRDefault="00F120C7" w:rsidP="00E73D4B">
      <w:r w:rsidRPr="00E73D4B">
        <w:t>Departementet anser med dette anmodningsvedtaket som fulgt opp.</w:t>
      </w:r>
    </w:p>
    <w:p w14:paraId="19B6747F" w14:textId="77777777" w:rsidR="00972395" w:rsidRPr="00E73D4B" w:rsidRDefault="00F120C7" w:rsidP="00E73D4B">
      <w:pPr>
        <w:pStyle w:val="avsnitt-tittel"/>
      </w:pPr>
      <w:r w:rsidRPr="00E73D4B">
        <w:t>Endre forskrift og retningslinjer slik at også andre tiltak må vurderes i tillegg til kraft fra land</w:t>
      </w:r>
    </w:p>
    <w:p w14:paraId="079FDCEB" w14:textId="77777777" w:rsidR="00972395" w:rsidRPr="00E73D4B" w:rsidRDefault="00F120C7" w:rsidP="00E73D4B">
      <w:pPr>
        <w:pStyle w:val="avsnitt-undertittel"/>
      </w:pPr>
      <w:r w:rsidRPr="00E73D4B">
        <w:t>Vedtak 741, 10. juni 2022</w:t>
      </w:r>
    </w:p>
    <w:p w14:paraId="1AEAE05E" w14:textId="77777777" w:rsidR="00972395" w:rsidRPr="00E73D4B" w:rsidRDefault="00F120C7" w:rsidP="00E73D4B">
      <w:pPr>
        <w:pStyle w:val="blokksit"/>
      </w:pPr>
      <w:r w:rsidRPr="00E73D4B">
        <w:t>«</w:t>
      </w:r>
      <w:r w:rsidRPr="00E73D4B">
        <w:rPr>
          <w:rStyle w:val="kursiv"/>
        </w:rPr>
        <w:t>Stortinget ber regjeringen sørge for å endre forskrift og retningslinjer slik at også andre utslippsreduserende tiltak må vurderes i tillegg til kraft fra land.</w:t>
      </w:r>
      <w:r w:rsidRPr="00E73D4B">
        <w:t>»</w:t>
      </w:r>
    </w:p>
    <w:p w14:paraId="3FAE2414"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16AAFA5F" w14:textId="77777777" w:rsidR="00972395" w:rsidRPr="00E73D4B" w:rsidRDefault="00F120C7" w:rsidP="00E73D4B">
      <w:r w:rsidRPr="00E73D4B">
        <w:t>Rettighetshaverne skal i forbindelse med PUD/PAD for nye utbyggingsprosjekter vurdere alle relevante tiltak for å redusere utslippene av CO</w:t>
      </w:r>
      <w:r w:rsidRPr="00E73D4B">
        <w:rPr>
          <w:rStyle w:val="skrift-senket"/>
        </w:rPr>
        <w:t>2</w:t>
      </w:r>
      <w:r w:rsidRPr="00E73D4B">
        <w:t xml:space="preserve">, i tillegg til kraft fra land. Dette fremgår direkte av: </w:t>
      </w:r>
      <w:r w:rsidRPr="00E73D4B">
        <w:rPr>
          <w:rStyle w:val="kursiv"/>
        </w:rPr>
        <w:t>«Veileder til plan for utbygging og drift av en petroleumsforekomst (PUD) og plan for anlegg og drift av innretninger for transport og for utnyttelse av petroleum (PAD)»</w:t>
      </w:r>
      <w:r w:rsidRPr="00E73D4B">
        <w:t>.</w:t>
      </w:r>
    </w:p>
    <w:p w14:paraId="3853BF97" w14:textId="77777777" w:rsidR="00972395" w:rsidRPr="00E73D4B" w:rsidRDefault="00F120C7" w:rsidP="00E73D4B">
      <w:r w:rsidRPr="00E73D4B">
        <w:t>Departementet anser med dette anmodningsvedtaket som fulgt opp.</w:t>
      </w:r>
    </w:p>
    <w:p w14:paraId="7FE9DCB8" w14:textId="77777777" w:rsidR="00972395" w:rsidRPr="00E73D4B" w:rsidRDefault="00F120C7" w:rsidP="00E73D4B">
      <w:pPr>
        <w:pStyle w:val="avsnitt-tittel"/>
      </w:pPr>
      <w:r w:rsidRPr="00E73D4B">
        <w:t>Hydrogen – utvikling et landsdekkende nettverk av fyllestasjoner og knutepunkter</w:t>
      </w:r>
    </w:p>
    <w:p w14:paraId="49C56904" w14:textId="77777777" w:rsidR="00972395" w:rsidRPr="00E73D4B" w:rsidRDefault="00F120C7" w:rsidP="00E73D4B">
      <w:pPr>
        <w:pStyle w:val="avsnitt-undertittel"/>
      </w:pPr>
      <w:r w:rsidRPr="00E73D4B">
        <w:t>Vedtak 742, 10. juni 2022</w:t>
      </w:r>
    </w:p>
    <w:p w14:paraId="355AA721" w14:textId="77777777" w:rsidR="00972395" w:rsidRPr="00E73D4B" w:rsidRDefault="00F120C7" w:rsidP="00E73D4B">
      <w:pPr>
        <w:pStyle w:val="blokksit"/>
      </w:pPr>
      <w:r w:rsidRPr="00E73D4B">
        <w:t>«</w:t>
      </w:r>
      <w:r w:rsidRPr="00E73D4B">
        <w:rPr>
          <w:rStyle w:val="kursiv"/>
        </w:rPr>
        <w:t>Stortinget ber regjeringen utrede hvordan markedet eventuelt i samspill med statlige myndigheter raskt kan utvikle et landsdekkende nettverk av fyllestasjoner og knutepunkter for hydrogen for landtransport, sjøtransport og industrielle formål og komme tilbake til dette i revidert statsbudsjett for 2023.</w:t>
      </w:r>
      <w:r w:rsidRPr="00E73D4B">
        <w:t>»</w:t>
      </w:r>
    </w:p>
    <w:p w14:paraId="71CA6D4F"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7DD0651C" w14:textId="77777777" w:rsidR="00972395" w:rsidRPr="00E73D4B" w:rsidRDefault="00F120C7" w:rsidP="00E73D4B">
      <w:r w:rsidRPr="00E73D4B">
        <w:t xml:space="preserve">Regjeringen vil bidra til å bygge opp en sammenhengende verdikjede for hydrogen produsert med lave eller ingen utslipp der produksjon, distribusjon og bruk utvikles parallelt. Regjeringen har tydeliggjort sin politikk for utvikling av hydrogen i Meld. St. 11 (2021–2022) </w:t>
      </w:r>
      <w:r w:rsidRPr="00E73D4B">
        <w:rPr>
          <w:rStyle w:val="kursiv"/>
        </w:rPr>
        <w:t>Tilleggsmelding til Meld. St. 36 (2020–2021) Energi til arbeid – langsiktig verdiskaping fra norske energiressurser</w:t>
      </w:r>
      <w:r w:rsidRPr="00E73D4B">
        <w:t xml:space="preserve"> og i regjeringens veikart for grønt industriløft.</w:t>
      </w:r>
    </w:p>
    <w:p w14:paraId="3EC3D54A" w14:textId="77777777" w:rsidR="00972395" w:rsidRPr="00E73D4B" w:rsidRDefault="00F120C7" w:rsidP="00E73D4B">
      <w:r w:rsidRPr="00E73D4B">
        <w:t>Olje- og energidepartementet viser til omtale av oppfølging av anmodningsvedtak 35-25, 2. desember 2021.</w:t>
      </w:r>
    </w:p>
    <w:p w14:paraId="79DA43EF" w14:textId="77777777" w:rsidR="00972395" w:rsidRPr="00E73D4B" w:rsidRDefault="00F120C7" w:rsidP="00E73D4B">
      <w:r w:rsidRPr="00E73D4B">
        <w:t>Olje- og energidepartementet har satt i gang en ekstern utredning av hvordan staten kan bidra til å bygge opp en sammenhengende verdikjede for hydrogen produsert med lave eller ingen utslipp, der produksjon, distribusjon og bruk utvikles parallelt. Utredningen vil blant annet identifisere eventuelle markedssvikter som tilsier at staten ut fra samfunnsøkonomiske hensyn bør bidra til å bygge opp en økonomisk bærekraftig verdikjede for hydrogen. Utredningen vil også gi en oversikt over eksisterende relevante virkemidler nasjonalt, i EU og i europeiske land. Videre vil utredningen vurdere behovet for, og eventuelt innretningen av, forsterkede virkemidler på området, herunder bruk av statlig eierskap. Vurderingen skal ta for seg fordeler og ulemper, herunder kostnader for aktører og staten og ta hensyn til at det er begrensede midler. Utredningen vil inkludere tre scenarier for den videre utviklingen av et hydrogenmarked i Norge på et henholdsvis lavt, middels og høyt nivå for produksjon og bruk. Utreder skal også sette produksjon og bruk av hydrogen i sammenheng med det større energisystemet.</w:t>
      </w:r>
    </w:p>
    <w:p w14:paraId="456D0FAD" w14:textId="77777777" w:rsidR="00972395" w:rsidRPr="00E73D4B" w:rsidRDefault="00F120C7" w:rsidP="00E73D4B">
      <w:r w:rsidRPr="00E73D4B">
        <w:t>Departementet vil på egnet måte komme tilbake til Stortinget.</w:t>
      </w:r>
    </w:p>
    <w:p w14:paraId="03FF3066" w14:textId="77777777" w:rsidR="00972395" w:rsidRPr="00E73D4B" w:rsidRDefault="00F120C7" w:rsidP="00E73D4B">
      <w:pPr>
        <w:pStyle w:val="avsnitt-tittel"/>
      </w:pPr>
      <w:r w:rsidRPr="00E73D4B">
        <w:t xml:space="preserve">Krav om utnyttelse av </w:t>
      </w:r>
      <w:proofErr w:type="spellStart"/>
      <w:r w:rsidRPr="00E73D4B">
        <w:t>spillvarme</w:t>
      </w:r>
      <w:proofErr w:type="spellEnd"/>
    </w:p>
    <w:p w14:paraId="6FF076A5" w14:textId="77777777" w:rsidR="00972395" w:rsidRPr="00E73D4B" w:rsidRDefault="00F120C7" w:rsidP="00E73D4B">
      <w:pPr>
        <w:pStyle w:val="avsnitt-undertittel"/>
      </w:pPr>
      <w:r w:rsidRPr="00E73D4B">
        <w:t>Vedtak 743, 10. juni 2022</w:t>
      </w:r>
    </w:p>
    <w:p w14:paraId="77047D9E" w14:textId="77777777" w:rsidR="00972395" w:rsidRPr="00E73D4B" w:rsidRDefault="00F120C7" w:rsidP="00E73D4B">
      <w:pPr>
        <w:pStyle w:val="blokksit"/>
      </w:pPr>
      <w:r w:rsidRPr="00E73D4B">
        <w:t>«</w:t>
      </w:r>
      <w:r w:rsidRPr="00E73D4B">
        <w:rPr>
          <w:rStyle w:val="kursiv"/>
        </w:rPr>
        <w:t xml:space="preserve">Stortinget ber regjeringen utrede krav om at </w:t>
      </w:r>
      <w:proofErr w:type="spellStart"/>
      <w:r w:rsidRPr="00E73D4B">
        <w:rPr>
          <w:rStyle w:val="kursiv"/>
        </w:rPr>
        <w:t>spillvarme</w:t>
      </w:r>
      <w:proofErr w:type="spellEnd"/>
      <w:r w:rsidRPr="00E73D4B">
        <w:rPr>
          <w:rStyle w:val="kursiv"/>
        </w:rPr>
        <w:t xml:space="preserve"> utnyttes fra prosesser som </w:t>
      </w:r>
      <w:proofErr w:type="gramStart"/>
      <w:r w:rsidRPr="00E73D4B">
        <w:rPr>
          <w:rStyle w:val="kursiv"/>
        </w:rPr>
        <w:t>avgir</w:t>
      </w:r>
      <w:proofErr w:type="gramEnd"/>
      <w:r w:rsidRPr="00E73D4B">
        <w:rPr>
          <w:rStyle w:val="kursiv"/>
        </w:rPr>
        <w:t xml:space="preserve"> mye varme, for eksempel industrianlegg, avfallsforbrenning, datasentre, hydrogenproduksjon og energiproduksjonsanlegg, der det er egnet.</w:t>
      </w:r>
      <w:r w:rsidRPr="00E73D4B">
        <w:t>»</w:t>
      </w:r>
    </w:p>
    <w:p w14:paraId="025402F9"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6C02C593" w14:textId="77777777" w:rsidR="00972395" w:rsidRPr="00E73D4B" w:rsidRDefault="00F120C7" w:rsidP="00E73D4B">
      <w:r w:rsidRPr="00E73D4B">
        <w:t>Olje- og energidepartementet har gjennomført høring av forslag til endringer i energiloven om krav til gjennomføring av kost-nytteanalyser for bruk av overskuddsvarme fra energiintensive anlegg.</w:t>
      </w:r>
    </w:p>
    <w:p w14:paraId="41627E4F" w14:textId="77777777" w:rsidR="00972395" w:rsidRPr="00E73D4B" w:rsidRDefault="00F120C7" w:rsidP="00E73D4B">
      <w:r w:rsidRPr="00E73D4B">
        <w:t>Departementet tar sikte på å fremme forslag til lovendringer våren 2023.</w:t>
      </w:r>
    </w:p>
    <w:p w14:paraId="7A946873" w14:textId="77777777" w:rsidR="00972395" w:rsidRPr="00E73D4B" w:rsidRDefault="00F120C7" w:rsidP="00E73D4B">
      <w:pPr>
        <w:pStyle w:val="avsnitt-tittel"/>
      </w:pPr>
      <w:r w:rsidRPr="00E73D4B">
        <w:t>Energisparing i bygg – rapportering på måloppnåelse</w:t>
      </w:r>
    </w:p>
    <w:p w14:paraId="2A77F61F" w14:textId="77777777" w:rsidR="00972395" w:rsidRPr="00E73D4B" w:rsidRDefault="00F120C7" w:rsidP="00E73D4B">
      <w:pPr>
        <w:pStyle w:val="avsnitt-undertittel"/>
      </w:pPr>
      <w:r w:rsidRPr="00E73D4B">
        <w:t>Vedtak 744, 10. juni 2022</w:t>
      </w:r>
    </w:p>
    <w:p w14:paraId="5729BDEE" w14:textId="77777777" w:rsidR="00972395" w:rsidRPr="00E73D4B" w:rsidRDefault="00F120C7" w:rsidP="00E73D4B">
      <w:pPr>
        <w:pStyle w:val="blokksit"/>
      </w:pPr>
      <w:r w:rsidRPr="00E73D4B">
        <w:t>«</w:t>
      </w:r>
      <w:r w:rsidRPr="00E73D4B">
        <w:rPr>
          <w:rStyle w:val="kursiv"/>
        </w:rPr>
        <w:t>Stortinget ber regjeringen gi NVE i oppdrag å rapportere årlig på status for måloppnåelse om energisparing i bygg.</w:t>
      </w:r>
      <w:r w:rsidRPr="00E73D4B">
        <w:t>»</w:t>
      </w:r>
    </w:p>
    <w:p w14:paraId="776835EA"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73E945C5" w14:textId="77777777" w:rsidR="00972395" w:rsidRPr="00E73D4B" w:rsidRDefault="00F120C7" w:rsidP="00E73D4B">
      <w:r w:rsidRPr="00E73D4B">
        <w:t xml:space="preserve">I punkt 10 Mål om 10 </w:t>
      </w:r>
      <w:proofErr w:type="spellStart"/>
      <w:r w:rsidRPr="00E73D4B">
        <w:t>TWh</w:t>
      </w:r>
      <w:proofErr w:type="spellEnd"/>
      <w:r w:rsidRPr="00E73D4B">
        <w:t xml:space="preserve"> redusert energibruk i bygg innen 2030, i proposisjonens Del III, er det presentert en plan og et sett av tiltak som skal redusere energibruken i bygg med minst 10 </w:t>
      </w:r>
      <w:proofErr w:type="spellStart"/>
      <w:r w:rsidRPr="00E73D4B">
        <w:t>TWh</w:t>
      </w:r>
      <w:proofErr w:type="spellEnd"/>
      <w:r w:rsidRPr="00E73D4B">
        <w:t xml:space="preserve"> i 2030 og øke strømproduksjonen i bygg. Her fremgår det at departementet vil gi NVE i oppdrag å rapportere årlig på status for måloppnåelse om redusert energibruk i bygg.</w:t>
      </w:r>
    </w:p>
    <w:p w14:paraId="572688D5" w14:textId="77777777" w:rsidR="00972395" w:rsidRPr="00E73D4B" w:rsidRDefault="00F120C7" w:rsidP="00E73D4B">
      <w:r w:rsidRPr="00E73D4B">
        <w:t>Departementet anser med denne redegjørelsen og planen anmodningsvedtaket som fulgt opp.</w:t>
      </w:r>
    </w:p>
    <w:p w14:paraId="7C5C2D5D" w14:textId="77777777" w:rsidR="00972395" w:rsidRPr="00E73D4B" w:rsidRDefault="00F120C7" w:rsidP="00E73D4B">
      <w:pPr>
        <w:pStyle w:val="avsnitt-tittel"/>
      </w:pPr>
      <w:r w:rsidRPr="00E73D4B">
        <w:t>Energieffektivisering i bygg – vurdere virkemidler</w:t>
      </w:r>
    </w:p>
    <w:p w14:paraId="77454EC1" w14:textId="77777777" w:rsidR="00972395" w:rsidRPr="00E73D4B" w:rsidRDefault="00F120C7" w:rsidP="00E73D4B">
      <w:pPr>
        <w:pStyle w:val="avsnitt-undertittel"/>
      </w:pPr>
      <w:r w:rsidRPr="00E73D4B">
        <w:t>Vedtak 745, 10. juni 2022</w:t>
      </w:r>
    </w:p>
    <w:p w14:paraId="38EB39A0" w14:textId="77777777" w:rsidR="00972395" w:rsidRPr="00E73D4B" w:rsidRDefault="00F120C7" w:rsidP="00E73D4B">
      <w:pPr>
        <w:pStyle w:val="blokksit"/>
      </w:pPr>
      <w:r w:rsidRPr="00E73D4B">
        <w:t>«</w:t>
      </w:r>
      <w:r w:rsidRPr="00E73D4B">
        <w:rPr>
          <w:rStyle w:val="kursiv"/>
        </w:rPr>
        <w:t>Stortinget ber regjeringen vurdere aktuelle virkemidler for å bidra til å realisere potensialet for energieffektivisering i eksisterende bygg.</w:t>
      </w:r>
      <w:r w:rsidRPr="00E73D4B">
        <w:t>»</w:t>
      </w:r>
    </w:p>
    <w:p w14:paraId="330E7E2D"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4E0B5006" w14:textId="77777777" w:rsidR="00972395" w:rsidRPr="00E73D4B" w:rsidRDefault="00F120C7" w:rsidP="00E73D4B">
      <w:r w:rsidRPr="00E73D4B">
        <w:t xml:space="preserve">I punkt 10 Mål om 10 </w:t>
      </w:r>
      <w:proofErr w:type="spellStart"/>
      <w:r w:rsidRPr="00E73D4B">
        <w:t>TWh</w:t>
      </w:r>
      <w:proofErr w:type="spellEnd"/>
      <w:r w:rsidRPr="00E73D4B">
        <w:t xml:space="preserve"> redusert energibruk i bygg innen 2030, i proposisjonens Del III, er det presentert en plan og et sett av tiltak som skal redusere energibruken i bygg med minst 10 </w:t>
      </w:r>
      <w:proofErr w:type="spellStart"/>
      <w:r w:rsidRPr="00E73D4B">
        <w:t>TWh</w:t>
      </w:r>
      <w:proofErr w:type="spellEnd"/>
      <w:r w:rsidRPr="00E73D4B">
        <w:t xml:space="preserve"> i 2030 og øke strømproduksjonen i bygg.</w:t>
      </w:r>
    </w:p>
    <w:p w14:paraId="2309E18E" w14:textId="77777777" w:rsidR="00972395" w:rsidRPr="00E73D4B" w:rsidRDefault="00F120C7" w:rsidP="00E73D4B">
      <w:r w:rsidRPr="00E73D4B">
        <w:t>Departementet anser med denne redegjørelsen og planen anmodningsvedtaket som fulgt opp.</w:t>
      </w:r>
    </w:p>
    <w:p w14:paraId="4D1EC33A" w14:textId="77777777" w:rsidR="00972395" w:rsidRPr="00E73D4B" w:rsidRDefault="00F120C7" w:rsidP="00E73D4B">
      <w:pPr>
        <w:pStyle w:val="avsnitt-tittel"/>
      </w:pPr>
      <w:r w:rsidRPr="00E73D4B">
        <w:t>Prøveordning for håndverksbedrifter – energitiltak</w:t>
      </w:r>
    </w:p>
    <w:p w14:paraId="30345C37" w14:textId="77777777" w:rsidR="00972395" w:rsidRPr="00E73D4B" w:rsidRDefault="00F120C7" w:rsidP="00E73D4B">
      <w:pPr>
        <w:pStyle w:val="avsnitt-undertittel"/>
      </w:pPr>
      <w:r w:rsidRPr="00E73D4B">
        <w:t>Vedtak 746, 10. juni 2022</w:t>
      </w:r>
    </w:p>
    <w:p w14:paraId="63C28325" w14:textId="77777777" w:rsidR="00972395" w:rsidRPr="00E73D4B" w:rsidRDefault="00F120C7" w:rsidP="00E73D4B">
      <w:pPr>
        <w:pStyle w:val="blokksit"/>
      </w:pPr>
      <w:r w:rsidRPr="00E73D4B">
        <w:t>«</w:t>
      </w:r>
      <w:r w:rsidRPr="00E73D4B">
        <w:rPr>
          <w:rStyle w:val="kursiv"/>
        </w:rPr>
        <w:t>Stortinget ber regjeringen i forbindelse med revidert nasjonalbudsjett 2023 vurdere å opprette en prøveordning der håndverksbedrifter kan få støtte til kompetanseheving innen energitiltak.</w:t>
      </w:r>
      <w:r w:rsidRPr="00E73D4B">
        <w:t>»</w:t>
      </w:r>
    </w:p>
    <w:p w14:paraId="382E0220"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58145DBD" w14:textId="77777777" w:rsidR="00972395" w:rsidRPr="00E73D4B" w:rsidRDefault="00F120C7" w:rsidP="00E73D4B">
      <w:r w:rsidRPr="00E73D4B">
        <w:t>Departementet vil vurdere nærmere hvordan anmodningsvedtaket skal følges opp.</w:t>
      </w:r>
    </w:p>
    <w:p w14:paraId="205D0CE1" w14:textId="77777777" w:rsidR="00972395" w:rsidRPr="00E73D4B" w:rsidRDefault="00F120C7" w:rsidP="00E73D4B">
      <w:r w:rsidRPr="00E73D4B">
        <w:t>Departementet vil komme tilbake til Stortinget på egnet måte.</w:t>
      </w:r>
    </w:p>
    <w:p w14:paraId="2CC3D8D3" w14:textId="77777777" w:rsidR="00972395" w:rsidRPr="00E73D4B" w:rsidRDefault="00F120C7" w:rsidP="00E73D4B">
      <w:pPr>
        <w:pStyle w:val="avsnitt-tittel"/>
      </w:pPr>
      <w:r w:rsidRPr="00E73D4B">
        <w:t>Solenergi – økt bruk</w:t>
      </w:r>
    </w:p>
    <w:p w14:paraId="7061DC42" w14:textId="77777777" w:rsidR="00972395" w:rsidRPr="00E73D4B" w:rsidRDefault="00F120C7" w:rsidP="00E73D4B">
      <w:pPr>
        <w:pStyle w:val="avsnitt-undertittel"/>
      </w:pPr>
      <w:r w:rsidRPr="00E73D4B">
        <w:t>Vedtak 747, 10. juni 2022</w:t>
      </w:r>
    </w:p>
    <w:p w14:paraId="754BC65C" w14:textId="77777777" w:rsidR="00972395" w:rsidRPr="00E73D4B" w:rsidRDefault="00F120C7" w:rsidP="00E73D4B">
      <w:pPr>
        <w:pStyle w:val="blokksit"/>
      </w:pPr>
      <w:r w:rsidRPr="00E73D4B">
        <w:t>«</w:t>
      </w:r>
      <w:r w:rsidRPr="00E73D4B">
        <w:rPr>
          <w:rStyle w:val="kursiv"/>
        </w:rPr>
        <w:t>Stortinget ber regjeringen gjennomgå regelverket og virkemiddelapparatet for å stimulere til bruk av solenergi, blant annet for å stimulere til områdeutbygginger med solenergi og nabolagsstrøm.</w:t>
      </w:r>
      <w:r w:rsidRPr="00E73D4B">
        <w:t>»</w:t>
      </w:r>
    </w:p>
    <w:p w14:paraId="7705B752"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3156C764" w14:textId="77777777" w:rsidR="00972395" w:rsidRPr="00E73D4B" w:rsidRDefault="00F120C7" w:rsidP="00E73D4B">
      <w:r w:rsidRPr="00E73D4B">
        <w:t xml:space="preserve">I punkt 10 Mål om 10 </w:t>
      </w:r>
      <w:proofErr w:type="spellStart"/>
      <w:r w:rsidRPr="00E73D4B">
        <w:t>TWh</w:t>
      </w:r>
      <w:proofErr w:type="spellEnd"/>
      <w:r w:rsidRPr="00E73D4B">
        <w:t xml:space="preserve"> redusert energibruk i bygg innen 2030, i proposisjonens Del III, er det presentert en plan og et sett av tiltak som skal redusere energibruken i bygg med minst 10 </w:t>
      </w:r>
      <w:proofErr w:type="spellStart"/>
      <w:r w:rsidRPr="00E73D4B">
        <w:t>TWh</w:t>
      </w:r>
      <w:proofErr w:type="spellEnd"/>
      <w:r w:rsidRPr="00E73D4B">
        <w:t xml:space="preserve"> i 2030 og øke strømproduksjonen i bygg.</w:t>
      </w:r>
    </w:p>
    <w:p w14:paraId="692C11E1" w14:textId="77777777" w:rsidR="00972395" w:rsidRPr="00E73D4B" w:rsidRDefault="00F120C7" w:rsidP="00E73D4B">
      <w:r w:rsidRPr="00E73D4B">
        <w:t>Regjeringen er opptatt av å legge til rette for etablering av mer lokal energiproduksjon, og har varslet et arbeid med å kartlegge regulatoriske barrierer. Plusskundeordningen legger til rette for at kunder kan produsere strøm til eget forbruk. Slik dagens plusskundeordning er utformet omfattes ordningen i hovedsak husholdninger i eneboliger. En ny ordning for deling av egenprodusert, fornybar strøm for flermannsboliger, leilighetskomplekser og næringsbygg på samme eiendom, slik at de slipper nettleie og elavgift for strøm de selv har produsert, har vært på offentlig høring.</w:t>
      </w:r>
    </w:p>
    <w:p w14:paraId="5AB6DAAD" w14:textId="77777777" w:rsidR="00972395" w:rsidRPr="00E73D4B" w:rsidRDefault="00F120C7" w:rsidP="00E73D4B">
      <w:r w:rsidRPr="00E73D4B">
        <w:t>Departementet vurderer videre oppfølging. Departementet vil komme tilbake til Stortinget på egnet måte.</w:t>
      </w:r>
    </w:p>
    <w:p w14:paraId="33EFF4F1" w14:textId="77777777" w:rsidR="00972395" w:rsidRPr="00E73D4B" w:rsidRDefault="00F120C7" w:rsidP="00E73D4B">
      <w:pPr>
        <w:pStyle w:val="avsnitt-tittel"/>
      </w:pPr>
      <w:r w:rsidRPr="00E73D4B">
        <w:t>Solkraftanlegg – tidsbruk på behandling av søknader</w:t>
      </w:r>
    </w:p>
    <w:p w14:paraId="17949014" w14:textId="77777777" w:rsidR="00972395" w:rsidRPr="00E73D4B" w:rsidRDefault="00F120C7" w:rsidP="00E73D4B">
      <w:pPr>
        <w:pStyle w:val="avsnitt-undertittel"/>
      </w:pPr>
      <w:r w:rsidRPr="00E73D4B">
        <w:t>Vedtak 748, 10. juni 2022</w:t>
      </w:r>
    </w:p>
    <w:p w14:paraId="39681087" w14:textId="77777777" w:rsidR="00972395" w:rsidRPr="00E73D4B" w:rsidRDefault="00F120C7" w:rsidP="00E73D4B">
      <w:pPr>
        <w:pStyle w:val="blokksit"/>
      </w:pPr>
      <w:r w:rsidRPr="00E73D4B">
        <w:t>«</w:t>
      </w:r>
      <w:r w:rsidRPr="00E73D4B">
        <w:rPr>
          <w:rStyle w:val="kursiv"/>
        </w:rPr>
        <w:t>Stortinget ber regjeringen innføre krav om at nettselskaper må registrere og rapportere hvor lang tid de bruker på å behandle enkle søknader om tilknytning av små solkraftanlegg.</w:t>
      </w:r>
      <w:r w:rsidRPr="00E73D4B">
        <w:t>»</w:t>
      </w:r>
    </w:p>
    <w:p w14:paraId="684EECE6"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36E315F0" w14:textId="77777777" w:rsidR="00972395" w:rsidRPr="00E73D4B" w:rsidRDefault="00F120C7" w:rsidP="00E73D4B">
      <w:r w:rsidRPr="00E73D4B">
        <w:t>Reguleringsmyndigheten for energi (RME) skal utarbeide en standardisert metode for å måle nettselskapenes tidsbruk ved tilknytning av nye kunder og hvordan nettselskapene skal rapportere dette til RME.</w:t>
      </w:r>
    </w:p>
    <w:p w14:paraId="40CD5E9F" w14:textId="77777777" w:rsidR="00972395" w:rsidRPr="00E73D4B" w:rsidRDefault="00F120C7" w:rsidP="00E73D4B">
      <w:r w:rsidRPr="00E73D4B">
        <w:t>Departementet anser med dette anmodningsvedtaket som fulgt opp.</w:t>
      </w:r>
    </w:p>
    <w:p w14:paraId="21B3C9B6" w14:textId="77777777" w:rsidR="00972395" w:rsidRPr="00E73D4B" w:rsidRDefault="00F120C7" w:rsidP="00E73D4B">
      <w:pPr>
        <w:pStyle w:val="avsnitt-tittel"/>
      </w:pPr>
      <w:r w:rsidRPr="00E73D4B">
        <w:t>Utvide dagens plusskundeordning</w:t>
      </w:r>
    </w:p>
    <w:p w14:paraId="094E1DB1" w14:textId="77777777" w:rsidR="00972395" w:rsidRPr="00E73D4B" w:rsidRDefault="00F120C7" w:rsidP="00E73D4B">
      <w:pPr>
        <w:pStyle w:val="avsnitt-undertittel"/>
      </w:pPr>
      <w:r w:rsidRPr="00E73D4B">
        <w:t>Vedtak 749, 10. juni 2022</w:t>
      </w:r>
    </w:p>
    <w:p w14:paraId="14D5C939" w14:textId="77777777" w:rsidR="00972395" w:rsidRPr="00E73D4B" w:rsidRDefault="00F120C7" w:rsidP="00E73D4B">
      <w:pPr>
        <w:pStyle w:val="blokksit"/>
      </w:pPr>
      <w:r w:rsidRPr="00E73D4B">
        <w:t>«</w:t>
      </w:r>
      <w:r w:rsidRPr="00E73D4B">
        <w:rPr>
          <w:rStyle w:val="kursiv"/>
        </w:rPr>
        <w:t>Stortinget ber regjeringen om å utvide dagens plusskundeordning slik at den også omfatter beboere i flermannsboliger, leilighetskomplekser og næringsbygg i løpet av 2022.</w:t>
      </w:r>
      <w:r w:rsidRPr="00E73D4B">
        <w:t>»</w:t>
      </w:r>
    </w:p>
    <w:p w14:paraId="689552D7"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4397F8B8" w14:textId="77777777" w:rsidR="00972395" w:rsidRPr="00E73D4B" w:rsidRDefault="00F120C7" w:rsidP="00E73D4B">
      <w:r w:rsidRPr="00E73D4B">
        <w:t>Plusskundeordningen legger til rette for at kunder kan produsere strøm til eget forbruk. Slik dagens plusskundeordning er utformet omfattes i hovedsak husholdninger i eneboliger. En ny ordning for deling av egenprodusert, fornybar strøm for flermannsboliger, leilighetskomplekser og næringsbygg på samme eiendom, slik at de slipper nettleie og elavgift for strøm de selv har produsert, har vært på offentlig høring.</w:t>
      </w:r>
    </w:p>
    <w:p w14:paraId="382D72ED" w14:textId="77777777" w:rsidR="00972395" w:rsidRPr="00E73D4B" w:rsidRDefault="00F120C7" w:rsidP="00E73D4B">
      <w:r w:rsidRPr="00E73D4B">
        <w:t>Departementet vil fastsette forskriftsendringer så snart som mulig.</w:t>
      </w:r>
    </w:p>
    <w:p w14:paraId="429EBDE5" w14:textId="77777777" w:rsidR="00972395" w:rsidRPr="00E73D4B" w:rsidRDefault="00F120C7" w:rsidP="00E73D4B">
      <w:r w:rsidRPr="00E73D4B">
        <w:t>Departementet anser med dette anmodningsvedtaket som fulgt opp.</w:t>
      </w:r>
    </w:p>
    <w:p w14:paraId="5EE7E530" w14:textId="77777777" w:rsidR="00972395" w:rsidRPr="00E73D4B" w:rsidRDefault="00F120C7" w:rsidP="00E73D4B">
      <w:pPr>
        <w:pStyle w:val="avsnitt-tittel"/>
      </w:pPr>
      <w:r w:rsidRPr="00E73D4B">
        <w:t>Solenergi – vurdere å fjerne begrensningene for hvor mye solenergi som kan deles innenfor eget areal</w:t>
      </w:r>
    </w:p>
    <w:p w14:paraId="01504AF7" w14:textId="77777777" w:rsidR="00972395" w:rsidRPr="00E73D4B" w:rsidRDefault="00F120C7" w:rsidP="00E73D4B">
      <w:pPr>
        <w:pStyle w:val="avsnitt-undertittel"/>
      </w:pPr>
      <w:r w:rsidRPr="00E73D4B">
        <w:t>Vedtak 750, 10. juni 2022</w:t>
      </w:r>
    </w:p>
    <w:p w14:paraId="0058A81F" w14:textId="77777777" w:rsidR="00972395" w:rsidRPr="00E73D4B" w:rsidRDefault="00F120C7" w:rsidP="00E73D4B">
      <w:pPr>
        <w:pStyle w:val="blokksit"/>
      </w:pPr>
      <w:r w:rsidRPr="00E73D4B">
        <w:t>«</w:t>
      </w:r>
      <w:r w:rsidRPr="00E73D4B">
        <w:rPr>
          <w:rStyle w:val="kursiv"/>
        </w:rPr>
        <w:t>Stortinget ber regjeringen vurdere å fjerne begrensningene for hvor mye solenergi som kan deles innenfor eget areal innen revidert nasjonalbudsjett 2023.</w:t>
      </w:r>
      <w:r w:rsidRPr="00E73D4B">
        <w:t>»</w:t>
      </w:r>
    </w:p>
    <w:p w14:paraId="64365E30"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14C8543B" w14:textId="77777777" w:rsidR="00972395" w:rsidRPr="00E73D4B" w:rsidRDefault="00F120C7" w:rsidP="00E73D4B">
      <w:r w:rsidRPr="00E73D4B">
        <w:t xml:space="preserve">Plusskundeordningen legger til rette for at kunder kan produsere strøm til eget forbruk. Slik dagens plusskundeordning er utformet omfattes i hovedsak husholdninger i eneboliger. En ny ordning for deling av egenprodusert, fornybar strøm for flermannsboliger, leilighetskomplekser og næringsbygg på samme eiendom, slik at de slipper nettleie og elavgift for strøm de selv har produsert, har vært på offentlig høring. Forslaget som ble sendt på høring innebærer at kunder innenfor samme eiendom kan dele produksjon fra anlegg med installert effekt opptil 500 kW, uavhengig av hvor mye installert effekt det er på eiendommen totalt. I høringen ble det særlig bedt om innspill til den foreslåtte maksgrensen for hvor store anlegg som kan dele produksjon. Departementet vil fastsette forskriftsendringer så snart som mulig. </w:t>
      </w:r>
    </w:p>
    <w:p w14:paraId="64542204" w14:textId="77777777" w:rsidR="00972395" w:rsidRPr="00E73D4B" w:rsidRDefault="00F120C7" w:rsidP="00E73D4B">
      <w:r w:rsidRPr="00E73D4B">
        <w:t xml:space="preserve">Selv om solstrøm bidrar til å redusere energibruken i deler av året er også kunder som produserer egen strøm avhengig av nettet. En betydelig del av nettets faste kostnader dekkes over det variable leddet i </w:t>
      </w:r>
      <w:proofErr w:type="spellStart"/>
      <w:r w:rsidRPr="00E73D4B">
        <w:t>nettariffen</w:t>
      </w:r>
      <w:proofErr w:type="spellEnd"/>
      <w:r w:rsidRPr="00E73D4B">
        <w:t>. Det er derfor foreslått en grense for fritak av nettleie og elavgift, slik at ikke en større del av nettleien må dekkes av de som ikke har anledning til å installere anlegg for solstrøm.</w:t>
      </w:r>
    </w:p>
    <w:p w14:paraId="0AA9D158" w14:textId="77777777" w:rsidR="00972395" w:rsidRPr="00E73D4B" w:rsidRDefault="00F120C7" w:rsidP="00E73D4B">
      <w:r w:rsidRPr="00E73D4B">
        <w:t>Departementet anser med dette anmodningsvedtaket som fulgt opp.</w:t>
      </w:r>
    </w:p>
    <w:p w14:paraId="2FD0C0F0" w14:textId="77777777" w:rsidR="00972395" w:rsidRPr="00E73D4B" w:rsidRDefault="00F120C7" w:rsidP="00E73D4B">
      <w:pPr>
        <w:pStyle w:val="avsnitt-tittel"/>
      </w:pPr>
      <w:r w:rsidRPr="00E73D4B">
        <w:t>Solenergi – kartlegging av potensialet for produksjon på landbruksareal</w:t>
      </w:r>
    </w:p>
    <w:p w14:paraId="768671DA" w14:textId="77777777" w:rsidR="00972395" w:rsidRPr="00E73D4B" w:rsidRDefault="00F120C7" w:rsidP="00E73D4B">
      <w:pPr>
        <w:pStyle w:val="avsnitt-undertittel"/>
      </w:pPr>
      <w:r w:rsidRPr="00E73D4B">
        <w:t>Vedtak 751, 10. juni 2022</w:t>
      </w:r>
    </w:p>
    <w:p w14:paraId="1ECAC104" w14:textId="77777777" w:rsidR="00972395" w:rsidRPr="00E73D4B" w:rsidRDefault="00F120C7" w:rsidP="00E73D4B">
      <w:pPr>
        <w:pStyle w:val="blokksit"/>
      </w:pPr>
      <w:r w:rsidRPr="00E73D4B">
        <w:t>«</w:t>
      </w:r>
      <w:r w:rsidRPr="00E73D4B">
        <w:rPr>
          <w:rStyle w:val="kursiv"/>
        </w:rPr>
        <w:t>Stortinget ber regjeringen kartlegge potensialet for solenergiproduksjon på landbruksareal, samtidig som landbruksproduksjonen opprettholdes.</w:t>
      </w:r>
      <w:r w:rsidRPr="00E73D4B">
        <w:t>»</w:t>
      </w:r>
    </w:p>
    <w:p w14:paraId="635B8401"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48E3F421" w14:textId="77777777" w:rsidR="00972395" w:rsidRPr="00E73D4B" w:rsidRDefault="00F120C7" w:rsidP="00E73D4B">
      <w:r w:rsidRPr="00E73D4B">
        <w:t>Departementet vil vurdere nærmere kartlegging av solenergiproduksjon på landbruksareal.</w:t>
      </w:r>
    </w:p>
    <w:p w14:paraId="6C1960B0" w14:textId="77777777" w:rsidR="00972395" w:rsidRPr="00E73D4B" w:rsidRDefault="00F120C7" w:rsidP="00E73D4B">
      <w:r w:rsidRPr="00E73D4B">
        <w:t>Departementet vil komme tilbake til Stortinget på egnet måte.</w:t>
      </w:r>
    </w:p>
    <w:p w14:paraId="249F43D0" w14:textId="77777777" w:rsidR="00972395" w:rsidRPr="00E73D4B" w:rsidRDefault="00F120C7" w:rsidP="00E73D4B">
      <w:pPr>
        <w:pStyle w:val="avsnitt-tittel"/>
      </w:pPr>
      <w:r w:rsidRPr="00E73D4B">
        <w:t>Solenergi – kartlegge potensialet og tilrettelegging for solenergiproduksjon på eksisterende infrastruktur</w:t>
      </w:r>
    </w:p>
    <w:p w14:paraId="0CF9506B" w14:textId="77777777" w:rsidR="00972395" w:rsidRPr="00E73D4B" w:rsidRDefault="00F120C7" w:rsidP="00E73D4B">
      <w:pPr>
        <w:pStyle w:val="avsnitt-undertittel"/>
      </w:pPr>
      <w:r w:rsidRPr="00E73D4B">
        <w:t>Vedtak 752, 10. juni 2022</w:t>
      </w:r>
    </w:p>
    <w:p w14:paraId="538EC1C8" w14:textId="77777777" w:rsidR="00972395" w:rsidRPr="00E73D4B" w:rsidRDefault="00F120C7" w:rsidP="00E73D4B">
      <w:pPr>
        <w:pStyle w:val="blokksit"/>
      </w:pPr>
      <w:r w:rsidRPr="00E73D4B">
        <w:t>«</w:t>
      </w:r>
      <w:r w:rsidRPr="00E73D4B">
        <w:rPr>
          <w:rStyle w:val="kursiv"/>
        </w:rPr>
        <w:t>Stortinget ber regjeringen kartlegge potensialet og tilrettelegging for solenergiproduksjon på eksisterende infrastruktur, som for eksempel parkeringsplasser.</w:t>
      </w:r>
      <w:r w:rsidRPr="00E73D4B">
        <w:t>»</w:t>
      </w:r>
    </w:p>
    <w:p w14:paraId="26ACF63E"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546F612B" w14:textId="77777777" w:rsidR="00972395" w:rsidRPr="00E73D4B" w:rsidRDefault="00F120C7" w:rsidP="00E73D4B">
      <w:r w:rsidRPr="00E73D4B">
        <w:t>Departementet vil vurdere nærmere kartlegging av potensialet for solenergiproduksjon på eksisterende infrastruktur.</w:t>
      </w:r>
    </w:p>
    <w:p w14:paraId="4FEF94BF" w14:textId="77777777" w:rsidR="00972395" w:rsidRPr="00E73D4B" w:rsidRDefault="00F120C7" w:rsidP="00E73D4B">
      <w:r w:rsidRPr="00E73D4B">
        <w:t>Departementet vil komme tilbake til Stortinget på egnet måte.</w:t>
      </w:r>
    </w:p>
    <w:p w14:paraId="352A5355" w14:textId="77777777" w:rsidR="00972395" w:rsidRPr="00E73D4B" w:rsidRDefault="00F120C7" w:rsidP="00E73D4B">
      <w:pPr>
        <w:pStyle w:val="avsnitt-tittel"/>
      </w:pPr>
      <w:r w:rsidRPr="00E73D4B">
        <w:t>Klagebehandling av energikonsesjoner</w:t>
      </w:r>
    </w:p>
    <w:p w14:paraId="33CBA598" w14:textId="77777777" w:rsidR="00972395" w:rsidRPr="00E73D4B" w:rsidRDefault="00F120C7" w:rsidP="00E73D4B">
      <w:pPr>
        <w:pStyle w:val="avsnitt-undertittel"/>
      </w:pPr>
      <w:r w:rsidRPr="00E73D4B">
        <w:t>Vedtak 758, 10. juni 2022</w:t>
      </w:r>
    </w:p>
    <w:p w14:paraId="269C7729" w14:textId="77777777" w:rsidR="00972395" w:rsidRPr="00E73D4B" w:rsidRDefault="00F120C7" w:rsidP="00E73D4B">
      <w:pPr>
        <w:pStyle w:val="blokksit"/>
      </w:pPr>
      <w:r w:rsidRPr="00E73D4B">
        <w:t>«</w:t>
      </w:r>
      <w:r w:rsidRPr="00E73D4B">
        <w:rPr>
          <w:rStyle w:val="kursiv"/>
        </w:rPr>
        <w:t>Stortinget ber regjeringen sikre kapasitet til rask klagebehandling av innvilgede energikonsesjoner og sikre at slik klagebehandling skjer uten ugrunnet opphold.</w:t>
      </w:r>
      <w:r w:rsidRPr="00E73D4B">
        <w:t>»</w:t>
      </w:r>
    </w:p>
    <w:p w14:paraId="5B94298C" w14:textId="77777777" w:rsidR="00972395" w:rsidRPr="00E73D4B" w:rsidRDefault="00F120C7" w:rsidP="00E73D4B">
      <w:r w:rsidRPr="00E73D4B">
        <w:t xml:space="preserve">Dokumentene som ligger til grunn for vedtaket er Meld. St. 36 (2020–2021), Meld. St. 11 (2021–2022) og </w:t>
      </w:r>
      <w:proofErr w:type="spellStart"/>
      <w:r w:rsidRPr="00E73D4B">
        <w:t>Innst</w:t>
      </w:r>
      <w:proofErr w:type="spellEnd"/>
      <w:r w:rsidRPr="00E73D4B">
        <w:t>. 446 S (2021–2022).</w:t>
      </w:r>
    </w:p>
    <w:p w14:paraId="5E0ACEE7" w14:textId="77777777" w:rsidR="00972395" w:rsidRPr="00E73D4B" w:rsidRDefault="00F120C7" w:rsidP="00E73D4B">
      <w:r w:rsidRPr="00E73D4B">
        <w:t>Det foreslås en betydelig ressursøkning under NVE i budsjettet for 2023 for å håndtere en økende saksmengde og redusere saksbehandlingstiden. Videre legges det opp til at konsesjonsmyndighetene kan effektivisere prosessene gjennom bedre informasjonstilgang og økt bruk av digitale verktøy. Det foreslås også økte ressurser til oppfølging av konsesjonssaker og klagebehandling i departementet.</w:t>
      </w:r>
    </w:p>
    <w:p w14:paraId="5FB05519" w14:textId="77777777" w:rsidR="00972395" w:rsidRPr="00E73D4B" w:rsidRDefault="00F120C7" w:rsidP="00E73D4B">
      <w:r w:rsidRPr="00E73D4B">
        <w:t xml:space="preserve">Forvaltningslovens bestemmelser ligger </w:t>
      </w:r>
      <w:proofErr w:type="gramStart"/>
      <w:r w:rsidRPr="00E73D4B">
        <w:t>for øvrig</w:t>
      </w:r>
      <w:proofErr w:type="gramEnd"/>
      <w:r w:rsidRPr="00E73D4B">
        <w:t xml:space="preserve"> til grunn for Olje- og energidepartementets arbeid som klageinstans på vedtak fattet av NVE.</w:t>
      </w:r>
    </w:p>
    <w:p w14:paraId="0ABD907A" w14:textId="77777777" w:rsidR="00972395" w:rsidRPr="00E73D4B" w:rsidRDefault="00F120C7" w:rsidP="00E73D4B">
      <w:r w:rsidRPr="00E73D4B">
        <w:t>Departementet anser med dette anmodningsvedtaket som fulgt opp.</w:t>
      </w:r>
    </w:p>
    <w:p w14:paraId="255C5D7B" w14:textId="77777777" w:rsidR="00972395" w:rsidRPr="00E73D4B" w:rsidRDefault="00F120C7" w:rsidP="00E73D4B">
      <w:pPr>
        <w:pStyle w:val="Overskrift2"/>
      </w:pPr>
      <w:r w:rsidRPr="00E73D4B">
        <w:t>Stortingssesjon 2020–2021</w:t>
      </w:r>
    </w:p>
    <w:p w14:paraId="637B0442" w14:textId="77777777" w:rsidR="00972395" w:rsidRPr="00E73D4B" w:rsidRDefault="00F120C7" w:rsidP="00E73D4B">
      <w:pPr>
        <w:pStyle w:val="avsnitt-tittel"/>
      </w:pPr>
      <w:r w:rsidRPr="00E73D4B">
        <w:t>Vindkraft på land – innlemme planlegging og bygging av vindkraftverk i plan- og bygningsloven</w:t>
      </w:r>
    </w:p>
    <w:p w14:paraId="015F4A3F" w14:textId="77777777" w:rsidR="00972395" w:rsidRPr="00E73D4B" w:rsidRDefault="00F120C7" w:rsidP="00E73D4B">
      <w:pPr>
        <w:pStyle w:val="avsnitt-undertittel"/>
      </w:pPr>
      <w:r w:rsidRPr="00E73D4B">
        <w:t>Vedtak nr. 143, 1. desember 2020</w:t>
      </w:r>
    </w:p>
    <w:p w14:paraId="3FB00670" w14:textId="77777777" w:rsidR="00972395" w:rsidRPr="00E73D4B" w:rsidRDefault="00F120C7" w:rsidP="00E73D4B">
      <w:pPr>
        <w:pStyle w:val="blokksit"/>
      </w:pPr>
      <w:r w:rsidRPr="00E73D4B">
        <w:t>«</w:t>
      </w:r>
      <w:r w:rsidRPr="00E73D4B">
        <w:rPr>
          <w:rStyle w:val="kursiv"/>
        </w:rPr>
        <w:t>Stortinget ber regjeringen komme tilbake til Stortinget med et forslag om å innlemme planlegging og bygging av vindkraftanlegg i plan- og bygningsloven</w:t>
      </w:r>
      <w:r w:rsidRPr="00E73D4B">
        <w:t>.»</w:t>
      </w:r>
    </w:p>
    <w:p w14:paraId="5EF3CF54" w14:textId="77777777" w:rsidR="00972395" w:rsidRPr="00E73D4B" w:rsidRDefault="00F120C7" w:rsidP="00E73D4B">
      <w:r w:rsidRPr="00E73D4B">
        <w:t xml:space="preserve">Dokumentene som ligger til grunn for vedtaket er Meld. St. 28 (2019–2020) og </w:t>
      </w:r>
      <w:proofErr w:type="spellStart"/>
      <w:r w:rsidRPr="00E73D4B">
        <w:t>Innst</w:t>
      </w:r>
      <w:proofErr w:type="spellEnd"/>
      <w:r w:rsidRPr="00E73D4B">
        <w:t>. 101 S (2020–2021).</w:t>
      </w:r>
    </w:p>
    <w:p w14:paraId="4A65AA3F" w14:textId="77777777" w:rsidR="00972395" w:rsidRPr="00E73D4B" w:rsidRDefault="00F120C7" w:rsidP="00E73D4B">
      <w:r w:rsidRPr="00E73D4B">
        <w:t xml:space="preserve">Oppfølging av vedtaket må ses i sammenheng med oppfølging av anmodningsvedtak nr. 722, 10. juni 2022 om å </w:t>
      </w:r>
      <w:r w:rsidRPr="00E73D4B">
        <w:rPr>
          <w:rStyle w:val="kursiv"/>
        </w:rPr>
        <w:t>«snarest mulig sende på høring forslag til endringer i plan- og bygningsloven for behandling av vindkraft på land, slik at nye vindkraftanlegg kan behandles etter både energiloven og plan- og bygningsloven, med sikte på ikrafttredelse av lovendringen 1. januar 2023.»</w:t>
      </w:r>
      <w:r w:rsidRPr="00E73D4B">
        <w:t xml:space="preserve">. Oppfølging av dette anmodningsvedtaket omtales i budsjettproposisjonen til Kommunal- og </w:t>
      </w:r>
      <w:proofErr w:type="spellStart"/>
      <w:r w:rsidRPr="00E73D4B">
        <w:t>distriktsdepartementet</w:t>
      </w:r>
      <w:proofErr w:type="spellEnd"/>
      <w:r w:rsidRPr="00E73D4B">
        <w:t>.</w:t>
      </w:r>
    </w:p>
    <w:p w14:paraId="39411FD5"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og Olje- og energidepartementet samarbeider om et høringsnotat med forslag til oppfølging av vedtaket. Notatet vil bli sendt på høring høsten 2022. Etter høringen vil regjeringen komme tilbake til Stortinget på egnet måte. Det er ikke realistisk at en lovendring vil kunne tre i kraft fra 1. januar 2023.</w:t>
      </w:r>
    </w:p>
    <w:p w14:paraId="126F0C44" w14:textId="77777777" w:rsidR="00972395" w:rsidRPr="00E73D4B" w:rsidRDefault="00F120C7" w:rsidP="00E73D4B">
      <w:pPr>
        <w:pStyle w:val="avsnitt-tittel"/>
      </w:pPr>
      <w:r w:rsidRPr="00E73D4B">
        <w:t>Vindkraft på land – garantistillelse for opprydding av vindkraftanlegget</w:t>
      </w:r>
    </w:p>
    <w:p w14:paraId="49365708" w14:textId="77777777" w:rsidR="00972395" w:rsidRPr="00E73D4B" w:rsidRDefault="00F120C7" w:rsidP="00E73D4B">
      <w:pPr>
        <w:pStyle w:val="avsnitt-undertittel"/>
      </w:pPr>
      <w:r w:rsidRPr="00E73D4B">
        <w:t>Vedtak nr. 145, 1. desember 2020</w:t>
      </w:r>
    </w:p>
    <w:p w14:paraId="44B5AEF0" w14:textId="77777777" w:rsidR="00972395" w:rsidRPr="00E73D4B" w:rsidRDefault="00F120C7" w:rsidP="00E73D4B">
      <w:pPr>
        <w:pStyle w:val="blokksit"/>
      </w:pPr>
      <w:r w:rsidRPr="00E73D4B">
        <w:t>«</w:t>
      </w:r>
      <w:r w:rsidRPr="00E73D4B">
        <w:rPr>
          <w:rStyle w:val="kursiv"/>
        </w:rPr>
        <w:t>Stortinget ber regjeringen på egnet måte utrede og fremlegge for Stortinget alternativer for hvordan det kan stilles garanti for opprydding ved oppstart av vindkraftanlegget.</w:t>
      </w:r>
      <w:r w:rsidRPr="00E73D4B">
        <w:t>»</w:t>
      </w:r>
    </w:p>
    <w:p w14:paraId="09050FA6" w14:textId="77777777" w:rsidR="00972395" w:rsidRPr="00E73D4B" w:rsidRDefault="00F120C7" w:rsidP="00E73D4B">
      <w:r w:rsidRPr="00E73D4B">
        <w:t xml:space="preserve">Dokumentene som ligger til grunn for vedtaket er Meld. St. 28 (2019–2020) og </w:t>
      </w:r>
      <w:proofErr w:type="spellStart"/>
      <w:r w:rsidRPr="00E73D4B">
        <w:t>Innst</w:t>
      </w:r>
      <w:proofErr w:type="spellEnd"/>
      <w:r w:rsidRPr="00E73D4B">
        <w:t>. 101 S (2020–2021).</w:t>
      </w:r>
    </w:p>
    <w:p w14:paraId="2235FA58" w14:textId="77777777" w:rsidR="00972395" w:rsidRPr="00E73D4B" w:rsidRDefault="00F120C7" w:rsidP="00E73D4B">
      <w:r w:rsidRPr="00E73D4B">
        <w:t>I konsesjoner til vindkraftverk har det vært vanlig å sette vilkår om at det innen tolvte driftsår stilles en garanti for nedleggingskostnadene. Dette er for å sikre økonomisk dekning for nedlegging i tilfelle kraftverket står uten eier ved konsesjonsslutt, eller eier ikke skulle ha tilstrekkelige økonomiske ressurser.</w:t>
      </w:r>
    </w:p>
    <w:p w14:paraId="0BD1CDCD" w14:textId="77777777" w:rsidR="00972395" w:rsidRPr="00E73D4B" w:rsidRDefault="00F120C7" w:rsidP="00E73D4B">
      <w:r w:rsidRPr="00E73D4B">
        <w:t>Ved fremleggelse av garanti finnes det i dag ulike ordninger som konsesjonærene kan benytte seg av. De ulike ordningene varierer i hva de koster for konsesjonæren, hvilke oppfølgingskostnader de gir NVE, samt hvilken sikkerhet de gir for samfunnet. Valgene konsesjonærene har for garantistillelse er fondsavsetning eller tilgjengelige garanti- og forsikringsordninger. Hvilken ordning som velges avhenger av flere forhold, som konsesjonærens økonomi og mulighet til kreditt. Ordningen skal godkjennes av NVE.</w:t>
      </w:r>
    </w:p>
    <w:p w14:paraId="0AD0DE0F" w14:textId="77777777" w:rsidR="00972395" w:rsidRPr="00E73D4B" w:rsidRDefault="00F120C7" w:rsidP="00E73D4B">
      <w:r w:rsidRPr="00E73D4B">
        <w:t xml:space="preserve">Olje- og energidepartementet innhentet i 2021 en ekstern utredning fra Oslo </w:t>
      </w:r>
      <w:proofErr w:type="spellStart"/>
      <w:r w:rsidRPr="00E73D4B">
        <w:t>Economics</w:t>
      </w:r>
      <w:proofErr w:type="spellEnd"/>
      <w:r w:rsidRPr="00E73D4B">
        <w:t xml:space="preserve"> som vurderte kostnader ved å stille krav om garantistillelse på et tidligere tidspunkt enn i dag. Utredningen vurderte også ulike former for økonomisk sikkerhetsstillelse.</w:t>
      </w:r>
    </w:p>
    <w:p w14:paraId="09E39BDA" w14:textId="77777777" w:rsidR="00972395" w:rsidRPr="00E73D4B" w:rsidRDefault="00F120C7" w:rsidP="00E73D4B">
      <w:r w:rsidRPr="00E73D4B">
        <w:t>Et tidligere tidspunkt for garantistillelse medfører en økt kostnad for konsesjonærene. Denne kostnadsøkningen varierer, men kan være betydelig for noen ordninger, og særlig dersom man skulle gå så langt som å kreve garanti ved oppstart av anlegget.</w:t>
      </w:r>
    </w:p>
    <w:p w14:paraId="7BDEA8B9" w14:textId="77777777" w:rsidR="00972395" w:rsidRPr="00E73D4B" w:rsidRDefault="00F120C7" w:rsidP="00E73D4B">
      <w:r w:rsidRPr="00E73D4B">
        <w:t>Departementets vurdering er at risikoen for at et anlegg står uten eier i tolvte driftsår er svært liten. Grunnen til det er at investeringskostnadene for vindkraft er høye, mens driftskostnadene er lave. Siden inntjeningen er fordelt utover levetiden er ikke investeringen lønnsom i tidlig fase. Moderne vindturbiner har imidlertid en teknisk levetid på opptil 30 år, og det vil ved det tolvte driftsåret være betydelige økonomiske gevinster ved å videreføre driften av anlegget.</w:t>
      </w:r>
    </w:p>
    <w:p w14:paraId="27FBB9B2" w14:textId="77777777" w:rsidR="00972395" w:rsidRPr="00E73D4B" w:rsidRDefault="00F120C7" w:rsidP="00E73D4B">
      <w:r w:rsidRPr="00E73D4B">
        <w:t>Departementet legger vekt på at flytting av tidspunktet for garantistillelse fram i tid vil gi økte kostnader for konsesjonær og dermed fordyre ny fornybarutbygging, uten at det gir nevneverdig redusert risiko for at det ikke settes av tilstrekkelige midler til nedlegging. Det er også slik at små aktører generelt har høyere risiko enn store selskaper. Dermed kan disse risikere å få en større kostnadsøkning ved krav om tidligere garantistillelse. Dette kan bidra til å skape en etableringsbarriere for små selskaper, som igjen kan være et hinder for utviklingen av nye fornybarprosjekter.</w:t>
      </w:r>
    </w:p>
    <w:p w14:paraId="7F0F9822" w14:textId="77777777" w:rsidR="00972395" w:rsidRPr="00E73D4B" w:rsidRDefault="00F120C7" w:rsidP="00E73D4B">
      <w:r w:rsidRPr="00E73D4B">
        <w:t>Opprettholdelse av dagens krav om sikkerhetstillelse innen tolvte driftsår gir etter departementets vurdering en god balanse mellom risiko for samfunnet og kostnader for konsesjonæren.</w:t>
      </w:r>
    </w:p>
    <w:p w14:paraId="144C5294" w14:textId="77777777" w:rsidR="00972395" w:rsidRPr="00E73D4B" w:rsidRDefault="00F120C7" w:rsidP="00E73D4B">
      <w:r w:rsidRPr="00E73D4B">
        <w:t>Dagens ordning med valgfrihet blant ulike garantiordninger for økonomisk sikkerhetsstillelse gir konsesjonær valgfrihet og lavest kostnader. Dette kan være spesielt viktig for mindre aktører. Departementet legger vekt på at muligheten for å velge mellom ulike ordninger gir en viktig fleksibilitet, samtidig som det ivaretar tilstrekkelig sikkerhet for garantien. Departementet vurderer at muligheten for å bruke ulike garantiordninger, slik det praktiseres i dag, bør opprettholdes.</w:t>
      </w:r>
    </w:p>
    <w:p w14:paraId="4F08C5EA" w14:textId="77777777" w:rsidR="00972395" w:rsidRPr="00E73D4B" w:rsidRDefault="00F120C7" w:rsidP="00E73D4B">
      <w:r w:rsidRPr="00E73D4B">
        <w:t>Departementet anser med dette anmodningsvedtaket som fulgt opp.</w:t>
      </w:r>
    </w:p>
    <w:p w14:paraId="1E9D8D28" w14:textId="77777777" w:rsidR="00972395" w:rsidRPr="00E73D4B" w:rsidRDefault="00F120C7" w:rsidP="00E73D4B">
      <w:pPr>
        <w:pStyle w:val="avsnitt-tittel"/>
      </w:pPr>
      <w:r w:rsidRPr="00E73D4B">
        <w:t>Styrket beredskap for strømbrudd, flere øvelser og nasjonal kartlegging av nød-/reservestrøm i vitale samfunnsfunksjoner</w:t>
      </w:r>
    </w:p>
    <w:p w14:paraId="1D3D07A2" w14:textId="77777777" w:rsidR="00972395" w:rsidRPr="00E73D4B" w:rsidRDefault="00F120C7" w:rsidP="00E73D4B">
      <w:pPr>
        <w:pStyle w:val="avsnitt-undertittel"/>
      </w:pPr>
      <w:r w:rsidRPr="00E73D4B">
        <w:t>Vedtak nr. 732, 11. mars 2021:</w:t>
      </w:r>
    </w:p>
    <w:p w14:paraId="495A8BFF" w14:textId="77777777" w:rsidR="00972395" w:rsidRPr="00E73D4B" w:rsidRDefault="00F120C7" w:rsidP="00E73D4B">
      <w:pPr>
        <w:pStyle w:val="blokksit"/>
      </w:pPr>
      <w:r w:rsidRPr="00E73D4B">
        <w:t>«</w:t>
      </w:r>
      <w:r w:rsidRPr="00E73D4B">
        <w:rPr>
          <w:rStyle w:val="kursiv"/>
        </w:rPr>
        <w:t>Stortinget ber regjeringen styrke beredskapen for strømbrudd gjennom flere øvelser og gjøre en nasjonal kartlegging av tilstanden for nød- og reservestrøm i vitale samfunnsfunksjoner.</w:t>
      </w:r>
      <w:r w:rsidRPr="00E73D4B">
        <w:t>»</w:t>
      </w:r>
    </w:p>
    <w:p w14:paraId="31B98DAE" w14:textId="77777777" w:rsidR="00972395" w:rsidRPr="00E73D4B" w:rsidRDefault="00F120C7" w:rsidP="00E73D4B">
      <w:r w:rsidRPr="00E73D4B">
        <w:t xml:space="preserve">Dokumentet som ligger til grunn for vedtaket er Meld. St. 5 (2020–2021) og </w:t>
      </w:r>
      <w:proofErr w:type="spellStart"/>
      <w:r w:rsidRPr="00E73D4B">
        <w:t>Innst</w:t>
      </w:r>
      <w:proofErr w:type="spellEnd"/>
      <w:r w:rsidRPr="00E73D4B">
        <w:t>. 275 S (2020–2021).</w:t>
      </w:r>
    </w:p>
    <w:p w14:paraId="367D1019" w14:textId="77777777" w:rsidR="00972395" w:rsidRPr="00E73D4B" w:rsidRDefault="00F120C7" w:rsidP="00E73D4B">
      <w:r w:rsidRPr="00E73D4B">
        <w:t xml:space="preserve">Olje- og energidepartementet viser til omtale av anmodningsvedtaket i departementets </w:t>
      </w:r>
      <w:proofErr w:type="spellStart"/>
      <w:r w:rsidRPr="00E73D4B">
        <w:t>Prop</w:t>
      </w:r>
      <w:proofErr w:type="spellEnd"/>
      <w:r w:rsidRPr="00E73D4B">
        <w:t xml:space="preserve">. 1 S (2020–2021), del I, når det gjelder styrking av beredskapen for strømbrudd gjennom flere øvelser. Verken energi- og miljøkomiteen eller kontroll og konstitusjonskomiteen har hatt merknader til oppfølgingen, jf. </w:t>
      </w:r>
      <w:proofErr w:type="spellStart"/>
      <w:r w:rsidRPr="00E73D4B">
        <w:t>Innst</w:t>
      </w:r>
      <w:proofErr w:type="spellEnd"/>
      <w:r w:rsidRPr="00E73D4B">
        <w:t xml:space="preserve">. 9 S (2021–2022) og </w:t>
      </w:r>
      <w:proofErr w:type="spellStart"/>
      <w:r w:rsidRPr="00E73D4B">
        <w:t>Innst</w:t>
      </w:r>
      <w:proofErr w:type="spellEnd"/>
      <w:r w:rsidRPr="00E73D4B">
        <w:t>. 141 S (2021–2022).</w:t>
      </w:r>
    </w:p>
    <w:p w14:paraId="76DF5849" w14:textId="77777777" w:rsidR="00972395" w:rsidRPr="00E73D4B" w:rsidRDefault="00F120C7" w:rsidP="00E73D4B">
      <w:r w:rsidRPr="00E73D4B">
        <w:t xml:space="preserve">I </w:t>
      </w:r>
      <w:proofErr w:type="spellStart"/>
      <w:r w:rsidRPr="00E73D4B">
        <w:t>Prop</w:t>
      </w:r>
      <w:proofErr w:type="spellEnd"/>
      <w:r w:rsidRPr="00E73D4B">
        <w:t>. 1 S (2021–2022) ble det varslet et planlagt prosjekt for å øke samfunnets motstandsdyktighet mot strømbrudd som skulle gjennomføres i regi av Norges vassdrags- og energidirektorat (NVE) og Direktoratet for samfunnssikkerhet og beredskap (DSB). Prosjektet ble sendt som et fellesoppdrag til DSB og NVE av Justis- og beredskapsdepartementet og Olje- og energidepartementet i februar 2022. Oppdragets første del består av å gjennomføre en kartlegging av tilstanden for nød- og reservestrøm i kritiske samfunnsfunksjoner. DSB og NVE skal levere oppdragets første del i løpet av 2022.</w:t>
      </w:r>
    </w:p>
    <w:p w14:paraId="714AD41D" w14:textId="77777777" w:rsidR="00972395" w:rsidRPr="00E73D4B" w:rsidRDefault="00F120C7" w:rsidP="00E73D4B">
      <w:r w:rsidRPr="00E73D4B">
        <w:t>Departementet anser med dette anmodningsvedtaket som fulgt opp.</w:t>
      </w:r>
    </w:p>
    <w:p w14:paraId="5EB85671" w14:textId="77777777" w:rsidR="00972395" w:rsidRPr="00E73D4B" w:rsidRDefault="00F120C7" w:rsidP="00E73D4B">
      <w:pPr>
        <w:pStyle w:val="avsnitt-tittel"/>
      </w:pPr>
      <w:r w:rsidRPr="00E73D4B">
        <w:t>Veileder for konsesjon for havvind</w:t>
      </w:r>
    </w:p>
    <w:p w14:paraId="60D91B45" w14:textId="77777777" w:rsidR="00972395" w:rsidRPr="00E73D4B" w:rsidRDefault="00F120C7" w:rsidP="00E73D4B">
      <w:pPr>
        <w:pStyle w:val="avsnitt-undertittel"/>
      </w:pPr>
      <w:r w:rsidRPr="00E73D4B">
        <w:t>Vedtak nr. 796, 13. april 2021:</w:t>
      </w:r>
    </w:p>
    <w:p w14:paraId="03F80754" w14:textId="77777777" w:rsidR="00972395" w:rsidRPr="00E73D4B" w:rsidRDefault="00F120C7" w:rsidP="00E73D4B">
      <w:pPr>
        <w:pStyle w:val="blokksit"/>
      </w:pPr>
      <w:r w:rsidRPr="00E73D4B">
        <w:t>«</w:t>
      </w:r>
      <w:r w:rsidRPr="00E73D4B">
        <w:rPr>
          <w:rStyle w:val="kursiv"/>
        </w:rPr>
        <w:t>Stortinget ber regjeringen snarest mulig lansere sin veileder for konsesjon for havvind.</w:t>
      </w:r>
      <w:r w:rsidRPr="00E73D4B">
        <w:t>»</w:t>
      </w:r>
    </w:p>
    <w:p w14:paraId="5D3DCC26" w14:textId="77777777" w:rsidR="00972395" w:rsidRPr="00E73D4B" w:rsidRDefault="00F120C7" w:rsidP="00E73D4B">
      <w:r w:rsidRPr="00E73D4B">
        <w:t xml:space="preserve">Dokumentet som ligger til grunn for vedtaket er Meld. St. 13 (2020–2021) og </w:t>
      </w:r>
      <w:proofErr w:type="spellStart"/>
      <w:r w:rsidRPr="00E73D4B">
        <w:t>Innst</w:t>
      </w:r>
      <w:proofErr w:type="spellEnd"/>
      <w:r w:rsidRPr="00E73D4B">
        <w:t>. 325 S (2020–2021).</w:t>
      </w:r>
    </w:p>
    <w:p w14:paraId="26CDB535" w14:textId="77777777" w:rsidR="00972395" w:rsidRPr="00E73D4B" w:rsidRDefault="00F120C7" w:rsidP="00E73D4B">
      <w:r w:rsidRPr="00E73D4B">
        <w:t>Veileder for havvind (Veileder for arealtildeling, konsesjonsprosess og søknader for vindkraft til havs) er under utarbeidelse og vil bli ferdigstilt så snart rammeverket som skal beskrives i veilederen er klart.</w:t>
      </w:r>
    </w:p>
    <w:p w14:paraId="3CAD7F35" w14:textId="77777777" w:rsidR="00972395" w:rsidRPr="00E73D4B" w:rsidRDefault="00F120C7" w:rsidP="00E73D4B">
      <w:r w:rsidRPr="00E73D4B">
        <w:t>Departementet anser med dette anmodningsvedtaket som fulgt opp.</w:t>
      </w:r>
    </w:p>
    <w:p w14:paraId="66F5DCA2" w14:textId="77777777" w:rsidR="00972395" w:rsidRPr="00E73D4B" w:rsidRDefault="00F120C7" w:rsidP="00E73D4B">
      <w:pPr>
        <w:pStyle w:val="Overskrift2"/>
      </w:pPr>
      <w:r w:rsidRPr="00E73D4B">
        <w:t>Stortingssesjon 2019–2020</w:t>
      </w:r>
    </w:p>
    <w:p w14:paraId="011E1E87" w14:textId="77777777" w:rsidR="00972395" w:rsidRPr="00E73D4B" w:rsidRDefault="00F120C7" w:rsidP="00E73D4B">
      <w:pPr>
        <w:pStyle w:val="avsnitt-tittel"/>
      </w:pPr>
      <w:r w:rsidRPr="00E73D4B">
        <w:t>Null- og lavutslippsløsninger for offshorefartøy i petroleumsproduksjon</w:t>
      </w:r>
    </w:p>
    <w:p w14:paraId="7B85D531" w14:textId="77777777" w:rsidR="00972395" w:rsidRPr="00E73D4B" w:rsidRDefault="00F120C7" w:rsidP="00E73D4B">
      <w:pPr>
        <w:pStyle w:val="avsnitt-undertittel"/>
      </w:pPr>
      <w:r w:rsidRPr="00E73D4B">
        <w:t>Vedtak nr. 683, 12. juni 2020</w:t>
      </w:r>
    </w:p>
    <w:p w14:paraId="5850A2D3" w14:textId="77777777" w:rsidR="00972395" w:rsidRPr="00E73D4B" w:rsidRDefault="00F120C7" w:rsidP="00E73D4B">
      <w:pPr>
        <w:pStyle w:val="blokksit"/>
      </w:pPr>
      <w:r w:rsidRPr="00E73D4B">
        <w:t>«</w:t>
      </w:r>
      <w:r w:rsidRPr="00E73D4B">
        <w:rPr>
          <w:rStyle w:val="kursiv"/>
        </w:rPr>
        <w:t>Stortinget ber regjeringen legge frem forslag som sikrer null- og lavutslippsløsninger for offshorefartøy i petroleumsproduksjon.</w:t>
      </w:r>
      <w:r w:rsidRPr="00E73D4B">
        <w:t>»</w:t>
      </w:r>
    </w:p>
    <w:p w14:paraId="28835EEE" w14:textId="77777777" w:rsidR="00972395" w:rsidRPr="00E73D4B" w:rsidRDefault="00F120C7" w:rsidP="00E73D4B">
      <w:r w:rsidRPr="00E73D4B">
        <w:t xml:space="preserve">Dokumentene som ligger til grunn for vedtaket er </w:t>
      </w:r>
      <w:proofErr w:type="spellStart"/>
      <w:r w:rsidRPr="00E73D4B">
        <w:t>Prop</w:t>
      </w:r>
      <w:proofErr w:type="spellEnd"/>
      <w:r w:rsidRPr="00E73D4B">
        <w:t xml:space="preserve">. 113 L (2019–2020) og </w:t>
      </w:r>
      <w:proofErr w:type="spellStart"/>
      <w:r w:rsidRPr="00E73D4B">
        <w:t>Innst</w:t>
      </w:r>
      <w:proofErr w:type="spellEnd"/>
      <w:r w:rsidRPr="00E73D4B">
        <w:t>. 351 L (2019–2020).</w:t>
      </w:r>
    </w:p>
    <w:p w14:paraId="52DDA7FA" w14:textId="77777777" w:rsidR="00972395" w:rsidRPr="00E73D4B" w:rsidRDefault="00F120C7" w:rsidP="00E73D4B">
      <w:r w:rsidRPr="00E73D4B">
        <w:t xml:space="preserve">Olje- og energidepartementet viser til omtale av anmodningsvedtaket i departementets </w:t>
      </w:r>
      <w:proofErr w:type="spellStart"/>
      <w:r w:rsidRPr="00E73D4B">
        <w:t>Prop</w:t>
      </w:r>
      <w:proofErr w:type="spellEnd"/>
      <w:r w:rsidRPr="00E73D4B">
        <w:t xml:space="preserve">. 1 S (2021–2022), del I og punkt 9 Null- og </w:t>
      </w:r>
      <w:proofErr w:type="spellStart"/>
      <w:r w:rsidRPr="00E73D4B">
        <w:t>lågutsleppsløysingar</w:t>
      </w:r>
      <w:proofErr w:type="spellEnd"/>
      <w:r w:rsidRPr="00E73D4B">
        <w:t xml:space="preserve"> for offshorefartøy i petroleumsproduksjon, i Del III, hvor det ble redegjort for status i arbeidet knyttet til oppfølging av anmodningsvedtaket. Verken energi- og miljøkomiteen eller kontroll- og konstitusjonskomiteen har hatt merknader til oppfølgingen, jf. </w:t>
      </w:r>
      <w:proofErr w:type="spellStart"/>
      <w:r w:rsidRPr="00E73D4B">
        <w:t>Innst</w:t>
      </w:r>
      <w:proofErr w:type="spellEnd"/>
      <w:r w:rsidRPr="00E73D4B">
        <w:t xml:space="preserve">. 9 S (2021– 2022) og </w:t>
      </w:r>
      <w:proofErr w:type="spellStart"/>
      <w:r w:rsidRPr="00E73D4B">
        <w:t>Innst</w:t>
      </w:r>
      <w:proofErr w:type="spellEnd"/>
      <w:r w:rsidRPr="00E73D4B">
        <w:t>. 141 S (2021–2022).</w:t>
      </w:r>
    </w:p>
    <w:p w14:paraId="1C8201A8" w14:textId="77777777" w:rsidR="00972395" w:rsidRPr="00E73D4B" w:rsidRDefault="00F120C7" w:rsidP="00E73D4B">
      <w:r w:rsidRPr="00E73D4B">
        <w:t>Det er satt ut et nytt oppdrag Sjøfartdirektoratet der de bes komme med forslag til hvordan krav til lavutslippsløsninger fra 2025 og nullutslippsløsninger fra 2030 for offshorefartøy i petroleumsproduksjon kan utformes og innrettes. Parallelt utredes muligheten for å oppfylle anmodningsvedtaket ved andre virkemidler.</w:t>
      </w:r>
    </w:p>
    <w:p w14:paraId="428649B8" w14:textId="77777777" w:rsidR="00972395" w:rsidRPr="00E73D4B" w:rsidRDefault="00F120C7" w:rsidP="00E73D4B">
      <w:r w:rsidRPr="00E73D4B">
        <w:t>Departementet vil komme tilbake med en status for arbeidet på egnet måte.</w:t>
      </w:r>
    </w:p>
    <w:p w14:paraId="34C700D2" w14:textId="77777777" w:rsidR="00972395" w:rsidRPr="00E73D4B" w:rsidRDefault="00F120C7" w:rsidP="00E73D4B">
      <w:pPr>
        <w:pStyle w:val="avsnitt-tittel"/>
      </w:pPr>
      <w:r w:rsidRPr="00E73D4B">
        <w:t>Utrede ringvirkninger på fastlandet ved nye utbygginger som omfattes av de midlertidige endringene i petroleumsskatten</w:t>
      </w:r>
    </w:p>
    <w:p w14:paraId="51773E1F" w14:textId="77777777" w:rsidR="00972395" w:rsidRPr="00E73D4B" w:rsidRDefault="00F120C7" w:rsidP="00E73D4B">
      <w:pPr>
        <w:pStyle w:val="avsnitt-undertittel"/>
      </w:pPr>
      <w:r w:rsidRPr="00E73D4B">
        <w:t>Vedtak nr. 687, 12. juni 2020</w:t>
      </w:r>
    </w:p>
    <w:p w14:paraId="66971030" w14:textId="77777777" w:rsidR="00972395" w:rsidRPr="00E73D4B" w:rsidRDefault="00F120C7" w:rsidP="00E73D4B">
      <w:pPr>
        <w:pStyle w:val="blokksit"/>
      </w:pPr>
      <w:r w:rsidRPr="00E73D4B">
        <w:t>«</w:t>
      </w:r>
      <w:r w:rsidRPr="00E73D4B">
        <w:rPr>
          <w:rStyle w:val="kursiv"/>
        </w:rPr>
        <w:t>Stortinget ber regjeringen sørge for at ringvirkninger på fastlandet utredes ved nye utbygginger, og gjennomføre en evaluering av lokale, regionale og netto nasjonale ringvirkninger/sysselsetting ved nye prosjekter som omfattes av de midlertidige endringene i petroleumsskatten, samt bruk av null- og lavutslippsteknologi, og legge dette frem for Stortinget i en vurdering i løpet av første halvår 2023.</w:t>
      </w:r>
      <w:r w:rsidRPr="00E73D4B">
        <w:t>»</w:t>
      </w:r>
    </w:p>
    <w:p w14:paraId="4C54F4FA" w14:textId="77777777" w:rsidR="00972395" w:rsidRPr="00E73D4B" w:rsidRDefault="00F120C7" w:rsidP="00E73D4B">
      <w:r w:rsidRPr="00E73D4B">
        <w:t xml:space="preserve">Dokumentene som ligger til grunn for vedtaket er </w:t>
      </w:r>
      <w:proofErr w:type="spellStart"/>
      <w:r w:rsidRPr="00E73D4B">
        <w:t>Prop</w:t>
      </w:r>
      <w:proofErr w:type="spellEnd"/>
      <w:r w:rsidRPr="00E73D4B">
        <w:t xml:space="preserve">. 113 L (2019–2020) og </w:t>
      </w:r>
      <w:proofErr w:type="spellStart"/>
      <w:r w:rsidRPr="00E73D4B">
        <w:t>Innst</w:t>
      </w:r>
      <w:proofErr w:type="spellEnd"/>
      <w:r w:rsidRPr="00E73D4B">
        <w:t>. 351 L (2019–2020).</w:t>
      </w:r>
    </w:p>
    <w:p w14:paraId="7246F81A" w14:textId="77777777" w:rsidR="00972395" w:rsidRPr="00E73D4B" w:rsidRDefault="00F120C7" w:rsidP="00E73D4B">
      <w:r w:rsidRPr="00E73D4B">
        <w:t xml:space="preserve">Olje- og energidepartementet viser til omtale av anmodningsvedtaket i departementets </w:t>
      </w:r>
      <w:proofErr w:type="spellStart"/>
      <w:r w:rsidRPr="00E73D4B">
        <w:t>Prop</w:t>
      </w:r>
      <w:proofErr w:type="spellEnd"/>
      <w:r w:rsidRPr="00E73D4B">
        <w:t>. 1 S (2020–2021), del I. Departementet vil sørge for at ringvirkninger er relevant utredet ved nye utbygginger, jf. veileder for plan for utbygging og drift/plan for anlegg og drift. Departementet vil komme tilbake til Stortinget med den etterspurte evalueringen i 2023 på egnet måte.</w:t>
      </w:r>
    </w:p>
    <w:p w14:paraId="27A9031F" w14:textId="77777777" w:rsidR="00972395" w:rsidRPr="00E73D4B" w:rsidRDefault="00F120C7" w:rsidP="00E73D4B">
      <w:pPr>
        <w:pStyle w:val="Overskrift2"/>
      </w:pPr>
      <w:r w:rsidRPr="00E73D4B">
        <w:t>Stortingssesjon 2016–2017</w:t>
      </w:r>
    </w:p>
    <w:p w14:paraId="19E9718A" w14:textId="77777777" w:rsidR="00972395" w:rsidRPr="00E73D4B" w:rsidRDefault="00F120C7" w:rsidP="00E73D4B">
      <w:pPr>
        <w:pStyle w:val="avsnitt-tittel"/>
      </w:pPr>
      <w:r w:rsidRPr="00E73D4B">
        <w:t xml:space="preserve">Mål om 10 </w:t>
      </w:r>
      <w:proofErr w:type="spellStart"/>
      <w:r w:rsidRPr="00E73D4B">
        <w:t>TWh</w:t>
      </w:r>
      <w:proofErr w:type="spellEnd"/>
      <w:r w:rsidRPr="00E73D4B">
        <w:t xml:space="preserve"> energisparing i bygg innen 2030</w:t>
      </w:r>
    </w:p>
    <w:p w14:paraId="2BB5743B" w14:textId="77777777" w:rsidR="00972395" w:rsidRPr="00E73D4B" w:rsidRDefault="00F120C7" w:rsidP="00E73D4B">
      <w:pPr>
        <w:pStyle w:val="avsnitt-undertittel"/>
      </w:pPr>
      <w:r w:rsidRPr="00E73D4B">
        <w:t>Vedtak nr. 714, 30. mai 2017</w:t>
      </w:r>
    </w:p>
    <w:p w14:paraId="6B38BEA4" w14:textId="77777777" w:rsidR="00972395" w:rsidRPr="00E73D4B" w:rsidRDefault="00F120C7" w:rsidP="00E73D4B">
      <w:pPr>
        <w:pStyle w:val="blokksit"/>
      </w:pPr>
      <w:r w:rsidRPr="00E73D4B">
        <w:t>«</w:t>
      </w:r>
      <w:r w:rsidRPr="00E73D4B">
        <w:rPr>
          <w:rStyle w:val="kursiv"/>
        </w:rPr>
        <w:t xml:space="preserve">Stortinget ber regjeringen i forslag til statsbudsjett for 2018 legge fram en plan for hvordan man kan realisere 10 </w:t>
      </w:r>
      <w:proofErr w:type="spellStart"/>
      <w:r w:rsidRPr="00E73D4B">
        <w:rPr>
          <w:rStyle w:val="kursiv"/>
        </w:rPr>
        <w:t>TWh</w:t>
      </w:r>
      <w:proofErr w:type="spellEnd"/>
      <w:r w:rsidRPr="00E73D4B">
        <w:rPr>
          <w:rStyle w:val="kursiv"/>
        </w:rPr>
        <w:t xml:space="preserve"> energisparing i bygg innen 2030. Planen skal inneholde en konkret nedtrappingsplan i bygg og en virkemiddelpakke med eksisterende og nye virkemidler for å realisere målet.</w:t>
      </w:r>
      <w:r w:rsidRPr="00E73D4B">
        <w:t>»</w:t>
      </w:r>
    </w:p>
    <w:p w14:paraId="7AF69728" w14:textId="77777777" w:rsidR="00972395" w:rsidRPr="00E73D4B" w:rsidRDefault="00F120C7" w:rsidP="00E73D4B">
      <w:r w:rsidRPr="00E73D4B">
        <w:t xml:space="preserve">Dokumentene som ligger til grunn for vedtaket er Dokument 8:67 S (2016–2017) og </w:t>
      </w:r>
      <w:proofErr w:type="spellStart"/>
      <w:r w:rsidRPr="00E73D4B">
        <w:t>Innst</w:t>
      </w:r>
      <w:proofErr w:type="spellEnd"/>
      <w:r w:rsidRPr="00E73D4B">
        <w:t>. 318 S (2016–2017).</w:t>
      </w:r>
    </w:p>
    <w:p w14:paraId="6111C3DA" w14:textId="77777777" w:rsidR="00972395" w:rsidRPr="00E73D4B" w:rsidRDefault="00F120C7" w:rsidP="00E73D4B">
      <w:r w:rsidRPr="00E73D4B">
        <w:t xml:space="preserve">I punkt 10 Mål om 10 </w:t>
      </w:r>
      <w:proofErr w:type="spellStart"/>
      <w:r w:rsidRPr="00E73D4B">
        <w:t>TWh</w:t>
      </w:r>
      <w:proofErr w:type="spellEnd"/>
      <w:r w:rsidRPr="00E73D4B">
        <w:t xml:space="preserve"> redusert energibruk i bygg innen 2030, i proposisjonens Del III, er det presentert en plan og et sett av tiltak som skal redusere energibruken i bygg med minst 10 </w:t>
      </w:r>
      <w:proofErr w:type="spellStart"/>
      <w:r w:rsidRPr="00E73D4B">
        <w:t>TWh</w:t>
      </w:r>
      <w:proofErr w:type="spellEnd"/>
      <w:r w:rsidRPr="00E73D4B">
        <w:t xml:space="preserve"> i 2030 og øke strømproduksjonen i bygg.</w:t>
      </w:r>
    </w:p>
    <w:p w14:paraId="019378D0" w14:textId="77777777" w:rsidR="00972395" w:rsidRPr="00E73D4B" w:rsidRDefault="00F120C7" w:rsidP="00E73D4B">
      <w:r w:rsidRPr="00E73D4B">
        <w:t>Departementet anser med denne redegjørelsen og planen anmodningsvedtaket som fulgt opp.</w:t>
      </w:r>
    </w:p>
    <w:p w14:paraId="118E6549" w14:textId="77777777" w:rsidR="00972395" w:rsidRPr="00E73D4B" w:rsidRDefault="00F120C7" w:rsidP="00E73D4B">
      <w:pPr>
        <w:pStyle w:val="Overskrift1"/>
      </w:pPr>
      <w:proofErr w:type="spellStart"/>
      <w:r w:rsidRPr="00E73D4B">
        <w:t>Samferdselsdepartmentet</w:t>
      </w:r>
      <w:proofErr w:type="spellEnd"/>
    </w:p>
    <w:p w14:paraId="1ED04AF5" w14:textId="106747C2" w:rsidR="00972395" w:rsidRDefault="00F120C7" w:rsidP="00E73D4B">
      <w:r w:rsidRPr="00E73D4B">
        <w:t xml:space="preserve">Tabell 15.1 gir </w:t>
      </w:r>
      <w:proofErr w:type="spellStart"/>
      <w:r w:rsidRPr="00E73D4B">
        <w:t>ein</w:t>
      </w:r>
      <w:proofErr w:type="spellEnd"/>
      <w:r w:rsidRPr="00E73D4B">
        <w:t xml:space="preserve"> oversikt over oppmodingsvedtak under Samferdselsdepartementet. Oversikten </w:t>
      </w:r>
      <w:proofErr w:type="spellStart"/>
      <w:r w:rsidRPr="00E73D4B">
        <w:t>omfattar</w:t>
      </w:r>
      <w:proofErr w:type="spellEnd"/>
      <w:r w:rsidRPr="00E73D4B">
        <w:t xml:space="preserve"> alle vedtaka </w:t>
      </w:r>
      <w:proofErr w:type="spellStart"/>
      <w:r w:rsidRPr="00E73D4B">
        <w:t>frå</w:t>
      </w:r>
      <w:proofErr w:type="spellEnd"/>
      <w:r w:rsidRPr="00E73D4B">
        <w:t xml:space="preserve"> stortingssesjonen 2021–2022 og </w:t>
      </w:r>
      <w:proofErr w:type="spellStart"/>
      <w:r w:rsidRPr="00E73D4B">
        <w:t>dei</w:t>
      </w:r>
      <w:proofErr w:type="spellEnd"/>
      <w:r w:rsidRPr="00E73D4B">
        <w:t xml:space="preserve"> vedtaka </w:t>
      </w:r>
      <w:proofErr w:type="spellStart"/>
      <w:r w:rsidRPr="00E73D4B">
        <w:t>frå</w:t>
      </w:r>
      <w:proofErr w:type="spellEnd"/>
      <w:r w:rsidRPr="00E73D4B">
        <w:t xml:space="preserve"> </w:t>
      </w:r>
      <w:proofErr w:type="spellStart"/>
      <w:r w:rsidRPr="00E73D4B">
        <w:t>tidlegare</w:t>
      </w:r>
      <w:proofErr w:type="spellEnd"/>
      <w:r w:rsidRPr="00E73D4B">
        <w:t xml:space="preserve"> </w:t>
      </w:r>
      <w:proofErr w:type="spellStart"/>
      <w:r w:rsidRPr="00E73D4B">
        <w:t>stortingssesjonar</w:t>
      </w:r>
      <w:proofErr w:type="spellEnd"/>
      <w:r w:rsidRPr="00E73D4B">
        <w:t xml:space="preserve"> som kontroll- og konstitusjonskomiteen i </w:t>
      </w:r>
      <w:proofErr w:type="spellStart"/>
      <w:r w:rsidRPr="00E73D4B">
        <w:t>Innst</w:t>
      </w:r>
      <w:proofErr w:type="spellEnd"/>
      <w:r w:rsidRPr="00E73D4B">
        <w:t xml:space="preserve">. 141 S (2021–2022) meinte </w:t>
      </w:r>
      <w:proofErr w:type="spellStart"/>
      <w:r w:rsidRPr="00E73D4B">
        <w:t>ikkje</w:t>
      </w:r>
      <w:proofErr w:type="spellEnd"/>
      <w:r w:rsidRPr="00E73D4B">
        <w:t xml:space="preserve"> var kvitterte ut. I tabellen går det fram om Samferdselsdepartementet </w:t>
      </w:r>
      <w:proofErr w:type="spellStart"/>
      <w:r w:rsidRPr="00E73D4B">
        <w:t>no</w:t>
      </w:r>
      <w:proofErr w:type="spellEnd"/>
      <w:r w:rsidRPr="00E73D4B">
        <w:t xml:space="preserve"> </w:t>
      </w:r>
      <w:proofErr w:type="spellStart"/>
      <w:r w:rsidRPr="00E73D4B">
        <w:t>legg</w:t>
      </w:r>
      <w:proofErr w:type="spellEnd"/>
      <w:r w:rsidRPr="00E73D4B">
        <w:t xml:space="preserve"> opp til å avslutte rapporteringa av oppmodingsvedtaket eller om departementet òg vil rapportere på vedtaket i budsjettproposisjonen for 2024.</w:t>
      </w:r>
    </w:p>
    <w:p w14:paraId="653899DE" w14:textId="4773C2EC" w:rsidR="004A107D" w:rsidRPr="00E73D4B" w:rsidRDefault="004A107D" w:rsidP="004A107D">
      <w:pPr>
        <w:pStyle w:val="tabell-tittel"/>
      </w:pPr>
      <w:r w:rsidRPr="00E73D4B">
        <w:t>Oversikt over oppmodingsvedtak ordna etter sesjon og nummer</w:t>
      </w:r>
    </w:p>
    <w:p w14:paraId="37D86924" w14:textId="77777777" w:rsidR="00972395" w:rsidRPr="00E73D4B" w:rsidRDefault="00F120C7" w:rsidP="00E73D4B">
      <w:pPr>
        <w:pStyle w:val="Tabellnavn"/>
      </w:pPr>
      <w:r w:rsidRPr="00E73D4B">
        <w:t>05J1xt2</w:t>
      </w:r>
    </w:p>
    <w:tbl>
      <w:tblPr>
        <w:tblW w:w="9120" w:type="dxa"/>
        <w:tblInd w:w="43" w:type="dxa"/>
        <w:tblLayout w:type="fixed"/>
        <w:tblCellMar>
          <w:top w:w="128" w:type="dxa"/>
          <w:left w:w="43" w:type="dxa"/>
          <w:bottom w:w="43" w:type="dxa"/>
          <w:right w:w="43" w:type="dxa"/>
        </w:tblCellMar>
        <w:tblLook w:val="0000" w:firstRow="0" w:lastRow="0" w:firstColumn="0" w:lastColumn="0" w:noHBand="0" w:noVBand="0"/>
      </w:tblPr>
      <w:tblGrid>
        <w:gridCol w:w="1375"/>
        <w:gridCol w:w="1276"/>
        <w:gridCol w:w="992"/>
        <w:gridCol w:w="4012"/>
        <w:gridCol w:w="1465"/>
      </w:tblGrid>
      <w:tr w:rsidR="00972395" w:rsidRPr="00E73D4B" w14:paraId="2DB55F87" w14:textId="77777777" w:rsidTr="0076431D">
        <w:trPr>
          <w:trHeight w:val="860"/>
        </w:trPr>
        <w:tc>
          <w:tcPr>
            <w:tcW w:w="13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40F177E" w14:textId="77777777" w:rsidR="00972395" w:rsidRPr="00E73D4B" w:rsidRDefault="00F120C7" w:rsidP="0076431D">
            <w:pPr>
              <w:ind w:right="-43"/>
            </w:pPr>
            <w:r w:rsidRPr="00E73D4B">
              <w:t>Sesjon</w:t>
            </w:r>
          </w:p>
        </w:tc>
        <w:tc>
          <w:tcPr>
            <w:tcW w:w="127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053BB4" w14:textId="77777777" w:rsidR="00972395" w:rsidRPr="00E73D4B" w:rsidRDefault="00F120C7" w:rsidP="004A107D">
            <w:pPr>
              <w:jc w:val="right"/>
            </w:pPr>
            <w:r w:rsidRPr="00E73D4B">
              <w:t>Vedtak nr.</w:t>
            </w:r>
          </w:p>
        </w:tc>
        <w:tc>
          <w:tcPr>
            <w:tcW w:w="99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DD036B2" w14:textId="77777777" w:rsidR="00972395" w:rsidRPr="00E73D4B" w:rsidRDefault="00F120C7" w:rsidP="004A107D">
            <w:pPr>
              <w:jc w:val="right"/>
            </w:pPr>
            <w:r w:rsidRPr="00E73D4B">
              <w:t>Punkt</w:t>
            </w:r>
          </w:p>
        </w:tc>
        <w:tc>
          <w:tcPr>
            <w:tcW w:w="401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CEF706" w14:textId="77777777" w:rsidR="00972395" w:rsidRPr="00E73D4B" w:rsidRDefault="00F120C7" w:rsidP="004A107D">
            <w:r w:rsidRPr="00E73D4B">
              <w:t>Stikkord</w:t>
            </w:r>
          </w:p>
        </w:tc>
        <w:tc>
          <w:tcPr>
            <w:tcW w:w="146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E7690A" w14:textId="77777777" w:rsidR="00972395" w:rsidRPr="00E73D4B" w:rsidRDefault="00F120C7" w:rsidP="004A107D">
            <w:pPr>
              <w:jc w:val="right"/>
            </w:pPr>
            <w:r w:rsidRPr="00E73D4B">
              <w:t xml:space="preserve">Rapportering blir avslutta </w:t>
            </w:r>
            <w:r w:rsidRPr="00E73D4B">
              <w:br/>
              <w:t>(ja/nei)</w:t>
            </w:r>
          </w:p>
        </w:tc>
      </w:tr>
      <w:tr w:rsidR="00972395" w:rsidRPr="00E73D4B" w14:paraId="29B1B246" w14:textId="77777777" w:rsidTr="0076431D">
        <w:trPr>
          <w:trHeight w:val="640"/>
        </w:trPr>
        <w:tc>
          <w:tcPr>
            <w:tcW w:w="1375" w:type="dxa"/>
            <w:tcBorders>
              <w:top w:val="single" w:sz="4" w:space="0" w:color="000000"/>
              <w:left w:val="nil"/>
              <w:bottom w:val="nil"/>
              <w:right w:val="nil"/>
            </w:tcBorders>
            <w:tcMar>
              <w:top w:w="128" w:type="dxa"/>
              <w:left w:w="43" w:type="dxa"/>
              <w:bottom w:w="43" w:type="dxa"/>
              <w:right w:w="43" w:type="dxa"/>
            </w:tcMar>
          </w:tcPr>
          <w:p w14:paraId="221E8F0B" w14:textId="77777777" w:rsidR="00972395" w:rsidRPr="00E73D4B" w:rsidRDefault="00F120C7" w:rsidP="0076431D">
            <w:pPr>
              <w:ind w:right="-43"/>
            </w:pPr>
            <w:r w:rsidRPr="00E73D4B">
              <w:t>2021–2022</w:t>
            </w:r>
          </w:p>
        </w:tc>
        <w:tc>
          <w:tcPr>
            <w:tcW w:w="1276" w:type="dxa"/>
            <w:tcBorders>
              <w:top w:val="single" w:sz="4" w:space="0" w:color="000000"/>
              <w:left w:val="nil"/>
              <w:bottom w:val="nil"/>
              <w:right w:val="nil"/>
            </w:tcBorders>
            <w:tcMar>
              <w:top w:w="128" w:type="dxa"/>
              <w:left w:w="43" w:type="dxa"/>
              <w:bottom w:w="43" w:type="dxa"/>
              <w:right w:w="43" w:type="dxa"/>
            </w:tcMar>
          </w:tcPr>
          <w:p w14:paraId="09625A0A" w14:textId="77777777" w:rsidR="00972395" w:rsidRPr="00E73D4B" w:rsidRDefault="00F120C7" w:rsidP="004A107D">
            <w:pPr>
              <w:jc w:val="right"/>
            </w:pPr>
            <w:r w:rsidRPr="00E73D4B">
              <w:t>35</w:t>
            </w:r>
          </w:p>
        </w:tc>
        <w:tc>
          <w:tcPr>
            <w:tcW w:w="992" w:type="dxa"/>
            <w:tcBorders>
              <w:top w:val="single" w:sz="4" w:space="0" w:color="000000"/>
              <w:left w:val="nil"/>
              <w:bottom w:val="nil"/>
              <w:right w:val="nil"/>
            </w:tcBorders>
            <w:tcMar>
              <w:top w:w="128" w:type="dxa"/>
              <w:left w:w="43" w:type="dxa"/>
              <w:bottom w:w="43" w:type="dxa"/>
              <w:right w:w="43" w:type="dxa"/>
            </w:tcMar>
          </w:tcPr>
          <w:p w14:paraId="1D24D839" w14:textId="77777777" w:rsidR="00972395" w:rsidRPr="00E73D4B" w:rsidRDefault="00F120C7" w:rsidP="004A107D">
            <w:pPr>
              <w:jc w:val="right"/>
            </w:pPr>
            <w:r w:rsidRPr="00E73D4B">
              <w:t>1</w:t>
            </w:r>
          </w:p>
        </w:tc>
        <w:tc>
          <w:tcPr>
            <w:tcW w:w="4012" w:type="dxa"/>
            <w:tcBorders>
              <w:top w:val="single" w:sz="4" w:space="0" w:color="000000"/>
              <w:left w:val="nil"/>
              <w:bottom w:val="nil"/>
              <w:right w:val="nil"/>
            </w:tcBorders>
            <w:tcMar>
              <w:top w:w="128" w:type="dxa"/>
              <w:left w:w="43" w:type="dxa"/>
              <w:bottom w:w="43" w:type="dxa"/>
              <w:right w:w="43" w:type="dxa"/>
            </w:tcMar>
          </w:tcPr>
          <w:p w14:paraId="2987CB17" w14:textId="77777777" w:rsidR="00972395" w:rsidRPr="00E73D4B" w:rsidRDefault="00F120C7" w:rsidP="004A107D">
            <w:r w:rsidRPr="00E73D4B">
              <w:t xml:space="preserve">Basere </w:t>
            </w:r>
            <w:proofErr w:type="spellStart"/>
            <w:r w:rsidRPr="00E73D4B">
              <w:t>anbod</w:t>
            </w:r>
            <w:proofErr w:type="spellEnd"/>
            <w:r w:rsidRPr="00E73D4B">
              <w:t xml:space="preserve"> i fylkeskommunal ferje- og båttrafikk på nullutsleppsteknologi</w:t>
            </w:r>
          </w:p>
        </w:tc>
        <w:tc>
          <w:tcPr>
            <w:tcW w:w="1465" w:type="dxa"/>
            <w:tcBorders>
              <w:top w:val="single" w:sz="4" w:space="0" w:color="000000"/>
              <w:left w:val="nil"/>
              <w:bottom w:val="nil"/>
              <w:right w:val="nil"/>
            </w:tcBorders>
            <w:tcMar>
              <w:top w:w="128" w:type="dxa"/>
              <w:left w:w="43" w:type="dxa"/>
              <w:bottom w:w="43" w:type="dxa"/>
              <w:right w:w="43" w:type="dxa"/>
            </w:tcMar>
          </w:tcPr>
          <w:p w14:paraId="5986F6AA" w14:textId="77777777" w:rsidR="00972395" w:rsidRPr="00E73D4B" w:rsidRDefault="00F120C7" w:rsidP="004A107D">
            <w:pPr>
              <w:jc w:val="right"/>
            </w:pPr>
            <w:r w:rsidRPr="00E73D4B">
              <w:t>Nei</w:t>
            </w:r>
          </w:p>
        </w:tc>
      </w:tr>
      <w:tr w:rsidR="00972395" w:rsidRPr="00E73D4B" w14:paraId="22B17194"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2110EB18"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2117AC05" w14:textId="77777777" w:rsidR="00972395" w:rsidRPr="00E73D4B" w:rsidRDefault="00F120C7" w:rsidP="004A107D">
            <w:pPr>
              <w:jc w:val="right"/>
            </w:pPr>
            <w:r w:rsidRPr="00E73D4B">
              <w:t>35</w:t>
            </w:r>
          </w:p>
        </w:tc>
        <w:tc>
          <w:tcPr>
            <w:tcW w:w="992" w:type="dxa"/>
            <w:tcBorders>
              <w:top w:val="nil"/>
              <w:left w:val="nil"/>
              <w:bottom w:val="nil"/>
              <w:right w:val="nil"/>
            </w:tcBorders>
            <w:tcMar>
              <w:top w:w="128" w:type="dxa"/>
              <w:left w:w="43" w:type="dxa"/>
              <w:bottom w:w="43" w:type="dxa"/>
              <w:right w:w="43" w:type="dxa"/>
            </w:tcMar>
          </w:tcPr>
          <w:p w14:paraId="242F0D6A" w14:textId="77777777" w:rsidR="00972395" w:rsidRPr="00E73D4B" w:rsidRDefault="00F120C7" w:rsidP="004A107D">
            <w:pPr>
              <w:jc w:val="right"/>
            </w:pPr>
            <w:r w:rsidRPr="00E73D4B">
              <w:t>8</w:t>
            </w:r>
          </w:p>
        </w:tc>
        <w:tc>
          <w:tcPr>
            <w:tcW w:w="4012" w:type="dxa"/>
            <w:tcBorders>
              <w:top w:val="nil"/>
              <w:left w:val="nil"/>
              <w:bottom w:val="nil"/>
              <w:right w:val="nil"/>
            </w:tcBorders>
            <w:tcMar>
              <w:top w:w="128" w:type="dxa"/>
              <w:left w:w="43" w:type="dxa"/>
              <w:bottom w:w="43" w:type="dxa"/>
              <w:right w:w="43" w:type="dxa"/>
            </w:tcMar>
          </w:tcPr>
          <w:p w14:paraId="3C226DEE" w14:textId="77777777" w:rsidR="00972395" w:rsidRPr="00E73D4B" w:rsidRDefault="00F120C7" w:rsidP="004A107D">
            <w:r w:rsidRPr="00E73D4B">
              <w:t>Likestille GA-</w:t>
            </w:r>
            <w:proofErr w:type="spellStart"/>
            <w:r w:rsidRPr="00E73D4B">
              <w:t>køyretøy</w:t>
            </w:r>
            <w:proofErr w:type="spellEnd"/>
            <w:r w:rsidRPr="00E73D4B">
              <w:t xml:space="preserve"> med el- og </w:t>
            </w:r>
            <w:proofErr w:type="spellStart"/>
            <w:r w:rsidRPr="00E73D4B">
              <w:t>hydrogendrivne</w:t>
            </w:r>
            <w:proofErr w:type="spellEnd"/>
            <w:r w:rsidRPr="00E73D4B">
              <w:t xml:space="preserve"> </w:t>
            </w:r>
            <w:proofErr w:type="spellStart"/>
            <w:r w:rsidRPr="00E73D4B">
              <w:t>bilar</w:t>
            </w:r>
            <w:proofErr w:type="spellEnd"/>
            <w:r w:rsidRPr="00E73D4B">
              <w:t xml:space="preserve"> i </w:t>
            </w:r>
            <w:proofErr w:type="spellStart"/>
            <w:r w:rsidRPr="00E73D4B">
              <w:t>bomringane</w:t>
            </w:r>
            <w:proofErr w:type="spellEnd"/>
          </w:p>
        </w:tc>
        <w:tc>
          <w:tcPr>
            <w:tcW w:w="1465" w:type="dxa"/>
            <w:tcBorders>
              <w:top w:val="nil"/>
              <w:left w:val="nil"/>
              <w:bottom w:val="nil"/>
              <w:right w:val="nil"/>
            </w:tcBorders>
            <w:tcMar>
              <w:top w:w="128" w:type="dxa"/>
              <w:left w:w="43" w:type="dxa"/>
              <w:bottom w:w="43" w:type="dxa"/>
              <w:right w:w="43" w:type="dxa"/>
            </w:tcMar>
          </w:tcPr>
          <w:p w14:paraId="0FE015CF" w14:textId="77777777" w:rsidR="00972395" w:rsidRPr="00E73D4B" w:rsidRDefault="00F120C7" w:rsidP="004A107D">
            <w:pPr>
              <w:jc w:val="right"/>
            </w:pPr>
            <w:r w:rsidRPr="00E73D4B">
              <w:t>Ja</w:t>
            </w:r>
          </w:p>
        </w:tc>
      </w:tr>
      <w:tr w:rsidR="00972395" w:rsidRPr="00E73D4B" w14:paraId="79BDCB69"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0C5F0A45"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3519A1D4" w14:textId="77777777" w:rsidR="00972395" w:rsidRPr="00E73D4B" w:rsidRDefault="00F120C7" w:rsidP="004A107D">
            <w:pPr>
              <w:jc w:val="right"/>
            </w:pPr>
            <w:r w:rsidRPr="00E73D4B">
              <w:t>35</w:t>
            </w:r>
          </w:p>
        </w:tc>
        <w:tc>
          <w:tcPr>
            <w:tcW w:w="992" w:type="dxa"/>
            <w:tcBorders>
              <w:top w:val="nil"/>
              <w:left w:val="nil"/>
              <w:bottom w:val="nil"/>
              <w:right w:val="nil"/>
            </w:tcBorders>
            <w:tcMar>
              <w:top w:w="128" w:type="dxa"/>
              <w:left w:w="43" w:type="dxa"/>
              <w:bottom w:w="43" w:type="dxa"/>
              <w:right w:w="43" w:type="dxa"/>
            </w:tcMar>
          </w:tcPr>
          <w:p w14:paraId="336214AA" w14:textId="77777777" w:rsidR="00972395" w:rsidRPr="00E73D4B" w:rsidRDefault="00F120C7" w:rsidP="004A107D">
            <w:pPr>
              <w:jc w:val="right"/>
            </w:pPr>
            <w:r w:rsidRPr="00E73D4B">
              <w:t>14</w:t>
            </w:r>
          </w:p>
        </w:tc>
        <w:tc>
          <w:tcPr>
            <w:tcW w:w="4012" w:type="dxa"/>
            <w:tcBorders>
              <w:top w:val="nil"/>
              <w:left w:val="nil"/>
              <w:bottom w:val="nil"/>
              <w:right w:val="nil"/>
            </w:tcBorders>
            <w:tcMar>
              <w:top w:w="128" w:type="dxa"/>
              <w:left w:w="43" w:type="dxa"/>
              <w:bottom w:w="43" w:type="dxa"/>
              <w:right w:w="43" w:type="dxa"/>
            </w:tcMar>
          </w:tcPr>
          <w:p w14:paraId="54BF7EA5" w14:textId="77777777" w:rsidR="00972395" w:rsidRPr="00E73D4B" w:rsidRDefault="00F120C7" w:rsidP="004A107D">
            <w:r w:rsidRPr="00E73D4B">
              <w:t xml:space="preserve">Etablere nasjonal ordning med miljørabatt for el-varebil ved </w:t>
            </w:r>
            <w:proofErr w:type="spellStart"/>
            <w:r w:rsidRPr="00E73D4B">
              <w:t>bompasseringar</w:t>
            </w:r>
            <w:proofErr w:type="spellEnd"/>
          </w:p>
        </w:tc>
        <w:tc>
          <w:tcPr>
            <w:tcW w:w="1465" w:type="dxa"/>
            <w:tcBorders>
              <w:top w:val="nil"/>
              <w:left w:val="nil"/>
              <w:bottom w:val="nil"/>
              <w:right w:val="nil"/>
            </w:tcBorders>
            <w:tcMar>
              <w:top w:w="128" w:type="dxa"/>
              <w:left w:w="43" w:type="dxa"/>
              <w:bottom w:w="43" w:type="dxa"/>
              <w:right w:w="43" w:type="dxa"/>
            </w:tcMar>
          </w:tcPr>
          <w:p w14:paraId="516A6552" w14:textId="77777777" w:rsidR="00972395" w:rsidRPr="00E73D4B" w:rsidRDefault="00F120C7" w:rsidP="004A107D">
            <w:pPr>
              <w:jc w:val="right"/>
            </w:pPr>
            <w:r w:rsidRPr="00E73D4B">
              <w:t>Nei</w:t>
            </w:r>
          </w:p>
        </w:tc>
      </w:tr>
      <w:tr w:rsidR="00972395" w:rsidRPr="00E73D4B" w14:paraId="5B82699C"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01316612"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F257BCE" w14:textId="77777777" w:rsidR="00972395" w:rsidRPr="00E73D4B" w:rsidRDefault="00F120C7" w:rsidP="004A107D">
            <w:pPr>
              <w:jc w:val="right"/>
            </w:pPr>
            <w:r w:rsidRPr="00E73D4B">
              <w:t>35</w:t>
            </w:r>
          </w:p>
        </w:tc>
        <w:tc>
          <w:tcPr>
            <w:tcW w:w="992" w:type="dxa"/>
            <w:tcBorders>
              <w:top w:val="nil"/>
              <w:left w:val="nil"/>
              <w:bottom w:val="nil"/>
              <w:right w:val="nil"/>
            </w:tcBorders>
            <w:tcMar>
              <w:top w:w="128" w:type="dxa"/>
              <w:left w:w="43" w:type="dxa"/>
              <w:bottom w:w="43" w:type="dxa"/>
              <w:right w:w="43" w:type="dxa"/>
            </w:tcMar>
          </w:tcPr>
          <w:p w14:paraId="3C0B81AD" w14:textId="77777777" w:rsidR="00972395" w:rsidRPr="00E73D4B" w:rsidRDefault="00F120C7" w:rsidP="004A107D">
            <w:pPr>
              <w:jc w:val="right"/>
            </w:pPr>
            <w:r w:rsidRPr="00E73D4B">
              <w:t>19</w:t>
            </w:r>
          </w:p>
        </w:tc>
        <w:tc>
          <w:tcPr>
            <w:tcW w:w="4012" w:type="dxa"/>
            <w:tcBorders>
              <w:top w:val="nil"/>
              <w:left w:val="nil"/>
              <w:bottom w:val="nil"/>
              <w:right w:val="nil"/>
            </w:tcBorders>
            <w:tcMar>
              <w:top w:w="128" w:type="dxa"/>
              <w:left w:w="43" w:type="dxa"/>
              <w:bottom w:w="43" w:type="dxa"/>
              <w:right w:w="43" w:type="dxa"/>
            </w:tcMar>
          </w:tcPr>
          <w:p w14:paraId="207AA81C" w14:textId="77777777" w:rsidR="00972395" w:rsidRPr="00E73D4B" w:rsidRDefault="00F120C7" w:rsidP="004A107D">
            <w:r w:rsidRPr="00E73D4B">
              <w:t xml:space="preserve">Verknader på klimagassutslepp av </w:t>
            </w:r>
            <w:proofErr w:type="spellStart"/>
            <w:r w:rsidRPr="00E73D4B">
              <w:t>investeringar</w:t>
            </w:r>
            <w:proofErr w:type="spellEnd"/>
            <w:r w:rsidRPr="00E73D4B">
              <w:t xml:space="preserve"> på veg og jernbane</w:t>
            </w:r>
          </w:p>
        </w:tc>
        <w:tc>
          <w:tcPr>
            <w:tcW w:w="1465" w:type="dxa"/>
            <w:tcBorders>
              <w:top w:val="nil"/>
              <w:left w:val="nil"/>
              <w:bottom w:val="nil"/>
              <w:right w:val="nil"/>
            </w:tcBorders>
            <w:tcMar>
              <w:top w:w="128" w:type="dxa"/>
              <w:left w:w="43" w:type="dxa"/>
              <w:bottom w:w="43" w:type="dxa"/>
              <w:right w:w="43" w:type="dxa"/>
            </w:tcMar>
          </w:tcPr>
          <w:p w14:paraId="1C9000FB" w14:textId="77777777" w:rsidR="00972395" w:rsidRPr="00E73D4B" w:rsidRDefault="00F120C7" w:rsidP="004A107D">
            <w:pPr>
              <w:jc w:val="right"/>
            </w:pPr>
            <w:r w:rsidRPr="00E73D4B">
              <w:t>Ja</w:t>
            </w:r>
          </w:p>
        </w:tc>
      </w:tr>
      <w:tr w:rsidR="00972395" w:rsidRPr="00E73D4B" w14:paraId="2AE12C2F"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351A6A00"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1616428" w14:textId="77777777" w:rsidR="00972395" w:rsidRPr="00E73D4B" w:rsidRDefault="00F120C7" w:rsidP="004A107D">
            <w:pPr>
              <w:jc w:val="right"/>
            </w:pPr>
            <w:r w:rsidRPr="00E73D4B">
              <w:t>35</w:t>
            </w:r>
          </w:p>
        </w:tc>
        <w:tc>
          <w:tcPr>
            <w:tcW w:w="992" w:type="dxa"/>
            <w:tcBorders>
              <w:top w:val="nil"/>
              <w:left w:val="nil"/>
              <w:bottom w:val="nil"/>
              <w:right w:val="nil"/>
            </w:tcBorders>
            <w:tcMar>
              <w:top w:w="128" w:type="dxa"/>
              <w:left w:w="43" w:type="dxa"/>
              <w:bottom w:w="43" w:type="dxa"/>
              <w:right w:w="43" w:type="dxa"/>
            </w:tcMar>
          </w:tcPr>
          <w:p w14:paraId="204C2A6D" w14:textId="77777777" w:rsidR="00972395" w:rsidRPr="00E73D4B" w:rsidRDefault="00F120C7" w:rsidP="004A107D">
            <w:pPr>
              <w:jc w:val="right"/>
            </w:pPr>
            <w:r w:rsidRPr="00E73D4B">
              <w:t>21</w:t>
            </w:r>
          </w:p>
        </w:tc>
        <w:tc>
          <w:tcPr>
            <w:tcW w:w="4012" w:type="dxa"/>
            <w:tcBorders>
              <w:top w:val="nil"/>
              <w:left w:val="nil"/>
              <w:bottom w:val="nil"/>
              <w:right w:val="nil"/>
            </w:tcBorders>
            <w:tcMar>
              <w:top w:w="128" w:type="dxa"/>
              <w:left w:w="43" w:type="dxa"/>
              <w:bottom w:w="43" w:type="dxa"/>
              <w:right w:w="43" w:type="dxa"/>
            </w:tcMar>
          </w:tcPr>
          <w:p w14:paraId="25044D8C" w14:textId="77777777" w:rsidR="00972395" w:rsidRPr="00E73D4B" w:rsidRDefault="00F120C7" w:rsidP="004A107D">
            <w:r w:rsidRPr="00E73D4B">
              <w:t xml:space="preserve">Bruke handlingsrommet i </w:t>
            </w:r>
            <w:proofErr w:type="spellStart"/>
            <w:r w:rsidRPr="00E73D4B">
              <w:t>vegnormalane</w:t>
            </w:r>
            <w:proofErr w:type="spellEnd"/>
          </w:p>
        </w:tc>
        <w:tc>
          <w:tcPr>
            <w:tcW w:w="1465" w:type="dxa"/>
            <w:tcBorders>
              <w:top w:val="nil"/>
              <w:left w:val="nil"/>
              <w:bottom w:val="nil"/>
              <w:right w:val="nil"/>
            </w:tcBorders>
            <w:tcMar>
              <w:top w:w="128" w:type="dxa"/>
              <w:left w:w="43" w:type="dxa"/>
              <w:bottom w:w="43" w:type="dxa"/>
              <w:right w:w="43" w:type="dxa"/>
            </w:tcMar>
          </w:tcPr>
          <w:p w14:paraId="311FC54F" w14:textId="77777777" w:rsidR="00972395" w:rsidRPr="00E73D4B" w:rsidRDefault="00F120C7" w:rsidP="004A107D">
            <w:pPr>
              <w:jc w:val="right"/>
            </w:pPr>
            <w:r w:rsidRPr="00E73D4B">
              <w:t>Ja</w:t>
            </w:r>
          </w:p>
        </w:tc>
      </w:tr>
      <w:tr w:rsidR="00972395" w:rsidRPr="00E73D4B" w14:paraId="5FB06271"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1B68E1AA"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21A60163" w14:textId="77777777" w:rsidR="00972395" w:rsidRPr="00E73D4B" w:rsidRDefault="00F120C7" w:rsidP="004A107D">
            <w:pPr>
              <w:jc w:val="right"/>
            </w:pPr>
            <w:r w:rsidRPr="00E73D4B">
              <w:t>35</w:t>
            </w:r>
          </w:p>
        </w:tc>
        <w:tc>
          <w:tcPr>
            <w:tcW w:w="992" w:type="dxa"/>
            <w:tcBorders>
              <w:top w:val="nil"/>
              <w:left w:val="nil"/>
              <w:bottom w:val="nil"/>
              <w:right w:val="nil"/>
            </w:tcBorders>
            <w:tcMar>
              <w:top w:w="128" w:type="dxa"/>
              <w:left w:w="43" w:type="dxa"/>
              <w:bottom w:w="43" w:type="dxa"/>
              <w:right w:w="43" w:type="dxa"/>
            </w:tcMar>
          </w:tcPr>
          <w:p w14:paraId="78900981" w14:textId="77777777" w:rsidR="00972395" w:rsidRPr="00E73D4B" w:rsidRDefault="00F120C7" w:rsidP="004A107D">
            <w:pPr>
              <w:jc w:val="right"/>
            </w:pPr>
            <w:r w:rsidRPr="00E73D4B">
              <w:t>22</w:t>
            </w:r>
          </w:p>
        </w:tc>
        <w:tc>
          <w:tcPr>
            <w:tcW w:w="4012" w:type="dxa"/>
            <w:tcBorders>
              <w:top w:val="nil"/>
              <w:left w:val="nil"/>
              <w:bottom w:val="nil"/>
              <w:right w:val="nil"/>
            </w:tcBorders>
            <w:tcMar>
              <w:top w:w="128" w:type="dxa"/>
              <w:left w:w="43" w:type="dxa"/>
              <w:bottom w:w="43" w:type="dxa"/>
              <w:right w:w="43" w:type="dxa"/>
            </w:tcMar>
          </w:tcPr>
          <w:p w14:paraId="48C99233" w14:textId="77777777" w:rsidR="00972395" w:rsidRPr="00E73D4B" w:rsidRDefault="00F120C7" w:rsidP="004A107D">
            <w:r w:rsidRPr="00E73D4B">
              <w:t xml:space="preserve">Redusere støy- og </w:t>
            </w:r>
            <w:proofErr w:type="spellStart"/>
            <w:r w:rsidRPr="00E73D4B">
              <w:t>forureiningsbelastinga</w:t>
            </w:r>
            <w:proofErr w:type="spellEnd"/>
            <w:r w:rsidRPr="00E73D4B">
              <w:t xml:space="preserve"> for </w:t>
            </w:r>
            <w:proofErr w:type="spellStart"/>
            <w:r w:rsidRPr="00E73D4B">
              <w:t>bebuarar</w:t>
            </w:r>
            <w:proofErr w:type="spellEnd"/>
            <w:r w:rsidRPr="00E73D4B">
              <w:t xml:space="preserve"> langs rv. 4 mellom Sinsen og Grorud</w:t>
            </w:r>
          </w:p>
        </w:tc>
        <w:tc>
          <w:tcPr>
            <w:tcW w:w="1465" w:type="dxa"/>
            <w:tcBorders>
              <w:top w:val="nil"/>
              <w:left w:val="nil"/>
              <w:bottom w:val="nil"/>
              <w:right w:val="nil"/>
            </w:tcBorders>
            <w:tcMar>
              <w:top w:w="128" w:type="dxa"/>
              <w:left w:w="43" w:type="dxa"/>
              <w:bottom w:w="43" w:type="dxa"/>
              <w:right w:w="43" w:type="dxa"/>
            </w:tcMar>
          </w:tcPr>
          <w:p w14:paraId="77FA7D93" w14:textId="77777777" w:rsidR="00972395" w:rsidRPr="00E73D4B" w:rsidRDefault="00F120C7" w:rsidP="004A107D">
            <w:pPr>
              <w:jc w:val="right"/>
            </w:pPr>
            <w:r w:rsidRPr="00E73D4B">
              <w:t>Ja</w:t>
            </w:r>
          </w:p>
        </w:tc>
      </w:tr>
      <w:tr w:rsidR="00972395" w:rsidRPr="00E73D4B" w14:paraId="168DA001" w14:textId="77777777" w:rsidTr="0076431D">
        <w:trPr>
          <w:trHeight w:val="880"/>
        </w:trPr>
        <w:tc>
          <w:tcPr>
            <w:tcW w:w="1375" w:type="dxa"/>
            <w:tcBorders>
              <w:top w:val="nil"/>
              <w:left w:val="nil"/>
              <w:bottom w:val="nil"/>
              <w:right w:val="nil"/>
            </w:tcBorders>
            <w:tcMar>
              <w:top w:w="128" w:type="dxa"/>
              <w:left w:w="43" w:type="dxa"/>
              <w:bottom w:w="43" w:type="dxa"/>
              <w:right w:w="43" w:type="dxa"/>
            </w:tcMar>
          </w:tcPr>
          <w:p w14:paraId="0CBD7494"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B2DF7FA" w14:textId="77777777" w:rsidR="00972395" w:rsidRPr="00E73D4B" w:rsidRDefault="00F120C7" w:rsidP="004A107D">
            <w:pPr>
              <w:jc w:val="right"/>
            </w:pPr>
            <w:r w:rsidRPr="00E73D4B">
              <w:t>35</w:t>
            </w:r>
          </w:p>
        </w:tc>
        <w:tc>
          <w:tcPr>
            <w:tcW w:w="992" w:type="dxa"/>
            <w:tcBorders>
              <w:top w:val="nil"/>
              <w:left w:val="nil"/>
              <w:bottom w:val="nil"/>
              <w:right w:val="nil"/>
            </w:tcBorders>
            <w:tcMar>
              <w:top w:w="128" w:type="dxa"/>
              <w:left w:w="43" w:type="dxa"/>
              <w:bottom w:w="43" w:type="dxa"/>
              <w:right w:w="43" w:type="dxa"/>
            </w:tcMar>
          </w:tcPr>
          <w:p w14:paraId="0D8F2417" w14:textId="77777777" w:rsidR="00972395" w:rsidRPr="00E73D4B" w:rsidRDefault="00F120C7" w:rsidP="004A107D">
            <w:pPr>
              <w:jc w:val="right"/>
            </w:pPr>
            <w:r w:rsidRPr="00E73D4B">
              <w:t>23</w:t>
            </w:r>
          </w:p>
        </w:tc>
        <w:tc>
          <w:tcPr>
            <w:tcW w:w="4012" w:type="dxa"/>
            <w:tcBorders>
              <w:top w:val="nil"/>
              <w:left w:val="nil"/>
              <w:bottom w:val="nil"/>
              <w:right w:val="nil"/>
            </w:tcBorders>
            <w:tcMar>
              <w:top w:w="128" w:type="dxa"/>
              <w:left w:w="43" w:type="dxa"/>
              <w:bottom w:w="43" w:type="dxa"/>
              <w:right w:w="43" w:type="dxa"/>
            </w:tcMar>
          </w:tcPr>
          <w:p w14:paraId="476839E8" w14:textId="77777777" w:rsidR="00972395" w:rsidRPr="00E73D4B" w:rsidRDefault="00F120C7" w:rsidP="004A107D">
            <w:r w:rsidRPr="00E73D4B">
              <w:t xml:space="preserve">Vurdere </w:t>
            </w:r>
            <w:proofErr w:type="spellStart"/>
            <w:r w:rsidRPr="00E73D4B">
              <w:t>vegporteføljen</w:t>
            </w:r>
            <w:proofErr w:type="spellEnd"/>
            <w:r w:rsidRPr="00E73D4B">
              <w:t xml:space="preserve"> i Nasjonal transportplan for effektiv gjennomføring og oppfølging av klimamåla og vurdere </w:t>
            </w:r>
            <w:proofErr w:type="spellStart"/>
            <w:r w:rsidRPr="00E73D4B">
              <w:t>vegnormalane</w:t>
            </w:r>
            <w:proofErr w:type="spellEnd"/>
          </w:p>
        </w:tc>
        <w:tc>
          <w:tcPr>
            <w:tcW w:w="1465" w:type="dxa"/>
            <w:tcBorders>
              <w:top w:val="nil"/>
              <w:left w:val="nil"/>
              <w:bottom w:val="nil"/>
              <w:right w:val="nil"/>
            </w:tcBorders>
            <w:tcMar>
              <w:top w:w="128" w:type="dxa"/>
              <w:left w:w="43" w:type="dxa"/>
              <w:bottom w:w="43" w:type="dxa"/>
              <w:right w:w="43" w:type="dxa"/>
            </w:tcMar>
          </w:tcPr>
          <w:p w14:paraId="048251ED" w14:textId="77777777" w:rsidR="00972395" w:rsidRPr="00E73D4B" w:rsidRDefault="00F120C7" w:rsidP="004A107D">
            <w:pPr>
              <w:jc w:val="right"/>
            </w:pPr>
            <w:r w:rsidRPr="00E73D4B">
              <w:t>Ja</w:t>
            </w:r>
          </w:p>
        </w:tc>
      </w:tr>
      <w:tr w:rsidR="00972395" w:rsidRPr="00E73D4B" w14:paraId="34132B12"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524014F6"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7F710FF5" w14:textId="77777777" w:rsidR="00972395" w:rsidRPr="00E73D4B" w:rsidRDefault="00F120C7" w:rsidP="004A107D">
            <w:pPr>
              <w:jc w:val="right"/>
            </w:pPr>
            <w:r w:rsidRPr="00E73D4B">
              <w:t>35</w:t>
            </w:r>
          </w:p>
        </w:tc>
        <w:tc>
          <w:tcPr>
            <w:tcW w:w="992" w:type="dxa"/>
            <w:tcBorders>
              <w:top w:val="nil"/>
              <w:left w:val="nil"/>
              <w:bottom w:val="nil"/>
              <w:right w:val="nil"/>
            </w:tcBorders>
            <w:tcMar>
              <w:top w:w="128" w:type="dxa"/>
              <w:left w:w="43" w:type="dxa"/>
              <w:bottom w:w="43" w:type="dxa"/>
              <w:right w:w="43" w:type="dxa"/>
            </w:tcMar>
          </w:tcPr>
          <w:p w14:paraId="2F7E2E1B" w14:textId="77777777" w:rsidR="00972395" w:rsidRPr="00E73D4B" w:rsidRDefault="00F120C7" w:rsidP="004A107D">
            <w:pPr>
              <w:jc w:val="right"/>
            </w:pPr>
            <w:r w:rsidRPr="00E73D4B">
              <w:t>24</w:t>
            </w:r>
          </w:p>
        </w:tc>
        <w:tc>
          <w:tcPr>
            <w:tcW w:w="4012" w:type="dxa"/>
            <w:tcBorders>
              <w:top w:val="nil"/>
              <w:left w:val="nil"/>
              <w:bottom w:val="nil"/>
              <w:right w:val="nil"/>
            </w:tcBorders>
            <w:tcMar>
              <w:top w:w="128" w:type="dxa"/>
              <w:left w:w="43" w:type="dxa"/>
              <w:bottom w:w="43" w:type="dxa"/>
              <w:right w:w="43" w:type="dxa"/>
            </w:tcMar>
          </w:tcPr>
          <w:p w14:paraId="16BB7E47" w14:textId="77777777" w:rsidR="00972395" w:rsidRPr="00E73D4B" w:rsidRDefault="00F120C7" w:rsidP="004A107D">
            <w:r w:rsidRPr="00E73D4B">
              <w:t xml:space="preserve">Fullverdig </w:t>
            </w:r>
            <w:proofErr w:type="spellStart"/>
            <w:r w:rsidRPr="00E73D4B">
              <w:t>konseptvalutgreiing</w:t>
            </w:r>
            <w:proofErr w:type="spellEnd"/>
            <w:r w:rsidRPr="00E73D4B">
              <w:t xml:space="preserve"> for Nord-Norgebanen</w:t>
            </w:r>
          </w:p>
        </w:tc>
        <w:tc>
          <w:tcPr>
            <w:tcW w:w="1465" w:type="dxa"/>
            <w:tcBorders>
              <w:top w:val="nil"/>
              <w:left w:val="nil"/>
              <w:bottom w:val="nil"/>
              <w:right w:val="nil"/>
            </w:tcBorders>
            <w:tcMar>
              <w:top w:w="128" w:type="dxa"/>
              <w:left w:w="43" w:type="dxa"/>
              <w:bottom w:w="43" w:type="dxa"/>
              <w:right w:w="43" w:type="dxa"/>
            </w:tcMar>
          </w:tcPr>
          <w:p w14:paraId="31E833AC" w14:textId="77777777" w:rsidR="00972395" w:rsidRPr="00E73D4B" w:rsidRDefault="00F120C7" w:rsidP="004A107D">
            <w:pPr>
              <w:jc w:val="right"/>
            </w:pPr>
            <w:r w:rsidRPr="00E73D4B">
              <w:t>Ja</w:t>
            </w:r>
          </w:p>
        </w:tc>
      </w:tr>
      <w:tr w:rsidR="00972395" w:rsidRPr="00E73D4B" w14:paraId="6DD1D713"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5E68265B"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C946293" w14:textId="77777777" w:rsidR="00972395" w:rsidRPr="00E73D4B" w:rsidRDefault="00F120C7" w:rsidP="004A107D">
            <w:pPr>
              <w:jc w:val="right"/>
            </w:pPr>
            <w:r w:rsidRPr="00E73D4B">
              <w:t>361</w:t>
            </w:r>
          </w:p>
        </w:tc>
        <w:tc>
          <w:tcPr>
            <w:tcW w:w="992" w:type="dxa"/>
            <w:tcBorders>
              <w:top w:val="nil"/>
              <w:left w:val="nil"/>
              <w:bottom w:val="nil"/>
              <w:right w:val="nil"/>
            </w:tcBorders>
            <w:tcMar>
              <w:top w:w="128" w:type="dxa"/>
              <w:left w:w="43" w:type="dxa"/>
              <w:bottom w:w="43" w:type="dxa"/>
              <w:right w:w="43" w:type="dxa"/>
            </w:tcMar>
          </w:tcPr>
          <w:p w14:paraId="4396825C"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013DEEA" w14:textId="77777777" w:rsidR="00972395" w:rsidRPr="00E73D4B" w:rsidRDefault="00F120C7" w:rsidP="004A107D">
            <w:r w:rsidRPr="00E73D4B">
              <w:t>Vurdere passasjerutviklinga og den økonomiske situasjonen for kollektivselskapa</w:t>
            </w:r>
          </w:p>
        </w:tc>
        <w:tc>
          <w:tcPr>
            <w:tcW w:w="1465" w:type="dxa"/>
            <w:tcBorders>
              <w:top w:val="nil"/>
              <w:left w:val="nil"/>
              <w:bottom w:val="nil"/>
              <w:right w:val="nil"/>
            </w:tcBorders>
            <w:tcMar>
              <w:top w:w="128" w:type="dxa"/>
              <w:left w:w="43" w:type="dxa"/>
              <w:bottom w:w="43" w:type="dxa"/>
              <w:right w:w="43" w:type="dxa"/>
            </w:tcMar>
          </w:tcPr>
          <w:p w14:paraId="155B622B" w14:textId="77777777" w:rsidR="00972395" w:rsidRPr="00E73D4B" w:rsidRDefault="00F120C7" w:rsidP="004A107D">
            <w:pPr>
              <w:jc w:val="right"/>
            </w:pPr>
            <w:r w:rsidRPr="00E73D4B">
              <w:t>Ja</w:t>
            </w:r>
          </w:p>
        </w:tc>
      </w:tr>
      <w:tr w:rsidR="00972395" w:rsidRPr="00E73D4B" w14:paraId="6E45F656"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2634D807"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4504A00" w14:textId="77777777" w:rsidR="00972395" w:rsidRPr="00E73D4B" w:rsidRDefault="00F120C7" w:rsidP="004A107D">
            <w:pPr>
              <w:jc w:val="right"/>
            </w:pPr>
            <w:r w:rsidRPr="00E73D4B">
              <w:t>362</w:t>
            </w:r>
          </w:p>
        </w:tc>
        <w:tc>
          <w:tcPr>
            <w:tcW w:w="992" w:type="dxa"/>
            <w:tcBorders>
              <w:top w:val="nil"/>
              <w:left w:val="nil"/>
              <w:bottom w:val="nil"/>
              <w:right w:val="nil"/>
            </w:tcBorders>
            <w:tcMar>
              <w:top w:w="128" w:type="dxa"/>
              <w:left w:w="43" w:type="dxa"/>
              <w:bottom w:w="43" w:type="dxa"/>
              <w:right w:w="43" w:type="dxa"/>
            </w:tcMar>
          </w:tcPr>
          <w:p w14:paraId="2733CA74"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8EA7F90" w14:textId="77777777" w:rsidR="00972395" w:rsidRPr="00E73D4B" w:rsidRDefault="00F120C7" w:rsidP="004A107D">
            <w:proofErr w:type="spellStart"/>
            <w:r w:rsidRPr="00E73D4B">
              <w:t>Setje</w:t>
            </w:r>
            <w:proofErr w:type="spellEnd"/>
            <w:r w:rsidRPr="00E73D4B">
              <w:t xml:space="preserve"> mål om del </w:t>
            </w:r>
            <w:proofErr w:type="spellStart"/>
            <w:r w:rsidRPr="00E73D4B">
              <w:t>reisande</w:t>
            </w:r>
            <w:proofErr w:type="spellEnd"/>
            <w:r w:rsidRPr="00E73D4B">
              <w:t xml:space="preserve"> med kollektiv og jernbane </w:t>
            </w:r>
          </w:p>
        </w:tc>
        <w:tc>
          <w:tcPr>
            <w:tcW w:w="1465" w:type="dxa"/>
            <w:tcBorders>
              <w:top w:val="nil"/>
              <w:left w:val="nil"/>
              <w:bottom w:val="nil"/>
              <w:right w:val="nil"/>
            </w:tcBorders>
            <w:tcMar>
              <w:top w:w="128" w:type="dxa"/>
              <w:left w:w="43" w:type="dxa"/>
              <w:bottom w:w="43" w:type="dxa"/>
              <w:right w:w="43" w:type="dxa"/>
            </w:tcMar>
          </w:tcPr>
          <w:p w14:paraId="272C6C5D" w14:textId="77777777" w:rsidR="00972395" w:rsidRPr="00E73D4B" w:rsidRDefault="00F120C7" w:rsidP="004A107D">
            <w:pPr>
              <w:jc w:val="right"/>
            </w:pPr>
            <w:r w:rsidRPr="00E73D4B">
              <w:t>Ja</w:t>
            </w:r>
          </w:p>
        </w:tc>
      </w:tr>
      <w:tr w:rsidR="00972395" w:rsidRPr="00E73D4B" w14:paraId="3A14241A"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0D08372F"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0F39B5F5" w14:textId="77777777" w:rsidR="00972395" w:rsidRPr="00E73D4B" w:rsidRDefault="00F120C7" w:rsidP="004A107D">
            <w:pPr>
              <w:jc w:val="right"/>
            </w:pPr>
            <w:r w:rsidRPr="00E73D4B">
              <w:t>466</w:t>
            </w:r>
          </w:p>
        </w:tc>
        <w:tc>
          <w:tcPr>
            <w:tcW w:w="992" w:type="dxa"/>
            <w:tcBorders>
              <w:top w:val="nil"/>
              <w:left w:val="nil"/>
              <w:bottom w:val="nil"/>
              <w:right w:val="nil"/>
            </w:tcBorders>
            <w:tcMar>
              <w:top w:w="128" w:type="dxa"/>
              <w:left w:w="43" w:type="dxa"/>
              <w:bottom w:w="43" w:type="dxa"/>
              <w:right w:w="43" w:type="dxa"/>
            </w:tcMar>
          </w:tcPr>
          <w:p w14:paraId="34062E1A"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6C237AD4" w14:textId="77777777" w:rsidR="00972395" w:rsidRPr="00E73D4B" w:rsidRDefault="00F120C7" w:rsidP="004A107D">
            <w:r w:rsidRPr="00E73D4B">
              <w:t>Følgje opp skredfaktormodellen og vurdere alle relevante prosjekt på to sikringsnivå</w:t>
            </w:r>
          </w:p>
        </w:tc>
        <w:tc>
          <w:tcPr>
            <w:tcW w:w="1465" w:type="dxa"/>
            <w:tcBorders>
              <w:top w:val="nil"/>
              <w:left w:val="nil"/>
              <w:bottom w:val="nil"/>
              <w:right w:val="nil"/>
            </w:tcBorders>
            <w:tcMar>
              <w:top w:w="128" w:type="dxa"/>
              <w:left w:w="43" w:type="dxa"/>
              <w:bottom w:w="43" w:type="dxa"/>
              <w:right w:w="43" w:type="dxa"/>
            </w:tcMar>
          </w:tcPr>
          <w:p w14:paraId="282BF99F" w14:textId="77777777" w:rsidR="00972395" w:rsidRPr="00E73D4B" w:rsidRDefault="00F120C7" w:rsidP="004A107D">
            <w:pPr>
              <w:jc w:val="right"/>
            </w:pPr>
            <w:r w:rsidRPr="00E73D4B">
              <w:t>Ja</w:t>
            </w:r>
          </w:p>
        </w:tc>
      </w:tr>
      <w:tr w:rsidR="00972395" w:rsidRPr="00E73D4B" w14:paraId="03888C61"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31B9BD08"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3D95AF9A" w14:textId="77777777" w:rsidR="00972395" w:rsidRPr="00E73D4B" w:rsidRDefault="00F120C7" w:rsidP="004A107D">
            <w:pPr>
              <w:jc w:val="right"/>
            </w:pPr>
            <w:r w:rsidRPr="00E73D4B">
              <w:t>467</w:t>
            </w:r>
          </w:p>
        </w:tc>
        <w:tc>
          <w:tcPr>
            <w:tcW w:w="992" w:type="dxa"/>
            <w:tcBorders>
              <w:top w:val="nil"/>
              <w:left w:val="nil"/>
              <w:bottom w:val="nil"/>
              <w:right w:val="nil"/>
            </w:tcBorders>
            <w:tcMar>
              <w:top w:w="128" w:type="dxa"/>
              <w:left w:w="43" w:type="dxa"/>
              <w:bottom w:w="43" w:type="dxa"/>
              <w:right w:w="43" w:type="dxa"/>
            </w:tcMar>
          </w:tcPr>
          <w:p w14:paraId="327E7CAA"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398157CE" w14:textId="77777777" w:rsidR="00972395" w:rsidRPr="00E73D4B" w:rsidRDefault="00F120C7" w:rsidP="004A107D">
            <w:r w:rsidRPr="00E73D4B">
              <w:t>Innovasjonsprogram for skredsikring</w:t>
            </w:r>
          </w:p>
        </w:tc>
        <w:tc>
          <w:tcPr>
            <w:tcW w:w="1465" w:type="dxa"/>
            <w:tcBorders>
              <w:top w:val="nil"/>
              <w:left w:val="nil"/>
              <w:bottom w:val="nil"/>
              <w:right w:val="nil"/>
            </w:tcBorders>
            <w:tcMar>
              <w:top w:w="128" w:type="dxa"/>
              <w:left w:w="43" w:type="dxa"/>
              <w:bottom w:w="43" w:type="dxa"/>
              <w:right w:w="43" w:type="dxa"/>
            </w:tcMar>
          </w:tcPr>
          <w:p w14:paraId="32124FB4" w14:textId="77777777" w:rsidR="00972395" w:rsidRPr="00E73D4B" w:rsidRDefault="00F120C7" w:rsidP="004A107D">
            <w:pPr>
              <w:jc w:val="right"/>
            </w:pPr>
            <w:r w:rsidRPr="00E73D4B">
              <w:t>Nei</w:t>
            </w:r>
          </w:p>
        </w:tc>
      </w:tr>
      <w:tr w:rsidR="00972395" w:rsidRPr="00E73D4B" w14:paraId="1E84A0AD"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287E0C81"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06B26B3C" w14:textId="77777777" w:rsidR="00972395" w:rsidRPr="00E73D4B" w:rsidRDefault="00F120C7" w:rsidP="004A107D">
            <w:pPr>
              <w:jc w:val="right"/>
            </w:pPr>
            <w:r w:rsidRPr="00E73D4B">
              <w:t>468</w:t>
            </w:r>
          </w:p>
        </w:tc>
        <w:tc>
          <w:tcPr>
            <w:tcW w:w="992" w:type="dxa"/>
            <w:tcBorders>
              <w:top w:val="nil"/>
              <w:left w:val="nil"/>
              <w:bottom w:val="nil"/>
              <w:right w:val="nil"/>
            </w:tcBorders>
            <w:tcMar>
              <w:top w:w="128" w:type="dxa"/>
              <w:left w:w="43" w:type="dxa"/>
              <w:bottom w:w="43" w:type="dxa"/>
              <w:right w:w="43" w:type="dxa"/>
            </w:tcMar>
          </w:tcPr>
          <w:p w14:paraId="05C8A362"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7D309E1F" w14:textId="77777777" w:rsidR="00972395" w:rsidRPr="00E73D4B" w:rsidRDefault="00F120C7" w:rsidP="004A107D">
            <w:r w:rsidRPr="00E73D4B">
              <w:t xml:space="preserve">Om dagens </w:t>
            </w:r>
            <w:proofErr w:type="spellStart"/>
            <w:r w:rsidRPr="00E73D4B">
              <w:t>driftskontraktar</w:t>
            </w:r>
            <w:proofErr w:type="spellEnd"/>
            <w:r w:rsidRPr="00E73D4B">
              <w:t xml:space="preserve"> for </w:t>
            </w:r>
            <w:proofErr w:type="spellStart"/>
            <w:r w:rsidRPr="00E73D4B">
              <w:t>vegvedlikehald</w:t>
            </w:r>
            <w:proofErr w:type="spellEnd"/>
            <w:r w:rsidRPr="00E73D4B">
              <w:t xml:space="preserve"> er </w:t>
            </w:r>
            <w:proofErr w:type="gramStart"/>
            <w:r w:rsidRPr="00E73D4B">
              <w:t>optimale</w:t>
            </w:r>
            <w:proofErr w:type="gramEnd"/>
          </w:p>
        </w:tc>
        <w:tc>
          <w:tcPr>
            <w:tcW w:w="1465" w:type="dxa"/>
            <w:tcBorders>
              <w:top w:val="nil"/>
              <w:left w:val="nil"/>
              <w:bottom w:val="nil"/>
              <w:right w:val="nil"/>
            </w:tcBorders>
            <w:tcMar>
              <w:top w:w="128" w:type="dxa"/>
              <w:left w:w="43" w:type="dxa"/>
              <w:bottom w:w="43" w:type="dxa"/>
              <w:right w:w="43" w:type="dxa"/>
            </w:tcMar>
          </w:tcPr>
          <w:p w14:paraId="4D2EFBF4" w14:textId="77777777" w:rsidR="00972395" w:rsidRPr="00E73D4B" w:rsidRDefault="00F120C7" w:rsidP="004A107D">
            <w:pPr>
              <w:jc w:val="right"/>
            </w:pPr>
            <w:r w:rsidRPr="00E73D4B">
              <w:t>Ja</w:t>
            </w:r>
          </w:p>
        </w:tc>
      </w:tr>
      <w:tr w:rsidR="00972395" w:rsidRPr="00E73D4B" w14:paraId="4C290416"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6114C8F0"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756D92F3" w14:textId="77777777" w:rsidR="00972395" w:rsidRPr="00E73D4B" w:rsidRDefault="00F120C7" w:rsidP="004A107D">
            <w:pPr>
              <w:jc w:val="right"/>
            </w:pPr>
            <w:r w:rsidRPr="00E73D4B">
              <w:t>469</w:t>
            </w:r>
          </w:p>
        </w:tc>
        <w:tc>
          <w:tcPr>
            <w:tcW w:w="992" w:type="dxa"/>
            <w:tcBorders>
              <w:top w:val="nil"/>
              <w:left w:val="nil"/>
              <w:bottom w:val="nil"/>
              <w:right w:val="nil"/>
            </w:tcBorders>
            <w:tcMar>
              <w:top w:w="128" w:type="dxa"/>
              <w:left w:w="43" w:type="dxa"/>
              <w:bottom w:w="43" w:type="dxa"/>
              <w:right w:w="43" w:type="dxa"/>
            </w:tcMar>
          </w:tcPr>
          <w:p w14:paraId="07AB6679"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5586DC8A" w14:textId="77777777" w:rsidR="00972395" w:rsidRPr="00E73D4B" w:rsidRDefault="00F120C7" w:rsidP="004A107D">
            <w:proofErr w:type="spellStart"/>
            <w:r w:rsidRPr="00E73D4B">
              <w:t>Insentivordning</w:t>
            </w:r>
            <w:proofErr w:type="spellEnd"/>
            <w:r w:rsidRPr="00E73D4B">
              <w:t xml:space="preserve"> for </w:t>
            </w:r>
            <w:proofErr w:type="spellStart"/>
            <w:r w:rsidRPr="00E73D4B">
              <w:t>førebyggjande</w:t>
            </w:r>
            <w:proofErr w:type="spellEnd"/>
            <w:r w:rsidRPr="00E73D4B">
              <w:t xml:space="preserve"> skredkontrollanlegg og varslingssystem</w:t>
            </w:r>
          </w:p>
        </w:tc>
        <w:tc>
          <w:tcPr>
            <w:tcW w:w="1465" w:type="dxa"/>
            <w:tcBorders>
              <w:top w:val="nil"/>
              <w:left w:val="nil"/>
              <w:bottom w:val="nil"/>
              <w:right w:val="nil"/>
            </w:tcBorders>
            <w:tcMar>
              <w:top w:w="128" w:type="dxa"/>
              <w:left w:w="43" w:type="dxa"/>
              <w:bottom w:w="43" w:type="dxa"/>
              <w:right w:w="43" w:type="dxa"/>
            </w:tcMar>
          </w:tcPr>
          <w:p w14:paraId="31C776E5" w14:textId="77777777" w:rsidR="00972395" w:rsidRPr="00E73D4B" w:rsidRDefault="00F120C7" w:rsidP="004A107D">
            <w:pPr>
              <w:jc w:val="right"/>
            </w:pPr>
            <w:r w:rsidRPr="00E73D4B">
              <w:t>Nei</w:t>
            </w:r>
          </w:p>
        </w:tc>
      </w:tr>
      <w:tr w:rsidR="00972395" w:rsidRPr="00E73D4B" w14:paraId="48F9DFD5"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5C8E921D"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64883F5F" w14:textId="77777777" w:rsidR="00972395" w:rsidRPr="00E73D4B" w:rsidRDefault="00F120C7" w:rsidP="004A107D">
            <w:pPr>
              <w:jc w:val="right"/>
            </w:pPr>
            <w:r w:rsidRPr="00E73D4B">
              <w:t>470</w:t>
            </w:r>
          </w:p>
        </w:tc>
        <w:tc>
          <w:tcPr>
            <w:tcW w:w="992" w:type="dxa"/>
            <w:tcBorders>
              <w:top w:val="nil"/>
              <w:left w:val="nil"/>
              <w:bottom w:val="nil"/>
              <w:right w:val="nil"/>
            </w:tcBorders>
            <w:tcMar>
              <w:top w:w="128" w:type="dxa"/>
              <w:left w:w="43" w:type="dxa"/>
              <w:bottom w:w="43" w:type="dxa"/>
              <w:right w:w="43" w:type="dxa"/>
            </w:tcMar>
          </w:tcPr>
          <w:p w14:paraId="59F3FB5F"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7FFF5FDF" w14:textId="77777777" w:rsidR="00972395" w:rsidRPr="00E73D4B" w:rsidRDefault="00F120C7" w:rsidP="004A107D">
            <w:proofErr w:type="spellStart"/>
            <w:r w:rsidRPr="00E73D4B">
              <w:t>Heilskaplege</w:t>
            </w:r>
            <w:proofErr w:type="spellEnd"/>
            <w:r w:rsidRPr="00E73D4B">
              <w:t xml:space="preserve"> nasjonale ras- og skredsikringsplanar for riks- og fylkesvegnettet</w:t>
            </w:r>
          </w:p>
        </w:tc>
        <w:tc>
          <w:tcPr>
            <w:tcW w:w="1465" w:type="dxa"/>
            <w:tcBorders>
              <w:top w:val="nil"/>
              <w:left w:val="nil"/>
              <w:bottom w:val="nil"/>
              <w:right w:val="nil"/>
            </w:tcBorders>
            <w:tcMar>
              <w:top w:w="128" w:type="dxa"/>
              <w:left w:w="43" w:type="dxa"/>
              <w:bottom w:w="43" w:type="dxa"/>
              <w:right w:w="43" w:type="dxa"/>
            </w:tcMar>
          </w:tcPr>
          <w:p w14:paraId="030DF197" w14:textId="77777777" w:rsidR="00972395" w:rsidRPr="00E73D4B" w:rsidRDefault="00F120C7" w:rsidP="004A107D">
            <w:pPr>
              <w:jc w:val="right"/>
            </w:pPr>
            <w:r w:rsidRPr="00E73D4B">
              <w:t>Nei</w:t>
            </w:r>
          </w:p>
        </w:tc>
      </w:tr>
      <w:tr w:rsidR="00972395" w:rsidRPr="00E73D4B" w14:paraId="75C11C7A"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350CCE24"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474D0ACD" w14:textId="77777777" w:rsidR="00972395" w:rsidRPr="00E73D4B" w:rsidRDefault="00F120C7" w:rsidP="004A107D">
            <w:pPr>
              <w:jc w:val="right"/>
            </w:pPr>
            <w:r w:rsidRPr="00E73D4B">
              <w:t>541</w:t>
            </w:r>
          </w:p>
        </w:tc>
        <w:tc>
          <w:tcPr>
            <w:tcW w:w="992" w:type="dxa"/>
            <w:tcBorders>
              <w:top w:val="nil"/>
              <w:left w:val="nil"/>
              <w:bottom w:val="nil"/>
              <w:right w:val="nil"/>
            </w:tcBorders>
            <w:tcMar>
              <w:top w:w="128" w:type="dxa"/>
              <w:left w:w="43" w:type="dxa"/>
              <w:bottom w:w="43" w:type="dxa"/>
              <w:right w:w="43" w:type="dxa"/>
            </w:tcMar>
          </w:tcPr>
          <w:p w14:paraId="71A43E80"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44FEA125" w14:textId="77777777" w:rsidR="00972395" w:rsidRPr="00E73D4B" w:rsidRDefault="00F120C7" w:rsidP="004A107D">
            <w:r w:rsidRPr="00E73D4B">
              <w:t xml:space="preserve">Låg- og nullutsleppsteknologi i </w:t>
            </w:r>
            <w:proofErr w:type="spellStart"/>
            <w:r w:rsidRPr="00E73D4B">
              <w:t>anboda</w:t>
            </w:r>
            <w:proofErr w:type="spellEnd"/>
            <w:r w:rsidRPr="00E73D4B">
              <w:t xml:space="preserve"> på kortbanenettet</w:t>
            </w:r>
          </w:p>
        </w:tc>
        <w:tc>
          <w:tcPr>
            <w:tcW w:w="1465" w:type="dxa"/>
            <w:tcBorders>
              <w:top w:val="nil"/>
              <w:left w:val="nil"/>
              <w:bottom w:val="nil"/>
              <w:right w:val="nil"/>
            </w:tcBorders>
            <w:tcMar>
              <w:top w:w="128" w:type="dxa"/>
              <w:left w:w="43" w:type="dxa"/>
              <w:bottom w:w="43" w:type="dxa"/>
              <w:right w:w="43" w:type="dxa"/>
            </w:tcMar>
          </w:tcPr>
          <w:p w14:paraId="7778F0F7" w14:textId="77777777" w:rsidR="00972395" w:rsidRPr="00E73D4B" w:rsidRDefault="00F120C7" w:rsidP="004A107D">
            <w:pPr>
              <w:jc w:val="right"/>
            </w:pPr>
            <w:r w:rsidRPr="00E73D4B">
              <w:t>Ja</w:t>
            </w:r>
          </w:p>
        </w:tc>
      </w:tr>
      <w:tr w:rsidR="00972395" w:rsidRPr="00E73D4B" w14:paraId="301CB76C"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0C6E7221"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041D0E92" w14:textId="77777777" w:rsidR="00972395" w:rsidRPr="00E73D4B" w:rsidRDefault="00F120C7" w:rsidP="004A107D">
            <w:pPr>
              <w:jc w:val="right"/>
            </w:pPr>
            <w:r w:rsidRPr="00E73D4B">
              <w:t>542</w:t>
            </w:r>
          </w:p>
        </w:tc>
        <w:tc>
          <w:tcPr>
            <w:tcW w:w="992" w:type="dxa"/>
            <w:tcBorders>
              <w:top w:val="nil"/>
              <w:left w:val="nil"/>
              <w:bottom w:val="nil"/>
              <w:right w:val="nil"/>
            </w:tcBorders>
            <w:tcMar>
              <w:top w:w="128" w:type="dxa"/>
              <w:left w:w="43" w:type="dxa"/>
              <w:bottom w:w="43" w:type="dxa"/>
              <w:right w:w="43" w:type="dxa"/>
            </w:tcMar>
          </w:tcPr>
          <w:p w14:paraId="69C49B74"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368C959F" w14:textId="77777777" w:rsidR="00972395" w:rsidRPr="00E73D4B" w:rsidRDefault="00F120C7" w:rsidP="004A107D">
            <w:r w:rsidRPr="00E73D4B">
              <w:t xml:space="preserve">Foreslå </w:t>
            </w:r>
            <w:proofErr w:type="spellStart"/>
            <w:r w:rsidRPr="00E73D4B">
              <w:t>verkemiddel</w:t>
            </w:r>
            <w:proofErr w:type="spellEnd"/>
            <w:r w:rsidRPr="00E73D4B">
              <w:t xml:space="preserve"> for å redusere utsleppa </w:t>
            </w:r>
            <w:proofErr w:type="spellStart"/>
            <w:r w:rsidRPr="00E73D4B">
              <w:t>frå</w:t>
            </w:r>
            <w:proofErr w:type="spellEnd"/>
            <w:r w:rsidRPr="00E73D4B">
              <w:t xml:space="preserve"> luftfarten</w:t>
            </w:r>
          </w:p>
        </w:tc>
        <w:tc>
          <w:tcPr>
            <w:tcW w:w="1465" w:type="dxa"/>
            <w:tcBorders>
              <w:top w:val="nil"/>
              <w:left w:val="nil"/>
              <w:bottom w:val="nil"/>
              <w:right w:val="nil"/>
            </w:tcBorders>
            <w:tcMar>
              <w:top w:w="128" w:type="dxa"/>
              <w:left w:w="43" w:type="dxa"/>
              <w:bottom w:w="43" w:type="dxa"/>
              <w:right w:w="43" w:type="dxa"/>
            </w:tcMar>
          </w:tcPr>
          <w:p w14:paraId="4A54BE7E" w14:textId="77777777" w:rsidR="00972395" w:rsidRPr="00E73D4B" w:rsidRDefault="00F120C7" w:rsidP="004A107D">
            <w:pPr>
              <w:jc w:val="right"/>
            </w:pPr>
            <w:r w:rsidRPr="00E73D4B">
              <w:t>Nei</w:t>
            </w:r>
          </w:p>
        </w:tc>
      </w:tr>
      <w:tr w:rsidR="00972395" w:rsidRPr="00E73D4B" w14:paraId="0B7F4B72"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58B5874B"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47143903" w14:textId="77777777" w:rsidR="00972395" w:rsidRPr="00E73D4B" w:rsidRDefault="00F120C7" w:rsidP="004A107D">
            <w:pPr>
              <w:jc w:val="right"/>
            </w:pPr>
            <w:r w:rsidRPr="00E73D4B">
              <w:t>543</w:t>
            </w:r>
          </w:p>
        </w:tc>
        <w:tc>
          <w:tcPr>
            <w:tcW w:w="992" w:type="dxa"/>
            <w:tcBorders>
              <w:top w:val="nil"/>
              <w:left w:val="nil"/>
              <w:bottom w:val="nil"/>
              <w:right w:val="nil"/>
            </w:tcBorders>
            <w:tcMar>
              <w:top w:w="128" w:type="dxa"/>
              <w:left w:w="43" w:type="dxa"/>
              <w:bottom w:w="43" w:type="dxa"/>
              <w:right w:w="43" w:type="dxa"/>
            </w:tcMar>
          </w:tcPr>
          <w:p w14:paraId="6DDC1016"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2E6220B1" w14:textId="77777777" w:rsidR="00972395" w:rsidRPr="00E73D4B" w:rsidRDefault="00F120C7" w:rsidP="004A107D">
            <w:r w:rsidRPr="00E73D4B">
              <w:t xml:space="preserve">Senter for klimanøytral regional luftfart </w:t>
            </w:r>
          </w:p>
        </w:tc>
        <w:tc>
          <w:tcPr>
            <w:tcW w:w="1465" w:type="dxa"/>
            <w:tcBorders>
              <w:top w:val="nil"/>
              <w:left w:val="nil"/>
              <w:bottom w:val="nil"/>
              <w:right w:val="nil"/>
            </w:tcBorders>
            <w:tcMar>
              <w:top w:w="128" w:type="dxa"/>
              <w:left w:w="43" w:type="dxa"/>
              <w:bottom w:w="43" w:type="dxa"/>
              <w:right w:w="43" w:type="dxa"/>
            </w:tcMar>
          </w:tcPr>
          <w:p w14:paraId="058CF428" w14:textId="77777777" w:rsidR="00972395" w:rsidRPr="00E73D4B" w:rsidRDefault="00F120C7" w:rsidP="004A107D">
            <w:pPr>
              <w:jc w:val="right"/>
            </w:pPr>
            <w:r w:rsidRPr="00E73D4B">
              <w:t>Nei</w:t>
            </w:r>
          </w:p>
        </w:tc>
      </w:tr>
      <w:tr w:rsidR="00972395" w:rsidRPr="00E73D4B" w14:paraId="3DC038AA"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2D7E0EA3"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8043BDC" w14:textId="77777777" w:rsidR="00972395" w:rsidRPr="00E73D4B" w:rsidRDefault="00F120C7" w:rsidP="004A107D">
            <w:pPr>
              <w:jc w:val="right"/>
            </w:pPr>
            <w:r w:rsidRPr="00E73D4B">
              <w:t>553</w:t>
            </w:r>
          </w:p>
        </w:tc>
        <w:tc>
          <w:tcPr>
            <w:tcW w:w="992" w:type="dxa"/>
            <w:tcBorders>
              <w:top w:val="nil"/>
              <w:left w:val="nil"/>
              <w:bottom w:val="nil"/>
              <w:right w:val="nil"/>
            </w:tcBorders>
            <w:tcMar>
              <w:top w:w="128" w:type="dxa"/>
              <w:left w:w="43" w:type="dxa"/>
              <w:bottom w:w="43" w:type="dxa"/>
              <w:right w:w="43" w:type="dxa"/>
            </w:tcMar>
          </w:tcPr>
          <w:p w14:paraId="35794D0D"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98DB54E" w14:textId="77777777" w:rsidR="00972395" w:rsidRPr="00E73D4B" w:rsidRDefault="00F120C7" w:rsidP="004A107D">
            <w:r w:rsidRPr="00E73D4B">
              <w:t xml:space="preserve">Framdriftsplan for å få </w:t>
            </w:r>
            <w:proofErr w:type="spellStart"/>
            <w:r w:rsidRPr="00E73D4B">
              <w:t>dieseldrivne</w:t>
            </w:r>
            <w:proofErr w:type="spellEnd"/>
            <w:r w:rsidRPr="00E73D4B">
              <w:t xml:space="preserve"> </w:t>
            </w:r>
            <w:proofErr w:type="spellStart"/>
            <w:r w:rsidRPr="00E73D4B">
              <w:t>jernbanestrekningar</w:t>
            </w:r>
            <w:proofErr w:type="spellEnd"/>
            <w:r w:rsidRPr="00E73D4B">
              <w:t xml:space="preserve"> over på nullutsleppsteknologi</w:t>
            </w:r>
          </w:p>
        </w:tc>
        <w:tc>
          <w:tcPr>
            <w:tcW w:w="1465" w:type="dxa"/>
            <w:tcBorders>
              <w:top w:val="nil"/>
              <w:left w:val="nil"/>
              <w:bottom w:val="nil"/>
              <w:right w:val="nil"/>
            </w:tcBorders>
            <w:tcMar>
              <w:top w:w="128" w:type="dxa"/>
              <w:left w:w="43" w:type="dxa"/>
              <w:bottom w:w="43" w:type="dxa"/>
              <w:right w:w="43" w:type="dxa"/>
            </w:tcMar>
          </w:tcPr>
          <w:p w14:paraId="1C71330D" w14:textId="77777777" w:rsidR="00972395" w:rsidRPr="00E73D4B" w:rsidRDefault="00F120C7" w:rsidP="004A107D">
            <w:pPr>
              <w:jc w:val="right"/>
            </w:pPr>
            <w:r w:rsidRPr="00E73D4B">
              <w:t>Nei</w:t>
            </w:r>
          </w:p>
        </w:tc>
      </w:tr>
      <w:tr w:rsidR="00972395" w:rsidRPr="00E73D4B" w14:paraId="0736B9DD"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124A9B6A"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338FA30" w14:textId="77777777" w:rsidR="00972395" w:rsidRPr="00E73D4B" w:rsidRDefault="00F120C7" w:rsidP="004A107D">
            <w:pPr>
              <w:jc w:val="right"/>
            </w:pPr>
            <w:r w:rsidRPr="00E73D4B">
              <w:t>559</w:t>
            </w:r>
          </w:p>
        </w:tc>
        <w:tc>
          <w:tcPr>
            <w:tcW w:w="992" w:type="dxa"/>
            <w:tcBorders>
              <w:top w:val="nil"/>
              <w:left w:val="nil"/>
              <w:bottom w:val="nil"/>
              <w:right w:val="nil"/>
            </w:tcBorders>
            <w:tcMar>
              <w:top w:w="128" w:type="dxa"/>
              <w:left w:w="43" w:type="dxa"/>
              <w:bottom w:w="43" w:type="dxa"/>
              <w:right w:w="43" w:type="dxa"/>
            </w:tcMar>
          </w:tcPr>
          <w:p w14:paraId="4BE2E49E"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5A6971CA" w14:textId="77777777" w:rsidR="00972395" w:rsidRPr="00E73D4B" w:rsidRDefault="00F120C7" w:rsidP="004A107D">
            <w:r w:rsidRPr="00E73D4B">
              <w:t xml:space="preserve">Vurdere om statens bidrag gjennom </w:t>
            </w:r>
            <w:proofErr w:type="spellStart"/>
            <w:r w:rsidRPr="00E73D4B">
              <w:t>ferjeavløysingsmidlar</w:t>
            </w:r>
            <w:proofErr w:type="spellEnd"/>
            <w:r w:rsidRPr="00E73D4B">
              <w:t xml:space="preserve"> til Nordøyvegen bør </w:t>
            </w:r>
            <w:proofErr w:type="spellStart"/>
            <w:r w:rsidRPr="00E73D4B">
              <w:t>bereknast</w:t>
            </w:r>
            <w:proofErr w:type="spellEnd"/>
            <w:r w:rsidRPr="00E73D4B">
              <w:t xml:space="preserve"> på nytt</w:t>
            </w:r>
          </w:p>
        </w:tc>
        <w:tc>
          <w:tcPr>
            <w:tcW w:w="1465" w:type="dxa"/>
            <w:tcBorders>
              <w:top w:val="nil"/>
              <w:left w:val="nil"/>
              <w:bottom w:val="nil"/>
              <w:right w:val="nil"/>
            </w:tcBorders>
            <w:tcMar>
              <w:top w:w="128" w:type="dxa"/>
              <w:left w:w="43" w:type="dxa"/>
              <w:bottom w:w="43" w:type="dxa"/>
              <w:right w:w="43" w:type="dxa"/>
            </w:tcMar>
          </w:tcPr>
          <w:p w14:paraId="1A3F3DE8" w14:textId="77777777" w:rsidR="00972395" w:rsidRPr="00E73D4B" w:rsidRDefault="00F120C7" w:rsidP="004A107D">
            <w:pPr>
              <w:jc w:val="right"/>
            </w:pPr>
            <w:r w:rsidRPr="00E73D4B">
              <w:t>Ja</w:t>
            </w:r>
          </w:p>
        </w:tc>
      </w:tr>
      <w:tr w:rsidR="00972395" w:rsidRPr="00E73D4B" w14:paraId="6FB7CEEE"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5984F8D3"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D4A9091" w14:textId="77777777" w:rsidR="00972395" w:rsidRPr="00E73D4B" w:rsidRDefault="00F120C7" w:rsidP="004A107D">
            <w:pPr>
              <w:jc w:val="right"/>
            </w:pPr>
            <w:r w:rsidRPr="00E73D4B">
              <w:t>695</w:t>
            </w:r>
          </w:p>
        </w:tc>
        <w:tc>
          <w:tcPr>
            <w:tcW w:w="992" w:type="dxa"/>
            <w:tcBorders>
              <w:top w:val="nil"/>
              <w:left w:val="nil"/>
              <w:bottom w:val="nil"/>
              <w:right w:val="nil"/>
            </w:tcBorders>
            <w:tcMar>
              <w:top w:w="128" w:type="dxa"/>
              <w:left w:w="43" w:type="dxa"/>
              <w:bottom w:w="43" w:type="dxa"/>
              <w:right w:w="43" w:type="dxa"/>
            </w:tcMar>
          </w:tcPr>
          <w:p w14:paraId="1098E352"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54556FB1" w14:textId="77777777" w:rsidR="00972395" w:rsidRPr="00E73D4B" w:rsidRDefault="00F120C7" w:rsidP="004A107D">
            <w:r w:rsidRPr="00E73D4B">
              <w:t xml:space="preserve">Bruke ev. </w:t>
            </w:r>
            <w:proofErr w:type="spellStart"/>
            <w:r w:rsidRPr="00E73D4B">
              <w:t>mindreforbruk</w:t>
            </w:r>
            <w:proofErr w:type="spellEnd"/>
            <w:r w:rsidRPr="00E73D4B">
              <w:t xml:space="preserve"> på prosjektet Nordøyvegen til kutt i </w:t>
            </w:r>
            <w:proofErr w:type="spellStart"/>
            <w:r w:rsidRPr="00E73D4B">
              <w:t>bompengar</w:t>
            </w:r>
            <w:proofErr w:type="spellEnd"/>
            <w:r w:rsidRPr="00E73D4B">
              <w:t xml:space="preserve"> </w:t>
            </w:r>
          </w:p>
        </w:tc>
        <w:tc>
          <w:tcPr>
            <w:tcW w:w="1465" w:type="dxa"/>
            <w:tcBorders>
              <w:top w:val="nil"/>
              <w:left w:val="nil"/>
              <w:bottom w:val="nil"/>
              <w:right w:val="nil"/>
            </w:tcBorders>
            <w:tcMar>
              <w:top w:w="128" w:type="dxa"/>
              <w:left w:w="43" w:type="dxa"/>
              <w:bottom w:w="43" w:type="dxa"/>
              <w:right w:w="43" w:type="dxa"/>
            </w:tcMar>
          </w:tcPr>
          <w:p w14:paraId="6CAACE43" w14:textId="77777777" w:rsidR="00972395" w:rsidRPr="00E73D4B" w:rsidRDefault="00F120C7" w:rsidP="004A107D">
            <w:pPr>
              <w:jc w:val="right"/>
            </w:pPr>
            <w:r w:rsidRPr="00E73D4B">
              <w:t>Ja</w:t>
            </w:r>
          </w:p>
        </w:tc>
      </w:tr>
      <w:tr w:rsidR="00972395" w:rsidRPr="00E73D4B" w14:paraId="7550A917"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798A848E"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520C44C7" w14:textId="77777777" w:rsidR="00972395" w:rsidRPr="00E73D4B" w:rsidRDefault="00F120C7" w:rsidP="004A107D">
            <w:pPr>
              <w:jc w:val="right"/>
            </w:pPr>
            <w:r w:rsidRPr="00E73D4B">
              <w:t>709</w:t>
            </w:r>
          </w:p>
        </w:tc>
        <w:tc>
          <w:tcPr>
            <w:tcW w:w="992" w:type="dxa"/>
            <w:tcBorders>
              <w:top w:val="nil"/>
              <w:left w:val="nil"/>
              <w:bottom w:val="nil"/>
              <w:right w:val="nil"/>
            </w:tcBorders>
            <w:tcMar>
              <w:top w:w="128" w:type="dxa"/>
              <w:left w:w="43" w:type="dxa"/>
              <w:bottom w:w="43" w:type="dxa"/>
              <w:right w:w="43" w:type="dxa"/>
            </w:tcMar>
          </w:tcPr>
          <w:p w14:paraId="3BB7769C"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84E233B" w14:textId="77777777" w:rsidR="00972395" w:rsidRPr="00E73D4B" w:rsidRDefault="00F120C7" w:rsidP="004A107D">
            <w:r w:rsidRPr="00E73D4B">
              <w:t xml:space="preserve">Forsøksprosjekt med nullutsleppsteknologi på dieselbaserte </w:t>
            </w:r>
            <w:proofErr w:type="spellStart"/>
            <w:r w:rsidRPr="00E73D4B">
              <w:t>banestrekningar</w:t>
            </w:r>
            <w:proofErr w:type="spellEnd"/>
          </w:p>
        </w:tc>
        <w:tc>
          <w:tcPr>
            <w:tcW w:w="1465" w:type="dxa"/>
            <w:tcBorders>
              <w:top w:val="nil"/>
              <w:left w:val="nil"/>
              <w:bottom w:val="nil"/>
              <w:right w:val="nil"/>
            </w:tcBorders>
            <w:tcMar>
              <w:top w:w="128" w:type="dxa"/>
              <w:left w:w="43" w:type="dxa"/>
              <w:bottom w:w="43" w:type="dxa"/>
              <w:right w:w="43" w:type="dxa"/>
            </w:tcMar>
          </w:tcPr>
          <w:p w14:paraId="38AA38C5" w14:textId="77777777" w:rsidR="00972395" w:rsidRPr="00E73D4B" w:rsidRDefault="00F120C7" w:rsidP="004A107D">
            <w:pPr>
              <w:jc w:val="right"/>
            </w:pPr>
            <w:r w:rsidRPr="00E73D4B">
              <w:t>Nei</w:t>
            </w:r>
          </w:p>
        </w:tc>
      </w:tr>
      <w:tr w:rsidR="00972395" w:rsidRPr="00E73D4B" w14:paraId="10E6EB46"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3273DB28"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21AB547E" w14:textId="77777777" w:rsidR="00972395" w:rsidRPr="00E73D4B" w:rsidRDefault="00F120C7" w:rsidP="004A107D">
            <w:pPr>
              <w:jc w:val="right"/>
            </w:pPr>
            <w:r w:rsidRPr="00E73D4B">
              <w:t>757</w:t>
            </w:r>
          </w:p>
        </w:tc>
        <w:tc>
          <w:tcPr>
            <w:tcW w:w="992" w:type="dxa"/>
            <w:tcBorders>
              <w:top w:val="nil"/>
              <w:left w:val="nil"/>
              <w:bottom w:val="nil"/>
              <w:right w:val="nil"/>
            </w:tcBorders>
            <w:tcMar>
              <w:top w:w="128" w:type="dxa"/>
              <w:left w:w="43" w:type="dxa"/>
              <w:bottom w:w="43" w:type="dxa"/>
              <w:right w:w="43" w:type="dxa"/>
            </w:tcMar>
          </w:tcPr>
          <w:p w14:paraId="44D519C6"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3E4A9D04" w14:textId="77777777" w:rsidR="00972395" w:rsidRPr="00E73D4B" w:rsidRDefault="00F120C7" w:rsidP="004A107D">
            <w:r w:rsidRPr="00E73D4B">
              <w:t xml:space="preserve">Obligatorisk takstfritak for </w:t>
            </w:r>
            <w:proofErr w:type="spellStart"/>
            <w:r w:rsidRPr="00E73D4B">
              <w:t>biogasskøyretøy</w:t>
            </w:r>
            <w:proofErr w:type="spellEnd"/>
            <w:r w:rsidRPr="00E73D4B">
              <w:t xml:space="preserve"> på </w:t>
            </w:r>
            <w:proofErr w:type="spellStart"/>
            <w:r w:rsidRPr="00E73D4B">
              <w:t>strekningar</w:t>
            </w:r>
            <w:proofErr w:type="spellEnd"/>
            <w:r w:rsidRPr="00E73D4B">
              <w:t xml:space="preserve"> finansierte av </w:t>
            </w:r>
            <w:proofErr w:type="spellStart"/>
            <w:r w:rsidRPr="00E73D4B">
              <w:t>bompengar</w:t>
            </w:r>
            <w:proofErr w:type="spellEnd"/>
            <w:r w:rsidRPr="00E73D4B">
              <w:t xml:space="preserve"> </w:t>
            </w:r>
          </w:p>
        </w:tc>
        <w:tc>
          <w:tcPr>
            <w:tcW w:w="1465" w:type="dxa"/>
            <w:tcBorders>
              <w:top w:val="nil"/>
              <w:left w:val="nil"/>
              <w:bottom w:val="nil"/>
              <w:right w:val="nil"/>
            </w:tcBorders>
            <w:tcMar>
              <w:top w:w="128" w:type="dxa"/>
              <w:left w:w="43" w:type="dxa"/>
              <w:bottom w:w="43" w:type="dxa"/>
              <w:right w:w="43" w:type="dxa"/>
            </w:tcMar>
          </w:tcPr>
          <w:p w14:paraId="4F76855C" w14:textId="77777777" w:rsidR="00972395" w:rsidRPr="00E73D4B" w:rsidRDefault="00F120C7" w:rsidP="004A107D">
            <w:pPr>
              <w:jc w:val="right"/>
            </w:pPr>
            <w:r w:rsidRPr="00E73D4B">
              <w:t>Ja</w:t>
            </w:r>
          </w:p>
        </w:tc>
      </w:tr>
      <w:tr w:rsidR="00972395" w:rsidRPr="00E73D4B" w14:paraId="11EC4042"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05DC8F89"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797B2999" w14:textId="77777777" w:rsidR="00972395" w:rsidRPr="00E73D4B" w:rsidRDefault="00F120C7" w:rsidP="004A107D">
            <w:pPr>
              <w:jc w:val="right"/>
            </w:pPr>
            <w:r w:rsidRPr="00E73D4B">
              <w:t>834</w:t>
            </w:r>
          </w:p>
        </w:tc>
        <w:tc>
          <w:tcPr>
            <w:tcW w:w="992" w:type="dxa"/>
            <w:tcBorders>
              <w:top w:val="nil"/>
              <w:left w:val="nil"/>
              <w:bottom w:val="nil"/>
              <w:right w:val="nil"/>
            </w:tcBorders>
            <w:tcMar>
              <w:top w:w="128" w:type="dxa"/>
              <w:left w:w="43" w:type="dxa"/>
              <w:bottom w:w="43" w:type="dxa"/>
              <w:right w:w="43" w:type="dxa"/>
            </w:tcMar>
          </w:tcPr>
          <w:p w14:paraId="04F7C095"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2FA3BA1E" w14:textId="77777777" w:rsidR="00972395" w:rsidRPr="00E73D4B" w:rsidRDefault="00F120C7" w:rsidP="004A107D">
            <w:r w:rsidRPr="00E73D4B">
              <w:t xml:space="preserve">Utbetaling av </w:t>
            </w:r>
            <w:proofErr w:type="spellStart"/>
            <w:r w:rsidRPr="00E73D4B">
              <w:t>tilskot</w:t>
            </w:r>
            <w:proofErr w:type="spellEnd"/>
            <w:r w:rsidRPr="00E73D4B">
              <w:t xml:space="preserve"> til kollektivselskapa</w:t>
            </w:r>
          </w:p>
        </w:tc>
        <w:tc>
          <w:tcPr>
            <w:tcW w:w="1465" w:type="dxa"/>
            <w:tcBorders>
              <w:top w:val="nil"/>
              <w:left w:val="nil"/>
              <w:bottom w:val="nil"/>
              <w:right w:val="nil"/>
            </w:tcBorders>
            <w:tcMar>
              <w:top w:w="128" w:type="dxa"/>
              <w:left w:w="43" w:type="dxa"/>
              <w:bottom w:w="43" w:type="dxa"/>
              <w:right w:w="43" w:type="dxa"/>
            </w:tcMar>
          </w:tcPr>
          <w:p w14:paraId="3727EE43" w14:textId="77777777" w:rsidR="00972395" w:rsidRPr="00E73D4B" w:rsidRDefault="00F120C7" w:rsidP="004A107D">
            <w:pPr>
              <w:jc w:val="right"/>
            </w:pPr>
            <w:r w:rsidRPr="00E73D4B">
              <w:t>Ja</w:t>
            </w:r>
          </w:p>
        </w:tc>
      </w:tr>
      <w:tr w:rsidR="00972395" w:rsidRPr="00E73D4B" w14:paraId="1D07814C"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2F69D522"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0A2232D3" w14:textId="77777777" w:rsidR="00972395" w:rsidRPr="00E73D4B" w:rsidRDefault="00F120C7" w:rsidP="004A107D">
            <w:pPr>
              <w:jc w:val="right"/>
            </w:pPr>
            <w:r w:rsidRPr="00E73D4B">
              <w:t>839</w:t>
            </w:r>
          </w:p>
        </w:tc>
        <w:tc>
          <w:tcPr>
            <w:tcW w:w="992" w:type="dxa"/>
            <w:tcBorders>
              <w:top w:val="nil"/>
              <w:left w:val="nil"/>
              <w:bottom w:val="nil"/>
              <w:right w:val="nil"/>
            </w:tcBorders>
            <w:tcMar>
              <w:top w:w="128" w:type="dxa"/>
              <w:left w:w="43" w:type="dxa"/>
              <w:bottom w:w="43" w:type="dxa"/>
              <w:right w:w="43" w:type="dxa"/>
            </w:tcMar>
          </w:tcPr>
          <w:p w14:paraId="5D048857"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11EF5A95" w14:textId="77777777" w:rsidR="00972395" w:rsidRPr="00E73D4B" w:rsidRDefault="00F120C7" w:rsidP="004A107D">
            <w:proofErr w:type="spellStart"/>
            <w:r w:rsidRPr="00E73D4B">
              <w:t>Vidareføre</w:t>
            </w:r>
            <w:proofErr w:type="spellEnd"/>
            <w:r w:rsidRPr="00E73D4B">
              <w:t xml:space="preserve"> </w:t>
            </w:r>
            <w:proofErr w:type="spellStart"/>
            <w:r w:rsidRPr="00E73D4B">
              <w:t>tilskotsordninga</w:t>
            </w:r>
            <w:proofErr w:type="spellEnd"/>
            <w:r w:rsidRPr="00E73D4B">
              <w:t xml:space="preserve"> til mindre byområde </w:t>
            </w:r>
            <w:proofErr w:type="spellStart"/>
            <w:r w:rsidRPr="00E73D4B">
              <w:t>utan</w:t>
            </w:r>
            <w:proofErr w:type="spellEnd"/>
            <w:r w:rsidRPr="00E73D4B">
              <w:t xml:space="preserve"> </w:t>
            </w:r>
            <w:proofErr w:type="spellStart"/>
            <w:r w:rsidRPr="00E73D4B">
              <w:t>byvekstavtalar</w:t>
            </w:r>
            <w:proofErr w:type="spellEnd"/>
          </w:p>
        </w:tc>
        <w:tc>
          <w:tcPr>
            <w:tcW w:w="1465" w:type="dxa"/>
            <w:tcBorders>
              <w:top w:val="nil"/>
              <w:left w:val="nil"/>
              <w:bottom w:val="nil"/>
              <w:right w:val="nil"/>
            </w:tcBorders>
            <w:tcMar>
              <w:top w:w="128" w:type="dxa"/>
              <w:left w:w="43" w:type="dxa"/>
              <w:bottom w:w="43" w:type="dxa"/>
              <w:right w:w="43" w:type="dxa"/>
            </w:tcMar>
          </w:tcPr>
          <w:p w14:paraId="2672CBF7" w14:textId="77777777" w:rsidR="00972395" w:rsidRPr="00E73D4B" w:rsidRDefault="00F120C7" w:rsidP="004A107D">
            <w:pPr>
              <w:jc w:val="right"/>
            </w:pPr>
            <w:r w:rsidRPr="00E73D4B">
              <w:t>Ja</w:t>
            </w:r>
          </w:p>
        </w:tc>
      </w:tr>
      <w:tr w:rsidR="00972395" w:rsidRPr="00E73D4B" w14:paraId="5F20BA48"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43F80DC9"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1E35B54F" w14:textId="77777777" w:rsidR="00972395" w:rsidRPr="00E73D4B" w:rsidRDefault="00F120C7" w:rsidP="004A107D">
            <w:pPr>
              <w:jc w:val="right"/>
            </w:pPr>
            <w:r w:rsidRPr="00E73D4B">
              <w:t>842</w:t>
            </w:r>
          </w:p>
        </w:tc>
        <w:tc>
          <w:tcPr>
            <w:tcW w:w="992" w:type="dxa"/>
            <w:tcBorders>
              <w:top w:val="nil"/>
              <w:left w:val="nil"/>
              <w:bottom w:val="nil"/>
              <w:right w:val="nil"/>
            </w:tcBorders>
            <w:tcMar>
              <w:top w:w="128" w:type="dxa"/>
              <w:left w:w="43" w:type="dxa"/>
              <w:bottom w:w="43" w:type="dxa"/>
              <w:right w:w="43" w:type="dxa"/>
            </w:tcMar>
          </w:tcPr>
          <w:p w14:paraId="0D7950A6"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217A595" w14:textId="77777777" w:rsidR="00972395" w:rsidRPr="00E73D4B" w:rsidRDefault="00F120C7" w:rsidP="004A107D">
            <w:r w:rsidRPr="00E73D4B">
              <w:t xml:space="preserve">Nullutslepp eller biogass i alle nye </w:t>
            </w:r>
            <w:proofErr w:type="spellStart"/>
            <w:r w:rsidRPr="00E73D4B">
              <w:t>anbod</w:t>
            </w:r>
            <w:proofErr w:type="spellEnd"/>
            <w:r w:rsidRPr="00E73D4B">
              <w:t xml:space="preserve"> for ferjer og fossilfritt i nye </w:t>
            </w:r>
            <w:proofErr w:type="spellStart"/>
            <w:r w:rsidRPr="00E73D4B">
              <w:t>anbod</w:t>
            </w:r>
            <w:proofErr w:type="spellEnd"/>
            <w:r w:rsidRPr="00E73D4B">
              <w:t xml:space="preserve"> for </w:t>
            </w:r>
            <w:proofErr w:type="spellStart"/>
            <w:r w:rsidRPr="00E73D4B">
              <w:t>hurtigbåtar</w:t>
            </w:r>
            <w:proofErr w:type="spellEnd"/>
          </w:p>
        </w:tc>
        <w:tc>
          <w:tcPr>
            <w:tcW w:w="1465" w:type="dxa"/>
            <w:tcBorders>
              <w:top w:val="nil"/>
              <w:left w:val="nil"/>
              <w:bottom w:val="nil"/>
              <w:right w:val="nil"/>
            </w:tcBorders>
            <w:tcMar>
              <w:top w:w="128" w:type="dxa"/>
              <w:left w:w="43" w:type="dxa"/>
              <w:bottom w:w="43" w:type="dxa"/>
              <w:right w:w="43" w:type="dxa"/>
            </w:tcMar>
          </w:tcPr>
          <w:p w14:paraId="6037FE39" w14:textId="77777777" w:rsidR="00972395" w:rsidRPr="00E73D4B" w:rsidRDefault="00F120C7" w:rsidP="004A107D">
            <w:pPr>
              <w:jc w:val="right"/>
            </w:pPr>
            <w:r w:rsidRPr="00E73D4B">
              <w:t>Nei</w:t>
            </w:r>
          </w:p>
        </w:tc>
      </w:tr>
      <w:tr w:rsidR="00972395" w:rsidRPr="00E73D4B" w14:paraId="74F94CA1"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05974A61" w14:textId="77777777" w:rsidR="00972395" w:rsidRPr="00E73D4B" w:rsidRDefault="00F120C7" w:rsidP="0076431D">
            <w:pPr>
              <w:ind w:right="-43"/>
            </w:pPr>
            <w:r w:rsidRPr="00E73D4B">
              <w:t>2021–2022</w:t>
            </w:r>
          </w:p>
        </w:tc>
        <w:tc>
          <w:tcPr>
            <w:tcW w:w="1276" w:type="dxa"/>
            <w:tcBorders>
              <w:top w:val="nil"/>
              <w:left w:val="nil"/>
              <w:bottom w:val="nil"/>
              <w:right w:val="nil"/>
            </w:tcBorders>
            <w:tcMar>
              <w:top w:w="128" w:type="dxa"/>
              <w:left w:w="43" w:type="dxa"/>
              <w:bottom w:w="43" w:type="dxa"/>
              <w:right w:w="43" w:type="dxa"/>
            </w:tcMar>
          </w:tcPr>
          <w:p w14:paraId="180D2622" w14:textId="77777777" w:rsidR="00972395" w:rsidRPr="00E73D4B" w:rsidRDefault="00F120C7" w:rsidP="004A107D">
            <w:pPr>
              <w:jc w:val="right"/>
            </w:pPr>
            <w:r w:rsidRPr="00E73D4B">
              <w:t>844</w:t>
            </w:r>
          </w:p>
        </w:tc>
        <w:tc>
          <w:tcPr>
            <w:tcW w:w="992" w:type="dxa"/>
            <w:tcBorders>
              <w:top w:val="nil"/>
              <w:left w:val="nil"/>
              <w:bottom w:val="nil"/>
              <w:right w:val="nil"/>
            </w:tcBorders>
            <w:tcMar>
              <w:top w:w="128" w:type="dxa"/>
              <w:left w:w="43" w:type="dxa"/>
              <w:bottom w:w="43" w:type="dxa"/>
              <w:right w:w="43" w:type="dxa"/>
            </w:tcMar>
          </w:tcPr>
          <w:p w14:paraId="4B7CB759"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A92B8BD" w14:textId="77777777" w:rsidR="00972395" w:rsidRPr="00E73D4B" w:rsidRDefault="00F120C7" w:rsidP="004A107D">
            <w:r w:rsidRPr="00E73D4B">
              <w:t xml:space="preserve">Nedskalere store prosjekt i Statens vegvesen og Nye Veier AS </w:t>
            </w:r>
          </w:p>
        </w:tc>
        <w:tc>
          <w:tcPr>
            <w:tcW w:w="1465" w:type="dxa"/>
            <w:tcBorders>
              <w:top w:val="nil"/>
              <w:left w:val="nil"/>
              <w:bottom w:val="nil"/>
              <w:right w:val="nil"/>
            </w:tcBorders>
            <w:tcMar>
              <w:top w:w="128" w:type="dxa"/>
              <w:left w:w="43" w:type="dxa"/>
              <w:bottom w:w="43" w:type="dxa"/>
              <w:right w:w="43" w:type="dxa"/>
            </w:tcMar>
          </w:tcPr>
          <w:p w14:paraId="39C5D140" w14:textId="77777777" w:rsidR="00972395" w:rsidRPr="00E73D4B" w:rsidRDefault="00F120C7" w:rsidP="004A107D">
            <w:pPr>
              <w:jc w:val="right"/>
            </w:pPr>
            <w:r w:rsidRPr="00E73D4B">
              <w:t>Ja</w:t>
            </w:r>
          </w:p>
        </w:tc>
      </w:tr>
      <w:tr w:rsidR="00972395" w:rsidRPr="00E73D4B" w14:paraId="6B50DBDF"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1AFDA82A"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1029077C" w14:textId="77777777" w:rsidR="00972395" w:rsidRPr="00E73D4B" w:rsidRDefault="00F120C7" w:rsidP="004A107D">
            <w:pPr>
              <w:jc w:val="right"/>
            </w:pPr>
            <w:r w:rsidRPr="00E73D4B">
              <w:t>210</w:t>
            </w:r>
          </w:p>
        </w:tc>
        <w:tc>
          <w:tcPr>
            <w:tcW w:w="992" w:type="dxa"/>
            <w:tcBorders>
              <w:top w:val="nil"/>
              <w:left w:val="nil"/>
              <w:bottom w:val="nil"/>
              <w:right w:val="nil"/>
            </w:tcBorders>
            <w:tcMar>
              <w:top w:w="128" w:type="dxa"/>
              <w:left w:w="43" w:type="dxa"/>
              <w:bottom w:w="43" w:type="dxa"/>
              <w:right w:w="43" w:type="dxa"/>
            </w:tcMar>
          </w:tcPr>
          <w:p w14:paraId="1110EAAE"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5107C564" w14:textId="77777777" w:rsidR="00972395" w:rsidRPr="00E73D4B" w:rsidRDefault="00F120C7" w:rsidP="004A107D">
            <w:r w:rsidRPr="00E73D4B">
              <w:t xml:space="preserve">Avgrense </w:t>
            </w:r>
            <w:proofErr w:type="spellStart"/>
            <w:r w:rsidRPr="00E73D4B">
              <w:t>utanlandsk</w:t>
            </w:r>
            <w:proofErr w:type="spellEnd"/>
            <w:r w:rsidRPr="00E73D4B">
              <w:t xml:space="preserve"> lastebiltransport i </w:t>
            </w:r>
            <w:proofErr w:type="spellStart"/>
            <w:r w:rsidRPr="00E73D4B">
              <w:t>Noreg</w:t>
            </w:r>
            <w:proofErr w:type="spellEnd"/>
            <w:r w:rsidRPr="00E73D4B">
              <w:t xml:space="preserve"> </w:t>
            </w:r>
          </w:p>
        </w:tc>
        <w:tc>
          <w:tcPr>
            <w:tcW w:w="1465" w:type="dxa"/>
            <w:tcBorders>
              <w:top w:val="nil"/>
              <w:left w:val="nil"/>
              <w:bottom w:val="nil"/>
              <w:right w:val="nil"/>
            </w:tcBorders>
            <w:tcMar>
              <w:top w:w="128" w:type="dxa"/>
              <w:left w:w="43" w:type="dxa"/>
              <w:bottom w:w="43" w:type="dxa"/>
              <w:right w:w="43" w:type="dxa"/>
            </w:tcMar>
          </w:tcPr>
          <w:p w14:paraId="322C5F4D" w14:textId="77777777" w:rsidR="00972395" w:rsidRPr="00E73D4B" w:rsidRDefault="00F120C7" w:rsidP="004A107D">
            <w:pPr>
              <w:jc w:val="right"/>
            </w:pPr>
            <w:r w:rsidRPr="00E73D4B">
              <w:t>Ja</w:t>
            </w:r>
          </w:p>
        </w:tc>
      </w:tr>
      <w:tr w:rsidR="00972395" w:rsidRPr="00E73D4B" w14:paraId="5A7CFC02"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180FDE1E"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33C8F227" w14:textId="77777777" w:rsidR="00972395" w:rsidRPr="00E73D4B" w:rsidRDefault="00F120C7" w:rsidP="004A107D">
            <w:pPr>
              <w:jc w:val="right"/>
            </w:pPr>
            <w:r w:rsidRPr="00E73D4B">
              <w:t>211</w:t>
            </w:r>
          </w:p>
        </w:tc>
        <w:tc>
          <w:tcPr>
            <w:tcW w:w="992" w:type="dxa"/>
            <w:tcBorders>
              <w:top w:val="nil"/>
              <w:left w:val="nil"/>
              <w:bottom w:val="nil"/>
              <w:right w:val="nil"/>
            </w:tcBorders>
            <w:tcMar>
              <w:top w:w="128" w:type="dxa"/>
              <w:left w:w="43" w:type="dxa"/>
              <w:bottom w:w="43" w:type="dxa"/>
              <w:right w:w="43" w:type="dxa"/>
            </w:tcMar>
          </w:tcPr>
          <w:p w14:paraId="3EFE800F"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44839AA3" w14:textId="77777777" w:rsidR="00972395" w:rsidRPr="00E73D4B" w:rsidRDefault="00F120C7" w:rsidP="004A107D">
            <w:proofErr w:type="spellStart"/>
            <w:r w:rsidRPr="00E73D4B">
              <w:t>Halde</w:t>
            </w:r>
            <w:proofErr w:type="spellEnd"/>
            <w:r w:rsidRPr="00E73D4B">
              <w:t xml:space="preserve"> tilbake </w:t>
            </w:r>
            <w:proofErr w:type="spellStart"/>
            <w:r w:rsidRPr="00E73D4B">
              <w:t>køyretøy</w:t>
            </w:r>
            <w:proofErr w:type="spellEnd"/>
            <w:r w:rsidRPr="00E73D4B">
              <w:t xml:space="preserve"> som </w:t>
            </w:r>
            <w:proofErr w:type="spellStart"/>
            <w:r w:rsidRPr="00E73D4B">
              <w:t>skuldar</w:t>
            </w:r>
            <w:proofErr w:type="spellEnd"/>
            <w:r w:rsidRPr="00E73D4B">
              <w:t xml:space="preserve"> </w:t>
            </w:r>
            <w:proofErr w:type="spellStart"/>
            <w:r w:rsidRPr="00E73D4B">
              <w:t>bompengar</w:t>
            </w:r>
            <w:proofErr w:type="spellEnd"/>
          </w:p>
        </w:tc>
        <w:tc>
          <w:tcPr>
            <w:tcW w:w="1465" w:type="dxa"/>
            <w:tcBorders>
              <w:top w:val="nil"/>
              <w:left w:val="nil"/>
              <w:bottom w:val="nil"/>
              <w:right w:val="nil"/>
            </w:tcBorders>
            <w:tcMar>
              <w:top w:w="128" w:type="dxa"/>
              <w:left w:w="43" w:type="dxa"/>
              <w:bottom w:w="43" w:type="dxa"/>
              <w:right w:w="43" w:type="dxa"/>
            </w:tcMar>
          </w:tcPr>
          <w:p w14:paraId="07D03B3B" w14:textId="77777777" w:rsidR="00972395" w:rsidRPr="00E73D4B" w:rsidRDefault="00F120C7" w:rsidP="004A107D">
            <w:pPr>
              <w:jc w:val="right"/>
            </w:pPr>
            <w:r w:rsidRPr="00E73D4B">
              <w:t>Ja</w:t>
            </w:r>
          </w:p>
        </w:tc>
      </w:tr>
      <w:tr w:rsidR="00972395" w:rsidRPr="00E73D4B" w14:paraId="0566CFD4"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07DCADB3"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38005EC1" w14:textId="77777777" w:rsidR="00972395" w:rsidRPr="00E73D4B" w:rsidRDefault="00F120C7" w:rsidP="004A107D">
            <w:pPr>
              <w:jc w:val="right"/>
            </w:pPr>
            <w:r w:rsidRPr="00E73D4B">
              <w:t>582</w:t>
            </w:r>
          </w:p>
        </w:tc>
        <w:tc>
          <w:tcPr>
            <w:tcW w:w="992" w:type="dxa"/>
            <w:tcBorders>
              <w:top w:val="nil"/>
              <w:left w:val="nil"/>
              <w:bottom w:val="nil"/>
              <w:right w:val="nil"/>
            </w:tcBorders>
            <w:tcMar>
              <w:top w:w="128" w:type="dxa"/>
              <w:left w:w="43" w:type="dxa"/>
              <w:bottom w:w="43" w:type="dxa"/>
              <w:right w:w="43" w:type="dxa"/>
            </w:tcMar>
          </w:tcPr>
          <w:p w14:paraId="013FEAD5"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C20A341" w14:textId="77777777" w:rsidR="00972395" w:rsidRPr="00E73D4B" w:rsidRDefault="00F120C7" w:rsidP="004A107D">
            <w:r w:rsidRPr="00E73D4B">
              <w:t xml:space="preserve">Avvente </w:t>
            </w:r>
            <w:proofErr w:type="spellStart"/>
            <w:r w:rsidRPr="00E73D4B">
              <w:t>planlagde</w:t>
            </w:r>
            <w:proofErr w:type="spellEnd"/>
            <w:r w:rsidRPr="00E73D4B">
              <w:t xml:space="preserve"> </w:t>
            </w:r>
            <w:proofErr w:type="spellStart"/>
            <w:r w:rsidRPr="00E73D4B">
              <w:t>nedleggingar</w:t>
            </w:r>
            <w:proofErr w:type="spellEnd"/>
            <w:r w:rsidRPr="00E73D4B">
              <w:t xml:space="preserve"> eller </w:t>
            </w:r>
            <w:proofErr w:type="spellStart"/>
            <w:r w:rsidRPr="00E73D4B">
              <w:t>reduksjonar</w:t>
            </w:r>
            <w:proofErr w:type="spellEnd"/>
            <w:r w:rsidRPr="00E73D4B">
              <w:t xml:space="preserve"> i </w:t>
            </w:r>
            <w:proofErr w:type="spellStart"/>
            <w:r w:rsidRPr="00E73D4B">
              <w:t>tenestetilbodet</w:t>
            </w:r>
            <w:proofErr w:type="spellEnd"/>
            <w:r w:rsidRPr="00E73D4B">
              <w:t xml:space="preserve"> ved </w:t>
            </w:r>
            <w:proofErr w:type="spellStart"/>
            <w:r w:rsidRPr="00E73D4B">
              <w:t>trafikkstasjonane</w:t>
            </w:r>
            <w:proofErr w:type="spellEnd"/>
          </w:p>
        </w:tc>
        <w:tc>
          <w:tcPr>
            <w:tcW w:w="1465" w:type="dxa"/>
            <w:tcBorders>
              <w:top w:val="nil"/>
              <w:left w:val="nil"/>
              <w:bottom w:val="nil"/>
              <w:right w:val="nil"/>
            </w:tcBorders>
            <w:tcMar>
              <w:top w:w="128" w:type="dxa"/>
              <w:left w:w="43" w:type="dxa"/>
              <w:bottom w:w="43" w:type="dxa"/>
              <w:right w:w="43" w:type="dxa"/>
            </w:tcMar>
          </w:tcPr>
          <w:p w14:paraId="5B23BF18" w14:textId="77777777" w:rsidR="00972395" w:rsidRPr="00E73D4B" w:rsidRDefault="00F120C7" w:rsidP="004A107D">
            <w:pPr>
              <w:jc w:val="right"/>
            </w:pPr>
            <w:r w:rsidRPr="00E73D4B">
              <w:t>Ja</w:t>
            </w:r>
          </w:p>
        </w:tc>
      </w:tr>
      <w:tr w:rsidR="00972395" w:rsidRPr="00E73D4B" w14:paraId="042FA8B9"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543FBA8D"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2BE49874" w14:textId="77777777" w:rsidR="00972395" w:rsidRPr="00E73D4B" w:rsidRDefault="00F120C7" w:rsidP="004A107D">
            <w:pPr>
              <w:jc w:val="right"/>
            </w:pPr>
            <w:r w:rsidRPr="00E73D4B">
              <w:t>589</w:t>
            </w:r>
          </w:p>
        </w:tc>
        <w:tc>
          <w:tcPr>
            <w:tcW w:w="992" w:type="dxa"/>
            <w:tcBorders>
              <w:top w:val="nil"/>
              <w:left w:val="nil"/>
              <w:bottom w:val="nil"/>
              <w:right w:val="nil"/>
            </w:tcBorders>
            <w:tcMar>
              <w:top w:w="128" w:type="dxa"/>
              <w:left w:w="43" w:type="dxa"/>
              <w:bottom w:w="43" w:type="dxa"/>
              <w:right w:w="43" w:type="dxa"/>
            </w:tcMar>
          </w:tcPr>
          <w:p w14:paraId="7BB95CD3"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112AFDD2" w14:textId="77777777" w:rsidR="00972395" w:rsidRPr="00E73D4B" w:rsidRDefault="00F120C7" w:rsidP="004A107D">
            <w:r w:rsidRPr="00E73D4B">
              <w:t xml:space="preserve">Stortingsmelding om nasjonal luftfartsstrategi </w:t>
            </w:r>
          </w:p>
        </w:tc>
        <w:tc>
          <w:tcPr>
            <w:tcW w:w="1465" w:type="dxa"/>
            <w:tcBorders>
              <w:top w:val="nil"/>
              <w:left w:val="nil"/>
              <w:bottom w:val="nil"/>
              <w:right w:val="nil"/>
            </w:tcBorders>
            <w:tcMar>
              <w:top w:w="128" w:type="dxa"/>
              <w:left w:w="43" w:type="dxa"/>
              <w:bottom w:w="43" w:type="dxa"/>
              <w:right w:w="43" w:type="dxa"/>
            </w:tcMar>
          </w:tcPr>
          <w:p w14:paraId="39581BCF" w14:textId="77777777" w:rsidR="00972395" w:rsidRPr="00E73D4B" w:rsidRDefault="00F120C7" w:rsidP="004A107D">
            <w:pPr>
              <w:jc w:val="right"/>
            </w:pPr>
            <w:r w:rsidRPr="00E73D4B">
              <w:t>Nei</w:t>
            </w:r>
          </w:p>
        </w:tc>
      </w:tr>
      <w:tr w:rsidR="00972395" w:rsidRPr="00E73D4B" w14:paraId="1253DC42"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3368707D"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48B0367D" w14:textId="77777777" w:rsidR="00972395" w:rsidRPr="00E73D4B" w:rsidRDefault="00F120C7" w:rsidP="004A107D">
            <w:pPr>
              <w:jc w:val="right"/>
            </w:pPr>
            <w:r w:rsidRPr="00E73D4B">
              <w:t>596</w:t>
            </w:r>
          </w:p>
        </w:tc>
        <w:tc>
          <w:tcPr>
            <w:tcW w:w="992" w:type="dxa"/>
            <w:tcBorders>
              <w:top w:val="nil"/>
              <w:left w:val="nil"/>
              <w:bottom w:val="nil"/>
              <w:right w:val="nil"/>
            </w:tcBorders>
            <w:tcMar>
              <w:top w:w="128" w:type="dxa"/>
              <w:left w:w="43" w:type="dxa"/>
              <w:bottom w:w="43" w:type="dxa"/>
              <w:right w:w="43" w:type="dxa"/>
            </w:tcMar>
          </w:tcPr>
          <w:p w14:paraId="2B273367"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19EBAFAA" w14:textId="77777777" w:rsidR="00972395" w:rsidRPr="00E73D4B" w:rsidRDefault="00F120C7" w:rsidP="004A107D">
            <w:r w:rsidRPr="00E73D4B">
              <w:t xml:space="preserve">Oppheve kravet til helseattest for </w:t>
            </w:r>
            <w:proofErr w:type="spellStart"/>
            <w:r w:rsidRPr="00E73D4B">
              <w:t>førarkort</w:t>
            </w:r>
            <w:proofErr w:type="spellEnd"/>
            <w:r w:rsidRPr="00E73D4B">
              <w:t xml:space="preserve"> for eldre</w:t>
            </w:r>
          </w:p>
        </w:tc>
        <w:tc>
          <w:tcPr>
            <w:tcW w:w="1465" w:type="dxa"/>
            <w:tcBorders>
              <w:top w:val="nil"/>
              <w:left w:val="nil"/>
              <w:bottom w:val="nil"/>
              <w:right w:val="nil"/>
            </w:tcBorders>
            <w:tcMar>
              <w:top w:w="128" w:type="dxa"/>
              <w:left w:w="43" w:type="dxa"/>
              <w:bottom w:w="43" w:type="dxa"/>
              <w:right w:w="43" w:type="dxa"/>
            </w:tcMar>
          </w:tcPr>
          <w:p w14:paraId="01BEDDE9" w14:textId="77777777" w:rsidR="00972395" w:rsidRPr="00E73D4B" w:rsidRDefault="00F120C7" w:rsidP="004A107D">
            <w:pPr>
              <w:jc w:val="right"/>
            </w:pPr>
            <w:r w:rsidRPr="00E73D4B">
              <w:t>Ja</w:t>
            </w:r>
          </w:p>
        </w:tc>
      </w:tr>
      <w:tr w:rsidR="00972395" w:rsidRPr="00E73D4B" w14:paraId="250A3A29"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363594B0"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40960412" w14:textId="77777777" w:rsidR="00972395" w:rsidRPr="00E73D4B" w:rsidRDefault="00F120C7" w:rsidP="004A107D">
            <w:pPr>
              <w:jc w:val="right"/>
            </w:pPr>
            <w:r w:rsidRPr="00E73D4B">
              <w:t>597</w:t>
            </w:r>
          </w:p>
        </w:tc>
        <w:tc>
          <w:tcPr>
            <w:tcW w:w="992" w:type="dxa"/>
            <w:tcBorders>
              <w:top w:val="nil"/>
              <w:left w:val="nil"/>
              <w:bottom w:val="nil"/>
              <w:right w:val="nil"/>
            </w:tcBorders>
            <w:tcMar>
              <w:top w:w="128" w:type="dxa"/>
              <w:left w:w="43" w:type="dxa"/>
              <w:bottom w:w="43" w:type="dxa"/>
              <w:right w:w="43" w:type="dxa"/>
            </w:tcMar>
          </w:tcPr>
          <w:p w14:paraId="5627021A"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318877F0" w14:textId="77777777" w:rsidR="00972395" w:rsidRPr="00E73D4B" w:rsidRDefault="00F120C7" w:rsidP="004A107D">
            <w:r w:rsidRPr="00E73D4B">
              <w:t xml:space="preserve">Ny vurdering av om </w:t>
            </w:r>
            <w:proofErr w:type="spellStart"/>
            <w:r w:rsidRPr="00E73D4B">
              <w:t>dei</w:t>
            </w:r>
            <w:proofErr w:type="spellEnd"/>
            <w:r w:rsidRPr="00E73D4B">
              <w:t xml:space="preserve"> som er </w:t>
            </w:r>
            <w:proofErr w:type="spellStart"/>
            <w:r w:rsidRPr="00E73D4B">
              <w:t>fråtekne</w:t>
            </w:r>
            <w:proofErr w:type="spellEnd"/>
            <w:r w:rsidRPr="00E73D4B">
              <w:t xml:space="preserve"> </w:t>
            </w:r>
            <w:proofErr w:type="spellStart"/>
            <w:r w:rsidRPr="00E73D4B">
              <w:t>førarkort</w:t>
            </w:r>
            <w:proofErr w:type="spellEnd"/>
            <w:r w:rsidRPr="00E73D4B">
              <w:t xml:space="preserve">, er eigna til å </w:t>
            </w:r>
            <w:proofErr w:type="spellStart"/>
            <w:r w:rsidRPr="00E73D4B">
              <w:t>køyre</w:t>
            </w:r>
            <w:proofErr w:type="spellEnd"/>
            <w:r w:rsidRPr="00E73D4B">
              <w:t xml:space="preserve"> bil</w:t>
            </w:r>
          </w:p>
        </w:tc>
        <w:tc>
          <w:tcPr>
            <w:tcW w:w="1465" w:type="dxa"/>
            <w:tcBorders>
              <w:top w:val="nil"/>
              <w:left w:val="nil"/>
              <w:bottom w:val="nil"/>
              <w:right w:val="nil"/>
            </w:tcBorders>
            <w:tcMar>
              <w:top w:w="128" w:type="dxa"/>
              <w:left w:w="43" w:type="dxa"/>
              <w:bottom w:w="43" w:type="dxa"/>
              <w:right w:w="43" w:type="dxa"/>
            </w:tcMar>
          </w:tcPr>
          <w:p w14:paraId="5B6DF985" w14:textId="77777777" w:rsidR="00972395" w:rsidRPr="00E73D4B" w:rsidRDefault="00F120C7" w:rsidP="004A107D">
            <w:pPr>
              <w:jc w:val="right"/>
            </w:pPr>
            <w:r w:rsidRPr="00E73D4B">
              <w:t>Ja</w:t>
            </w:r>
          </w:p>
        </w:tc>
      </w:tr>
      <w:tr w:rsidR="00972395" w:rsidRPr="00E73D4B" w14:paraId="060D7B21"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1465FE61"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27DC8DA8" w14:textId="77777777" w:rsidR="00972395" w:rsidRPr="00E73D4B" w:rsidRDefault="00F120C7" w:rsidP="004A107D">
            <w:pPr>
              <w:jc w:val="right"/>
            </w:pPr>
            <w:r w:rsidRPr="00E73D4B">
              <w:t>661</w:t>
            </w:r>
          </w:p>
        </w:tc>
        <w:tc>
          <w:tcPr>
            <w:tcW w:w="992" w:type="dxa"/>
            <w:tcBorders>
              <w:top w:val="nil"/>
              <w:left w:val="nil"/>
              <w:bottom w:val="nil"/>
              <w:right w:val="nil"/>
            </w:tcBorders>
            <w:tcMar>
              <w:top w:w="128" w:type="dxa"/>
              <w:left w:w="43" w:type="dxa"/>
              <w:bottom w:w="43" w:type="dxa"/>
              <w:right w:w="43" w:type="dxa"/>
            </w:tcMar>
          </w:tcPr>
          <w:p w14:paraId="53332545"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6C29AD98" w14:textId="77777777" w:rsidR="00972395" w:rsidRPr="00E73D4B" w:rsidRDefault="00F120C7" w:rsidP="004A107D">
            <w:r w:rsidRPr="00E73D4B">
              <w:t xml:space="preserve">Reduserte </w:t>
            </w:r>
            <w:proofErr w:type="spellStart"/>
            <w:r w:rsidRPr="00E73D4B">
              <w:t>ferjetakstar</w:t>
            </w:r>
            <w:proofErr w:type="spellEnd"/>
            <w:r w:rsidRPr="00E73D4B">
              <w:t xml:space="preserve"> og </w:t>
            </w:r>
            <w:proofErr w:type="spellStart"/>
            <w:r w:rsidRPr="00E73D4B">
              <w:t>forpliktande</w:t>
            </w:r>
            <w:proofErr w:type="spellEnd"/>
            <w:r w:rsidRPr="00E73D4B">
              <w:t xml:space="preserve"> plan for å halvere </w:t>
            </w:r>
            <w:proofErr w:type="spellStart"/>
            <w:r w:rsidRPr="00E73D4B">
              <w:t>dei</w:t>
            </w:r>
            <w:proofErr w:type="spellEnd"/>
            <w:r w:rsidRPr="00E73D4B">
              <w:t xml:space="preserve"> på riks- og fylkesvegsamband</w:t>
            </w:r>
          </w:p>
        </w:tc>
        <w:tc>
          <w:tcPr>
            <w:tcW w:w="1465" w:type="dxa"/>
            <w:tcBorders>
              <w:top w:val="nil"/>
              <w:left w:val="nil"/>
              <w:bottom w:val="nil"/>
              <w:right w:val="nil"/>
            </w:tcBorders>
            <w:tcMar>
              <w:top w:w="128" w:type="dxa"/>
              <w:left w:w="43" w:type="dxa"/>
              <w:bottom w:w="43" w:type="dxa"/>
              <w:right w:w="43" w:type="dxa"/>
            </w:tcMar>
          </w:tcPr>
          <w:p w14:paraId="15F57EC8" w14:textId="77777777" w:rsidR="00972395" w:rsidRPr="00E73D4B" w:rsidRDefault="00F120C7" w:rsidP="004A107D">
            <w:pPr>
              <w:jc w:val="right"/>
            </w:pPr>
            <w:r w:rsidRPr="00E73D4B">
              <w:t>Ja</w:t>
            </w:r>
          </w:p>
        </w:tc>
      </w:tr>
      <w:tr w:rsidR="00972395" w:rsidRPr="00E73D4B" w14:paraId="4542E01A"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4E394481"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0605E674" w14:textId="77777777" w:rsidR="00972395" w:rsidRPr="00E73D4B" w:rsidRDefault="00F120C7" w:rsidP="004A107D">
            <w:pPr>
              <w:jc w:val="right"/>
            </w:pPr>
            <w:r w:rsidRPr="00E73D4B">
              <w:t>768</w:t>
            </w:r>
          </w:p>
        </w:tc>
        <w:tc>
          <w:tcPr>
            <w:tcW w:w="992" w:type="dxa"/>
            <w:tcBorders>
              <w:top w:val="nil"/>
              <w:left w:val="nil"/>
              <w:bottom w:val="nil"/>
              <w:right w:val="nil"/>
            </w:tcBorders>
            <w:tcMar>
              <w:top w:w="128" w:type="dxa"/>
              <w:left w:w="43" w:type="dxa"/>
              <w:bottom w:w="43" w:type="dxa"/>
              <w:right w:w="43" w:type="dxa"/>
            </w:tcMar>
          </w:tcPr>
          <w:p w14:paraId="2B669E99"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1ADF1EBD" w14:textId="77777777" w:rsidR="00972395" w:rsidRPr="00E73D4B" w:rsidRDefault="00F120C7" w:rsidP="004A107D">
            <w:proofErr w:type="spellStart"/>
            <w:r w:rsidRPr="00E73D4B">
              <w:t>Traseval</w:t>
            </w:r>
            <w:proofErr w:type="spellEnd"/>
            <w:r w:rsidRPr="00E73D4B">
              <w:t xml:space="preserve"> og </w:t>
            </w:r>
            <w:proofErr w:type="spellStart"/>
            <w:r w:rsidRPr="00E73D4B">
              <w:t>mogeleg</w:t>
            </w:r>
            <w:proofErr w:type="spellEnd"/>
            <w:r w:rsidRPr="00E73D4B">
              <w:t xml:space="preserve"> finansieringsmodell for prosjektet Oslo–Stockholm 2.55</w:t>
            </w:r>
          </w:p>
        </w:tc>
        <w:tc>
          <w:tcPr>
            <w:tcW w:w="1465" w:type="dxa"/>
            <w:tcBorders>
              <w:top w:val="nil"/>
              <w:left w:val="nil"/>
              <w:bottom w:val="nil"/>
              <w:right w:val="nil"/>
            </w:tcBorders>
            <w:tcMar>
              <w:top w:w="128" w:type="dxa"/>
              <w:left w:w="43" w:type="dxa"/>
              <w:bottom w:w="43" w:type="dxa"/>
              <w:right w:w="43" w:type="dxa"/>
            </w:tcMar>
          </w:tcPr>
          <w:p w14:paraId="7CAAF340" w14:textId="77777777" w:rsidR="00972395" w:rsidRPr="00E73D4B" w:rsidRDefault="00F120C7" w:rsidP="004A107D">
            <w:pPr>
              <w:jc w:val="right"/>
            </w:pPr>
            <w:r w:rsidRPr="00E73D4B">
              <w:t>Ja</w:t>
            </w:r>
          </w:p>
        </w:tc>
      </w:tr>
      <w:tr w:rsidR="00972395" w:rsidRPr="00E73D4B" w14:paraId="2291879F"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319C170B"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4C2CD36B" w14:textId="77777777" w:rsidR="00972395" w:rsidRPr="00E73D4B" w:rsidRDefault="00F120C7" w:rsidP="004A107D">
            <w:pPr>
              <w:jc w:val="right"/>
            </w:pPr>
            <w:r w:rsidRPr="00E73D4B">
              <w:t>800</w:t>
            </w:r>
          </w:p>
        </w:tc>
        <w:tc>
          <w:tcPr>
            <w:tcW w:w="992" w:type="dxa"/>
            <w:tcBorders>
              <w:top w:val="nil"/>
              <w:left w:val="nil"/>
              <w:bottom w:val="nil"/>
              <w:right w:val="nil"/>
            </w:tcBorders>
            <w:tcMar>
              <w:top w:w="128" w:type="dxa"/>
              <w:left w:w="43" w:type="dxa"/>
              <w:bottom w:w="43" w:type="dxa"/>
              <w:right w:w="43" w:type="dxa"/>
            </w:tcMar>
          </w:tcPr>
          <w:p w14:paraId="6EB78237"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110B69BA" w14:textId="77777777" w:rsidR="00972395" w:rsidRPr="00E73D4B" w:rsidRDefault="00F120C7" w:rsidP="004A107D">
            <w:r w:rsidRPr="00E73D4B">
              <w:t xml:space="preserve">Forskriftsendring knytt til endring av </w:t>
            </w:r>
            <w:proofErr w:type="gramStart"/>
            <w:r w:rsidRPr="00E73D4B">
              <w:t>tillate</w:t>
            </w:r>
            <w:proofErr w:type="gramEnd"/>
            <w:r w:rsidRPr="00E73D4B">
              <w:t xml:space="preserve"> totalvekt på 7 500 kg eller </w:t>
            </w:r>
            <w:proofErr w:type="spellStart"/>
            <w:r w:rsidRPr="00E73D4B">
              <w:t>meir</w:t>
            </w:r>
            <w:proofErr w:type="spellEnd"/>
          </w:p>
        </w:tc>
        <w:tc>
          <w:tcPr>
            <w:tcW w:w="1465" w:type="dxa"/>
            <w:tcBorders>
              <w:top w:val="nil"/>
              <w:left w:val="nil"/>
              <w:bottom w:val="nil"/>
              <w:right w:val="nil"/>
            </w:tcBorders>
            <w:tcMar>
              <w:top w:w="128" w:type="dxa"/>
              <w:left w:w="43" w:type="dxa"/>
              <w:bottom w:w="43" w:type="dxa"/>
              <w:right w:w="43" w:type="dxa"/>
            </w:tcMar>
          </w:tcPr>
          <w:p w14:paraId="7DE3ADDA" w14:textId="77777777" w:rsidR="00972395" w:rsidRPr="00E73D4B" w:rsidRDefault="00F120C7" w:rsidP="004A107D">
            <w:pPr>
              <w:jc w:val="right"/>
            </w:pPr>
            <w:r w:rsidRPr="00E73D4B">
              <w:t>Nei</w:t>
            </w:r>
          </w:p>
        </w:tc>
      </w:tr>
      <w:tr w:rsidR="00972395" w:rsidRPr="00E73D4B" w14:paraId="15E2A2AA"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440CA951"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34C85800" w14:textId="77777777" w:rsidR="00972395" w:rsidRPr="00E73D4B" w:rsidRDefault="00F120C7" w:rsidP="004A107D">
            <w:pPr>
              <w:jc w:val="right"/>
            </w:pPr>
            <w:r w:rsidRPr="00E73D4B">
              <w:t>960</w:t>
            </w:r>
          </w:p>
        </w:tc>
        <w:tc>
          <w:tcPr>
            <w:tcW w:w="992" w:type="dxa"/>
            <w:tcBorders>
              <w:top w:val="nil"/>
              <w:left w:val="nil"/>
              <w:bottom w:val="nil"/>
              <w:right w:val="nil"/>
            </w:tcBorders>
            <w:tcMar>
              <w:top w:w="128" w:type="dxa"/>
              <w:left w:w="43" w:type="dxa"/>
              <w:bottom w:w="43" w:type="dxa"/>
              <w:right w:w="43" w:type="dxa"/>
            </w:tcMar>
          </w:tcPr>
          <w:p w14:paraId="04E4CE19"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58C33D3E" w14:textId="77777777" w:rsidR="00972395" w:rsidRPr="00E73D4B" w:rsidRDefault="00F120C7" w:rsidP="004A107D">
            <w:r w:rsidRPr="00E73D4B">
              <w:t xml:space="preserve">Medisinsk grunna dispensasjon etter </w:t>
            </w:r>
            <w:proofErr w:type="spellStart"/>
            <w:r w:rsidRPr="00E73D4B">
              <w:t>førarkortregelverket</w:t>
            </w:r>
            <w:proofErr w:type="spellEnd"/>
            <w:r w:rsidRPr="00E73D4B">
              <w:t xml:space="preserve"> for svaksynte</w:t>
            </w:r>
          </w:p>
        </w:tc>
        <w:tc>
          <w:tcPr>
            <w:tcW w:w="1465" w:type="dxa"/>
            <w:tcBorders>
              <w:top w:val="nil"/>
              <w:left w:val="nil"/>
              <w:bottom w:val="nil"/>
              <w:right w:val="nil"/>
            </w:tcBorders>
            <w:tcMar>
              <w:top w:w="128" w:type="dxa"/>
              <w:left w:w="43" w:type="dxa"/>
              <w:bottom w:w="43" w:type="dxa"/>
              <w:right w:w="43" w:type="dxa"/>
            </w:tcMar>
          </w:tcPr>
          <w:p w14:paraId="55115B26" w14:textId="77777777" w:rsidR="00972395" w:rsidRPr="00E73D4B" w:rsidRDefault="00F120C7" w:rsidP="004A107D">
            <w:pPr>
              <w:jc w:val="right"/>
            </w:pPr>
            <w:r w:rsidRPr="00E73D4B">
              <w:t>Nei</w:t>
            </w:r>
          </w:p>
        </w:tc>
      </w:tr>
      <w:tr w:rsidR="00972395" w:rsidRPr="00E73D4B" w14:paraId="3571FB2F"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32870FC7"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02750BBB" w14:textId="77777777" w:rsidR="00972395" w:rsidRPr="00E73D4B" w:rsidRDefault="00F120C7" w:rsidP="004A107D">
            <w:pPr>
              <w:jc w:val="right"/>
            </w:pPr>
            <w:r w:rsidRPr="00E73D4B">
              <w:t>1013</w:t>
            </w:r>
          </w:p>
        </w:tc>
        <w:tc>
          <w:tcPr>
            <w:tcW w:w="992" w:type="dxa"/>
            <w:tcBorders>
              <w:top w:val="nil"/>
              <w:left w:val="nil"/>
              <w:bottom w:val="nil"/>
              <w:right w:val="nil"/>
            </w:tcBorders>
            <w:tcMar>
              <w:top w:w="128" w:type="dxa"/>
              <w:left w:w="43" w:type="dxa"/>
              <w:bottom w:w="43" w:type="dxa"/>
              <w:right w:w="43" w:type="dxa"/>
            </w:tcMar>
          </w:tcPr>
          <w:p w14:paraId="5F4FAE84"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EE6F6E5" w14:textId="77777777" w:rsidR="00972395" w:rsidRPr="00E73D4B" w:rsidRDefault="00F120C7" w:rsidP="004A107D">
            <w:r w:rsidRPr="00E73D4B">
              <w:t xml:space="preserve">Oppheve kravet om helseattest for eldre </w:t>
            </w:r>
            <w:proofErr w:type="spellStart"/>
            <w:r w:rsidRPr="00E73D4B">
              <w:t>bilførarar</w:t>
            </w:r>
            <w:proofErr w:type="spellEnd"/>
          </w:p>
        </w:tc>
        <w:tc>
          <w:tcPr>
            <w:tcW w:w="1465" w:type="dxa"/>
            <w:tcBorders>
              <w:top w:val="nil"/>
              <w:left w:val="nil"/>
              <w:bottom w:val="nil"/>
              <w:right w:val="nil"/>
            </w:tcBorders>
            <w:tcMar>
              <w:top w:w="128" w:type="dxa"/>
              <w:left w:w="43" w:type="dxa"/>
              <w:bottom w:w="43" w:type="dxa"/>
              <w:right w:w="43" w:type="dxa"/>
            </w:tcMar>
          </w:tcPr>
          <w:p w14:paraId="4D9A59C0" w14:textId="77777777" w:rsidR="00972395" w:rsidRPr="00E73D4B" w:rsidRDefault="00F120C7" w:rsidP="004A107D">
            <w:pPr>
              <w:jc w:val="right"/>
            </w:pPr>
            <w:r w:rsidRPr="00E73D4B">
              <w:t>Ja</w:t>
            </w:r>
          </w:p>
        </w:tc>
      </w:tr>
      <w:tr w:rsidR="00972395" w:rsidRPr="00E73D4B" w14:paraId="338FF8CA"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70BE0B25"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45BE78D0" w14:textId="77777777" w:rsidR="00972395" w:rsidRPr="00E73D4B" w:rsidRDefault="00F120C7" w:rsidP="004A107D">
            <w:pPr>
              <w:jc w:val="right"/>
            </w:pPr>
            <w:r w:rsidRPr="00E73D4B">
              <w:t>1065</w:t>
            </w:r>
          </w:p>
        </w:tc>
        <w:tc>
          <w:tcPr>
            <w:tcW w:w="992" w:type="dxa"/>
            <w:tcBorders>
              <w:top w:val="nil"/>
              <w:left w:val="nil"/>
              <w:bottom w:val="nil"/>
              <w:right w:val="nil"/>
            </w:tcBorders>
            <w:tcMar>
              <w:top w:w="128" w:type="dxa"/>
              <w:left w:w="43" w:type="dxa"/>
              <w:bottom w:w="43" w:type="dxa"/>
              <w:right w:w="43" w:type="dxa"/>
            </w:tcMar>
          </w:tcPr>
          <w:p w14:paraId="372D8C78"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6972A751" w14:textId="77777777" w:rsidR="00972395" w:rsidRPr="00E73D4B" w:rsidRDefault="00F120C7" w:rsidP="004A107D">
            <w:r w:rsidRPr="00E73D4B">
              <w:t>Mobil- og internettdekking i nye riksvegprosjekt</w:t>
            </w:r>
          </w:p>
        </w:tc>
        <w:tc>
          <w:tcPr>
            <w:tcW w:w="1465" w:type="dxa"/>
            <w:tcBorders>
              <w:top w:val="nil"/>
              <w:left w:val="nil"/>
              <w:bottom w:val="nil"/>
              <w:right w:val="nil"/>
            </w:tcBorders>
            <w:tcMar>
              <w:top w:w="128" w:type="dxa"/>
              <w:left w:w="43" w:type="dxa"/>
              <w:bottom w:w="43" w:type="dxa"/>
              <w:right w:w="43" w:type="dxa"/>
            </w:tcMar>
          </w:tcPr>
          <w:p w14:paraId="6E89B274" w14:textId="77777777" w:rsidR="00972395" w:rsidRPr="00E73D4B" w:rsidRDefault="00F120C7" w:rsidP="004A107D">
            <w:pPr>
              <w:jc w:val="right"/>
            </w:pPr>
            <w:r w:rsidRPr="00E73D4B">
              <w:t>Nei</w:t>
            </w:r>
          </w:p>
        </w:tc>
      </w:tr>
      <w:tr w:rsidR="00972395" w:rsidRPr="00E73D4B" w14:paraId="5D485A56"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35481F8C"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2AEF003F" w14:textId="77777777" w:rsidR="00972395" w:rsidRPr="00E73D4B" w:rsidRDefault="00F120C7" w:rsidP="004A107D">
            <w:pPr>
              <w:jc w:val="right"/>
            </w:pPr>
            <w:r w:rsidRPr="00E73D4B">
              <w:t>1098</w:t>
            </w:r>
          </w:p>
        </w:tc>
        <w:tc>
          <w:tcPr>
            <w:tcW w:w="992" w:type="dxa"/>
            <w:tcBorders>
              <w:top w:val="nil"/>
              <w:left w:val="nil"/>
              <w:bottom w:val="nil"/>
              <w:right w:val="nil"/>
            </w:tcBorders>
            <w:tcMar>
              <w:top w:w="128" w:type="dxa"/>
              <w:left w:w="43" w:type="dxa"/>
              <w:bottom w:w="43" w:type="dxa"/>
              <w:right w:w="43" w:type="dxa"/>
            </w:tcMar>
          </w:tcPr>
          <w:p w14:paraId="2DE9482E"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6982D7A3" w14:textId="77777777" w:rsidR="00972395" w:rsidRPr="00E73D4B" w:rsidRDefault="00F120C7" w:rsidP="004A107D">
            <w:r w:rsidRPr="00E73D4B">
              <w:t>Permanent løysing for småflyaktiviteten i Oslo-området</w:t>
            </w:r>
          </w:p>
        </w:tc>
        <w:tc>
          <w:tcPr>
            <w:tcW w:w="1465" w:type="dxa"/>
            <w:tcBorders>
              <w:top w:val="nil"/>
              <w:left w:val="nil"/>
              <w:bottom w:val="nil"/>
              <w:right w:val="nil"/>
            </w:tcBorders>
            <w:tcMar>
              <w:top w:w="128" w:type="dxa"/>
              <w:left w:w="43" w:type="dxa"/>
              <w:bottom w:w="43" w:type="dxa"/>
              <w:right w:w="43" w:type="dxa"/>
            </w:tcMar>
          </w:tcPr>
          <w:p w14:paraId="5B977AA1" w14:textId="77777777" w:rsidR="00972395" w:rsidRPr="00E73D4B" w:rsidRDefault="00F120C7" w:rsidP="004A107D">
            <w:pPr>
              <w:jc w:val="right"/>
            </w:pPr>
            <w:r w:rsidRPr="00E73D4B">
              <w:t>Nei</w:t>
            </w:r>
          </w:p>
        </w:tc>
      </w:tr>
      <w:tr w:rsidR="00972395" w:rsidRPr="00E73D4B" w14:paraId="05B31956"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3BBE8C01"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180DD862" w14:textId="77777777" w:rsidR="00972395" w:rsidRPr="00E73D4B" w:rsidRDefault="00F120C7" w:rsidP="004A107D">
            <w:pPr>
              <w:jc w:val="right"/>
            </w:pPr>
            <w:r w:rsidRPr="00E73D4B">
              <w:t>1210</w:t>
            </w:r>
          </w:p>
        </w:tc>
        <w:tc>
          <w:tcPr>
            <w:tcW w:w="992" w:type="dxa"/>
            <w:tcBorders>
              <w:top w:val="nil"/>
              <w:left w:val="nil"/>
              <w:bottom w:val="nil"/>
              <w:right w:val="nil"/>
            </w:tcBorders>
            <w:tcMar>
              <w:top w:w="128" w:type="dxa"/>
              <w:left w:w="43" w:type="dxa"/>
              <w:bottom w:w="43" w:type="dxa"/>
              <w:right w:w="43" w:type="dxa"/>
            </w:tcMar>
          </w:tcPr>
          <w:p w14:paraId="6632EF28"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4B0DBD47" w14:textId="77777777" w:rsidR="00972395" w:rsidRPr="00E73D4B" w:rsidRDefault="00F120C7" w:rsidP="004A107D">
            <w:r w:rsidRPr="00E73D4B">
              <w:t xml:space="preserve">Evaluere lov om </w:t>
            </w:r>
            <w:proofErr w:type="spellStart"/>
            <w:r w:rsidRPr="00E73D4B">
              <w:t>utleige</w:t>
            </w:r>
            <w:proofErr w:type="spellEnd"/>
            <w:r w:rsidRPr="00E73D4B">
              <w:t xml:space="preserve"> av små elektriske </w:t>
            </w:r>
            <w:proofErr w:type="spellStart"/>
            <w:r w:rsidRPr="00E73D4B">
              <w:t>køyretøy</w:t>
            </w:r>
            <w:proofErr w:type="spellEnd"/>
            <w:r w:rsidRPr="00E73D4B">
              <w:t xml:space="preserve"> på </w:t>
            </w:r>
            <w:proofErr w:type="spellStart"/>
            <w:r w:rsidRPr="00E73D4B">
              <w:t>offentleg</w:t>
            </w:r>
            <w:proofErr w:type="spellEnd"/>
            <w:r w:rsidRPr="00E73D4B">
              <w:t xml:space="preserve"> grunn</w:t>
            </w:r>
          </w:p>
        </w:tc>
        <w:tc>
          <w:tcPr>
            <w:tcW w:w="1465" w:type="dxa"/>
            <w:tcBorders>
              <w:top w:val="nil"/>
              <w:left w:val="nil"/>
              <w:bottom w:val="nil"/>
              <w:right w:val="nil"/>
            </w:tcBorders>
            <w:tcMar>
              <w:top w:w="128" w:type="dxa"/>
              <w:left w:w="43" w:type="dxa"/>
              <w:bottom w:w="43" w:type="dxa"/>
              <w:right w:w="43" w:type="dxa"/>
            </w:tcMar>
          </w:tcPr>
          <w:p w14:paraId="69232E46" w14:textId="77777777" w:rsidR="00972395" w:rsidRPr="00E73D4B" w:rsidRDefault="00F120C7" w:rsidP="004A107D">
            <w:pPr>
              <w:jc w:val="right"/>
            </w:pPr>
            <w:r w:rsidRPr="00E73D4B">
              <w:t>Nei</w:t>
            </w:r>
          </w:p>
        </w:tc>
      </w:tr>
      <w:tr w:rsidR="00972395" w:rsidRPr="00E73D4B" w14:paraId="7DFD3CD9"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42DFACEB"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19F98173" w14:textId="77777777" w:rsidR="00972395" w:rsidRPr="00E73D4B" w:rsidRDefault="00F120C7" w:rsidP="004A107D">
            <w:pPr>
              <w:jc w:val="right"/>
            </w:pPr>
            <w:r w:rsidRPr="00E73D4B">
              <w:t>1230</w:t>
            </w:r>
          </w:p>
        </w:tc>
        <w:tc>
          <w:tcPr>
            <w:tcW w:w="992" w:type="dxa"/>
            <w:tcBorders>
              <w:top w:val="nil"/>
              <w:left w:val="nil"/>
              <w:bottom w:val="nil"/>
              <w:right w:val="nil"/>
            </w:tcBorders>
            <w:tcMar>
              <w:top w:w="128" w:type="dxa"/>
              <w:left w:w="43" w:type="dxa"/>
              <w:bottom w:w="43" w:type="dxa"/>
              <w:right w:w="43" w:type="dxa"/>
            </w:tcMar>
          </w:tcPr>
          <w:p w14:paraId="13E7D699"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40205970" w14:textId="77777777" w:rsidR="00972395" w:rsidRPr="00E73D4B" w:rsidRDefault="00F120C7" w:rsidP="004A107D">
            <w:proofErr w:type="spellStart"/>
            <w:r w:rsidRPr="00E73D4B">
              <w:t>Vedlikehald</w:t>
            </w:r>
            <w:proofErr w:type="spellEnd"/>
            <w:r w:rsidRPr="00E73D4B">
              <w:t xml:space="preserve"> og opprusting av </w:t>
            </w:r>
            <w:proofErr w:type="spellStart"/>
            <w:r w:rsidRPr="00E73D4B">
              <w:t>Tinnosbanen</w:t>
            </w:r>
            <w:proofErr w:type="spellEnd"/>
          </w:p>
        </w:tc>
        <w:tc>
          <w:tcPr>
            <w:tcW w:w="1465" w:type="dxa"/>
            <w:tcBorders>
              <w:top w:val="nil"/>
              <w:left w:val="nil"/>
              <w:bottom w:val="nil"/>
              <w:right w:val="nil"/>
            </w:tcBorders>
            <w:tcMar>
              <w:top w:w="128" w:type="dxa"/>
              <w:left w:w="43" w:type="dxa"/>
              <w:bottom w:w="43" w:type="dxa"/>
              <w:right w:w="43" w:type="dxa"/>
            </w:tcMar>
          </w:tcPr>
          <w:p w14:paraId="3413FDD2" w14:textId="77777777" w:rsidR="00972395" w:rsidRPr="00E73D4B" w:rsidRDefault="00F120C7" w:rsidP="004A107D">
            <w:pPr>
              <w:jc w:val="right"/>
            </w:pPr>
            <w:r w:rsidRPr="00E73D4B">
              <w:t>Ja</w:t>
            </w:r>
          </w:p>
        </w:tc>
      </w:tr>
      <w:tr w:rsidR="00972395" w:rsidRPr="00E73D4B" w14:paraId="568809AB"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77144FAF"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6141DA58" w14:textId="77777777" w:rsidR="00972395" w:rsidRPr="00E73D4B" w:rsidRDefault="00F120C7" w:rsidP="004A107D">
            <w:pPr>
              <w:jc w:val="right"/>
            </w:pPr>
            <w:r w:rsidRPr="00E73D4B">
              <w:t>1232</w:t>
            </w:r>
          </w:p>
        </w:tc>
        <w:tc>
          <w:tcPr>
            <w:tcW w:w="992" w:type="dxa"/>
            <w:tcBorders>
              <w:top w:val="nil"/>
              <w:left w:val="nil"/>
              <w:bottom w:val="nil"/>
              <w:right w:val="nil"/>
            </w:tcBorders>
            <w:tcMar>
              <w:top w:w="128" w:type="dxa"/>
              <w:left w:w="43" w:type="dxa"/>
              <w:bottom w:w="43" w:type="dxa"/>
              <w:right w:w="43" w:type="dxa"/>
            </w:tcMar>
          </w:tcPr>
          <w:p w14:paraId="36623FDB"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72387EE2" w14:textId="77777777" w:rsidR="00972395" w:rsidRPr="00E73D4B" w:rsidRDefault="00F120C7" w:rsidP="004A107D">
            <w:r w:rsidRPr="00E73D4B">
              <w:t xml:space="preserve">Utarbeide </w:t>
            </w:r>
            <w:proofErr w:type="spellStart"/>
            <w:r w:rsidRPr="00E73D4B">
              <w:t>forbrukarvennleg</w:t>
            </w:r>
            <w:proofErr w:type="spellEnd"/>
            <w:r w:rsidRPr="00E73D4B">
              <w:t xml:space="preserve"> nasjonal ladestrategi </w:t>
            </w:r>
          </w:p>
        </w:tc>
        <w:tc>
          <w:tcPr>
            <w:tcW w:w="1465" w:type="dxa"/>
            <w:tcBorders>
              <w:top w:val="nil"/>
              <w:left w:val="nil"/>
              <w:bottom w:val="nil"/>
              <w:right w:val="nil"/>
            </w:tcBorders>
            <w:tcMar>
              <w:top w:w="128" w:type="dxa"/>
              <w:left w:w="43" w:type="dxa"/>
              <w:bottom w:w="43" w:type="dxa"/>
              <w:right w:w="43" w:type="dxa"/>
            </w:tcMar>
          </w:tcPr>
          <w:p w14:paraId="7C68AB7E" w14:textId="77777777" w:rsidR="00972395" w:rsidRPr="00E73D4B" w:rsidRDefault="00F120C7" w:rsidP="004A107D">
            <w:pPr>
              <w:jc w:val="right"/>
            </w:pPr>
            <w:r w:rsidRPr="00E73D4B">
              <w:t>Ja</w:t>
            </w:r>
          </w:p>
        </w:tc>
      </w:tr>
      <w:tr w:rsidR="00972395" w:rsidRPr="00E73D4B" w14:paraId="6795957B"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3BE7B991"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43C6BE5A" w14:textId="77777777" w:rsidR="00972395" w:rsidRPr="00E73D4B" w:rsidRDefault="00F120C7" w:rsidP="004A107D">
            <w:pPr>
              <w:jc w:val="right"/>
            </w:pPr>
            <w:r w:rsidRPr="00E73D4B">
              <w:t>1233</w:t>
            </w:r>
          </w:p>
        </w:tc>
        <w:tc>
          <w:tcPr>
            <w:tcW w:w="992" w:type="dxa"/>
            <w:tcBorders>
              <w:top w:val="nil"/>
              <w:left w:val="nil"/>
              <w:bottom w:val="nil"/>
              <w:right w:val="nil"/>
            </w:tcBorders>
            <w:tcMar>
              <w:top w:w="128" w:type="dxa"/>
              <w:left w:w="43" w:type="dxa"/>
              <w:bottom w:w="43" w:type="dxa"/>
              <w:right w:w="43" w:type="dxa"/>
            </w:tcMar>
          </w:tcPr>
          <w:p w14:paraId="3A8151E5"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0E2F97CF" w14:textId="77777777" w:rsidR="00972395" w:rsidRPr="00E73D4B" w:rsidRDefault="00F120C7" w:rsidP="004A107D">
            <w:r w:rsidRPr="00E73D4B">
              <w:t xml:space="preserve">Innarbeide universell utforming av samferdselssektoren som </w:t>
            </w:r>
            <w:proofErr w:type="spellStart"/>
            <w:r w:rsidRPr="00E73D4B">
              <w:t>eit</w:t>
            </w:r>
            <w:proofErr w:type="spellEnd"/>
            <w:r w:rsidRPr="00E73D4B">
              <w:t xml:space="preserve"> overordna mål i all transportplanlegging</w:t>
            </w:r>
          </w:p>
        </w:tc>
        <w:tc>
          <w:tcPr>
            <w:tcW w:w="1465" w:type="dxa"/>
            <w:tcBorders>
              <w:top w:val="nil"/>
              <w:left w:val="nil"/>
              <w:bottom w:val="nil"/>
              <w:right w:val="nil"/>
            </w:tcBorders>
            <w:tcMar>
              <w:top w:w="128" w:type="dxa"/>
              <w:left w:w="43" w:type="dxa"/>
              <w:bottom w:w="43" w:type="dxa"/>
              <w:right w:w="43" w:type="dxa"/>
            </w:tcMar>
          </w:tcPr>
          <w:p w14:paraId="52DF9CF7" w14:textId="77777777" w:rsidR="00972395" w:rsidRPr="00E73D4B" w:rsidRDefault="00F120C7" w:rsidP="004A107D">
            <w:pPr>
              <w:jc w:val="right"/>
            </w:pPr>
            <w:r w:rsidRPr="00E73D4B">
              <w:t>Nei</w:t>
            </w:r>
          </w:p>
        </w:tc>
      </w:tr>
      <w:tr w:rsidR="00972395" w:rsidRPr="00E73D4B" w14:paraId="0BF72FCF"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70948325"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0C781F20" w14:textId="77777777" w:rsidR="00972395" w:rsidRPr="00E73D4B" w:rsidRDefault="00F120C7" w:rsidP="004A107D">
            <w:pPr>
              <w:jc w:val="right"/>
            </w:pPr>
            <w:r w:rsidRPr="00E73D4B">
              <w:t>1235</w:t>
            </w:r>
          </w:p>
        </w:tc>
        <w:tc>
          <w:tcPr>
            <w:tcW w:w="992" w:type="dxa"/>
            <w:tcBorders>
              <w:top w:val="nil"/>
              <w:left w:val="nil"/>
              <w:bottom w:val="nil"/>
              <w:right w:val="nil"/>
            </w:tcBorders>
            <w:tcMar>
              <w:top w:w="128" w:type="dxa"/>
              <w:left w:w="43" w:type="dxa"/>
              <w:bottom w:w="43" w:type="dxa"/>
              <w:right w:w="43" w:type="dxa"/>
            </w:tcMar>
          </w:tcPr>
          <w:p w14:paraId="774ECBB0"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24E92091" w14:textId="77777777" w:rsidR="00972395" w:rsidRPr="00E73D4B" w:rsidRDefault="00F120C7" w:rsidP="004A107D">
            <w:r w:rsidRPr="00E73D4B">
              <w:t xml:space="preserve">Nasjonal gjennomføringsplan for skredsikring av riks- og </w:t>
            </w:r>
            <w:proofErr w:type="spellStart"/>
            <w:r w:rsidRPr="00E73D4B">
              <w:t>fylkesvegar</w:t>
            </w:r>
            <w:proofErr w:type="spellEnd"/>
            <w:r w:rsidRPr="00E73D4B">
              <w:t xml:space="preserve"> </w:t>
            </w:r>
          </w:p>
        </w:tc>
        <w:tc>
          <w:tcPr>
            <w:tcW w:w="1465" w:type="dxa"/>
            <w:tcBorders>
              <w:top w:val="nil"/>
              <w:left w:val="nil"/>
              <w:bottom w:val="nil"/>
              <w:right w:val="nil"/>
            </w:tcBorders>
            <w:tcMar>
              <w:top w:w="128" w:type="dxa"/>
              <w:left w:w="43" w:type="dxa"/>
              <w:bottom w:w="43" w:type="dxa"/>
              <w:right w:w="43" w:type="dxa"/>
            </w:tcMar>
          </w:tcPr>
          <w:p w14:paraId="1E931772" w14:textId="77777777" w:rsidR="00972395" w:rsidRPr="00E73D4B" w:rsidRDefault="00F120C7" w:rsidP="004A107D">
            <w:pPr>
              <w:jc w:val="right"/>
            </w:pPr>
            <w:r w:rsidRPr="00E73D4B">
              <w:t>Ja</w:t>
            </w:r>
          </w:p>
        </w:tc>
      </w:tr>
      <w:tr w:rsidR="00972395" w:rsidRPr="00E73D4B" w14:paraId="6B7BE1CF" w14:textId="77777777" w:rsidTr="0076431D">
        <w:trPr>
          <w:trHeight w:val="640"/>
        </w:trPr>
        <w:tc>
          <w:tcPr>
            <w:tcW w:w="1375" w:type="dxa"/>
            <w:tcBorders>
              <w:top w:val="nil"/>
              <w:left w:val="nil"/>
              <w:bottom w:val="nil"/>
              <w:right w:val="nil"/>
            </w:tcBorders>
            <w:tcMar>
              <w:top w:w="128" w:type="dxa"/>
              <w:left w:w="43" w:type="dxa"/>
              <w:bottom w:w="43" w:type="dxa"/>
              <w:right w:w="43" w:type="dxa"/>
            </w:tcMar>
          </w:tcPr>
          <w:p w14:paraId="24F1BEF0"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6936D381" w14:textId="77777777" w:rsidR="00972395" w:rsidRPr="00E73D4B" w:rsidRDefault="00F120C7" w:rsidP="004A107D">
            <w:pPr>
              <w:jc w:val="right"/>
            </w:pPr>
            <w:r w:rsidRPr="00E73D4B">
              <w:t>1240</w:t>
            </w:r>
          </w:p>
        </w:tc>
        <w:tc>
          <w:tcPr>
            <w:tcW w:w="992" w:type="dxa"/>
            <w:tcBorders>
              <w:top w:val="nil"/>
              <w:left w:val="nil"/>
              <w:bottom w:val="nil"/>
              <w:right w:val="nil"/>
            </w:tcBorders>
            <w:tcMar>
              <w:top w:w="128" w:type="dxa"/>
              <w:left w:w="43" w:type="dxa"/>
              <w:bottom w:w="43" w:type="dxa"/>
              <w:right w:w="43" w:type="dxa"/>
            </w:tcMar>
          </w:tcPr>
          <w:p w14:paraId="775CDF4A"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40EF1B82" w14:textId="77777777" w:rsidR="00972395" w:rsidRPr="00E73D4B" w:rsidRDefault="00F120C7" w:rsidP="004A107D">
            <w:r w:rsidRPr="00E73D4B">
              <w:t xml:space="preserve">Prøveordning med fartsgrense på 120 km/t på </w:t>
            </w:r>
            <w:proofErr w:type="spellStart"/>
            <w:r w:rsidRPr="00E73D4B">
              <w:t>motorvegar</w:t>
            </w:r>
            <w:proofErr w:type="spellEnd"/>
            <w:r w:rsidRPr="00E73D4B">
              <w:t xml:space="preserve"> med fire felt</w:t>
            </w:r>
          </w:p>
        </w:tc>
        <w:tc>
          <w:tcPr>
            <w:tcW w:w="1465" w:type="dxa"/>
            <w:tcBorders>
              <w:top w:val="nil"/>
              <w:left w:val="nil"/>
              <w:bottom w:val="nil"/>
              <w:right w:val="nil"/>
            </w:tcBorders>
            <w:tcMar>
              <w:top w:w="128" w:type="dxa"/>
              <w:left w:w="43" w:type="dxa"/>
              <w:bottom w:w="43" w:type="dxa"/>
              <w:right w:w="43" w:type="dxa"/>
            </w:tcMar>
          </w:tcPr>
          <w:p w14:paraId="2FFF2D5C" w14:textId="77777777" w:rsidR="00972395" w:rsidRPr="00E73D4B" w:rsidRDefault="00F120C7" w:rsidP="004A107D">
            <w:pPr>
              <w:jc w:val="right"/>
            </w:pPr>
            <w:r w:rsidRPr="00E73D4B">
              <w:t>Ja</w:t>
            </w:r>
          </w:p>
        </w:tc>
      </w:tr>
      <w:tr w:rsidR="00972395" w:rsidRPr="00E73D4B" w14:paraId="29B7FBC9" w14:textId="77777777" w:rsidTr="0076431D">
        <w:trPr>
          <w:trHeight w:val="380"/>
        </w:trPr>
        <w:tc>
          <w:tcPr>
            <w:tcW w:w="1375" w:type="dxa"/>
            <w:tcBorders>
              <w:top w:val="nil"/>
              <w:left w:val="nil"/>
              <w:bottom w:val="nil"/>
              <w:right w:val="nil"/>
            </w:tcBorders>
            <w:tcMar>
              <w:top w:w="128" w:type="dxa"/>
              <w:left w:w="43" w:type="dxa"/>
              <w:bottom w:w="43" w:type="dxa"/>
              <w:right w:w="43" w:type="dxa"/>
            </w:tcMar>
          </w:tcPr>
          <w:p w14:paraId="0A92B5AB" w14:textId="77777777" w:rsidR="00972395" w:rsidRPr="00E73D4B" w:rsidRDefault="00F120C7" w:rsidP="0076431D">
            <w:pPr>
              <w:ind w:right="-43"/>
            </w:pPr>
            <w:r w:rsidRPr="00E73D4B">
              <w:t>2020–2021</w:t>
            </w:r>
          </w:p>
        </w:tc>
        <w:tc>
          <w:tcPr>
            <w:tcW w:w="1276" w:type="dxa"/>
            <w:tcBorders>
              <w:top w:val="nil"/>
              <w:left w:val="nil"/>
              <w:bottom w:val="nil"/>
              <w:right w:val="nil"/>
            </w:tcBorders>
            <w:tcMar>
              <w:top w:w="128" w:type="dxa"/>
              <w:left w:w="43" w:type="dxa"/>
              <w:bottom w:w="43" w:type="dxa"/>
              <w:right w:w="43" w:type="dxa"/>
            </w:tcMar>
          </w:tcPr>
          <w:p w14:paraId="39501127" w14:textId="77777777" w:rsidR="00972395" w:rsidRPr="00E73D4B" w:rsidRDefault="00F120C7" w:rsidP="004A107D">
            <w:pPr>
              <w:jc w:val="right"/>
            </w:pPr>
            <w:r w:rsidRPr="00E73D4B">
              <w:t>1242</w:t>
            </w:r>
          </w:p>
        </w:tc>
        <w:tc>
          <w:tcPr>
            <w:tcW w:w="992" w:type="dxa"/>
            <w:tcBorders>
              <w:top w:val="nil"/>
              <w:left w:val="nil"/>
              <w:bottom w:val="nil"/>
              <w:right w:val="nil"/>
            </w:tcBorders>
            <w:tcMar>
              <w:top w:w="128" w:type="dxa"/>
              <w:left w:w="43" w:type="dxa"/>
              <w:bottom w:w="43" w:type="dxa"/>
              <w:right w:w="43" w:type="dxa"/>
            </w:tcMar>
          </w:tcPr>
          <w:p w14:paraId="4FAEC934" w14:textId="77777777" w:rsidR="00972395" w:rsidRPr="00E73D4B" w:rsidRDefault="00972395" w:rsidP="004A107D">
            <w:pPr>
              <w:jc w:val="right"/>
            </w:pPr>
          </w:p>
        </w:tc>
        <w:tc>
          <w:tcPr>
            <w:tcW w:w="4012" w:type="dxa"/>
            <w:tcBorders>
              <w:top w:val="nil"/>
              <w:left w:val="nil"/>
              <w:bottom w:val="nil"/>
              <w:right w:val="nil"/>
            </w:tcBorders>
            <w:tcMar>
              <w:top w:w="128" w:type="dxa"/>
              <w:left w:w="43" w:type="dxa"/>
              <w:bottom w:w="43" w:type="dxa"/>
              <w:right w:w="43" w:type="dxa"/>
            </w:tcMar>
          </w:tcPr>
          <w:p w14:paraId="7F69A707" w14:textId="77777777" w:rsidR="00972395" w:rsidRPr="00E73D4B" w:rsidRDefault="00F120C7" w:rsidP="004A107D">
            <w:r w:rsidRPr="00E73D4B">
              <w:t xml:space="preserve">Informasjonsskilt langs </w:t>
            </w:r>
            <w:proofErr w:type="spellStart"/>
            <w:r w:rsidRPr="00E73D4B">
              <w:t>vegane</w:t>
            </w:r>
            <w:proofErr w:type="spellEnd"/>
            <w:r w:rsidRPr="00E73D4B">
              <w:t xml:space="preserve"> </w:t>
            </w:r>
          </w:p>
        </w:tc>
        <w:tc>
          <w:tcPr>
            <w:tcW w:w="1465" w:type="dxa"/>
            <w:tcBorders>
              <w:top w:val="nil"/>
              <w:left w:val="nil"/>
              <w:bottom w:val="nil"/>
              <w:right w:val="nil"/>
            </w:tcBorders>
            <w:tcMar>
              <w:top w:w="128" w:type="dxa"/>
              <w:left w:w="43" w:type="dxa"/>
              <w:bottom w:w="43" w:type="dxa"/>
              <w:right w:w="43" w:type="dxa"/>
            </w:tcMar>
          </w:tcPr>
          <w:p w14:paraId="1339C144" w14:textId="77777777" w:rsidR="00972395" w:rsidRPr="00E73D4B" w:rsidRDefault="00F120C7" w:rsidP="004A107D">
            <w:pPr>
              <w:jc w:val="right"/>
            </w:pPr>
            <w:r w:rsidRPr="00E73D4B">
              <w:t>Nei</w:t>
            </w:r>
          </w:p>
        </w:tc>
      </w:tr>
      <w:tr w:rsidR="00972395" w:rsidRPr="00E73D4B" w14:paraId="66D07A9D" w14:textId="77777777" w:rsidTr="0076431D">
        <w:trPr>
          <w:trHeight w:val="880"/>
        </w:trPr>
        <w:tc>
          <w:tcPr>
            <w:tcW w:w="1375" w:type="dxa"/>
            <w:tcBorders>
              <w:top w:val="nil"/>
              <w:left w:val="nil"/>
              <w:right w:val="nil"/>
            </w:tcBorders>
            <w:tcMar>
              <w:top w:w="128" w:type="dxa"/>
              <w:left w:w="43" w:type="dxa"/>
              <w:bottom w:w="43" w:type="dxa"/>
              <w:right w:w="43" w:type="dxa"/>
            </w:tcMar>
          </w:tcPr>
          <w:p w14:paraId="12431CB3" w14:textId="77777777" w:rsidR="00972395" w:rsidRPr="00E73D4B" w:rsidRDefault="00F120C7" w:rsidP="0076431D">
            <w:pPr>
              <w:ind w:right="-43"/>
            </w:pPr>
            <w:r w:rsidRPr="00E73D4B">
              <w:t>2019–2020</w:t>
            </w:r>
          </w:p>
        </w:tc>
        <w:tc>
          <w:tcPr>
            <w:tcW w:w="1276" w:type="dxa"/>
            <w:tcBorders>
              <w:top w:val="nil"/>
              <w:left w:val="nil"/>
              <w:right w:val="nil"/>
            </w:tcBorders>
            <w:tcMar>
              <w:top w:w="128" w:type="dxa"/>
              <w:left w:w="43" w:type="dxa"/>
              <w:bottom w:w="43" w:type="dxa"/>
              <w:right w:w="43" w:type="dxa"/>
            </w:tcMar>
          </w:tcPr>
          <w:p w14:paraId="33B0A7DD" w14:textId="77777777" w:rsidR="00972395" w:rsidRPr="00E73D4B" w:rsidRDefault="00F120C7" w:rsidP="004A107D">
            <w:pPr>
              <w:jc w:val="right"/>
            </w:pPr>
            <w:r w:rsidRPr="00E73D4B">
              <w:t>435</w:t>
            </w:r>
          </w:p>
        </w:tc>
        <w:tc>
          <w:tcPr>
            <w:tcW w:w="992" w:type="dxa"/>
            <w:tcBorders>
              <w:top w:val="nil"/>
              <w:left w:val="nil"/>
              <w:right w:val="nil"/>
            </w:tcBorders>
            <w:tcMar>
              <w:top w:w="128" w:type="dxa"/>
              <w:left w:w="43" w:type="dxa"/>
              <w:bottom w:w="43" w:type="dxa"/>
              <w:right w:w="43" w:type="dxa"/>
            </w:tcMar>
          </w:tcPr>
          <w:p w14:paraId="1B24A2E7" w14:textId="77777777" w:rsidR="00972395" w:rsidRPr="00E73D4B" w:rsidRDefault="00972395" w:rsidP="004A107D">
            <w:pPr>
              <w:jc w:val="right"/>
            </w:pPr>
          </w:p>
        </w:tc>
        <w:tc>
          <w:tcPr>
            <w:tcW w:w="4012" w:type="dxa"/>
            <w:tcBorders>
              <w:top w:val="nil"/>
              <w:left w:val="nil"/>
              <w:right w:val="nil"/>
            </w:tcBorders>
            <w:tcMar>
              <w:top w:w="128" w:type="dxa"/>
              <w:left w:w="43" w:type="dxa"/>
              <w:bottom w:w="43" w:type="dxa"/>
              <w:right w:w="43" w:type="dxa"/>
            </w:tcMar>
          </w:tcPr>
          <w:p w14:paraId="678A34AF" w14:textId="77777777" w:rsidR="00972395" w:rsidRPr="00E73D4B" w:rsidRDefault="00F120C7" w:rsidP="004A107D">
            <w:r w:rsidRPr="00E73D4B">
              <w:t xml:space="preserve">Digitalt transportregister for all internasjonal godstrafikk, kombinerte </w:t>
            </w:r>
            <w:proofErr w:type="spellStart"/>
            <w:r w:rsidRPr="00E73D4B">
              <w:t>transportar</w:t>
            </w:r>
            <w:proofErr w:type="spellEnd"/>
            <w:r w:rsidRPr="00E73D4B">
              <w:t xml:space="preserve"> og </w:t>
            </w:r>
            <w:proofErr w:type="spellStart"/>
            <w:r w:rsidRPr="00E73D4B">
              <w:t>kabotasjeturar</w:t>
            </w:r>
            <w:proofErr w:type="spellEnd"/>
            <w:r w:rsidRPr="00E73D4B">
              <w:t xml:space="preserve"> i </w:t>
            </w:r>
            <w:proofErr w:type="spellStart"/>
            <w:r w:rsidRPr="00E73D4B">
              <w:t>Noreg</w:t>
            </w:r>
            <w:proofErr w:type="spellEnd"/>
          </w:p>
        </w:tc>
        <w:tc>
          <w:tcPr>
            <w:tcW w:w="1465" w:type="dxa"/>
            <w:tcBorders>
              <w:top w:val="nil"/>
              <w:left w:val="nil"/>
              <w:right w:val="nil"/>
            </w:tcBorders>
            <w:tcMar>
              <w:top w:w="128" w:type="dxa"/>
              <w:left w:w="43" w:type="dxa"/>
              <w:bottom w:w="43" w:type="dxa"/>
              <w:right w:w="43" w:type="dxa"/>
            </w:tcMar>
          </w:tcPr>
          <w:p w14:paraId="3C140354" w14:textId="77777777" w:rsidR="00972395" w:rsidRPr="00E73D4B" w:rsidRDefault="00F120C7" w:rsidP="004A107D">
            <w:pPr>
              <w:jc w:val="right"/>
            </w:pPr>
            <w:r w:rsidRPr="00E73D4B">
              <w:t>Nei</w:t>
            </w:r>
          </w:p>
        </w:tc>
      </w:tr>
      <w:tr w:rsidR="00972395" w:rsidRPr="00E73D4B" w14:paraId="3EA995E0" w14:textId="77777777" w:rsidTr="0076431D">
        <w:trPr>
          <w:trHeight w:val="640"/>
        </w:trPr>
        <w:tc>
          <w:tcPr>
            <w:tcW w:w="1375" w:type="dxa"/>
            <w:tcBorders>
              <w:top w:val="nil"/>
              <w:left w:val="nil"/>
              <w:bottom w:val="single" w:sz="4" w:space="0" w:color="000000"/>
              <w:right w:val="nil"/>
            </w:tcBorders>
            <w:shd w:val="clear" w:color="auto" w:fill="auto"/>
            <w:tcMar>
              <w:top w:w="128" w:type="dxa"/>
              <w:left w:w="43" w:type="dxa"/>
              <w:bottom w:w="43" w:type="dxa"/>
              <w:right w:w="43" w:type="dxa"/>
            </w:tcMar>
          </w:tcPr>
          <w:p w14:paraId="66FCD5B7" w14:textId="77777777" w:rsidR="00972395" w:rsidRPr="00E73D4B" w:rsidRDefault="00F120C7" w:rsidP="0076431D">
            <w:pPr>
              <w:ind w:right="-43"/>
            </w:pPr>
            <w:r w:rsidRPr="00E73D4B">
              <w:t>2018–2019</w:t>
            </w:r>
          </w:p>
        </w:tc>
        <w:tc>
          <w:tcPr>
            <w:tcW w:w="1276" w:type="dxa"/>
            <w:tcBorders>
              <w:top w:val="nil"/>
              <w:left w:val="nil"/>
              <w:bottom w:val="single" w:sz="4" w:space="0" w:color="000000"/>
              <w:right w:val="nil"/>
            </w:tcBorders>
            <w:shd w:val="clear" w:color="auto" w:fill="auto"/>
            <w:tcMar>
              <w:top w:w="128" w:type="dxa"/>
              <w:left w:w="43" w:type="dxa"/>
              <w:bottom w:w="43" w:type="dxa"/>
              <w:right w:w="43" w:type="dxa"/>
            </w:tcMar>
          </w:tcPr>
          <w:p w14:paraId="0C9FB0EA" w14:textId="77777777" w:rsidR="00972395" w:rsidRPr="00E73D4B" w:rsidRDefault="00F120C7" w:rsidP="004A107D">
            <w:pPr>
              <w:jc w:val="right"/>
            </w:pPr>
            <w:r w:rsidRPr="00E73D4B">
              <w:t>345</w:t>
            </w:r>
          </w:p>
        </w:tc>
        <w:tc>
          <w:tcPr>
            <w:tcW w:w="992" w:type="dxa"/>
            <w:tcBorders>
              <w:top w:val="nil"/>
              <w:left w:val="nil"/>
              <w:bottom w:val="single" w:sz="4" w:space="0" w:color="000000"/>
              <w:right w:val="nil"/>
            </w:tcBorders>
            <w:shd w:val="clear" w:color="auto" w:fill="auto"/>
            <w:tcMar>
              <w:top w:w="128" w:type="dxa"/>
              <w:left w:w="43" w:type="dxa"/>
              <w:bottom w:w="43" w:type="dxa"/>
              <w:right w:w="43" w:type="dxa"/>
            </w:tcMar>
          </w:tcPr>
          <w:p w14:paraId="6552B5E8" w14:textId="77777777" w:rsidR="00972395" w:rsidRPr="00E73D4B" w:rsidRDefault="00972395" w:rsidP="004A107D">
            <w:pPr>
              <w:jc w:val="right"/>
            </w:pPr>
          </w:p>
        </w:tc>
        <w:tc>
          <w:tcPr>
            <w:tcW w:w="4012" w:type="dxa"/>
            <w:tcBorders>
              <w:top w:val="nil"/>
              <w:left w:val="nil"/>
              <w:bottom w:val="single" w:sz="4" w:space="0" w:color="000000"/>
              <w:right w:val="nil"/>
            </w:tcBorders>
            <w:shd w:val="clear" w:color="auto" w:fill="auto"/>
            <w:tcMar>
              <w:top w:w="128" w:type="dxa"/>
              <w:left w:w="43" w:type="dxa"/>
              <w:bottom w:w="43" w:type="dxa"/>
              <w:right w:w="43" w:type="dxa"/>
            </w:tcMar>
          </w:tcPr>
          <w:p w14:paraId="31196843" w14:textId="77777777" w:rsidR="00972395" w:rsidRPr="00E73D4B" w:rsidRDefault="00F120C7" w:rsidP="004A107D">
            <w:r w:rsidRPr="00E73D4B">
              <w:t xml:space="preserve">Administrative </w:t>
            </w:r>
            <w:proofErr w:type="spellStart"/>
            <w:r w:rsidRPr="00E73D4B">
              <w:t>sanksjonar</w:t>
            </w:r>
            <w:proofErr w:type="spellEnd"/>
            <w:r w:rsidRPr="00E73D4B">
              <w:t xml:space="preserve"> ved </w:t>
            </w:r>
            <w:proofErr w:type="spellStart"/>
            <w:r w:rsidRPr="00E73D4B">
              <w:t>brot</w:t>
            </w:r>
            <w:proofErr w:type="spellEnd"/>
            <w:r w:rsidRPr="00E73D4B">
              <w:t xml:space="preserve"> på kabotasjeregelverket</w:t>
            </w:r>
          </w:p>
        </w:tc>
        <w:tc>
          <w:tcPr>
            <w:tcW w:w="1465" w:type="dxa"/>
            <w:tcBorders>
              <w:top w:val="nil"/>
              <w:left w:val="nil"/>
              <w:bottom w:val="single" w:sz="4" w:space="0" w:color="000000"/>
              <w:right w:val="nil"/>
            </w:tcBorders>
            <w:shd w:val="clear" w:color="auto" w:fill="auto"/>
            <w:tcMar>
              <w:top w:w="128" w:type="dxa"/>
              <w:left w:w="43" w:type="dxa"/>
              <w:bottom w:w="43" w:type="dxa"/>
              <w:right w:w="43" w:type="dxa"/>
            </w:tcMar>
          </w:tcPr>
          <w:p w14:paraId="36C1AA28" w14:textId="77777777" w:rsidR="00972395" w:rsidRPr="00E73D4B" w:rsidRDefault="00F120C7" w:rsidP="004A107D">
            <w:pPr>
              <w:jc w:val="right"/>
            </w:pPr>
            <w:r w:rsidRPr="00E73D4B">
              <w:t>Nei</w:t>
            </w:r>
          </w:p>
        </w:tc>
      </w:tr>
    </w:tbl>
    <w:p w14:paraId="6F571305" w14:textId="77777777" w:rsidR="00972395" w:rsidRPr="00E73D4B" w:rsidRDefault="00F120C7" w:rsidP="004A107D">
      <w:pPr>
        <w:pStyle w:val="Overskrift2"/>
        <w:numPr>
          <w:ilvl w:val="1"/>
          <w:numId w:val="40"/>
        </w:numPr>
      </w:pPr>
      <w:r w:rsidRPr="00E73D4B">
        <w:t>Stortingssesjon 2021–2022</w:t>
      </w:r>
    </w:p>
    <w:p w14:paraId="7A81AB49" w14:textId="77777777" w:rsidR="00972395" w:rsidRPr="00E73D4B" w:rsidRDefault="00F120C7" w:rsidP="00E73D4B">
      <w:pPr>
        <w:pStyle w:val="avsnitt-tittel"/>
      </w:pPr>
      <w:r w:rsidRPr="00E73D4B">
        <w:t xml:space="preserve">Basere </w:t>
      </w:r>
      <w:proofErr w:type="spellStart"/>
      <w:r w:rsidRPr="00E73D4B">
        <w:t>anbod</w:t>
      </w:r>
      <w:proofErr w:type="spellEnd"/>
      <w:r w:rsidRPr="00E73D4B">
        <w:t xml:space="preserve"> i fylkeskommunal ferje- og båttrafikk på nullutsleppsteknologi</w:t>
      </w:r>
    </w:p>
    <w:p w14:paraId="5B95151E" w14:textId="77777777" w:rsidR="00972395" w:rsidRPr="00E73D4B" w:rsidRDefault="00F120C7" w:rsidP="00E73D4B">
      <w:pPr>
        <w:pStyle w:val="avsnitt-undertittel"/>
      </w:pPr>
      <w:r w:rsidRPr="00E73D4B">
        <w:t>Vedtak nr. 35, punkt 1, 2. desember 2021</w:t>
      </w:r>
    </w:p>
    <w:p w14:paraId="0157F4A6" w14:textId="77777777" w:rsidR="00972395" w:rsidRPr="00E73D4B" w:rsidRDefault="00F120C7" w:rsidP="00E73D4B">
      <w:pPr>
        <w:pStyle w:val="blokksit"/>
      </w:pPr>
      <w:r w:rsidRPr="00E73D4B">
        <w:rPr>
          <w:rStyle w:val="kursiv"/>
        </w:rPr>
        <w:t>«Stortinget ber regjeringen legge til grunn at anbud i fylkeskommunal ferje- og båttrafikk så langt det lar seg gjøre skal baseres på teknologi, og kompensere fylkeskommuner for merkostnader knyttet til dette.»</w:t>
      </w:r>
    </w:p>
    <w:p w14:paraId="26512221" w14:textId="77777777" w:rsidR="00972395" w:rsidRPr="00E73D4B" w:rsidRDefault="00F120C7" w:rsidP="00E73D4B">
      <w:r w:rsidRPr="00E73D4B">
        <w:t xml:space="preserve">Vedtaket ble truffet ved behandlingen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11970AB5" w14:textId="77777777" w:rsidR="00972395" w:rsidRPr="00E73D4B" w:rsidRDefault="00F120C7" w:rsidP="00E73D4B">
      <w:r w:rsidRPr="00E73D4B">
        <w:t>På oppdrag fra Klima- og miljødepartementet har Direktoratet for forvaltning og økonomistyring, Miljødirektoratet, Sjøfartsdirektoratet og Statens vegvesen utarbeidet en rapport med forslag til lav- og nullutslippskrav ved anskaffelse av ferjer og hurtigbåter. Klima- og miljødepartementet ga deretter de samme direktoratene i tilleggsoppdrag å utrede mulig hjemmel for slike krav i skipssikkerhetsloven. På grunnlag av disse utredningene vil Samferdselsdepartementet, i samarbeid med Klima- og miljødepartementet, vurdere hvordan et ev. krav bør utformes. Grunnlag for kompensasjon vil også avhenge av hvordan kravene utformes.</w:t>
      </w:r>
    </w:p>
    <w:p w14:paraId="6A828201" w14:textId="77777777" w:rsidR="00972395" w:rsidRPr="00E73D4B" w:rsidRDefault="00F120C7" w:rsidP="00E73D4B">
      <w:r w:rsidRPr="00E73D4B">
        <w:t>Departementet vil komme tilbake til Stortinget på egnet måte.</w:t>
      </w:r>
    </w:p>
    <w:p w14:paraId="2BC2440F" w14:textId="77777777" w:rsidR="00972395" w:rsidRPr="00E73D4B" w:rsidRDefault="00F120C7" w:rsidP="00E73D4B">
      <w:pPr>
        <w:pStyle w:val="avsnitt-tittel"/>
      </w:pPr>
      <w:r w:rsidRPr="00E73D4B">
        <w:t>Likestille GA-</w:t>
      </w:r>
      <w:proofErr w:type="spellStart"/>
      <w:r w:rsidRPr="00E73D4B">
        <w:t>køyretøy</w:t>
      </w:r>
      <w:proofErr w:type="spellEnd"/>
      <w:r w:rsidRPr="00E73D4B">
        <w:t xml:space="preserve"> med el- og </w:t>
      </w:r>
      <w:proofErr w:type="spellStart"/>
      <w:r w:rsidRPr="00E73D4B">
        <w:t>hydrogendrivne</w:t>
      </w:r>
      <w:proofErr w:type="spellEnd"/>
      <w:r w:rsidRPr="00E73D4B">
        <w:t xml:space="preserve"> </w:t>
      </w:r>
      <w:proofErr w:type="spellStart"/>
      <w:r w:rsidRPr="00E73D4B">
        <w:t>bilar</w:t>
      </w:r>
      <w:proofErr w:type="spellEnd"/>
      <w:r w:rsidRPr="00E73D4B">
        <w:t xml:space="preserve"> i </w:t>
      </w:r>
      <w:proofErr w:type="spellStart"/>
      <w:r w:rsidRPr="00E73D4B">
        <w:t>bomringane</w:t>
      </w:r>
      <w:proofErr w:type="spellEnd"/>
    </w:p>
    <w:p w14:paraId="56B9AD98" w14:textId="77777777" w:rsidR="00972395" w:rsidRPr="00E73D4B" w:rsidRDefault="00F120C7" w:rsidP="00E73D4B">
      <w:pPr>
        <w:pStyle w:val="avsnitt-undertittel"/>
      </w:pPr>
      <w:r w:rsidRPr="00E73D4B">
        <w:t>Vedtak nr. 35, punkt 8, 2. desember 2021</w:t>
      </w:r>
    </w:p>
    <w:p w14:paraId="2C457843" w14:textId="77777777" w:rsidR="00972395" w:rsidRPr="00E73D4B" w:rsidRDefault="00F120C7" w:rsidP="00E73D4B">
      <w:pPr>
        <w:pStyle w:val="blokksit"/>
      </w:pPr>
      <w:r w:rsidRPr="00E73D4B">
        <w:rPr>
          <w:rStyle w:val="kursiv"/>
        </w:rPr>
        <w:t>«Stortinget ber regjeringen utrede og legge frem forslag om hvordan man kan likestille GA-kjøretøy som kjører på biogass, med el- og hydrogendrevne biler i bomringene snarest mulig og i løpet av 2022.»</w:t>
      </w:r>
    </w:p>
    <w:p w14:paraId="0023663B" w14:textId="77777777" w:rsidR="00972395" w:rsidRPr="00E73D4B" w:rsidRDefault="00F120C7" w:rsidP="00E73D4B">
      <w:r w:rsidRPr="00E73D4B">
        <w:t xml:space="preserve">Vedtaket ble truffet ved behandlingen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69158846" w14:textId="77777777" w:rsidR="00972395" w:rsidRPr="00E73D4B" w:rsidRDefault="00F120C7" w:rsidP="00E73D4B">
      <w:r w:rsidRPr="00E73D4B">
        <w:t xml:space="preserve">Samferdselsdepartementet redegjorde i </w:t>
      </w:r>
      <w:proofErr w:type="spellStart"/>
      <w:r w:rsidRPr="00E73D4B">
        <w:t>Prop</w:t>
      </w:r>
      <w:proofErr w:type="spellEnd"/>
      <w:r w:rsidRPr="00E73D4B">
        <w:t xml:space="preserve">. 111 S (2021–2022) </w:t>
      </w:r>
      <w:proofErr w:type="spellStart"/>
      <w:r w:rsidRPr="00E73D4B">
        <w:rPr>
          <w:rStyle w:val="kursiv"/>
        </w:rPr>
        <w:t>Nokre</w:t>
      </w:r>
      <w:proofErr w:type="spellEnd"/>
      <w:r w:rsidRPr="00E73D4B">
        <w:rPr>
          <w:rStyle w:val="kursiv"/>
        </w:rPr>
        <w:t xml:space="preserve"> saker om veg, </w:t>
      </w:r>
      <w:proofErr w:type="spellStart"/>
      <w:r w:rsidRPr="00E73D4B">
        <w:rPr>
          <w:rStyle w:val="kursiv"/>
        </w:rPr>
        <w:t>særskilde</w:t>
      </w:r>
      <w:proofErr w:type="spellEnd"/>
      <w:r w:rsidRPr="00E73D4B">
        <w:rPr>
          <w:rStyle w:val="kursiv"/>
        </w:rPr>
        <w:t xml:space="preserve"> transporttiltak og transport i byområda mv.</w:t>
      </w:r>
      <w:r w:rsidRPr="00E73D4B">
        <w:t xml:space="preserve"> for oppfølgingen av vedtaket og opplyste at departementet ville komme tilbake til Stortinget om saken, noe flertallet i transportkomiteen ikke hadde merknader til, jf. </w:t>
      </w:r>
      <w:proofErr w:type="spellStart"/>
      <w:r w:rsidRPr="00E73D4B">
        <w:t>Innst</w:t>
      </w:r>
      <w:proofErr w:type="spellEnd"/>
      <w:r w:rsidRPr="00E73D4B">
        <w:t>. 456 S (2021–2022).</w:t>
      </w:r>
    </w:p>
    <w:p w14:paraId="7A19D106" w14:textId="77777777" w:rsidR="00972395" w:rsidRPr="00E73D4B" w:rsidRDefault="00F120C7" w:rsidP="00E73D4B">
      <w:r w:rsidRPr="00E73D4B">
        <w:t>Departementet mener dette anmodningsvedtaket er sammenfallende med anmodningsvedtak nr. 757 av 10. juni 2022 og viser til omtalen under vedtak nr. 757.</w:t>
      </w:r>
    </w:p>
    <w:p w14:paraId="4B74DB79" w14:textId="77777777" w:rsidR="00972395" w:rsidRPr="00E73D4B" w:rsidRDefault="00F120C7" w:rsidP="00E73D4B">
      <w:r w:rsidRPr="00E73D4B">
        <w:t>Departementet anser at anmodningsvedtaket med dette er fulgt opp.</w:t>
      </w:r>
    </w:p>
    <w:p w14:paraId="5D149A61" w14:textId="2101A547" w:rsidR="00972395" w:rsidRPr="00E73D4B" w:rsidRDefault="00F120C7" w:rsidP="00E73D4B">
      <w:pPr>
        <w:pStyle w:val="avsnitt-tittel"/>
      </w:pPr>
      <w:r w:rsidRPr="00E73D4B">
        <w:t>Etablere nasjonal ordning med miljørabatt for el</w:t>
      </w:r>
      <w:r w:rsidR="00E73D4B">
        <w:t>-</w:t>
      </w:r>
      <w:r w:rsidRPr="00E73D4B">
        <w:t xml:space="preserve">varebil ved </w:t>
      </w:r>
      <w:proofErr w:type="spellStart"/>
      <w:r w:rsidRPr="00E73D4B">
        <w:t>bompasseringar</w:t>
      </w:r>
      <w:proofErr w:type="spellEnd"/>
    </w:p>
    <w:p w14:paraId="7A736AE1" w14:textId="77777777" w:rsidR="00972395" w:rsidRPr="00E73D4B" w:rsidRDefault="00F120C7" w:rsidP="00E73D4B">
      <w:pPr>
        <w:pStyle w:val="avsnitt-undertittel"/>
      </w:pPr>
      <w:r w:rsidRPr="00E73D4B">
        <w:t>Vedtak nr. 35, punkt 14, 2. desember 2021</w:t>
      </w:r>
    </w:p>
    <w:p w14:paraId="38D82C4E" w14:textId="77777777" w:rsidR="00972395" w:rsidRPr="00E73D4B" w:rsidRDefault="00F120C7" w:rsidP="00E73D4B">
      <w:pPr>
        <w:pStyle w:val="blokksit"/>
      </w:pPr>
      <w:r w:rsidRPr="00E73D4B">
        <w:rPr>
          <w:rStyle w:val="kursiv"/>
        </w:rPr>
        <w:t xml:space="preserve">«Stortinget ber regjeringen etablere en nasjonal ordning med miljørabatt for </w:t>
      </w:r>
      <w:proofErr w:type="spellStart"/>
      <w:r w:rsidRPr="00E73D4B">
        <w:rPr>
          <w:rStyle w:val="kursiv"/>
        </w:rPr>
        <w:t>elvarebil</w:t>
      </w:r>
      <w:proofErr w:type="spellEnd"/>
      <w:r w:rsidRPr="00E73D4B">
        <w:rPr>
          <w:rStyle w:val="kursiv"/>
        </w:rPr>
        <w:t xml:space="preserve"> ved betaling for bompasseringer.»</w:t>
      </w:r>
    </w:p>
    <w:p w14:paraId="58287BD5" w14:textId="77777777" w:rsidR="00972395" w:rsidRPr="00E73D4B" w:rsidRDefault="00F120C7" w:rsidP="00E73D4B">
      <w:r w:rsidRPr="00E73D4B">
        <w:t xml:space="preserve">Vedtaket ble truffet ved behandlingen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24238FDE" w14:textId="77777777" w:rsidR="00972395" w:rsidRPr="00E73D4B" w:rsidRDefault="00F120C7" w:rsidP="00E73D4B">
      <w:r w:rsidRPr="00E73D4B">
        <w:t xml:space="preserve">Elbiler er konkurransedyktige med fossile kjøretøy i de fleste personbilsegmentene, og utbredelsen øker raskt. Utviklingen for lette el-varebiler er ikke kommet like langt. Som øvrige nullutslippskjøretøy er el-varebiler i dag omfattet av den nasjonale ordningen der det er mulig med en redusert takst på inntil 50 pst. av normaltakst. Dette opplegget er fastsatt ved oppfølgingen av Stortingets anmodningsvedtak nr. 108, punkt 2c for sesjonen 2016–2017, jf. </w:t>
      </w:r>
      <w:proofErr w:type="spellStart"/>
      <w:r w:rsidRPr="00E73D4B">
        <w:t>Prop</w:t>
      </w:r>
      <w:proofErr w:type="spellEnd"/>
      <w:r w:rsidRPr="00E73D4B">
        <w:t xml:space="preserve">. 87 S (2017–2018) </w:t>
      </w:r>
      <w:proofErr w:type="spellStart"/>
      <w:r w:rsidRPr="00E73D4B">
        <w:rPr>
          <w:rStyle w:val="kursiv"/>
        </w:rPr>
        <w:t>Nokre</w:t>
      </w:r>
      <w:proofErr w:type="spellEnd"/>
      <w:r w:rsidRPr="00E73D4B">
        <w:rPr>
          <w:rStyle w:val="kursiv"/>
        </w:rPr>
        <w:t xml:space="preserve"> saker om luftfart, veg, </w:t>
      </w:r>
      <w:proofErr w:type="spellStart"/>
      <w:r w:rsidRPr="00E73D4B">
        <w:rPr>
          <w:rStyle w:val="kursiv"/>
        </w:rPr>
        <w:t>særskilde</w:t>
      </w:r>
      <w:proofErr w:type="spellEnd"/>
      <w:r w:rsidRPr="00E73D4B">
        <w:rPr>
          <w:rStyle w:val="kursiv"/>
        </w:rPr>
        <w:t xml:space="preserve"> transporttiltak, kyst og post og </w:t>
      </w:r>
      <w:proofErr w:type="spellStart"/>
      <w:r w:rsidRPr="00E73D4B">
        <w:rPr>
          <w:rStyle w:val="kursiv"/>
        </w:rPr>
        <w:t>telekommunikasjonar</w:t>
      </w:r>
      <w:proofErr w:type="spellEnd"/>
      <w:r w:rsidRPr="00E73D4B">
        <w:rPr>
          <w:rStyle w:val="kursiv"/>
        </w:rPr>
        <w:t xml:space="preserve"> </w:t>
      </w:r>
      <w:r w:rsidRPr="00E73D4B">
        <w:t xml:space="preserve">og </w:t>
      </w:r>
      <w:proofErr w:type="spellStart"/>
      <w:r w:rsidRPr="00E73D4B">
        <w:t>Innst</w:t>
      </w:r>
      <w:proofErr w:type="spellEnd"/>
      <w:r w:rsidRPr="00E73D4B">
        <w:t>. 380 S (2017–2018).</w:t>
      </w:r>
    </w:p>
    <w:p w14:paraId="03530A4C" w14:textId="77777777" w:rsidR="00972395" w:rsidRPr="00E73D4B" w:rsidRDefault="00F120C7" w:rsidP="00E73D4B">
      <w:r w:rsidRPr="00E73D4B">
        <w:t>Regjeringen foreslår nå at det etter vedtak fattet av berørte lokale myndigheter, kan fastsettes en takst for nullutslippskjøretøy i takstgruppe 1 på inntil 70 pst. av normaltakst, jf. nærmere omtale i del II under Programkategori 21.30 Veiformål, Andre saker.</w:t>
      </w:r>
    </w:p>
    <w:p w14:paraId="23BEC680" w14:textId="77777777" w:rsidR="00972395" w:rsidRPr="00E73D4B" w:rsidRDefault="00F120C7" w:rsidP="00E73D4B">
      <w:r w:rsidRPr="00E73D4B">
        <w:t xml:space="preserve">Departementet forstår anmodningsvedtaket som at Stortinget ber om at det opprettes en egen takstklasse for el-varebiler, som et fortsatt insentiv til innfasing av el-varebiler under 3 500 kg (takstgruppe 1). Det er kun i bompengefinansierte </w:t>
      </w:r>
      <w:proofErr w:type="spellStart"/>
      <w:r w:rsidRPr="00E73D4B">
        <w:t>bypakker</w:t>
      </w:r>
      <w:proofErr w:type="spellEnd"/>
      <w:r w:rsidRPr="00E73D4B">
        <w:t xml:space="preserve"> med miljødifferensiert takstsystem at det er opprettet egne takstklasser innenfor de to takstgruppene lette og tunge kjøretøy (hhv. takstgruppe 1 og takstgruppe 2). I slike </w:t>
      </w:r>
      <w:proofErr w:type="spellStart"/>
      <w:r w:rsidRPr="00E73D4B">
        <w:t>bypakker</w:t>
      </w:r>
      <w:proofErr w:type="spellEnd"/>
      <w:r w:rsidRPr="00E73D4B">
        <w:t xml:space="preserve"> er det i dag åpnet for at lokale myndigheter kan beslutte fritak for betaling av bompenger for lette el-varebiler, selv om det innføres en takst (betaling) for øvrige lette elbiler. Dersom det heller er ønskelig med en lavere takst for el-varebiler fremfor fritak, må det etableres en egen takstklasse for disse kjøretøyene innenfor takstgruppe 1. Dette vil departementet vurdere i det videre arbeidet.</w:t>
      </w:r>
    </w:p>
    <w:p w14:paraId="68D1DB84" w14:textId="77777777" w:rsidR="00972395" w:rsidRPr="00E73D4B" w:rsidRDefault="00F120C7" w:rsidP="00E73D4B">
      <w:r w:rsidRPr="00E73D4B">
        <w:t xml:space="preserve">Utenfor byområder vil det være mer utfordrende å innføre en lavere bompengetakst for el-varebil enn for øvrige nullutslippskjøretøy. Formålet med bompenger på de strekningsvise bompengeprosjektene er finansiering, ikke regulering. Det er derfor viktig å sikre bompengeselskapenes muligheter for å kunne håndtere sine låneforpliktelser. Det er her en forskjell fra bompenger i byområder, jf. veglova § 27, andre ledd, jf. at slike bompengefinansierte </w:t>
      </w:r>
      <w:proofErr w:type="spellStart"/>
      <w:r w:rsidRPr="00E73D4B">
        <w:t>bypakker</w:t>
      </w:r>
      <w:proofErr w:type="spellEnd"/>
      <w:r w:rsidRPr="00E73D4B">
        <w:t xml:space="preserve"> er porteføljestyrte. Videre er det noen organisatoriske og tekniske begrensninger ved det tekniske </w:t>
      </w:r>
      <w:proofErr w:type="spellStart"/>
      <w:r w:rsidRPr="00E73D4B">
        <w:t>AutoPASS</w:t>
      </w:r>
      <w:proofErr w:type="spellEnd"/>
      <w:r w:rsidRPr="00E73D4B">
        <w:t xml:space="preserve">-systemet. Departementet vil likevel vurdere nærmere om og ev. hvordan behovet for å kunne skille mellom lette personbiler og lette varebiler innenfor nullutslippskjøretøy kan ivaretas også utenfor byområdene, særlig i strekningsvise veiprosjekter inn mot de store byene. Dette vil kunne fremme en fortsatt innfasing av mindre el-varebiler uavhengig av endringer i bruksfordelene for elbiler </w:t>
      </w:r>
      <w:proofErr w:type="gramStart"/>
      <w:r w:rsidRPr="00E73D4B">
        <w:t>for øvrig</w:t>
      </w:r>
      <w:proofErr w:type="gramEnd"/>
      <w:r w:rsidRPr="00E73D4B">
        <w:t>.</w:t>
      </w:r>
    </w:p>
    <w:p w14:paraId="55DF3E94" w14:textId="77777777" w:rsidR="00972395" w:rsidRPr="00E73D4B" w:rsidRDefault="00F120C7" w:rsidP="00E73D4B">
      <w:r w:rsidRPr="00E73D4B">
        <w:t>Departementet vil komme tilbake til Stortinget på egnet måte.</w:t>
      </w:r>
    </w:p>
    <w:p w14:paraId="7070959F" w14:textId="77777777" w:rsidR="00972395" w:rsidRPr="00E73D4B" w:rsidRDefault="00F120C7" w:rsidP="00E73D4B">
      <w:pPr>
        <w:pStyle w:val="avsnitt-tittel"/>
      </w:pPr>
      <w:r w:rsidRPr="00E73D4B">
        <w:t xml:space="preserve">Verknader på klimagassutslepp av </w:t>
      </w:r>
      <w:proofErr w:type="spellStart"/>
      <w:r w:rsidRPr="00E73D4B">
        <w:t>investeringar</w:t>
      </w:r>
      <w:proofErr w:type="spellEnd"/>
      <w:r w:rsidRPr="00E73D4B">
        <w:t xml:space="preserve"> på veg og jernbane</w:t>
      </w:r>
    </w:p>
    <w:p w14:paraId="2A28D725" w14:textId="77777777" w:rsidR="00972395" w:rsidRPr="00E73D4B" w:rsidRDefault="00F120C7" w:rsidP="00E73D4B">
      <w:pPr>
        <w:pStyle w:val="avsnitt-undertittel"/>
      </w:pPr>
      <w:r w:rsidRPr="00E73D4B">
        <w:t>Vedtak nr. 35, punkt 19, 2. desember 2021</w:t>
      </w:r>
    </w:p>
    <w:p w14:paraId="7BD26CF2" w14:textId="77777777" w:rsidR="00972395" w:rsidRPr="00E73D4B" w:rsidRDefault="00F120C7" w:rsidP="00E73D4B">
      <w:pPr>
        <w:pStyle w:val="blokksit"/>
      </w:pPr>
      <w:r w:rsidRPr="00E73D4B">
        <w:rPr>
          <w:rStyle w:val="kursiv"/>
        </w:rPr>
        <w:t>«Stortinget ber regjeringen fra og med statsbudsjettet 2023 rapportere systematisk på kunnskap som foreligger om alle vesentlige virkninger på klimagassutslipp av forslag som fremmes om investeringer innenfor vei og jernbane.»</w:t>
      </w:r>
    </w:p>
    <w:p w14:paraId="52AA7D31" w14:textId="77777777" w:rsidR="00972395" w:rsidRPr="00E73D4B" w:rsidRDefault="00F120C7" w:rsidP="00E73D4B">
      <w:r w:rsidRPr="00E73D4B">
        <w:t xml:space="preserve">Vedtaket ble truffet ved behandlingen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7191B59C" w14:textId="77777777" w:rsidR="00972395" w:rsidRPr="00E73D4B" w:rsidRDefault="00F120C7" w:rsidP="00E73D4B">
      <w:r w:rsidRPr="00E73D4B">
        <w:t>Det knytter seg betydelige metodiske utfordringer til en slik rapportering. For å sikre en konsistent tilnærming og sammenliknbare resultater ba Samferdselsdepartementet Statens vegvesen etablere en arbeidsgruppe med Jernbanedirektoratet, Bane NOR SF og Nye Veier AS. Virksomhetene ble bedt om å utarbeide tall for utslipp fra bygging, drift, vedlikehold og trafikk fra vei- og jernbaneprosjekter over 1 mrd. kr som får midler til anleggsstart og/eller forberedende arbeider, første gang for budsjettåret 2023. Tallene for de aktuelle veiprosjektene er rapportert i del III under kapittel 6 Klima og miljø. For 2023 er det ikke foreslått noen slike prosjekter på jernbane.</w:t>
      </w:r>
    </w:p>
    <w:p w14:paraId="7DF128B0" w14:textId="77777777" w:rsidR="00972395" w:rsidRPr="00E73D4B" w:rsidRDefault="00F120C7" w:rsidP="00E73D4B">
      <w:r w:rsidRPr="00E73D4B">
        <w:t>Anmodningsvedtaket anses med dette som fulgt opp.</w:t>
      </w:r>
    </w:p>
    <w:p w14:paraId="27B2F46E" w14:textId="77777777" w:rsidR="00972395" w:rsidRPr="00E73D4B" w:rsidRDefault="00F120C7" w:rsidP="00E73D4B">
      <w:pPr>
        <w:pStyle w:val="avsnitt-tittel"/>
      </w:pPr>
      <w:r w:rsidRPr="00E73D4B">
        <w:t xml:space="preserve">Bruke handlingsrommet i </w:t>
      </w:r>
      <w:proofErr w:type="spellStart"/>
      <w:r w:rsidRPr="00E73D4B">
        <w:t>vegnormalane</w:t>
      </w:r>
      <w:proofErr w:type="spellEnd"/>
    </w:p>
    <w:p w14:paraId="1757E99E" w14:textId="77777777" w:rsidR="00972395" w:rsidRPr="00E73D4B" w:rsidRDefault="00F120C7" w:rsidP="00E73D4B">
      <w:pPr>
        <w:pStyle w:val="avsnitt-undertittel"/>
      </w:pPr>
      <w:r w:rsidRPr="00E73D4B">
        <w:t>Vedtak nr. 35, punkt 21, 2. desember 2021</w:t>
      </w:r>
    </w:p>
    <w:p w14:paraId="22AA1B15" w14:textId="77777777" w:rsidR="00972395" w:rsidRPr="00E73D4B" w:rsidRDefault="00F120C7" w:rsidP="00E73D4B">
      <w:pPr>
        <w:pStyle w:val="blokksit"/>
      </w:pPr>
      <w:r w:rsidRPr="00E73D4B">
        <w:rPr>
          <w:rStyle w:val="kursiv"/>
        </w:rPr>
        <w:t>«Stortinget ber regjeringen sørge for at Statens vegvesen og Nye Veier AS ved bygging av nye veier bruker handlingsrommet i vegnormalene for å sikre at tapet av matjord og natur blir så lavt som mulig, samt sørge for at utbyggingskostnader og bompenger holdes nede.»</w:t>
      </w:r>
    </w:p>
    <w:p w14:paraId="72DDAF72" w14:textId="77777777" w:rsidR="00972395" w:rsidRPr="00E73D4B" w:rsidRDefault="00F120C7" w:rsidP="00E73D4B">
      <w:r w:rsidRPr="00E73D4B">
        <w:t xml:space="preserve">Vedtaket ble truffet ved behandlingen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3DA098CF" w14:textId="77777777" w:rsidR="00972395" w:rsidRPr="00E73D4B" w:rsidRDefault="00F120C7" w:rsidP="00E73D4B">
      <w:r w:rsidRPr="00E73D4B">
        <w:t>I styringsdialogen med Statens vegvesen og Nye Veier AS har Samferdselsdepartementet bedt de to virksomhetene følge opp saken. Departementet vil også i den videre styringsdialogen med de to virksomhetene følge opp hvordan gjeldende og ev. endrede veinormaler støtter opp under måloppnåelse for veipolitikken.</w:t>
      </w:r>
    </w:p>
    <w:p w14:paraId="5513025B" w14:textId="77777777" w:rsidR="00972395" w:rsidRPr="00E73D4B" w:rsidRDefault="00F120C7" w:rsidP="00E73D4B">
      <w:r w:rsidRPr="00E73D4B">
        <w:t>Samferdselsdepartementet anser med dette at anmodningsvedtaket er ivaretatt.</w:t>
      </w:r>
    </w:p>
    <w:p w14:paraId="554E4FFF" w14:textId="77777777" w:rsidR="00972395" w:rsidRPr="00E73D4B" w:rsidRDefault="00F120C7" w:rsidP="00E73D4B">
      <w:pPr>
        <w:pStyle w:val="avsnitt-tittel"/>
      </w:pPr>
      <w:r w:rsidRPr="00E73D4B">
        <w:t xml:space="preserve">Redusere støy- og </w:t>
      </w:r>
      <w:proofErr w:type="spellStart"/>
      <w:r w:rsidRPr="00E73D4B">
        <w:t>forureiningsbelastinga</w:t>
      </w:r>
      <w:proofErr w:type="spellEnd"/>
      <w:r w:rsidRPr="00E73D4B">
        <w:t xml:space="preserve"> for </w:t>
      </w:r>
      <w:proofErr w:type="spellStart"/>
      <w:r w:rsidRPr="00E73D4B">
        <w:t>bebuarar</w:t>
      </w:r>
      <w:proofErr w:type="spellEnd"/>
      <w:r w:rsidRPr="00E73D4B">
        <w:t xml:space="preserve"> langs rv. 4 mellom Sinsen og Grorud</w:t>
      </w:r>
    </w:p>
    <w:p w14:paraId="385FDBE7" w14:textId="77777777" w:rsidR="00972395" w:rsidRPr="00E73D4B" w:rsidRDefault="00F120C7" w:rsidP="00E73D4B">
      <w:pPr>
        <w:pStyle w:val="avsnitt-undertittel"/>
      </w:pPr>
      <w:r w:rsidRPr="00E73D4B">
        <w:t>Vedtak nr. 35, punkt 22, 2. desember 2021</w:t>
      </w:r>
    </w:p>
    <w:p w14:paraId="508406D5" w14:textId="77777777" w:rsidR="00972395" w:rsidRPr="00E73D4B" w:rsidRDefault="00F120C7" w:rsidP="00E73D4B">
      <w:pPr>
        <w:pStyle w:val="blokksit"/>
      </w:pPr>
      <w:r w:rsidRPr="00E73D4B">
        <w:rPr>
          <w:rStyle w:val="kursiv"/>
        </w:rPr>
        <w:t>«Stortinget ber regjeringen ta initiativ overfor Statens Vegvesen om å gjennomføre tiltak og reguleringer i dialog med Oslo kommune som kan redusere den lokale støy- og forurensningsbelastningen for beboere langs Riksvei 4 mellom Sinsen og Grorud.»</w:t>
      </w:r>
    </w:p>
    <w:p w14:paraId="7406F204" w14:textId="77777777" w:rsidR="00972395" w:rsidRPr="00E73D4B" w:rsidRDefault="00F120C7" w:rsidP="00E73D4B">
      <w:r w:rsidRPr="00E73D4B">
        <w:t xml:space="preserve">Vedtaket ble truffet ved behandlingen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497F7F16" w14:textId="77777777" w:rsidR="00972395" w:rsidRPr="00E73D4B" w:rsidRDefault="00F120C7" w:rsidP="00E73D4B">
      <w:r w:rsidRPr="00E73D4B">
        <w:t xml:space="preserve">Samferdselsdepartementet redegjorde for oppfølgingen av vedtaket i </w:t>
      </w:r>
      <w:proofErr w:type="spellStart"/>
      <w:r w:rsidRPr="00E73D4B">
        <w:t>Prop</w:t>
      </w:r>
      <w:proofErr w:type="spellEnd"/>
      <w:r w:rsidRPr="00E73D4B">
        <w:t xml:space="preserve"> 111 (2021–2022) </w:t>
      </w:r>
      <w:proofErr w:type="spellStart"/>
      <w:r w:rsidRPr="00E73D4B">
        <w:rPr>
          <w:rStyle w:val="kursiv"/>
        </w:rPr>
        <w:t>Nokre</w:t>
      </w:r>
      <w:proofErr w:type="spellEnd"/>
      <w:r w:rsidRPr="00E73D4B">
        <w:rPr>
          <w:rStyle w:val="kursiv"/>
        </w:rPr>
        <w:t xml:space="preserve"> saker om veg, </w:t>
      </w:r>
      <w:proofErr w:type="spellStart"/>
      <w:r w:rsidRPr="00E73D4B">
        <w:rPr>
          <w:rStyle w:val="kursiv"/>
        </w:rPr>
        <w:t>særskilde</w:t>
      </w:r>
      <w:proofErr w:type="spellEnd"/>
      <w:r w:rsidRPr="00E73D4B">
        <w:rPr>
          <w:rStyle w:val="kursiv"/>
        </w:rPr>
        <w:t xml:space="preserve"> transporttiltak og transport i byområda mv.</w:t>
      </w:r>
      <w:r w:rsidRPr="00E73D4B">
        <w:t xml:space="preserve"> Flertallet i transport- og kommunikasjonskomiteen hadde i </w:t>
      </w:r>
      <w:proofErr w:type="spellStart"/>
      <w:r w:rsidRPr="00E73D4B">
        <w:t>Innst</w:t>
      </w:r>
      <w:proofErr w:type="spellEnd"/>
      <w:r w:rsidRPr="00E73D4B">
        <w:t>. 456 (2021–2022) ikke merknader til oppfølgingen.</w:t>
      </w:r>
    </w:p>
    <w:p w14:paraId="3B3B3DBE" w14:textId="77777777" w:rsidR="00972395" w:rsidRPr="00E73D4B" w:rsidRDefault="00F120C7" w:rsidP="00E73D4B">
      <w:r w:rsidRPr="00E73D4B">
        <w:t>Statens vegvesen har på nytt invitert Oslo kommune til å se på hvilke tiltak som kan være mulige å gjennomføre, og som både bidrar til å bedre boforholdene og samtidig sikrer tilfredsstillende fremkommelighet for næringstrafikken.</w:t>
      </w:r>
    </w:p>
    <w:p w14:paraId="6ABC7830" w14:textId="77777777" w:rsidR="00972395" w:rsidRPr="00E73D4B" w:rsidRDefault="00F120C7" w:rsidP="00E73D4B">
      <w:r w:rsidRPr="00E73D4B">
        <w:t>Samferdselsdepartementet anser med dette anmodningsvedtaket som fulgt opp.</w:t>
      </w:r>
    </w:p>
    <w:p w14:paraId="5B5BC54B" w14:textId="77777777" w:rsidR="00972395" w:rsidRPr="00E73D4B" w:rsidRDefault="00F120C7" w:rsidP="00E73D4B">
      <w:pPr>
        <w:pStyle w:val="avsnitt-tittel"/>
      </w:pPr>
      <w:r w:rsidRPr="00E73D4B">
        <w:t xml:space="preserve">Vurdere </w:t>
      </w:r>
      <w:proofErr w:type="spellStart"/>
      <w:r w:rsidRPr="00E73D4B">
        <w:t>vegporteføljen</w:t>
      </w:r>
      <w:proofErr w:type="spellEnd"/>
      <w:r w:rsidRPr="00E73D4B">
        <w:t xml:space="preserve"> i Nasjonal transportplan for effektiv gjennomføring og oppfølging av klimamåla og vurdere </w:t>
      </w:r>
      <w:proofErr w:type="spellStart"/>
      <w:r w:rsidRPr="00E73D4B">
        <w:t>vegnormalane</w:t>
      </w:r>
      <w:proofErr w:type="spellEnd"/>
    </w:p>
    <w:p w14:paraId="6AACB1C0" w14:textId="77777777" w:rsidR="00972395" w:rsidRPr="00E73D4B" w:rsidRDefault="00F120C7" w:rsidP="00E73D4B">
      <w:pPr>
        <w:pStyle w:val="avsnitt-undertittel"/>
      </w:pPr>
      <w:r w:rsidRPr="00E73D4B">
        <w:t>Vedtak nr. 35, punkt 23, 2. desember 2021</w:t>
      </w:r>
    </w:p>
    <w:p w14:paraId="7E2BF4FA" w14:textId="77777777" w:rsidR="00972395" w:rsidRPr="00E73D4B" w:rsidRDefault="00F120C7" w:rsidP="00E73D4B">
      <w:pPr>
        <w:pStyle w:val="blokksit"/>
      </w:pPr>
      <w:r w:rsidRPr="00E73D4B">
        <w:rPr>
          <w:rStyle w:val="kursiv"/>
        </w:rPr>
        <w:t>«Stortinget ber regjeringen frem mot statsbudsjettet 2023 komme tilbake med en vurdering av veiporteføljen i NTP for å sikre en effektiv gjennomføring og oppfølging av klimamålene.</w:t>
      </w:r>
    </w:p>
    <w:p w14:paraId="7762200A" w14:textId="77777777" w:rsidR="00972395" w:rsidRPr="00E73D4B" w:rsidRDefault="00F120C7" w:rsidP="00E73D4B">
      <w:pPr>
        <w:pStyle w:val="blokksit"/>
      </w:pPr>
      <w:r w:rsidRPr="00E73D4B">
        <w:rPr>
          <w:rStyle w:val="kursiv"/>
        </w:rPr>
        <w:t>Gjennomgangen skal også vurdere veinormalene, herunder en høyere terskel for trafikkmengde for bygging av firefelts motorveier.»</w:t>
      </w:r>
    </w:p>
    <w:p w14:paraId="0A741E57" w14:textId="77777777" w:rsidR="00972395" w:rsidRPr="00E73D4B" w:rsidRDefault="00F120C7" w:rsidP="00E73D4B">
      <w:r w:rsidRPr="00E73D4B">
        <w:t xml:space="preserve">Vedtaket ble truffet ved behandlingen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23BCA914" w14:textId="77777777" w:rsidR="00972395" w:rsidRPr="00E73D4B" w:rsidRDefault="00F120C7" w:rsidP="00E73D4B">
      <w:r w:rsidRPr="00E73D4B">
        <w:t xml:space="preserve">Samferdselsdepartementet viser til redegjørelsen i kapittel 1.1 under overskriften </w:t>
      </w:r>
      <w:proofErr w:type="spellStart"/>
      <w:r w:rsidRPr="00E73D4B">
        <w:rPr>
          <w:rStyle w:val="kursiv"/>
        </w:rPr>
        <w:t>Prioriteringar</w:t>
      </w:r>
      <w:proofErr w:type="spellEnd"/>
      <w:r w:rsidRPr="00E73D4B">
        <w:rPr>
          <w:rStyle w:val="kursiv"/>
        </w:rPr>
        <w:t xml:space="preserve"> framover med ei </w:t>
      </w:r>
      <w:proofErr w:type="spellStart"/>
      <w:r w:rsidRPr="00E73D4B">
        <w:rPr>
          <w:rStyle w:val="kursiv"/>
        </w:rPr>
        <w:t>strammare</w:t>
      </w:r>
      <w:proofErr w:type="spellEnd"/>
      <w:r w:rsidRPr="00E73D4B">
        <w:rPr>
          <w:rStyle w:val="kursiv"/>
        </w:rPr>
        <w:t xml:space="preserve"> ramme til samferdsel</w:t>
      </w:r>
      <w:r w:rsidRPr="00E73D4B">
        <w:t xml:space="preserve"> og i 21.30 Veiformål under </w:t>
      </w:r>
      <w:r w:rsidRPr="00E73D4B">
        <w:rPr>
          <w:rStyle w:val="kursiv"/>
        </w:rPr>
        <w:t>En ansvarlig og balansert veipolitikk</w:t>
      </w:r>
      <w:r w:rsidRPr="00E73D4B">
        <w:t xml:space="preserve"> i Del II.</w:t>
      </w:r>
    </w:p>
    <w:p w14:paraId="3503309E" w14:textId="63176E9F" w:rsidR="00972395" w:rsidRPr="00E73D4B" w:rsidRDefault="00F120C7" w:rsidP="00E73D4B">
      <w:r w:rsidRPr="00E73D4B">
        <w:t>Samferdselsdepartementet anser med dette anmodningsvedtaket som fulgt opp.</w:t>
      </w:r>
    </w:p>
    <w:p w14:paraId="566CE33B" w14:textId="77777777" w:rsidR="00972395" w:rsidRPr="00E73D4B" w:rsidRDefault="00F120C7" w:rsidP="00E73D4B">
      <w:pPr>
        <w:pStyle w:val="avsnitt-tittel"/>
      </w:pPr>
      <w:r w:rsidRPr="00E73D4B">
        <w:t xml:space="preserve">Fullverdig </w:t>
      </w:r>
      <w:proofErr w:type="spellStart"/>
      <w:r w:rsidRPr="00E73D4B">
        <w:t>konseptvalutgreiing</w:t>
      </w:r>
      <w:proofErr w:type="spellEnd"/>
      <w:r w:rsidRPr="00E73D4B">
        <w:t xml:space="preserve"> for Nord-Norgebanen</w:t>
      </w:r>
    </w:p>
    <w:p w14:paraId="2A56335D" w14:textId="77777777" w:rsidR="00972395" w:rsidRPr="00E73D4B" w:rsidRDefault="00F120C7" w:rsidP="00E73D4B">
      <w:pPr>
        <w:pStyle w:val="avsnitt-undertittel"/>
      </w:pPr>
      <w:r w:rsidRPr="00E73D4B">
        <w:t>Vedtak nr. 35, punkt 24, 2. desember 2021</w:t>
      </w:r>
    </w:p>
    <w:p w14:paraId="47FD43F6" w14:textId="77777777" w:rsidR="00972395" w:rsidRPr="00E73D4B" w:rsidRDefault="00F120C7" w:rsidP="00E73D4B">
      <w:pPr>
        <w:pStyle w:val="blokksit"/>
      </w:pPr>
      <w:r w:rsidRPr="00E73D4B">
        <w:rPr>
          <w:rStyle w:val="kursiv"/>
        </w:rPr>
        <w:t>«Stortinget ber regjeringen sikre en fullverdig KVU for Nord-Norgebanen som skal bli en del av grunnlaget for neste NTP.»</w:t>
      </w:r>
    </w:p>
    <w:p w14:paraId="5A2511A7" w14:textId="77777777" w:rsidR="00972395" w:rsidRPr="00E73D4B" w:rsidRDefault="00F120C7" w:rsidP="00E73D4B">
      <w:r w:rsidRPr="00E73D4B">
        <w:t xml:space="preserve">Vedtaket ble truffet ved behandlingen av Meld. St. 1 (2021–2022) </w:t>
      </w:r>
      <w:r w:rsidRPr="00E73D4B">
        <w:rPr>
          <w:rStyle w:val="kursiv"/>
        </w:rPr>
        <w:t>Nasjonalbudsjettet 2022,</w:t>
      </w:r>
      <w:r w:rsidRPr="00E73D4B">
        <w:t xml:space="preserve"> jf. </w:t>
      </w:r>
      <w:proofErr w:type="spellStart"/>
      <w:r w:rsidRPr="00E73D4B">
        <w:t>Innst</w:t>
      </w:r>
      <w:proofErr w:type="spellEnd"/>
      <w:r w:rsidRPr="00E73D4B">
        <w:t>. 2 S (2021–2022).</w:t>
      </w:r>
    </w:p>
    <w:p w14:paraId="5B2312FA" w14:textId="77777777" w:rsidR="00972395" w:rsidRPr="00E73D4B" w:rsidRDefault="00F120C7" w:rsidP="00E73D4B">
      <w:r w:rsidRPr="00E73D4B">
        <w:t>Samferdselsdepartementet har i supplerende tildelingsbrev nr. 2 av 24. februar 2022 bedt Jernbanedirektoratet sette i gang en konseptvalgutredning for Nord-Norgebanen. Denne utredningen skal ferdigstilles innen midten av august 2023.</w:t>
      </w:r>
    </w:p>
    <w:p w14:paraId="6B9BDC75" w14:textId="77777777" w:rsidR="00972395" w:rsidRPr="00E73D4B" w:rsidRDefault="00F120C7" w:rsidP="00E73D4B">
      <w:r w:rsidRPr="00E73D4B">
        <w:t>Samferdselsdepartementet anser med dette anmodningsvedtaket som fulgt opp.</w:t>
      </w:r>
    </w:p>
    <w:p w14:paraId="556553F6" w14:textId="77777777" w:rsidR="00972395" w:rsidRPr="00E73D4B" w:rsidRDefault="00F120C7" w:rsidP="00E73D4B">
      <w:pPr>
        <w:pStyle w:val="avsnitt-tittel"/>
      </w:pPr>
      <w:r w:rsidRPr="00E73D4B">
        <w:t>Vurdere passasjerutviklinga og den økonomiske situasjonen for kollektivselskapa</w:t>
      </w:r>
    </w:p>
    <w:p w14:paraId="2B52EE18" w14:textId="77777777" w:rsidR="00972395" w:rsidRPr="00E73D4B" w:rsidRDefault="00F120C7" w:rsidP="00E73D4B">
      <w:pPr>
        <w:pStyle w:val="avsnitt-undertittel"/>
      </w:pPr>
      <w:r w:rsidRPr="00E73D4B">
        <w:t>Vedtak nr. 361, 24. januar 2022</w:t>
      </w:r>
    </w:p>
    <w:p w14:paraId="2784CD83" w14:textId="77777777" w:rsidR="00972395" w:rsidRPr="00E73D4B" w:rsidRDefault="00F120C7" w:rsidP="00E73D4B">
      <w:pPr>
        <w:pStyle w:val="blokksit"/>
      </w:pPr>
      <w:r w:rsidRPr="00E73D4B">
        <w:rPr>
          <w:rStyle w:val="kursiv"/>
        </w:rPr>
        <w:t>«Stortinget ber regjeringen i forbindelse med revidert nasjonalbudsjett 2022 vurdere kollektivselskapenes passasjerutvikling og økonomiske situasjon og legge frem forslag for å kompensere for tap av billettinntekter og forhindre rutekutt.»</w:t>
      </w:r>
    </w:p>
    <w:p w14:paraId="2CCCD64F" w14:textId="77777777" w:rsidR="00972395" w:rsidRPr="00E73D4B" w:rsidRDefault="00F120C7" w:rsidP="00E73D4B">
      <w:r w:rsidRPr="00E73D4B">
        <w:t xml:space="preserve">Vedtaket ble truffet ved behandlingen av </w:t>
      </w:r>
      <w:proofErr w:type="spellStart"/>
      <w:r w:rsidRPr="00E73D4B">
        <w:t>Prop</w:t>
      </w:r>
      <w:proofErr w:type="spellEnd"/>
      <w:r w:rsidRPr="00E73D4B">
        <w:t xml:space="preserve">. 51 S (2021–2022) om endringer i statsbudsjettet 2022 under bl.a. Samferdselsdepartementet, jf. </w:t>
      </w:r>
      <w:proofErr w:type="spellStart"/>
      <w:r w:rsidRPr="00E73D4B">
        <w:t>Innst</w:t>
      </w:r>
      <w:proofErr w:type="spellEnd"/>
      <w:r w:rsidRPr="00E73D4B">
        <w:t>. 119 S (2021–2022). Der ble også bevilgningen økt med 1 480 mill. kr for å kompensere fylkeskommunene i perioden januar–juli 2022 for reduserte inntekter og økte kostnader til fylkeskommunal kollektivtrafikk som følge av koronapandemien.</w:t>
      </w:r>
    </w:p>
    <w:p w14:paraId="4946659F" w14:textId="77777777" w:rsidR="00972395" w:rsidRPr="00E73D4B" w:rsidRDefault="00F120C7" w:rsidP="00E73D4B">
      <w:r w:rsidRPr="00E73D4B">
        <w:t xml:space="preserve">I forbindelse med </w:t>
      </w:r>
      <w:proofErr w:type="spellStart"/>
      <w:r w:rsidRPr="00E73D4B">
        <w:t>Prop</w:t>
      </w:r>
      <w:proofErr w:type="spellEnd"/>
      <w:r w:rsidRPr="00E73D4B">
        <w:t xml:space="preserve">. 115 S (2021–2022) </w:t>
      </w:r>
      <w:r w:rsidRPr="00E73D4B">
        <w:rPr>
          <w:rStyle w:val="kursiv"/>
        </w:rPr>
        <w:t>Tilleggsbevilgninger og omprioriteringer i statsbudsjettet 2022</w:t>
      </w:r>
      <w:r w:rsidRPr="00E73D4B">
        <w:t xml:space="preserve"> ble det beregnet at bevilgningen på kap. 572 Rammetilskudd til fylkeskommuner, post 64 Skjønnstilskudd, på Kommunal- og </w:t>
      </w:r>
      <w:proofErr w:type="spellStart"/>
      <w:r w:rsidRPr="00E73D4B">
        <w:t>distriktsdepartementets</w:t>
      </w:r>
      <w:proofErr w:type="spellEnd"/>
      <w:r w:rsidRPr="00E73D4B">
        <w:t xml:space="preserve"> budsjett kunne reduseres med 784 mill. kr. Stortinget bevilget samtidig 500 mill. kr til omstillingsmidler til fylkeskommunene, jf. kap. 572, post 64. Pandemien kan føre til endringer i reisemønstre også på lang sikt, og det er nødvendig at fylkeskommunene tilpasser kollektivtilbudet til en ny normal.</w:t>
      </w:r>
    </w:p>
    <w:p w14:paraId="2CB56532" w14:textId="77777777" w:rsidR="00972395" w:rsidRPr="00E73D4B" w:rsidRDefault="00F120C7" w:rsidP="00E73D4B">
      <w:r w:rsidRPr="00E73D4B">
        <w:t>Samferdselsdepartementet anser anmodningsvedtaket som fulgt opp.</w:t>
      </w:r>
    </w:p>
    <w:p w14:paraId="45F8003D" w14:textId="77777777" w:rsidR="00972395" w:rsidRPr="00E73D4B" w:rsidRDefault="00F120C7" w:rsidP="00E73D4B">
      <w:pPr>
        <w:pStyle w:val="avsnitt-tittel"/>
      </w:pPr>
      <w:proofErr w:type="spellStart"/>
      <w:r w:rsidRPr="00E73D4B">
        <w:t>Setje</w:t>
      </w:r>
      <w:proofErr w:type="spellEnd"/>
      <w:r w:rsidRPr="00E73D4B">
        <w:t xml:space="preserve"> mål om del </w:t>
      </w:r>
      <w:proofErr w:type="spellStart"/>
      <w:r w:rsidRPr="00E73D4B">
        <w:t>reisande</w:t>
      </w:r>
      <w:proofErr w:type="spellEnd"/>
      <w:r w:rsidRPr="00E73D4B">
        <w:t xml:space="preserve"> med kollektiv og jernbane</w:t>
      </w:r>
    </w:p>
    <w:p w14:paraId="562DEC2A" w14:textId="77777777" w:rsidR="00972395" w:rsidRPr="00E73D4B" w:rsidRDefault="00F120C7" w:rsidP="00E73D4B">
      <w:pPr>
        <w:pStyle w:val="avsnitt-undertittel"/>
      </w:pPr>
      <w:r w:rsidRPr="00E73D4B">
        <w:t>Vedtak nr. 362, 24. januar 2022</w:t>
      </w:r>
    </w:p>
    <w:p w14:paraId="3AC9F674" w14:textId="77777777" w:rsidR="00972395" w:rsidRPr="00E73D4B" w:rsidRDefault="00F120C7" w:rsidP="00E73D4B">
      <w:pPr>
        <w:pStyle w:val="blokksit"/>
      </w:pPr>
      <w:r w:rsidRPr="00E73D4B">
        <w:rPr>
          <w:rStyle w:val="kursiv"/>
        </w:rPr>
        <w:t>«Stortinget ber regjeringen sette et mål om at andelen reisende med kollektiv og jernbane skal opp på samme nivå som før pandemien og deretter vokse videre som et bidrag for å nå klimamålene.»</w:t>
      </w:r>
    </w:p>
    <w:p w14:paraId="710088E5" w14:textId="77777777" w:rsidR="00972395" w:rsidRPr="00E73D4B" w:rsidRDefault="00F120C7" w:rsidP="00E73D4B">
      <w:r w:rsidRPr="00E73D4B">
        <w:t xml:space="preserve">Vedtaket ble truffet ved behandlingen av </w:t>
      </w:r>
      <w:proofErr w:type="spellStart"/>
      <w:r w:rsidRPr="00E73D4B">
        <w:t>Prop</w:t>
      </w:r>
      <w:proofErr w:type="spellEnd"/>
      <w:r w:rsidRPr="00E73D4B">
        <w:t xml:space="preserve">. 51 S (2021–2022) om endringer i statsbudsjettet 2022 under bl.a. Samferdselsdepartementet som følge av pandemien, jf. </w:t>
      </w:r>
      <w:proofErr w:type="spellStart"/>
      <w:r w:rsidRPr="00E73D4B">
        <w:t>Innst</w:t>
      </w:r>
      <w:proofErr w:type="spellEnd"/>
      <w:r w:rsidRPr="00E73D4B">
        <w:t>. 119 S (2021–2022).</w:t>
      </w:r>
    </w:p>
    <w:p w14:paraId="3C90A158" w14:textId="77777777" w:rsidR="00972395" w:rsidRPr="00E73D4B" w:rsidRDefault="00F120C7" w:rsidP="00E73D4B">
      <w:r w:rsidRPr="00E73D4B">
        <w:t xml:space="preserve">Kollektivtrafikkens andel av det totale antall reiser, særlig i byområdene, er viktig, både for å nå klimamålene og for å bedre bl.a. lokal luftkvalitet, støy og trengsel i byene. Å bidra til oppfyllelse av Norges klima- og miljømål, er ett av målene i Meld. St. 20 (2020–2021) </w:t>
      </w:r>
      <w:r w:rsidRPr="00E73D4B">
        <w:rPr>
          <w:rStyle w:val="kursiv"/>
        </w:rPr>
        <w:t>Nasjonal transportplan 2022–2033</w:t>
      </w:r>
      <w:r w:rsidRPr="00E73D4B">
        <w:t>. I dette ligger bl.a. at man vil bidra til at flere velger klimavennlige transportformer, som sykkel, gange og kollektivtransport. Nullvekstmålet for persontransport med bil i de største byområdene er også sentralt i denne sammenheng, og regjeringen vil fortsatt legge dette til grunn.</w:t>
      </w:r>
    </w:p>
    <w:p w14:paraId="138A7308" w14:textId="77777777" w:rsidR="00972395" w:rsidRPr="00E73D4B" w:rsidRDefault="00F120C7" w:rsidP="00E73D4B">
      <w:r w:rsidRPr="00E73D4B">
        <w:t>Det er usikkert om et mål om gitte andeler for kollektivtransporten er et mer hensiktsmessig mål enn dem vi allerede har, og som setter en begrensning på biltrafikken i de store byområdene, og som skal gi økt bruk av klimavennlige transportformer. I tillegg til økt administrasjon ved å følge opp og rapportere på flere mål øker risikoen for målkonflikter jo flere mål vi har på tilgrensende områder. Målene kan trekke i ulik retning og gi lavere måloppnåelse både for det enkelte mål og samlet sett. Eksempelvis er det enda bedre for klimaet – og folkehelsen – om folk går eller sykler, enn om de reiser kollektivt. Det er også mindre kostnadskrevende. Flere nasjonale mål gir i tillegg mindre handlingsrom for lokale myndigheter til å tilpasse virkemiddelbruken etter lokale forhold, som igjen kan gi mindre effektiv ressursbruk.</w:t>
      </w:r>
    </w:p>
    <w:p w14:paraId="416BA703" w14:textId="77777777" w:rsidR="00972395" w:rsidRPr="00E73D4B" w:rsidRDefault="00F120C7" w:rsidP="00E73D4B">
      <w:r w:rsidRPr="00E73D4B">
        <w:t>Samferdselsdepartementet foreslår derfor at det ikke settes et konkret mål om andel kollektivreiser, men at den antatte intensjonen bak anmodningsvedtaket følges opp gjennom de målene som allerede er fastsatt.</w:t>
      </w:r>
    </w:p>
    <w:p w14:paraId="59F30544" w14:textId="77777777" w:rsidR="00972395" w:rsidRPr="00E73D4B" w:rsidRDefault="00F120C7" w:rsidP="00E73D4B">
      <w:r w:rsidRPr="00E73D4B">
        <w:t>Departementet vurderer at oppmodingsvedtaket med dette er fulgt opp.</w:t>
      </w:r>
    </w:p>
    <w:p w14:paraId="5B1DE01D" w14:textId="77777777" w:rsidR="00972395" w:rsidRPr="00E73D4B" w:rsidRDefault="00F120C7" w:rsidP="00E73D4B">
      <w:pPr>
        <w:pStyle w:val="avsnitt-tittel"/>
      </w:pPr>
      <w:r w:rsidRPr="00E73D4B">
        <w:t>Følgje opp skredfaktormodellen og vurdere alle relevante prosjekt på to sikringsnivå</w:t>
      </w:r>
    </w:p>
    <w:p w14:paraId="242B8D48" w14:textId="77777777" w:rsidR="00972395" w:rsidRPr="00E73D4B" w:rsidRDefault="00F120C7" w:rsidP="00E73D4B">
      <w:pPr>
        <w:pStyle w:val="avsnitt-undertittel"/>
      </w:pPr>
      <w:r w:rsidRPr="00E73D4B">
        <w:t>Vedtak nr. 466, 5.april 2022</w:t>
      </w:r>
    </w:p>
    <w:p w14:paraId="35D7C758" w14:textId="77777777" w:rsidR="00972395" w:rsidRPr="00E73D4B" w:rsidRDefault="00F120C7" w:rsidP="00E73D4B">
      <w:pPr>
        <w:pStyle w:val="blokksit"/>
      </w:pPr>
      <w:r w:rsidRPr="00E73D4B">
        <w:rPr>
          <w:rStyle w:val="kursiv"/>
        </w:rPr>
        <w:t xml:space="preserve">«Stortinget ber regjeringa </w:t>
      </w:r>
      <w:proofErr w:type="spellStart"/>
      <w:r w:rsidRPr="00E73D4B">
        <w:rPr>
          <w:rStyle w:val="kursiv"/>
        </w:rPr>
        <w:t>følgje</w:t>
      </w:r>
      <w:proofErr w:type="spellEnd"/>
      <w:r w:rsidRPr="00E73D4B">
        <w:rPr>
          <w:rStyle w:val="kursiv"/>
        </w:rPr>
        <w:t xml:space="preserve"> opp arbeidet som vert utført av Statens vegvesen i samband med skredfaktormodellen, og at alle relevante prosjekt vert vurderte basert på to sikringsnivå med </w:t>
      </w:r>
      <w:proofErr w:type="spellStart"/>
      <w:r w:rsidRPr="00E73D4B">
        <w:rPr>
          <w:rStyle w:val="kursiv"/>
        </w:rPr>
        <w:t>tilhøyrande</w:t>
      </w:r>
      <w:proofErr w:type="spellEnd"/>
      <w:r w:rsidRPr="00E73D4B">
        <w:rPr>
          <w:rStyle w:val="kursiv"/>
        </w:rPr>
        <w:t xml:space="preserve"> tiltak </w:t>
      </w:r>
      <w:proofErr w:type="spellStart"/>
      <w:r w:rsidRPr="00E73D4B">
        <w:rPr>
          <w:rStyle w:val="kursiv"/>
        </w:rPr>
        <w:t>kostnadsanalysar</w:t>
      </w:r>
      <w:proofErr w:type="spellEnd"/>
      <w:r w:rsidRPr="00E73D4B">
        <w:rPr>
          <w:rStyle w:val="kursiv"/>
        </w:rPr>
        <w:t xml:space="preserve">. </w:t>
      </w:r>
      <w:proofErr w:type="spellStart"/>
      <w:r w:rsidRPr="00E73D4B">
        <w:rPr>
          <w:rStyle w:val="kursiv"/>
        </w:rPr>
        <w:t>Vidare</w:t>
      </w:r>
      <w:proofErr w:type="spellEnd"/>
      <w:r w:rsidRPr="00E73D4B">
        <w:rPr>
          <w:rStyle w:val="kursiv"/>
        </w:rPr>
        <w:t xml:space="preserve"> ber Stortinget regjeringa syte for at </w:t>
      </w:r>
      <w:proofErr w:type="spellStart"/>
      <w:r w:rsidRPr="00E73D4B">
        <w:rPr>
          <w:rStyle w:val="kursiv"/>
        </w:rPr>
        <w:t>fylkeskommunane</w:t>
      </w:r>
      <w:proofErr w:type="spellEnd"/>
      <w:r w:rsidRPr="00E73D4B">
        <w:rPr>
          <w:rStyle w:val="kursiv"/>
        </w:rPr>
        <w:t xml:space="preserve"> vert godt involverte i arbeidet.»</w:t>
      </w:r>
    </w:p>
    <w:p w14:paraId="320739AF"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Liv Kari Eskeland, Helge Orten, Olve Grotle og Aleksander </w:t>
      </w:r>
      <w:proofErr w:type="spellStart"/>
      <w:r w:rsidRPr="00E73D4B">
        <w:t>Stokkebø</w:t>
      </w:r>
      <w:proofErr w:type="spellEnd"/>
      <w:r w:rsidRPr="00E73D4B">
        <w:t xml:space="preserve"> om </w:t>
      </w:r>
      <w:proofErr w:type="spellStart"/>
      <w:r w:rsidRPr="00E73D4B">
        <w:t>auka</w:t>
      </w:r>
      <w:proofErr w:type="spellEnd"/>
      <w:r w:rsidRPr="00E73D4B">
        <w:t xml:space="preserve"> </w:t>
      </w:r>
      <w:proofErr w:type="gramStart"/>
      <w:r w:rsidRPr="00E73D4B">
        <w:t>fokus</w:t>
      </w:r>
      <w:proofErr w:type="gramEnd"/>
      <w:r w:rsidRPr="00E73D4B">
        <w:t xml:space="preserve"> på og nye </w:t>
      </w:r>
      <w:proofErr w:type="spellStart"/>
      <w:r w:rsidRPr="00E73D4B">
        <w:t>løysingar</w:t>
      </w:r>
      <w:proofErr w:type="spellEnd"/>
      <w:r w:rsidRPr="00E73D4B">
        <w:t xml:space="preserve"> for rassikring av infrastruktur, jf. Dokument 8:91 S (2021–2022) og </w:t>
      </w:r>
      <w:proofErr w:type="spellStart"/>
      <w:r w:rsidRPr="00E73D4B">
        <w:t>Innst</w:t>
      </w:r>
      <w:proofErr w:type="spellEnd"/>
      <w:r w:rsidRPr="00E73D4B">
        <w:t>. 225 S (2021–2022).</w:t>
      </w:r>
    </w:p>
    <w:p w14:paraId="5A3CC9B0" w14:textId="77777777" w:rsidR="00972395" w:rsidRPr="00E73D4B" w:rsidRDefault="00F120C7" w:rsidP="00E73D4B">
      <w:r w:rsidRPr="00E73D4B">
        <w:t xml:space="preserve">Som </w:t>
      </w:r>
      <w:proofErr w:type="spellStart"/>
      <w:r w:rsidRPr="00E73D4B">
        <w:t>ein</w:t>
      </w:r>
      <w:proofErr w:type="spellEnd"/>
      <w:r w:rsidRPr="00E73D4B">
        <w:t xml:space="preserve"> del av arbeidet med ny Nasjonal transportplan skal Statens vegvesen, i tett dialog med </w:t>
      </w:r>
      <w:proofErr w:type="spellStart"/>
      <w:r w:rsidRPr="00E73D4B">
        <w:t>fylkeskommunane</w:t>
      </w:r>
      <w:proofErr w:type="spellEnd"/>
      <w:r w:rsidRPr="00E73D4B">
        <w:t xml:space="preserve">, gå gjennom </w:t>
      </w:r>
      <w:proofErr w:type="spellStart"/>
      <w:r w:rsidRPr="00E73D4B">
        <w:t>reknemodellen</w:t>
      </w:r>
      <w:proofErr w:type="spellEnd"/>
      <w:r w:rsidRPr="00E73D4B">
        <w:t xml:space="preserve"> for skredfaktor med mål om å </w:t>
      </w:r>
      <w:proofErr w:type="spellStart"/>
      <w:r w:rsidRPr="00E73D4B">
        <w:t>gjere</w:t>
      </w:r>
      <w:proofErr w:type="spellEnd"/>
      <w:r w:rsidRPr="00E73D4B">
        <w:t xml:space="preserve"> denne </w:t>
      </w:r>
      <w:proofErr w:type="spellStart"/>
      <w:r w:rsidRPr="00E73D4B">
        <w:t>enklare</w:t>
      </w:r>
      <w:proofErr w:type="spellEnd"/>
      <w:r w:rsidRPr="00E73D4B">
        <w:t xml:space="preserve"> og betre. Oversikt over </w:t>
      </w:r>
      <w:proofErr w:type="spellStart"/>
      <w:r w:rsidRPr="00E73D4B">
        <w:t>skredutsette</w:t>
      </w:r>
      <w:proofErr w:type="spellEnd"/>
      <w:r w:rsidRPr="00E73D4B">
        <w:t xml:space="preserve"> punkt på vegnettet går fram av rapporten </w:t>
      </w:r>
      <w:r w:rsidRPr="00E73D4B">
        <w:rPr>
          <w:rStyle w:val="kursiv"/>
        </w:rPr>
        <w:t xml:space="preserve">Rassikring av vegnettet </w:t>
      </w:r>
      <w:proofErr w:type="spellStart"/>
      <w:r w:rsidRPr="00E73D4B">
        <w:t>frå</w:t>
      </w:r>
      <w:proofErr w:type="spellEnd"/>
      <w:r w:rsidRPr="00E73D4B">
        <w:t xml:space="preserve"> 2019. Grunnlaget for oversiktene ligg i Nasjonal vegdatabank.</w:t>
      </w:r>
    </w:p>
    <w:p w14:paraId="691239FB" w14:textId="77777777" w:rsidR="00972395" w:rsidRPr="00E73D4B" w:rsidRDefault="00F120C7" w:rsidP="00E73D4B">
      <w:r w:rsidRPr="00E73D4B">
        <w:t xml:space="preserve">I </w:t>
      </w:r>
      <w:proofErr w:type="spellStart"/>
      <w:r w:rsidRPr="00E73D4B">
        <w:t>desse</w:t>
      </w:r>
      <w:proofErr w:type="spellEnd"/>
      <w:r w:rsidRPr="00E73D4B">
        <w:t xml:space="preserve"> oversiktene er skredpunkta </w:t>
      </w:r>
      <w:proofErr w:type="spellStart"/>
      <w:r w:rsidRPr="00E73D4B">
        <w:t>omtala</w:t>
      </w:r>
      <w:proofErr w:type="spellEnd"/>
      <w:r w:rsidRPr="00E73D4B">
        <w:t xml:space="preserve"> med </w:t>
      </w:r>
      <w:proofErr w:type="spellStart"/>
      <w:r w:rsidRPr="00E73D4B">
        <w:t>eitt</w:t>
      </w:r>
      <w:proofErr w:type="spellEnd"/>
      <w:r w:rsidRPr="00E73D4B">
        <w:t xml:space="preserve"> skredsikringstiltak, med </w:t>
      </w:r>
      <w:proofErr w:type="spellStart"/>
      <w:r w:rsidRPr="00E73D4B">
        <w:t>mogelegheit</w:t>
      </w:r>
      <w:proofErr w:type="spellEnd"/>
      <w:r w:rsidRPr="00E73D4B">
        <w:t xml:space="preserve"> for å </w:t>
      </w:r>
      <w:proofErr w:type="spellStart"/>
      <w:r w:rsidRPr="00E73D4B">
        <w:t>leggje</w:t>
      </w:r>
      <w:proofErr w:type="spellEnd"/>
      <w:r w:rsidRPr="00E73D4B">
        <w:t xml:space="preserve"> inn </w:t>
      </w:r>
      <w:proofErr w:type="spellStart"/>
      <w:r w:rsidRPr="00E73D4B">
        <w:t>ein</w:t>
      </w:r>
      <w:proofErr w:type="spellEnd"/>
      <w:r w:rsidRPr="00E73D4B">
        <w:t xml:space="preserve"> merknad om sikringseffekt. I 2021 blei det innført ei endring i Nasjonal vegdatabank, slik at det kan gå fram to alternativ for kostnad og sikringseffekt. Dette vil betre få fram skilnaden mellom sikringseffekt og kostnad for ulike tiltak og gi </w:t>
      </w:r>
      <w:proofErr w:type="spellStart"/>
      <w:r w:rsidRPr="00E73D4B">
        <w:t>eit</w:t>
      </w:r>
      <w:proofErr w:type="spellEnd"/>
      <w:r w:rsidRPr="00E73D4B">
        <w:t xml:space="preserve"> betre grunnlag for </w:t>
      </w:r>
      <w:proofErr w:type="spellStart"/>
      <w:r w:rsidRPr="00E73D4B">
        <w:t>endeleg</w:t>
      </w:r>
      <w:proofErr w:type="spellEnd"/>
      <w:r w:rsidRPr="00E73D4B">
        <w:t xml:space="preserve"> val av tiltak. Det er førebels </w:t>
      </w:r>
      <w:proofErr w:type="spellStart"/>
      <w:r w:rsidRPr="00E73D4B">
        <w:t>berre</w:t>
      </w:r>
      <w:proofErr w:type="spellEnd"/>
      <w:r w:rsidRPr="00E73D4B">
        <w:t xml:space="preserve"> </w:t>
      </w:r>
      <w:proofErr w:type="spellStart"/>
      <w:r w:rsidRPr="00E73D4B">
        <w:t>eit</w:t>
      </w:r>
      <w:proofErr w:type="spellEnd"/>
      <w:r w:rsidRPr="00E73D4B">
        <w:t xml:space="preserve"> </w:t>
      </w:r>
      <w:proofErr w:type="spellStart"/>
      <w:r w:rsidRPr="00E73D4B">
        <w:t>fåtal</w:t>
      </w:r>
      <w:proofErr w:type="spellEnd"/>
      <w:r w:rsidRPr="00E73D4B">
        <w:t xml:space="preserve"> punkt der to ulike tiltak er oppgitt. Tradisjonelle fysiske </w:t>
      </w:r>
      <w:proofErr w:type="spellStart"/>
      <w:r w:rsidRPr="00E73D4B">
        <w:t>skredsikringskonstruksjonar</w:t>
      </w:r>
      <w:proofErr w:type="spellEnd"/>
      <w:r w:rsidRPr="00E73D4B">
        <w:t xml:space="preserve"> som tunnel, skredoverbygg og </w:t>
      </w:r>
      <w:proofErr w:type="spellStart"/>
      <w:r w:rsidRPr="00E73D4B">
        <w:t>barrierar</w:t>
      </w:r>
      <w:proofErr w:type="spellEnd"/>
      <w:r w:rsidRPr="00E73D4B">
        <w:t xml:space="preserve"> i terrenget blir i dag vurderte parallelt med aktive og teknologiske skredsikringstiltak som medfører </w:t>
      </w:r>
      <w:proofErr w:type="spellStart"/>
      <w:r w:rsidRPr="00E73D4B">
        <w:t>kontinuerleg</w:t>
      </w:r>
      <w:proofErr w:type="spellEnd"/>
      <w:r w:rsidRPr="00E73D4B">
        <w:t xml:space="preserve"> registrering og automatisk </w:t>
      </w:r>
      <w:proofErr w:type="spellStart"/>
      <w:r w:rsidRPr="00E73D4B">
        <w:t>overvaking</w:t>
      </w:r>
      <w:proofErr w:type="spellEnd"/>
      <w:r w:rsidRPr="00E73D4B">
        <w:t>.</w:t>
      </w:r>
    </w:p>
    <w:p w14:paraId="7B47323D" w14:textId="77777777" w:rsidR="00972395" w:rsidRPr="00E73D4B" w:rsidRDefault="00F120C7" w:rsidP="00E73D4B">
      <w:r w:rsidRPr="00E73D4B">
        <w:t xml:space="preserve">Det er </w:t>
      </w:r>
      <w:proofErr w:type="spellStart"/>
      <w:r w:rsidRPr="00E73D4B">
        <w:t>nokre</w:t>
      </w:r>
      <w:proofErr w:type="spellEnd"/>
      <w:r w:rsidRPr="00E73D4B">
        <w:t xml:space="preserve"> </w:t>
      </w:r>
      <w:proofErr w:type="spellStart"/>
      <w:r w:rsidRPr="00E73D4B">
        <w:t>manglar</w:t>
      </w:r>
      <w:proofErr w:type="spellEnd"/>
      <w:r w:rsidRPr="00E73D4B">
        <w:t xml:space="preserve"> ved </w:t>
      </w:r>
      <w:proofErr w:type="spellStart"/>
      <w:r w:rsidRPr="00E73D4B">
        <w:t>reknemodellen</w:t>
      </w:r>
      <w:proofErr w:type="spellEnd"/>
      <w:r w:rsidRPr="00E73D4B">
        <w:t xml:space="preserve"> for skredfaktor, og Statens vegvesen er i gang med å sjå på korleis modellen eventuelt kan </w:t>
      </w:r>
      <w:proofErr w:type="spellStart"/>
      <w:r w:rsidRPr="00E73D4B">
        <w:t>forbetrast</w:t>
      </w:r>
      <w:proofErr w:type="spellEnd"/>
      <w:r w:rsidRPr="00E73D4B">
        <w:t xml:space="preserve">. M.a. arbeider </w:t>
      </w:r>
      <w:proofErr w:type="spellStart"/>
      <w:r w:rsidRPr="00E73D4B">
        <w:t>ein</w:t>
      </w:r>
      <w:proofErr w:type="spellEnd"/>
      <w:r w:rsidRPr="00E73D4B">
        <w:t xml:space="preserve"> for å </w:t>
      </w:r>
      <w:proofErr w:type="spellStart"/>
      <w:r w:rsidRPr="00E73D4B">
        <w:t>leggje</w:t>
      </w:r>
      <w:proofErr w:type="spellEnd"/>
      <w:r w:rsidRPr="00E73D4B">
        <w:t xml:space="preserve"> </w:t>
      </w:r>
      <w:proofErr w:type="spellStart"/>
      <w:r w:rsidRPr="00E73D4B">
        <w:t>meir</w:t>
      </w:r>
      <w:proofErr w:type="spellEnd"/>
      <w:r w:rsidRPr="00E73D4B">
        <w:t xml:space="preserve"> vekt på skredfare og forenkle modellen, slik at det blir </w:t>
      </w:r>
      <w:proofErr w:type="spellStart"/>
      <w:r w:rsidRPr="00E73D4B">
        <w:t>enklare</w:t>
      </w:r>
      <w:proofErr w:type="spellEnd"/>
      <w:r w:rsidRPr="00E73D4B">
        <w:t xml:space="preserve"> å forstå korleis skredfaktor blir </w:t>
      </w:r>
      <w:proofErr w:type="spellStart"/>
      <w:r w:rsidRPr="00E73D4B">
        <w:t>rekna</w:t>
      </w:r>
      <w:proofErr w:type="spellEnd"/>
      <w:r w:rsidRPr="00E73D4B">
        <w:t xml:space="preserve"> ut. Arbeidet med å revidere modellen har </w:t>
      </w:r>
      <w:proofErr w:type="spellStart"/>
      <w:r w:rsidRPr="00E73D4B">
        <w:t>vore</w:t>
      </w:r>
      <w:proofErr w:type="spellEnd"/>
      <w:r w:rsidRPr="00E73D4B">
        <w:t xml:space="preserve"> diskutert med </w:t>
      </w:r>
      <w:proofErr w:type="spellStart"/>
      <w:r w:rsidRPr="00E73D4B">
        <w:t>fylkeskommunane</w:t>
      </w:r>
      <w:proofErr w:type="spellEnd"/>
      <w:r w:rsidRPr="00E73D4B">
        <w:t xml:space="preserve">, og </w:t>
      </w:r>
      <w:proofErr w:type="spellStart"/>
      <w:r w:rsidRPr="00E73D4B">
        <w:t>dei</w:t>
      </w:r>
      <w:proofErr w:type="spellEnd"/>
      <w:r w:rsidRPr="00E73D4B">
        <w:t xml:space="preserve"> har </w:t>
      </w:r>
      <w:proofErr w:type="spellStart"/>
      <w:r w:rsidRPr="00E73D4B">
        <w:t>kome</w:t>
      </w:r>
      <w:proofErr w:type="spellEnd"/>
      <w:r w:rsidRPr="00E73D4B">
        <w:t xml:space="preserve"> med viktige bidrag.</w:t>
      </w:r>
    </w:p>
    <w:p w14:paraId="755F491D" w14:textId="77777777" w:rsidR="00972395" w:rsidRPr="00E73D4B" w:rsidRDefault="00F120C7" w:rsidP="00E73D4B">
      <w:r w:rsidRPr="00E73D4B">
        <w:t xml:space="preserve">Samferdselsdepartementet vil </w:t>
      </w:r>
      <w:proofErr w:type="spellStart"/>
      <w:r w:rsidRPr="00E73D4B">
        <w:t>følgje</w:t>
      </w:r>
      <w:proofErr w:type="spellEnd"/>
      <w:r w:rsidRPr="00E73D4B">
        <w:t xml:space="preserve"> opp dette arbeidet i styringsdialogen med Statens vegvesen.</w:t>
      </w:r>
    </w:p>
    <w:p w14:paraId="6384E095" w14:textId="77777777" w:rsidR="00972395" w:rsidRPr="00E73D4B" w:rsidRDefault="00F120C7" w:rsidP="00E73D4B">
      <w:r w:rsidRPr="00E73D4B">
        <w:t>Departementet vurderer at oppmodingsvedtaket med dette er ivaretatt.</w:t>
      </w:r>
    </w:p>
    <w:p w14:paraId="7BA8A87D" w14:textId="77777777" w:rsidR="00972395" w:rsidRPr="00E73D4B" w:rsidRDefault="00F120C7" w:rsidP="00E73D4B">
      <w:pPr>
        <w:pStyle w:val="avsnitt-tittel"/>
      </w:pPr>
      <w:r w:rsidRPr="00E73D4B">
        <w:t>Innovasjonsprogram for skredsikring</w:t>
      </w:r>
    </w:p>
    <w:p w14:paraId="1054C6FD" w14:textId="77777777" w:rsidR="00972395" w:rsidRPr="00E73D4B" w:rsidRDefault="00F120C7" w:rsidP="00E73D4B">
      <w:pPr>
        <w:pStyle w:val="avsnitt-undertittel"/>
      </w:pPr>
      <w:r w:rsidRPr="00E73D4B">
        <w:t>Vedtak nr. 467, 5. april 2022</w:t>
      </w:r>
    </w:p>
    <w:p w14:paraId="1F6289E4" w14:textId="77777777" w:rsidR="00972395" w:rsidRPr="00E73D4B" w:rsidRDefault="00F120C7" w:rsidP="00E73D4B">
      <w:pPr>
        <w:pStyle w:val="blokksit"/>
      </w:pPr>
      <w:r w:rsidRPr="00E73D4B">
        <w:rPr>
          <w:rStyle w:val="kursiv"/>
        </w:rPr>
        <w:t xml:space="preserve">«Stortinget ber regjeringa utarbeide </w:t>
      </w:r>
      <w:proofErr w:type="spellStart"/>
      <w:r w:rsidRPr="00E73D4B">
        <w:rPr>
          <w:rStyle w:val="kursiv"/>
        </w:rPr>
        <w:t>eit</w:t>
      </w:r>
      <w:proofErr w:type="spellEnd"/>
      <w:r w:rsidRPr="00E73D4B">
        <w:rPr>
          <w:rStyle w:val="kursiv"/>
        </w:rPr>
        <w:t xml:space="preserve"> innovasjonsprogram for skredsikring. Programmet bør støtte alternative </w:t>
      </w:r>
      <w:proofErr w:type="spellStart"/>
      <w:r w:rsidRPr="00E73D4B">
        <w:rPr>
          <w:rStyle w:val="kursiv"/>
        </w:rPr>
        <w:t>løysingar</w:t>
      </w:r>
      <w:proofErr w:type="spellEnd"/>
      <w:r w:rsidRPr="00E73D4B">
        <w:rPr>
          <w:rStyle w:val="kursiv"/>
        </w:rPr>
        <w:t xml:space="preserve"> og nivå </w:t>
      </w:r>
      <w:proofErr w:type="spellStart"/>
      <w:r w:rsidRPr="00E73D4B">
        <w:rPr>
          <w:rStyle w:val="kursiv"/>
        </w:rPr>
        <w:t>innan</w:t>
      </w:r>
      <w:proofErr w:type="spellEnd"/>
      <w:r w:rsidRPr="00E73D4B">
        <w:rPr>
          <w:rStyle w:val="kursiv"/>
        </w:rPr>
        <w:t xml:space="preserve"> skredsikring, på både fylkes- og </w:t>
      </w:r>
      <w:proofErr w:type="spellStart"/>
      <w:r w:rsidRPr="00E73D4B">
        <w:rPr>
          <w:rStyle w:val="kursiv"/>
        </w:rPr>
        <w:t>riksvegar</w:t>
      </w:r>
      <w:proofErr w:type="spellEnd"/>
      <w:r w:rsidRPr="00E73D4B">
        <w:rPr>
          <w:rStyle w:val="kursiv"/>
        </w:rPr>
        <w:t xml:space="preserve">, og </w:t>
      </w:r>
      <w:proofErr w:type="spellStart"/>
      <w:r w:rsidRPr="00E73D4B">
        <w:rPr>
          <w:rStyle w:val="kursiv"/>
        </w:rPr>
        <w:t>femne</w:t>
      </w:r>
      <w:proofErr w:type="spellEnd"/>
      <w:r w:rsidRPr="00E73D4B">
        <w:rPr>
          <w:rStyle w:val="kursiv"/>
        </w:rPr>
        <w:t xml:space="preserve"> om alt </w:t>
      </w:r>
      <w:proofErr w:type="spellStart"/>
      <w:r w:rsidRPr="00E73D4B">
        <w:rPr>
          <w:rStyle w:val="kursiv"/>
        </w:rPr>
        <w:t>frå</w:t>
      </w:r>
      <w:proofErr w:type="spellEnd"/>
      <w:r w:rsidRPr="00E73D4B">
        <w:rPr>
          <w:rStyle w:val="kursiv"/>
        </w:rPr>
        <w:t xml:space="preserve"> enkel skredovervaking til tunge infrastrukturtiltak. «</w:t>
      </w:r>
    </w:p>
    <w:p w14:paraId="2250A93A"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Liv Kari Eskeland, Helge Orten, Olve Grotle og Aleksander </w:t>
      </w:r>
      <w:proofErr w:type="spellStart"/>
      <w:r w:rsidRPr="00E73D4B">
        <w:t>Stokkebø</w:t>
      </w:r>
      <w:proofErr w:type="spellEnd"/>
      <w:r w:rsidRPr="00E73D4B">
        <w:t xml:space="preserve"> om </w:t>
      </w:r>
      <w:proofErr w:type="spellStart"/>
      <w:r w:rsidRPr="00E73D4B">
        <w:t>auka</w:t>
      </w:r>
      <w:proofErr w:type="spellEnd"/>
      <w:r w:rsidRPr="00E73D4B">
        <w:t xml:space="preserve"> </w:t>
      </w:r>
      <w:proofErr w:type="gramStart"/>
      <w:r w:rsidRPr="00E73D4B">
        <w:t>fokus</w:t>
      </w:r>
      <w:proofErr w:type="gramEnd"/>
      <w:r w:rsidRPr="00E73D4B">
        <w:t xml:space="preserve"> på og nye </w:t>
      </w:r>
      <w:proofErr w:type="spellStart"/>
      <w:r w:rsidRPr="00E73D4B">
        <w:t>løysingar</w:t>
      </w:r>
      <w:proofErr w:type="spellEnd"/>
      <w:r w:rsidRPr="00E73D4B">
        <w:t xml:space="preserve"> for rassikring av infrastruktur, jf. Dokument 8:91 S (2021–2022) og </w:t>
      </w:r>
      <w:proofErr w:type="spellStart"/>
      <w:r w:rsidRPr="00E73D4B">
        <w:t>Innst</w:t>
      </w:r>
      <w:proofErr w:type="spellEnd"/>
      <w:r w:rsidRPr="00E73D4B">
        <w:t>. 225 S (2021–2022).</w:t>
      </w:r>
    </w:p>
    <w:p w14:paraId="0B78CECB" w14:textId="77777777" w:rsidR="00972395" w:rsidRPr="00E73D4B" w:rsidRDefault="00F120C7" w:rsidP="00E73D4B">
      <w:r w:rsidRPr="00E73D4B">
        <w:t xml:space="preserve">Statens vegvesen har </w:t>
      </w:r>
      <w:proofErr w:type="spellStart"/>
      <w:r w:rsidRPr="00E73D4B">
        <w:t>eit</w:t>
      </w:r>
      <w:proofErr w:type="spellEnd"/>
      <w:r w:rsidRPr="00E73D4B">
        <w:t xml:space="preserve"> nasjonalt ansvar for skred- og </w:t>
      </w:r>
      <w:proofErr w:type="spellStart"/>
      <w:r w:rsidRPr="00E73D4B">
        <w:t>flaumberedskap</w:t>
      </w:r>
      <w:proofErr w:type="spellEnd"/>
      <w:r w:rsidRPr="00E73D4B">
        <w:t xml:space="preserve"> for </w:t>
      </w:r>
      <w:proofErr w:type="spellStart"/>
      <w:r w:rsidRPr="00E73D4B">
        <w:t>vegar</w:t>
      </w:r>
      <w:proofErr w:type="spellEnd"/>
      <w:r w:rsidRPr="00E73D4B">
        <w:t xml:space="preserve">. Teknologiutvikling har </w:t>
      </w:r>
      <w:proofErr w:type="spellStart"/>
      <w:r w:rsidRPr="00E73D4B">
        <w:t>vore</w:t>
      </w:r>
      <w:proofErr w:type="spellEnd"/>
      <w:r w:rsidRPr="00E73D4B">
        <w:t xml:space="preserve"> </w:t>
      </w:r>
      <w:proofErr w:type="spellStart"/>
      <w:r w:rsidRPr="00E73D4B">
        <w:t>eit</w:t>
      </w:r>
      <w:proofErr w:type="spellEnd"/>
      <w:r w:rsidRPr="00E73D4B">
        <w:t xml:space="preserve"> sentralt tema i arbeidet med skredsikring i etaten og i </w:t>
      </w:r>
      <w:proofErr w:type="spellStart"/>
      <w:r w:rsidRPr="00E73D4B">
        <w:t>fylkeskommunane</w:t>
      </w:r>
      <w:proofErr w:type="spellEnd"/>
      <w:r w:rsidRPr="00E73D4B">
        <w:t xml:space="preserve"> det siste tiåret. Samferdselsdepartementet har i Nasjonal transportplan 2022–2033 skissert ei teknologisatsing for perioden 2022–2027 som òg </w:t>
      </w:r>
      <w:proofErr w:type="spellStart"/>
      <w:r w:rsidRPr="00E73D4B">
        <w:t>omfattar</w:t>
      </w:r>
      <w:proofErr w:type="spellEnd"/>
      <w:r w:rsidRPr="00E73D4B">
        <w:t xml:space="preserve"> teknologi </w:t>
      </w:r>
      <w:proofErr w:type="spellStart"/>
      <w:r w:rsidRPr="00E73D4B">
        <w:t>innan</w:t>
      </w:r>
      <w:proofErr w:type="spellEnd"/>
      <w:r w:rsidRPr="00E73D4B">
        <w:t xml:space="preserve"> skredsikring. </w:t>
      </w:r>
      <w:proofErr w:type="spellStart"/>
      <w:r w:rsidRPr="00E73D4B">
        <w:t>Ein</w:t>
      </w:r>
      <w:proofErr w:type="spellEnd"/>
      <w:r w:rsidRPr="00E73D4B">
        <w:t xml:space="preserve"> del av denne satsinga </w:t>
      </w:r>
      <w:proofErr w:type="spellStart"/>
      <w:r w:rsidRPr="00E73D4B">
        <w:t>inneber</w:t>
      </w:r>
      <w:proofErr w:type="spellEnd"/>
      <w:r w:rsidRPr="00E73D4B">
        <w:t xml:space="preserve"> sikring av 20–25 skredpunkt på riksvegnettet med ny aktiv skredsikringsteknologi.</w:t>
      </w:r>
    </w:p>
    <w:p w14:paraId="34A2087B" w14:textId="77777777" w:rsidR="00972395" w:rsidRPr="00E73D4B" w:rsidRDefault="00F120C7" w:rsidP="00E73D4B">
      <w:r w:rsidRPr="00E73D4B">
        <w:t xml:space="preserve">Statens vegvesen arrangerer kvart år ei samling med </w:t>
      </w:r>
      <w:proofErr w:type="spellStart"/>
      <w:r w:rsidRPr="00E73D4B">
        <w:t>fylkeskommunane</w:t>
      </w:r>
      <w:proofErr w:type="spellEnd"/>
      <w:r w:rsidRPr="00E73D4B">
        <w:t xml:space="preserve"> og Nye Veier AS for samarbeid om skredsikring og deling av </w:t>
      </w:r>
      <w:proofErr w:type="spellStart"/>
      <w:r w:rsidRPr="00E73D4B">
        <w:t>erfaringar</w:t>
      </w:r>
      <w:proofErr w:type="spellEnd"/>
      <w:r w:rsidRPr="00E73D4B">
        <w:t xml:space="preserve">. </w:t>
      </w:r>
      <w:proofErr w:type="spellStart"/>
      <w:r w:rsidRPr="00E73D4B">
        <w:t>Vidare</w:t>
      </w:r>
      <w:proofErr w:type="spellEnd"/>
      <w:r w:rsidRPr="00E73D4B">
        <w:t xml:space="preserve"> har Statens vegvesen starta to arbeidsgrupper </w:t>
      </w:r>
      <w:proofErr w:type="spellStart"/>
      <w:r w:rsidRPr="00E73D4B">
        <w:t>saman</w:t>
      </w:r>
      <w:proofErr w:type="spellEnd"/>
      <w:r w:rsidRPr="00E73D4B">
        <w:t xml:space="preserve"> med </w:t>
      </w:r>
      <w:proofErr w:type="spellStart"/>
      <w:r w:rsidRPr="00E73D4B">
        <w:t>fylkeskommunane</w:t>
      </w:r>
      <w:proofErr w:type="spellEnd"/>
      <w:r w:rsidRPr="00E73D4B">
        <w:t xml:space="preserve"> om skreddeteksjon og -kontroll. Departementet meiner den beste innrettinga på </w:t>
      </w:r>
      <w:proofErr w:type="spellStart"/>
      <w:r w:rsidRPr="00E73D4B">
        <w:t>eit</w:t>
      </w:r>
      <w:proofErr w:type="spellEnd"/>
      <w:r w:rsidRPr="00E73D4B">
        <w:t xml:space="preserve"> innovasjonsprogram er gjennom teknologisatsinga i Statens vegvesen og delingsfora med </w:t>
      </w:r>
      <w:proofErr w:type="spellStart"/>
      <w:r w:rsidRPr="00E73D4B">
        <w:t>fylkeskommunane</w:t>
      </w:r>
      <w:proofErr w:type="spellEnd"/>
      <w:r w:rsidRPr="00E73D4B">
        <w:t>.</w:t>
      </w:r>
    </w:p>
    <w:p w14:paraId="472C1C24" w14:textId="77777777" w:rsidR="00972395" w:rsidRPr="00E73D4B" w:rsidRDefault="00F120C7" w:rsidP="00E73D4B">
      <w:r w:rsidRPr="00E73D4B">
        <w:t xml:space="preserve">Samferdselsdepartementet har likevel bedt Statens vegvesen i </w:t>
      </w:r>
      <w:proofErr w:type="spellStart"/>
      <w:r w:rsidRPr="00E73D4B">
        <w:t>supplerande</w:t>
      </w:r>
      <w:proofErr w:type="spellEnd"/>
      <w:r w:rsidRPr="00E73D4B">
        <w:t xml:space="preserve"> tildelingsbrev nr. 6 av 25. mai 2022 å vurdere </w:t>
      </w:r>
      <w:proofErr w:type="spellStart"/>
      <w:r w:rsidRPr="00E73D4B">
        <w:t>eit</w:t>
      </w:r>
      <w:proofErr w:type="spellEnd"/>
      <w:r w:rsidRPr="00E73D4B">
        <w:t xml:space="preserve"> innovasjonsprogram utover </w:t>
      </w:r>
      <w:proofErr w:type="spellStart"/>
      <w:r w:rsidRPr="00E73D4B">
        <w:t>dei</w:t>
      </w:r>
      <w:proofErr w:type="spellEnd"/>
      <w:r w:rsidRPr="00E73D4B">
        <w:t xml:space="preserve"> delingsfora og den teknologisatsinga som alt er i gang. Departementet vil </w:t>
      </w:r>
      <w:proofErr w:type="spellStart"/>
      <w:r w:rsidRPr="00E73D4B">
        <w:t>følgje</w:t>
      </w:r>
      <w:proofErr w:type="spellEnd"/>
      <w:r w:rsidRPr="00E73D4B">
        <w:t xml:space="preserve"> opp dette arbeidet og </w:t>
      </w:r>
      <w:proofErr w:type="spellStart"/>
      <w:r w:rsidRPr="00E73D4B">
        <w:t>kome</w:t>
      </w:r>
      <w:proofErr w:type="spellEnd"/>
      <w:r w:rsidRPr="00E73D4B">
        <w:t xml:space="preserve"> tilbake til Stortinget på eigna måte.</w:t>
      </w:r>
    </w:p>
    <w:p w14:paraId="02407988" w14:textId="77777777" w:rsidR="00972395" w:rsidRPr="00E73D4B" w:rsidRDefault="00F120C7" w:rsidP="00E73D4B">
      <w:pPr>
        <w:pStyle w:val="avsnitt-tittel"/>
      </w:pPr>
      <w:r w:rsidRPr="00E73D4B">
        <w:t xml:space="preserve">Om dagens </w:t>
      </w:r>
      <w:proofErr w:type="spellStart"/>
      <w:r w:rsidRPr="00E73D4B">
        <w:t>driftskontraktar</w:t>
      </w:r>
      <w:proofErr w:type="spellEnd"/>
      <w:r w:rsidRPr="00E73D4B">
        <w:t xml:space="preserve"> for </w:t>
      </w:r>
      <w:proofErr w:type="spellStart"/>
      <w:r w:rsidRPr="00E73D4B">
        <w:t>vegvedlikehald</w:t>
      </w:r>
      <w:proofErr w:type="spellEnd"/>
      <w:r w:rsidRPr="00E73D4B">
        <w:t xml:space="preserve"> er </w:t>
      </w:r>
      <w:proofErr w:type="gramStart"/>
      <w:r w:rsidRPr="00E73D4B">
        <w:t>optimale</w:t>
      </w:r>
      <w:proofErr w:type="gramEnd"/>
    </w:p>
    <w:p w14:paraId="7E8311D2" w14:textId="77777777" w:rsidR="00972395" w:rsidRPr="00E73D4B" w:rsidRDefault="00F120C7" w:rsidP="00E73D4B">
      <w:pPr>
        <w:pStyle w:val="avsnitt-undertittel"/>
      </w:pPr>
      <w:r w:rsidRPr="00E73D4B">
        <w:t>Vedtak nr. 468, 5. april 2022</w:t>
      </w:r>
    </w:p>
    <w:p w14:paraId="054FA712" w14:textId="77777777" w:rsidR="00972395" w:rsidRPr="00E73D4B" w:rsidRDefault="00F120C7" w:rsidP="00E73D4B">
      <w:pPr>
        <w:pStyle w:val="blokksit"/>
      </w:pPr>
      <w:r w:rsidRPr="00E73D4B">
        <w:rPr>
          <w:rStyle w:val="kursiv"/>
        </w:rPr>
        <w:t xml:space="preserve">«Stortinget ber regjeringa vurdere om dagens </w:t>
      </w:r>
      <w:proofErr w:type="spellStart"/>
      <w:r w:rsidRPr="00E73D4B">
        <w:rPr>
          <w:rStyle w:val="kursiv"/>
        </w:rPr>
        <w:t>driftskontraktar</w:t>
      </w:r>
      <w:proofErr w:type="spellEnd"/>
      <w:r w:rsidRPr="00E73D4B">
        <w:rPr>
          <w:rStyle w:val="kursiv"/>
        </w:rPr>
        <w:t xml:space="preserve"> for </w:t>
      </w:r>
      <w:proofErr w:type="spellStart"/>
      <w:r w:rsidRPr="00E73D4B">
        <w:rPr>
          <w:rStyle w:val="kursiv"/>
        </w:rPr>
        <w:t>vegvedlikehald</w:t>
      </w:r>
      <w:proofErr w:type="spellEnd"/>
      <w:r w:rsidRPr="00E73D4B">
        <w:rPr>
          <w:rStyle w:val="kursiv"/>
        </w:rPr>
        <w:t xml:space="preserve"> er </w:t>
      </w:r>
      <w:proofErr w:type="gramStart"/>
      <w:r w:rsidRPr="00E73D4B">
        <w:rPr>
          <w:rStyle w:val="kursiv"/>
        </w:rPr>
        <w:t>optimale</w:t>
      </w:r>
      <w:proofErr w:type="gramEnd"/>
      <w:r w:rsidRPr="00E73D4B">
        <w:rPr>
          <w:rStyle w:val="kursiv"/>
        </w:rPr>
        <w:t xml:space="preserve"> med tanke på </w:t>
      </w:r>
      <w:proofErr w:type="spellStart"/>
      <w:r w:rsidRPr="00E73D4B">
        <w:rPr>
          <w:rStyle w:val="kursiv"/>
        </w:rPr>
        <w:t>tidleg</w:t>
      </w:r>
      <w:proofErr w:type="spellEnd"/>
      <w:r w:rsidRPr="00E73D4B">
        <w:rPr>
          <w:rStyle w:val="kursiv"/>
        </w:rPr>
        <w:t xml:space="preserve"> involvering, og </w:t>
      </w:r>
      <w:proofErr w:type="spellStart"/>
      <w:r w:rsidRPr="00E73D4B">
        <w:rPr>
          <w:rStyle w:val="kursiv"/>
        </w:rPr>
        <w:t>opne</w:t>
      </w:r>
      <w:proofErr w:type="spellEnd"/>
      <w:r w:rsidRPr="00E73D4B">
        <w:rPr>
          <w:rStyle w:val="kursiv"/>
        </w:rPr>
        <w:t xml:space="preserve"> nok slik at </w:t>
      </w:r>
      <w:proofErr w:type="spellStart"/>
      <w:r w:rsidRPr="00E73D4B">
        <w:rPr>
          <w:rStyle w:val="kursiv"/>
        </w:rPr>
        <w:t>ein</w:t>
      </w:r>
      <w:proofErr w:type="spellEnd"/>
      <w:r w:rsidRPr="00E73D4B">
        <w:rPr>
          <w:rStyle w:val="kursiv"/>
        </w:rPr>
        <w:t xml:space="preserve"> kan ta i bruk innovative </w:t>
      </w:r>
      <w:proofErr w:type="spellStart"/>
      <w:r w:rsidRPr="00E73D4B">
        <w:rPr>
          <w:rStyle w:val="kursiv"/>
        </w:rPr>
        <w:t>løysingar</w:t>
      </w:r>
      <w:proofErr w:type="spellEnd"/>
      <w:r w:rsidRPr="00E73D4B">
        <w:rPr>
          <w:rStyle w:val="kursiv"/>
        </w:rPr>
        <w:t xml:space="preserve">. Det bør i denne </w:t>
      </w:r>
      <w:proofErr w:type="spellStart"/>
      <w:r w:rsidRPr="00E73D4B">
        <w:rPr>
          <w:rStyle w:val="kursiv"/>
        </w:rPr>
        <w:t>samanhengen</w:t>
      </w:r>
      <w:proofErr w:type="spellEnd"/>
      <w:r w:rsidRPr="00E73D4B">
        <w:rPr>
          <w:rStyle w:val="kursiv"/>
        </w:rPr>
        <w:t xml:space="preserve"> </w:t>
      </w:r>
      <w:proofErr w:type="spellStart"/>
      <w:r w:rsidRPr="00E73D4B">
        <w:rPr>
          <w:rStyle w:val="kursiv"/>
        </w:rPr>
        <w:t>vurderast</w:t>
      </w:r>
      <w:proofErr w:type="spellEnd"/>
      <w:r w:rsidRPr="00E73D4B">
        <w:rPr>
          <w:rStyle w:val="kursiv"/>
        </w:rPr>
        <w:t xml:space="preserve"> om det kan </w:t>
      </w:r>
      <w:proofErr w:type="spellStart"/>
      <w:r w:rsidRPr="00E73D4B">
        <w:rPr>
          <w:rStyle w:val="kursiv"/>
        </w:rPr>
        <w:t>vera</w:t>
      </w:r>
      <w:proofErr w:type="spellEnd"/>
      <w:r w:rsidRPr="00E73D4B">
        <w:rPr>
          <w:rStyle w:val="kursiv"/>
        </w:rPr>
        <w:t xml:space="preserve"> </w:t>
      </w:r>
      <w:proofErr w:type="spellStart"/>
      <w:r w:rsidRPr="00E73D4B">
        <w:rPr>
          <w:rStyle w:val="kursiv"/>
        </w:rPr>
        <w:t>formålstenleg</w:t>
      </w:r>
      <w:proofErr w:type="spellEnd"/>
      <w:r w:rsidRPr="00E73D4B">
        <w:rPr>
          <w:rStyle w:val="kursiv"/>
        </w:rPr>
        <w:t xml:space="preserve"> med </w:t>
      </w:r>
      <w:proofErr w:type="spellStart"/>
      <w:r w:rsidRPr="00E73D4B">
        <w:rPr>
          <w:rStyle w:val="kursiv"/>
        </w:rPr>
        <w:t>auka</w:t>
      </w:r>
      <w:proofErr w:type="spellEnd"/>
      <w:r w:rsidRPr="00E73D4B">
        <w:rPr>
          <w:rStyle w:val="kursiv"/>
        </w:rPr>
        <w:t xml:space="preserve"> bruk av </w:t>
      </w:r>
      <w:proofErr w:type="spellStart"/>
      <w:r w:rsidRPr="00E73D4B">
        <w:rPr>
          <w:rStyle w:val="kursiv"/>
        </w:rPr>
        <w:t>insentivordningar</w:t>
      </w:r>
      <w:proofErr w:type="spellEnd"/>
      <w:r w:rsidRPr="00E73D4B">
        <w:rPr>
          <w:rStyle w:val="kursiv"/>
        </w:rPr>
        <w:t xml:space="preserve"> som del av </w:t>
      </w:r>
      <w:proofErr w:type="spellStart"/>
      <w:r w:rsidRPr="00E73D4B">
        <w:rPr>
          <w:rStyle w:val="kursiv"/>
        </w:rPr>
        <w:t>driftskontraktane</w:t>
      </w:r>
      <w:proofErr w:type="spellEnd"/>
      <w:r w:rsidRPr="00E73D4B">
        <w:rPr>
          <w:rStyle w:val="kursiv"/>
        </w:rPr>
        <w:t>.»</w:t>
      </w:r>
    </w:p>
    <w:p w14:paraId="5BC918CE"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Liv Kari Eskeland, Helge Orten, Olve Grotle og Aleksander </w:t>
      </w:r>
      <w:proofErr w:type="spellStart"/>
      <w:r w:rsidRPr="00E73D4B">
        <w:t>Stokkebø</w:t>
      </w:r>
      <w:proofErr w:type="spellEnd"/>
      <w:r w:rsidRPr="00E73D4B">
        <w:t xml:space="preserve"> om </w:t>
      </w:r>
      <w:proofErr w:type="spellStart"/>
      <w:r w:rsidRPr="00E73D4B">
        <w:t>auka</w:t>
      </w:r>
      <w:proofErr w:type="spellEnd"/>
      <w:r w:rsidRPr="00E73D4B">
        <w:t xml:space="preserve"> </w:t>
      </w:r>
      <w:proofErr w:type="gramStart"/>
      <w:r w:rsidRPr="00E73D4B">
        <w:t>fokus</w:t>
      </w:r>
      <w:proofErr w:type="gramEnd"/>
      <w:r w:rsidRPr="00E73D4B">
        <w:t xml:space="preserve"> på og nye </w:t>
      </w:r>
      <w:proofErr w:type="spellStart"/>
      <w:r w:rsidRPr="00E73D4B">
        <w:t>løysingar</w:t>
      </w:r>
      <w:proofErr w:type="spellEnd"/>
      <w:r w:rsidRPr="00E73D4B">
        <w:t xml:space="preserve"> for rassikring av infrastruktur, jf. Dokument 8:91 S (2021–2022) og </w:t>
      </w:r>
      <w:proofErr w:type="spellStart"/>
      <w:r w:rsidRPr="00E73D4B">
        <w:t>Innst</w:t>
      </w:r>
      <w:proofErr w:type="spellEnd"/>
      <w:r w:rsidRPr="00E73D4B">
        <w:t xml:space="preserve">. 225 S (2021–2022). I innstillinga går det fram at vedtaket er knytt til </w:t>
      </w:r>
      <w:proofErr w:type="spellStart"/>
      <w:r w:rsidRPr="00E73D4B">
        <w:t>driftskontraktar</w:t>
      </w:r>
      <w:proofErr w:type="spellEnd"/>
      <w:r w:rsidRPr="00E73D4B">
        <w:t xml:space="preserve"> for skredsikring.</w:t>
      </w:r>
    </w:p>
    <w:p w14:paraId="4CC98AAD" w14:textId="77777777" w:rsidR="00972395" w:rsidRPr="00E73D4B" w:rsidRDefault="00F120C7" w:rsidP="00E73D4B">
      <w:r w:rsidRPr="00E73D4B">
        <w:t xml:space="preserve">Samferdselsdepartementet meiner dagens </w:t>
      </w:r>
      <w:proofErr w:type="spellStart"/>
      <w:r w:rsidRPr="00E73D4B">
        <w:t>driftskontraktar</w:t>
      </w:r>
      <w:proofErr w:type="spellEnd"/>
      <w:r w:rsidRPr="00E73D4B">
        <w:t xml:space="preserve"> for </w:t>
      </w:r>
      <w:proofErr w:type="spellStart"/>
      <w:r w:rsidRPr="00E73D4B">
        <w:t>vegvedlikehald</w:t>
      </w:r>
      <w:proofErr w:type="spellEnd"/>
      <w:r w:rsidRPr="00E73D4B">
        <w:t xml:space="preserve"> </w:t>
      </w:r>
      <w:proofErr w:type="spellStart"/>
      <w:r w:rsidRPr="00E73D4B">
        <w:t>verkar</w:t>
      </w:r>
      <w:proofErr w:type="spellEnd"/>
      <w:r w:rsidRPr="00E73D4B">
        <w:t xml:space="preserve"> etter </w:t>
      </w:r>
      <w:proofErr w:type="spellStart"/>
      <w:r w:rsidRPr="00E73D4B">
        <w:t>si</w:t>
      </w:r>
      <w:proofErr w:type="spellEnd"/>
      <w:r w:rsidRPr="00E73D4B">
        <w:t xml:space="preserve"> hensikt. Planlegging og ansvar for drift av skredsikringsanlegg krev spesialkompetanse. I dag er det </w:t>
      </w:r>
      <w:proofErr w:type="spellStart"/>
      <w:r w:rsidRPr="00E73D4B">
        <w:t>ikkje</w:t>
      </w:r>
      <w:proofErr w:type="spellEnd"/>
      <w:r w:rsidRPr="00E73D4B">
        <w:t xml:space="preserve"> krav om dette i </w:t>
      </w:r>
      <w:proofErr w:type="spellStart"/>
      <w:r w:rsidRPr="00E73D4B">
        <w:t>driftskontraktar</w:t>
      </w:r>
      <w:proofErr w:type="spellEnd"/>
      <w:r w:rsidRPr="00E73D4B">
        <w:t xml:space="preserve">. Viss </w:t>
      </w:r>
      <w:proofErr w:type="spellStart"/>
      <w:r w:rsidRPr="00E73D4B">
        <w:t>ein</w:t>
      </w:r>
      <w:proofErr w:type="spellEnd"/>
      <w:r w:rsidRPr="00E73D4B">
        <w:t xml:space="preserve"> skulle innføre </w:t>
      </w:r>
      <w:proofErr w:type="spellStart"/>
      <w:r w:rsidRPr="00E73D4B">
        <w:t>eit</w:t>
      </w:r>
      <w:proofErr w:type="spellEnd"/>
      <w:r w:rsidRPr="00E73D4B">
        <w:t xml:space="preserve"> slikt krav, vil det </w:t>
      </w:r>
      <w:proofErr w:type="spellStart"/>
      <w:r w:rsidRPr="00E73D4B">
        <w:t>vere</w:t>
      </w:r>
      <w:proofErr w:type="spellEnd"/>
      <w:r w:rsidRPr="00E73D4B">
        <w:t xml:space="preserve"> sterkt </w:t>
      </w:r>
      <w:proofErr w:type="spellStart"/>
      <w:r w:rsidRPr="00E73D4B">
        <w:t>kostnadsdrivande</w:t>
      </w:r>
      <w:proofErr w:type="spellEnd"/>
      <w:r w:rsidRPr="00E73D4B">
        <w:t xml:space="preserve"> og lite hensiktsmessig for oppfølginga i </w:t>
      </w:r>
      <w:proofErr w:type="spellStart"/>
      <w:r w:rsidRPr="00E73D4B">
        <w:t>dei</w:t>
      </w:r>
      <w:proofErr w:type="spellEnd"/>
      <w:r w:rsidRPr="00E73D4B">
        <w:t xml:space="preserve"> fleste tilfelle. Dette m.a. fordi </w:t>
      </w:r>
      <w:proofErr w:type="spellStart"/>
      <w:r w:rsidRPr="00E73D4B">
        <w:t>driftskontraktar</w:t>
      </w:r>
      <w:proofErr w:type="spellEnd"/>
      <w:r w:rsidRPr="00E73D4B">
        <w:t xml:space="preserve"> har ei utskiftingstid på fem år </w:t>
      </w:r>
      <w:proofErr w:type="spellStart"/>
      <w:r w:rsidRPr="00E73D4B">
        <w:t>medan</w:t>
      </w:r>
      <w:proofErr w:type="spellEnd"/>
      <w:r w:rsidRPr="00E73D4B">
        <w:t xml:space="preserve"> realisering av oppfølging av skredanlegg har </w:t>
      </w:r>
      <w:proofErr w:type="spellStart"/>
      <w:r w:rsidRPr="00E73D4B">
        <w:t>ein</w:t>
      </w:r>
      <w:proofErr w:type="spellEnd"/>
      <w:r w:rsidRPr="00E73D4B">
        <w:t xml:space="preserve"> lengre tidshorisont.</w:t>
      </w:r>
    </w:p>
    <w:p w14:paraId="6AD9E1A4" w14:textId="77777777" w:rsidR="00972395" w:rsidRPr="00E73D4B" w:rsidRDefault="00F120C7" w:rsidP="00E73D4B">
      <w:r w:rsidRPr="00E73D4B">
        <w:t>Samferdselsdepartementet vurderer at oppmodingsvedtaket er svart ut.</w:t>
      </w:r>
    </w:p>
    <w:p w14:paraId="43B245C4" w14:textId="77777777" w:rsidR="00972395" w:rsidRPr="00E73D4B" w:rsidRDefault="00F120C7" w:rsidP="00E73D4B">
      <w:pPr>
        <w:pStyle w:val="avsnitt-tittel"/>
      </w:pPr>
      <w:proofErr w:type="spellStart"/>
      <w:r w:rsidRPr="00E73D4B">
        <w:t>Insentivordning</w:t>
      </w:r>
      <w:proofErr w:type="spellEnd"/>
      <w:r w:rsidRPr="00E73D4B">
        <w:t xml:space="preserve"> for </w:t>
      </w:r>
      <w:proofErr w:type="spellStart"/>
      <w:r w:rsidRPr="00E73D4B">
        <w:t>førebyggjande</w:t>
      </w:r>
      <w:proofErr w:type="spellEnd"/>
      <w:r w:rsidRPr="00E73D4B">
        <w:t xml:space="preserve"> skredkontrollanlegg og varslingssystem</w:t>
      </w:r>
    </w:p>
    <w:p w14:paraId="292B4D57" w14:textId="77777777" w:rsidR="00972395" w:rsidRPr="00E73D4B" w:rsidRDefault="00F120C7" w:rsidP="00E73D4B">
      <w:pPr>
        <w:pStyle w:val="avsnitt-undertittel"/>
      </w:pPr>
      <w:r w:rsidRPr="00E73D4B">
        <w:t>Vedtak nr. 469, 5. april 2022</w:t>
      </w:r>
    </w:p>
    <w:p w14:paraId="7D42D3F9" w14:textId="77777777" w:rsidR="00972395" w:rsidRPr="00E73D4B" w:rsidRDefault="00F120C7" w:rsidP="00E73D4B">
      <w:pPr>
        <w:pStyle w:val="blokksit"/>
      </w:pPr>
      <w:r w:rsidRPr="00E73D4B">
        <w:rPr>
          <w:rStyle w:val="kursiv"/>
        </w:rPr>
        <w:t xml:space="preserve">«Stortinget ber regjeringen opprette en </w:t>
      </w:r>
      <w:proofErr w:type="spellStart"/>
      <w:r w:rsidRPr="00E73D4B">
        <w:rPr>
          <w:rStyle w:val="kursiv"/>
        </w:rPr>
        <w:t>insentivordning</w:t>
      </w:r>
      <w:proofErr w:type="spellEnd"/>
      <w:r w:rsidRPr="00E73D4B">
        <w:rPr>
          <w:rStyle w:val="kursiv"/>
        </w:rPr>
        <w:t xml:space="preserve"> for utredning, installering og drift av forebyggende skredkontrollanlegg og varslingssystemer.»</w:t>
      </w:r>
    </w:p>
    <w:p w14:paraId="07CB01B4" w14:textId="77777777" w:rsidR="00972395" w:rsidRPr="00E73D4B" w:rsidRDefault="00F120C7" w:rsidP="00E73D4B">
      <w:r w:rsidRPr="00E73D4B">
        <w:t xml:space="preserve">Dokumentene som ligger til grunn for vedtaket, er representantforslag fra stortingsrepresentantene Liv Kari Eskeland, Helge Orten, Olve Grotle og Aleksander </w:t>
      </w:r>
      <w:proofErr w:type="spellStart"/>
      <w:r w:rsidRPr="00E73D4B">
        <w:t>Stokkebø</w:t>
      </w:r>
      <w:proofErr w:type="spellEnd"/>
      <w:r w:rsidRPr="00E73D4B">
        <w:t xml:space="preserve"> om </w:t>
      </w:r>
      <w:proofErr w:type="spellStart"/>
      <w:r w:rsidRPr="00E73D4B">
        <w:t>auka</w:t>
      </w:r>
      <w:proofErr w:type="spellEnd"/>
      <w:r w:rsidRPr="00E73D4B">
        <w:t xml:space="preserve"> </w:t>
      </w:r>
      <w:proofErr w:type="gramStart"/>
      <w:r w:rsidRPr="00E73D4B">
        <w:t>fokus</w:t>
      </w:r>
      <w:proofErr w:type="gramEnd"/>
      <w:r w:rsidRPr="00E73D4B">
        <w:t xml:space="preserve"> på og nye </w:t>
      </w:r>
      <w:proofErr w:type="spellStart"/>
      <w:r w:rsidRPr="00E73D4B">
        <w:t>løysingar</w:t>
      </w:r>
      <w:proofErr w:type="spellEnd"/>
      <w:r w:rsidRPr="00E73D4B">
        <w:t xml:space="preserve"> for rassikring av infrastruktur, jf. Dokument 8:91 S (2021–2022) og </w:t>
      </w:r>
      <w:proofErr w:type="spellStart"/>
      <w:r w:rsidRPr="00E73D4B">
        <w:t>Innst</w:t>
      </w:r>
      <w:proofErr w:type="spellEnd"/>
      <w:r w:rsidRPr="00E73D4B">
        <w:t>. 225 S (2021–2022).</w:t>
      </w:r>
    </w:p>
    <w:p w14:paraId="120D0ED1" w14:textId="77777777" w:rsidR="00972395" w:rsidRPr="00E73D4B" w:rsidRDefault="00F120C7" w:rsidP="00E73D4B">
      <w:r w:rsidRPr="00E73D4B">
        <w:t>Forebyggende skredkontrollanlegg og varslingssystem gjennom bruk av ny teknologi kan ha god nok effekt i noen tilfeller. Det må ligge en grundig faglig vurdering av det enkelte skredpunkt før det kan konkluderes med at forenklet sikring har god nok effekt. Forenklet tiltak kan bedre trafikksikkerhet og fremkommelighet samtidig som det gir mindre inngrep i naturen og er langt mindre kostnadskrevende enn f.eks. sikringstiltak som tunnel og overbygg. Slike tiltak kan med andre ord bygge opp om alle de transportpolitiske målene som ligger til grunn for Nasjonal transportplan 2022–2033. Statens vegvesen skal jobbe for å nå de transportpolitiske målene som ligger til grunn i Nasjonal transportplan. Dersom man legger til grunn at fylkeskommunene også ønsker det, er det derfor allerede gode insentiv til å ta i bruk ny teknologi innen utredning, installering og drift av forebyggende skredkontrollanlegg og varslingssystem.</w:t>
      </w:r>
    </w:p>
    <w:p w14:paraId="19FE12CA" w14:textId="77777777" w:rsidR="00972395" w:rsidRPr="00E73D4B" w:rsidRDefault="00F120C7" w:rsidP="00E73D4B">
      <w:r w:rsidRPr="00E73D4B">
        <w:t>Samferdselsdepartementet vurderer derfor at intensjonen i anmodningsvedtaket i stor grad allerede er ivaretatt.</w:t>
      </w:r>
    </w:p>
    <w:p w14:paraId="43237EF6" w14:textId="77777777" w:rsidR="00972395" w:rsidRPr="00E73D4B" w:rsidRDefault="00F120C7" w:rsidP="00E73D4B">
      <w:r w:rsidRPr="00E73D4B">
        <w:t>Videre satsing på teknologiutvikling gjennom teknologisatsingen som Statens vegvesen gjennomfører, kan gi videre insentiv til å ta i bruk ny teknologi. Statens vegvesen arrangerer hvert år en samling med fylkeskommunene og Nye Veier AS for samarbeid om skredsikring og deling av erfaringer. Videre har Statens vegvesen startet to arbeidsgrupper sammen med fylkeskommunene om skreddeteksjon og skredkontroll. Man bør satse videre på teknologiutvikling og erfaringsdeling i etaten og fylkeskommunene, heller enn å opprette en øremerket ordning som er ressurskrevende å administrere og som innskrenker fylkeskommunale muligheter til å prioritere.</w:t>
      </w:r>
    </w:p>
    <w:p w14:paraId="43CA8A52" w14:textId="77777777" w:rsidR="00972395" w:rsidRPr="00E73D4B" w:rsidRDefault="00F120C7" w:rsidP="00E73D4B">
      <w:r w:rsidRPr="00E73D4B">
        <w:t xml:space="preserve">Samferdselsdepartementet har bedt Statens vegvesen i supplerende tildelingsbrev nr. 6 av 25. mai 2022 om en vurdering av en </w:t>
      </w:r>
      <w:proofErr w:type="spellStart"/>
      <w:r w:rsidRPr="00E73D4B">
        <w:t>insentivordning</w:t>
      </w:r>
      <w:proofErr w:type="spellEnd"/>
      <w:r w:rsidRPr="00E73D4B">
        <w:t xml:space="preserve"> utover dette for å se om det er behov for tiltak som kan gi sterkere insentiv. I vurderingen vil også kostnader knyttet til å opprette og drifte en slik ordning ha betydning.</w:t>
      </w:r>
    </w:p>
    <w:p w14:paraId="4C29354B" w14:textId="77777777" w:rsidR="00972395" w:rsidRPr="00E73D4B" w:rsidRDefault="00F120C7" w:rsidP="00E73D4B">
      <w:r w:rsidRPr="00E73D4B">
        <w:t>Departementet vil komme tilbake til saken på egnet måte.</w:t>
      </w:r>
    </w:p>
    <w:p w14:paraId="63EE5F5A" w14:textId="77777777" w:rsidR="00972395" w:rsidRPr="00E73D4B" w:rsidRDefault="00F120C7" w:rsidP="00E73D4B">
      <w:pPr>
        <w:pStyle w:val="avsnitt-tittel"/>
      </w:pPr>
      <w:proofErr w:type="spellStart"/>
      <w:r w:rsidRPr="00E73D4B">
        <w:t>Heilskaplege</w:t>
      </w:r>
      <w:proofErr w:type="spellEnd"/>
      <w:r w:rsidRPr="00E73D4B">
        <w:t xml:space="preserve"> nasjonale ras- og skredsikringsplanar for riks- og fylkesvegnettet</w:t>
      </w:r>
    </w:p>
    <w:p w14:paraId="4ACCE91E" w14:textId="77777777" w:rsidR="00972395" w:rsidRPr="00E73D4B" w:rsidRDefault="00F120C7" w:rsidP="00E73D4B">
      <w:pPr>
        <w:pStyle w:val="avsnitt-undertittel"/>
      </w:pPr>
      <w:r w:rsidRPr="00E73D4B">
        <w:t>Vedtak nr. 470, 5. april 2022</w:t>
      </w:r>
    </w:p>
    <w:p w14:paraId="3218138B" w14:textId="77777777" w:rsidR="00972395" w:rsidRPr="00E73D4B" w:rsidRDefault="00F120C7" w:rsidP="00E73D4B">
      <w:pPr>
        <w:pStyle w:val="blokksit"/>
      </w:pPr>
      <w:r w:rsidRPr="00E73D4B">
        <w:rPr>
          <w:rStyle w:val="kursiv"/>
        </w:rPr>
        <w:t xml:space="preserve">«Stortinget ber regjeringa sette fortgang i arbeidet med å få utarbeidd </w:t>
      </w:r>
      <w:proofErr w:type="spellStart"/>
      <w:r w:rsidRPr="00E73D4B">
        <w:rPr>
          <w:rStyle w:val="kursiv"/>
        </w:rPr>
        <w:t>heilskaplege</w:t>
      </w:r>
      <w:proofErr w:type="spellEnd"/>
      <w:r w:rsidRPr="00E73D4B">
        <w:rPr>
          <w:rStyle w:val="kursiv"/>
        </w:rPr>
        <w:t xml:space="preserve"> nasjonale ras- og skredsikringsplanar som </w:t>
      </w:r>
      <w:proofErr w:type="spellStart"/>
      <w:r w:rsidRPr="00E73D4B">
        <w:rPr>
          <w:rStyle w:val="kursiv"/>
        </w:rPr>
        <w:t>omfattar</w:t>
      </w:r>
      <w:proofErr w:type="spellEnd"/>
      <w:r w:rsidRPr="00E73D4B">
        <w:rPr>
          <w:rStyle w:val="kursiv"/>
        </w:rPr>
        <w:t xml:space="preserve"> alle skredpunkt med høg og middels skredfare, både for riksvegnettet og for fylkesvegnettet. </w:t>
      </w:r>
      <w:proofErr w:type="spellStart"/>
      <w:r w:rsidRPr="00E73D4B">
        <w:rPr>
          <w:rStyle w:val="kursiv"/>
        </w:rPr>
        <w:t>Planane</w:t>
      </w:r>
      <w:proofErr w:type="spellEnd"/>
      <w:r w:rsidRPr="00E73D4B">
        <w:rPr>
          <w:rStyle w:val="kursiv"/>
        </w:rPr>
        <w:t xml:space="preserve"> skal </w:t>
      </w:r>
      <w:proofErr w:type="spellStart"/>
      <w:r w:rsidRPr="00E73D4B">
        <w:rPr>
          <w:rStyle w:val="kursiv"/>
        </w:rPr>
        <w:t>vera</w:t>
      </w:r>
      <w:proofErr w:type="spellEnd"/>
      <w:r w:rsidRPr="00E73D4B">
        <w:rPr>
          <w:rStyle w:val="kursiv"/>
        </w:rPr>
        <w:t xml:space="preserve"> ferdige før utgangen av 2023.»</w:t>
      </w:r>
    </w:p>
    <w:p w14:paraId="60B287B2" w14:textId="77777777" w:rsidR="00972395" w:rsidRPr="00E73D4B" w:rsidRDefault="00F120C7" w:rsidP="00E73D4B">
      <w:r w:rsidRPr="00E73D4B">
        <w:t xml:space="preserve">Dokumenta som ligg til grunn for vedtaket, er representantforslag </w:t>
      </w:r>
      <w:proofErr w:type="spellStart"/>
      <w:r w:rsidRPr="00E73D4B">
        <w:t>frå</w:t>
      </w:r>
      <w:proofErr w:type="spellEnd"/>
      <w:r w:rsidRPr="00E73D4B">
        <w:t xml:space="preserve"> </w:t>
      </w:r>
      <w:proofErr w:type="spellStart"/>
      <w:r w:rsidRPr="00E73D4B">
        <w:t>stortingsrepresentantane</w:t>
      </w:r>
      <w:proofErr w:type="spellEnd"/>
      <w:r w:rsidRPr="00E73D4B">
        <w:t xml:space="preserve"> Liv Kari Eskeland, Helge Orten, Olve Grotle og Aleksander </w:t>
      </w:r>
      <w:proofErr w:type="spellStart"/>
      <w:r w:rsidRPr="00E73D4B">
        <w:t>Stokkebø</w:t>
      </w:r>
      <w:proofErr w:type="spellEnd"/>
      <w:r w:rsidRPr="00E73D4B">
        <w:t xml:space="preserve"> om </w:t>
      </w:r>
      <w:proofErr w:type="spellStart"/>
      <w:r w:rsidRPr="00E73D4B">
        <w:t>auka</w:t>
      </w:r>
      <w:proofErr w:type="spellEnd"/>
      <w:r w:rsidRPr="00E73D4B">
        <w:t xml:space="preserve"> </w:t>
      </w:r>
      <w:proofErr w:type="gramStart"/>
      <w:r w:rsidRPr="00E73D4B">
        <w:t>fokus</w:t>
      </w:r>
      <w:proofErr w:type="gramEnd"/>
      <w:r w:rsidRPr="00E73D4B">
        <w:t xml:space="preserve"> på og nye </w:t>
      </w:r>
      <w:proofErr w:type="spellStart"/>
      <w:r w:rsidRPr="00E73D4B">
        <w:t>løysingar</w:t>
      </w:r>
      <w:proofErr w:type="spellEnd"/>
      <w:r w:rsidRPr="00E73D4B">
        <w:t xml:space="preserve"> for rassikring av infrastruktur, jf. Dokument 8:91 S (2021–2022) og </w:t>
      </w:r>
      <w:proofErr w:type="spellStart"/>
      <w:r w:rsidRPr="00E73D4B">
        <w:t>Innst</w:t>
      </w:r>
      <w:proofErr w:type="spellEnd"/>
      <w:r w:rsidRPr="00E73D4B">
        <w:t>. 225 S (2021–2022).</w:t>
      </w:r>
    </w:p>
    <w:p w14:paraId="3C0CAD74" w14:textId="77777777" w:rsidR="00972395" w:rsidRPr="00E73D4B" w:rsidRDefault="00F120C7" w:rsidP="00E73D4B">
      <w:r w:rsidRPr="00E73D4B">
        <w:t xml:space="preserve">Samferdselsdepartementet har i </w:t>
      </w:r>
      <w:proofErr w:type="spellStart"/>
      <w:r w:rsidRPr="00E73D4B">
        <w:t>supplerande</w:t>
      </w:r>
      <w:proofErr w:type="spellEnd"/>
      <w:r w:rsidRPr="00E73D4B">
        <w:t xml:space="preserve"> tildelingsbrev nr. 6 til Statens vegvesen av 25. mai 2022 bedt Statens vegvesen starte opp arbeidet med å koordinere </w:t>
      </w:r>
      <w:proofErr w:type="spellStart"/>
      <w:r w:rsidRPr="00E73D4B">
        <w:t>samanstillinga</w:t>
      </w:r>
      <w:proofErr w:type="spellEnd"/>
      <w:r w:rsidRPr="00E73D4B">
        <w:t xml:space="preserve"> av </w:t>
      </w:r>
      <w:proofErr w:type="spellStart"/>
      <w:r w:rsidRPr="00E73D4B">
        <w:t>ein</w:t>
      </w:r>
      <w:proofErr w:type="spellEnd"/>
      <w:r w:rsidRPr="00E73D4B">
        <w:t xml:space="preserve"> gjennomføringsplan for ras- og skredsikring på fylkesveg basert på Statens vegvesens </w:t>
      </w:r>
      <w:proofErr w:type="spellStart"/>
      <w:r w:rsidRPr="00E73D4B">
        <w:t>eksisterande</w:t>
      </w:r>
      <w:proofErr w:type="spellEnd"/>
      <w:r w:rsidRPr="00E73D4B">
        <w:t xml:space="preserve"> planar, og at dette blir gjort i tråd med Stortingets oppmodingsvedtak nr. 470 og 466.</w:t>
      </w:r>
    </w:p>
    <w:p w14:paraId="4D67034C" w14:textId="77777777" w:rsidR="00972395" w:rsidRPr="00E73D4B" w:rsidRDefault="00F120C7" w:rsidP="00E73D4B">
      <w:r w:rsidRPr="00E73D4B">
        <w:t xml:space="preserve">Statens vegvesen er i gang med å revidere </w:t>
      </w:r>
      <w:proofErr w:type="spellStart"/>
      <w:r w:rsidRPr="00E73D4B">
        <w:t>reknemodellen</w:t>
      </w:r>
      <w:proofErr w:type="spellEnd"/>
      <w:r w:rsidRPr="00E73D4B">
        <w:t xml:space="preserve"> for skredfaktor. M.a. arbeider </w:t>
      </w:r>
      <w:proofErr w:type="spellStart"/>
      <w:r w:rsidRPr="00E73D4B">
        <w:t>ein</w:t>
      </w:r>
      <w:proofErr w:type="spellEnd"/>
      <w:r w:rsidRPr="00E73D4B">
        <w:t xml:space="preserve"> for å </w:t>
      </w:r>
      <w:proofErr w:type="spellStart"/>
      <w:r w:rsidRPr="00E73D4B">
        <w:t>leggje</w:t>
      </w:r>
      <w:proofErr w:type="spellEnd"/>
      <w:r w:rsidRPr="00E73D4B">
        <w:t xml:space="preserve"> </w:t>
      </w:r>
      <w:proofErr w:type="spellStart"/>
      <w:r w:rsidRPr="00E73D4B">
        <w:t>meir</w:t>
      </w:r>
      <w:proofErr w:type="spellEnd"/>
      <w:r w:rsidRPr="00E73D4B">
        <w:t xml:space="preserve"> vekt på skredfare og forenkle modellen, slik at det blir </w:t>
      </w:r>
      <w:proofErr w:type="spellStart"/>
      <w:r w:rsidRPr="00E73D4B">
        <w:t>enklare</w:t>
      </w:r>
      <w:proofErr w:type="spellEnd"/>
      <w:r w:rsidRPr="00E73D4B">
        <w:t xml:space="preserve"> å forstå korleis skredfaktor blir </w:t>
      </w:r>
      <w:proofErr w:type="spellStart"/>
      <w:r w:rsidRPr="00E73D4B">
        <w:t>rekna</w:t>
      </w:r>
      <w:proofErr w:type="spellEnd"/>
      <w:r w:rsidRPr="00E73D4B">
        <w:t xml:space="preserve"> ut. Arbeidet med å revidere modellen har </w:t>
      </w:r>
      <w:proofErr w:type="spellStart"/>
      <w:r w:rsidRPr="00E73D4B">
        <w:t>vore</w:t>
      </w:r>
      <w:proofErr w:type="spellEnd"/>
      <w:r w:rsidRPr="00E73D4B">
        <w:t xml:space="preserve"> diskutert med </w:t>
      </w:r>
      <w:proofErr w:type="spellStart"/>
      <w:r w:rsidRPr="00E73D4B">
        <w:t>fylkeskommunane</w:t>
      </w:r>
      <w:proofErr w:type="spellEnd"/>
      <w:r w:rsidRPr="00E73D4B">
        <w:t xml:space="preserve">, og </w:t>
      </w:r>
      <w:proofErr w:type="spellStart"/>
      <w:r w:rsidRPr="00E73D4B">
        <w:t>dei</w:t>
      </w:r>
      <w:proofErr w:type="spellEnd"/>
      <w:r w:rsidRPr="00E73D4B">
        <w:t xml:space="preserve"> har </w:t>
      </w:r>
      <w:proofErr w:type="spellStart"/>
      <w:r w:rsidRPr="00E73D4B">
        <w:t>kome</w:t>
      </w:r>
      <w:proofErr w:type="spellEnd"/>
      <w:r w:rsidRPr="00E73D4B">
        <w:t xml:space="preserve"> med viktige bidrag.</w:t>
      </w:r>
    </w:p>
    <w:p w14:paraId="03F65161" w14:textId="77777777" w:rsidR="00972395" w:rsidRPr="00E73D4B" w:rsidRDefault="00F120C7" w:rsidP="00E73D4B">
      <w:proofErr w:type="spellStart"/>
      <w:r w:rsidRPr="00E73D4B">
        <w:t>Fylkeskommunane</w:t>
      </w:r>
      <w:proofErr w:type="spellEnd"/>
      <w:r w:rsidRPr="00E73D4B">
        <w:t xml:space="preserve"> er med andre ord godt involverte i arbeidet med revisjonen. Ved å nytte den nye modellen for alle skredpunkt med høg og middels skredfare på både riksveg og fylkesveg, vil </w:t>
      </w:r>
      <w:proofErr w:type="spellStart"/>
      <w:r w:rsidRPr="00E73D4B">
        <w:t>ein</w:t>
      </w:r>
      <w:proofErr w:type="spellEnd"/>
      <w:r w:rsidRPr="00E73D4B">
        <w:t xml:space="preserve"> oppnå </w:t>
      </w:r>
      <w:proofErr w:type="spellStart"/>
      <w:r w:rsidRPr="00E73D4B">
        <w:t>heilskaplege</w:t>
      </w:r>
      <w:proofErr w:type="spellEnd"/>
      <w:r w:rsidRPr="00E73D4B">
        <w:t xml:space="preserve"> nasjonale ras- og skredsikringsplanar. Statens vegvesen vil i 2023 utarbeide </w:t>
      </w:r>
      <w:proofErr w:type="spellStart"/>
      <w:r w:rsidRPr="00E73D4B">
        <w:t>ein</w:t>
      </w:r>
      <w:proofErr w:type="spellEnd"/>
      <w:r w:rsidRPr="00E73D4B">
        <w:t xml:space="preserve"> oppdatert oversikt over skredsikringsbehov for riksveg basert på den nye modellen. Samferdselsdepartementet vil </w:t>
      </w:r>
      <w:proofErr w:type="spellStart"/>
      <w:r w:rsidRPr="00E73D4B">
        <w:t>følgje</w:t>
      </w:r>
      <w:proofErr w:type="spellEnd"/>
      <w:r w:rsidRPr="00E73D4B">
        <w:t xml:space="preserve"> opp dette arbeidet.</w:t>
      </w:r>
    </w:p>
    <w:p w14:paraId="1B9CB6C1" w14:textId="77777777" w:rsidR="00972395" w:rsidRPr="00E73D4B" w:rsidRDefault="00F120C7" w:rsidP="00E73D4B">
      <w:r w:rsidRPr="00E73D4B">
        <w:t xml:space="preserve">Departementet vil </w:t>
      </w:r>
      <w:proofErr w:type="spellStart"/>
      <w:r w:rsidRPr="00E73D4B">
        <w:t>kome</w:t>
      </w:r>
      <w:proofErr w:type="spellEnd"/>
      <w:r w:rsidRPr="00E73D4B">
        <w:t xml:space="preserve"> tilbake til saken på eigna måte.</w:t>
      </w:r>
    </w:p>
    <w:p w14:paraId="661BCCA6" w14:textId="77777777" w:rsidR="00972395" w:rsidRPr="00E73D4B" w:rsidRDefault="00F120C7" w:rsidP="00E73D4B">
      <w:pPr>
        <w:pStyle w:val="avsnitt-tittel"/>
      </w:pPr>
      <w:r w:rsidRPr="00E73D4B">
        <w:t xml:space="preserve">Låg- og nullutsleppsteknologi i </w:t>
      </w:r>
      <w:proofErr w:type="spellStart"/>
      <w:r w:rsidRPr="00E73D4B">
        <w:t>anboda</w:t>
      </w:r>
      <w:proofErr w:type="spellEnd"/>
      <w:r w:rsidRPr="00E73D4B">
        <w:t xml:space="preserve"> på kortbanenettet</w:t>
      </w:r>
    </w:p>
    <w:p w14:paraId="5386E188" w14:textId="77777777" w:rsidR="00972395" w:rsidRPr="00E73D4B" w:rsidRDefault="00F120C7" w:rsidP="00E73D4B">
      <w:pPr>
        <w:pStyle w:val="avsnitt-undertittel"/>
      </w:pPr>
      <w:r w:rsidRPr="00E73D4B">
        <w:t>Vedtak nr. 541, 5. mai 2022</w:t>
      </w:r>
    </w:p>
    <w:p w14:paraId="78870774" w14:textId="77777777" w:rsidR="00972395" w:rsidRPr="00E73D4B" w:rsidRDefault="00F120C7" w:rsidP="00E73D4B">
      <w:pPr>
        <w:pStyle w:val="blokksit"/>
      </w:pPr>
      <w:r w:rsidRPr="00E73D4B">
        <w:rPr>
          <w:rStyle w:val="kursiv"/>
        </w:rPr>
        <w:t>«Stortinget ber regjeringen sørge for at det stilles krav i anbudene om bruk av lav- og nullutslippsteknologi på kortbanenettet så snart det er teknologisk mulig.»</w:t>
      </w:r>
    </w:p>
    <w:p w14:paraId="6F35E04E" w14:textId="77777777" w:rsidR="00972395" w:rsidRPr="00E73D4B" w:rsidRDefault="00F120C7" w:rsidP="00E73D4B">
      <w:r w:rsidRPr="00E73D4B">
        <w:t xml:space="preserve">Dokumentene som ligger til grunn for vedtaket, er representantforslag fra stortingsrepresentantene Trond Helleland, Liv Kari Eskeland, Erlend Larsen, Erlend Svardal Bøe, Bård Ludvig </w:t>
      </w:r>
      <w:proofErr w:type="spellStart"/>
      <w:r w:rsidRPr="00E73D4B">
        <w:t>Thorheim</w:t>
      </w:r>
      <w:proofErr w:type="spellEnd"/>
      <w:r w:rsidRPr="00E73D4B">
        <w:t xml:space="preserve"> og Aleksander </w:t>
      </w:r>
      <w:proofErr w:type="spellStart"/>
      <w:r w:rsidRPr="00E73D4B">
        <w:t>Stokkebø</w:t>
      </w:r>
      <w:proofErr w:type="spellEnd"/>
      <w:r w:rsidRPr="00E73D4B">
        <w:t xml:space="preserve"> om et grønt luftfartsprogram for å legge til rette for utvikling, testing og implementering av null- og lavutslippsteknologi for luftfart i Norge, jf. Dokument 8:107 S (2021–2022) og </w:t>
      </w:r>
      <w:proofErr w:type="spellStart"/>
      <w:r w:rsidRPr="00E73D4B">
        <w:t>Innst</w:t>
      </w:r>
      <w:proofErr w:type="spellEnd"/>
      <w:r w:rsidRPr="00E73D4B">
        <w:t xml:space="preserve">. 267 S (2021–2022). </w:t>
      </w:r>
    </w:p>
    <w:p w14:paraId="00EAF139" w14:textId="77777777" w:rsidR="00972395" w:rsidRPr="00E73D4B" w:rsidRDefault="00F120C7" w:rsidP="00E73D4B">
      <w:r w:rsidRPr="00E73D4B">
        <w:t xml:space="preserve">I forbindelse med arbeidet med neste anskaffelse for flyrutene omfattet av ordningen med statlig kjøp (FOT) i Sør-Norge og Nord-Norge fra 1. april 2024 har Samferdselsdepartementet satt i gang en transportfaglig utredning. Utreder er bl.a. bedt om å vurdere hvordan og når det er formålstjenlig å ta klima- og miljøhensyn inn i FOT-ruteavtalene, og hvordan staten kan legge til rette for en overgang til null- og </w:t>
      </w:r>
      <w:proofErr w:type="spellStart"/>
      <w:r w:rsidRPr="00E73D4B">
        <w:t>lavutslippsfly</w:t>
      </w:r>
      <w:proofErr w:type="spellEnd"/>
      <w:r w:rsidRPr="00E73D4B">
        <w:t>.</w:t>
      </w:r>
    </w:p>
    <w:p w14:paraId="5034C5F0" w14:textId="77777777" w:rsidR="00972395" w:rsidRPr="00E73D4B" w:rsidRDefault="00F120C7" w:rsidP="00E73D4B">
      <w:r w:rsidRPr="00E73D4B">
        <w:t xml:space="preserve">Usikkerheten knyttet til utviklingen og modningen av flyteknologien de nærmeste årene tilsier at mulige krav og kriterier for lav- og nullutslippsløsninger i FOT-konkurranser samt innretningen av disse, må vurderes nærmere før utlysningene. På kortere sikt, dvs. for anskaffelsen for kontrakter med oppstart 1. april 2024, er muligheten for større grep begrenset. En større innfasing av null- og </w:t>
      </w:r>
      <w:proofErr w:type="spellStart"/>
      <w:r w:rsidRPr="00E73D4B">
        <w:t>lavutslippsfly</w:t>
      </w:r>
      <w:proofErr w:type="spellEnd"/>
      <w:r w:rsidRPr="00E73D4B">
        <w:t xml:space="preserve"> vil derfor trolig først være mulig i anskaffelsene for FOT-ruter i Sør-Norge og Nord-Norge med antatt avtaleoppstart i henholdsvis 2028 og 2029. Samferdselsdepartementet vil likevel vurdere om det er klima- og miljøhensyn som kan tas inn allerede i den kommende konkurransen, jf. den transportfaglige utredningen.</w:t>
      </w:r>
    </w:p>
    <w:p w14:paraId="139A64CE" w14:textId="77777777" w:rsidR="00972395" w:rsidRPr="00E73D4B" w:rsidRDefault="00F120C7" w:rsidP="00E73D4B">
      <w:r w:rsidRPr="00E73D4B">
        <w:t>Regjeringen vil også komme tilbake til problemstillingen om bruk av flyruteanskaffelsene som virkemiddel for innfasing av null- og lavutslippsteknologi, i stortingsmeldingen om en nasjonal luftfartsstrategi.</w:t>
      </w:r>
    </w:p>
    <w:p w14:paraId="2519DEE5" w14:textId="77777777" w:rsidR="00972395" w:rsidRPr="00E73D4B" w:rsidRDefault="00F120C7" w:rsidP="00E73D4B">
      <w:r w:rsidRPr="00E73D4B">
        <w:t>Departementet anser anmodningsvedtaket som fulgt opp.</w:t>
      </w:r>
    </w:p>
    <w:p w14:paraId="6C88C989" w14:textId="77777777" w:rsidR="00972395" w:rsidRPr="00E73D4B" w:rsidRDefault="00F120C7" w:rsidP="00E73D4B">
      <w:pPr>
        <w:pStyle w:val="avsnitt-tittel"/>
      </w:pPr>
      <w:r w:rsidRPr="00E73D4B">
        <w:t xml:space="preserve">Foreslå </w:t>
      </w:r>
      <w:proofErr w:type="spellStart"/>
      <w:r w:rsidRPr="00E73D4B">
        <w:t>verkemiddel</w:t>
      </w:r>
      <w:proofErr w:type="spellEnd"/>
      <w:r w:rsidRPr="00E73D4B">
        <w:t xml:space="preserve"> for å redusere utsleppa </w:t>
      </w:r>
      <w:proofErr w:type="spellStart"/>
      <w:r w:rsidRPr="00E73D4B">
        <w:t>frå</w:t>
      </w:r>
      <w:proofErr w:type="spellEnd"/>
      <w:r w:rsidRPr="00E73D4B">
        <w:t xml:space="preserve"> luftfarten</w:t>
      </w:r>
    </w:p>
    <w:p w14:paraId="56A87E82" w14:textId="77777777" w:rsidR="00972395" w:rsidRPr="00E73D4B" w:rsidRDefault="00F120C7" w:rsidP="00E73D4B">
      <w:pPr>
        <w:pStyle w:val="avsnitt-undertittel"/>
      </w:pPr>
      <w:r w:rsidRPr="00E73D4B">
        <w:t>Vedtak nr. 542, 5. mai 2022</w:t>
      </w:r>
    </w:p>
    <w:p w14:paraId="190A373E" w14:textId="77777777" w:rsidR="00972395" w:rsidRPr="00E73D4B" w:rsidRDefault="00F120C7" w:rsidP="00E73D4B">
      <w:pPr>
        <w:pStyle w:val="blokksit"/>
      </w:pPr>
      <w:r w:rsidRPr="00E73D4B">
        <w:rPr>
          <w:rStyle w:val="kursiv"/>
        </w:rPr>
        <w:t>«Stortinget ber regjeringen utrede flere virkemidler for å redusere utslippene fra innenriks og utenriks luftfart og komme tilbake til Stortinget med forslag til virkemidler i forbindelse med luftfartsstrategien.»</w:t>
      </w:r>
    </w:p>
    <w:p w14:paraId="37F5FC39" w14:textId="77777777" w:rsidR="00972395" w:rsidRPr="00E73D4B" w:rsidRDefault="00F120C7" w:rsidP="00E73D4B">
      <w:r w:rsidRPr="00E73D4B">
        <w:t xml:space="preserve">Dokumentene som ligger til grunn for vedtaket, er representantforslag fra stortingsrepresentantene Trond Helleland, Liv Kari Eskeland, Erlend Larsen, Erlend Svardal Bøe, Bård Ludvig </w:t>
      </w:r>
      <w:proofErr w:type="spellStart"/>
      <w:r w:rsidRPr="00E73D4B">
        <w:t>Thorheim</w:t>
      </w:r>
      <w:proofErr w:type="spellEnd"/>
      <w:r w:rsidRPr="00E73D4B">
        <w:t xml:space="preserve"> og Aleksander </w:t>
      </w:r>
      <w:proofErr w:type="spellStart"/>
      <w:r w:rsidRPr="00E73D4B">
        <w:t>Stokkebø</w:t>
      </w:r>
      <w:proofErr w:type="spellEnd"/>
      <w:r w:rsidRPr="00E73D4B">
        <w:t xml:space="preserve"> om et grønt </w:t>
      </w:r>
      <w:proofErr w:type="spellStart"/>
      <w:r w:rsidRPr="00E73D4B">
        <w:t>luftfartsprogam</w:t>
      </w:r>
      <w:proofErr w:type="spellEnd"/>
      <w:r w:rsidRPr="00E73D4B">
        <w:t xml:space="preserve"> for å legge til rette for utvikling, testing og implementering av null- og lavutslippsteknologi for luftfart i Norge, jf. Dokument 8:107 S (2021–2022) og </w:t>
      </w:r>
      <w:proofErr w:type="spellStart"/>
      <w:r w:rsidRPr="00E73D4B">
        <w:t>Innst</w:t>
      </w:r>
      <w:proofErr w:type="spellEnd"/>
      <w:r w:rsidRPr="00E73D4B">
        <w:t>. 267 S (2021–2022).</w:t>
      </w:r>
    </w:p>
    <w:p w14:paraId="72D9E11C" w14:textId="77777777" w:rsidR="00972395" w:rsidRPr="00E73D4B" w:rsidRDefault="00F120C7" w:rsidP="00E73D4B">
      <w:r w:rsidRPr="00E73D4B">
        <w:t>Samferdselsdepartementet vil redegjøre nærmere for ulike virkemidler/tiltak for å redusere utslippene fra luftfarten i stortingsmeldingen om en nasjonal luftfartsstrategi.</w:t>
      </w:r>
    </w:p>
    <w:p w14:paraId="2B9DD72D" w14:textId="77777777" w:rsidR="00972395" w:rsidRPr="00E73D4B" w:rsidRDefault="00F120C7" w:rsidP="00E73D4B">
      <w:pPr>
        <w:pStyle w:val="avsnitt-tittel"/>
      </w:pPr>
      <w:r w:rsidRPr="00E73D4B">
        <w:t>Senter for klimanøytral regional luftfart</w:t>
      </w:r>
    </w:p>
    <w:p w14:paraId="61549151" w14:textId="77777777" w:rsidR="00972395" w:rsidRPr="00E73D4B" w:rsidRDefault="00F120C7" w:rsidP="00E73D4B">
      <w:pPr>
        <w:pStyle w:val="avsnitt-undertittel"/>
      </w:pPr>
      <w:r w:rsidRPr="00E73D4B">
        <w:t>Vedtak nr. 543, 5. mai 2022</w:t>
      </w:r>
    </w:p>
    <w:p w14:paraId="0457C492" w14:textId="77777777" w:rsidR="00972395" w:rsidRPr="00E73D4B" w:rsidRDefault="00F120C7" w:rsidP="00E73D4B">
      <w:pPr>
        <w:pStyle w:val="blokksit"/>
      </w:pPr>
      <w:r w:rsidRPr="00E73D4B">
        <w:rPr>
          <w:rStyle w:val="kursiv"/>
        </w:rPr>
        <w:t>«Stortinget ber regjeringen støtte etablering av sentrale forsknings- og utviklingsfunksjoner via et eget senter for klimanøytral regional luftfart i Norge.»</w:t>
      </w:r>
    </w:p>
    <w:p w14:paraId="361CB6FC" w14:textId="77777777" w:rsidR="00972395" w:rsidRPr="00E73D4B" w:rsidRDefault="00F120C7" w:rsidP="00E73D4B">
      <w:r w:rsidRPr="00E73D4B">
        <w:t xml:space="preserve">Dokumentene som ligger til grunn for vedtaket er representantforslag fra stortingsrepresentantene Trond Helleland, Liv Kari Eskeland, Erlend Larsen, Erlend Svardal Bøe, Bård Ludvig </w:t>
      </w:r>
      <w:proofErr w:type="spellStart"/>
      <w:r w:rsidRPr="00E73D4B">
        <w:t>Thorheim</w:t>
      </w:r>
      <w:proofErr w:type="spellEnd"/>
      <w:r w:rsidRPr="00E73D4B">
        <w:t xml:space="preserve"> og Aleksander </w:t>
      </w:r>
      <w:proofErr w:type="spellStart"/>
      <w:r w:rsidRPr="00E73D4B">
        <w:t>Stokkebo</w:t>
      </w:r>
      <w:proofErr w:type="spellEnd"/>
      <w:r w:rsidRPr="00E73D4B">
        <w:t xml:space="preserve"> om et grønt luftfartsprogram for å legge til rette for utvikling, testing og implementering av null- og lavutslippsteknologi for luftfart i Norge, jf. Dokument 8:107 S (2021–2022) og </w:t>
      </w:r>
      <w:proofErr w:type="spellStart"/>
      <w:r w:rsidRPr="00E73D4B">
        <w:t>Innst</w:t>
      </w:r>
      <w:proofErr w:type="spellEnd"/>
      <w:r w:rsidRPr="00E73D4B">
        <w:t>. 267 S (2021–2022).</w:t>
      </w:r>
    </w:p>
    <w:p w14:paraId="06A49FE4" w14:textId="77777777" w:rsidR="00972395" w:rsidRPr="00E73D4B" w:rsidRDefault="00F120C7" w:rsidP="00E73D4B">
      <w:r w:rsidRPr="00E73D4B">
        <w:t>Oppfølgingen av vedtaket må ses i sammenheng med øvrige virkemidler/tiltak for å redusere utslippene fra luftfarten jf. vedtak nr. 542 av 5. mai 2022. Regjeringen vil omtale saken i stortingsmeldingen om en nasjonal luftfartsstrategi.</w:t>
      </w:r>
    </w:p>
    <w:p w14:paraId="7496A619" w14:textId="77777777" w:rsidR="00972395" w:rsidRPr="00E73D4B" w:rsidRDefault="00F120C7" w:rsidP="00E73D4B">
      <w:pPr>
        <w:pStyle w:val="avsnitt-tittel"/>
      </w:pPr>
      <w:r w:rsidRPr="00E73D4B">
        <w:t xml:space="preserve">Framdriftsplan for å få </w:t>
      </w:r>
      <w:proofErr w:type="spellStart"/>
      <w:r w:rsidRPr="00E73D4B">
        <w:t>dieseldrivne</w:t>
      </w:r>
      <w:proofErr w:type="spellEnd"/>
      <w:r w:rsidRPr="00E73D4B">
        <w:t xml:space="preserve"> </w:t>
      </w:r>
      <w:proofErr w:type="spellStart"/>
      <w:r w:rsidRPr="00E73D4B">
        <w:t>jernbanestrekningar</w:t>
      </w:r>
      <w:proofErr w:type="spellEnd"/>
      <w:r w:rsidRPr="00E73D4B">
        <w:t xml:space="preserve"> over på nullutsleppsteknologi</w:t>
      </w:r>
    </w:p>
    <w:p w14:paraId="526EF6BB" w14:textId="77777777" w:rsidR="00972395" w:rsidRPr="00E73D4B" w:rsidRDefault="00F120C7" w:rsidP="00E73D4B">
      <w:pPr>
        <w:pStyle w:val="avsnitt-undertittel"/>
      </w:pPr>
      <w:r w:rsidRPr="00E73D4B">
        <w:t>Vedtak nr. 553, 10. mai 2022</w:t>
      </w:r>
    </w:p>
    <w:p w14:paraId="05FC4246" w14:textId="77777777" w:rsidR="00972395" w:rsidRPr="00E73D4B" w:rsidRDefault="00F120C7" w:rsidP="00E73D4B">
      <w:pPr>
        <w:pStyle w:val="blokksit"/>
      </w:pPr>
      <w:r w:rsidRPr="00E73D4B">
        <w:rPr>
          <w:rStyle w:val="kursiv"/>
        </w:rPr>
        <w:t>«Stortinget ber regjeringen legge frem en tidfestet fremdriftsplan for å få de gjenværende dieseldrevne jernbanestrekninger over på nullutslippsteknologi.»</w:t>
      </w:r>
    </w:p>
    <w:p w14:paraId="39871ED8" w14:textId="77777777" w:rsidR="00972395" w:rsidRPr="00E73D4B" w:rsidRDefault="00F120C7" w:rsidP="00E73D4B">
      <w:r w:rsidRPr="00E73D4B">
        <w:t xml:space="preserve">Dokumentene som ligger til grunn for vedtaket, er representantforslag fra stortingsrepresentantene Liv Kari Eskeland, Trond Helleland, Nikolai Astrup, Helge Orten og Svein </w:t>
      </w:r>
      <w:proofErr w:type="spellStart"/>
      <w:r w:rsidRPr="00E73D4B">
        <w:t>Harberg</w:t>
      </w:r>
      <w:proofErr w:type="spellEnd"/>
      <w:r w:rsidRPr="00E73D4B">
        <w:t xml:space="preserve"> om satsing på hydrogen som </w:t>
      </w:r>
      <w:proofErr w:type="spellStart"/>
      <w:r w:rsidRPr="00E73D4B">
        <w:t>energiberar</w:t>
      </w:r>
      <w:proofErr w:type="spellEnd"/>
      <w:r w:rsidRPr="00E73D4B">
        <w:t xml:space="preserve"> for tog, jf. Dokument 8:129 S (2021–2022) og </w:t>
      </w:r>
      <w:proofErr w:type="spellStart"/>
      <w:r w:rsidRPr="00E73D4B">
        <w:t>Innst</w:t>
      </w:r>
      <w:proofErr w:type="spellEnd"/>
      <w:r w:rsidRPr="00E73D4B">
        <w:t>. 280 S (2021–2022).</w:t>
      </w:r>
    </w:p>
    <w:p w14:paraId="0FB70CC7" w14:textId="77777777" w:rsidR="00972395" w:rsidRPr="00E73D4B" w:rsidRDefault="00F120C7" w:rsidP="00E73D4B">
      <w:r w:rsidRPr="00E73D4B">
        <w:t>Samferdselsdepartementet har gitt Jernbanedirektoratet i oppdrag å utarbeide en konseptvalgutredning for reduserte utslipp av klimagasser fra jernbanen. Når denne foreligger, har vi grunnlag for å kunne utarbeide en plan for jernbanestrekningene. Utredningen skal være ferdig innen i midten av september 2023.</w:t>
      </w:r>
    </w:p>
    <w:p w14:paraId="7C71ECA1" w14:textId="77777777" w:rsidR="00972395" w:rsidRPr="00E73D4B" w:rsidRDefault="00F120C7" w:rsidP="00E73D4B">
      <w:r w:rsidRPr="00E73D4B">
        <w:t>Departementet vil komme tilbake til Stortinget på egnet måte.</w:t>
      </w:r>
    </w:p>
    <w:p w14:paraId="398FE17D" w14:textId="77777777" w:rsidR="00972395" w:rsidRPr="00E73D4B" w:rsidRDefault="00F120C7" w:rsidP="00E73D4B">
      <w:pPr>
        <w:pStyle w:val="avsnitt-tittel"/>
      </w:pPr>
      <w:r w:rsidRPr="00E73D4B">
        <w:t xml:space="preserve">Vurdere om statens bidrag gjennom </w:t>
      </w:r>
      <w:proofErr w:type="spellStart"/>
      <w:r w:rsidRPr="00E73D4B">
        <w:t>ferjeavløysingsmidlar</w:t>
      </w:r>
      <w:proofErr w:type="spellEnd"/>
      <w:r w:rsidRPr="00E73D4B">
        <w:t xml:space="preserve"> til Nordøyvegen bør </w:t>
      </w:r>
      <w:proofErr w:type="spellStart"/>
      <w:r w:rsidRPr="00E73D4B">
        <w:t>bereknast</w:t>
      </w:r>
      <w:proofErr w:type="spellEnd"/>
      <w:r w:rsidRPr="00E73D4B">
        <w:t xml:space="preserve"> på nytt</w:t>
      </w:r>
    </w:p>
    <w:p w14:paraId="5FCA3BC5" w14:textId="77777777" w:rsidR="00972395" w:rsidRPr="00E73D4B" w:rsidRDefault="00F120C7" w:rsidP="00E73D4B">
      <w:pPr>
        <w:pStyle w:val="avsnitt-undertittel"/>
      </w:pPr>
      <w:r w:rsidRPr="00E73D4B">
        <w:t>Vedtak nr. 559, 19. mai 2022</w:t>
      </w:r>
    </w:p>
    <w:p w14:paraId="6C63D9B8" w14:textId="77777777" w:rsidR="00972395" w:rsidRPr="00E73D4B" w:rsidRDefault="00F120C7" w:rsidP="00E73D4B">
      <w:pPr>
        <w:pStyle w:val="blokksit"/>
      </w:pPr>
      <w:r w:rsidRPr="00E73D4B">
        <w:rPr>
          <w:rStyle w:val="kursiv"/>
        </w:rPr>
        <w:t xml:space="preserve">«Stortinget ber regjeringen gjøre en vurdering av om statens bidrag gjennom fergeavløsningsmidlene til Nordøyvegen bør beregnes på nytt basert på dagens fergetakster, og at eventuelt økt bidrag benyttes til å redusere bompengesatsene i prosjektet. Før Stortinget får vurderingen tilbake kan bompengeinnkrevingen starte i tråd med vedtatt </w:t>
      </w:r>
      <w:proofErr w:type="spellStart"/>
      <w:r w:rsidRPr="00E73D4B">
        <w:rPr>
          <w:rStyle w:val="kursiv"/>
        </w:rPr>
        <w:t>Prop</w:t>
      </w:r>
      <w:proofErr w:type="spellEnd"/>
      <w:r w:rsidRPr="00E73D4B">
        <w:rPr>
          <w:rStyle w:val="kursiv"/>
        </w:rPr>
        <w:t>. 93 S (2021–2022).»</w:t>
      </w:r>
    </w:p>
    <w:p w14:paraId="4DA449ED" w14:textId="77777777" w:rsidR="00972395" w:rsidRPr="00E73D4B" w:rsidRDefault="00F120C7" w:rsidP="00E73D4B">
      <w:r w:rsidRPr="00E73D4B">
        <w:t xml:space="preserve">Vedtaket ble truffet ved behandlingen av </w:t>
      </w:r>
      <w:proofErr w:type="spellStart"/>
      <w:r w:rsidRPr="00E73D4B">
        <w:t>Prop</w:t>
      </w:r>
      <w:proofErr w:type="spellEnd"/>
      <w:r w:rsidRPr="00E73D4B">
        <w:t xml:space="preserve">. 93 S (2021–2022) </w:t>
      </w:r>
      <w:r w:rsidRPr="00E73D4B">
        <w:rPr>
          <w:rStyle w:val="kursiv"/>
        </w:rPr>
        <w:t>Finansiering av prosjektet fv. 659 Nordøyvegen i Møre og Romsdal fylkeskommune</w:t>
      </w:r>
      <w:r w:rsidRPr="00E73D4B">
        <w:t xml:space="preserve">, jf. </w:t>
      </w:r>
      <w:proofErr w:type="spellStart"/>
      <w:r w:rsidRPr="00E73D4B">
        <w:t>Innst</w:t>
      </w:r>
      <w:proofErr w:type="spellEnd"/>
      <w:r w:rsidRPr="00E73D4B">
        <w:t>. 283 S (2021–2022).</w:t>
      </w:r>
    </w:p>
    <w:p w14:paraId="32B4DA19" w14:textId="77777777" w:rsidR="00972395" w:rsidRPr="00E73D4B" w:rsidRDefault="00F120C7" w:rsidP="00E73D4B">
      <w:r w:rsidRPr="00E73D4B">
        <w:t>Nordøyvegen er et fylkeskommunalt veiprosjekt i Møre og Romsdal som avløste to ferjesamband (</w:t>
      </w:r>
      <w:proofErr w:type="spellStart"/>
      <w:r w:rsidRPr="00E73D4B">
        <w:t>Skjeltene</w:t>
      </w:r>
      <w:proofErr w:type="spellEnd"/>
      <w:r w:rsidRPr="00E73D4B">
        <w:t>–</w:t>
      </w:r>
      <w:proofErr w:type="spellStart"/>
      <w:r w:rsidRPr="00E73D4B">
        <w:t>Lepsøya</w:t>
      </w:r>
      <w:proofErr w:type="spellEnd"/>
      <w:r w:rsidRPr="00E73D4B">
        <w:t xml:space="preserve">–Haramsøya og </w:t>
      </w:r>
      <w:proofErr w:type="spellStart"/>
      <w:r w:rsidRPr="00E73D4B">
        <w:t>Bratvåg</w:t>
      </w:r>
      <w:proofErr w:type="spellEnd"/>
      <w:r w:rsidRPr="00E73D4B">
        <w:t>–Harøya–</w:t>
      </w:r>
      <w:proofErr w:type="spellStart"/>
      <w:r w:rsidRPr="00E73D4B">
        <w:t>Fjørtofta</w:t>
      </w:r>
      <w:proofErr w:type="spellEnd"/>
      <w:r w:rsidRPr="00E73D4B">
        <w:t>) da veien åpnet i slutten av august 2022. Den nye veien er om lag 16 km lang, og av dette er nesten 13 km undersjøiske tunneler.</w:t>
      </w:r>
    </w:p>
    <w:p w14:paraId="5F1FB21E" w14:textId="77777777" w:rsidR="00972395" w:rsidRPr="00E73D4B" w:rsidRDefault="00F120C7" w:rsidP="00E73D4B">
      <w:r w:rsidRPr="00E73D4B">
        <w:t xml:space="preserve">I tråd med retningslinjer for ferjeavløsningsordningen for fylkesveiferjer fastsetter Kommunal- og </w:t>
      </w:r>
      <w:proofErr w:type="spellStart"/>
      <w:r w:rsidRPr="00E73D4B">
        <w:t>distriktsdepartementet</w:t>
      </w:r>
      <w:proofErr w:type="spellEnd"/>
      <w:r w:rsidRPr="00E73D4B">
        <w:t xml:space="preserve"> størrelsen på ferjeavløsningsmidler. Samferdselsdepartementet har bedt Kommunal- og </w:t>
      </w:r>
      <w:proofErr w:type="spellStart"/>
      <w:r w:rsidRPr="00E73D4B">
        <w:t>distriktsdepartementet</w:t>
      </w:r>
      <w:proofErr w:type="spellEnd"/>
      <w:r w:rsidRPr="00E73D4B">
        <w:t xml:space="preserve"> beregne ferjeavløsningsmidlene til fv. 659 Nordøyvegen på nytt i henhold til anmodningsvedtaket.</w:t>
      </w:r>
    </w:p>
    <w:p w14:paraId="5E011C36" w14:textId="77777777" w:rsidR="00972395" w:rsidRPr="00E73D4B" w:rsidRDefault="00F120C7" w:rsidP="00E73D4B">
      <w:r w:rsidRPr="00E73D4B">
        <w:t>Av punkt 5.2 i retningslinjene for den fylkeskommunale ferjeavløsningsordningen går det frem hvordan summen for ferjeavløsningsmidler fastsettes:</w:t>
      </w:r>
    </w:p>
    <w:p w14:paraId="6BA4325C" w14:textId="77777777" w:rsidR="00972395" w:rsidRPr="00E73D4B" w:rsidRDefault="00F120C7" w:rsidP="00E73D4B">
      <w:pPr>
        <w:pStyle w:val="blokksit"/>
      </w:pPr>
      <w:r w:rsidRPr="00E73D4B">
        <w:rPr>
          <w:rStyle w:val="kursiv"/>
        </w:rPr>
        <w:t>«</w:t>
      </w:r>
      <w:proofErr w:type="spellStart"/>
      <w:r w:rsidRPr="00E73D4B">
        <w:rPr>
          <w:rStyle w:val="kursiv"/>
        </w:rPr>
        <w:t>Eit</w:t>
      </w:r>
      <w:proofErr w:type="spellEnd"/>
      <w:r w:rsidRPr="00E73D4B">
        <w:rPr>
          <w:rStyle w:val="kursiv"/>
        </w:rPr>
        <w:t xml:space="preserve"> ferjeavløysingsprosjekt fører til </w:t>
      </w:r>
      <w:proofErr w:type="spellStart"/>
      <w:r w:rsidRPr="00E73D4B">
        <w:rPr>
          <w:rStyle w:val="kursiv"/>
        </w:rPr>
        <w:t>endringar</w:t>
      </w:r>
      <w:proofErr w:type="spellEnd"/>
      <w:r w:rsidRPr="00E73D4B">
        <w:rPr>
          <w:rStyle w:val="kursiv"/>
        </w:rPr>
        <w:t xml:space="preserve"> i kriteriedata for ferje og for fylkesveg. Avløysing eller </w:t>
      </w:r>
      <w:proofErr w:type="spellStart"/>
      <w:r w:rsidRPr="00E73D4B">
        <w:rPr>
          <w:rStyle w:val="kursiv"/>
        </w:rPr>
        <w:t>innkorting</w:t>
      </w:r>
      <w:proofErr w:type="spellEnd"/>
      <w:r w:rsidRPr="00E73D4B">
        <w:rPr>
          <w:rStyle w:val="kursiv"/>
        </w:rPr>
        <w:t xml:space="preserve"> av </w:t>
      </w:r>
      <w:proofErr w:type="spellStart"/>
      <w:r w:rsidRPr="00E73D4B">
        <w:rPr>
          <w:rStyle w:val="kursiv"/>
        </w:rPr>
        <w:t>eit</w:t>
      </w:r>
      <w:proofErr w:type="spellEnd"/>
      <w:r w:rsidRPr="00E73D4B">
        <w:rPr>
          <w:rStyle w:val="kursiv"/>
        </w:rPr>
        <w:t xml:space="preserve"> ferjesamband vil </w:t>
      </w:r>
      <w:proofErr w:type="spellStart"/>
      <w:r w:rsidRPr="00E73D4B">
        <w:rPr>
          <w:rStyle w:val="kursiv"/>
        </w:rPr>
        <w:t>gje</w:t>
      </w:r>
      <w:proofErr w:type="spellEnd"/>
      <w:r w:rsidRPr="00E73D4B">
        <w:rPr>
          <w:rStyle w:val="kursiv"/>
        </w:rPr>
        <w:t xml:space="preserve"> </w:t>
      </w:r>
      <w:proofErr w:type="spellStart"/>
      <w:r w:rsidRPr="00E73D4B">
        <w:rPr>
          <w:rStyle w:val="kursiv"/>
        </w:rPr>
        <w:t>ein</w:t>
      </w:r>
      <w:proofErr w:type="spellEnd"/>
      <w:r w:rsidRPr="00E73D4B">
        <w:rPr>
          <w:rStyle w:val="kursiv"/>
        </w:rPr>
        <w:t xml:space="preserve"> </w:t>
      </w:r>
      <w:proofErr w:type="spellStart"/>
      <w:r w:rsidRPr="00E73D4B">
        <w:rPr>
          <w:rStyle w:val="kursiv"/>
        </w:rPr>
        <w:t>lågare</w:t>
      </w:r>
      <w:proofErr w:type="spellEnd"/>
      <w:r w:rsidRPr="00E73D4B">
        <w:rPr>
          <w:rStyle w:val="kursiv"/>
        </w:rPr>
        <w:t xml:space="preserve"> verdi på kriteriet «normerte ferjekostnader» i båt- og ferjenøkkelen, mens det nye vegnettet vil </w:t>
      </w:r>
      <w:proofErr w:type="spellStart"/>
      <w:r w:rsidRPr="00E73D4B">
        <w:rPr>
          <w:rStyle w:val="kursiv"/>
        </w:rPr>
        <w:t>gje</w:t>
      </w:r>
      <w:proofErr w:type="spellEnd"/>
      <w:r w:rsidRPr="00E73D4B">
        <w:rPr>
          <w:rStyle w:val="kursiv"/>
        </w:rPr>
        <w:t xml:space="preserve"> </w:t>
      </w:r>
      <w:proofErr w:type="spellStart"/>
      <w:r w:rsidRPr="00E73D4B">
        <w:rPr>
          <w:rStyle w:val="kursiv"/>
        </w:rPr>
        <w:t>auka</w:t>
      </w:r>
      <w:proofErr w:type="spellEnd"/>
      <w:r w:rsidRPr="00E73D4B">
        <w:rPr>
          <w:rStyle w:val="kursiv"/>
        </w:rPr>
        <w:t xml:space="preserve"> verdi på kriteriet «</w:t>
      </w:r>
      <w:proofErr w:type="spellStart"/>
      <w:r w:rsidRPr="00E73D4B">
        <w:rPr>
          <w:rStyle w:val="kursiv"/>
        </w:rPr>
        <w:t>vedlikehaldsbehov</w:t>
      </w:r>
      <w:proofErr w:type="spellEnd"/>
      <w:r w:rsidRPr="00E73D4B">
        <w:rPr>
          <w:rStyle w:val="kursiv"/>
        </w:rPr>
        <w:t xml:space="preserve"> fylkesveg». Det </w:t>
      </w:r>
      <w:proofErr w:type="spellStart"/>
      <w:r w:rsidRPr="00E73D4B">
        <w:rPr>
          <w:rStyle w:val="kursiv"/>
        </w:rPr>
        <w:t>årlege</w:t>
      </w:r>
      <w:proofErr w:type="spellEnd"/>
      <w:r w:rsidRPr="00E73D4B">
        <w:rPr>
          <w:rStyle w:val="kursiv"/>
        </w:rPr>
        <w:t xml:space="preserve"> beløpet med </w:t>
      </w:r>
      <w:proofErr w:type="spellStart"/>
      <w:r w:rsidRPr="00E73D4B">
        <w:rPr>
          <w:rStyle w:val="kursiv"/>
        </w:rPr>
        <w:t>ferjeavløysingsmidlar</w:t>
      </w:r>
      <w:proofErr w:type="spellEnd"/>
      <w:r w:rsidRPr="00E73D4B">
        <w:rPr>
          <w:rStyle w:val="kursiv"/>
        </w:rPr>
        <w:t xml:space="preserve"> blir </w:t>
      </w:r>
      <w:proofErr w:type="spellStart"/>
      <w:r w:rsidRPr="00E73D4B">
        <w:rPr>
          <w:rStyle w:val="kursiv"/>
        </w:rPr>
        <w:t>rekna</w:t>
      </w:r>
      <w:proofErr w:type="spellEnd"/>
      <w:r w:rsidRPr="00E73D4B">
        <w:rPr>
          <w:rStyle w:val="kursiv"/>
        </w:rPr>
        <w:t xml:space="preserve"> ut som nettoeffekten i </w:t>
      </w:r>
      <w:proofErr w:type="spellStart"/>
      <w:r w:rsidRPr="00E73D4B">
        <w:rPr>
          <w:rStyle w:val="kursiv"/>
        </w:rPr>
        <w:t>utgiftsutjamninga</w:t>
      </w:r>
      <w:proofErr w:type="spellEnd"/>
      <w:r w:rsidRPr="00E73D4B">
        <w:rPr>
          <w:rStyle w:val="kursiv"/>
        </w:rPr>
        <w:t xml:space="preserve"> av </w:t>
      </w:r>
      <w:proofErr w:type="spellStart"/>
      <w:r w:rsidRPr="00E73D4B">
        <w:rPr>
          <w:rStyle w:val="kursiv"/>
        </w:rPr>
        <w:t>desse</w:t>
      </w:r>
      <w:proofErr w:type="spellEnd"/>
      <w:r w:rsidRPr="00E73D4B">
        <w:rPr>
          <w:rStyle w:val="kursiv"/>
        </w:rPr>
        <w:t xml:space="preserve"> </w:t>
      </w:r>
      <w:proofErr w:type="spellStart"/>
      <w:r w:rsidRPr="00E73D4B">
        <w:rPr>
          <w:rStyle w:val="kursiv"/>
        </w:rPr>
        <w:t>endringane</w:t>
      </w:r>
      <w:proofErr w:type="spellEnd"/>
      <w:r w:rsidRPr="00E73D4B">
        <w:rPr>
          <w:rStyle w:val="kursiv"/>
        </w:rPr>
        <w:t xml:space="preserve">. Det blir </w:t>
      </w:r>
      <w:proofErr w:type="spellStart"/>
      <w:r w:rsidRPr="00E73D4B">
        <w:rPr>
          <w:rStyle w:val="kursiv"/>
        </w:rPr>
        <w:t>berre</w:t>
      </w:r>
      <w:proofErr w:type="spellEnd"/>
      <w:r w:rsidRPr="00E73D4B">
        <w:rPr>
          <w:rStyle w:val="kursiv"/>
        </w:rPr>
        <w:t xml:space="preserve"> </w:t>
      </w:r>
      <w:proofErr w:type="spellStart"/>
      <w:r w:rsidRPr="00E73D4B">
        <w:rPr>
          <w:rStyle w:val="kursiv"/>
        </w:rPr>
        <w:t>teke</w:t>
      </w:r>
      <w:proofErr w:type="spellEnd"/>
      <w:r w:rsidRPr="00E73D4B">
        <w:rPr>
          <w:rStyle w:val="kursiv"/>
        </w:rPr>
        <w:t xml:space="preserve"> omsyn til </w:t>
      </w:r>
      <w:proofErr w:type="spellStart"/>
      <w:r w:rsidRPr="00E73D4B">
        <w:rPr>
          <w:rStyle w:val="kursiv"/>
        </w:rPr>
        <w:t>endringar</w:t>
      </w:r>
      <w:proofErr w:type="spellEnd"/>
      <w:r w:rsidRPr="00E73D4B">
        <w:rPr>
          <w:rStyle w:val="kursiv"/>
        </w:rPr>
        <w:t xml:space="preserve"> i kriteriedata direkte knytt til den nye vegen.»</w:t>
      </w:r>
    </w:p>
    <w:p w14:paraId="152CDF19" w14:textId="77777777" w:rsidR="00972395" w:rsidRPr="00E73D4B" w:rsidRDefault="00F120C7" w:rsidP="00E73D4B">
      <w:r w:rsidRPr="00E73D4B">
        <w:t>Møre og Romsdal fylkeskommune søkte om ferjeavløsningsmidler for Nordøyvegen i desember 2018. Ut fra inntektssystemet slik det var i 2020, fastsatte daværende Kommunal- og moderniseringsdepartementet i 2020 det årlige beløpet med ferjeavløsningsmidler til 60,575 mill. kr.</w:t>
      </w:r>
    </w:p>
    <w:p w14:paraId="7577764E" w14:textId="77777777" w:rsidR="00972395" w:rsidRPr="00E73D4B" w:rsidRDefault="00F120C7" w:rsidP="00E73D4B">
      <w:r w:rsidRPr="00E73D4B">
        <w:t xml:space="preserve">Kommunal- og </w:t>
      </w:r>
      <w:proofErr w:type="spellStart"/>
      <w:r w:rsidRPr="00E73D4B">
        <w:t>distriktsdepartementet</w:t>
      </w:r>
      <w:proofErr w:type="spellEnd"/>
      <w:r w:rsidRPr="00E73D4B">
        <w:t xml:space="preserve"> har nå regnet ut ferjeavløsningsmidlene for prosjektet på nytt. Hvis de hadde blitt fastsatt med utgangspunkt i inntektssystemet for 2022, ville det årlige beløpet med ferjeavløsningsmidler til Nordøyvegen blitt 54,456 mill. kr. I 2022-kroner er dette 9,185 mill. kr lavere enn vedtaket om ferjeavløsningsmidler fra 2020. Bakgrunnen for nedgangen er at det er innført en ny modell for å regne ut kriteriet for fylkesvei i kostnadsnøkkelen i inntektssystemet, noe som bl.a. innebærer at undersjøiske tunneler utløser et høyere beløp gjennom </w:t>
      </w:r>
      <w:proofErr w:type="spellStart"/>
      <w:r w:rsidRPr="00E73D4B">
        <w:t>utgiftsutjevningen</w:t>
      </w:r>
      <w:proofErr w:type="spellEnd"/>
      <w:r w:rsidRPr="00E73D4B">
        <w:t xml:space="preserve"> enn tidligere. Nettoeffekten av Nordøyvegen i inntektssystemet blir lavere enn i utregningen som ble gjort i 2020, selv når det tas hensyn til at kompensasjonen for fylkeskommunal ferjedrift er økt på grunn av reduksjonen i ferjetakster i 2021 og 2022. Det er altså slik at omlegging av inntektssystemet fører til at vedlikeholdskostnadene for det nye veisystemet øker mer enn innsparte ferjekostnader etter takstreduksjonen.</w:t>
      </w:r>
    </w:p>
    <w:p w14:paraId="03027F55" w14:textId="77777777" w:rsidR="00972395" w:rsidRPr="00E73D4B" w:rsidRDefault="00F120C7" w:rsidP="00E73D4B">
      <w:r w:rsidRPr="00E73D4B">
        <w:t>Samferdselsdepartementet anser med dette anmodningsvedtaket som fulgt opp.</w:t>
      </w:r>
    </w:p>
    <w:p w14:paraId="11DB9010" w14:textId="77777777" w:rsidR="00972395" w:rsidRPr="00E73D4B" w:rsidRDefault="00F120C7" w:rsidP="00E73D4B">
      <w:pPr>
        <w:pStyle w:val="avsnitt-tittel"/>
      </w:pPr>
      <w:r w:rsidRPr="00E73D4B">
        <w:t xml:space="preserve">Bruke ev. </w:t>
      </w:r>
      <w:proofErr w:type="spellStart"/>
      <w:r w:rsidRPr="00E73D4B">
        <w:t>mindreforbruk</w:t>
      </w:r>
      <w:proofErr w:type="spellEnd"/>
      <w:r w:rsidRPr="00E73D4B">
        <w:t xml:space="preserve"> på prosjektet Nordøyvegen til kutt i </w:t>
      </w:r>
      <w:proofErr w:type="spellStart"/>
      <w:r w:rsidRPr="00E73D4B">
        <w:t>bompengar</w:t>
      </w:r>
      <w:proofErr w:type="spellEnd"/>
    </w:p>
    <w:p w14:paraId="2F32616D" w14:textId="77777777" w:rsidR="00972395" w:rsidRPr="00E73D4B" w:rsidRDefault="00F120C7" w:rsidP="00E73D4B">
      <w:pPr>
        <w:pStyle w:val="avsnitt-undertittel"/>
      </w:pPr>
      <w:r w:rsidRPr="00E73D4B">
        <w:t>Vedtak nr. 695, 8. juni 2022</w:t>
      </w:r>
    </w:p>
    <w:p w14:paraId="3AD05223" w14:textId="77777777" w:rsidR="00972395" w:rsidRPr="00E73D4B" w:rsidRDefault="00F120C7" w:rsidP="00E73D4B">
      <w:pPr>
        <w:pStyle w:val="blokksit"/>
      </w:pPr>
      <w:r w:rsidRPr="00E73D4B">
        <w:rPr>
          <w:rStyle w:val="kursiv"/>
        </w:rPr>
        <w:t xml:space="preserve">«Stortinget ber regjeringen legge til rette for at Møre og Romsdal fylkeskommune kan benytte et eventuelt </w:t>
      </w:r>
      <w:proofErr w:type="spellStart"/>
      <w:r w:rsidRPr="00E73D4B">
        <w:rPr>
          <w:rStyle w:val="kursiv"/>
        </w:rPr>
        <w:t>mindreforbruk</w:t>
      </w:r>
      <w:proofErr w:type="spellEnd"/>
      <w:r w:rsidRPr="00E73D4B">
        <w:rPr>
          <w:rStyle w:val="kursiv"/>
        </w:rPr>
        <w:t xml:space="preserve"> i utbyggingen av prosjektet vedtatt i </w:t>
      </w:r>
      <w:proofErr w:type="spellStart"/>
      <w:r w:rsidRPr="00E73D4B">
        <w:rPr>
          <w:rStyle w:val="kursiv"/>
        </w:rPr>
        <w:t>Innst</w:t>
      </w:r>
      <w:proofErr w:type="spellEnd"/>
      <w:r w:rsidRPr="00E73D4B">
        <w:rPr>
          <w:rStyle w:val="kursiv"/>
        </w:rPr>
        <w:t xml:space="preserve">. 283 S (2021–2022), jf. </w:t>
      </w:r>
      <w:proofErr w:type="spellStart"/>
      <w:r w:rsidRPr="00E73D4B">
        <w:rPr>
          <w:rStyle w:val="kursiv"/>
        </w:rPr>
        <w:t>Prop</w:t>
      </w:r>
      <w:proofErr w:type="spellEnd"/>
      <w:r w:rsidRPr="00E73D4B">
        <w:rPr>
          <w:rStyle w:val="kursiv"/>
        </w:rPr>
        <w:t>. 93 S (2021–2022), til kutt i bompenger.»</w:t>
      </w:r>
    </w:p>
    <w:p w14:paraId="64EBE3C0" w14:textId="77777777" w:rsidR="00972395" w:rsidRPr="00E73D4B" w:rsidRDefault="00F120C7" w:rsidP="00E73D4B">
      <w:r w:rsidRPr="00E73D4B">
        <w:t xml:space="preserve">Dokumentene som ligger til grunn for vedtaket, er representantforslag fra stortingsrepresentantene Frank Edvard Sve og Morten Stordalen om å kutte ferjebilletten på Nordøyvegen, jf. Dokument 8:237 S (2021–2022) og </w:t>
      </w:r>
      <w:proofErr w:type="spellStart"/>
      <w:r w:rsidRPr="00E73D4B">
        <w:t>Innst</w:t>
      </w:r>
      <w:proofErr w:type="spellEnd"/>
      <w:r w:rsidRPr="00E73D4B">
        <w:t>. 343 S (2021–2022).</w:t>
      </w:r>
    </w:p>
    <w:p w14:paraId="488D3130" w14:textId="77777777" w:rsidR="00972395" w:rsidRPr="00E73D4B" w:rsidRDefault="00F120C7" w:rsidP="00E73D4B">
      <w:r w:rsidRPr="00E73D4B">
        <w:t xml:space="preserve">I henhold til </w:t>
      </w:r>
      <w:proofErr w:type="spellStart"/>
      <w:r w:rsidRPr="00E73D4B">
        <w:t>Prop</w:t>
      </w:r>
      <w:proofErr w:type="spellEnd"/>
      <w:r w:rsidRPr="00E73D4B">
        <w:t xml:space="preserve">. 93 S (2021–2022) </w:t>
      </w:r>
      <w:r w:rsidRPr="00E73D4B">
        <w:rPr>
          <w:rStyle w:val="kursiv"/>
        </w:rPr>
        <w:t>Finansiering av prosjektet fv. 659 Nordøyvegen i Møre og Romsdal fylkeskommune</w:t>
      </w:r>
      <w:r w:rsidRPr="00E73D4B">
        <w:t xml:space="preserve">, skal ev. </w:t>
      </w:r>
      <w:proofErr w:type="spellStart"/>
      <w:r w:rsidRPr="00E73D4B">
        <w:t>mindreforbruk</w:t>
      </w:r>
      <w:proofErr w:type="spellEnd"/>
      <w:r w:rsidRPr="00E73D4B">
        <w:t xml:space="preserve">/kostnadsreduksjoner i prosjektet deles mellom fylkeskommunale midler og bompenger etter en angitt prosentfordeling. Fylkeskommunen har anledning til å bruke sin del av ev. </w:t>
      </w:r>
      <w:proofErr w:type="spellStart"/>
      <w:r w:rsidRPr="00E73D4B">
        <w:t>mindreforbruk</w:t>
      </w:r>
      <w:proofErr w:type="spellEnd"/>
      <w:r w:rsidRPr="00E73D4B">
        <w:t>/kostnadsreduksjoner til å redusere bompengeselskapets gjeld med påfølgende lavere bompengetakster.</w:t>
      </w:r>
    </w:p>
    <w:p w14:paraId="6BA4E29D" w14:textId="77777777" w:rsidR="00972395" w:rsidRPr="00E73D4B" w:rsidRDefault="00F120C7" w:rsidP="00E73D4B">
      <w:r w:rsidRPr="00E73D4B">
        <w:t>Samferdselsdepartementet anser med dette anmodningsvedtaket som fulgt opp.</w:t>
      </w:r>
    </w:p>
    <w:p w14:paraId="2F969B9F" w14:textId="77777777" w:rsidR="00972395" w:rsidRPr="00E73D4B" w:rsidRDefault="00F120C7" w:rsidP="00E73D4B">
      <w:pPr>
        <w:pStyle w:val="avsnitt-tittel"/>
      </w:pPr>
      <w:r w:rsidRPr="00E73D4B">
        <w:t xml:space="preserve">Forsøksprosjekt med nullutsleppsteknologi på dieselbaserte </w:t>
      </w:r>
      <w:proofErr w:type="spellStart"/>
      <w:r w:rsidRPr="00E73D4B">
        <w:t>banestrekningar</w:t>
      </w:r>
      <w:proofErr w:type="spellEnd"/>
    </w:p>
    <w:p w14:paraId="3FDCDC88" w14:textId="77777777" w:rsidR="00972395" w:rsidRPr="00E73D4B" w:rsidRDefault="00F120C7" w:rsidP="00E73D4B">
      <w:pPr>
        <w:pStyle w:val="avsnitt-undertittel"/>
      </w:pPr>
      <w:r w:rsidRPr="00E73D4B">
        <w:t>Vedtak nr. 709, 10. juni 2022</w:t>
      </w:r>
    </w:p>
    <w:p w14:paraId="170528F9" w14:textId="77777777" w:rsidR="00972395" w:rsidRPr="00E73D4B" w:rsidRDefault="00F120C7" w:rsidP="00E73D4B">
      <w:pPr>
        <w:pStyle w:val="blokksit"/>
      </w:pPr>
      <w:r w:rsidRPr="00E73D4B">
        <w:rPr>
          <w:rStyle w:val="kursiv"/>
        </w:rPr>
        <w:t>«Stortinget ber regjeringen vurdere hvilken av dagens dieselbaserte banestrekninger som er best egnet for et forsøksprosjekt med nullutslippsteknologi og komme tilbake til Stortinget med en plan for et slikt forsøksprosjekt.»</w:t>
      </w:r>
    </w:p>
    <w:p w14:paraId="3C018A96" w14:textId="77777777" w:rsidR="00972395" w:rsidRPr="00E73D4B" w:rsidRDefault="00F120C7" w:rsidP="00E73D4B">
      <w:r w:rsidRPr="00E73D4B">
        <w:t xml:space="preserve">Vedtaket ble truffet ved behandlingen av Meld. St. 36 (2020–2021) </w:t>
      </w:r>
      <w:r w:rsidRPr="00E73D4B">
        <w:rPr>
          <w:rStyle w:val="kursiv"/>
        </w:rPr>
        <w:t>Energi til arbeid – langsiktig verdiskaping fra norske energiressurser</w:t>
      </w:r>
      <w:r w:rsidRPr="00E73D4B">
        <w:t xml:space="preserve"> og Meld. St.11 (2021–2022) </w:t>
      </w:r>
      <w:r w:rsidRPr="00E73D4B">
        <w:rPr>
          <w:rStyle w:val="kursiv"/>
        </w:rPr>
        <w:t>Tilleggsmelding til Meld. St. 36 (2020–2021)</w:t>
      </w:r>
      <w:r w:rsidRPr="00E73D4B">
        <w:t xml:space="preserve">, jf. </w:t>
      </w:r>
      <w:proofErr w:type="spellStart"/>
      <w:r w:rsidRPr="00E73D4B">
        <w:t>Innst</w:t>
      </w:r>
      <w:proofErr w:type="spellEnd"/>
      <w:r w:rsidRPr="00E73D4B">
        <w:t>. 446 S (2021–2022).</w:t>
      </w:r>
    </w:p>
    <w:p w14:paraId="222E63D3" w14:textId="77777777" w:rsidR="00972395" w:rsidRPr="00E73D4B" w:rsidRDefault="00F120C7" w:rsidP="00E73D4B">
      <w:r w:rsidRPr="00E73D4B">
        <w:t>Samferdselsdepartementet vil følge opp anmodningsvedtaket og komme tilbake til Stortinget på egnet måte.</w:t>
      </w:r>
    </w:p>
    <w:p w14:paraId="68B86C7E" w14:textId="77777777" w:rsidR="00972395" w:rsidRPr="00E73D4B" w:rsidRDefault="00F120C7" w:rsidP="00E73D4B">
      <w:pPr>
        <w:pStyle w:val="avsnitt-tittel"/>
      </w:pPr>
      <w:r w:rsidRPr="00E73D4B">
        <w:t xml:space="preserve">Obligatorisk takstfritak for </w:t>
      </w:r>
      <w:proofErr w:type="spellStart"/>
      <w:r w:rsidRPr="00E73D4B">
        <w:t>biogasskøyretøy</w:t>
      </w:r>
      <w:proofErr w:type="spellEnd"/>
      <w:r w:rsidRPr="00E73D4B">
        <w:t xml:space="preserve"> på </w:t>
      </w:r>
      <w:proofErr w:type="spellStart"/>
      <w:r w:rsidRPr="00E73D4B">
        <w:t>strekningar</w:t>
      </w:r>
      <w:proofErr w:type="spellEnd"/>
      <w:r w:rsidRPr="00E73D4B">
        <w:t xml:space="preserve"> finansierte av </w:t>
      </w:r>
      <w:proofErr w:type="spellStart"/>
      <w:r w:rsidRPr="00E73D4B">
        <w:t>bompengar</w:t>
      </w:r>
      <w:proofErr w:type="spellEnd"/>
    </w:p>
    <w:p w14:paraId="06270B9F" w14:textId="77777777" w:rsidR="00972395" w:rsidRPr="00E73D4B" w:rsidRDefault="00F120C7" w:rsidP="00E73D4B">
      <w:pPr>
        <w:pStyle w:val="avsnitt-undertittel"/>
      </w:pPr>
      <w:r w:rsidRPr="00E73D4B">
        <w:t>Vedtak nr. 757, 10. juni 2022</w:t>
      </w:r>
    </w:p>
    <w:p w14:paraId="22F5912E" w14:textId="77777777" w:rsidR="00972395" w:rsidRPr="00E73D4B" w:rsidRDefault="00F120C7" w:rsidP="00E73D4B">
      <w:pPr>
        <w:pStyle w:val="blokksit"/>
      </w:pPr>
      <w:r w:rsidRPr="00E73D4B">
        <w:rPr>
          <w:rStyle w:val="kursiv"/>
        </w:rPr>
        <w:t>«Stortinget ber regjeringen snarest følge opp vedtaket om et obligatorisk takstfritak for biogasskjøretøy på strekninger som er finansiert av bompenger, gjeldende fra 1. januar 2023.»</w:t>
      </w:r>
    </w:p>
    <w:p w14:paraId="41CF50F3" w14:textId="77777777" w:rsidR="00972395" w:rsidRPr="00E73D4B" w:rsidRDefault="00F120C7" w:rsidP="00E73D4B">
      <w:r w:rsidRPr="00E73D4B">
        <w:t xml:space="preserve">Vedtaket ble truffet ved behandlingen av Meld. St. 36 (2020–2021) </w:t>
      </w:r>
      <w:r w:rsidRPr="00E73D4B">
        <w:rPr>
          <w:rStyle w:val="kursiv"/>
        </w:rPr>
        <w:t>Energi til arbeid – langsiktig verdiskaping fra norske energiressurser</w:t>
      </w:r>
      <w:r w:rsidRPr="00E73D4B">
        <w:t xml:space="preserve"> og Meld. St.11 (2021–2022) </w:t>
      </w:r>
      <w:r w:rsidRPr="00E73D4B">
        <w:rPr>
          <w:rStyle w:val="kursiv"/>
        </w:rPr>
        <w:t>Tilleggsmelding til Meld. St. 36 (2020–2021)</w:t>
      </w:r>
      <w:r w:rsidRPr="00E73D4B">
        <w:t xml:space="preserve">, jf. </w:t>
      </w:r>
      <w:proofErr w:type="spellStart"/>
      <w:r w:rsidRPr="00E73D4B">
        <w:t>Innst</w:t>
      </w:r>
      <w:proofErr w:type="spellEnd"/>
      <w:r w:rsidRPr="00E73D4B">
        <w:t>. 446 S (2021–2022).</w:t>
      </w:r>
    </w:p>
    <w:p w14:paraId="49615FCE" w14:textId="77777777" w:rsidR="00972395" w:rsidRPr="00E73D4B" w:rsidRDefault="00F120C7" w:rsidP="00E73D4B">
      <w:r w:rsidRPr="00E73D4B">
        <w:t xml:space="preserve">En ordning med redusert takst/fritak for tunge kjøretøy på biogass kan ikke håndteres innenfor det tekniske bompengesystemet </w:t>
      </w:r>
      <w:proofErr w:type="spellStart"/>
      <w:r w:rsidRPr="00E73D4B">
        <w:t>AutoPASS</w:t>
      </w:r>
      <w:proofErr w:type="spellEnd"/>
      <w:r w:rsidRPr="00E73D4B">
        <w:t xml:space="preserve">, jf. omtalen av anmodningsvedtak nr. 1008 av 27. mai 2021 i </w:t>
      </w:r>
      <w:proofErr w:type="spellStart"/>
      <w:r w:rsidRPr="00E73D4B">
        <w:t>Prop</w:t>
      </w:r>
      <w:proofErr w:type="spellEnd"/>
      <w:r w:rsidRPr="00E73D4B">
        <w:t xml:space="preserve">. 1 S (2021–2022) for Samferdselsdepartementet. Som det går frem av denne omtalen, er </w:t>
      </w:r>
      <w:proofErr w:type="spellStart"/>
      <w:r w:rsidRPr="00E73D4B">
        <w:t>AutoPASS</w:t>
      </w:r>
      <w:proofErr w:type="spellEnd"/>
      <w:r w:rsidRPr="00E73D4B">
        <w:t xml:space="preserve"> basert på kjøretøyregisteret, og det er der kun registrert om kjøretøyet er et gasskjøretøy. Gasskjøretøy kan fylle naturgass og biogass om hverandre, og det er ikke mulig å registrere om kjøretøyet har biogass eller naturgass på tanken ved bompassering.</w:t>
      </w:r>
    </w:p>
    <w:p w14:paraId="37A54065" w14:textId="77777777" w:rsidR="00972395" w:rsidRPr="00E73D4B" w:rsidRDefault="00F120C7" w:rsidP="00E73D4B">
      <w:r w:rsidRPr="00E73D4B">
        <w:t xml:space="preserve">Samferdselsdepartementet ga derfor Statens vegvesen i oppdrag å utarbeide en løsning med egen takstklasse for alle gassdrevne kjøretøy i takstgruppe 2 (tunge kjøretøy), jf. omtalen av anmodningsvedtak 35, punkt 8 i </w:t>
      </w:r>
      <w:proofErr w:type="spellStart"/>
      <w:r w:rsidRPr="00E73D4B">
        <w:t>Prop</w:t>
      </w:r>
      <w:proofErr w:type="spellEnd"/>
      <w:r w:rsidRPr="00E73D4B">
        <w:t>. 111 S (2021–2022)</w:t>
      </w:r>
      <w:r w:rsidRPr="00E73D4B">
        <w:rPr>
          <w:rStyle w:val="kursiv"/>
        </w:rPr>
        <w:t xml:space="preserve"> </w:t>
      </w:r>
      <w:proofErr w:type="spellStart"/>
      <w:r w:rsidRPr="00E73D4B">
        <w:rPr>
          <w:rStyle w:val="kursiv"/>
        </w:rPr>
        <w:t>Nokre</w:t>
      </w:r>
      <w:proofErr w:type="spellEnd"/>
      <w:r w:rsidRPr="00E73D4B">
        <w:rPr>
          <w:rStyle w:val="kursiv"/>
        </w:rPr>
        <w:t xml:space="preserve"> saker om veg, </w:t>
      </w:r>
      <w:proofErr w:type="spellStart"/>
      <w:r w:rsidRPr="00E73D4B">
        <w:rPr>
          <w:rStyle w:val="kursiv"/>
        </w:rPr>
        <w:t>særskilde</w:t>
      </w:r>
      <w:proofErr w:type="spellEnd"/>
      <w:r w:rsidRPr="00E73D4B">
        <w:rPr>
          <w:rStyle w:val="kursiv"/>
        </w:rPr>
        <w:t xml:space="preserve"> transporttiltak og transport i byområda mv</w:t>
      </w:r>
      <w:r w:rsidRPr="00E73D4B">
        <w:t>. En egen takstklasse som omfatter alle gassdrevne kjøretøy i takstgruppe 2 ble opprettet 1. september 2022, og dette kan gi grunnlag for redusert bompengetakst eller fritak for bompenger dersom det foreligger lokalpolitiske vedtak.</w:t>
      </w:r>
    </w:p>
    <w:p w14:paraId="59A4455F" w14:textId="77777777" w:rsidR="00972395" w:rsidRPr="00E73D4B" w:rsidRDefault="00F120C7" w:rsidP="00E73D4B">
      <w:r w:rsidRPr="00E73D4B">
        <w:t>Det er lagt opp til at en slik ordning som omfatter alle gassdrevne kjøretøy, først og fremst brukes i byområder der det allerede i dag er mulighet for et takstsystem med tids- og miljødifferensierte takster, jf. veglova § 27 andre ledd.</w:t>
      </w:r>
    </w:p>
    <w:p w14:paraId="0E062FD2" w14:textId="77777777" w:rsidR="00972395" w:rsidRPr="00E73D4B" w:rsidRDefault="00F120C7" w:rsidP="00E73D4B">
      <w:r w:rsidRPr="00E73D4B">
        <w:t>Med en egen takstklasse for gasskjøretøy får også kjøretøy som har naturgass på tanken, redusert takst/fritak. Fordelingen mellom bruk av biogass og naturgass er avhengig av pris og tilgjengelighet. I en normal markedssituasjon er biogass dyrere enn naturgass, men den svært høye prisen på naturgass gjør i dag biogass mer konkurransedyktig enn naturgass som drivstoff. Gitt dagens situasjon, vil det være lite sannsynlig at det blir brukt naturgass.</w:t>
      </w:r>
    </w:p>
    <w:p w14:paraId="1E654AC1" w14:textId="77777777" w:rsidR="00972395" w:rsidRPr="00E73D4B" w:rsidRDefault="00F120C7" w:rsidP="00E73D4B">
      <w:r w:rsidRPr="00E73D4B">
        <w:t>Samferdselsdepartementet har videre, i samråd med Klima- og miljødepartementet, gitt Statens vegvesen og Miljødirektoratet i oppdrag å vurdere hvilken effekt reduserte bomtakster/fritak for gasskjøretøy vil ha på de nasjonale klimagassutslippene og på lokal luftkvalitet i byområdene spesielt. I tillegg er Statens vegvesen bedt om å vurdere hvilken informasjon som kan og må innhentes for å kunne følge markedsutviklingen av andel brukt biogass sammenliknet med naturgass som drivstoff for tunge kjøretøy. Samferdselsdepartementet legger til grunn at resultatene herfra vil kunne ha betydning for lokale myndigheters vurdering av reduserte bomtakster/fritak for gasskjøretøy i bomringene.</w:t>
      </w:r>
    </w:p>
    <w:p w14:paraId="2EF1A22F" w14:textId="77777777" w:rsidR="00972395" w:rsidRPr="00E73D4B" w:rsidRDefault="00F120C7" w:rsidP="00E73D4B">
      <w:r w:rsidRPr="00E73D4B">
        <w:t>Samferdselsdepartementet anser med dette anmodningsvedtaket som fulgt opp.</w:t>
      </w:r>
    </w:p>
    <w:p w14:paraId="06E7B746" w14:textId="77777777" w:rsidR="00972395" w:rsidRPr="00E73D4B" w:rsidRDefault="00F120C7" w:rsidP="00E73D4B">
      <w:pPr>
        <w:pStyle w:val="avsnitt-tittel"/>
      </w:pPr>
      <w:r w:rsidRPr="00E73D4B">
        <w:t xml:space="preserve">Utbetaling av </w:t>
      </w:r>
      <w:proofErr w:type="spellStart"/>
      <w:r w:rsidRPr="00E73D4B">
        <w:t>tilskot</w:t>
      </w:r>
      <w:proofErr w:type="spellEnd"/>
      <w:r w:rsidRPr="00E73D4B">
        <w:t xml:space="preserve"> til kollektivselskapa</w:t>
      </w:r>
    </w:p>
    <w:p w14:paraId="026EB5E0" w14:textId="77777777" w:rsidR="00972395" w:rsidRPr="00E73D4B" w:rsidRDefault="00F120C7" w:rsidP="00E73D4B">
      <w:pPr>
        <w:pStyle w:val="avsnitt-undertittel"/>
      </w:pPr>
      <w:r w:rsidRPr="00E73D4B">
        <w:t>Vedtak nr. 834, 17. juni 2022</w:t>
      </w:r>
    </w:p>
    <w:p w14:paraId="6C4403C0" w14:textId="77777777" w:rsidR="00972395" w:rsidRPr="00E73D4B" w:rsidRDefault="00F120C7" w:rsidP="00E73D4B">
      <w:pPr>
        <w:pStyle w:val="blokksit"/>
      </w:pPr>
      <w:r w:rsidRPr="00E73D4B">
        <w:rPr>
          <w:rStyle w:val="kursiv"/>
        </w:rPr>
        <w:t>«Stortinget ber regjeringen så raskt som mulig etter 1. august sørge for at det utbetales 500 mill. kroner gjennom tilskuddsordningen til kollektivselskapene som opprettes ifb. RNB, fordelt etter forventet nedgang i billettinntekter ut 2022. Midlene skal legge til rette for omstilling og utvikling av nye løsninger.»</w:t>
      </w:r>
    </w:p>
    <w:p w14:paraId="0850D17F" w14:textId="77777777" w:rsidR="00972395" w:rsidRPr="00E73D4B" w:rsidRDefault="00F120C7" w:rsidP="00E73D4B">
      <w:r w:rsidRPr="00E73D4B">
        <w:t xml:space="preserve">Vedtaket ble truffet ved behandlingen av Meld. St. 2 (2021–2022) </w:t>
      </w:r>
      <w:r w:rsidRPr="00E73D4B">
        <w:rPr>
          <w:rStyle w:val="kursiv"/>
        </w:rPr>
        <w:t>Revidert nasjonalbudsjett 2022,</w:t>
      </w:r>
      <w:r w:rsidRPr="00E73D4B">
        <w:t xml:space="preserve"> jf. </w:t>
      </w:r>
      <w:proofErr w:type="spellStart"/>
      <w:r w:rsidRPr="00E73D4B">
        <w:t>Innst</w:t>
      </w:r>
      <w:proofErr w:type="spellEnd"/>
      <w:r w:rsidRPr="00E73D4B">
        <w:t>. 450 S (2021–2022).</w:t>
      </w:r>
    </w:p>
    <w:p w14:paraId="1F81992E" w14:textId="77777777" w:rsidR="00972395" w:rsidRPr="00E73D4B" w:rsidRDefault="00F120C7" w:rsidP="00E73D4B">
      <w:r w:rsidRPr="00E73D4B">
        <w:t>500 mill. kr ble fordelt til fylkeskommunene og Oslo kommune som en omstillingspakke til den fylkeskommunale kollektivtransporten 2. september 2022. Midlene ble fordelt forholdsmessig etter fylkeskommunenes nettotap i perioden januar–juli 2022. Ved utbetalingen ble ekstra midler som fylkeskommunene og Oslo kommune tidligere hadde fått utbetalt for mye til kollektivtransport i forbindelse med koronapandemien, trukket fra.</w:t>
      </w:r>
    </w:p>
    <w:p w14:paraId="49DE3B59" w14:textId="77777777" w:rsidR="00972395" w:rsidRPr="00E73D4B" w:rsidRDefault="00F120C7" w:rsidP="00E73D4B">
      <w:r w:rsidRPr="00E73D4B">
        <w:t>Samferdselsdepartementet anser med dette anmodningsvedtaket som fulgt opp.</w:t>
      </w:r>
    </w:p>
    <w:p w14:paraId="6D97A3AA" w14:textId="77777777" w:rsidR="00972395" w:rsidRPr="00E73D4B" w:rsidRDefault="00F120C7" w:rsidP="00E73D4B">
      <w:pPr>
        <w:pStyle w:val="avsnitt-tittel"/>
      </w:pPr>
      <w:proofErr w:type="spellStart"/>
      <w:r w:rsidRPr="00E73D4B">
        <w:t>Vidareføre</w:t>
      </w:r>
      <w:proofErr w:type="spellEnd"/>
      <w:r w:rsidRPr="00E73D4B">
        <w:t xml:space="preserve"> </w:t>
      </w:r>
      <w:proofErr w:type="spellStart"/>
      <w:r w:rsidRPr="00E73D4B">
        <w:t>tilskotsordninga</w:t>
      </w:r>
      <w:proofErr w:type="spellEnd"/>
      <w:r w:rsidRPr="00E73D4B">
        <w:t xml:space="preserve"> til mindre byområde </w:t>
      </w:r>
      <w:proofErr w:type="spellStart"/>
      <w:r w:rsidRPr="00E73D4B">
        <w:t>utan</w:t>
      </w:r>
      <w:proofErr w:type="spellEnd"/>
      <w:r w:rsidRPr="00E73D4B">
        <w:t xml:space="preserve"> </w:t>
      </w:r>
      <w:proofErr w:type="spellStart"/>
      <w:r w:rsidRPr="00E73D4B">
        <w:t>byvekstavtalar</w:t>
      </w:r>
      <w:proofErr w:type="spellEnd"/>
    </w:p>
    <w:p w14:paraId="6D6EA4E5" w14:textId="77777777" w:rsidR="00972395" w:rsidRPr="00E73D4B" w:rsidRDefault="00F120C7" w:rsidP="00E73D4B">
      <w:pPr>
        <w:pStyle w:val="avsnitt-undertittel"/>
      </w:pPr>
      <w:r w:rsidRPr="00E73D4B">
        <w:t>Vedtak nr. 839, 17. juni 2022</w:t>
      </w:r>
    </w:p>
    <w:p w14:paraId="48B8D403" w14:textId="77777777" w:rsidR="00972395" w:rsidRPr="00E73D4B" w:rsidRDefault="00F120C7" w:rsidP="00E73D4B">
      <w:pPr>
        <w:pStyle w:val="blokksit"/>
      </w:pPr>
      <w:r w:rsidRPr="00E73D4B">
        <w:rPr>
          <w:rStyle w:val="kursiv"/>
        </w:rPr>
        <w:t>«Stortinget ber regjeringen i statsbudsjettet for 2023 videreføre tilskuddsordningen til mindre byer uten byvekstavtaler slik ordningen er beskrevet i NTP.»</w:t>
      </w:r>
    </w:p>
    <w:p w14:paraId="75AA4370" w14:textId="77777777" w:rsidR="00972395" w:rsidRPr="00E73D4B" w:rsidRDefault="00F120C7" w:rsidP="00E73D4B">
      <w:r w:rsidRPr="00E73D4B">
        <w:t xml:space="preserve">Vedtaket ble truffet ved behandlingen av Meld. St. 2 (2021–2022) </w:t>
      </w:r>
      <w:r w:rsidRPr="00E73D4B">
        <w:rPr>
          <w:rStyle w:val="kursiv"/>
        </w:rPr>
        <w:t>Revidert nasjonalbudsjett 2022,</w:t>
      </w:r>
      <w:r w:rsidRPr="00E73D4B">
        <w:t xml:space="preserve"> jf. </w:t>
      </w:r>
      <w:proofErr w:type="spellStart"/>
      <w:r w:rsidRPr="00E73D4B">
        <w:t>Innst</w:t>
      </w:r>
      <w:proofErr w:type="spellEnd"/>
      <w:r w:rsidRPr="00E73D4B">
        <w:t>. 450 S (2021–2022).</w:t>
      </w:r>
    </w:p>
    <w:p w14:paraId="1FEA236A" w14:textId="77777777" w:rsidR="00972395" w:rsidRPr="00E73D4B" w:rsidRDefault="00F120C7" w:rsidP="00E73D4B">
      <w:r w:rsidRPr="00E73D4B">
        <w:t xml:space="preserve">I Meld. St. 20 (2020–2021) </w:t>
      </w:r>
      <w:r w:rsidRPr="00E73D4B">
        <w:rPr>
          <w:rStyle w:val="kursiv"/>
        </w:rPr>
        <w:t>Nasjonal transportplan 2022–2033</w:t>
      </w:r>
      <w:r w:rsidRPr="00E73D4B">
        <w:t xml:space="preserve"> ble det lagt til grunn 600 mill. kr over fire år tidlig i planperioden for å legge til rette for klima- og miljøvennlig byutvikling og god fremkommelighet. Tilskuddet er øremerket de fem byområdene Bodø, Ålesund, Haugesund, Arendal/Grimstad og Vestfoldbyen (Tønsberg, Sandefjord og Larvik). I 2022 er det satt av 30 mill. kr, som vil bli delt likt som en engangsutbetaling mellom Ålesund og Bodø, jf. </w:t>
      </w:r>
      <w:proofErr w:type="spellStart"/>
      <w:r w:rsidRPr="00E73D4B">
        <w:t>Prop</w:t>
      </w:r>
      <w:proofErr w:type="spellEnd"/>
      <w:r w:rsidRPr="00E73D4B">
        <w:t xml:space="preserve">. 111 S (2021–2022) </w:t>
      </w:r>
      <w:proofErr w:type="spellStart"/>
      <w:r w:rsidRPr="00E73D4B">
        <w:rPr>
          <w:rStyle w:val="kursiv"/>
        </w:rPr>
        <w:t>Nokre</w:t>
      </w:r>
      <w:proofErr w:type="spellEnd"/>
      <w:r w:rsidRPr="00E73D4B">
        <w:rPr>
          <w:rStyle w:val="kursiv"/>
        </w:rPr>
        <w:t xml:space="preserve"> saker om veg, </w:t>
      </w:r>
      <w:proofErr w:type="spellStart"/>
      <w:r w:rsidRPr="00E73D4B">
        <w:rPr>
          <w:rStyle w:val="kursiv"/>
        </w:rPr>
        <w:t>særskilde</w:t>
      </w:r>
      <w:proofErr w:type="spellEnd"/>
      <w:r w:rsidRPr="00E73D4B">
        <w:rPr>
          <w:rStyle w:val="kursiv"/>
        </w:rPr>
        <w:t xml:space="preserve"> transporttiltak og transport i byområda mv.</w:t>
      </w:r>
    </w:p>
    <w:p w14:paraId="745D5992" w14:textId="77777777" w:rsidR="00972395" w:rsidRPr="00E73D4B" w:rsidRDefault="00F120C7" w:rsidP="00E73D4B">
      <w:r w:rsidRPr="00E73D4B">
        <w:t>I 2023 videreføres tilskuddet på tilsvarende nivå som for 2022, og det vil være aktuelt å tildele midler til to eller tre byer som en engangsutbetaling. Samferdselsdepartementet vil vurdere nærmere hvilke byer som vil motta tilskudd.</w:t>
      </w:r>
    </w:p>
    <w:p w14:paraId="3C421B7E" w14:textId="77777777" w:rsidR="00972395" w:rsidRPr="00E73D4B" w:rsidRDefault="00F120C7" w:rsidP="00E73D4B">
      <w:r w:rsidRPr="00E73D4B">
        <w:t xml:space="preserve">I tråd med omtalen i Nasjonal transportplan 2022–2033 skal midlene gå til mindre investeringer i gang- og sykkelveier samt kollektivtiltak. Tildeling forutsetter bl.a. at Stortinget har behandlet en </w:t>
      </w:r>
      <w:proofErr w:type="spellStart"/>
      <w:r w:rsidRPr="00E73D4B">
        <w:t>bypakke</w:t>
      </w:r>
      <w:proofErr w:type="spellEnd"/>
      <w:r w:rsidRPr="00E73D4B">
        <w:t xml:space="preserve"> for den aktuelle byen. Det vises til nærmere omtale under kap. 1332, post 66 Tilskudd til byområder, under Programkategori 21.40 Særskilte transporttiltak i del II.</w:t>
      </w:r>
    </w:p>
    <w:p w14:paraId="4F258884" w14:textId="77777777" w:rsidR="00972395" w:rsidRPr="00E73D4B" w:rsidRDefault="00F120C7" w:rsidP="00E73D4B">
      <w:r w:rsidRPr="00E73D4B">
        <w:t>Departementet anser med dette anmodningsvedtaket som fulgt opp.</w:t>
      </w:r>
    </w:p>
    <w:p w14:paraId="6DF2FE53" w14:textId="77777777" w:rsidR="00972395" w:rsidRPr="00E73D4B" w:rsidRDefault="00F120C7" w:rsidP="00E73D4B">
      <w:pPr>
        <w:pStyle w:val="avsnitt-tittel"/>
      </w:pPr>
      <w:r w:rsidRPr="00E73D4B">
        <w:t xml:space="preserve">Nullutslepp eller biogass i alle nye </w:t>
      </w:r>
      <w:proofErr w:type="spellStart"/>
      <w:r w:rsidRPr="00E73D4B">
        <w:t>anbod</w:t>
      </w:r>
      <w:proofErr w:type="spellEnd"/>
      <w:r w:rsidRPr="00E73D4B">
        <w:t xml:space="preserve"> for ferjer og fossilfritt i nye </w:t>
      </w:r>
      <w:proofErr w:type="spellStart"/>
      <w:r w:rsidRPr="00E73D4B">
        <w:t>anbod</w:t>
      </w:r>
      <w:proofErr w:type="spellEnd"/>
      <w:r w:rsidRPr="00E73D4B">
        <w:t xml:space="preserve"> for </w:t>
      </w:r>
      <w:proofErr w:type="spellStart"/>
      <w:r w:rsidRPr="00E73D4B">
        <w:t>hurtigbåtar</w:t>
      </w:r>
      <w:proofErr w:type="spellEnd"/>
    </w:p>
    <w:p w14:paraId="1E13B635" w14:textId="77777777" w:rsidR="00972395" w:rsidRPr="00E73D4B" w:rsidRDefault="00F120C7" w:rsidP="00E73D4B">
      <w:pPr>
        <w:pStyle w:val="avsnitt-undertittel"/>
      </w:pPr>
      <w:r w:rsidRPr="00E73D4B">
        <w:t>Vedtak nr. 842, 17. juni 2022</w:t>
      </w:r>
    </w:p>
    <w:p w14:paraId="7541D310" w14:textId="77777777" w:rsidR="00972395" w:rsidRPr="00E73D4B" w:rsidRDefault="00F120C7" w:rsidP="00E73D4B">
      <w:pPr>
        <w:pStyle w:val="blokksit"/>
      </w:pPr>
      <w:r w:rsidRPr="00E73D4B">
        <w:rPr>
          <w:rStyle w:val="kursiv"/>
        </w:rPr>
        <w:t>«Stortinget ber regjeringen snarest mulig forskriftsfeste krav om nullutslipp eller biogass i alle nye anbud for ferger og krav om fossilfritt i nye anbud for hurtigbåter, og komme tilbake til Stortinget med forslag i statsbudsjettet for 2023.»</w:t>
      </w:r>
    </w:p>
    <w:p w14:paraId="794AF569" w14:textId="77777777" w:rsidR="00972395" w:rsidRPr="00E73D4B" w:rsidRDefault="00F120C7" w:rsidP="00E73D4B">
      <w:r w:rsidRPr="00E73D4B">
        <w:t xml:space="preserve">Vedtaket ble truffet ved behandlingen av Meld. St. 2 (2021–2022) </w:t>
      </w:r>
      <w:r w:rsidRPr="00E73D4B">
        <w:rPr>
          <w:rStyle w:val="kursiv"/>
        </w:rPr>
        <w:t>Revidert nasjonalbudsjett 2022,</w:t>
      </w:r>
      <w:r w:rsidRPr="00E73D4B">
        <w:t xml:space="preserve"> jf. </w:t>
      </w:r>
      <w:proofErr w:type="spellStart"/>
      <w:r w:rsidRPr="00E73D4B">
        <w:t>Innst</w:t>
      </w:r>
      <w:proofErr w:type="spellEnd"/>
      <w:r w:rsidRPr="00E73D4B">
        <w:t>. 450 S (2021–2022).</w:t>
      </w:r>
    </w:p>
    <w:p w14:paraId="4BB5ACDD" w14:textId="77777777" w:rsidR="00972395" w:rsidRPr="00E73D4B" w:rsidRDefault="00F120C7" w:rsidP="00E73D4B">
      <w:r w:rsidRPr="00E73D4B">
        <w:t>På oppdrag fra Klima- og miljødepartementet har Direktoratet for forvaltning og økonomistyring, Miljødirektoratet, Sjøfartsdirektoratet og Statens vegvesen utarbeidet en rapport med forslag til lav- og nullutslippskrav ved anskaffelse av ferjer og hurtigbåter. Klima- og miljødepartementet ga deretter de samme direktoratene i tilleggsoppdrag å utrede mulig hjemmel for slike krav i skipssikkerhetsloven. På grunnlag av disse utredningene vil Samferdselsdepartementet, i samarbeid med Klima- og miljødepartementet, vurdere hvordan et eventuelt krav bør utformes.</w:t>
      </w:r>
    </w:p>
    <w:p w14:paraId="13B56D89" w14:textId="77777777" w:rsidR="00972395" w:rsidRPr="00E73D4B" w:rsidRDefault="00F120C7" w:rsidP="00E73D4B">
      <w:r w:rsidRPr="00E73D4B">
        <w:t>Departementet vil komme tilbake til Stortinget på egnet måte.</w:t>
      </w:r>
    </w:p>
    <w:p w14:paraId="3237CCAE" w14:textId="77777777" w:rsidR="00972395" w:rsidRPr="00E73D4B" w:rsidRDefault="00F120C7" w:rsidP="00E73D4B">
      <w:pPr>
        <w:pStyle w:val="avsnitt-tittel"/>
      </w:pPr>
      <w:r w:rsidRPr="00E73D4B">
        <w:t>Nedskalere store prosjekt i Statens vegvesen og Nye Veier AS</w:t>
      </w:r>
    </w:p>
    <w:p w14:paraId="21B3F39F" w14:textId="77777777" w:rsidR="00972395" w:rsidRPr="00E73D4B" w:rsidRDefault="00F120C7" w:rsidP="00E73D4B">
      <w:pPr>
        <w:pStyle w:val="avsnitt-undertittel"/>
      </w:pPr>
      <w:r w:rsidRPr="00E73D4B">
        <w:t>Vedtak nr. 844, 17. juni 2022</w:t>
      </w:r>
    </w:p>
    <w:p w14:paraId="0F95EE63" w14:textId="77777777" w:rsidR="00972395" w:rsidRPr="00E73D4B" w:rsidRDefault="00F120C7" w:rsidP="00E73D4B">
      <w:pPr>
        <w:pStyle w:val="blokksit"/>
      </w:pPr>
      <w:r w:rsidRPr="00E73D4B">
        <w:rPr>
          <w:rStyle w:val="kursiv"/>
        </w:rPr>
        <w:t>«Stortinget ber regjeringen i den varslede gjennomgangen av samferdselsprosjekter fram mot statsbudsjettet 2023 vurdere og fremme forslag om hvordan store prosjekter kan nedskaleres for å spare natur og matjord, samt spare kostnader og gi rom for sterkere satsing på vedlikehold og oppgradering av eksisterende samferdselsinfrastruktur. Den varslede gjennomgangen skal gjøres for prosjekter i Statens vegvesen og Nye Veier. Statens vegvesen og Nye Veier skal også få i oppdrag å vurdere nedskalering av prosjekter med pågående planarbeid.»</w:t>
      </w:r>
    </w:p>
    <w:p w14:paraId="05E6F45B" w14:textId="77777777" w:rsidR="00972395" w:rsidRPr="00E73D4B" w:rsidRDefault="00F120C7" w:rsidP="00E73D4B">
      <w:r w:rsidRPr="00E73D4B">
        <w:t xml:space="preserve">Vedtaket ble truffet ved behandlingen av Meld. St. 2 (2021–2022) </w:t>
      </w:r>
      <w:r w:rsidRPr="00E73D4B">
        <w:rPr>
          <w:rStyle w:val="kursiv"/>
        </w:rPr>
        <w:t>Revidert nasjonalbudsjett 2022,</w:t>
      </w:r>
      <w:r w:rsidRPr="00E73D4B">
        <w:t xml:space="preserve"> jf. </w:t>
      </w:r>
      <w:proofErr w:type="spellStart"/>
      <w:r w:rsidRPr="00E73D4B">
        <w:t>Innst</w:t>
      </w:r>
      <w:proofErr w:type="spellEnd"/>
      <w:r w:rsidRPr="00E73D4B">
        <w:t>. 450 S (2021–2022).</w:t>
      </w:r>
    </w:p>
    <w:p w14:paraId="0838F6DE" w14:textId="77777777" w:rsidR="00972395" w:rsidRPr="00E73D4B" w:rsidRDefault="00F120C7" w:rsidP="00E73D4B">
      <w:r w:rsidRPr="00E73D4B">
        <w:t xml:space="preserve">Samferdselsdepartementet viser til redegjørelsen i kapittel 1.1 under </w:t>
      </w:r>
      <w:proofErr w:type="spellStart"/>
      <w:r w:rsidRPr="00E73D4B">
        <w:rPr>
          <w:rStyle w:val="kursiv"/>
        </w:rPr>
        <w:t>Prioriteringar</w:t>
      </w:r>
      <w:proofErr w:type="spellEnd"/>
      <w:r w:rsidRPr="00E73D4B">
        <w:rPr>
          <w:rStyle w:val="kursiv"/>
        </w:rPr>
        <w:t xml:space="preserve"> framover med ei </w:t>
      </w:r>
      <w:proofErr w:type="spellStart"/>
      <w:r w:rsidRPr="00E73D4B">
        <w:rPr>
          <w:rStyle w:val="kursiv"/>
        </w:rPr>
        <w:t>strammare</w:t>
      </w:r>
      <w:proofErr w:type="spellEnd"/>
      <w:r w:rsidRPr="00E73D4B">
        <w:rPr>
          <w:rStyle w:val="kursiv"/>
        </w:rPr>
        <w:t xml:space="preserve"> ramme til samferdsel</w:t>
      </w:r>
      <w:r w:rsidRPr="00E73D4B">
        <w:t xml:space="preserve"> og i 21.30 Veiformål, En</w:t>
      </w:r>
      <w:r w:rsidRPr="00E73D4B">
        <w:rPr>
          <w:rStyle w:val="kursiv"/>
        </w:rPr>
        <w:t xml:space="preserve"> ansvarlig og balansert veipolitikk</w:t>
      </w:r>
      <w:r w:rsidRPr="00E73D4B">
        <w:t xml:space="preserve"> i del II.</w:t>
      </w:r>
    </w:p>
    <w:p w14:paraId="0C6351C8" w14:textId="77777777" w:rsidR="00972395" w:rsidRPr="00E73D4B" w:rsidRDefault="00F120C7" w:rsidP="00E73D4B">
      <w:r w:rsidRPr="00E73D4B">
        <w:t>Samferdselsdepartementet anser med dette anmodningsvedtaket som fulgt opp.</w:t>
      </w:r>
    </w:p>
    <w:p w14:paraId="594522CC" w14:textId="77777777" w:rsidR="00972395" w:rsidRPr="00E73D4B" w:rsidRDefault="00F120C7" w:rsidP="00E73D4B">
      <w:pPr>
        <w:pStyle w:val="Overskrift2"/>
      </w:pPr>
      <w:r w:rsidRPr="00E73D4B">
        <w:t>Stortingssesjon 2020–2021</w:t>
      </w:r>
    </w:p>
    <w:p w14:paraId="4C54CE57" w14:textId="77777777" w:rsidR="00972395" w:rsidRPr="00E73D4B" w:rsidRDefault="00F120C7" w:rsidP="00E73D4B">
      <w:pPr>
        <w:pStyle w:val="avsnitt-tittel"/>
      </w:pPr>
      <w:r w:rsidRPr="00E73D4B">
        <w:t xml:space="preserve">Avgrense </w:t>
      </w:r>
      <w:proofErr w:type="spellStart"/>
      <w:r w:rsidRPr="00E73D4B">
        <w:t>utanlandsk</w:t>
      </w:r>
      <w:proofErr w:type="spellEnd"/>
      <w:r w:rsidRPr="00E73D4B">
        <w:t xml:space="preserve"> lastebiltransport i </w:t>
      </w:r>
      <w:proofErr w:type="spellStart"/>
      <w:r w:rsidRPr="00E73D4B">
        <w:t>Noreg</w:t>
      </w:r>
      <w:proofErr w:type="spellEnd"/>
    </w:p>
    <w:p w14:paraId="6C7CBE76" w14:textId="77777777" w:rsidR="00972395" w:rsidRPr="00E73D4B" w:rsidRDefault="00F120C7" w:rsidP="00E73D4B">
      <w:pPr>
        <w:pStyle w:val="avsnitt-undertittel"/>
      </w:pPr>
      <w:r w:rsidRPr="00E73D4B">
        <w:t>Vedtak nr. 210, 7. desember 2020</w:t>
      </w:r>
    </w:p>
    <w:p w14:paraId="08A3B36D" w14:textId="77777777" w:rsidR="00972395" w:rsidRPr="00E73D4B" w:rsidRDefault="00F120C7" w:rsidP="00E73D4B">
      <w:pPr>
        <w:pStyle w:val="blokksit"/>
        <w:rPr>
          <w:rStyle w:val="kursiv"/>
        </w:rPr>
      </w:pPr>
      <w:r w:rsidRPr="00E73D4B">
        <w:rPr>
          <w:rStyle w:val="kursiv"/>
        </w:rPr>
        <w:t>«Stortinget ber regjeringen forberede og fremme forslag om begrensning av utenlandsk lastebiltransport i Norge, i tråd med vedtak fra behandlingen av EUs mobilitetspakke.»</w:t>
      </w:r>
    </w:p>
    <w:p w14:paraId="0B270822" w14:textId="77777777" w:rsidR="00972395" w:rsidRPr="00E73D4B" w:rsidRDefault="00F120C7" w:rsidP="00E73D4B">
      <w:r w:rsidRPr="00E73D4B">
        <w:t xml:space="preserve">Vedtaket ble truffet ved behandlingen av </w:t>
      </w:r>
      <w:proofErr w:type="spellStart"/>
      <w:r w:rsidRPr="00E73D4B">
        <w:t>Prop</w:t>
      </w:r>
      <w:proofErr w:type="spellEnd"/>
      <w:r w:rsidRPr="00E73D4B">
        <w:t xml:space="preserve">. 22 L (2020–2021) </w:t>
      </w:r>
      <w:r w:rsidRPr="00E73D4B">
        <w:rPr>
          <w:rStyle w:val="kursiv"/>
        </w:rPr>
        <w:t>Endringer i vegtrafikkloven og yrkestransportloven</w:t>
      </w:r>
      <w:r w:rsidRPr="00E73D4B">
        <w:t xml:space="preserve">, jf. </w:t>
      </w:r>
      <w:proofErr w:type="spellStart"/>
      <w:r w:rsidRPr="00E73D4B">
        <w:t>Innst</w:t>
      </w:r>
      <w:proofErr w:type="spellEnd"/>
      <w:r w:rsidRPr="00E73D4B">
        <w:t>. 131 L (2020–2021).</w:t>
      </w:r>
    </w:p>
    <w:p w14:paraId="736FC848" w14:textId="77777777" w:rsidR="00972395" w:rsidRPr="00E73D4B" w:rsidRDefault="00F120C7" w:rsidP="00E73D4B">
      <w:r w:rsidRPr="00E73D4B">
        <w:t xml:space="preserve">I </w:t>
      </w:r>
      <w:proofErr w:type="spellStart"/>
      <w:r w:rsidRPr="00E73D4B">
        <w:t>Prop</w:t>
      </w:r>
      <w:proofErr w:type="spellEnd"/>
      <w:r w:rsidRPr="00E73D4B">
        <w:t xml:space="preserve">. 1 S (2021–2021) opplyste Samferdselsdepartementet at det planla å komme tilbake med en egen lovproposisjon.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22635A62" w14:textId="77777777" w:rsidR="00972395" w:rsidRPr="00E73D4B" w:rsidRDefault="00F120C7" w:rsidP="00E73D4B">
      <w:r w:rsidRPr="00E73D4B">
        <w:t xml:space="preserve">Samferdselsdepartementet fremmet 29. april 2022 </w:t>
      </w:r>
      <w:proofErr w:type="spellStart"/>
      <w:r w:rsidRPr="00E73D4B">
        <w:t>Prop</w:t>
      </w:r>
      <w:proofErr w:type="spellEnd"/>
      <w:r w:rsidRPr="00E73D4B">
        <w:t xml:space="preserve">. 105 LS (2021–2022) </w:t>
      </w:r>
      <w:r w:rsidRPr="00E73D4B">
        <w:rPr>
          <w:rStyle w:val="kursiv"/>
        </w:rPr>
        <w:t>Endringer i vegtrafikkloven og yrkestransportloven (mobilitetspakken mv.) og samtykke til godkjennelse av EØS-komiteens beslutninger nr. 77/2022 og nr. 78/2022 av 18. mars 2022 om innlemmelse i EØS-avtalen av forordningene (EU) 2020/1055 og (EU) 2020/1054.</w:t>
      </w:r>
      <w:r w:rsidRPr="00E73D4B">
        <w:t xml:space="preserve"> Loven ble vedtatt av Stortinget 13. juni 2022.</w:t>
      </w:r>
    </w:p>
    <w:p w14:paraId="588F2E8D" w14:textId="77777777" w:rsidR="00972395" w:rsidRPr="00E73D4B" w:rsidRDefault="00F120C7" w:rsidP="00E73D4B">
      <w:r w:rsidRPr="00E73D4B">
        <w:t>Lovendringene gir hjemmel til å gjennomføre reglene i den sosiale delen av EUs mobilitetspakke i norsk regelverk. Reglene vil gjennomføres i forskrift høsten 2022.</w:t>
      </w:r>
    </w:p>
    <w:p w14:paraId="07F9C5F8" w14:textId="77777777" w:rsidR="00972395" w:rsidRPr="00E73D4B" w:rsidRDefault="00F120C7" w:rsidP="00E73D4B">
      <w:r w:rsidRPr="00E73D4B">
        <w:t>Samferdselsdepartementet anser med dette anmodningsvedtaket som fulgt opp.</w:t>
      </w:r>
    </w:p>
    <w:p w14:paraId="142C8068" w14:textId="77777777" w:rsidR="00972395" w:rsidRPr="00E73D4B" w:rsidRDefault="00F120C7" w:rsidP="00E73D4B">
      <w:pPr>
        <w:pStyle w:val="avsnitt-tittel"/>
      </w:pPr>
      <w:proofErr w:type="spellStart"/>
      <w:r w:rsidRPr="00E73D4B">
        <w:t>Halde</w:t>
      </w:r>
      <w:proofErr w:type="spellEnd"/>
      <w:r w:rsidRPr="00E73D4B">
        <w:t xml:space="preserve"> tilbake </w:t>
      </w:r>
      <w:proofErr w:type="spellStart"/>
      <w:r w:rsidRPr="00E73D4B">
        <w:t>køyretøy</w:t>
      </w:r>
      <w:proofErr w:type="spellEnd"/>
      <w:r w:rsidRPr="00E73D4B">
        <w:t xml:space="preserve"> som </w:t>
      </w:r>
      <w:proofErr w:type="spellStart"/>
      <w:r w:rsidRPr="00E73D4B">
        <w:t>skuldar</w:t>
      </w:r>
      <w:proofErr w:type="spellEnd"/>
      <w:r w:rsidRPr="00E73D4B">
        <w:t xml:space="preserve"> </w:t>
      </w:r>
      <w:proofErr w:type="spellStart"/>
      <w:r w:rsidRPr="00E73D4B">
        <w:t>bompengar</w:t>
      </w:r>
      <w:proofErr w:type="spellEnd"/>
    </w:p>
    <w:p w14:paraId="0A46C9EF" w14:textId="77777777" w:rsidR="00972395" w:rsidRPr="00E73D4B" w:rsidRDefault="00F120C7" w:rsidP="00E73D4B">
      <w:pPr>
        <w:pStyle w:val="avsnitt-undertittel"/>
      </w:pPr>
      <w:r w:rsidRPr="00E73D4B">
        <w:t>Vedtak nr. 211, 7. desember 2020</w:t>
      </w:r>
    </w:p>
    <w:p w14:paraId="58BD997C" w14:textId="77777777" w:rsidR="00972395" w:rsidRPr="00E73D4B" w:rsidRDefault="00F120C7" w:rsidP="00E73D4B">
      <w:pPr>
        <w:pStyle w:val="blokksit"/>
        <w:rPr>
          <w:rStyle w:val="kursiv"/>
        </w:rPr>
      </w:pPr>
      <w:r w:rsidRPr="00E73D4B">
        <w:rPr>
          <w:rStyle w:val="kursiv"/>
        </w:rPr>
        <w:t>«Stortinget ber regjeringen utarbeide forslag til en lovhjemmel som gjør det mulig for norske myndigheter å tilbakeholde kjøretøyer som skylder bompenger, og komme tilbake til Stortinget på egnet måte.»</w:t>
      </w:r>
    </w:p>
    <w:p w14:paraId="7CB604B5" w14:textId="77777777" w:rsidR="00972395" w:rsidRPr="00E73D4B" w:rsidRDefault="00F120C7" w:rsidP="00E73D4B">
      <w:r w:rsidRPr="00E73D4B">
        <w:t xml:space="preserve">Vedtaket ble truffet ved behandlingen av </w:t>
      </w:r>
      <w:proofErr w:type="spellStart"/>
      <w:r w:rsidRPr="00E73D4B">
        <w:t>Prop</w:t>
      </w:r>
      <w:proofErr w:type="spellEnd"/>
      <w:r w:rsidRPr="00E73D4B">
        <w:t xml:space="preserve">. 22 L (2020–2021) </w:t>
      </w:r>
      <w:r w:rsidRPr="00E73D4B">
        <w:rPr>
          <w:rStyle w:val="kursiv"/>
        </w:rPr>
        <w:t>Endringer i vegtrafikkloven og yrkestransportloven</w:t>
      </w:r>
      <w:r w:rsidRPr="00E73D4B">
        <w:t xml:space="preserve">, jf. </w:t>
      </w:r>
      <w:proofErr w:type="spellStart"/>
      <w:r w:rsidRPr="00E73D4B">
        <w:t>Innst</w:t>
      </w:r>
      <w:proofErr w:type="spellEnd"/>
      <w:r w:rsidRPr="00E73D4B">
        <w:t>. 131 L (2020–2021).</w:t>
      </w:r>
    </w:p>
    <w:p w14:paraId="6DDF8BB6" w14:textId="77777777" w:rsidR="00972395" w:rsidRPr="00E73D4B" w:rsidRDefault="00F120C7" w:rsidP="00E73D4B">
      <w:r w:rsidRPr="00E73D4B">
        <w:t xml:space="preserve">Samferdselsdepartementet begrunnet i </w:t>
      </w:r>
      <w:proofErr w:type="spellStart"/>
      <w:r w:rsidRPr="00E73D4B">
        <w:t>Prop</w:t>
      </w:r>
      <w:proofErr w:type="spellEnd"/>
      <w:r w:rsidRPr="00E73D4B">
        <w:t xml:space="preserve">. 1 S (2021–2022) hvorfor departementet ikke ville foreslå en lovhjemmel for å holde tilbake kjøretøy som skylder bompenger. Ved behandlingen av Meld. St. 4 (2021–2022) </w:t>
      </w:r>
      <w:r w:rsidRPr="00E73D4B">
        <w:rPr>
          <w:rStyle w:val="kursiv"/>
        </w:rPr>
        <w:t>Anmodnings- og utredningsvedtak i stortingssesjonen 2020–2021,</w:t>
      </w:r>
      <w:r w:rsidRPr="00E73D4B">
        <w:t xml:space="preserve"> jf. </w:t>
      </w:r>
      <w:proofErr w:type="spellStart"/>
      <w:r w:rsidRPr="00E73D4B">
        <w:t>Innst</w:t>
      </w:r>
      <w:proofErr w:type="spellEnd"/>
      <w:r w:rsidRPr="00E73D4B">
        <w:t>. 141 S (2021–2022), uttalte kontroll- og konstitusjonskomiteen:</w:t>
      </w:r>
    </w:p>
    <w:p w14:paraId="33FFBDFA" w14:textId="77777777" w:rsidR="00972395" w:rsidRPr="00E73D4B" w:rsidRDefault="00F120C7" w:rsidP="00E73D4B">
      <w:pPr>
        <w:pStyle w:val="blokksit"/>
        <w:rPr>
          <w:rStyle w:val="kursiv"/>
        </w:rPr>
      </w:pPr>
      <w:r w:rsidRPr="00E73D4B">
        <w:rPr>
          <w:rStyle w:val="kursiv"/>
        </w:rPr>
        <w:t xml:space="preserve">«Komiteens flertall, medlemmene fra Arbeiderpartiet, Høyre, Senterpartiet, Fremskrittspartiet, Sosialistisk Venstreparti, Rødt og Venstre, viser til Samferdselsdepartementets redegjørelse i </w:t>
      </w:r>
      <w:proofErr w:type="spellStart"/>
      <w:r w:rsidRPr="00E73D4B">
        <w:rPr>
          <w:rStyle w:val="kursiv"/>
        </w:rPr>
        <w:t>Prop</w:t>
      </w:r>
      <w:proofErr w:type="spellEnd"/>
      <w:r w:rsidRPr="00E73D4B">
        <w:rPr>
          <w:rStyle w:val="kursiv"/>
        </w:rPr>
        <w:t xml:space="preserve">. 1 S (2021–2022) om at departementet ikke vil foreslå lovhjemmel for tilbakeholdelsesrett for manglende betaling av bompenger. Flertallet </w:t>
      </w:r>
      <w:proofErr w:type="gramStart"/>
      <w:r w:rsidRPr="00E73D4B">
        <w:rPr>
          <w:rStyle w:val="kursiv"/>
        </w:rPr>
        <w:t>imøteser</w:t>
      </w:r>
      <w:proofErr w:type="gramEnd"/>
      <w:r w:rsidRPr="00E73D4B">
        <w:rPr>
          <w:rStyle w:val="kursiv"/>
        </w:rPr>
        <w:t xml:space="preserve"> fremleggelse av en lovhjemmel eller forslag om oppheving av vedtaket fra departementet før oppfølgingen av vedtaket avsluttes.»</w:t>
      </w:r>
    </w:p>
    <w:p w14:paraId="7527F935" w14:textId="77777777" w:rsidR="00972395" w:rsidRPr="00E73D4B" w:rsidRDefault="00F120C7" w:rsidP="00E73D4B">
      <w:r w:rsidRPr="00E73D4B">
        <w:t xml:space="preserve">Samferdselsdepartementet viser til omtale av saken i </w:t>
      </w:r>
      <w:proofErr w:type="spellStart"/>
      <w:r w:rsidRPr="00E73D4B">
        <w:t>Prop</w:t>
      </w:r>
      <w:proofErr w:type="spellEnd"/>
      <w:r w:rsidRPr="00E73D4B">
        <w:t xml:space="preserve">. 111 S (2021–2022) </w:t>
      </w:r>
      <w:proofErr w:type="spellStart"/>
      <w:r w:rsidRPr="00E73D4B">
        <w:rPr>
          <w:rStyle w:val="kursiv"/>
        </w:rPr>
        <w:t>Nokre</w:t>
      </w:r>
      <w:proofErr w:type="spellEnd"/>
      <w:r w:rsidRPr="00E73D4B">
        <w:rPr>
          <w:rStyle w:val="kursiv"/>
        </w:rPr>
        <w:t xml:space="preserve"> saker om veg, </w:t>
      </w:r>
      <w:proofErr w:type="spellStart"/>
      <w:r w:rsidRPr="00E73D4B">
        <w:rPr>
          <w:rStyle w:val="kursiv"/>
        </w:rPr>
        <w:t>særskilde</w:t>
      </w:r>
      <w:proofErr w:type="spellEnd"/>
      <w:r w:rsidRPr="00E73D4B">
        <w:rPr>
          <w:rStyle w:val="kursiv"/>
        </w:rPr>
        <w:t xml:space="preserve"> transporttiltak og transport i byområda mv.</w:t>
      </w:r>
      <w:r w:rsidRPr="00E73D4B">
        <w:t xml:space="preserve"> der Stortinget ble bedt om å fatte vedtak om å oppheve anmodningsvedtak nr. 211, 7. desember 2020. Vedtaket ble opphevet ved Stortingets behandling av saken, jf. </w:t>
      </w:r>
      <w:proofErr w:type="spellStart"/>
      <w:r w:rsidRPr="00E73D4B">
        <w:t>Innst</w:t>
      </w:r>
      <w:proofErr w:type="spellEnd"/>
      <w:r w:rsidRPr="00E73D4B">
        <w:t>. S 456 (2021–2022).</w:t>
      </w:r>
    </w:p>
    <w:p w14:paraId="19905AD8" w14:textId="77777777" w:rsidR="00972395" w:rsidRPr="00E73D4B" w:rsidRDefault="00F120C7" w:rsidP="00E73D4B">
      <w:pPr>
        <w:pStyle w:val="avsnitt-tittel"/>
      </w:pPr>
      <w:r w:rsidRPr="00E73D4B">
        <w:t xml:space="preserve">Avvente </w:t>
      </w:r>
      <w:proofErr w:type="spellStart"/>
      <w:r w:rsidRPr="00E73D4B">
        <w:t>planlagde</w:t>
      </w:r>
      <w:proofErr w:type="spellEnd"/>
      <w:r w:rsidRPr="00E73D4B">
        <w:t xml:space="preserve"> </w:t>
      </w:r>
      <w:proofErr w:type="spellStart"/>
      <w:r w:rsidRPr="00E73D4B">
        <w:t>nedleggingar</w:t>
      </w:r>
      <w:proofErr w:type="spellEnd"/>
      <w:r w:rsidRPr="00E73D4B">
        <w:t xml:space="preserve"> eller </w:t>
      </w:r>
      <w:proofErr w:type="spellStart"/>
      <w:r w:rsidRPr="00E73D4B">
        <w:t>reduksjonar</w:t>
      </w:r>
      <w:proofErr w:type="spellEnd"/>
      <w:r w:rsidRPr="00E73D4B">
        <w:t xml:space="preserve"> i </w:t>
      </w:r>
      <w:proofErr w:type="spellStart"/>
      <w:r w:rsidRPr="00E73D4B">
        <w:t>tenestetilbodet</w:t>
      </w:r>
      <w:proofErr w:type="spellEnd"/>
      <w:r w:rsidRPr="00E73D4B">
        <w:t xml:space="preserve"> ved </w:t>
      </w:r>
      <w:proofErr w:type="spellStart"/>
      <w:r w:rsidRPr="00E73D4B">
        <w:t>trafikkstasjonane</w:t>
      </w:r>
      <w:proofErr w:type="spellEnd"/>
    </w:p>
    <w:p w14:paraId="51F9DC38" w14:textId="77777777" w:rsidR="00972395" w:rsidRPr="00E73D4B" w:rsidRDefault="00F120C7" w:rsidP="00E73D4B">
      <w:pPr>
        <w:pStyle w:val="avsnitt-undertittel"/>
      </w:pPr>
      <w:r w:rsidRPr="00E73D4B">
        <w:t>Vedtak nr. 582, 4. februar 2021</w:t>
      </w:r>
    </w:p>
    <w:p w14:paraId="798242AE" w14:textId="77777777" w:rsidR="00972395" w:rsidRPr="00E73D4B" w:rsidRDefault="00F120C7" w:rsidP="00E73D4B">
      <w:pPr>
        <w:pStyle w:val="blokksit"/>
        <w:rPr>
          <w:rStyle w:val="kursiv"/>
        </w:rPr>
      </w:pPr>
      <w:r w:rsidRPr="00E73D4B">
        <w:rPr>
          <w:rStyle w:val="kursiv"/>
        </w:rPr>
        <w:t>«Stortinget ber regjeringen avvente planlagte nedlegginger eller reduksjoner av tjenestetilbud ved trafikkstasjonene. Eventuelle strukturendringer skal ikke gjennomføres før man har på plass gode løsninger som gjør at behovet for fysisk oppmøte er varig redusert, eksempelvis som følge av digitalisering, og som ikke får store negative konsekvenser for folk og næringsliv.»</w:t>
      </w:r>
    </w:p>
    <w:p w14:paraId="15451476" w14:textId="77777777" w:rsidR="00972395" w:rsidRPr="00E73D4B" w:rsidRDefault="00F120C7" w:rsidP="00E73D4B">
      <w:r w:rsidRPr="00E73D4B">
        <w:t xml:space="preserve">Dokumentene som ligger til grunn for vedtaket, er representantforslag fra stortingsrepresentantene Stein Erik Lauvås, Sverre </w:t>
      </w:r>
      <w:proofErr w:type="spellStart"/>
      <w:r w:rsidRPr="00E73D4B">
        <w:t>Myrli</w:t>
      </w:r>
      <w:proofErr w:type="spellEnd"/>
      <w:r w:rsidRPr="00E73D4B">
        <w:t xml:space="preserve"> og Kirsti </w:t>
      </w:r>
      <w:proofErr w:type="spellStart"/>
      <w:r w:rsidRPr="00E73D4B">
        <w:t>Leirtrø</w:t>
      </w:r>
      <w:proofErr w:type="spellEnd"/>
      <w:r w:rsidRPr="00E73D4B">
        <w:t xml:space="preserve"> om at Statens vegvesens trafikkstasjon på Mysen i Indre Østfold opprettholdes, jf. Dokument 8:41 S (2020–2021) og </w:t>
      </w:r>
      <w:proofErr w:type="spellStart"/>
      <w:r w:rsidRPr="00E73D4B">
        <w:t>Innst</w:t>
      </w:r>
      <w:proofErr w:type="spellEnd"/>
      <w:r w:rsidRPr="00E73D4B">
        <w:t>. 189 S (2020–2021).</w:t>
      </w:r>
    </w:p>
    <w:p w14:paraId="162EA11A" w14:textId="77777777" w:rsidR="00972395" w:rsidRPr="00E73D4B" w:rsidRDefault="00F120C7" w:rsidP="00E73D4B">
      <w:r w:rsidRPr="00E73D4B">
        <w:t xml:space="preserve">I </w:t>
      </w:r>
      <w:proofErr w:type="spellStart"/>
      <w:r w:rsidRPr="00E73D4B">
        <w:t>Prop</w:t>
      </w:r>
      <w:proofErr w:type="spellEnd"/>
      <w:r w:rsidRPr="00E73D4B">
        <w:t>. 1 S (2021–2022) opplyste Samferdselsdepartementet bl.a. at Statens vegvesen skal avvente planlagte nedleggelser eller reduksjoner av tjenestetilbudet ved trafikkstasjonene. Statens vegvesen skal imidlertid videreføre arbeidet med å digitalisere trafikant- og kjøretøytjenester, med sikte på å legge til rette for varig mindre behov for oppmøte på et fysisk tjenestested. Departementet viser til omtale med status for dette arbeidet i del II under kap. 1320 Statens vegvesen, post 28 Trafikant- og kjøretøytilsyn.</w:t>
      </w:r>
    </w:p>
    <w:p w14:paraId="15E718B2" w14:textId="77777777" w:rsidR="00972395" w:rsidRPr="00E73D4B" w:rsidRDefault="00F120C7" w:rsidP="00E73D4B">
      <w:r w:rsidRPr="00E73D4B">
        <w:t>Samferdselsdepartementet vil legge til grunn forutsetningene i anmodningsvedtaket ved ev. fremtidige strukturendringer og anser med dette anmodningsvedtaket som fulgt opp.</w:t>
      </w:r>
    </w:p>
    <w:p w14:paraId="5DAB2B9F" w14:textId="77777777" w:rsidR="00972395" w:rsidRPr="00E73D4B" w:rsidRDefault="00F120C7" w:rsidP="00E73D4B">
      <w:pPr>
        <w:pStyle w:val="avsnitt-tittel"/>
      </w:pPr>
      <w:r w:rsidRPr="00E73D4B">
        <w:t>Stortingsmelding om nasjonal luftfartsstrategi</w:t>
      </w:r>
    </w:p>
    <w:p w14:paraId="0AB54D21" w14:textId="77777777" w:rsidR="00972395" w:rsidRPr="00E73D4B" w:rsidRDefault="00F120C7" w:rsidP="00E73D4B">
      <w:pPr>
        <w:pStyle w:val="avsnitt-undertittel"/>
      </w:pPr>
      <w:r w:rsidRPr="00E73D4B">
        <w:t>Vedtak nr. 589, 9. februar 2021</w:t>
      </w:r>
    </w:p>
    <w:p w14:paraId="685CA0B6" w14:textId="77777777" w:rsidR="00972395" w:rsidRPr="00E73D4B" w:rsidRDefault="00F120C7" w:rsidP="00E73D4B">
      <w:pPr>
        <w:pStyle w:val="blokksit"/>
        <w:rPr>
          <w:rStyle w:val="kursiv"/>
        </w:rPr>
      </w:pPr>
      <w:r w:rsidRPr="00E73D4B">
        <w:rPr>
          <w:rStyle w:val="kursiv"/>
        </w:rPr>
        <w:t>«Stortinget ber regjeringen legge frem en stortingsmelding om en nasjonal luftfartsstrategi, hvor ambisjonene er å trekke linjene for en helhetlig og bærekraftig utvikling i norsk luftfart.»</w:t>
      </w:r>
    </w:p>
    <w:p w14:paraId="448E4906" w14:textId="77777777" w:rsidR="00972395" w:rsidRPr="00E73D4B" w:rsidRDefault="00F120C7" w:rsidP="00E73D4B">
      <w:r w:rsidRPr="00E73D4B">
        <w:t xml:space="preserve">Dokumentene som ligger til grunn for vedtaket, er representantforslag fra stortingsrepresentantene Arne Nævra, Torgeir </w:t>
      </w:r>
      <w:proofErr w:type="spellStart"/>
      <w:r w:rsidRPr="00E73D4B">
        <w:t>Knag</w:t>
      </w:r>
      <w:proofErr w:type="spellEnd"/>
      <w:r w:rsidRPr="00E73D4B">
        <w:t xml:space="preserve"> Fylkesnes og Solfrid Leirbekk om tiltak for å hindre eller begrense etablering i Norge for nye luftfartsselskaper som ikke følger arbeidsrettslig lovgivning, representantforslag fra stortingsrepresentantene Sverre </w:t>
      </w:r>
      <w:proofErr w:type="spellStart"/>
      <w:r w:rsidRPr="00E73D4B">
        <w:t>Myrli</w:t>
      </w:r>
      <w:proofErr w:type="spellEnd"/>
      <w:r w:rsidRPr="00E73D4B">
        <w:t xml:space="preserve">, Kirsti </w:t>
      </w:r>
      <w:proofErr w:type="spellStart"/>
      <w:r w:rsidRPr="00E73D4B">
        <w:t>Leirtrø</w:t>
      </w:r>
      <w:proofErr w:type="spellEnd"/>
      <w:r w:rsidRPr="00E73D4B">
        <w:t xml:space="preserve">, Øystein Langholm Hansen, </w:t>
      </w:r>
      <w:proofErr w:type="spellStart"/>
      <w:r w:rsidRPr="00E73D4B">
        <w:t>Ingalill</w:t>
      </w:r>
      <w:proofErr w:type="spellEnd"/>
      <w:r w:rsidRPr="00E73D4B">
        <w:t xml:space="preserve"> Olsen og Jonas Gahr Støre om tiltak for en seriøs og bærekraftig luftfart, representantforslag fra stortingsrepresentantene Trygve Slagsvold </w:t>
      </w:r>
      <w:proofErr w:type="spellStart"/>
      <w:r w:rsidRPr="00E73D4B">
        <w:t>Vedum</w:t>
      </w:r>
      <w:proofErr w:type="spellEnd"/>
      <w:r w:rsidRPr="00E73D4B">
        <w:t xml:space="preserve">, Marit Arnstad, Geir Pollestad, Siv </w:t>
      </w:r>
      <w:proofErr w:type="spellStart"/>
      <w:r w:rsidRPr="00E73D4B">
        <w:t>Mossleth</w:t>
      </w:r>
      <w:proofErr w:type="spellEnd"/>
      <w:r w:rsidRPr="00E73D4B">
        <w:t xml:space="preserve"> og Bengt Fasteraune om en kriseplan for norsk luftfart ut 2021 og representantforslag fra stortingsrepresentant Bjørnar Moxnes om å hindre </w:t>
      </w:r>
      <w:proofErr w:type="spellStart"/>
      <w:r w:rsidRPr="00E73D4B">
        <w:t>Wizz</w:t>
      </w:r>
      <w:proofErr w:type="spellEnd"/>
      <w:r w:rsidRPr="00E73D4B">
        <w:t xml:space="preserve"> Air i å fly innenriks i Norge så lenge de aktivt motarbeider fagorganisering og kollektive forhandlinger og driver med sosial dumping, jf. Dokument 8:50 S (2020–2021), Dokument 8:57 S (2020–2021), Dokument 8:58 S (2020–2021), Dokument 8:83 S (2020–2021) og </w:t>
      </w:r>
      <w:proofErr w:type="spellStart"/>
      <w:r w:rsidRPr="00E73D4B">
        <w:t>Innst</w:t>
      </w:r>
      <w:proofErr w:type="spellEnd"/>
      <w:r w:rsidRPr="00E73D4B">
        <w:t>. 194 S (2020–2021).</w:t>
      </w:r>
    </w:p>
    <w:p w14:paraId="21943C08" w14:textId="77777777" w:rsidR="00972395" w:rsidRPr="00E73D4B" w:rsidRDefault="00F120C7" w:rsidP="00E73D4B">
      <w:r w:rsidRPr="00E73D4B">
        <w:t xml:space="preserve">I </w:t>
      </w:r>
      <w:proofErr w:type="spellStart"/>
      <w:r w:rsidRPr="00E73D4B">
        <w:t>Prop</w:t>
      </w:r>
      <w:proofErr w:type="spellEnd"/>
      <w:r w:rsidRPr="00E73D4B">
        <w:t xml:space="preserve">. 1 S (2021–2022) opplyste Samferdselsdepartementet at det ville legge frem en stortingsmelding våren 2022.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4ECFB202" w14:textId="77777777" w:rsidR="00972395" w:rsidRPr="00E73D4B" w:rsidRDefault="00F120C7" w:rsidP="00E73D4B">
      <w:r w:rsidRPr="00E73D4B">
        <w:t>Regjeringen vil legge frem stortingsmeldingen om strategi for norsk luftfart i stortingssesjonen 2022–2023.</w:t>
      </w:r>
    </w:p>
    <w:p w14:paraId="10ECCBEC" w14:textId="77777777" w:rsidR="00972395" w:rsidRPr="00E73D4B" w:rsidRDefault="00F120C7" w:rsidP="00E73D4B">
      <w:pPr>
        <w:pStyle w:val="avsnitt-tittel"/>
      </w:pPr>
      <w:r w:rsidRPr="00E73D4B">
        <w:t xml:space="preserve">Oppheve kravet til helseattest for </w:t>
      </w:r>
      <w:proofErr w:type="spellStart"/>
      <w:r w:rsidRPr="00E73D4B">
        <w:t>førarkort</w:t>
      </w:r>
      <w:proofErr w:type="spellEnd"/>
      <w:r w:rsidRPr="00E73D4B">
        <w:t xml:space="preserve"> for eldre</w:t>
      </w:r>
    </w:p>
    <w:p w14:paraId="6757E45D" w14:textId="77777777" w:rsidR="00972395" w:rsidRPr="00E73D4B" w:rsidRDefault="00F120C7" w:rsidP="00E73D4B">
      <w:pPr>
        <w:pStyle w:val="avsnitt-undertittel"/>
      </w:pPr>
      <w:r w:rsidRPr="00E73D4B">
        <w:t>Vedtak nr. 596, 9. februar 2021</w:t>
      </w:r>
    </w:p>
    <w:p w14:paraId="31E0B680" w14:textId="77777777" w:rsidR="00972395" w:rsidRPr="00E73D4B" w:rsidRDefault="00F120C7" w:rsidP="00E73D4B">
      <w:pPr>
        <w:pStyle w:val="blokksit"/>
        <w:rPr>
          <w:rStyle w:val="kursiv"/>
        </w:rPr>
      </w:pPr>
      <w:r w:rsidRPr="00E73D4B">
        <w:rPr>
          <w:rStyle w:val="kursiv"/>
        </w:rPr>
        <w:t>«Stortinget ber regjeringen fjerne kravet om obligatorisk, aldersbestemt helseattest for eldre som grunnlag for førerkort.»</w:t>
      </w:r>
    </w:p>
    <w:p w14:paraId="14C629DD" w14:textId="77777777" w:rsidR="00972395" w:rsidRPr="00E73D4B" w:rsidRDefault="00F120C7" w:rsidP="00E73D4B">
      <w:r w:rsidRPr="00E73D4B">
        <w:t xml:space="preserve">Dokumentene som ligger til grunn for vedtaket, er representantforslag fra stortingsrepresentantene Arne Nævra, Karin Andersen, Nicholas Wilkinson og Torgeir </w:t>
      </w:r>
      <w:proofErr w:type="spellStart"/>
      <w:r w:rsidRPr="00E73D4B">
        <w:t>Knag</w:t>
      </w:r>
      <w:proofErr w:type="spellEnd"/>
      <w:r w:rsidRPr="00E73D4B">
        <w:t xml:space="preserve"> Fylkesnes om opphevelse av krav til helseattest for førerkort for eldre, jf. Dokument 8:79 S (2020–2021) og </w:t>
      </w:r>
      <w:proofErr w:type="spellStart"/>
      <w:r w:rsidRPr="00E73D4B">
        <w:t>Innst</w:t>
      </w:r>
      <w:proofErr w:type="spellEnd"/>
      <w:r w:rsidRPr="00E73D4B">
        <w:t>. 195 S (2020–2021).</w:t>
      </w:r>
    </w:p>
    <w:p w14:paraId="1140C334" w14:textId="77777777" w:rsidR="00972395" w:rsidRPr="00E73D4B" w:rsidRDefault="00F120C7" w:rsidP="00E73D4B">
      <w:r w:rsidRPr="00E73D4B">
        <w:t xml:space="preserve">I </w:t>
      </w:r>
      <w:proofErr w:type="spellStart"/>
      <w:r w:rsidRPr="00E73D4B">
        <w:t>Prop</w:t>
      </w:r>
      <w:proofErr w:type="spellEnd"/>
      <w:r w:rsidRPr="00E73D4B">
        <w:t xml:space="preserve">. 1 S (2021–2022) opplyste Samferdselsdepartementet at det arbeidet med å følge opp vedtaket i samråd med Helse- og omsorgsdepartementet, og at en utredning fra Statens vegvesen og Helsedirektoratet var ventet innen 1. oktober 2021.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7C8D530A" w14:textId="77777777" w:rsidR="00972395" w:rsidRPr="00E73D4B" w:rsidRDefault="00F120C7" w:rsidP="00E73D4B">
      <w:r w:rsidRPr="00E73D4B">
        <w:t xml:space="preserve">Samferdselsdepartementet redegjorde for departementets oppfølging av dette vedtaket i </w:t>
      </w:r>
      <w:proofErr w:type="spellStart"/>
      <w:r w:rsidRPr="00E73D4B">
        <w:t>Prop</w:t>
      </w:r>
      <w:proofErr w:type="spellEnd"/>
      <w:r w:rsidRPr="00E73D4B">
        <w:t xml:space="preserve">. 117 S (2021–2022) </w:t>
      </w:r>
      <w:r w:rsidRPr="00E73D4B">
        <w:rPr>
          <w:rStyle w:val="kursiv"/>
        </w:rPr>
        <w:t>Finansiering av prosjektet fv. 353 Rugtvedt – Surtebogen i Bamble kommune i Vestfold og Telemark fylke og orientering om andre saker.</w:t>
      </w:r>
      <w:r w:rsidRPr="00E73D4B">
        <w:t xml:space="preserve"> Flertallet i Transport- og kommunikasjonskomiteen hadde i </w:t>
      </w:r>
      <w:proofErr w:type="spellStart"/>
      <w:r w:rsidRPr="00E73D4B">
        <w:t>Innst</w:t>
      </w:r>
      <w:proofErr w:type="spellEnd"/>
      <w:r w:rsidRPr="00E73D4B">
        <w:t>. 458 S (2021–2022) ikke merknader til departementets redegjørelse.</w:t>
      </w:r>
    </w:p>
    <w:p w14:paraId="54B7ACD4" w14:textId="77777777" w:rsidR="00972395" w:rsidRPr="00E73D4B" w:rsidRDefault="00F120C7" w:rsidP="00E73D4B">
      <w:r w:rsidRPr="00E73D4B">
        <w:t>Departementet anser med dette anmodningsvedtaket som fulgt opp.</w:t>
      </w:r>
    </w:p>
    <w:p w14:paraId="256E2725" w14:textId="77777777" w:rsidR="00972395" w:rsidRPr="00E73D4B" w:rsidRDefault="00F120C7" w:rsidP="00E73D4B">
      <w:pPr>
        <w:pStyle w:val="avsnitt-tittel"/>
      </w:pPr>
      <w:r w:rsidRPr="00E73D4B">
        <w:t xml:space="preserve">Ny vurdering av om </w:t>
      </w:r>
      <w:proofErr w:type="spellStart"/>
      <w:r w:rsidRPr="00E73D4B">
        <w:t>dei</w:t>
      </w:r>
      <w:proofErr w:type="spellEnd"/>
      <w:r w:rsidRPr="00E73D4B">
        <w:t xml:space="preserve"> som er </w:t>
      </w:r>
      <w:proofErr w:type="spellStart"/>
      <w:r w:rsidRPr="00E73D4B">
        <w:t>fråtekne</w:t>
      </w:r>
      <w:proofErr w:type="spellEnd"/>
      <w:r w:rsidRPr="00E73D4B">
        <w:t xml:space="preserve"> </w:t>
      </w:r>
      <w:proofErr w:type="spellStart"/>
      <w:r w:rsidRPr="00E73D4B">
        <w:t>førarkort</w:t>
      </w:r>
      <w:proofErr w:type="spellEnd"/>
      <w:r w:rsidRPr="00E73D4B">
        <w:t xml:space="preserve">, er eigna til å </w:t>
      </w:r>
      <w:proofErr w:type="spellStart"/>
      <w:r w:rsidRPr="00E73D4B">
        <w:t>køyre</w:t>
      </w:r>
      <w:proofErr w:type="spellEnd"/>
      <w:r w:rsidRPr="00E73D4B">
        <w:t xml:space="preserve"> bil</w:t>
      </w:r>
    </w:p>
    <w:p w14:paraId="0DE08006" w14:textId="77777777" w:rsidR="00972395" w:rsidRPr="00E73D4B" w:rsidRDefault="00F120C7" w:rsidP="00E73D4B">
      <w:pPr>
        <w:pStyle w:val="avsnitt-undertittel"/>
      </w:pPr>
      <w:r w:rsidRPr="00E73D4B">
        <w:t>Vedtak nr. 597, 9. februar 2021</w:t>
      </w:r>
    </w:p>
    <w:p w14:paraId="789C27E4" w14:textId="77777777" w:rsidR="00972395" w:rsidRPr="00E73D4B" w:rsidRDefault="00F120C7" w:rsidP="00E73D4B">
      <w:pPr>
        <w:pStyle w:val="blokksit"/>
        <w:rPr>
          <w:rStyle w:val="kursiv"/>
        </w:rPr>
      </w:pPr>
      <w:r w:rsidRPr="00E73D4B">
        <w:rPr>
          <w:rStyle w:val="kursiv"/>
        </w:rPr>
        <w:t>«Stortinget ber regjeringen se på muligheter for hvordan de som allerede har blitt fratatt førerkortet som følge av de kognitive testene, kan få mulighet til å få en ny vurdering av sin egnethet til å kjøre bil, og at regjeringen kommer tilbake til Stortinget på egnet måte med forslag til løsning i løpet av våren 2021.»</w:t>
      </w:r>
    </w:p>
    <w:p w14:paraId="19B33B22" w14:textId="77777777" w:rsidR="00972395" w:rsidRPr="00E73D4B" w:rsidRDefault="00F120C7" w:rsidP="00E73D4B">
      <w:r w:rsidRPr="00E73D4B">
        <w:t xml:space="preserve">Dokumentene som ligger til grunn for vedtaket, er representantforslag fra stortingsrepresentantene Arne Nævra, Karin Andersen, Nicholas Wilkinson og Torgeir </w:t>
      </w:r>
      <w:proofErr w:type="spellStart"/>
      <w:r w:rsidRPr="00E73D4B">
        <w:t>Knag</w:t>
      </w:r>
      <w:proofErr w:type="spellEnd"/>
      <w:r w:rsidRPr="00E73D4B">
        <w:t xml:space="preserve"> Fylkesnes om opphevelse av krav til helseattest for førerkort for eldre, jf. Dokument 8:79 S (2020–2021) og </w:t>
      </w:r>
      <w:proofErr w:type="spellStart"/>
      <w:r w:rsidRPr="00E73D4B">
        <w:t>Innst</w:t>
      </w:r>
      <w:proofErr w:type="spellEnd"/>
      <w:r w:rsidRPr="00E73D4B">
        <w:t>. 195 S (2020–2021).</w:t>
      </w:r>
    </w:p>
    <w:p w14:paraId="0BF05102" w14:textId="77777777" w:rsidR="00972395" w:rsidRPr="00E73D4B" w:rsidRDefault="00F120C7" w:rsidP="00E73D4B">
      <w:r w:rsidRPr="00E73D4B">
        <w:t xml:space="preserve">I </w:t>
      </w:r>
      <w:proofErr w:type="spellStart"/>
      <w:r w:rsidRPr="00E73D4B">
        <w:t>Prop</w:t>
      </w:r>
      <w:proofErr w:type="spellEnd"/>
      <w:r w:rsidRPr="00E73D4B">
        <w:t xml:space="preserve">. 1 S (2021–2022) viste Samferdselsdepartementet til at det hadde redegjort for oppfølgingen av vedtaket i </w:t>
      </w:r>
      <w:proofErr w:type="spellStart"/>
      <w:r w:rsidRPr="00E73D4B">
        <w:t>Prop</w:t>
      </w:r>
      <w:proofErr w:type="spellEnd"/>
      <w:r w:rsidRPr="00E73D4B">
        <w:t xml:space="preserve">. 193 S (2020–2021) </w:t>
      </w:r>
      <w:proofErr w:type="spellStart"/>
      <w:r w:rsidRPr="00E73D4B">
        <w:rPr>
          <w:rStyle w:val="kursiv"/>
        </w:rPr>
        <w:t>Nokre</w:t>
      </w:r>
      <w:proofErr w:type="spellEnd"/>
      <w:r w:rsidRPr="00E73D4B">
        <w:rPr>
          <w:rStyle w:val="kursiv"/>
        </w:rPr>
        <w:t xml:space="preserve"> saker om luftfart, veg, </w:t>
      </w:r>
      <w:proofErr w:type="spellStart"/>
      <w:r w:rsidRPr="00E73D4B">
        <w:rPr>
          <w:rStyle w:val="kursiv"/>
        </w:rPr>
        <w:t>særskilde</w:t>
      </w:r>
      <w:proofErr w:type="spellEnd"/>
      <w:r w:rsidRPr="00E73D4B">
        <w:rPr>
          <w:rStyle w:val="kursiv"/>
        </w:rPr>
        <w:t xml:space="preserve"> transporttiltak og jernbane</w:t>
      </w:r>
      <w:r w:rsidRPr="00E73D4B">
        <w:t xml:space="preserve">, men at flertallet i Transport- og kommunikasjonskomiteen i </w:t>
      </w:r>
      <w:proofErr w:type="spellStart"/>
      <w:r w:rsidRPr="00E73D4B">
        <w:t>Innst</w:t>
      </w:r>
      <w:proofErr w:type="spellEnd"/>
      <w:r w:rsidRPr="00E73D4B">
        <w:t xml:space="preserve">. 13 S (2020–2021 ikke anså vedtaket som </w:t>
      </w:r>
      <w:proofErr w:type="spellStart"/>
      <w:r w:rsidRPr="00E73D4B">
        <w:t>utkvittert</w:t>
      </w:r>
      <w:proofErr w:type="spellEnd"/>
      <w:r w:rsidRPr="00E73D4B">
        <w:t xml:space="preserve">. I lys av komiteens merknad opplyste Samferdselsdepartementet at det likevel ville vurdere om det kan være grunn til å se nærmere på ev. ytterligere tiltak.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1D608269" w14:textId="77777777" w:rsidR="00972395" w:rsidRPr="00E73D4B" w:rsidRDefault="00F120C7" w:rsidP="00E73D4B">
      <w:r w:rsidRPr="00E73D4B">
        <w:t xml:space="preserve">Det er allerede etablerte ordninger tilgjengelig for de som mener at vedtak eller helseattest ikke gir et riktig bilde av deres helsetilstand. Samferdselsdepartementet anser at det ikke er behov for ytterligere tiltak </w:t>
      </w:r>
      <w:proofErr w:type="gramStart"/>
      <w:r w:rsidRPr="00E73D4B">
        <w:t>vedrørende</w:t>
      </w:r>
      <w:proofErr w:type="gramEnd"/>
      <w:r w:rsidRPr="00E73D4B">
        <w:t xml:space="preserve"> dette.</w:t>
      </w:r>
    </w:p>
    <w:p w14:paraId="1A77B0F7" w14:textId="77777777" w:rsidR="00972395" w:rsidRPr="00E73D4B" w:rsidRDefault="00F120C7" w:rsidP="00E73D4B">
      <w:r w:rsidRPr="00E73D4B">
        <w:t xml:space="preserve">Departementet viser også til omtalen av vedtak nr. 596 i </w:t>
      </w:r>
      <w:proofErr w:type="spellStart"/>
      <w:r w:rsidRPr="00E73D4B">
        <w:t>Prop</w:t>
      </w:r>
      <w:proofErr w:type="spellEnd"/>
      <w:r w:rsidRPr="00E73D4B">
        <w:t xml:space="preserve">. 117 S (2021–2022) </w:t>
      </w:r>
      <w:r w:rsidRPr="00E73D4B">
        <w:rPr>
          <w:rStyle w:val="kursiv"/>
        </w:rPr>
        <w:t>Finansiering av prosjektet fv. 353 Rugtvedt – Surtebogen i Bamble kommune i Vestfold og Telemark fylke og orientering om andre saker.</w:t>
      </w:r>
    </w:p>
    <w:p w14:paraId="7CCCBDC2" w14:textId="77777777" w:rsidR="00972395" w:rsidRPr="00E73D4B" w:rsidRDefault="00F120C7" w:rsidP="00E73D4B">
      <w:r w:rsidRPr="00E73D4B">
        <w:t>Anmodningsvedtaket anses med dette som fulgt opp.</w:t>
      </w:r>
    </w:p>
    <w:p w14:paraId="5598A6FF" w14:textId="77777777" w:rsidR="00972395" w:rsidRPr="00E73D4B" w:rsidRDefault="00F120C7" w:rsidP="00E73D4B">
      <w:pPr>
        <w:pStyle w:val="avsnitt-tittel"/>
      </w:pPr>
      <w:r w:rsidRPr="00E73D4B">
        <w:t xml:space="preserve">Reduserte </w:t>
      </w:r>
      <w:proofErr w:type="spellStart"/>
      <w:r w:rsidRPr="00E73D4B">
        <w:t>ferjetakstar</w:t>
      </w:r>
      <w:proofErr w:type="spellEnd"/>
      <w:r w:rsidRPr="00E73D4B">
        <w:t xml:space="preserve"> og </w:t>
      </w:r>
      <w:proofErr w:type="spellStart"/>
      <w:r w:rsidRPr="00E73D4B">
        <w:t>forpliktande</w:t>
      </w:r>
      <w:proofErr w:type="spellEnd"/>
      <w:r w:rsidRPr="00E73D4B">
        <w:t xml:space="preserve"> plan for å halvere </w:t>
      </w:r>
      <w:proofErr w:type="spellStart"/>
      <w:r w:rsidRPr="00E73D4B">
        <w:t>dei</w:t>
      </w:r>
      <w:proofErr w:type="spellEnd"/>
      <w:r w:rsidRPr="00E73D4B">
        <w:t xml:space="preserve"> på riks- og fylkesvegsamband</w:t>
      </w:r>
    </w:p>
    <w:p w14:paraId="5C4B77A6" w14:textId="77777777" w:rsidR="00972395" w:rsidRPr="00E73D4B" w:rsidRDefault="00F120C7" w:rsidP="00E73D4B">
      <w:pPr>
        <w:pStyle w:val="avsnitt-undertittel"/>
      </w:pPr>
      <w:r w:rsidRPr="00E73D4B">
        <w:t>Vedtak nr. 661, 23. februar 2021</w:t>
      </w:r>
    </w:p>
    <w:p w14:paraId="563A148A" w14:textId="77777777" w:rsidR="00972395" w:rsidRPr="00E73D4B" w:rsidRDefault="00F120C7" w:rsidP="00E73D4B">
      <w:pPr>
        <w:pStyle w:val="blokksit"/>
        <w:rPr>
          <w:rStyle w:val="kursiv"/>
        </w:rPr>
      </w:pPr>
      <w:r w:rsidRPr="00E73D4B">
        <w:rPr>
          <w:rStyle w:val="kursiv"/>
        </w:rPr>
        <w:t>«Stortinget ber regjeringen komme tilbake i revidert nasjonalbudsjett 2021 med forslag til reduserte ferjetakster allerede for inneværende år, og en forpliktende plan for halvering av fergepriser på både riksveg- og fylkesvegsamband. Løsninger for lavere takster for pendlere skal prioriteres og reduksjonen skal finansieres av staten.»</w:t>
      </w:r>
    </w:p>
    <w:p w14:paraId="0D32C7EE" w14:textId="77777777" w:rsidR="00972395" w:rsidRPr="00E73D4B" w:rsidRDefault="00F120C7" w:rsidP="00E73D4B">
      <w:r w:rsidRPr="00E73D4B">
        <w:t xml:space="preserve">Vedtaket ble truffet ved behandlingen av </w:t>
      </w:r>
      <w:proofErr w:type="spellStart"/>
      <w:r w:rsidRPr="00E73D4B">
        <w:t>Prop</w:t>
      </w:r>
      <w:proofErr w:type="spellEnd"/>
      <w:r w:rsidRPr="00E73D4B">
        <w:t xml:space="preserve">. 79 S (2020–2021) </w:t>
      </w:r>
      <w:r w:rsidRPr="00E73D4B">
        <w:rPr>
          <w:rStyle w:val="kursiv"/>
        </w:rPr>
        <w:t>Endringer i statsbudsjettet 2021 under Utenriksdepartementet,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Klima- og miljødepartementet, Finansdepartementet og Olje- og energidepartementet (økonomiske tiltak i møte med pandemien)</w:t>
      </w:r>
      <w:r w:rsidRPr="00E73D4B">
        <w:t xml:space="preserve">, jf. </w:t>
      </w:r>
      <w:proofErr w:type="spellStart"/>
      <w:r w:rsidRPr="00E73D4B">
        <w:t>Innst</w:t>
      </w:r>
      <w:proofErr w:type="spellEnd"/>
      <w:r w:rsidRPr="00E73D4B">
        <w:t>. 233 S (2020–2021).</w:t>
      </w:r>
    </w:p>
    <w:p w14:paraId="702CA81C" w14:textId="77777777" w:rsidR="00972395" w:rsidRPr="00E73D4B" w:rsidRDefault="00F120C7" w:rsidP="00E73D4B">
      <w:r w:rsidRPr="00E73D4B">
        <w:t xml:space="preserve">Det går frem av </w:t>
      </w:r>
      <w:proofErr w:type="spellStart"/>
      <w:r w:rsidRPr="00E73D4B">
        <w:t>Prop</w:t>
      </w:r>
      <w:proofErr w:type="spellEnd"/>
      <w:r w:rsidRPr="00E73D4B">
        <w:t xml:space="preserve">. 1 S (2021–2022) at oppfølgingen av vedtaket var omtalt i </w:t>
      </w:r>
      <w:proofErr w:type="spellStart"/>
      <w:r w:rsidRPr="00E73D4B">
        <w:t>Prop</w:t>
      </w:r>
      <w:proofErr w:type="spellEnd"/>
      <w:r w:rsidRPr="00E73D4B">
        <w:t xml:space="preserve">. 195 S (2020–2021) </w:t>
      </w:r>
      <w:r w:rsidRPr="00E73D4B">
        <w:rPr>
          <w:rStyle w:val="kursiv"/>
        </w:rPr>
        <w:t>Tilleggsbevilgninger og omprioriteringer i statsbudsjettet 2021.</w:t>
      </w:r>
      <w:r w:rsidRPr="00E73D4B">
        <w:t xml:space="preserve"> Der ble det bl.a. opplyst at regjeringen Solberg i samarbeid med fylkeskommunene ville arbeide med sikte på å halvere ferjetakstene i løpet av kommende stortingsperiode. Ferjetakstene ble foreslått redusert med 10 pst. i andre halvdel av 2021 for ferjesamband som mottar offentlige tilskudd. Ved Stortingets behandling av forslaget, jf. </w:t>
      </w:r>
      <w:proofErr w:type="spellStart"/>
      <w:r w:rsidRPr="00E73D4B">
        <w:t>Innst</w:t>
      </w:r>
      <w:proofErr w:type="spellEnd"/>
      <w:r w:rsidRPr="00E73D4B">
        <w:t xml:space="preserve">. 600 S (2020–2021), vedtok Stortinget å bevilge midler som la til rette for å redusere ferjetakstene på riks- og fylkesveiferjesamband med 25 pst. for andre halvår 2021 sammenliknet med nivået 1. januar 2021. I </w:t>
      </w:r>
      <w:proofErr w:type="spellStart"/>
      <w:r w:rsidRPr="00E73D4B">
        <w:t>Prop</w:t>
      </w:r>
      <w:proofErr w:type="spellEnd"/>
      <w:r w:rsidRPr="00E73D4B">
        <w:t>. 1 S (2021–2022) foreslo regjeringen Solberg en takstøkning på 12,7 pst. fra nivået andre halvår 2021, dvs. et nivå i 2022 tilsvarende en reduksjon nominelt med 15,5 pst. sammenliknet med 1. januar 2021.</w:t>
      </w:r>
    </w:p>
    <w:p w14:paraId="7C3A3247" w14:textId="77777777" w:rsidR="00972395" w:rsidRPr="00E73D4B" w:rsidRDefault="00F120C7" w:rsidP="00E73D4B">
      <w:r w:rsidRPr="00E73D4B">
        <w:t xml:space="preserve">I regjeringen Støres politiske plattform er det et mål å halvere takstene på riks- og fylkesveiferjer i løpet av fireårsperioden. Regjeringen foreslo derfor i </w:t>
      </w:r>
      <w:proofErr w:type="spellStart"/>
      <w:r w:rsidRPr="00E73D4B">
        <w:t>Prop</w:t>
      </w:r>
      <w:proofErr w:type="spellEnd"/>
      <w:r w:rsidRPr="00E73D4B">
        <w:t>. 1 S Tillegg 1 (2021–2022) å bevilge 489,8 mill. kr til reduserte ferjetakster på riks- og fylkesveinettet for 2022, ut over forslaget til regjeringen Solberg. Stortinget sluttet seg til forslaget, og fra 1. januar 2022 ligger takstene for trafikantene i ferjedriften nominelt 30 pst. under takstnivået som gjaldt 1. januar 2021. Regjeringen foreslår å sette av midler slik at takstene i riks- og fylkesveiferjedriften fra 16. august 2023 vil kunne reduseres med 50 pst. sammenliknet med takstnivået 1. januar 2021, jf. omtale under kap. 1320, post 72 Tilskudd til riksveiferjedriften.</w:t>
      </w:r>
    </w:p>
    <w:p w14:paraId="5FA7D496" w14:textId="77777777" w:rsidR="00972395" w:rsidRPr="00E73D4B" w:rsidRDefault="00F120C7" w:rsidP="00E73D4B">
      <w:r w:rsidRPr="00E73D4B">
        <w:t>Anmodningsvedtaket anses med dette som fulgt opp.</w:t>
      </w:r>
    </w:p>
    <w:p w14:paraId="44937601" w14:textId="77777777" w:rsidR="00972395" w:rsidRPr="00E73D4B" w:rsidRDefault="00F120C7" w:rsidP="00E73D4B">
      <w:pPr>
        <w:pStyle w:val="avsnitt-tittel"/>
      </w:pPr>
      <w:proofErr w:type="spellStart"/>
      <w:r w:rsidRPr="00E73D4B">
        <w:t>Traséval</w:t>
      </w:r>
      <w:proofErr w:type="spellEnd"/>
      <w:r w:rsidRPr="00E73D4B">
        <w:t xml:space="preserve"> og </w:t>
      </w:r>
      <w:proofErr w:type="spellStart"/>
      <w:r w:rsidRPr="00E73D4B">
        <w:t>mogeleg</w:t>
      </w:r>
      <w:proofErr w:type="spellEnd"/>
      <w:r w:rsidRPr="00E73D4B">
        <w:t xml:space="preserve"> finansieringsmodell for prosjektet Oslo–Stockholm 2.55</w:t>
      </w:r>
    </w:p>
    <w:p w14:paraId="6822D356" w14:textId="77777777" w:rsidR="00972395" w:rsidRPr="00E73D4B" w:rsidRDefault="00F120C7" w:rsidP="00E73D4B">
      <w:pPr>
        <w:pStyle w:val="avsnitt-undertittel"/>
      </w:pPr>
      <w:r w:rsidRPr="00E73D4B">
        <w:t>Vedtak nr. 768, 23. mars 2021</w:t>
      </w:r>
    </w:p>
    <w:p w14:paraId="1B127551" w14:textId="77777777" w:rsidR="00972395" w:rsidRPr="00E73D4B" w:rsidRDefault="00F120C7" w:rsidP="00E73D4B">
      <w:pPr>
        <w:pStyle w:val="blokksit"/>
        <w:rPr>
          <w:rStyle w:val="kursiv"/>
        </w:rPr>
      </w:pPr>
      <w:r w:rsidRPr="00E73D4B">
        <w:rPr>
          <w:rStyle w:val="kursiv"/>
        </w:rPr>
        <w:t>«Stortinget ber regjeringen gjennomføre en mulighetsstudie for å avklare trasévalg og mulig finansieringsmodell for prosjektet Oslo–Stockholm 2.55 i Norge.»</w:t>
      </w:r>
    </w:p>
    <w:p w14:paraId="2E2B6D8F" w14:textId="77777777" w:rsidR="00972395" w:rsidRPr="00E73D4B" w:rsidRDefault="00F120C7" w:rsidP="00E73D4B">
      <w:r w:rsidRPr="00E73D4B">
        <w:t xml:space="preserve">Dokumentene som ligger til grunn for vedtaket, er representantforslag fra stortingsrepresentantene Nicholas Wilkinson, Freddy André </w:t>
      </w:r>
      <w:proofErr w:type="spellStart"/>
      <w:r w:rsidRPr="00E73D4B">
        <w:t>Øvstegård</w:t>
      </w:r>
      <w:proofErr w:type="spellEnd"/>
      <w:r w:rsidRPr="00E73D4B">
        <w:t xml:space="preserve">, Karin Andersen, Lars Haltbrekken og Arne Nævra om å utarbeide en KVU for ny jernbane Oslo–Stockholm og utrede nye statlige finansieringsmodeller for jernbaneutbygging i Norge, jf. Dokument 8:99 S (2020–2021) og </w:t>
      </w:r>
      <w:proofErr w:type="spellStart"/>
      <w:r w:rsidRPr="00E73D4B">
        <w:t>Innst</w:t>
      </w:r>
      <w:proofErr w:type="spellEnd"/>
      <w:r w:rsidRPr="00E73D4B">
        <w:t>. 305 S (2020–2021).</w:t>
      </w:r>
    </w:p>
    <w:p w14:paraId="5316C537" w14:textId="77777777" w:rsidR="00972395" w:rsidRPr="00E73D4B" w:rsidRDefault="00F120C7" w:rsidP="00E73D4B">
      <w:r w:rsidRPr="00E73D4B">
        <w:t xml:space="preserve">I </w:t>
      </w:r>
      <w:proofErr w:type="spellStart"/>
      <w:r w:rsidRPr="00E73D4B">
        <w:t>Prop</w:t>
      </w:r>
      <w:proofErr w:type="spellEnd"/>
      <w:r w:rsidRPr="00E73D4B">
        <w:t xml:space="preserve">. 1 S (2021–2022) redegjorde Samferdselsdepartementet for kontakten med svenske myndigheter for å følge opp vedtaket.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2B98A6A6" w14:textId="77777777" w:rsidR="00972395" w:rsidRPr="00E73D4B" w:rsidRDefault="00F120C7" w:rsidP="00E73D4B">
      <w:r w:rsidRPr="00E73D4B">
        <w:t>Samferdselsdepartementet ba i supplerende tildelingsbrev nr. 2 av 24. februar 2022 Jernbanedirektoratet sette i gang en mulighetsstudie av jernbaneforbindelsen Oslo–Stockholm. Mulighetsstudien ble ferdigstilt 1. oktober 2022.</w:t>
      </w:r>
    </w:p>
    <w:p w14:paraId="1A3DF5B7" w14:textId="77777777" w:rsidR="00972395" w:rsidRPr="00E73D4B" w:rsidRDefault="00F120C7" w:rsidP="00E73D4B">
      <w:r w:rsidRPr="00E73D4B">
        <w:t>Departementet anser med dette anmodningsvedtaket som fulgt opp.</w:t>
      </w:r>
    </w:p>
    <w:p w14:paraId="560824ED" w14:textId="77777777" w:rsidR="00972395" w:rsidRPr="00E73D4B" w:rsidRDefault="00F120C7" w:rsidP="00E73D4B">
      <w:pPr>
        <w:pStyle w:val="avsnitt-tittel"/>
      </w:pPr>
      <w:r w:rsidRPr="00E73D4B">
        <w:t xml:space="preserve">Forskriftsendring knytt til endring av </w:t>
      </w:r>
      <w:proofErr w:type="gramStart"/>
      <w:r w:rsidRPr="00E73D4B">
        <w:t>tillate</w:t>
      </w:r>
      <w:proofErr w:type="gramEnd"/>
      <w:r w:rsidRPr="00E73D4B">
        <w:t xml:space="preserve"> totalvekt på 7 500 kg eller </w:t>
      </w:r>
      <w:proofErr w:type="spellStart"/>
      <w:r w:rsidRPr="00E73D4B">
        <w:t>meir</w:t>
      </w:r>
      <w:proofErr w:type="spellEnd"/>
    </w:p>
    <w:p w14:paraId="117D81D3" w14:textId="77777777" w:rsidR="00972395" w:rsidRPr="00E73D4B" w:rsidRDefault="00F120C7" w:rsidP="00E73D4B">
      <w:pPr>
        <w:pStyle w:val="avsnitt-undertittel"/>
      </w:pPr>
      <w:r w:rsidRPr="00E73D4B">
        <w:t>Vedtak nr. 800, 13. april 2021</w:t>
      </w:r>
    </w:p>
    <w:p w14:paraId="16EA3A72" w14:textId="77777777" w:rsidR="00972395" w:rsidRPr="00E73D4B" w:rsidRDefault="00F120C7" w:rsidP="00E73D4B">
      <w:pPr>
        <w:pStyle w:val="blokksit"/>
        <w:rPr>
          <w:rStyle w:val="kursiv"/>
        </w:rPr>
      </w:pPr>
      <w:r w:rsidRPr="00E73D4B">
        <w:rPr>
          <w:rStyle w:val="kursiv"/>
        </w:rPr>
        <w:t>«Stortinget ber regjeringen utrede muligheten for en forskriftsendring knyttet til endring av tillatt totalvekt for kjøretøy på 7 500 kg eller mer.»</w:t>
      </w:r>
    </w:p>
    <w:p w14:paraId="32D0E322" w14:textId="77777777" w:rsidR="00972395" w:rsidRPr="00E73D4B" w:rsidRDefault="00F120C7" w:rsidP="00E73D4B">
      <w:r w:rsidRPr="00E73D4B">
        <w:t xml:space="preserve">Dokumentene som ligger til grunn for vedtaket, er representantforslag fra stortingsrepresentantene Bård </w:t>
      </w:r>
      <w:proofErr w:type="spellStart"/>
      <w:r w:rsidRPr="00E73D4B">
        <w:t>Hoksrud</w:t>
      </w:r>
      <w:proofErr w:type="spellEnd"/>
      <w:r w:rsidRPr="00E73D4B">
        <w:t xml:space="preserve">, Morten Stordalen, Tor André Johnsen, Hans Andreas </w:t>
      </w:r>
      <w:proofErr w:type="spellStart"/>
      <w:r w:rsidRPr="00E73D4B">
        <w:t>Limi</w:t>
      </w:r>
      <w:proofErr w:type="spellEnd"/>
      <w:r w:rsidRPr="00E73D4B">
        <w:t xml:space="preserve">, Terje Halleland og Gisle Meininger </w:t>
      </w:r>
      <w:proofErr w:type="spellStart"/>
      <w:r w:rsidRPr="00E73D4B">
        <w:t>Saudland</w:t>
      </w:r>
      <w:proofErr w:type="spellEnd"/>
      <w:r w:rsidRPr="00E73D4B">
        <w:t xml:space="preserve"> om noen kjøretøytekniske forenklinger, jf. Dokument 8:106 S (2020–2021) og </w:t>
      </w:r>
      <w:proofErr w:type="spellStart"/>
      <w:r w:rsidRPr="00E73D4B">
        <w:t>Innst</w:t>
      </w:r>
      <w:proofErr w:type="spellEnd"/>
      <w:r w:rsidRPr="00E73D4B">
        <w:t>. 311 S (2020–2021).</w:t>
      </w:r>
    </w:p>
    <w:p w14:paraId="12A66047" w14:textId="77777777" w:rsidR="00972395" w:rsidRPr="00E73D4B" w:rsidRDefault="00F120C7" w:rsidP="00E73D4B">
      <w:r w:rsidRPr="00E73D4B">
        <w:t xml:space="preserve">Samferdselsdepartementet opplyste i </w:t>
      </w:r>
      <w:proofErr w:type="spellStart"/>
      <w:r w:rsidRPr="00E73D4B">
        <w:t>Prop</w:t>
      </w:r>
      <w:proofErr w:type="spellEnd"/>
      <w:r w:rsidRPr="00E73D4B">
        <w:t>. 1 S (2021–2022) at Statens vegvesen var bedt om å utrede forslaget om ev. forskriftsendringer knyttet til å endre tillatt totalvekt for kjøretøy på 7 500 kg eller mer.</w:t>
      </w:r>
    </w:p>
    <w:p w14:paraId="13C83DDE" w14:textId="77777777" w:rsidR="00972395" w:rsidRPr="00E73D4B" w:rsidRDefault="00F120C7" w:rsidP="00E73D4B">
      <w:r w:rsidRPr="00E73D4B">
        <w:t xml:space="preserve">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03FA185D" w14:textId="77777777" w:rsidR="00972395" w:rsidRPr="00E73D4B" w:rsidRDefault="00F120C7" w:rsidP="00E73D4B">
      <w:r w:rsidRPr="00E73D4B">
        <w:t>Samferdselsdepartementet avventer Statens vegvesens utredning og forslag til forskriftsendringer, som etter planen skal komme i løpet av høsten 2022. Departementet vil komme tilbake til saken på egnet måte.</w:t>
      </w:r>
    </w:p>
    <w:p w14:paraId="2C85496E" w14:textId="77777777" w:rsidR="00972395" w:rsidRPr="00E73D4B" w:rsidRDefault="00F120C7" w:rsidP="00E73D4B">
      <w:pPr>
        <w:pStyle w:val="avsnitt-tittel"/>
      </w:pPr>
      <w:r w:rsidRPr="00E73D4B">
        <w:t xml:space="preserve">Medisinsk grunna dispensasjon etter </w:t>
      </w:r>
      <w:proofErr w:type="spellStart"/>
      <w:r w:rsidRPr="00E73D4B">
        <w:t>førarkortregelverket</w:t>
      </w:r>
      <w:proofErr w:type="spellEnd"/>
      <w:r w:rsidRPr="00E73D4B">
        <w:t xml:space="preserve"> for svaksynte</w:t>
      </w:r>
    </w:p>
    <w:p w14:paraId="105EC9CB" w14:textId="77777777" w:rsidR="00972395" w:rsidRPr="00E73D4B" w:rsidRDefault="00F120C7" w:rsidP="00E73D4B">
      <w:pPr>
        <w:pStyle w:val="avsnitt-undertittel"/>
      </w:pPr>
      <w:r w:rsidRPr="00E73D4B">
        <w:t>Vedtak nr. 960, 20. mai 2021</w:t>
      </w:r>
    </w:p>
    <w:p w14:paraId="1F703981" w14:textId="77777777" w:rsidR="00972395" w:rsidRPr="00E73D4B" w:rsidRDefault="00F120C7" w:rsidP="00E73D4B">
      <w:pPr>
        <w:pStyle w:val="blokksit"/>
        <w:rPr>
          <w:rStyle w:val="kursiv"/>
        </w:rPr>
      </w:pPr>
      <w:r w:rsidRPr="00E73D4B">
        <w:rPr>
          <w:rStyle w:val="kursiv"/>
        </w:rPr>
        <w:t>«Stortinget ber regjeringen fremme sak om å myke opp adgangen til medisinsk begrunnet dispensasjon etter førerkortregelverket, slik at personer med nedsatt syn kan få førerrett i tråd med praksis som gjaldt frem til 2019.»</w:t>
      </w:r>
    </w:p>
    <w:p w14:paraId="2F5ACBA7" w14:textId="77777777" w:rsidR="00972395" w:rsidRPr="00E73D4B" w:rsidRDefault="00F120C7" w:rsidP="00E73D4B">
      <w:r w:rsidRPr="00E73D4B">
        <w:t xml:space="preserve">Dokumentene som ligger til grunn for vedtaket, er representantforslag fra stortingsrepresentantene Bård </w:t>
      </w:r>
      <w:proofErr w:type="spellStart"/>
      <w:r w:rsidRPr="00E73D4B">
        <w:t>Hoksrud</w:t>
      </w:r>
      <w:proofErr w:type="spellEnd"/>
      <w:r w:rsidRPr="00E73D4B">
        <w:t xml:space="preserve"> og Tor André Johnsen om medisinsk begrunnet dispensasjon for svaksynte, jf. Dokument 8:179 (2020–2021) og </w:t>
      </w:r>
      <w:proofErr w:type="spellStart"/>
      <w:r w:rsidRPr="00E73D4B">
        <w:t>Innst</w:t>
      </w:r>
      <w:proofErr w:type="spellEnd"/>
      <w:r w:rsidRPr="00E73D4B">
        <w:t>. 432 S (2020–2021).</w:t>
      </w:r>
    </w:p>
    <w:p w14:paraId="49438B93" w14:textId="77777777" w:rsidR="00972395" w:rsidRPr="00E73D4B" w:rsidRDefault="00F120C7" w:rsidP="00E73D4B">
      <w:r w:rsidRPr="00E73D4B">
        <w:t xml:space="preserve">I </w:t>
      </w:r>
      <w:proofErr w:type="spellStart"/>
      <w:r w:rsidRPr="00E73D4B">
        <w:t>Prop</w:t>
      </w:r>
      <w:proofErr w:type="spellEnd"/>
      <w:r w:rsidRPr="00E73D4B">
        <w:t>. 1 S (2021–2022)</w:t>
      </w:r>
      <w:r w:rsidRPr="00E73D4B">
        <w:rPr>
          <w:rStyle w:val="kursiv"/>
        </w:rPr>
        <w:t xml:space="preserve"> </w:t>
      </w:r>
      <w:r w:rsidRPr="00E73D4B">
        <w:t xml:space="preserve">opplyste Samferdselsdepartementet at det, i samråd med Helse- og omsorgsdepartementet, utredet hvordan vedtaket kunne følges opp.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3F4E724D" w14:textId="77777777" w:rsidR="00972395" w:rsidRPr="00E73D4B" w:rsidRDefault="00F120C7" w:rsidP="00E73D4B">
      <w:r w:rsidRPr="00E73D4B">
        <w:t xml:space="preserve">Samferdselsdepartementet opplyste i </w:t>
      </w:r>
      <w:proofErr w:type="spellStart"/>
      <w:r w:rsidRPr="00E73D4B">
        <w:t>Prop</w:t>
      </w:r>
      <w:proofErr w:type="spellEnd"/>
      <w:r w:rsidRPr="00E73D4B">
        <w:t xml:space="preserve">. 111 S (2021–2022) </w:t>
      </w:r>
      <w:proofErr w:type="spellStart"/>
      <w:r w:rsidRPr="00E73D4B">
        <w:rPr>
          <w:rStyle w:val="kursiv"/>
        </w:rPr>
        <w:t>Nokre</w:t>
      </w:r>
      <w:proofErr w:type="spellEnd"/>
      <w:r w:rsidRPr="00E73D4B">
        <w:rPr>
          <w:rStyle w:val="kursiv"/>
        </w:rPr>
        <w:t xml:space="preserve"> saker om veg, </w:t>
      </w:r>
      <w:proofErr w:type="spellStart"/>
      <w:r w:rsidRPr="00E73D4B">
        <w:rPr>
          <w:rStyle w:val="kursiv"/>
        </w:rPr>
        <w:t>særskilde</w:t>
      </w:r>
      <w:proofErr w:type="spellEnd"/>
      <w:r w:rsidRPr="00E73D4B">
        <w:rPr>
          <w:rStyle w:val="kursiv"/>
        </w:rPr>
        <w:t xml:space="preserve"> transporttiltak og transport i byområda mv.</w:t>
      </w:r>
      <w:r w:rsidRPr="00E73D4B">
        <w:t xml:space="preserve"> at Statens vegvesen og Helsedirektoratet hadde fått forlenget fristen for utredningen til 15. mai 2022. Transport- og kommunikasjonskomiteen hadde i </w:t>
      </w:r>
      <w:proofErr w:type="spellStart"/>
      <w:r w:rsidRPr="00E73D4B">
        <w:t>Innst</w:t>
      </w:r>
      <w:proofErr w:type="spellEnd"/>
      <w:r w:rsidRPr="00E73D4B">
        <w:t>. 456 (2021–2022) ikke merknader.</w:t>
      </w:r>
    </w:p>
    <w:p w14:paraId="3F83BD07" w14:textId="77777777" w:rsidR="00972395" w:rsidRPr="00E73D4B" w:rsidRDefault="00F120C7" w:rsidP="00E73D4B">
      <w:r w:rsidRPr="00E73D4B">
        <w:t>Utredningen ble gjort tilgjengelig for Stortinget som vedlegg til svar av 7. juni 2022 på spørsmål 2192 til skriftlig besvarelse fra representanten Stordalen.</w:t>
      </w:r>
    </w:p>
    <w:p w14:paraId="3BF79334" w14:textId="77777777" w:rsidR="00972395" w:rsidRPr="00E73D4B" w:rsidRDefault="00F120C7" w:rsidP="00E73D4B">
      <w:r w:rsidRPr="00E73D4B">
        <w:t>Samferdselsdepartementet vurderer nå hvordan saken skal følges opp og vil komme tilbake til Stortinget om saken på egnet måte.</w:t>
      </w:r>
    </w:p>
    <w:p w14:paraId="23D70DAE" w14:textId="77777777" w:rsidR="00972395" w:rsidRPr="00E73D4B" w:rsidRDefault="00F120C7" w:rsidP="00E73D4B">
      <w:pPr>
        <w:pStyle w:val="avsnitt-tittel"/>
      </w:pPr>
      <w:r w:rsidRPr="00E73D4B">
        <w:t xml:space="preserve">Oppheve kravet om helseattest for eldre </w:t>
      </w:r>
      <w:proofErr w:type="spellStart"/>
      <w:r w:rsidRPr="00E73D4B">
        <w:t>bilførarar</w:t>
      </w:r>
      <w:proofErr w:type="spellEnd"/>
    </w:p>
    <w:p w14:paraId="0C34933F" w14:textId="77777777" w:rsidR="00972395" w:rsidRPr="00E73D4B" w:rsidRDefault="00F120C7" w:rsidP="00E73D4B">
      <w:pPr>
        <w:pStyle w:val="avsnitt-undertittel"/>
      </w:pPr>
      <w:r w:rsidRPr="00E73D4B">
        <w:t>Vedtak nr. 1013, 27. mai 2021</w:t>
      </w:r>
    </w:p>
    <w:p w14:paraId="580192DB" w14:textId="77777777" w:rsidR="00972395" w:rsidRPr="00E73D4B" w:rsidRDefault="00F120C7" w:rsidP="00E73D4B">
      <w:pPr>
        <w:pStyle w:val="blokksit"/>
        <w:rPr>
          <w:rStyle w:val="kursiv"/>
        </w:rPr>
      </w:pPr>
      <w:r w:rsidRPr="00E73D4B">
        <w:rPr>
          <w:rStyle w:val="kursiv"/>
        </w:rPr>
        <w:t>«Stortinget ber regjeringen om å gjennomføre Stortingets vedtak om å oppheve kravet om helseattest for eldre bilførere med virkning fra senest 1. august 2021.»</w:t>
      </w:r>
    </w:p>
    <w:p w14:paraId="4F6BB386" w14:textId="77777777" w:rsidR="00972395" w:rsidRPr="00E73D4B" w:rsidRDefault="00F120C7" w:rsidP="00E73D4B">
      <w:r w:rsidRPr="00E73D4B">
        <w:t xml:space="preserve">Dokumentene som ligger til grunn for vedtaket, er representantforslag fra stortingsrepresentantene Bård </w:t>
      </w:r>
      <w:proofErr w:type="spellStart"/>
      <w:r w:rsidRPr="00E73D4B">
        <w:t>Hoksrud</w:t>
      </w:r>
      <w:proofErr w:type="spellEnd"/>
      <w:r w:rsidRPr="00E73D4B">
        <w:t xml:space="preserve"> og Tor André Johnsen om å oppheve krav om helseattest for eldre bilførere, jf. Dokument 8:202 S (2020–2021) og </w:t>
      </w:r>
      <w:proofErr w:type="spellStart"/>
      <w:r w:rsidRPr="00E73D4B">
        <w:t>Innst</w:t>
      </w:r>
      <w:proofErr w:type="spellEnd"/>
      <w:r w:rsidRPr="00E73D4B">
        <w:t>. 447 S (2020–2021).</w:t>
      </w:r>
    </w:p>
    <w:p w14:paraId="71D2FEF5" w14:textId="77777777" w:rsidR="00972395" w:rsidRPr="00E73D4B" w:rsidRDefault="00F120C7" w:rsidP="00E73D4B">
      <w:r w:rsidRPr="00E73D4B">
        <w:t xml:space="preserve">I </w:t>
      </w:r>
      <w:proofErr w:type="spellStart"/>
      <w:r w:rsidRPr="00E73D4B">
        <w:t>Prop</w:t>
      </w:r>
      <w:proofErr w:type="spellEnd"/>
      <w:r w:rsidRPr="00E73D4B">
        <w:t xml:space="preserve">. 1 S (2021–2022) opplyste Samferdselsdepartementet at det hadde vurdert at det ikke ville være forsvarlig å oppheve kravet om helseattest for eldre bilførere fra 1. august 2021, og at saken ellers ville bli vurdert ved oppfølgingen av vedtak nr. 596.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468BF0B1" w14:textId="77777777" w:rsidR="00972395" w:rsidRPr="00E73D4B" w:rsidRDefault="00F120C7" w:rsidP="00E73D4B">
      <w:r w:rsidRPr="00E73D4B">
        <w:t xml:space="preserve">Det vises til også til omtalen av anmodningsvedtak nr. 596 av 9. februar 2021 i </w:t>
      </w:r>
      <w:proofErr w:type="spellStart"/>
      <w:r w:rsidRPr="00E73D4B">
        <w:t>Prop</w:t>
      </w:r>
      <w:proofErr w:type="spellEnd"/>
      <w:r w:rsidRPr="00E73D4B">
        <w:t xml:space="preserve">. 117 S (2021–2022) </w:t>
      </w:r>
      <w:r w:rsidRPr="00E73D4B">
        <w:rPr>
          <w:rStyle w:val="kursiv"/>
        </w:rPr>
        <w:t>Finansiering av prosjektet fv. 353 Rugtvedt – Surtebogen i Bamble kommune i Vestfold og Telemark fylke og orientering om andre saker</w:t>
      </w:r>
      <w:r w:rsidRPr="00E73D4B">
        <w:t xml:space="preserve">, jf. </w:t>
      </w:r>
      <w:proofErr w:type="spellStart"/>
      <w:r w:rsidRPr="00E73D4B">
        <w:t>Innst</w:t>
      </w:r>
      <w:proofErr w:type="spellEnd"/>
      <w:r w:rsidRPr="00E73D4B">
        <w:t>. 458 S (2021–2022).</w:t>
      </w:r>
    </w:p>
    <w:p w14:paraId="019DA187" w14:textId="77777777" w:rsidR="00972395" w:rsidRPr="00E73D4B" w:rsidRDefault="00F120C7" w:rsidP="00E73D4B">
      <w:r w:rsidRPr="00E73D4B">
        <w:t>Samferdselsdepartementet anser med dette anmodningsvedtaket som fulgt opp.</w:t>
      </w:r>
    </w:p>
    <w:p w14:paraId="174A68C0" w14:textId="77777777" w:rsidR="00972395" w:rsidRPr="00E73D4B" w:rsidRDefault="00F120C7" w:rsidP="00E73D4B">
      <w:pPr>
        <w:pStyle w:val="avsnitt-tittel"/>
      </w:pPr>
      <w:r w:rsidRPr="00E73D4B">
        <w:t>Mobil- og internettdekking i alle nye riksvegprosjekt</w:t>
      </w:r>
    </w:p>
    <w:p w14:paraId="1CA143C7" w14:textId="77777777" w:rsidR="00972395" w:rsidRPr="00E73D4B" w:rsidRDefault="00F120C7" w:rsidP="00E73D4B">
      <w:pPr>
        <w:pStyle w:val="avsnitt-undertittel"/>
      </w:pPr>
      <w:r w:rsidRPr="00E73D4B">
        <w:t>Vedtak nr. 1065, 1. juni 2021</w:t>
      </w:r>
    </w:p>
    <w:p w14:paraId="71B1E6D8" w14:textId="77777777" w:rsidR="00972395" w:rsidRPr="00E73D4B" w:rsidRDefault="00F120C7" w:rsidP="00E73D4B">
      <w:pPr>
        <w:pStyle w:val="blokksit"/>
        <w:rPr>
          <w:rStyle w:val="kursiv"/>
        </w:rPr>
      </w:pPr>
      <w:r w:rsidRPr="00E73D4B">
        <w:rPr>
          <w:rStyle w:val="kursiv"/>
        </w:rPr>
        <w:t>«Stortinget ber regjeringen innføre krav om full mobil- og internettdekning i alle nye riksveiprosjekter.»</w:t>
      </w:r>
    </w:p>
    <w:p w14:paraId="50F1E1D8" w14:textId="77777777" w:rsidR="00972395" w:rsidRPr="00E73D4B" w:rsidRDefault="00F120C7" w:rsidP="00E73D4B">
      <w:r w:rsidRPr="00E73D4B">
        <w:t xml:space="preserve">Dokumentene som ligger til grunn for vedtaket, er Meld. St. 28 (2020–2021) </w:t>
      </w:r>
      <w:r w:rsidRPr="00E73D4B">
        <w:rPr>
          <w:rStyle w:val="kursiv"/>
        </w:rPr>
        <w:t xml:space="preserve">Vår felles digitale grunnmur – Mobil-, bredbånds- og </w:t>
      </w:r>
      <w:proofErr w:type="spellStart"/>
      <w:r w:rsidRPr="00E73D4B">
        <w:rPr>
          <w:rStyle w:val="kursiv"/>
        </w:rPr>
        <w:t>internetttjenester</w:t>
      </w:r>
      <w:proofErr w:type="spellEnd"/>
      <w:r w:rsidRPr="00E73D4B">
        <w:t xml:space="preserve">, representantforslag fra stortingsrepresentantene Siv </w:t>
      </w:r>
      <w:proofErr w:type="spellStart"/>
      <w:r w:rsidRPr="00E73D4B">
        <w:t>Mossleth</w:t>
      </w:r>
      <w:proofErr w:type="spellEnd"/>
      <w:r w:rsidRPr="00E73D4B">
        <w:t xml:space="preserve">, Bengt Fasteraune, Heidi Greni, Åslaug Sem-Jacobsen og Liv Signe Navarsete om en kraftig utbygging av mobildekning i hele landet og representantforslag fra stortingsrepresentantene Helge André Njåstad, Per-Willy Amundsen, Hanne Dyveke </w:t>
      </w:r>
      <w:proofErr w:type="spellStart"/>
      <w:r w:rsidRPr="00E73D4B">
        <w:t>Søttar</w:t>
      </w:r>
      <w:proofErr w:type="spellEnd"/>
      <w:r w:rsidRPr="00E73D4B">
        <w:t xml:space="preserve">, Tor André Johnsen, Bengt Rune Strifelt, Terje Halleland, Bård </w:t>
      </w:r>
      <w:proofErr w:type="spellStart"/>
      <w:r w:rsidRPr="00E73D4B">
        <w:t>Hoksrud</w:t>
      </w:r>
      <w:proofErr w:type="spellEnd"/>
      <w:r w:rsidRPr="00E73D4B">
        <w:t xml:space="preserve">, Morten </w:t>
      </w:r>
      <w:proofErr w:type="spellStart"/>
      <w:r w:rsidRPr="00E73D4B">
        <w:t>Ørsal</w:t>
      </w:r>
      <w:proofErr w:type="spellEnd"/>
      <w:r w:rsidRPr="00E73D4B">
        <w:t xml:space="preserve"> Johansen, Kjell-Børge Freiberg og Gisle Meininger </w:t>
      </w:r>
      <w:proofErr w:type="spellStart"/>
      <w:r w:rsidRPr="00E73D4B">
        <w:t>Saudland</w:t>
      </w:r>
      <w:proofErr w:type="spellEnd"/>
      <w:r w:rsidRPr="00E73D4B">
        <w:t xml:space="preserve"> om full internettdekning i hele landet i løpet av 2025, jf. Dokument 8:129 S (2020–2021), Dokument 8:151 S (2020–2021) og </w:t>
      </w:r>
      <w:proofErr w:type="spellStart"/>
      <w:r w:rsidRPr="00E73D4B">
        <w:t>Innst</w:t>
      </w:r>
      <w:proofErr w:type="spellEnd"/>
      <w:r w:rsidRPr="00E73D4B">
        <w:t>. 511 S (2020–2021).</w:t>
      </w:r>
    </w:p>
    <w:p w14:paraId="6A71F6F4" w14:textId="77777777" w:rsidR="00972395" w:rsidRPr="00E73D4B" w:rsidRDefault="00F120C7" w:rsidP="00E73D4B">
      <w:r w:rsidRPr="00E73D4B">
        <w:t xml:space="preserve">Som opplyst i Samferdselsdepartementets </w:t>
      </w:r>
      <w:proofErr w:type="spellStart"/>
      <w:r w:rsidRPr="00E73D4B">
        <w:t>Prop</w:t>
      </w:r>
      <w:proofErr w:type="spellEnd"/>
      <w:r w:rsidRPr="00E73D4B">
        <w:t xml:space="preserve">. 1 S (2021–2022), har departementet og daværende Kommunal- og moderniseringsdepartementet startet en dialog for å vurdere hvordan anmodningsvedtaket skal følges opp.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311BE687" w14:textId="77777777" w:rsidR="00972395" w:rsidRPr="00E73D4B" w:rsidRDefault="00F120C7" w:rsidP="00E73D4B">
      <w:r w:rsidRPr="00E73D4B">
        <w:t>Samferdselsdepartementet og Kommunal- og distriksdepartementet er fortsatt i dialog for å vurdere hvordan anmodningsvedtaket kan følges opp. Departementet vil komme tilbake til saken på egnet måte.</w:t>
      </w:r>
    </w:p>
    <w:p w14:paraId="16679480" w14:textId="77777777" w:rsidR="00972395" w:rsidRPr="00E73D4B" w:rsidRDefault="00F120C7" w:rsidP="00E73D4B">
      <w:pPr>
        <w:pStyle w:val="avsnitt-tittel"/>
      </w:pPr>
      <w:r w:rsidRPr="00E73D4B">
        <w:t>Permanent løysing for småflyaktiviteten i Oslo-området</w:t>
      </w:r>
    </w:p>
    <w:p w14:paraId="1EB8A29B" w14:textId="77777777" w:rsidR="00972395" w:rsidRPr="00E73D4B" w:rsidRDefault="00F120C7" w:rsidP="00E73D4B">
      <w:pPr>
        <w:pStyle w:val="avsnitt-undertittel"/>
      </w:pPr>
      <w:r w:rsidRPr="00E73D4B">
        <w:t>Vedtak nr. 1098, 2. juni 2021</w:t>
      </w:r>
    </w:p>
    <w:p w14:paraId="2C42DF50" w14:textId="77777777" w:rsidR="00972395" w:rsidRPr="00E73D4B" w:rsidRDefault="00F120C7" w:rsidP="00E73D4B">
      <w:pPr>
        <w:pStyle w:val="blokksit"/>
        <w:rPr>
          <w:rStyle w:val="kursiv"/>
        </w:rPr>
      </w:pPr>
      <w:r w:rsidRPr="00E73D4B">
        <w:rPr>
          <w:rStyle w:val="kursiv"/>
        </w:rPr>
        <w:t>«Stortinget ber regjeringen legge frem en sak for Stortinget med en plan for en permanent løsning for småflyaktiviteten i Oslo-området. Inntil en slik plan foreligger og er realisert, må regjeringen medvirke til at dagens småflyaktivitet kan fortsette ved Kjeller flyplass.»</w:t>
      </w:r>
    </w:p>
    <w:p w14:paraId="1C7DD316" w14:textId="77777777" w:rsidR="00972395" w:rsidRPr="00E73D4B" w:rsidRDefault="00F120C7" w:rsidP="00E73D4B">
      <w:r w:rsidRPr="00E73D4B">
        <w:t xml:space="preserve">Dokumentet som ligger til grunn for vedtaket er representantforslag fra stortingsrepresentantene Sigbjørn Gjelsvik, Bengt Fasteraune og Ole André Myhrvold om en permanent løsning for småflyaktiviteten i Oslo-området og luftfartøyvernsenter på Kjeller, jf. Dokument 8:241 S (2020–2021), </w:t>
      </w:r>
      <w:proofErr w:type="spellStart"/>
      <w:r w:rsidRPr="00E73D4B">
        <w:t>Innst</w:t>
      </w:r>
      <w:proofErr w:type="spellEnd"/>
      <w:r w:rsidRPr="00E73D4B">
        <w:t>. 543 S (2020–2021).</w:t>
      </w:r>
    </w:p>
    <w:p w14:paraId="2217B05C" w14:textId="77777777" w:rsidR="00972395" w:rsidRPr="00E73D4B" w:rsidRDefault="00F120C7" w:rsidP="00E73D4B">
      <w:r w:rsidRPr="00E73D4B">
        <w:t xml:space="preserve">I </w:t>
      </w:r>
      <w:proofErr w:type="spellStart"/>
      <w:r w:rsidRPr="00E73D4B">
        <w:t>Prop</w:t>
      </w:r>
      <w:proofErr w:type="spellEnd"/>
      <w:r w:rsidRPr="00E73D4B">
        <w:t xml:space="preserve">. 1 S (2021–2022) opplyste Samferdselsdepartementet at det er i prosess med å følge opp stortingsvedtaket fra 2017 om å legge frem en plan for en permanent løsning for småflyaktiviteten i Oslo-området, og at departementet tok sikte på en avklaring i rimelig tid før Kjeller etter planen skal stenge.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01D58A33" w14:textId="77777777" w:rsidR="00972395" w:rsidRPr="00E73D4B" w:rsidRDefault="00F120C7" w:rsidP="00E73D4B">
      <w:r w:rsidRPr="00E73D4B">
        <w:t>Samferdselsdepartementet avventer kommunens og Riksantikvarens vedtak om henholdsvis etterbruk og vern av flyplassområdet på Kjeller.</w:t>
      </w:r>
    </w:p>
    <w:p w14:paraId="782372A8" w14:textId="77777777" w:rsidR="00972395" w:rsidRPr="00E73D4B" w:rsidRDefault="00F120C7" w:rsidP="00E73D4B">
      <w:r w:rsidRPr="00E73D4B">
        <w:t>Departementet vil komme tilbake til saken på egnet måte.</w:t>
      </w:r>
    </w:p>
    <w:p w14:paraId="02F296B7" w14:textId="77777777" w:rsidR="00972395" w:rsidRPr="00E73D4B" w:rsidRDefault="00F120C7" w:rsidP="00E73D4B">
      <w:pPr>
        <w:pStyle w:val="avsnitt-tittel"/>
      </w:pPr>
      <w:r w:rsidRPr="00E73D4B">
        <w:t xml:space="preserve">Evaluere lov om </w:t>
      </w:r>
      <w:proofErr w:type="spellStart"/>
      <w:r w:rsidRPr="00E73D4B">
        <w:t>utleige</w:t>
      </w:r>
      <w:proofErr w:type="spellEnd"/>
      <w:r w:rsidRPr="00E73D4B">
        <w:t xml:space="preserve"> av små elektriske </w:t>
      </w:r>
      <w:proofErr w:type="spellStart"/>
      <w:r w:rsidRPr="00E73D4B">
        <w:t>køyretøy</w:t>
      </w:r>
      <w:proofErr w:type="spellEnd"/>
      <w:r w:rsidRPr="00E73D4B">
        <w:t xml:space="preserve"> på </w:t>
      </w:r>
      <w:proofErr w:type="spellStart"/>
      <w:r w:rsidRPr="00E73D4B">
        <w:t>offentleg</w:t>
      </w:r>
      <w:proofErr w:type="spellEnd"/>
      <w:r w:rsidRPr="00E73D4B">
        <w:t xml:space="preserve"> grunn</w:t>
      </w:r>
    </w:p>
    <w:p w14:paraId="2F8CA274" w14:textId="77777777" w:rsidR="00972395" w:rsidRPr="00E73D4B" w:rsidRDefault="00F120C7" w:rsidP="00E73D4B">
      <w:pPr>
        <w:pStyle w:val="avsnitt-undertittel"/>
      </w:pPr>
      <w:r w:rsidRPr="00E73D4B">
        <w:t>Vedtak nr. 1210, 10. juni 2021</w:t>
      </w:r>
    </w:p>
    <w:p w14:paraId="414109EB" w14:textId="77777777" w:rsidR="00972395" w:rsidRPr="00E73D4B" w:rsidRDefault="00F120C7" w:rsidP="00E73D4B">
      <w:pPr>
        <w:pStyle w:val="blokksit"/>
        <w:rPr>
          <w:rStyle w:val="kursiv"/>
        </w:rPr>
      </w:pPr>
      <w:r w:rsidRPr="00E73D4B">
        <w:rPr>
          <w:rStyle w:val="kursiv"/>
        </w:rPr>
        <w:t>«Stortinget ber regjeringen legge opp til å evaluere lov om utleie av små elektriske kjøretøy på offentlig grunn når det er høstet erfaringer med praksis.»</w:t>
      </w:r>
    </w:p>
    <w:p w14:paraId="77265BAD" w14:textId="77777777" w:rsidR="00972395" w:rsidRPr="00E73D4B" w:rsidRDefault="00F120C7" w:rsidP="00E73D4B">
      <w:r w:rsidRPr="00E73D4B">
        <w:t xml:space="preserve">Dokumentene som ligger til grunn for vedtaket, er representantforslag fra stortingsrepresentantene Karin Andersen, </w:t>
      </w:r>
      <w:proofErr w:type="spellStart"/>
      <w:r w:rsidRPr="00E73D4B">
        <w:t>Olemic</w:t>
      </w:r>
      <w:proofErr w:type="spellEnd"/>
      <w:r w:rsidRPr="00E73D4B">
        <w:t xml:space="preserve"> Thommesen, Stein Erik Lauvås, Heidi Greni og Torhild Bransdal om å gi kommunene klar lovhjemmel for å kunne regulere utleie og bruk av </w:t>
      </w:r>
      <w:proofErr w:type="spellStart"/>
      <w:r w:rsidRPr="00E73D4B">
        <w:t>elsparkesykler</w:t>
      </w:r>
      <w:proofErr w:type="spellEnd"/>
      <w:r w:rsidRPr="00E73D4B">
        <w:t xml:space="preserve"> og små </w:t>
      </w:r>
      <w:proofErr w:type="spellStart"/>
      <w:r w:rsidRPr="00E73D4B">
        <w:t>elkjøretøy</w:t>
      </w:r>
      <w:proofErr w:type="spellEnd"/>
      <w:r w:rsidRPr="00E73D4B">
        <w:t xml:space="preserve">, jf. Dokument 8:293 L (2020–2021) og </w:t>
      </w:r>
      <w:proofErr w:type="spellStart"/>
      <w:r w:rsidRPr="00E73D4B">
        <w:t>Innst</w:t>
      </w:r>
      <w:proofErr w:type="spellEnd"/>
      <w:r w:rsidRPr="00E73D4B">
        <w:t>. 643 L (2020–2021).</w:t>
      </w:r>
    </w:p>
    <w:p w14:paraId="1597FDDA" w14:textId="77777777" w:rsidR="00972395" w:rsidRPr="00E73D4B" w:rsidRDefault="00F120C7" w:rsidP="00E73D4B">
      <w:r w:rsidRPr="00E73D4B">
        <w:t xml:space="preserve">I </w:t>
      </w:r>
      <w:proofErr w:type="spellStart"/>
      <w:r w:rsidRPr="00E73D4B">
        <w:t>Prop</w:t>
      </w:r>
      <w:proofErr w:type="spellEnd"/>
      <w:r w:rsidRPr="00E73D4B">
        <w:t xml:space="preserve">. 1 S (2021–2022) opplyste Samferdselsdepartementet at de første forskriftene etter loven var </w:t>
      </w:r>
      <w:proofErr w:type="gramStart"/>
      <w:r w:rsidRPr="00E73D4B">
        <w:t>trådt</w:t>
      </w:r>
      <w:proofErr w:type="gramEnd"/>
      <w:r w:rsidRPr="00E73D4B">
        <w:t xml:space="preserve"> i kraft for Oslo, og at departementet avventet erfaringer i Oslo, og ev. andre kommuner, før loven ev. evalueres.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02F24D5F" w14:textId="77777777" w:rsidR="00972395" w:rsidRPr="00E73D4B" w:rsidRDefault="00F120C7" w:rsidP="00E73D4B">
      <w:r w:rsidRPr="00E73D4B">
        <w:t>Samferdselsdepartementet har gitt Transportøkonomisk institutt et oppdrag for å få nærmere kunnskap om hvordan loven så langt har virket. Resultatene av prosjektet er ventet i løpet av 2022. Departementet vil deretter vurdere eventuelt behov for videre oppfølging og komme tilbake til Stortinget om saken på egnet måte.</w:t>
      </w:r>
    </w:p>
    <w:p w14:paraId="248ED954" w14:textId="77777777" w:rsidR="00972395" w:rsidRPr="00E73D4B" w:rsidRDefault="00F120C7" w:rsidP="00E73D4B">
      <w:pPr>
        <w:pStyle w:val="avsnitt-tittel"/>
      </w:pPr>
      <w:proofErr w:type="spellStart"/>
      <w:r w:rsidRPr="00E73D4B">
        <w:t>Vedlikehald</w:t>
      </w:r>
      <w:proofErr w:type="spellEnd"/>
      <w:r w:rsidRPr="00E73D4B">
        <w:t xml:space="preserve"> og opprusting av </w:t>
      </w:r>
      <w:proofErr w:type="spellStart"/>
      <w:r w:rsidRPr="00E73D4B">
        <w:t>Tinnosbanen</w:t>
      </w:r>
      <w:proofErr w:type="spellEnd"/>
    </w:p>
    <w:p w14:paraId="17343E9E" w14:textId="77777777" w:rsidR="00972395" w:rsidRPr="00E73D4B" w:rsidRDefault="00F120C7" w:rsidP="00E73D4B">
      <w:pPr>
        <w:pStyle w:val="avsnitt-undertittel"/>
      </w:pPr>
      <w:r w:rsidRPr="00E73D4B">
        <w:t>Vedtak nr. 1230, 15. juni 2021</w:t>
      </w:r>
    </w:p>
    <w:p w14:paraId="4A52E85F" w14:textId="77777777" w:rsidR="00972395" w:rsidRPr="00E73D4B" w:rsidRDefault="00F120C7" w:rsidP="00E73D4B">
      <w:pPr>
        <w:pStyle w:val="blokksit"/>
        <w:rPr>
          <w:rStyle w:val="kursiv"/>
        </w:rPr>
      </w:pPr>
      <w:r w:rsidRPr="00E73D4B">
        <w:rPr>
          <w:rStyle w:val="kursiv"/>
        </w:rPr>
        <w:t xml:space="preserve">«Stortinget ber regjeringen legge til grunn at staten har ansvar for vedlikehold og opprusting av </w:t>
      </w:r>
      <w:proofErr w:type="spellStart"/>
      <w:r w:rsidRPr="00E73D4B">
        <w:rPr>
          <w:rStyle w:val="kursiv"/>
        </w:rPr>
        <w:t>Tinnosbanen</w:t>
      </w:r>
      <w:proofErr w:type="spellEnd"/>
      <w:r w:rsidRPr="00E73D4B">
        <w:rPr>
          <w:rStyle w:val="kursiv"/>
        </w:rPr>
        <w:t>, slik at banen kan settes i stand igjen og Norge kan ivareta sine forpliktelser for verdensarven i Rjukan–Notodden industriarv.»</w:t>
      </w:r>
    </w:p>
    <w:p w14:paraId="69A96E75" w14:textId="77777777" w:rsidR="00972395" w:rsidRPr="00E73D4B" w:rsidRDefault="00F120C7" w:rsidP="00E73D4B">
      <w:r w:rsidRPr="00E73D4B">
        <w:t xml:space="preserve">Vedtaket ble truffet ved behandlingen av Meld. St. 20 (2020–2021) </w:t>
      </w:r>
      <w:r w:rsidRPr="00E73D4B">
        <w:rPr>
          <w:rStyle w:val="kursiv"/>
        </w:rPr>
        <w:t>Nasjonal transportplan 2022–2033,</w:t>
      </w:r>
      <w:r w:rsidRPr="00E73D4B">
        <w:t xml:space="preserve"> jf. </w:t>
      </w:r>
      <w:proofErr w:type="spellStart"/>
      <w:r w:rsidRPr="00E73D4B">
        <w:t>Innst</w:t>
      </w:r>
      <w:proofErr w:type="spellEnd"/>
      <w:r w:rsidRPr="00E73D4B">
        <w:t>. 653 S (2020–2021).</w:t>
      </w:r>
    </w:p>
    <w:p w14:paraId="23FF7890" w14:textId="77777777" w:rsidR="00972395" w:rsidRPr="00E73D4B" w:rsidRDefault="00F120C7" w:rsidP="00E73D4B">
      <w:r w:rsidRPr="00E73D4B">
        <w:t xml:space="preserve">Samferdselsdepartementet redegjorde i </w:t>
      </w:r>
      <w:proofErr w:type="spellStart"/>
      <w:r w:rsidRPr="00E73D4B">
        <w:t>Prop</w:t>
      </w:r>
      <w:proofErr w:type="spellEnd"/>
      <w:r w:rsidRPr="00E73D4B">
        <w:t xml:space="preserve">. 1 S (2021–2022) for kostnadene ved å sette i stand </w:t>
      </w:r>
      <w:proofErr w:type="spellStart"/>
      <w:r w:rsidRPr="00E73D4B">
        <w:t>Tinnosbanen</w:t>
      </w:r>
      <w:proofErr w:type="spellEnd"/>
      <w:r w:rsidRPr="00E73D4B">
        <w:t xml:space="preserve"> til å kjøre </w:t>
      </w:r>
      <w:proofErr w:type="spellStart"/>
      <w:r w:rsidRPr="00E73D4B">
        <w:t>tømmertog</w:t>
      </w:r>
      <w:proofErr w:type="spellEnd"/>
      <w:r w:rsidRPr="00E73D4B">
        <w:t xml:space="preserve"> eller </w:t>
      </w:r>
      <w:proofErr w:type="spellStart"/>
      <w:r w:rsidRPr="00E73D4B">
        <w:t>museumstog</w:t>
      </w:r>
      <w:proofErr w:type="spellEnd"/>
      <w:r w:rsidRPr="00E73D4B">
        <w:t xml:space="preserve">. Det ble opplyst at på kort sikt har Bane NOR kun prioritert midler til nødvendige sikkerhetstiltak og vedlikehold som opprettholder dagens tilstand på </w:t>
      </w:r>
      <w:proofErr w:type="spellStart"/>
      <w:r w:rsidRPr="00E73D4B">
        <w:t>Tinnosbanen</w:t>
      </w:r>
      <w:proofErr w:type="spellEnd"/>
      <w:r w:rsidRPr="00E73D4B">
        <w:t>, da full istandsetting til kjørbar bane krever at det må tas midler fra andre prioriterte formål.</w:t>
      </w:r>
    </w:p>
    <w:p w14:paraId="1AC10208" w14:textId="77777777" w:rsidR="00972395" w:rsidRPr="00E73D4B" w:rsidRDefault="00F120C7" w:rsidP="00E73D4B">
      <w:r w:rsidRPr="00E73D4B">
        <w:t xml:space="preserve">Det er lagt opp til at vedlikeholdsarbeidet i stor grad skal opprettholde banens generelle tilstand som på fredningstidspunktet.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7977BEF3" w14:textId="77777777" w:rsidR="00972395" w:rsidRPr="00E73D4B" w:rsidRDefault="00F120C7" w:rsidP="00E73D4B">
      <w:r w:rsidRPr="00E73D4B">
        <w:t>Dersom det skulle bli aktuelt å sette i stand banen, vil Samferdselsdepartementet komme tilbake til Stortinget på egnet måte.</w:t>
      </w:r>
    </w:p>
    <w:p w14:paraId="01E56C83" w14:textId="77777777" w:rsidR="00972395" w:rsidRPr="00E73D4B" w:rsidRDefault="00F120C7" w:rsidP="00E73D4B">
      <w:r w:rsidRPr="00E73D4B">
        <w:t>Anmodningsvedtaket anses med dette som fulgt opp.</w:t>
      </w:r>
    </w:p>
    <w:p w14:paraId="5980975C" w14:textId="77777777" w:rsidR="00972395" w:rsidRPr="00E73D4B" w:rsidRDefault="00F120C7" w:rsidP="00E73D4B">
      <w:pPr>
        <w:pStyle w:val="avsnitt-tittel"/>
      </w:pPr>
      <w:r w:rsidRPr="00E73D4B">
        <w:t xml:space="preserve">Utarbeide </w:t>
      </w:r>
      <w:proofErr w:type="spellStart"/>
      <w:r w:rsidRPr="00E73D4B">
        <w:t>forbrukarvennleg</w:t>
      </w:r>
      <w:proofErr w:type="spellEnd"/>
      <w:r w:rsidRPr="00E73D4B">
        <w:t xml:space="preserve"> nasjonal ladestrategi</w:t>
      </w:r>
    </w:p>
    <w:p w14:paraId="353B7FFD" w14:textId="77777777" w:rsidR="00972395" w:rsidRPr="00E73D4B" w:rsidRDefault="00F120C7" w:rsidP="00E73D4B">
      <w:pPr>
        <w:pStyle w:val="avsnitt-undertittel"/>
      </w:pPr>
      <w:r w:rsidRPr="00E73D4B">
        <w:t>Vedtak nr. 1232, 15. juni 2021</w:t>
      </w:r>
    </w:p>
    <w:p w14:paraId="46A9D60A" w14:textId="77777777" w:rsidR="00972395" w:rsidRPr="00E73D4B" w:rsidRDefault="00F120C7" w:rsidP="00E73D4B">
      <w:pPr>
        <w:pStyle w:val="blokksit"/>
        <w:rPr>
          <w:rStyle w:val="kursiv"/>
        </w:rPr>
      </w:pPr>
      <w:r w:rsidRPr="00E73D4B">
        <w:rPr>
          <w:rStyle w:val="kursiv"/>
        </w:rPr>
        <w:t>«Stortinget ber regjeringen om å utarbeide en nasjonal ladestrategi i løpet av 2022 for å sikre koordinering mellom offentlige myndigheter og sikre nok ladeinfrastruktur. Ladestrategien må være forbrukervennlig.»</w:t>
      </w:r>
    </w:p>
    <w:p w14:paraId="7C852242" w14:textId="77777777" w:rsidR="00972395" w:rsidRPr="00E73D4B" w:rsidRDefault="00F120C7" w:rsidP="00E73D4B">
      <w:r w:rsidRPr="00E73D4B">
        <w:t xml:space="preserve">Vedtaket ble truffet ved behandlingen av Meld. St. 20 (2020–2021) </w:t>
      </w:r>
      <w:r w:rsidRPr="00E73D4B">
        <w:rPr>
          <w:rStyle w:val="kursiv"/>
        </w:rPr>
        <w:t>Nasjonal transportplan 2022–2033,</w:t>
      </w:r>
      <w:r w:rsidRPr="00E73D4B">
        <w:t xml:space="preserve"> jf. </w:t>
      </w:r>
      <w:proofErr w:type="spellStart"/>
      <w:r w:rsidRPr="00E73D4B">
        <w:t>Innst</w:t>
      </w:r>
      <w:proofErr w:type="spellEnd"/>
      <w:r w:rsidRPr="00E73D4B">
        <w:t>. 653 S (2020–2021).</w:t>
      </w:r>
    </w:p>
    <w:p w14:paraId="1A803C02" w14:textId="77777777" w:rsidR="00972395" w:rsidRPr="00E73D4B" w:rsidRDefault="00F120C7" w:rsidP="00E73D4B">
      <w:r w:rsidRPr="00E73D4B">
        <w:t xml:space="preserve">Som omtalt i </w:t>
      </w:r>
      <w:proofErr w:type="spellStart"/>
      <w:r w:rsidRPr="00E73D4B">
        <w:t>Prop</w:t>
      </w:r>
      <w:proofErr w:type="spellEnd"/>
      <w:r w:rsidRPr="00E73D4B">
        <w:t xml:space="preserve">. 1 S (2021–2022) har Samferdselsdepartementet bedt Statens vegvesen og Miljødirektoratet utarbeide et kunnskapsgrunnlag om ladeinfrastruktur.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448AE048" w14:textId="77777777" w:rsidR="00972395" w:rsidRPr="00E73D4B" w:rsidRDefault="00F120C7" w:rsidP="00E73D4B">
      <w:r w:rsidRPr="00E73D4B">
        <w:t>Kunnskapsgrunnlaget ble levert 1. mars 2022 og drøfter bl.a. antatt behov for ladeinfrastruktur fremover, og mulige utfordringer forbundet med å dekke dette behovet. Et åpent innspillmøte ble avholdt umiddelbart etter at kunnskapsgrunnlaget var lagt frem, og organisasjoner, næringsliv og andre interessenter har vært invitert til å levere skriftlige innspill til kunnskapsgrunnlaget og ladestrategien. Flere departementer samarbeider nå om å utarbeide ladestrategien som vil bli lagt frem i løpet av høsten 2022.</w:t>
      </w:r>
    </w:p>
    <w:p w14:paraId="1ECB15E8" w14:textId="77777777" w:rsidR="00972395" w:rsidRPr="00E73D4B" w:rsidRDefault="00F120C7" w:rsidP="00E73D4B">
      <w:r w:rsidRPr="00E73D4B">
        <w:t>Anmodningsvedtaket anses med dette som fulgt opp.</w:t>
      </w:r>
    </w:p>
    <w:p w14:paraId="70142066" w14:textId="77777777" w:rsidR="00972395" w:rsidRPr="00E73D4B" w:rsidRDefault="00F120C7" w:rsidP="00E73D4B">
      <w:pPr>
        <w:pStyle w:val="avsnitt-tittel"/>
      </w:pPr>
      <w:r w:rsidRPr="00E73D4B">
        <w:t xml:space="preserve">Innarbeide universell utforming av samferdselssektoren som </w:t>
      </w:r>
      <w:proofErr w:type="spellStart"/>
      <w:r w:rsidRPr="00E73D4B">
        <w:t>eit</w:t>
      </w:r>
      <w:proofErr w:type="spellEnd"/>
      <w:r w:rsidRPr="00E73D4B">
        <w:t xml:space="preserve"> overordna mål i all transportplanlegging</w:t>
      </w:r>
    </w:p>
    <w:p w14:paraId="4F2BCEF5" w14:textId="77777777" w:rsidR="00972395" w:rsidRPr="00E73D4B" w:rsidRDefault="00F120C7" w:rsidP="00E73D4B">
      <w:pPr>
        <w:pStyle w:val="avsnitt-undertittel"/>
      </w:pPr>
      <w:r w:rsidRPr="00E73D4B">
        <w:t>Vedtak nr. 1233, 15. juni 2021</w:t>
      </w:r>
    </w:p>
    <w:p w14:paraId="5EAF680A" w14:textId="77777777" w:rsidR="00972395" w:rsidRPr="00E73D4B" w:rsidRDefault="00F120C7" w:rsidP="00E73D4B">
      <w:pPr>
        <w:pStyle w:val="blokksit"/>
        <w:rPr>
          <w:rStyle w:val="kursiv"/>
        </w:rPr>
      </w:pPr>
      <w:r w:rsidRPr="00E73D4B">
        <w:rPr>
          <w:rStyle w:val="kursiv"/>
        </w:rPr>
        <w:t>«Stortinget ber regjeringen gjøre nødvendige endringer for å sikre at universell utforming av samferdselssektoren innarbeides som et overordnet mål i all transportplanlegging for å oppnå at Norge blir universelt utformet innen 2035.»</w:t>
      </w:r>
    </w:p>
    <w:p w14:paraId="0A373C13" w14:textId="77777777" w:rsidR="00972395" w:rsidRPr="00E73D4B" w:rsidRDefault="00F120C7" w:rsidP="00E73D4B">
      <w:r w:rsidRPr="00E73D4B">
        <w:t xml:space="preserve">Vedtaket ble truffet ved behandlingen av Meld. St. 20 (2020–2021) </w:t>
      </w:r>
      <w:r w:rsidRPr="00E73D4B">
        <w:rPr>
          <w:rStyle w:val="kursiv"/>
        </w:rPr>
        <w:t>Nasjonal transportplan 2022–2033,</w:t>
      </w:r>
      <w:r w:rsidRPr="00E73D4B">
        <w:t xml:space="preserve"> jf. </w:t>
      </w:r>
      <w:proofErr w:type="spellStart"/>
      <w:r w:rsidRPr="00E73D4B">
        <w:t>Innst</w:t>
      </w:r>
      <w:proofErr w:type="spellEnd"/>
      <w:r w:rsidRPr="00E73D4B">
        <w:t>. 653 S (2020–2021).</w:t>
      </w:r>
    </w:p>
    <w:p w14:paraId="040862B9" w14:textId="77777777" w:rsidR="00972395" w:rsidRPr="00E73D4B" w:rsidRDefault="00F120C7" w:rsidP="00E73D4B">
      <w:r w:rsidRPr="00E73D4B">
        <w:t xml:space="preserve">Samferdselsdepartementet opplyste i </w:t>
      </w:r>
      <w:proofErr w:type="spellStart"/>
      <w:r w:rsidRPr="00E73D4B">
        <w:t>Prop</w:t>
      </w:r>
      <w:proofErr w:type="spellEnd"/>
      <w:r w:rsidRPr="00E73D4B">
        <w:t xml:space="preserve">. 1 S (2021–2022) at Transportøkonomisk institutt var gitt i oppdrag å utrede kunnskapsgrunnlaget og arbeidet med universell utforming av transportsystemet, og at utredningen skulle foreligge våren 2022.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50C00110" w14:textId="77777777" w:rsidR="00972395" w:rsidRPr="00E73D4B" w:rsidRDefault="00F120C7" w:rsidP="00E73D4B">
      <w:r w:rsidRPr="00E73D4B">
        <w:t>Departementet mottok utredningen våren 2022. I samarbeid med transportvirksomhetene vil Samferdselsdepartementet følge opp utredningen.</w:t>
      </w:r>
    </w:p>
    <w:p w14:paraId="70F5A2F1" w14:textId="77777777" w:rsidR="00972395" w:rsidRPr="00E73D4B" w:rsidRDefault="00F120C7" w:rsidP="00E73D4B">
      <w:r w:rsidRPr="00E73D4B">
        <w:t>Departementet vil komme tilbake til Stortinget på egnet måte.</w:t>
      </w:r>
    </w:p>
    <w:p w14:paraId="1A78F97B" w14:textId="77777777" w:rsidR="00972395" w:rsidRPr="00E73D4B" w:rsidRDefault="00F120C7" w:rsidP="00E73D4B">
      <w:pPr>
        <w:pStyle w:val="avsnitt-tittel"/>
      </w:pPr>
      <w:r w:rsidRPr="00E73D4B">
        <w:t xml:space="preserve">Nasjonal gjennomføringsplan for skredsikring av riks- og </w:t>
      </w:r>
      <w:proofErr w:type="spellStart"/>
      <w:r w:rsidRPr="00E73D4B">
        <w:t>fylkesvegar</w:t>
      </w:r>
      <w:proofErr w:type="spellEnd"/>
    </w:p>
    <w:p w14:paraId="2E0795F6" w14:textId="77777777" w:rsidR="00972395" w:rsidRPr="00E73D4B" w:rsidRDefault="00F120C7" w:rsidP="00E73D4B">
      <w:pPr>
        <w:pStyle w:val="avsnitt-undertittel"/>
      </w:pPr>
      <w:r w:rsidRPr="00E73D4B">
        <w:t>Vedtak nr. 1235, 15. juni 2021</w:t>
      </w:r>
    </w:p>
    <w:p w14:paraId="7410D3A2" w14:textId="77777777" w:rsidR="00972395" w:rsidRPr="00E73D4B" w:rsidRDefault="00F120C7" w:rsidP="00E73D4B">
      <w:pPr>
        <w:pStyle w:val="blokksit"/>
        <w:rPr>
          <w:rStyle w:val="kursiv"/>
        </w:rPr>
      </w:pPr>
      <w:r w:rsidRPr="00E73D4B">
        <w:rPr>
          <w:rStyle w:val="kursiv"/>
        </w:rPr>
        <w:t>«Stortinget ber regjeringen ta initiativ til at det sammen med fylkeskommunene utarbeides en nasjonal gjennomføringsplan for skredsikring av alle riksveger og fylkesveger med høy og middels skredfaktor.»</w:t>
      </w:r>
    </w:p>
    <w:p w14:paraId="4493E2D1" w14:textId="77777777" w:rsidR="00972395" w:rsidRPr="00E73D4B" w:rsidRDefault="00F120C7" w:rsidP="00E73D4B">
      <w:r w:rsidRPr="00E73D4B">
        <w:t xml:space="preserve">Vedtaket ble truffet ved behandlingen av Meld. St. 20 (2020–2021) </w:t>
      </w:r>
      <w:r w:rsidRPr="00E73D4B">
        <w:rPr>
          <w:rStyle w:val="kursiv"/>
        </w:rPr>
        <w:t>Nasjonal transportplan 2022–2033,</w:t>
      </w:r>
      <w:r w:rsidRPr="00E73D4B">
        <w:t xml:space="preserve"> jf. </w:t>
      </w:r>
      <w:proofErr w:type="spellStart"/>
      <w:r w:rsidRPr="00E73D4B">
        <w:t>Innst</w:t>
      </w:r>
      <w:proofErr w:type="spellEnd"/>
      <w:r w:rsidRPr="00E73D4B">
        <w:t>. 653 S (2020–2021).</w:t>
      </w:r>
    </w:p>
    <w:p w14:paraId="7871343A" w14:textId="77777777" w:rsidR="00972395" w:rsidRPr="00E73D4B" w:rsidRDefault="00F120C7" w:rsidP="00E73D4B">
      <w:r w:rsidRPr="00E73D4B">
        <w:t xml:space="preserve">Som opplyst i Samferdselsdepartementets </w:t>
      </w:r>
      <w:proofErr w:type="spellStart"/>
      <w:r w:rsidRPr="00E73D4B">
        <w:t>Prop</w:t>
      </w:r>
      <w:proofErr w:type="spellEnd"/>
      <w:r w:rsidRPr="00E73D4B">
        <w:t xml:space="preserve">. 1 S (2021–2022) ga departementet Statens vegvesen i oppdrag å ta kontakt med fylkeskommunene om en nasjonal gjennomføringsplan for skredsikring av riks- og fylkesveier.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29EDA024" w14:textId="77777777" w:rsidR="00972395" w:rsidRPr="00E73D4B" w:rsidRDefault="00F120C7" w:rsidP="00E73D4B">
      <w:r w:rsidRPr="00E73D4B">
        <w:t>Samferdselsdepartementet legger opp til at vedtaket følges opp gjennom det videre arbeidet med anmodningsvedtak nr. 470 av 5. april 2022, jf. omtale av dette vedtaket.</w:t>
      </w:r>
    </w:p>
    <w:p w14:paraId="1C253D5A" w14:textId="77777777" w:rsidR="00972395" w:rsidRPr="00E73D4B" w:rsidRDefault="00F120C7" w:rsidP="00E73D4B">
      <w:r w:rsidRPr="00E73D4B">
        <w:t>Departementet anser med dette anmodningsvedtaket som ivaretatt.</w:t>
      </w:r>
    </w:p>
    <w:p w14:paraId="5BAF68FB" w14:textId="77777777" w:rsidR="00972395" w:rsidRPr="00E73D4B" w:rsidRDefault="00F120C7" w:rsidP="00E73D4B">
      <w:pPr>
        <w:pStyle w:val="avsnitt-tittel"/>
      </w:pPr>
      <w:r w:rsidRPr="00E73D4B">
        <w:t xml:space="preserve">Prøveordning med fartsgrense på 120 km/t på </w:t>
      </w:r>
      <w:proofErr w:type="spellStart"/>
      <w:r w:rsidRPr="00E73D4B">
        <w:t>motorvegar</w:t>
      </w:r>
      <w:proofErr w:type="spellEnd"/>
      <w:r w:rsidRPr="00E73D4B">
        <w:t xml:space="preserve"> med fire felt</w:t>
      </w:r>
    </w:p>
    <w:p w14:paraId="735B435E" w14:textId="77777777" w:rsidR="00972395" w:rsidRPr="00E73D4B" w:rsidRDefault="00F120C7" w:rsidP="00E73D4B">
      <w:pPr>
        <w:pStyle w:val="avsnitt-undertittel"/>
      </w:pPr>
      <w:r w:rsidRPr="00E73D4B">
        <w:t>Vedtak nr. 1240, 15. juni 2021</w:t>
      </w:r>
    </w:p>
    <w:p w14:paraId="0F34535B" w14:textId="77777777" w:rsidR="00972395" w:rsidRPr="00E73D4B" w:rsidRDefault="00F120C7" w:rsidP="00E73D4B">
      <w:pPr>
        <w:pStyle w:val="blokksit"/>
        <w:rPr>
          <w:rStyle w:val="kursiv"/>
        </w:rPr>
      </w:pPr>
      <w:r w:rsidRPr="00E73D4B">
        <w:rPr>
          <w:rStyle w:val="kursiv"/>
        </w:rPr>
        <w:t>«Stortinget ber regjeringen gjennomføre en prøveordning med innføring av fartsgrense på 120 km/t på utvalgte strekninger på de nyeste og beste fire-felt motorveiene. Det er naturlig at både Statens vegvesen og Nye Veier blir involvert i prosessen med å velge ut prøvestrekninger.»</w:t>
      </w:r>
    </w:p>
    <w:p w14:paraId="656E743E" w14:textId="77777777" w:rsidR="00972395" w:rsidRPr="00E73D4B" w:rsidRDefault="00F120C7" w:rsidP="00E73D4B">
      <w:r w:rsidRPr="00E73D4B">
        <w:t xml:space="preserve">Dokumentene som ligger til grunn for vedtaket, er representantforslag fra stortingsrepresentantene Bård </w:t>
      </w:r>
      <w:proofErr w:type="spellStart"/>
      <w:r w:rsidRPr="00E73D4B">
        <w:t>Hoksrud</w:t>
      </w:r>
      <w:proofErr w:type="spellEnd"/>
      <w:r w:rsidRPr="00E73D4B">
        <w:t xml:space="preserve">, Tor André Johnsen, Åshild Bruun-Gundersen, Erlend Wiborg og Helge André Njåstad om å innføre 120 km/t fartsgrense på motorvei, jf. Dokument 8:212 S (2020–2021) og </w:t>
      </w:r>
      <w:proofErr w:type="spellStart"/>
      <w:r w:rsidRPr="00E73D4B">
        <w:t>Innst</w:t>
      </w:r>
      <w:proofErr w:type="spellEnd"/>
      <w:r w:rsidRPr="00E73D4B">
        <w:t>. 639 S (2020–2021).</w:t>
      </w:r>
    </w:p>
    <w:p w14:paraId="596E527A" w14:textId="77777777" w:rsidR="00972395" w:rsidRPr="00E73D4B" w:rsidRDefault="00F120C7" w:rsidP="00E73D4B">
      <w:r w:rsidRPr="00E73D4B">
        <w:t xml:space="preserve">I </w:t>
      </w:r>
      <w:proofErr w:type="spellStart"/>
      <w:r w:rsidRPr="00E73D4B">
        <w:t>Prop</w:t>
      </w:r>
      <w:proofErr w:type="spellEnd"/>
      <w:r w:rsidRPr="00E73D4B">
        <w:t xml:space="preserve">. 1 S (2020–2021) opplyste Samferdselsdepartementet at Statens vegvesen var bedt om å utrede en prøveordning med 120 km/t på utvalgte strekninger, i tråd med anmodningsvedtaket, og at Nye Veier AS ville bli involvert i arbeidet med å velge ut prøvestrekninger.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785EF7FF" w14:textId="77777777" w:rsidR="00972395" w:rsidRPr="00E73D4B" w:rsidRDefault="00F120C7" w:rsidP="00E73D4B">
      <w:r w:rsidRPr="00E73D4B">
        <w:t>Statens vegvesen har foretatt en gjennomgang av alle motorveier i Norge med fartsgrense 110 km/t for å finne aktuelle prøvestrekninger for 120 km/t.</w:t>
      </w:r>
    </w:p>
    <w:p w14:paraId="6E5CDE21" w14:textId="77777777" w:rsidR="00972395" w:rsidRPr="00E73D4B" w:rsidRDefault="00F120C7" w:rsidP="00E73D4B">
      <w:r w:rsidRPr="00E73D4B">
        <w:t>Fire strekninger ble ut fra et sett utvalgskriterier ansett som mest aktuelle for å teste ut fartsgrense 120 km/t. Disse ble analysert nærmere. Nye Veier AS har ansvar for to av strekningene. For alle strekningene vil det kreves vesentlige utbedringstiltak for å ivareta sikkerhetsmarginer og -barrierer dersom fartsgrensen øker til 120 km/t.</w:t>
      </w:r>
    </w:p>
    <w:p w14:paraId="7BC298C9" w14:textId="77777777" w:rsidR="00972395" w:rsidRPr="00E73D4B" w:rsidRDefault="00F120C7" w:rsidP="00E73D4B">
      <w:r w:rsidRPr="00E73D4B">
        <w:t>Den samfunnsøkonomiske analysen viser at heving av fartsgrensen til 120 km/t har negativ netto nytte på samtlige strekninger. Reduserte tidskostnader på grunn av høyere fart, oppveier ikke økte kjøretøykostnader og kostnader til nødvendige utbedringstiltak, f.eks. lengre fartsendringsfelt.</w:t>
      </w:r>
    </w:p>
    <w:p w14:paraId="736C6083" w14:textId="77777777" w:rsidR="00972395" w:rsidRPr="00E73D4B" w:rsidRDefault="00F120C7" w:rsidP="00E73D4B">
      <w:r w:rsidRPr="00E73D4B">
        <w:t>Sparte tidskostnader er det største bidraget til nytte i de samfunnsøkonomiske analysene. Neddiskontert til nåverdi utgjør det for de fire strekningene en samlet beregnet gevinst på 300 mill. kr i ti-årsperioden. Gevinsten er imidlertid kun knyttet til lette kjøretøy (på grunn av tunge kjøretøys fartssperre) og er summen av kortere reisetid for hver enkelt bilist, i gjennomsnitt mellom 16 og 24 sekunder på den enkelte strekning.</w:t>
      </w:r>
    </w:p>
    <w:p w14:paraId="1FBF676B" w14:textId="77777777" w:rsidR="00972395" w:rsidRPr="00E73D4B" w:rsidRDefault="00F120C7" w:rsidP="00E73D4B">
      <w:r w:rsidRPr="00E73D4B">
        <w:t>Økt fartsgrense på alle de fire strekningene vil samlet sett gi 0,35 drepte og hardt skadde første år, og om lag 3,5 flere drepte og hardt skadde i ti-årsperioden.</w:t>
      </w:r>
    </w:p>
    <w:p w14:paraId="0CEF4805" w14:textId="77777777" w:rsidR="00972395" w:rsidRPr="00E73D4B" w:rsidRDefault="00F120C7" w:rsidP="00E73D4B">
      <w:r w:rsidRPr="00E73D4B">
        <w:t>Totalt vil en økning i fartsgrensen på de fire strekningene gi økt utslipp på om lag 2 400 tonn CO</w:t>
      </w:r>
      <w:r w:rsidRPr="00E73D4B">
        <w:rPr>
          <w:rStyle w:val="skrift-senket"/>
        </w:rPr>
        <w:t>2</w:t>
      </w:r>
      <w:r w:rsidRPr="00E73D4B">
        <w:t>-ekvivalenter per år (første år i beregningsperioden).</w:t>
      </w:r>
    </w:p>
    <w:p w14:paraId="52AA9A9E" w14:textId="77777777" w:rsidR="00972395" w:rsidRPr="00E73D4B" w:rsidRDefault="00F120C7" w:rsidP="00E73D4B">
      <w:r w:rsidRPr="00E73D4B">
        <w:t>Statens vegvesen har videre vurdert flere ikke-prissatte virkninger som økt energiforbruk, lokal luftforurensing, spredning av mikroplast som følge av slitasje fra bildekk og sannsynlig økt bruk av veisalt.</w:t>
      </w:r>
    </w:p>
    <w:p w14:paraId="75FA7F14" w14:textId="77777777" w:rsidR="00972395" w:rsidRPr="00E73D4B" w:rsidRDefault="00F120C7" w:rsidP="00E73D4B">
      <w:r w:rsidRPr="00E73D4B">
        <w:t>Regjeringen vurderer at Statens vegvesens utredning tydelig viser at det både ut fra nyttebetraktninger, de budsjettmessige utsiktene for samferdselssektoren fremover, og en samlet vurdering av negativ påvirkning på hovedmålene i transportpolitikken med hensyn til mer for pengene, nullvisjonen for drepte og hardt skadde og oppfylling av Norges klima- og miljømål, ikke er tilrådelig å gjennomføre en prøveordning med 120 km/t på noen motorveistrekninger i Norge.</w:t>
      </w:r>
    </w:p>
    <w:p w14:paraId="25EA20BF" w14:textId="77777777" w:rsidR="00972395" w:rsidRPr="00E73D4B" w:rsidRDefault="00F120C7" w:rsidP="00E73D4B">
      <w:r w:rsidRPr="00E73D4B">
        <w:t>Statens vegvesen har vurdert konsekvensene av å øke farten på de beste motorveistrekningene i en tidshorisont på ti år fremover. I et lenger tidsperspektiv kan forhold endre seg og gjøre det fornuftig med en ny gjennomgang av fartsgrensene. F.eks. kan sikrere og mer miljøvennlige kjøretøy i fremtiden gjøre det mer aktuelt å sette opp fartsgrensen, mens en knapphet på energi kan gjøre det nødvendig med lavere fartsgrenser.</w:t>
      </w:r>
    </w:p>
    <w:p w14:paraId="21F70A3E" w14:textId="77777777" w:rsidR="00972395" w:rsidRPr="00E73D4B" w:rsidRDefault="00F120C7" w:rsidP="00E73D4B">
      <w:r w:rsidRPr="00E73D4B">
        <w:t>Samferdselsdepartementet foreslår på denne bakgrunn å oppheve anmodningsvedtak nr. 1240 fra stortingssesjonen 2020–2021, jf. forslag til romertallsvedtak.</w:t>
      </w:r>
    </w:p>
    <w:p w14:paraId="1D50B19C" w14:textId="77777777" w:rsidR="00972395" w:rsidRPr="00E73D4B" w:rsidRDefault="00F120C7" w:rsidP="00E73D4B">
      <w:pPr>
        <w:pStyle w:val="avsnitt-tittel"/>
      </w:pPr>
      <w:r w:rsidRPr="00E73D4B">
        <w:t xml:space="preserve">Informasjonsskilt langs </w:t>
      </w:r>
      <w:proofErr w:type="spellStart"/>
      <w:r w:rsidRPr="00E73D4B">
        <w:t>vegane</w:t>
      </w:r>
      <w:proofErr w:type="spellEnd"/>
    </w:p>
    <w:p w14:paraId="3BBA7348" w14:textId="77777777" w:rsidR="00972395" w:rsidRPr="00E73D4B" w:rsidRDefault="00F120C7" w:rsidP="00E73D4B">
      <w:pPr>
        <w:pStyle w:val="avsnitt-undertittel"/>
      </w:pPr>
      <w:r w:rsidRPr="00E73D4B">
        <w:t>Vedtak nr. 1242, 15. juni 2021</w:t>
      </w:r>
    </w:p>
    <w:p w14:paraId="7AE5612D" w14:textId="77777777" w:rsidR="00972395" w:rsidRPr="00E73D4B" w:rsidRDefault="00F120C7" w:rsidP="00E73D4B">
      <w:pPr>
        <w:pStyle w:val="blokksit"/>
        <w:rPr>
          <w:rStyle w:val="kursiv"/>
        </w:rPr>
      </w:pPr>
      <w:r w:rsidRPr="00E73D4B">
        <w:rPr>
          <w:rStyle w:val="kursiv"/>
        </w:rPr>
        <w:t>«Stortinget ber regjeringen endre dagens skiltregelverk slik at det blir enklere for aktører langs vegnettet å informere trafikantene om virksomhetene og hvor de er lokalisert. Stortinget ber regjeringen starte arbeidet med revidering av de nødvendige håndbøker og eventuelle forslag til endringer i vegtrafikkloven slik disse kan gjennomføres så raskt som mulig.»</w:t>
      </w:r>
    </w:p>
    <w:p w14:paraId="4CCDFB40" w14:textId="77777777" w:rsidR="00972395" w:rsidRPr="00E73D4B" w:rsidRDefault="00F120C7" w:rsidP="00E73D4B">
      <w:r w:rsidRPr="00E73D4B">
        <w:t xml:space="preserve">Dokumentene som ligger til grunn for vedtaket, er representantforslag fra stortingsrepresentantene Tor André Johnsen, Bård </w:t>
      </w:r>
      <w:proofErr w:type="spellStart"/>
      <w:r w:rsidRPr="00E73D4B">
        <w:t>Hoksrud</w:t>
      </w:r>
      <w:proofErr w:type="spellEnd"/>
      <w:r w:rsidRPr="00E73D4B">
        <w:t xml:space="preserve">, Erlend Wiborg, Åshild Bruun-Gundersen og Helge André Njåstad om å gjøre det enklere å montere informasjonsskilt langs norske veier, jf. Dokument 8:253 S (2020–2021) og </w:t>
      </w:r>
      <w:proofErr w:type="spellStart"/>
      <w:r w:rsidRPr="00E73D4B">
        <w:t>Innst</w:t>
      </w:r>
      <w:proofErr w:type="spellEnd"/>
      <w:r w:rsidRPr="00E73D4B">
        <w:t>. 636 S (2020–2021).</w:t>
      </w:r>
    </w:p>
    <w:p w14:paraId="152CA27D" w14:textId="77777777" w:rsidR="00972395" w:rsidRPr="00E73D4B" w:rsidRDefault="00F120C7" w:rsidP="00E73D4B">
      <w:r w:rsidRPr="00E73D4B">
        <w:t xml:space="preserve">Samferdselsdepartementet opplyste i </w:t>
      </w:r>
      <w:proofErr w:type="spellStart"/>
      <w:r w:rsidRPr="00E73D4B">
        <w:t>Prop</w:t>
      </w:r>
      <w:proofErr w:type="spellEnd"/>
      <w:r w:rsidRPr="00E73D4B">
        <w:t xml:space="preserve">. 1 S (2021–2022) at departementet på bakgrunn av føringene i anmodningsvedtaket hadde bedt Statens vegvesen foreta en ny revisjon av skiltnormalen (N300 Trafikkskilt).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6C625FE3" w14:textId="77777777" w:rsidR="00972395" w:rsidRPr="00E73D4B" w:rsidRDefault="00F120C7" w:rsidP="00E73D4B">
      <w:r w:rsidRPr="00E73D4B">
        <w:t>Statens vegvesen inviterte særlig aktuelle aktører, bl.a. Virke, NHO reiseliv og NAF, til å delta i revisjonsarbeidet. Det ble i tillegg holdt digitalt møte og gitt anledning til skriftlige innspill.</w:t>
      </w:r>
    </w:p>
    <w:p w14:paraId="15057670" w14:textId="77777777" w:rsidR="00972395" w:rsidRPr="00E73D4B" w:rsidRDefault="00F120C7" w:rsidP="00E73D4B">
      <w:r w:rsidRPr="00E73D4B">
        <w:t>Basert på bl.a. mottatte innspill utarbeidet Statens vegvesen et forslag til endringer i skiltnormalen, som ble sendt på høring 6. april 2022 med svarfrist 30. juni 2022. Vegvesenet går nå gjennom mottatte høringsinnspill og vil bl.a. med grunnlag i disse utarbeide et endelig forslag til endringer i skiltnormalen. Forslaget vil bli forelagt Samferdselsdepartementet.</w:t>
      </w:r>
    </w:p>
    <w:p w14:paraId="0D9D5A9E" w14:textId="77777777" w:rsidR="00972395" w:rsidRPr="00E73D4B" w:rsidRDefault="00F120C7" w:rsidP="00E73D4B">
      <w:r w:rsidRPr="00E73D4B">
        <w:t>Departementet vil komme tilbake til saken på egnet måte.</w:t>
      </w:r>
    </w:p>
    <w:p w14:paraId="68AA0E27" w14:textId="77777777" w:rsidR="00972395" w:rsidRPr="00E73D4B" w:rsidRDefault="00F120C7" w:rsidP="00E73D4B">
      <w:pPr>
        <w:pStyle w:val="Overskrift2"/>
      </w:pPr>
      <w:r w:rsidRPr="00E73D4B">
        <w:t>Stortingssesjon 2019–2020</w:t>
      </w:r>
    </w:p>
    <w:p w14:paraId="5EEDD531" w14:textId="77777777" w:rsidR="00972395" w:rsidRPr="00E73D4B" w:rsidRDefault="00F120C7" w:rsidP="00E73D4B">
      <w:pPr>
        <w:pStyle w:val="avsnitt-tittel"/>
      </w:pPr>
      <w:r w:rsidRPr="00E73D4B">
        <w:t xml:space="preserve">Digitalt transportregister for all internasjonal godstrafikk, kombinerte </w:t>
      </w:r>
      <w:proofErr w:type="spellStart"/>
      <w:r w:rsidRPr="00E73D4B">
        <w:t>transportar</w:t>
      </w:r>
      <w:proofErr w:type="spellEnd"/>
      <w:r w:rsidRPr="00E73D4B">
        <w:t xml:space="preserve"> og </w:t>
      </w:r>
      <w:proofErr w:type="spellStart"/>
      <w:r w:rsidRPr="00E73D4B">
        <w:t>kabotasjeturar</w:t>
      </w:r>
      <w:proofErr w:type="spellEnd"/>
      <w:r w:rsidRPr="00E73D4B">
        <w:t xml:space="preserve"> i </w:t>
      </w:r>
      <w:proofErr w:type="spellStart"/>
      <w:r w:rsidRPr="00E73D4B">
        <w:t>Noreg</w:t>
      </w:r>
      <w:proofErr w:type="spellEnd"/>
    </w:p>
    <w:p w14:paraId="6518AFA3" w14:textId="77777777" w:rsidR="00972395" w:rsidRPr="00E73D4B" w:rsidRDefault="00F120C7" w:rsidP="00E73D4B">
      <w:pPr>
        <w:pStyle w:val="avsnitt-undertittel"/>
      </w:pPr>
      <w:r w:rsidRPr="00E73D4B">
        <w:t>Vedtak nr. 435, 31. mars 2020</w:t>
      </w:r>
    </w:p>
    <w:p w14:paraId="7F16DD33" w14:textId="77777777" w:rsidR="00972395" w:rsidRPr="00E73D4B" w:rsidRDefault="00F120C7" w:rsidP="00E73D4B">
      <w:pPr>
        <w:pStyle w:val="blokksit"/>
        <w:rPr>
          <w:rStyle w:val="kursiv"/>
        </w:rPr>
      </w:pPr>
      <w:r w:rsidRPr="00E73D4B">
        <w:rPr>
          <w:rStyle w:val="kursiv"/>
        </w:rPr>
        <w:t>«Stortinget ber regjeringen utrede og fremme forslag om et digitalt transportregister for all nasjonal godstrafikk, kombinerte transporter og kabotasjeturer i Norge.»</w:t>
      </w:r>
    </w:p>
    <w:p w14:paraId="2B30D754" w14:textId="77777777" w:rsidR="00972395" w:rsidRPr="00E73D4B" w:rsidRDefault="00F120C7" w:rsidP="00E73D4B">
      <w:r w:rsidRPr="00E73D4B">
        <w:t xml:space="preserve">Vedtaket ble truffet ved behandlingen av </w:t>
      </w:r>
      <w:proofErr w:type="spellStart"/>
      <w:r w:rsidRPr="00E73D4B">
        <w:t>Prop</w:t>
      </w:r>
      <w:proofErr w:type="spellEnd"/>
      <w:r w:rsidRPr="00E73D4B">
        <w:t xml:space="preserve">. 11 LS (2019–2020) </w:t>
      </w:r>
      <w:r w:rsidRPr="00E73D4B">
        <w:rPr>
          <w:rStyle w:val="kursiv"/>
        </w:rPr>
        <w:t>Endringer i vegfraktloven mv. (elektroniske fraktbrev) og samtykke til ratifikasjon av tilleggsprotokoll 20. februar 2008 om elektroniske fraktbrev (</w:t>
      </w:r>
      <w:proofErr w:type="spellStart"/>
      <w:r w:rsidRPr="00E73D4B">
        <w:rPr>
          <w:rStyle w:val="kursiv"/>
        </w:rPr>
        <w:t>eCMR</w:t>
      </w:r>
      <w:proofErr w:type="spellEnd"/>
      <w:r w:rsidRPr="00E73D4B">
        <w:rPr>
          <w:rStyle w:val="kursiv"/>
        </w:rPr>
        <w:t>) til Genève-konvensjonen 19. mai 1956 om fraktavtaler ved internasjonal godsbefordring på veg (CMR)</w:t>
      </w:r>
      <w:r w:rsidRPr="00E73D4B">
        <w:t xml:space="preserve">, jf. </w:t>
      </w:r>
      <w:proofErr w:type="spellStart"/>
      <w:r w:rsidRPr="00E73D4B">
        <w:t>Innst</w:t>
      </w:r>
      <w:proofErr w:type="spellEnd"/>
      <w:r w:rsidRPr="00E73D4B">
        <w:t>. 214 S (2019–2020).</w:t>
      </w:r>
    </w:p>
    <w:p w14:paraId="0BC17747" w14:textId="77777777" w:rsidR="00972395" w:rsidRPr="00E73D4B" w:rsidRDefault="00F120C7" w:rsidP="00E73D4B">
      <w:r w:rsidRPr="00E73D4B">
        <w:t xml:space="preserve">Samferdselsdepartementet opplyste i </w:t>
      </w:r>
      <w:proofErr w:type="spellStart"/>
      <w:r w:rsidRPr="00E73D4B">
        <w:t>Prop</w:t>
      </w:r>
      <w:proofErr w:type="spellEnd"/>
      <w:r w:rsidRPr="00E73D4B">
        <w:t xml:space="preserve">. 1 S (2021–2022) at departementet og Arbeids- og sosialdepartementet hadde startet en dialog for å kartlegge mulige hjemmelsgrunnlag og alternative tiltak for å følge opp anmodningsvedtaket, men at dette arbeidet hadde hatt redusert fremdrift på grunn av koronapandemien.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18099664" w14:textId="77777777" w:rsidR="00972395" w:rsidRPr="00E73D4B" w:rsidRDefault="00F120C7" w:rsidP="00E73D4B">
      <w:r w:rsidRPr="00E73D4B">
        <w:t>Arbeids- og inkluderingsdepartementet og Samferdselsdepartementet vurderer fortsatt oppfølgingen av vedtaket, og Samferdselsdepartementet vil komme tilbake til saken på egnet måte.</w:t>
      </w:r>
    </w:p>
    <w:p w14:paraId="42DB4BA0" w14:textId="77777777" w:rsidR="00972395" w:rsidRPr="00E73D4B" w:rsidRDefault="00F120C7" w:rsidP="00E73D4B">
      <w:pPr>
        <w:pStyle w:val="Overskrift2"/>
      </w:pPr>
      <w:r w:rsidRPr="00E73D4B">
        <w:t>Stortingssesjon 2018–2019</w:t>
      </w:r>
    </w:p>
    <w:p w14:paraId="71F11609" w14:textId="77777777" w:rsidR="00972395" w:rsidRPr="00E73D4B" w:rsidRDefault="00F120C7" w:rsidP="00E73D4B">
      <w:pPr>
        <w:pStyle w:val="avsnitt-tittel"/>
      </w:pPr>
      <w:r w:rsidRPr="00E73D4B">
        <w:t xml:space="preserve">Administrative </w:t>
      </w:r>
      <w:proofErr w:type="spellStart"/>
      <w:r w:rsidRPr="00E73D4B">
        <w:t>sanksjonar</w:t>
      </w:r>
      <w:proofErr w:type="spellEnd"/>
      <w:r w:rsidRPr="00E73D4B">
        <w:t xml:space="preserve"> ved </w:t>
      </w:r>
      <w:proofErr w:type="spellStart"/>
      <w:r w:rsidRPr="00E73D4B">
        <w:t>brot</w:t>
      </w:r>
      <w:proofErr w:type="spellEnd"/>
      <w:r w:rsidRPr="00E73D4B">
        <w:t xml:space="preserve"> på kabotasjeregelverket</w:t>
      </w:r>
    </w:p>
    <w:p w14:paraId="48E73A1A" w14:textId="77777777" w:rsidR="00972395" w:rsidRPr="00E73D4B" w:rsidRDefault="00F120C7" w:rsidP="00E73D4B">
      <w:pPr>
        <w:pStyle w:val="avsnitt-undertittel"/>
      </w:pPr>
      <w:r w:rsidRPr="00E73D4B">
        <w:t>Vedtak nr. 345, 18. desember 2018</w:t>
      </w:r>
    </w:p>
    <w:p w14:paraId="69ACC166" w14:textId="77777777" w:rsidR="00972395" w:rsidRPr="00E73D4B" w:rsidRDefault="00F120C7" w:rsidP="00E73D4B">
      <w:pPr>
        <w:pStyle w:val="blokksit"/>
        <w:rPr>
          <w:rStyle w:val="kursiv"/>
        </w:rPr>
      </w:pPr>
      <w:r w:rsidRPr="00E73D4B">
        <w:rPr>
          <w:rStyle w:val="kursiv"/>
        </w:rPr>
        <w:t>«Stortinget ber regjeringen vurdere om det er mer hensiktsmessig å benytte administrative sanksjoner i form av forenklet forelegg for å sikre en mer effektiv oppfølging av brudd på kabotasjeregelverket, herunder nivået på foreleggene og muligheten til å kreve det inn på stedet.»</w:t>
      </w:r>
    </w:p>
    <w:p w14:paraId="23844A9C" w14:textId="77777777" w:rsidR="00972395" w:rsidRPr="00E73D4B" w:rsidRDefault="00F120C7" w:rsidP="00E73D4B">
      <w:r w:rsidRPr="00E73D4B">
        <w:t xml:space="preserve">Dokumentene som ligger til grunn for vedtaket er representantforslag fra stortingsrepresentantene Arne Nævra, Kari Elisabeth </w:t>
      </w:r>
      <w:proofErr w:type="spellStart"/>
      <w:r w:rsidRPr="00E73D4B">
        <w:t>Kaski</w:t>
      </w:r>
      <w:proofErr w:type="spellEnd"/>
      <w:r w:rsidRPr="00E73D4B">
        <w:t xml:space="preserve">, Karin Andersen, Freddy André </w:t>
      </w:r>
      <w:proofErr w:type="spellStart"/>
      <w:r w:rsidRPr="00E73D4B">
        <w:t>Øvstegård</w:t>
      </w:r>
      <w:proofErr w:type="spellEnd"/>
      <w:r w:rsidRPr="00E73D4B">
        <w:t xml:space="preserve"> og Lars Haltbrekken om en bærekraftig godsnæring og mer gods på bane, jf. Dokument 8:22 S (2018–2019) og </w:t>
      </w:r>
      <w:proofErr w:type="spellStart"/>
      <w:r w:rsidRPr="00E73D4B">
        <w:t>Innst</w:t>
      </w:r>
      <w:proofErr w:type="spellEnd"/>
      <w:r w:rsidRPr="00E73D4B">
        <w:t>. 66 S (2018–2019).</w:t>
      </w:r>
    </w:p>
    <w:p w14:paraId="252F135F" w14:textId="77777777" w:rsidR="00972395" w:rsidRPr="00E73D4B" w:rsidRDefault="00F120C7" w:rsidP="00E73D4B">
      <w:r w:rsidRPr="00E73D4B">
        <w:t xml:space="preserve">I </w:t>
      </w:r>
      <w:proofErr w:type="spellStart"/>
      <w:r w:rsidRPr="00E73D4B">
        <w:t>Prop</w:t>
      </w:r>
      <w:proofErr w:type="spellEnd"/>
      <w:r w:rsidRPr="00E73D4B">
        <w:t xml:space="preserve">. 1 S (2021–2022) redegjorde Samferdselsdepartementet for lov- og forskriftsarbeid som pågikk, og at departementet ville komme tilbake med en egen lovproposisjon. Ved behandlingen av anmodningsvedtakene tok kontroll- og konstitusjonskomiteen regjeringens oppfølging eller planer om oppfølging til etterretning, jf. </w:t>
      </w:r>
      <w:proofErr w:type="spellStart"/>
      <w:r w:rsidRPr="00E73D4B">
        <w:t>Innst</w:t>
      </w:r>
      <w:proofErr w:type="spellEnd"/>
      <w:r w:rsidRPr="00E73D4B">
        <w:t>. 141 (2021–2022).</w:t>
      </w:r>
    </w:p>
    <w:p w14:paraId="1A06EF0B" w14:textId="77777777" w:rsidR="00972395" w:rsidRPr="00E73D4B" w:rsidRDefault="00F120C7" w:rsidP="00E73D4B">
      <w:r w:rsidRPr="00E73D4B">
        <w:t>Samferdselsdepartementet jobber med å ferdigstille en proposisjon med forslag til endringer i yrkestransportloven.</w:t>
      </w:r>
    </w:p>
    <w:p w14:paraId="6FF9E96B" w14:textId="77777777" w:rsidR="00972395" w:rsidRPr="00E73D4B" w:rsidRDefault="00F120C7" w:rsidP="00E73D4B">
      <w:pPr>
        <w:pStyle w:val="Overskrift1"/>
      </w:pPr>
      <w:proofErr w:type="spellStart"/>
      <w:r w:rsidRPr="00E73D4B">
        <w:t>Utenriksdepartmentet</w:t>
      </w:r>
      <w:proofErr w:type="spellEnd"/>
    </w:p>
    <w:p w14:paraId="617CA7A1" w14:textId="006E6D4E" w:rsidR="00972395" w:rsidRDefault="00F120C7" w:rsidP="00E73D4B">
      <w:r w:rsidRPr="00E73D4B">
        <w:t xml:space="preserve">Nedenfor gis en oversikt over oppfølging av anmodningsvedtak under Utenriksdepartementet. Oversikten inkluderer alle vedtak fra stortingssesjonen 2021–2022, samt de vedtakene fra tidligere stortingssesjoner som kontroll- og konstitusjonskomiteen i </w:t>
      </w:r>
      <w:proofErr w:type="spellStart"/>
      <w:r w:rsidRPr="00E73D4B">
        <w:t>Innst</w:t>
      </w:r>
      <w:proofErr w:type="spellEnd"/>
      <w:r w:rsidRPr="00E73D4B">
        <w:t>. 141 S (2021–2022) mente ikke var kvittert ut. I tabellen nedenfor angis det også hvorvidt departementet planlegger at rapporteringen knyttet til anmodningsvedtaket nå avsluttes eller om departementet vil rapportere konkret på vedtaket også i neste års budsjettproposisjon.</w:t>
      </w:r>
    </w:p>
    <w:p w14:paraId="2763F88B" w14:textId="4142B09B" w:rsidR="004A107D" w:rsidRPr="00E73D4B" w:rsidRDefault="004A107D" w:rsidP="004A107D">
      <w:pPr>
        <w:pStyle w:val="tabell-tittel"/>
      </w:pPr>
      <w:r w:rsidRPr="00E73D4B">
        <w:t>Oversikt over anmodnings- og utredningsvedtak, ordnet etter sesjon og nummer</w:t>
      </w:r>
    </w:p>
    <w:p w14:paraId="0637ABC6" w14:textId="5E3C2CE9" w:rsidR="00972395" w:rsidRPr="00E73D4B" w:rsidRDefault="00F120C7" w:rsidP="00E73D4B">
      <w:pPr>
        <w:pStyle w:val="Tabellnavn"/>
      </w:pPr>
      <w:r w:rsidRPr="00E73D4B">
        <w:t>04J</w:t>
      </w:r>
      <w:r w:rsidR="00EA4147">
        <w:t>1</w:t>
      </w:r>
      <w:r w:rsidRPr="00E73D4B">
        <w:t>xt2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1375"/>
        <w:gridCol w:w="1319"/>
        <w:gridCol w:w="4819"/>
        <w:gridCol w:w="1587"/>
      </w:tblGrid>
      <w:tr w:rsidR="00972395" w:rsidRPr="00E73D4B" w14:paraId="5DC9C0AF" w14:textId="77777777" w:rsidTr="0076431D">
        <w:trPr>
          <w:trHeight w:val="880"/>
        </w:trPr>
        <w:tc>
          <w:tcPr>
            <w:tcW w:w="137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4C07AE" w14:textId="77777777" w:rsidR="00972395" w:rsidRPr="00E73D4B" w:rsidRDefault="00F120C7" w:rsidP="004A107D">
            <w:r w:rsidRPr="00E73D4B">
              <w:t>Sesjon</w:t>
            </w:r>
          </w:p>
        </w:tc>
        <w:tc>
          <w:tcPr>
            <w:tcW w:w="131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5CF6E03" w14:textId="77777777" w:rsidR="00972395" w:rsidRPr="00E73D4B" w:rsidRDefault="00F120C7" w:rsidP="004A107D">
            <w:pPr>
              <w:jc w:val="right"/>
            </w:pPr>
            <w:r w:rsidRPr="00E73D4B">
              <w:t>Vedtak nr.</w:t>
            </w:r>
          </w:p>
        </w:tc>
        <w:tc>
          <w:tcPr>
            <w:tcW w:w="481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BC2DBA" w14:textId="77777777" w:rsidR="00972395" w:rsidRPr="00E73D4B" w:rsidRDefault="00F120C7" w:rsidP="004A107D">
            <w:r w:rsidRPr="00E73D4B">
              <w:t>Stikkord</w:t>
            </w:r>
          </w:p>
        </w:tc>
        <w:tc>
          <w:tcPr>
            <w:tcW w:w="15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B32FABC" w14:textId="77777777" w:rsidR="00972395" w:rsidRPr="00E73D4B" w:rsidRDefault="00F120C7" w:rsidP="004A107D">
            <w:pPr>
              <w:jc w:val="right"/>
            </w:pPr>
            <w:r w:rsidRPr="00E73D4B">
              <w:t xml:space="preserve">Rapportering avsluttes </w:t>
            </w:r>
            <w:r w:rsidRPr="00E73D4B">
              <w:br/>
              <w:t>(Ja/Nei)</w:t>
            </w:r>
          </w:p>
        </w:tc>
      </w:tr>
      <w:tr w:rsidR="00972395" w:rsidRPr="00E73D4B" w14:paraId="249739FA" w14:textId="77777777" w:rsidTr="0076431D">
        <w:trPr>
          <w:trHeight w:val="640"/>
        </w:trPr>
        <w:tc>
          <w:tcPr>
            <w:tcW w:w="1375" w:type="dxa"/>
            <w:tcBorders>
              <w:top w:val="single" w:sz="4" w:space="0" w:color="000000"/>
              <w:left w:val="nil"/>
              <w:right w:val="nil"/>
            </w:tcBorders>
            <w:tcMar>
              <w:top w:w="128" w:type="dxa"/>
              <w:left w:w="43" w:type="dxa"/>
              <w:bottom w:w="43" w:type="dxa"/>
              <w:right w:w="43" w:type="dxa"/>
            </w:tcMar>
          </w:tcPr>
          <w:p w14:paraId="1FF1E7DF" w14:textId="77777777" w:rsidR="00972395" w:rsidRPr="00E73D4B" w:rsidRDefault="00F120C7" w:rsidP="004A107D">
            <w:r w:rsidRPr="00E73D4B">
              <w:t>2021–2022</w:t>
            </w:r>
          </w:p>
        </w:tc>
        <w:tc>
          <w:tcPr>
            <w:tcW w:w="1319" w:type="dxa"/>
            <w:tcBorders>
              <w:top w:val="single" w:sz="4" w:space="0" w:color="000000"/>
              <w:left w:val="nil"/>
              <w:right w:val="nil"/>
            </w:tcBorders>
            <w:tcMar>
              <w:top w:w="128" w:type="dxa"/>
              <w:left w:w="43" w:type="dxa"/>
              <w:bottom w:w="43" w:type="dxa"/>
              <w:right w:w="43" w:type="dxa"/>
            </w:tcMar>
          </w:tcPr>
          <w:p w14:paraId="1E5917E0" w14:textId="77777777" w:rsidR="00972395" w:rsidRPr="00E73D4B" w:rsidRDefault="00F120C7" w:rsidP="004A107D">
            <w:pPr>
              <w:jc w:val="right"/>
            </w:pPr>
            <w:r w:rsidRPr="00E73D4B">
              <w:t>838</w:t>
            </w:r>
          </w:p>
        </w:tc>
        <w:tc>
          <w:tcPr>
            <w:tcW w:w="4819" w:type="dxa"/>
            <w:tcBorders>
              <w:top w:val="single" w:sz="4" w:space="0" w:color="000000"/>
              <w:left w:val="nil"/>
              <w:right w:val="nil"/>
            </w:tcBorders>
            <w:tcMar>
              <w:top w:w="128" w:type="dxa"/>
              <w:left w:w="43" w:type="dxa"/>
              <w:bottom w:w="43" w:type="dxa"/>
              <w:right w:w="43" w:type="dxa"/>
            </w:tcMar>
          </w:tcPr>
          <w:p w14:paraId="5AF5B940" w14:textId="77777777" w:rsidR="00972395" w:rsidRPr="00E73D4B" w:rsidRDefault="00F120C7" w:rsidP="004A107D">
            <w:r w:rsidRPr="00E73D4B">
              <w:t>Øremerking til norske organisasjoner som arbeider med nedrustning</w:t>
            </w:r>
          </w:p>
        </w:tc>
        <w:tc>
          <w:tcPr>
            <w:tcW w:w="1587" w:type="dxa"/>
            <w:tcBorders>
              <w:top w:val="single" w:sz="4" w:space="0" w:color="000000"/>
              <w:left w:val="nil"/>
              <w:right w:val="nil"/>
            </w:tcBorders>
            <w:tcMar>
              <w:top w:w="128" w:type="dxa"/>
              <w:left w:w="43" w:type="dxa"/>
              <w:bottom w:w="43" w:type="dxa"/>
              <w:right w:w="43" w:type="dxa"/>
            </w:tcMar>
            <w:vAlign w:val="bottom"/>
          </w:tcPr>
          <w:p w14:paraId="1FD0B407" w14:textId="77777777" w:rsidR="00972395" w:rsidRPr="00E73D4B" w:rsidRDefault="00F120C7" w:rsidP="004A107D">
            <w:pPr>
              <w:jc w:val="right"/>
            </w:pPr>
            <w:r w:rsidRPr="00E73D4B">
              <w:t>Ja</w:t>
            </w:r>
          </w:p>
        </w:tc>
      </w:tr>
      <w:tr w:rsidR="00972395" w:rsidRPr="00E73D4B" w14:paraId="592C8D38" w14:textId="77777777" w:rsidTr="0076431D">
        <w:trPr>
          <w:trHeight w:val="380"/>
        </w:trPr>
        <w:tc>
          <w:tcPr>
            <w:tcW w:w="1375" w:type="dxa"/>
            <w:tcBorders>
              <w:top w:val="nil"/>
              <w:left w:val="nil"/>
              <w:bottom w:val="single" w:sz="4" w:space="0" w:color="000000"/>
              <w:right w:val="nil"/>
            </w:tcBorders>
            <w:shd w:val="clear" w:color="auto" w:fill="auto"/>
            <w:tcMar>
              <w:top w:w="128" w:type="dxa"/>
              <w:left w:w="43" w:type="dxa"/>
              <w:bottom w:w="43" w:type="dxa"/>
              <w:right w:w="43" w:type="dxa"/>
            </w:tcMar>
          </w:tcPr>
          <w:p w14:paraId="5897DF98" w14:textId="77777777" w:rsidR="00972395" w:rsidRPr="00E73D4B" w:rsidRDefault="00F120C7" w:rsidP="004A107D">
            <w:r w:rsidRPr="00E73D4B">
              <w:t>2020–2021</w:t>
            </w:r>
          </w:p>
        </w:tc>
        <w:tc>
          <w:tcPr>
            <w:tcW w:w="1319" w:type="dxa"/>
            <w:tcBorders>
              <w:top w:val="nil"/>
              <w:left w:val="nil"/>
              <w:bottom w:val="single" w:sz="4" w:space="0" w:color="000000"/>
              <w:right w:val="nil"/>
            </w:tcBorders>
            <w:shd w:val="clear" w:color="auto" w:fill="auto"/>
            <w:tcMar>
              <w:top w:w="128" w:type="dxa"/>
              <w:left w:w="43" w:type="dxa"/>
              <w:bottom w:w="43" w:type="dxa"/>
              <w:right w:w="43" w:type="dxa"/>
            </w:tcMar>
          </w:tcPr>
          <w:p w14:paraId="5569B7C3" w14:textId="77777777" w:rsidR="00972395" w:rsidRPr="00E73D4B" w:rsidRDefault="00F120C7" w:rsidP="004A107D">
            <w:pPr>
              <w:jc w:val="right"/>
            </w:pPr>
            <w:r w:rsidRPr="00E73D4B">
              <w:t>585</w:t>
            </w:r>
          </w:p>
        </w:tc>
        <w:tc>
          <w:tcPr>
            <w:tcW w:w="4819" w:type="dxa"/>
            <w:tcBorders>
              <w:top w:val="nil"/>
              <w:left w:val="nil"/>
              <w:bottom w:val="single" w:sz="4" w:space="0" w:color="000000"/>
              <w:right w:val="nil"/>
            </w:tcBorders>
            <w:shd w:val="clear" w:color="auto" w:fill="auto"/>
            <w:tcMar>
              <w:top w:w="128" w:type="dxa"/>
              <w:left w:w="43" w:type="dxa"/>
              <w:bottom w:w="43" w:type="dxa"/>
              <w:right w:w="43" w:type="dxa"/>
            </w:tcMar>
          </w:tcPr>
          <w:p w14:paraId="53BBA31C" w14:textId="77777777" w:rsidR="00972395" w:rsidRPr="00E73D4B" w:rsidRDefault="00F120C7" w:rsidP="004A107D">
            <w:r w:rsidRPr="00E73D4B">
              <w:t>Demokratisk forankring av Norges arbeid i FNs sikkerhetsråd</w:t>
            </w:r>
          </w:p>
        </w:tc>
        <w:tc>
          <w:tcPr>
            <w:tcW w:w="15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06D38E5" w14:textId="77777777" w:rsidR="00972395" w:rsidRPr="00E73D4B" w:rsidRDefault="00F120C7" w:rsidP="004A107D">
            <w:pPr>
              <w:jc w:val="right"/>
            </w:pPr>
            <w:r w:rsidRPr="00E73D4B">
              <w:t>Ja</w:t>
            </w:r>
          </w:p>
        </w:tc>
      </w:tr>
    </w:tbl>
    <w:p w14:paraId="36E49749" w14:textId="77777777" w:rsidR="00972395" w:rsidRPr="00E73D4B" w:rsidRDefault="00F120C7" w:rsidP="004A107D">
      <w:pPr>
        <w:pStyle w:val="Overskrift2"/>
        <w:numPr>
          <w:ilvl w:val="1"/>
          <w:numId w:val="41"/>
        </w:numPr>
      </w:pPr>
      <w:r w:rsidRPr="00E73D4B">
        <w:t>Stortingssesjon 2021–2022</w:t>
      </w:r>
    </w:p>
    <w:p w14:paraId="7A8CA654" w14:textId="77777777" w:rsidR="00972395" w:rsidRPr="00E73D4B" w:rsidRDefault="00F120C7" w:rsidP="00E73D4B">
      <w:pPr>
        <w:pStyle w:val="avsnitt-undertittel"/>
      </w:pPr>
      <w:r w:rsidRPr="00E73D4B">
        <w:t>Øremerking til norske organisasjoner som arbeider med nedrustning</w:t>
      </w:r>
    </w:p>
    <w:p w14:paraId="00D5EA6B" w14:textId="77777777" w:rsidR="00972395" w:rsidRPr="00E73D4B" w:rsidRDefault="00F120C7" w:rsidP="00E73D4B">
      <w:pPr>
        <w:pStyle w:val="avsnitt-undertittel"/>
      </w:pPr>
      <w:r w:rsidRPr="00E73D4B">
        <w:t>Vedtak nr. 838, 17. juni 2022</w:t>
      </w:r>
    </w:p>
    <w:p w14:paraId="298EAEC3" w14:textId="77777777" w:rsidR="00972395" w:rsidRPr="00E73D4B" w:rsidRDefault="00F120C7" w:rsidP="00E73D4B">
      <w:pPr>
        <w:pStyle w:val="blokksit"/>
        <w:rPr>
          <w:rStyle w:val="kursiv"/>
        </w:rPr>
      </w:pPr>
      <w:r w:rsidRPr="00E73D4B">
        <w:rPr>
          <w:rStyle w:val="kursiv"/>
        </w:rPr>
        <w:t>«Stortinget ber regjeringen sikre støtte til norske organisasjoner som arbeider med nedrustning og bidrar til offentlig debatt om atomvåpen i Norge ved å øremerke organisasjonsstøtte på 2,5 mill. kroner til Nei til atomvåpen, 3 mill. kroner til Norske leger mot atomvåpen (som også administrerer ICAN i Norge), 1,8 mill. kroner til Norges Fredsråd, og 1,6 mill. kroner i prosjektstøtte til Norsk Folkehjelp».</w:t>
      </w:r>
    </w:p>
    <w:p w14:paraId="61D348E7" w14:textId="77777777" w:rsidR="00972395" w:rsidRPr="00E73D4B" w:rsidRDefault="00F120C7" w:rsidP="00E73D4B">
      <w:r w:rsidRPr="00E73D4B">
        <w:t xml:space="preserve">Vedtaket ble fattet i forbindelse med Stortingets behandling av </w:t>
      </w:r>
      <w:proofErr w:type="spellStart"/>
      <w:r w:rsidRPr="00E73D4B">
        <w:t>Innst</w:t>
      </w:r>
      <w:proofErr w:type="spellEnd"/>
      <w:r w:rsidRPr="00E73D4B">
        <w:t>. 450 S (2021–2022). Organisasjonene vil i 2022 motta organisasjonsstøtte i tråd med anmodningsvedtaket. Departementet er i dialog med Norsk Folkehjelp om innretning av prosjektstøtten. Departementet anser med dette at vedtaket er fulgt opp.</w:t>
      </w:r>
    </w:p>
    <w:p w14:paraId="01A0B800" w14:textId="77777777" w:rsidR="00972395" w:rsidRPr="00E73D4B" w:rsidRDefault="00F120C7" w:rsidP="00E73D4B">
      <w:pPr>
        <w:pStyle w:val="Overskrift2"/>
      </w:pPr>
      <w:r w:rsidRPr="00E73D4B">
        <w:t>Stortingssesjon 2020–2021</w:t>
      </w:r>
    </w:p>
    <w:p w14:paraId="0DBF8D5A" w14:textId="77777777" w:rsidR="00972395" w:rsidRPr="00E73D4B" w:rsidRDefault="00F120C7" w:rsidP="00E73D4B">
      <w:pPr>
        <w:pStyle w:val="avsnitt-tittel"/>
      </w:pPr>
      <w:r w:rsidRPr="00E73D4B">
        <w:t xml:space="preserve">Demokratisk forankring av Norges arbeid i FNs sikkerhetsråd </w:t>
      </w:r>
    </w:p>
    <w:p w14:paraId="089E75C4" w14:textId="77777777" w:rsidR="00972395" w:rsidRPr="00E73D4B" w:rsidRDefault="00F120C7" w:rsidP="00E73D4B">
      <w:pPr>
        <w:pStyle w:val="avsnitt-undertittel"/>
      </w:pPr>
      <w:r w:rsidRPr="00E73D4B">
        <w:t>Vedtak nr. 585, 9. februar 2021</w:t>
      </w:r>
    </w:p>
    <w:p w14:paraId="4218846E" w14:textId="77777777" w:rsidR="00972395" w:rsidRPr="00E73D4B" w:rsidRDefault="00F120C7" w:rsidP="00E73D4B">
      <w:pPr>
        <w:pStyle w:val="blokksit"/>
        <w:rPr>
          <w:rStyle w:val="kursiv"/>
        </w:rPr>
      </w:pPr>
      <w:r w:rsidRPr="00E73D4B">
        <w:rPr>
          <w:rStyle w:val="kursiv"/>
        </w:rPr>
        <w:t xml:space="preserve">«Stortinget ber regjeringen, ut over den faste årlige utenrikspolitiske redegjørelse for Stortinget, om å avholde en åpen redegjørelse som omhandler norske satsingsområder og sentrale saker som har vært og kan antas å komme til behandling i Sikkerhetsrådet i den tiden Norge er medlem av rådet. Det bes også om at disse tema inngår i den faste årlige utenrikspolitiske redegjørelse.» </w:t>
      </w:r>
    </w:p>
    <w:p w14:paraId="419D5633" w14:textId="77777777" w:rsidR="00972395" w:rsidRPr="00E73D4B" w:rsidRDefault="00F120C7" w:rsidP="00E73D4B">
      <w:r w:rsidRPr="00E73D4B">
        <w:t xml:space="preserve">Vedtaket ble fattet i forbindelse med Stortingets behandling av </w:t>
      </w:r>
      <w:proofErr w:type="spellStart"/>
      <w:r w:rsidRPr="00E73D4B">
        <w:t>Innst</w:t>
      </w:r>
      <w:proofErr w:type="spellEnd"/>
      <w:r w:rsidRPr="00E73D4B">
        <w:t>. 178 S (2020–2021). Utenriksministeren tok initiativ til en separat redegjørelse om det norske sikkerhetsrådsmedlemskapet. Denne ble avholdt 5. januar 2022. Arbeidet i FNs sikkerhetsråd var også omtalt i den regulære utenrikspolitiske redegjørelsen 22. mars 2022. Det legges opp til at utenriksministeren gir Stortinget en ytterligere redegjørelse om Norges medlemskap i Sikkerhetsrådet første kvartal 2023.</w:t>
      </w:r>
    </w:p>
    <w:p w14:paraId="4C00C9C7" w14:textId="77777777" w:rsidR="00972395" w:rsidRPr="00E73D4B" w:rsidRDefault="00F120C7" w:rsidP="00E73D4B">
      <w:r w:rsidRPr="00E73D4B">
        <w:t>Departementet anser med dette at vedtaket er fulgt opp.</w:t>
      </w:r>
    </w:p>
    <w:p w14:paraId="5549BCAC" w14:textId="77777777" w:rsidR="00972395" w:rsidRPr="00E73D4B" w:rsidRDefault="00F120C7" w:rsidP="00E73D4B">
      <w:pPr>
        <w:pStyle w:val="a-tilraar-dep"/>
      </w:pPr>
      <w:r w:rsidRPr="00E73D4B">
        <w:t>Statsministerens kontor</w:t>
      </w:r>
    </w:p>
    <w:p w14:paraId="08D7E31C" w14:textId="77777777" w:rsidR="00972395" w:rsidRPr="00E73D4B" w:rsidRDefault="00F120C7" w:rsidP="00E73D4B">
      <w:pPr>
        <w:pStyle w:val="a-tilraar-tit"/>
      </w:pPr>
      <w:r w:rsidRPr="00E73D4B">
        <w:t>tilrår:</w:t>
      </w:r>
    </w:p>
    <w:p w14:paraId="49C42848" w14:textId="68C02F9F" w:rsidR="00972395" w:rsidRPr="00E73D4B" w:rsidRDefault="00F120C7" w:rsidP="00E73D4B">
      <w:r w:rsidRPr="00E73D4B">
        <w:t>Tilråding fra Statsministerens kontor 30. september 2022 om anmodnings- og utredningsvedtak i stortingssesjonen 2021–2022 blir sendt Stortinget.</w:t>
      </w:r>
    </w:p>
    <w:sectPr w:rsidR="00972395" w:rsidRPr="00E73D4B">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3E20" w14:textId="77777777" w:rsidR="00972395" w:rsidRDefault="00F120C7">
      <w:pPr>
        <w:spacing w:after="0" w:line="240" w:lineRule="auto"/>
      </w:pPr>
      <w:r>
        <w:separator/>
      </w:r>
    </w:p>
  </w:endnote>
  <w:endnote w:type="continuationSeparator" w:id="0">
    <w:p w14:paraId="4D4F95AE" w14:textId="77777777" w:rsidR="00972395" w:rsidRDefault="00F1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395A" w14:textId="77777777" w:rsidR="00972395" w:rsidRDefault="00F120C7">
      <w:pPr>
        <w:spacing w:after="0" w:line="240" w:lineRule="auto"/>
      </w:pPr>
      <w:r>
        <w:separator/>
      </w:r>
    </w:p>
  </w:footnote>
  <w:footnote w:type="continuationSeparator" w:id="0">
    <w:p w14:paraId="2E75037E" w14:textId="77777777" w:rsidR="00972395" w:rsidRDefault="00F120C7">
      <w:pPr>
        <w:spacing w:after="0" w:line="240" w:lineRule="auto"/>
      </w:pPr>
      <w:r>
        <w:continuationSeparator/>
      </w:r>
    </w:p>
  </w:footnote>
  <w:footnote w:id="1">
    <w:p w14:paraId="57AB120C" w14:textId="572E5D53" w:rsidR="00972395" w:rsidRDefault="00F120C7">
      <w:pPr>
        <w:pStyle w:val="Fotnotetekst"/>
      </w:pPr>
      <w:r>
        <w:rPr>
          <w:vertAlign w:val="superscript"/>
        </w:rPr>
        <w:footnoteRef/>
      </w:r>
      <w:r w:rsidRPr="00E73D4B">
        <w:t xml:space="preserve">Arbeids- og velferdsdirektoratet kommer til at om lag 16 pst. av denne teoretiske populasjonen er i VTA i dag. Dette betyr ikke at de øvrige 84 pst. har behov for en plass i VTA, men at disse har noen av de samme egenskapene som VTA-deltakerne på variabler man har brukt i analysen. En kan imidlertid anta at andelen av den teoretiske populasjonen som har behov for en plass i VTA, er forholdsvis stabil. </w:t>
      </w:r>
    </w:p>
  </w:footnote>
  <w:footnote w:id="2">
    <w:p w14:paraId="2DC52DC2" w14:textId="28BF0C66" w:rsidR="00972395" w:rsidRDefault="00F120C7">
      <w:pPr>
        <w:pStyle w:val="Fotnotetekst"/>
      </w:pPr>
      <w:r>
        <w:rPr>
          <w:vertAlign w:val="superscript"/>
        </w:rPr>
        <w:footnoteRef/>
      </w:r>
      <w:r w:rsidRPr="00E73D4B">
        <w:t xml:space="preserve">Med </w:t>
      </w:r>
      <w:r w:rsidRPr="00E73D4B">
        <w:rPr>
          <w:rStyle w:val="kursiv"/>
        </w:rPr>
        <w:t xml:space="preserve">hydrogen </w:t>
      </w:r>
      <w:r w:rsidRPr="00E73D4B">
        <w:t xml:space="preserve">inkluderes også hydrogenbærere som ammoniakk, flytende organiske hydrogenbærere mv.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A6E0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76B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564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88C3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F76EEB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8F6CCC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2"/>
  </w:num>
  <w:num w:numId="2">
    <w:abstractNumId w:val="27"/>
  </w:num>
  <w:num w:numId="3">
    <w:abstractNumId w:val="31"/>
  </w:num>
  <w:num w:numId="4">
    <w:abstractNumId w:val="11"/>
  </w:num>
  <w:num w:numId="5">
    <w:abstractNumId w:val="15"/>
  </w:num>
  <w:num w:numId="6">
    <w:abstractNumId w:val="8"/>
  </w:num>
  <w:num w:numId="7">
    <w:abstractNumId w:val="6"/>
  </w:num>
  <w:num w:numId="8">
    <w:abstractNumId w:val="19"/>
  </w:num>
  <w:num w:numId="9">
    <w:abstractNumId w:val="22"/>
  </w:num>
  <w:num w:numId="10">
    <w:abstractNumId w:val="21"/>
  </w:num>
  <w:num w:numId="11">
    <w:abstractNumId w:val="7"/>
  </w:num>
  <w:num w:numId="12">
    <w:abstractNumId w:val="16"/>
  </w:num>
  <w:num w:numId="13">
    <w:abstractNumId w:val="9"/>
  </w:num>
  <w:num w:numId="14">
    <w:abstractNumId w:val="10"/>
  </w:num>
  <w:num w:numId="15">
    <w:abstractNumId w:val="20"/>
  </w:num>
  <w:num w:numId="16">
    <w:abstractNumId w:val="25"/>
  </w:num>
  <w:num w:numId="17">
    <w:abstractNumId w:val="29"/>
  </w:num>
  <w:num w:numId="18">
    <w:abstractNumId w:val="13"/>
  </w:num>
  <w:num w:numId="19">
    <w:abstractNumId w:val="23"/>
  </w:num>
  <w:num w:numId="20">
    <w:abstractNumId w:val="30"/>
  </w:num>
  <w:num w:numId="21">
    <w:abstractNumId w:val="17"/>
  </w:num>
  <w:num w:numId="22">
    <w:abstractNumId w:val="18"/>
  </w:num>
  <w:num w:numId="23">
    <w:abstractNumId w:val="14"/>
  </w:num>
  <w:num w:numId="24">
    <w:abstractNumId w:val="24"/>
  </w:num>
  <w:num w:numId="25">
    <w:abstractNumId w:val="12"/>
  </w:num>
  <w:num w:numId="26">
    <w:abstractNumId w:val="26"/>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73D4B"/>
    <w:rsid w:val="001C4219"/>
    <w:rsid w:val="004A107D"/>
    <w:rsid w:val="00675E3F"/>
    <w:rsid w:val="00681E28"/>
    <w:rsid w:val="006F50C5"/>
    <w:rsid w:val="007116DC"/>
    <w:rsid w:val="0076431D"/>
    <w:rsid w:val="00972395"/>
    <w:rsid w:val="00E27239"/>
    <w:rsid w:val="00E73D4B"/>
    <w:rsid w:val="00EA4147"/>
    <w:rsid w:val="00F120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5F2E14"/>
  <w14:defaultImageDpi w14:val="0"/>
  <w15:docId w15:val="{4A5C8CBC-17C6-49F8-A773-365C2214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3F"/>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675E3F"/>
    <w:pPr>
      <w:keepNext/>
      <w:keepLines/>
      <w:numPr>
        <w:numId w:val="27"/>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675E3F"/>
    <w:pPr>
      <w:keepNext/>
      <w:keepLines/>
      <w:numPr>
        <w:ilvl w:val="1"/>
        <w:numId w:val="27"/>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675E3F"/>
    <w:pPr>
      <w:keepNext/>
      <w:keepLines/>
      <w:numPr>
        <w:ilvl w:val="2"/>
        <w:numId w:val="27"/>
      </w:numPr>
      <w:spacing w:before="360" w:after="80"/>
      <w:outlineLvl w:val="2"/>
    </w:pPr>
    <w:rPr>
      <w:rFonts w:ascii="Arial" w:hAnsi="Arial"/>
      <w:b/>
    </w:rPr>
  </w:style>
  <w:style w:type="paragraph" w:styleId="Overskrift4">
    <w:name w:val="heading 4"/>
    <w:basedOn w:val="Normal"/>
    <w:next w:val="Normal"/>
    <w:link w:val="Overskrift4Tegn"/>
    <w:qFormat/>
    <w:rsid w:val="00675E3F"/>
    <w:pPr>
      <w:keepNext/>
      <w:keepLines/>
      <w:numPr>
        <w:ilvl w:val="3"/>
        <w:numId w:val="27"/>
      </w:numPr>
      <w:spacing w:before="120" w:after="0"/>
      <w:outlineLvl w:val="3"/>
    </w:pPr>
    <w:rPr>
      <w:rFonts w:ascii="Arial" w:hAnsi="Arial"/>
      <w:i/>
      <w:spacing w:val="4"/>
    </w:rPr>
  </w:style>
  <w:style w:type="paragraph" w:styleId="Overskrift5">
    <w:name w:val="heading 5"/>
    <w:basedOn w:val="Normal"/>
    <w:next w:val="Normal"/>
    <w:link w:val="Overskrift5Tegn"/>
    <w:qFormat/>
    <w:rsid w:val="00675E3F"/>
    <w:pPr>
      <w:keepNext/>
      <w:numPr>
        <w:ilvl w:val="4"/>
        <w:numId w:val="27"/>
      </w:numPr>
      <w:spacing w:before="120" w:after="0"/>
      <w:outlineLvl w:val="4"/>
    </w:pPr>
    <w:rPr>
      <w:rFonts w:ascii="Arial" w:hAnsi="Arial"/>
      <w:i/>
    </w:rPr>
  </w:style>
  <w:style w:type="paragraph" w:styleId="Overskrift6">
    <w:name w:val="heading 6"/>
    <w:basedOn w:val="Normal"/>
    <w:next w:val="Normal"/>
    <w:link w:val="Overskrift6Tegn"/>
    <w:qFormat/>
    <w:rsid w:val="00675E3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75E3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75E3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75E3F"/>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675E3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5E3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675E3F"/>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5E3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5E3F"/>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675E3F"/>
    <w:pPr>
      <w:keepNext/>
      <w:keepLines/>
      <w:numPr>
        <w:ilvl w:val="6"/>
        <w:numId w:val="27"/>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5E3F"/>
    <w:pPr>
      <w:numPr>
        <w:ilvl w:val="5"/>
        <w:numId w:val="27"/>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675E3F"/>
  </w:style>
  <w:style w:type="paragraph" w:customStyle="1" w:styleId="del-nr">
    <w:name w:val="del-nr"/>
    <w:basedOn w:val="Normal"/>
    <w:qFormat/>
    <w:rsid w:val="00675E3F"/>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5E3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5E3F"/>
    <w:rPr>
      <w:spacing w:val="4"/>
    </w:rPr>
  </w:style>
  <w:style w:type="paragraph" w:customStyle="1" w:styleId="figur-noter">
    <w:name w:val="figur-noter"/>
    <w:basedOn w:val="Normal"/>
    <w:next w:val="Normal"/>
    <w:rsid w:val="00675E3F"/>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5E3F"/>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75E3F"/>
    <w:rPr>
      <w:spacing w:val="4"/>
      <w:sz w:val="20"/>
    </w:rPr>
  </w:style>
  <w:style w:type="character" w:customStyle="1" w:styleId="FotnotetekstTegn">
    <w:name w:val="Fotnotetekst Tegn"/>
    <w:basedOn w:val="Standardskriftforavsnitt"/>
    <w:link w:val="Fotnotetekst"/>
    <w:rsid w:val="00675E3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5E3F"/>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675E3F"/>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5E3F"/>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5E3F"/>
    <w:pPr>
      <w:ind w:left="1701" w:hanging="1701"/>
    </w:pPr>
  </w:style>
  <w:style w:type="paragraph" w:customStyle="1" w:styleId="i-statsrdato">
    <w:name w:val="i-statsr.dato"/>
    <w:basedOn w:val="Normal"/>
    <w:next w:val="Normal"/>
    <w:rsid w:val="00675E3F"/>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675E3F"/>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75E3F"/>
    <w:pPr>
      <w:spacing w:line="240" w:lineRule="auto"/>
    </w:pPr>
    <w:rPr>
      <w:szCs w:val="20"/>
    </w:rPr>
  </w:style>
  <w:style w:type="paragraph" w:customStyle="1" w:styleId="Kilde">
    <w:name w:val="Kilde"/>
    <w:basedOn w:val="Normal"/>
    <w:next w:val="Normal"/>
    <w:rsid w:val="00675E3F"/>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5E3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5E3F"/>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5E3F"/>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5E3F"/>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5E3F"/>
    <w:pPr>
      <w:spacing w:after="0"/>
    </w:pPr>
    <w:rPr>
      <w:spacing w:val="4"/>
    </w:rPr>
  </w:style>
  <w:style w:type="paragraph" w:customStyle="1" w:styleId="l-tit-endr-avsnitt">
    <w:name w:val="l-tit-endr-avsnitt"/>
    <w:basedOn w:val="l-tit-endr-lovkap"/>
    <w:qFormat/>
    <w:rsid w:val="00675E3F"/>
  </w:style>
  <w:style w:type="paragraph" w:customStyle="1" w:styleId="l-tit-endr-ledd">
    <w:name w:val="l-tit-endr-ledd"/>
    <w:basedOn w:val="Normal"/>
    <w:qFormat/>
    <w:rsid w:val="00675E3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75E3F"/>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5E3F"/>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75E3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75E3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75E3F"/>
    <w:pPr>
      <w:spacing w:before="60" w:after="0"/>
      <w:ind w:left="397"/>
    </w:pPr>
  </w:style>
  <w:style w:type="paragraph" w:customStyle="1" w:styleId="Listeavsnitt2">
    <w:name w:val="Listeavsnitt 2"/>
    <w:basedOn w:val="Normal"/>
    <w:qFormat/>
    <w:rsid w:val="00675E3F"/>
    <w:pPr>
      <w:spacing w:before="60" w:after="0"/>
      <w:ind w:left="794"/>
    </w:pPr>
  </w:style>
  <w:style w:type="paragraph" w:customStyle="1" w:styleId="Listeavsnitt3">
    <w:name w:val="Listeavsnitt 3"/>
    <w:basedOn w:val="Normal"/>
    <w:qFormat/>
    <w:rsid w:val="00675E3F"/>
    <w:pPr>
      <w:spacing w:before="60" w:after="0"/>
      <w:ind w:left="1191"/>
    </w:pPr>
  </w:style>
  <w:style w:type="paragraph" w:customStyle="1" w:styleId="Listeavsnitt4">
    <w:name w:val="Listeavsnitt 4"/>
    <w:basedOn w:val="Normal"/>
    <w:qFormat/>
    <w:rsid w:val="00675E3F"/>
    <w:pPr>
      <w:spacing w:before="60" w:after="0"/>
      <w:ind w:left="1588"/>
    </w:pPr>
  </w:style>
  <w:style w:type="paragraph" w:customStyle="1" w:styleId="Listeavsnitt5">
    <w:name w:val="Listeavsnitt 5"/>
    <w:basedOn w:val="Normal"/>
    <w:qFormat/>
    <w:rsid w:val="00675E3F"/>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5E3F"/>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5E3F"/>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75E3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75E3F"/>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675E3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75E3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675E3F"/>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5E3F"/>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75E3F"/>
    <w:rPr>
      <w:rFonts w:ascii="Times" w:hAnsi="Times"/>
      <w:vanish/>
      <w:color w:val="00B050"/>
    </w:rPr>
  </w:style>
  <w:style w:type="paragraph" w:customStyle="1" w:styleId="Tabellnavn-kode">
    <w:name w:val="Tabellnavn-kode"/>
    <w:basedOn w:val="Tabellnavn"/>
    <w:qFormat/>
    <w:rsid w:val="00675E3F"/>
    <w:pPr>
      <w:spacing w:line="240" w:lineRule="auto"/>
    </w:pPr>
    <w:rPr>
      <w:rFonts w:eastAsia="Batang"/>
      <w:vanish w:val="0"/>
      <w:color w:val="FF0000"/>
    </w:rPr>
  </w:style>
  <w:style w:type="paragraph" w:customStyle="1" w:styleId="Term">
    <w:name w:val="Term"/>
    <w:basedOn w:val="Normal"/>
    <w:qFormat/>
    <w:rsid w:val="00675E3F"/>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5E3F"/>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5E3F"/>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5E3F"/>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5E3F"/>
    <w:pPr>
      <w:numPr>
        <w:numId w:val="0"/>
      </w:numPr>
    </w:pPr>
    <w:rPr>
      <w:b w:val="0"/>
      <w:i/>
    </w:rPr>
  </w:style>
  <w:style w:type="paragraph" w:customStyle="1" w:styleId="Undervedl-tittel">
    <w:name w:val="Undervedl-tittel"/>
    <w:basedOn w:val="Normal"/>
    <w:next w:val="Normal"/>
    <w:rsid w:val="00675E3F"/>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75E3F"/>
    <w:pPr>
      <w:numPr>
        <w:numId w:val="0"/>
      </w:numPr>
      <w:outlineLvl w:val="9"/>
    </w:pPr>
  </w:style>
  <w:style w:type="paragraph" w:customStyle="1" w:styleId="v-Overskrift2">
    <w:name w:val="v-Overskrift 2"/>
    <w:basedOn w:val="Overskrift2"/>
    <w:next w:val="Normal"/>
    <w:rsid w:val="00675E3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5E3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5E3F"/>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5E3F"/>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75E3F"/>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5E3F"/>
    <w:pPr>
      <w:keepNext/>
      <w:keepLines/>
      <w:spacing w:before="720"/>
      <w:jc w:val="center"/>
    </w:pPr>
    <w:rPr>
      <w:rFonts w:ascii="Times" w:hAnsi="Times"/>
      <w:b/>
      <w:noProof/>
      <w:spacing w:val="4"/>
      <w:sz w:val="56"/>
    </w:rPr>
  </w:style>
  <w:style w:type="paragraph" w:customStyle="1" w:styleId="i-sesjon">
    <w:name w:val="i-sesjon"/>
    <w:basedOn w:val="Normal"/>
    <w:next w:val="Normal"/>
    <w:rsid w:val="00675E3F"/>
    <w:pPr>
      <w:jc w:val="center"/>
    </w:pPr>
    <w:rPr>
      <w:rFonts w:ascii="Times" w:hAnsi="Times"/>
      <w:b/>
      <w:noProof/>
      <w:spacing w:val="4"/>
      <w:sz w:val="28"/>
    </w:rPr>
  </w:style>
  <w:style w:type="paragraph" w:customStyle="1" w:styleId="i-mtit">
    <w:name w:val="i-mtit"/>
    <w:basedOn w:val="Normal"/>
    <w:next w:val="Normal"/>
    <w:rsid w:val="00675E3F"/>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75E3F"/>
    <w:rPr>
      <w:rFonts w:ascii="Arial" w:eastAsia="Times New Roman" w:hAnsi="Arial"/>
      <w:b/>
      <w:spacing w:val="4"/>
      <w:sz w:val="28"/>
    </w:rPr>
  </w:style>
  <w:style w:type="character" w:customStyle="1" w:styleId="Overskrift3Tegn">
    <w:name w:val="Overskrift 3 Tegn"/>
    <w:basedOn w:val="Standardskriftforavsnitt"/>
    <w:link w:val="Overskrift3"/>
    <w:rsid w:val="00675E3F"/>
    <w:rPr>
      <w:rFonts w:ascii="Arial" w:eastAsia="Times New Roman" w:hAnsi="Arial"/>
      <w:b/>
      <w:sz w:val="24"/>
    </w:rPr>
  </w:style>
  <w:style w:type="character" w:customStyle="1" w:styleId="Overskrift4Tegn">
    <w:name w:val="Overskrift 4 Tegn"/>
    <w:basedOn w:val="Standardskriftforavsnitt"/>
    <w:link w:val="Overskrift4"/>
    <w:rsid w:val="00675E3F"/>
    <w:rPr>
      <w:rFonts w:ascii="Arial" w:eastAsia="Times New Roman" w:hAnsi="Arial"/>
      <w:i/>
      <w:spacing w:val="4"/>
      <w:sz w:val="24"/>
    </w:rPr>
  </w:style>
  <w:style w:type="character" w:customStyle="1" w:styleId="Overskrift5Tegn">
    <w:name w:val="Overskrift 5 Tegn"/>
    <w:basedOn w:val="Standardskriftforavsnitt"/>
    <w:link w:val="Overskrift5"/>
    <w:rsid w:val="00675E3F"/>
    <w:rPr>
      <w:rFonts w:ascii="Arial" w:eastAsia="Times New Roman" w:hAnsi="Arial"/>
      <w:i/>
      <w:sz w:val="24"/>
    </w:rPr>
  </w:style>
  <w:style w:type="paragraph" w:styleId="Liste">
    <w:name w:val="List"/>
    <w:basedOn w:val="Normal"/>
    <w:rsid w:val="00675E3F"/>
    <w:pPr>
      <w:numPr>
        <w:numId w:val="16"/>
      </w:numPr>
      <w:spacing w:line="240" w:lineRule="auto"/>
      <w:contextualSpacing/>
    </w:pPr>
    <w:rPr>
      <w:spacing w:val="4"/>
    </w:rPr>
  </w:style>
  <w:style w:type="paragraph" w:styleId="Liste2">
    <w:name w:val="List 2"/>
    <w:basedOn w:val="Normal"/>
    <w:rsid w:val="00675E3F"/>
    <w:pPr>
      <w:numPr>
        <w:ilvl w:val="1"/>
        <w:numId w:val="16"/>
      </w:numPr>
      <w:spacing w:after="0"/>
    </w:pPr>
    <w:rPr>
      <w:spacing w:val="4"/>
    </w:rPr>
  </w:style>
  <w:style w:type="paragraph" w:styleId="Liste3">
    <w:name w:val="List 3"/>
    <w:basedOn w:val="Normal"/>
    <w:rsid w:val="00675E3F"/>
    <w:pPr>
      <w:numPr>
        <w:ilvl w:val="2"/>
        <w:numId w:val="16"/>
      </w:numPr>
      <w:spacing w:after="0"/>
    </w:pPr>
  </w:style>
  <w:style w:type="paragraph" w:styleId="Liste4">
    <w:name w:val="List 4"/>
    <w:basedOn w:val="Normal"/>
    <w:rsid w:val="00675E3F"/>
    <w:pPr>
      <w:numPr>
        <w:ilvl w:val="3"/>
        <w:numId w:val="16"/>
      </w:numPr>
      <w:spacing w:after="0"/>
    </w:pPr>
  </w:style>
  <w:style w:type="paragraph" w:styleId="Liste5">
    <w:name w:val="List 5"/>
    <w:basedOn w:val="Normal"/>
    <w:rsid w:val="00675E3F"/>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75E3F"/>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75E3F"/>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75E3F"/>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75E3F"/>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75E3F"/>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675E3F"/>
    <w:pPr>
      <w:numPr>
        <w:numId w:val="18"/>
      </w:numPr>
    </w:pPr>
  </w:style>
  <w:style w:type="paragraph" w:customStyle="1" w:styleId="Listebombe2">
    <w:name w:val="Liste bombe 2"/>
    <w:basedOn w:val="Liste2"/>
    <w:qFormat/>
    <w:rsid w:val="00675E3F"/>
    <w:pPr>
      <w:numPr>
        <w:ilvl w:val="0"/>
        <w:numId w:val="19"/>
      </w:numPr>
    </w:pPr>
  </w:style>
  <w:style w:type="paragraph" w:customStyle="1" w:styleId="Listebombe3">
    <w:name w:val="Liste bombe 3"/>
    <w:basedOn w:val="Liste3"/>
    <w:qFormat/>
    <w:rsid w:val="00675E3F"/>
    <w:pPr>
      <w:numPr>
        <w:ilvl w:val="0"/>
        <w:numId w:val="20"/>
      </w:numPr>
    </w:pPr>
  </w:style>
  <w:style w:type="paragraph" w:customStyle="1" w:styleId="Listebombe4">
    <w:name w:val="Liste bombe 4"/>
    <w:basedOn w:val="Liste4"/>
    <w:qFormat/>
    <w:rsid w:val="00675E3F"/>
    <w:pPr>
      <w:numPr>
        <w:ilvl w:val="0"/>
        <w:numId w:val="21"/>
      </w:numPr>
    </w:pPr>
  </w:style>
  <w:style w:type="paragraph" w:customStyle="1" w:styleId="Listebombe5">
    <w:name w:val="Liste bombe 5"/>
    <w:basedOn w:val="Liste5"/>
    <w:qFormat/>
    <w:rsid w:val="00675E3F"/>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5E3F"/>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675E3F"/>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5E3F"/>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5E3F"/>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5E3F"/>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5E3F"/>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5E3F"/>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5E3F"/>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5E3F"/>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5E3F"/>
    <w:pPr>
      <w:numPr>
        <w:ilvl w:val="4"/>
        <w:numId w:val="17"/>
      </w:numPr>
      <w:spacing w:after="0"/>
    </w:pPr>
    <w:rPr>
      <w:spacing w:val="4"/>
    </w:rPr>
  </w:style>
  <w:style w:type="paragraph" w:customStyle="1" w:styleId="opplisting">
    <w:name w:val="opplisting"/>
    <w:basedOn w:val="Normal"/>
    <w:rsid w:val="00675E3F"/>
    <w:pPr>
      <w:spacing w:after="0"/>
    </w:pPr>
    <w:rPr>
      <w:rFonts w:ascii="Times" w:hAnsi="Times" w:cs="Times New Roman"/>
    </w:rPr>
  </w:style>
  <w:style w:type="paragraph" w:customStyle="1" w:styleId="opplisting2">
    <w:name w:val="opplisting 2"/>
    <w:basedOn w:val="Normal"/>
    <w:qFormat/>
    <w:rsid w:val="00675E3F"/>
    <w:pPr>
      <w:spacing w:after="0"/>
      <w:ind w:left="397"/>
    </w:pPr>
    <w:rPr>
      <w:lang w:val="en-US"/>
    </w:rPr>
  </w:style>
  <w:style w:type="paragraph" w:customStyle="1" w:styleId="opplisting3">
    <w:name w:val="opplisting 3"/>
    <w:basedOn w:val="Normal"/>
    <w:qFormat/>
    <w:rsid w:val="00675E3F"/>
    <w:pPr>
      <w:spacing w:after="0"/>
      <w:ind w:left="794"/>
    </w:pPr>
  </w:style>
  <w:style w:type="paragraph" w:customStyle="1" w:styleId="opplisting4">
    <w:name w:val="opplisting 4"/>
    <w:basedOn w:val="Normal"/>
    <w:qFormat/>
    <w:rsid w:val="00675E3F"/>
    <w:pPr>
      <w:spacing w:after="0"/>
      <w:ind w:left="1191"/>
    </w:pPr>
  </w:style>
  <w:style w:type="paragraph" w:customStyle="1" w:styleId="opplisting5">
    <w:name w:val="opplisting 5"/>
    <w:basedOn w:val="Normal"/>
    <w:qFormat/>
    <w:rsid w:val="00675E3F"/>
    <w:pPr>
      <w:spacing w:after="0"/>
      <w:ind w:left="1588"/>
    </w:pPr>
  </w:style>
  <w:style w:type="paragraph" w:customStyle="1" w:styleId="friliste">
    <w:name w:val="friliste"/>
    <w:basedOn w:val="Normal"/>
    <w:qFormat/>
    <w:rsid w:val="00675E3F"/>
    <w:pPr>
      <w:tabs>
        <w:tab w:val="left" w:pos="397"/>
      </w:tabs>
      <w:spacing w:after="0"/>
      <w:ind w:left="397" w:hanging="397"/>
    </w:pPr>
  </w:style>
  <w:style w:type="paragraph" w:customStyle="1" w:styleId="friliste2">
    <w:name w:val="friliste 2"/>
    <w:basedOn w:val="Normal"/>
    <w:qFormat/>
    <w:rsid w:val="00675E3F"/>
    <w:pPr>
      <w:tabs>
        <w:tab w:val="left" w:pos="794"/>
      </w:tabs>
      <w:spacing w:after="0"/>
      <w:ind w:left="794" w:hanging="397"/>
    </w:pPr>
  </w:style>
  <w:style w:type="paragraph" w:customStyle="1" w:styleId="friliste3">
    <w:name w:val="friliste 3"/>
    <w:basedOn w:val="Normal"/>
    <w:qFormat/>
    <w:rsid w:val="00675E3F"/>
    <w:pPr>
      <w:tabs>
        <w:tab w:val="left" w:pos="1191"/>
      </w:tabs>
      <w:spacing w:after="0"/>
      <w:ind w:left="1191" w:hanging="397"/>
    </w:pPr>
  </w:style>
  <w:style w:type="paragraph" w:customStyle="1" w:styleId="friliste4">
    <w:name w:val="friliste 4"/>
    <w:basedOn w:val="Normal"/>
    <w:qFormat/>
    <w:rsid w:val="00675E3F"/>
    <w:pPr>
      <w:tabs>
        <w:tab w:val="left" w:pos="1588"/>
      </w:tabs>
      <w:spacing w:after="0"/>
      <w:ind w:left="1588" w:hanging="397"/>
    </w:pPr>
  </w:style>
  <w:style w:type="paragraph" w:customStyle="1" w:styleId="friliste5">
    <w:name w:val="friliste 5"/>
    <w:basedOn w:val="Normal"/>
    <w:qFormat/>
    <w:rsid w:val="00675E3F"/>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5E3F"/>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5E3F"/>
    <w:pPr>
      <w:numPr>
        <w:numId w:val="10"/>
      </w:numPr>
    </w:pPr>
  </w:style>
  <w:style w:type="paragraph" w:customStyle="1" w:styleId="avsnitt-undertittel">
    <w:name w:val="avsnitt-undertittel"/>
    <w:basedOn w:val="Normal"/>
    <w:next w:val="Normal"/>
    <w:rsid w:val="00675E3F"/>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5E3F"/>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5E3F"/>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5E3F"/>
    <w:pPr>
      <w:numPr>
        <w:numId w:val="10"/>
      </w:numPr>
    </w:pPr>
  </w:style>
  <w:style w:type="paragraph" w:customStyle="1" w:styleId="avsnitt-under-undertittel">
    <w:name w:val="avsnitt-under-undertittel"/>
    <w:basedOn w:val="Normal"/>
    <w:next w:val="Normal"/>
    <w:rsid w:val="00675E3F"/>
    <w:pPr>
      <w:keepNext/>
      <w:keepLines/>
      <w:spacing w:before="360" w:line="240" w:lineRule="auto"/>
    </w:pPr>
    <w:rPr>
      <w:rFonts w:eastAsia="Batang"/>
      <w:i/>
      <w:szCs w:val="20"/>
    </w:rPr>
  </w:style>
  <w:style w:type="paragraph" w:customStyle="1" w:styleId="blokksit">
    <w:name w:val="blokksit"/>
    <w:basedOn w:val="Normal"/>
    <w:qFormat/>
    <w:rsid w:val="00675E3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75E3F"/>
    <w:pPr>
      <w:spacing w:before="180" w:after="0"/>
    </w:pPr>
    <w:rPr>
      <w:rFonts w:ascii="Times" w:hAnsi="Times"/>
      <w:i/>
      <w:spacing w:val="4"/>
    </w:rPr>
  </w:style>
  <w:style w:type="paragraph" w:customStyle="1" w:styleId="l-ledd">
    <w:name w:val="l-ledd"/>
    <w:basedOn w:val="Normal"/>
    <w:qFormat/>
    <w:rsid w:val="00675E3F"/>
    <w:pPr>
      <w:spacing w:after="0"/>
      <w:ind w:firstLine="397"/>
    </w:pPr>
    <w:rPr>
      <w:rFonts w:ascii="Times" w:hAnsi="Times"/>
      <w:spacing w:val="4"/>
    </w:rPr>
  </w:style>
  <w:style w:type="paragraph" w:customStyle="1" w:styleId="l-tit-endr-paragraf">
    <w:name w:val="l-tit-endr-paragraf"/>
    <w:basedOn w:val="Normal"/>
    <w:qFormat/>
    <w:rsid w:val="00675E3F"/>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5E3F"/>
    <w:pPr>
      <w:keepNext/>
      <w:keepLines/>
      <w:numPr>
        <w:ilvl w:val="7"/>
        <w:numId w:val="27"/>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675E3F"/>
    <w:rPr>
      <w:rFonts w:ascii="Times New Roman" w:eastAsia="Times New Roman" w:hAnsi="Times New Roman"/>
      <w:spacing w:val="4"/>
      <w:sz w:val="24"/>
    </w:rPr>
  </w:style>
  <w:style w:type="character" w:customStyle="1" w:styleId="DatoTegn">
    <w:name w:val="Dato Tegn"/>
    <w:basedOn w:val="Standardskriftforavsnitt"/>
    <w:link w:val="Dato0"/>
    <w:uiPriority w:val="99"/>
    <w:rsid w:val="00675E3F"/>
    <w:rPr>
      <w:rFonts w:ascii="Times New Roman" w:eastAsia="Times New Roman" w:hAnsi="Times New Roman"/>
      <w:sz w:val="24"/>
    </w:rPr>
  </w:style>
  <w:style w:type="character" w:styleId="Fotnotereferanse">
    <w:name w:val="footnote reference"/>
    <w:basedOn w:val="Standardskriftforavsnitt"/>
    <w:rsid w:val="00675E3F"/>
    <w:rPr>
      <w:vertAlign w:val="superscript"/>
    </w:rPr>
  </w:style>
  <w:style w:type="character" w:customStyle="1" w:styleId="gjennomstreket">
    <w:name w:val="gjennomstreket"/>
    <w:uiPriority w:val="1"/>
    <w:rsid w:val="00675E3F"/>
    <w:rPr>
      <w:strike/>
      <w:dstrike w:val="0"/>
    </w:rPr>
  </w:style>
  <w:style w:type="character" w:customStyle="1" w:styleId="halvfet0">
    <w:name w:val="halvfet"/>
    <w:basedOn w:val="Standardskriftforavsnitt"/>
    <w:rsid w:val="00675E3F"/>
    <w:rPr>
      <w:b/>
    </w:rPr>
  </w:style>
  <w:style w:type="character" w:styleId="Hyperkobling">
    <w:name w:val="Hyperlink"/>
    <w:basedOn w:val="Standardskriftforavsnitt"/>
    <w:uiPriority w:val="99"/>
    <w:unhideWhenUsed/>
    <w:rsid w:val="00675E3F"/>
    <w:rPr>
      <w:color w:val="0563C1" w:themeColor="hyperlink"/>
      <w:u w:val="single"/>
    </w:rPr>
  </w:style>
  <w:style w:type="character" w:customStyle="1" w:styleId="kursiv">
    <w:name w:val="kursiv"/>
    <w:basedOn w:val="Standardskriftforavsnitt"/>
    <w:rsid w:val="00675E3F"/>
    <w:rPr>
      <w:i/>
    </w:rPr>
  </w:style>
  <w:style w:type="character" w:customStyle="1" w:styleId="l-endring">
    <w:name w:val="l-endring"/>
    <w:basedOn w:val="Standardskriftforavsnitt"/>
    <w:rsid w:val="00675E3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75E3F"/>
  </w:style>
  <w:style w:type="character" w:styleId="Plassholdertekst">
    <w:name w:val="Placeholder Text"/>
    <w:basedOn w:val="Standardskriftforavsnitt"/>
    <w:uiPriority w:val="99"/>
    <w:rsid w:val="00675E3F"/>
    <w:rPr>
      <w:color w:val="808080"/>
    </w:rPr>
  </w:style>
  <w:style w:type="character" w:customStyle="1" w:styleId="regular">
    <w:name w:val="regular"/>
    <w:basedOn w:val="Standardskriftforavsnitt"/>
    <w:uiPriority w:val="1"/>
    <w:qFormat/>
    <w:rsid w:val="00675E3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75E3F"/>
    <w:rPr>
      <w:sz w:val="20"/>
      <w:vertAlign w:val="superscript"/>
    </w:rPr>
  </w:style>
  <w:style w:type="character" w:customStyle="1" w:styleId="skrift-senket">
    <w:name w:val="skrift-senket"/>
    <w:basedOn w:val="Standardskriftforavsnitt"/>
    <w:rsid w:val="00675E3F"/>
    <w:rPr>
      <w:sz w:val="20"/>
      <w:vertAlign w:val="subscript"/>
    </w:rPr>
  </w:style>
  <w:style w:type="character" w:customStyle="1" w:styleId="SluttnotetekstTegn">
    <w:name w:val="Sluttnotetekst Tegn"/>
    <w:basedOn w:val="Standardskriftforavsnitt"/>
    <w:link w:val="Sluttnotetekst"/>
    <w:uiPriority w:val="99"/>
    <w:semiHidden/>
    <w:rsid w:val="00675E3F"/>
    <w:rPr>
      <w:rFonts w:ascii="Times New Roman" w:eastAsia="Times New Roman" w:hAnsi="Times New Roman"/>
      <w:sz w:val="20"/>
      <w:szCs w:val="20"/>
    </w:rPr>
  </w:style>
  <w:style w:type="character" w:customStyle="1" w:styleId="sperret0">
    <w:name w:val="sperret"/>
    <w:basedOn w:val="Standardskriftforavsnitt"/>
    <w:rsid w:val="00675E3F"/>
    <w:rPr>
      <w:spacing w:val="30"/>
    </w:rPr>
  </w:style>
  <w:style w:type="character" w:customStyle="1" w:styleId="SterktsitatTegn">
    <w:name w:val="Sterkt sitat Tegn"/>
    <w:basedOn w:val="Standardskriftforavsnitt"/>
    <w:link w:val="Sterktsitat"/>
    <w:uiPriority w:val="30"/>
    <w:rsid w:val="00675E3F"/>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675E3F"/>
  </w:style>
  <w:style w:type="character" w:customStyle="1" w:styleId="stikkord0">
    <w:name w:val="stikkord"/>
    <w:uiPriority w:val="99"/>
  </w:style>
  <w:style w:type="character" w:styleId="Sterk">
    <w:name w:val="Strong"/>
    <w:basedOn w:val="Standardskriftforavsnitt"/>
    <w:uiPriority w:val="22"/>
    <w:qFormat/>
    <w:rsid w:val="00675E3F"/>
    <w:rPr>
      <w:b/>
      <w:bCs/>
    </w:rPr>
  </w:style>
  <w:style w:type="character" w:customStyle="1" w:styleId="TopptekstTegn">
    <w:name w:val="Topptekst Tegn"/>
    <w:basedOn w:val="Standardskriftforavsnitt"/>
    <w:link w:val="Topptekst"/>
    <w:rsid w:val="00675E3F"/>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675E3F"/>
    <w:rPr>
      <w:rFonts w:ascii="Times New Roman" w:eastAsia="Times New Roman" w:hAnsi="Times New Roman"/>
      <w:sz w:val="24"/>
    </w:rPr>
  </w:style>
  <w:style w:type="paragraph" w:styleId="Topptekst">
    <w:name w:val="header"/>
    <w:basedOn w:val="Normal"/>
    <w:link w:val="TopptekstTegn"/>
    <w:rsid w:val="00675E3F"/>
    <w:pPr>
      <w:tabs>
        <w:tab w:val="center" w:pos="4536"/>
        <w:tab w:val="right" w:pos="9072"/>
      </w:tabs>
    </w:pPr>
  </w:style>
  <w:style w:type="character" w:customStyle="1" w:styleId="TopptekstTegn1">
    <w:name w:val="Topptekst Tegn1"/>
    <w:basedOn w:val="Standardskriftforavsnitt"/>
    <w:uiPriority w:val="99"/>
    <w:rsid w:val="00E73D4B"/>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675E3F"/>
    <w:pPr>
      <w:tabs>
        <w:tab w:val="center" w:pos="4153"/>
        <w:tab w:val="right" w:pos="8306"/>
      </w:tabs>
    </w:pPr>
    <w:rPr>
      <w:spacing w:val="4"/>
    </w:rPr>
  </w:style>
  <w:style w:type="character" w:customStyle="1" w:styleId="BunntekstTegn1">
    <w:name w:val="Bunntekst Tegn1"/>
    <w:basedOn w:val="Standardskriftforavsnitt"/>
    <w:uiPriority w:val="99"/>
    <w:rsid w:val="00E73D4B"/>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75E3F"/>
    <w:rPr>
      <w:rFonts w:ascii="Arial" w:eastAsia="Times New Roman" w:hAnsi="Arial"/>
      <w:i/>
    </w:rPr>
  </w:style>
  <w:style w:type="character" w:customStyle="1" w:styleId="Overskrift7Tegn">
    <w:name w:val="Overskrift 7 Tegn"/>
    <w:basedOn w:val="Standardskriftforavsnitt"/>
    <w:link w:val="Overskrift7"/>
    <w:rsid w:val="00675E3F"/>
    <w:rPr>
      <w:rFonts w:ascii="Arial" w:eastAsia="Times New Roman" w:hAnsi="Arial"/>
      <w:sz w:val="24"/>
    </w:rPr>
  </w:style>
  <w:style w:type="character" w:customStyle="1" w:styleId="Overskrift8Tegn">
    <w:name w:val="Overskrift 8 Tegn"/>
    <w:basedOn w:val="Standardskriftforavsnitt"/>
    <w:link w:val="Overskrift8"/>
    <w:rsid w:val="00675E3F"/>
    <w:rPr>
      <w:rFonts w:ascii="Arial" w:eastAsia="Times New Roman" w:hAnsi="Arial"/>
      <w:i/>
      <w:sz w:val="24"/>
    </w:rPr>
  </w:style>
  <w:style w:type="character" w:customStyle="1" w:styleId="Overskrift9Tegn">
    <w:name w:val="Overskrift 9 Tegn"/>
    <w:basedOn w:val="Standardskriftforavsnitt"/>
    <w:link w:val="Overskrift9"/>
    <w:rsid w:val="00675E3F"/>
    <w:rPr>
      <w:rFonts w:ascii="Arial" w:eastAsia="Times New Roman" w:hAnsi="Arial"/>
      <w:b/>
      <w:i/>
      <w:sz w:val="18"/>
    </w:rPr>
  </w:style>
  <w:style w:type="table" w:styleId="Tabelltemaer">
    <w:name w:val="Table Theme"/>
    <w:basedOn w:val="Vanligtabell"/>
    <w:uiPriority w:val="99"/>
    <w:semiHidden/>
    <w:unhideWhenUsed/>
    <w:rsid w:val="00675E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5E3F"/>
    <w:rPr>
      <w:szCs w:val="24"/>
    </w:rPr>
  </w:style>
  <w:style w:type="paragraph" w:styleId="INNH1">
    <w:name w:val="toc 1"/>
    <w:basedOn w:val="Normal"/>
    <w:next w:val="Normal"/>
    <w:semiHidden/>
    <w:rsid w:val="00675E3F"/>
    <w:pPr>
      <w:tabs>
        <w:tab w:val="right" w:leader="dot" w:pos="8306"/>
      </w:tabs>
    </w:pPr>
  </w:style>
  <w:style w:type="paragraph" w:styleId="INNH2">
    <w:name w:val="toc 2"/>
    <w:basedOn w:val="Normal"/>
    <w:next w:val="Normal"/>
    <w:semiHidden/>
    <w:rsid w:val="00675E3F"/>
    <w:pPr>
      <w:tabs>
        <w:tab w:val="right" w:leader="dot" w:pos="8306"/>
      </w:tabs>
      <w:ind w:left="200"/>
    </w:pPr>
  </w:style>
  <w:style w:type="paragraph" w:styleId="INNH3">
    <w:name w:val="toc 3"/>
    <w:basedOn w:val="Normal"/>
    <w:next w:val="Normal"/>
    <w:semiHidden/>
    <w:rsid w:val="00675E3F"/>
    <w:pPr>
      <w:tabs>
        <w:tab w:val="right" w:leader="dot" w:pos="8306"/>
      </w:tabs>
      <w:ind w:left="400"/>
    </w:pPr>
  </w:style>
  <w:style w:type="paragraph" w:styleId="INNH4">
    <w:name w:val="toc 4"/>
    <w:basedOn w:val="Normal"/>
    <w:next w:val="Normal"/>
    <w:semiHidden/>
    <w:rsid w:val="00675E3F"/>
    <w:pPr>
      <w:tabs>
        <w:tab w:val="right" w:leader="dot" w:pos="8306"/>
      </w:tabs>
      <w:ind w:left="600"/>
    </w:pPr>
  </w:style>
  <w:style w:type="paragraph" w:styleId="INNH5">
    <w:name w:val="toc 5"/>
    <w:basedOn w:val="Normal"/>
    <w:next w:val="Normal"/>
    <w:semiHidden/>
    <w:rsid w:val="00675E3F"/>
    <w:pPr>
      <w:tabs>
        <w:tab w:val="right" w:leader="dot" w:pos="8306"/>
      </w:tabs>
      <w:ind w:left="800"/>
    </w:pPr>
  </w:style>
  <w:style w:type="character" w:styleId="Merknadsreferanse">
    <w:name w:val="annotation reference"/>
    <w:basedOn w:val="Standardskriftforavsnitt"/>
    <w:semiHidden/>
    <w:rsid w:val="00675E3F"/>
    <w:rPr>
      <w:sz w:val="16"/>
    </w:rPr>
  </w:style>
  <w:style w:type="paragraph" w:styleId="Merknadstekst">
    <w:name w:val="annotation text"/>
    <w:basedOn w:val="Normal"/>
    <w:link w:val="MerknadstekstTegn"/>
    <w:semiHidden/>
    <w:rsid w:val="00675E3F"/>
  </w:style>
  <w:style w:type="character" w:customStyle="1" w:styleId="MerknadstekstTegn">
    <w:name w:val="Merknadstekst Tegn"/>
    <w:basedOn w:val="Standardskriftforavsnitt"/>
    <w:link w:val="Merknadstekst"/>
    <w:semiHidden/>
    <w:rsid w:val="00675E3F"/>
    <w:rPr>
      <w:rFonts w:ascii="Times New Roman" w:eastAsia="Times New Roman" w:hAnsi="Times New Roman"/>
      <w:sz w:val="24"/>
    </w:rPr>
  </w:style>
  <w:style w:type="paragraph" w:styleId="Punktliste">
    <w:name w:val="List Bullet"/>
    <w:basedOn w:val="Normal"/>
    <w:rsid w:val="00675E3F"/>
    <w:pPr>
      <w:numPr>
        <w:numId w:val="2"/>
      </w:numPr>
      <w:spacing w:after="0"/>
    </w:pPr>
    <w:rPr>
      <w:spacing w:val="4"/>
    </w:rPr>
  </w:style>
  <w:style w:type="paragraph" w:styleId="Punktliste2">
    <w:name w:val="List Bullet 2"/>
    <w:basedOn w:val="Normal"/>
    <w:rsid w:val="00675E3F"/>
    <w:pPr>
      <w:numPr>
        <w:numId w:val="3"/>
      </w:numPr>
      <w:spacing w:after="0"/>
    </w:pPr>
    <w:rPr>
      <w:spacing w:val="4"/>
    </w:rPr>
  </w:style>
  <w:style w:type="paragraph" w:styleId="Punktliste3">
    <w:name w:val="List Bullet 3"/>
    <w:basedOn w:val="Normal"/>
    <w:rsid w:val="00675E3F"/>
    <w:pPr>
      <w:numPr>
        <w:numId w:val="4"/>
      </w:numPr>
      <w:spacing w:after="0"/>
    </w:pPr>
    <w:rPr>
      <w:spacing w:val="4"/>
    </w:rPr>
  </w:style>
  <w:style w:type="paragraph" w:styleId="Punktliste4">
    <w:name w:val="List Bullet 4"/>
    <w:basedOn w:val="Normal"/>
    <w:rsid w:val="00675E3F"/>
    <w:pPr>
      <w:numPr>
        <w:numId w:val="5"/>
      </w:numPr>
      <w:spacing w:after="0"/>
    </w:pPr>
  </w:style>
  <w:style w:type="paragraph" w:styleId="Punktliste5">
    <w:name w:val="List Bullet 5"/>
    <w:basedOn w:val="Normal"/>
    <w:rsid w:val="00675E3F"/>
    <w:pPr>
      <w:numPr>
        <w:numId w:val="6"/>
      </w:numPr>
      <w:spacing w:after="0"/>
    </w:pPr>
  </w:style>
  <w:style w:type="table" w:customStyle="1" w:styleId="Tabell-VM">
    <w:name w:val="Tabell-VM"/>
    <w:basedOn w:val="Tabelltemaer"/>
    <w:uiPriority w:val="99"/>
    <w:qFormat/>
    <w:rsid w:val="00675E3F"/>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675E3F"/>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75E3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5E3F"/>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675E3F"/>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75E3F"/>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75E3F"/>
    <w:pPr>
      <w:spacing w:after="0" w:line="240" w:lineRule="auto"/>
      <w:ind w:left="240" w:hanging="240"/>
    </w:pPr>
  </w:style>
  <w:style w:type="paragraph" w:styleId="Indeks2">
    <w:name w:val="index 2"/>
    <w:basedOn w:val="Normal"/>
    <w:next w:val="Normal"/>
    <w:autoRedefine/>
    <w:uiPriority w:val="99"/>
    <w:semiHidden/>
    <w:unhideWhenUsed/>
    <w:rsid w:val="00675E3F"/>
    <w:pPr>
      <w:spacing w:after="0" w:line="240" w:lineRule="auto"/>
      <w:ind w:left="480" w:hanging="240"/>
    </w:pPr>
  </w:style>
  <w:style w:type="paragraph" w:styleId="Indeks3">
    <w:name w:val="index 3"/>
    <w:basedOn w:val="Normal"/>
    <w:next w:val="Normal"/>
    <w:autoRedefine/>
    <w:uiPriority w:val="99"/>
    <w:semiHidden/>
    <w:unhideWhenUsed/>
    <w:rsid w:val="00675E3F"/>
    <w:pPr>
      <w:spacing w:after="0" w:line="240" w:lineRule="auto"/>
      <w:ind w:left="720" w:hanging="240"/>
    </w:pPr>
  </w:style>
  <w:style w:type="paragraph" w:styleId="Indeks4">
    <w:name w:val="index 4"/>
    <w:basedOn w:val="Normal"/>
    <w:next w:val="Normal"/>
    <w:autoRedefine/>
    <w:uiPriority w:val="99"/>
    <w:semiHidden/>
    <w:unhideWhenUsed/>
    <w:rsid w:val="00675E3F"/>
    <w:pPr>
      <w:spacing w:after="0" w:line="240" w:lineRule="auto"/>
      <w:ind w:left="960" w:hanging="240"/>
    </w:pPr>
  </w:style>
  <w:style w:type="paragraph" w:styleId="Indeks5">
    <w:name w:val="index 5"/>
    <w:basedOn w:val="Normal"/>
    <w:next w:val="Normal"/>
    <w:autoRedefine/>
    <w:uiPriority w:val="99"/>
    <w:semiHidden/>
    <w:unhideWhenUsed/>
    <w:rsid w:val="00675E3F"/>
    <w:pPr>
      <w:spacing w:after="0" w:line="240" w:lineRule="auto"/>
      <w:ind w:left="1200" w:hanging="240"/>
    </w:pPr>
  </w:style>
  <w:style w:type="paragraph" w:styleId="Indeks6">
    <w:name w:val="index 6"/>
    <w:basedOn w:val="Normal"/>
    <w:next w:val="Normal"/>
    <w:autoRedefine/>
    <w:uiPriority w:val="99"/>
    <w:semiHidden/>
    <w:unhideWhenUsed/>
    <w:rsid w:val="00675E3F"/>
    <w:pPr>
      <w:spacing w:after="0" w:line="240" w:lineRule="auto"/>
      <w:ind w:left="1440" w:hanging="240"/>
    </w:pPr>
  </w:style>
  <w:style w:type="paragraph" w:styleId="Indeks7">
    <w:name w:val="index 7"/>
    <w:basedOn w:val="Normal"/>
    <w:next w:val="Normal"/>
    <w:autoRedefine/>
    <w:uiPriority w:val="99"/>
    <w:semiHidden/>
    <w:unhideWhenUsed/>
    <w:rsid w:val="00675E3F"/>
    <w:pPr>
      <w:spacing w:after="0" w:line="240" w:lineRule="auto"/>
      <w:ind w:left="1680" w:hanging="240"/>
    </w:pPr>
  </w:style>
  <w:style w:type="paragraph" w:styleId="Indeks8">
    <w:name w:val="index 8"/>
    <w:basedOn w:val="Normal"/>
    <w:next w:val="Normal"/>
    <w:autoRedefine/>
    <w:uiPriority w:val="99"/>
    <w:semiHidden/>
    <w:unhideWhenUsed/>
    <w:rsid w:val="00675E3F"/>
    <w:pPr>
      <w:spacing w:after="0" w:line="240" w:lineRule="auto"/>
      <w:ind w:left="1920" w:hanging="240"/>
    </w:pPr>
  </w:style>
  <w:style w:type="paragraph" w:styleId="Indeks9">
    <w:name w:val="index 9"/>
    <w:basedOn w:val="Normal"/>
    <w:next w:val="Normal"/>
    <w:autoRedefine/>
    <w:uiPriority w:val="99"/>
    <w:semiHidden/>
    <w:unhideWhenUsed/>
    <w:rsid w:val="00675E3F"/>
    <w:pPr>
      <w:spacing w:after="0" w:line="240" w:lineRule="auto"/>
      <w:ind w:left="2160" w:hanging="240"/>
    </w:pPr>
  </w:style>
  <w:style w:type="paragraph" w:styleId="INNH6">
    <w:name w:val="toc 6"/>
    <w:basedOn w:val="Normal"/>
    <w:next w:val="Normal"/>
    <w:autoRedefine/>
    <w:uiPriority w:val="39"/>
    <w:semiHidden/>
    <w:unhideWhenUsed/>
    <w:rsid w:val="00675E3F"/>
    <w:pPr>
      <w:spacing w:after="100"/>
      <w:ind w:left="1200"/>
    </w:pPr>
  </w:style>
  <w:style w:type="paragraph" w:styleId="INNH7">
    <w:name w:val="toc 7"/>
    <w:basedOn w:val="Normal"/>
    <w:next w:val="Normal"/>
    <w:autoRedefine/>
    <w:uiPriority w:val="39"/>
    <w:semiHidden/>
    <w:unhideWhenUsed/>
    <w:rsid w:val="00675E3F"/>
    <w:pPr>
      <w:spacing w:after="100"/>
      <w:ind w:left="1440"/>
    </w:pPr>
  </w:style>
  <w:style w:type="paragraph" w:styleId="INNH8">
    <w:name w:val="toc 8"/>
    <w:basedOn w:val="Normal"/>
    <w:next w:val="Normal"/>
    <w:autoRedefine/>
    <w:uiPriority w:val="39"/>
    <w:semiHidden/>
    <w:unhideWhenUsed/>
    <w:rsid w:val="00675E3F"/>
    <w:pPr>
      <w:spacing w:after="100"/>
      <w:ind w:left="1680"/>
    </w:pPr>
  </w:style>
  <w:style w:type="paragraph" w:styleId="INNH9">
    <w:name w:val="toc 9"/>
    <w:basedOn w:val="Normal"/>
    <w:next w:val="Normal"/>
    <w:autoRedefine/>
    <w:uiPriority w:val="39"/>
    <w:semiHidden/>
    <w:unhideWhenUsed/>
    <w:rsid w:val="00675E3F"/>
    <w:pPr>
      <w:spacing w:after="100"/>
      <w:ind w:left="1920"/>
    </w:pPr>
  </w:style>
  <w:style w:type="paragraph" w:styleId="Vanliginnrykk">
    <w:name w:val="Normal Indent"/>
    <w:basedOn w:val="Normal"/>
    <w:uiPriority w:val="99"/>
    <w:semiHidden/>
    <w:unhideWhenUsed/>
    <w:rsid w:val="00675E3F"/>
    <w:pPr>
      <w:ind w:left="708"/>
    </w:pPr>
  </w:style>
  <w:style w:type="paragraph" w:styleId="Stikkordregisteroverskrift">
    <w:name w:val="index heading"/>
    <w:basedOn w:val="Normal"/>
    <w:next w:val="Indeks1"/>
    <w:uiPriority w:val="99"/>
    <w:semiHidden/>
    <w:unhideWhenUsed/>
    <w:rsid w:val="00675E3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75E3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75E3F"/>
    <w:pPr>
      <w:spacing w:after="0"/>
    </w:pPr>
  </w:style>
  <w:style w:type="paragraph" w:styleId="Konvoluttadresse">
    <w:name w:val="envelope address"/>
    <w:basedOn w:val="Normal"/>
    <w:uiPriority w:val="99"/>
    <w:semiHidden/>
    <w:unhideWhenUsed/>
    <w:rsid w:val="00675E3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75E3F"/>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675E3F"/>
  </w:style>
  <w:style w:type="character" w:styleId="Sluttnotereferanse">
    <w:name w:val="endnote reference"/>
    <w:basedOn w:val="Standardskriftforavsnitt"/>
    <w:uiPriority w:val="99"/>
    <w:semiHidden/>
    <w:unhideWhenUsed/>
    <w:rsid w:val="00675E3F"/>
    <w:rPr>
      <w:vertAlign w:val="superscript"/>
    </w:rPr>
  </w:style>
  <w:style w:type="paragraph" w:styleId="Sluttnotetekst">
    <w:name w:val="endnote text"/>
    <w:basedOn w:val="Normal"/>
    <w:link w:val="SluttnotetekstTegn"/>
    <w:uiPriority w:val="99"/>
    <w:semiHidden/>
    <w:unhideWhenUsed/>
    <w:rsid w:val="00675E3F"/>
    <w:pPr>
      <w:spacing w:after="0" w:line="240" w:lineRule="auto"/>
    </w:pPr>
    <w:rPr>
      <w:sz w:val="20"/>
      <w:szCs w:val="20"/>
    </w:rPr>
  </w:style>
  <w:style w:type="character" w:customStyle="1" w:styleId="SluttnotetekstTegn1">
    <w:name w:val="Sluttnotetekst Tegn1"/>
    <w:basedOn w:val="Standardskriftforavsnitt"/>
    <w:uiPriority w:val="99"/>
    <w:semiHidden/>
    <w:rsid w:val="00E73D4B"/>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675E3F"/>
    <w:pPr>
      <w:spacing w:after="0"/>
      <w:ind w:left="240" w:hanging="240"/>
    </w:pPr>
  </w:style>
  <w:style w:type="paragraph" w:styleId="Makrotekst">
    <w:name w:val="macro"/>
    <w:link w:val="MakrotekstTegn"/>
    <w:uiPriority w:val="99"/>
    <w:semiHidden/>
    <w:unhideWhenUsed/>
    <w:rsid w:val="00675E3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675E3F"/>
    <w:rPr>
      <w:rFonts w:ascii="Consolas" w:eastAsia="Times New Roman" w:hAnsi="Consolas"/>
      <w:sz w:val="20"/>
      <w:szCs w:val="20"/>
    </w:rPr>
  </w:style>
  <w:style w:type="paragraph" w:styleId="Kildelisteoverskrift">
    <w:name w:val="toa heading"/>
    <w:basedOn w:val="Normal"/>
    <w:next w:val="Normal"/>
    <w:uiPriority w:val="99"/>
    <w:semiHidden/>
    <w:unhideWhenUsed/>
    <w:rsid w:val="00675E3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75E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75E3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75E3F"/>
    <w:pPr>
      <w:spacing w:after="0" w:line="240" w:lineRule="auto"/>
      <w:ind w:left="4252"/>
    </w:pPr>
  </w:style>
  <w:style w:type="character" w:customStyle="1" w:styleId="HilsenTegn">
    <w:name w:val="Hilsen Tegn"/>
    <w:basedOn w:val="Standardskriftforavsnitt"/>
    <w:link w:val="Hilsen"/>
    <w:uiPriority w:val="99"/>
    <w:semiHidden/>
    <w:rsid w:val="00675E3F"/>
    <w:rPr>
      <w:rFonts w:ascii="Times New Roman" w:eastAsia="Times New Roman" w:hAnsi="Times New Roman"/>
      <w:sz w:val="24"/>
    </w:rPr>
  </w:style>
  <w:style w:type="paragraph" w:styleId="Underskrift">
    <w:name w:val="Signature"/>
    <w:basedOn w:val="Normal"/>
    <w:link w:val="UnderskriftTegn"/>
    <w:uiPriority w:val="99"/>
    <w:semiHidden/>
    <w:unhideWhenUsed/>
    <w:rsid w:val="00675E3F"/>
    <w:pPr>
      <w:spacing w:after="0" w:line="240" w:lineRule="auto"/>
      <w:ind w:left="4252"/>
    </w:pPr>
  </w:style>
  <w:style w:type="character" w:customStyle="1" w:styleId="UnderskriftTegn1">
    <w:name w:val="Underskrift Tegn1"/>
    <w:basedOn w:val="Standardskriftforavsnitt"/>
    <w:uiPriority w:val="99"/>
    <w:semiHidden/>
    <w:rsid w:val="00E73D4B"/>
    <w:rPr>
      <w:rFonts w:ascii="Times New Roman" w:eastAsia="Times New Roman" w:hAnsi="Times New Roman"/>
      <w:sz w:val="24"/>
    </w:rPr>
  </w:style>
  <w:style w:type="paragraph" w:styleId="Brdtekst">
    <w:name w:val="Body Text"/>
    <w:basedOn w:val="Normal"/>
    <w:link w:val="BrdtekstTegn"/>
    <w:uiPriority w:val="99"/>
    <w:semiHidden/>
    <w:unhideWhenUsed/>
    <w:rsid w:val="00675E3F"/>
  </w:style>
  <w:style w:type="character" w:customStyle="1" w:styleId="BrdtekstTegn">
    <w:name w:val="Brødtekst Tegn"/>
    <w:basedOn w:val="Standardskriftforavsnitt"/>
    <w:link w:val="Brdtekst"/>
    <w:uiPriority w:val="99"/>
    <w:semiHidden/>
    <w:rsid w:val="00675E3F"/>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675E3F"/>
    <w:pPr>
      <w:ind w:left="283"/>
    </w:pPr>
  </w:style>
  <w:style w:type="character" w:customStyle="1" w:styleId="BrdtekstinnrykkTegn">
    <w:name w:val="Brødtekstinnrykk Tegn"/>
    <w:basedOn w:val="Standardskriftforavsnitt"/>
    <w:link w:val="Brdtekstinnrykk"/>
    <w:uiPriority w:val="99"/>
    <w:semiHidden/>
    <w:rsid w:val="00675E3F"/>
    <w:rPr>
      <w:rFonts w:ascii="Times New Roman" w:eastAsia="Times New Roman" w:hAnsi="Times New Roman"/>
      <w:sz w:val="24"/>
    </w:rPr>
  </w:style>
  <w:style w:type="numbering" w:customStyle="1" w:styleId="l-ListeStilMal">
    <w:name w:val="l-ListeStilMal"/>
    <w:uiPriority w:val="99"/>
    <w:rsid w:val="00675E3F"/>
    <w:pPr>
      <w:numPr>
        <w:numId w:val="8"/>
      </w:numPr>
    </w:pPr>
  </w:style>
  <w:style w:type="paragraph" w:styleId="Meldingshode">
    <w:name w:val="Message Header"/>
    <w:basedOn w:val="Normal"/>
    <w:link w:val="MeldingshodeTegn"/>
    <w:uiPriority w:val="99"/>
    <w:semiHidden/>
    <w:unhideWhenUsed/>
    <w:rsid w:val="00675E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75E3F"/>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675E3F"/>
  </w:style>
  <w:style w:type="character" w:customStyle="1" w:styleId="InnledendehilsenTegn">
    <w:name w:val="Innledende hilsen Tegn"/>
    <w:basedOn w:val="Standardskriftforavsnitt"/>
    <w:link w:val="Innledendehilsen"/>
    <w:uiPriority w:val="99"/>
    <w:semiHidden/>
    <w:rsid w:val="00675E3F"/>
    <w:rPr>
      <w:rFonts w:ascii="Times New Roman" w:eastAsia="Times New Roman" w:hAnsi="Times New Roman"/>
      <w:sz w:val="24"/>
    </w:rPr>
  </w:style>
  <w:style w:type="paragraph" w:styleId="Dato0">
    <w:name w:val="Date"/>
    <w:basedOn w:val="Normal"/>
    <w:next w:val="Normal"/>
    <w:link w:val="DatoTegn"/>
    <w:uiPriority w:val="99"/>
    <w:unhideWhenUsed/>
    <w:rsid w:val="00675E3F"/>
  </w:style>
  <w:style w:type="character" w:customStyle="1" w:styleId="DatoTegn1">
    <w:name w:val="Dato Tegn1"/>
    <w:basedOn w:val="Standardskriftforavsnitt"/>
    <w:uiPriority w:val="99"/>
    <w:semiHidden/>
    <w:rsid w:val="00E73D4B"/>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675E3F"/>
    <w:pPr>
      <w:spacing w:after="0" w:line="240" w:lineRule="auto"/>
    </w:pPr>
  </w:style>
  <w:style w:type="character" w:customStyle="1" w:styleId="NotatoverskriftTegn">
    <w:name w:val="Notatoverskrift Tegn"/>
    <w:basedOn w:val="Standardskriftforavsnitt"/>
    <w:link w:val="Notatoverskrift"/>
    <w:uiPriority w:val="99"/>
    <w:semiHidden/>
    <w:rsid w:val="00675E3F"/>
    <w:rPr>
      <w:rFonts w:ascii="Times New Roman" w:eastAsia="Times New Roman" w:hAnsi="Times New Roman"/>
      <w:sz w:val="24"/>
    </w:rPr>
  </w:style>
  <w:style w:type="paragraph" w:styleId="Brdtekst2">
    <w:name w:val="Body Text 2"/>
    <w:basedOn w:val="Normal"/>
    <w:link w:val="Brdtekst2Tegn"/>
    <w:uiPriority w:val="99"/>
    <w:semiHidden/>
    <w:unhideWhenUsed/>
    <w:rsid w:val="00675E3F"/>
    <w:pPr>
      <w:spacing w:line="480" w:lineRule="auto"/>
    </w:pPr>
  </w:style>
  <w:style w:type="character" w:customStyle="1" w:styleId="Brdtekst2Tegn">
    <w:name w:val="Brødtekst 2 Tegn"/>
    <w:basedOn w:val="Standardskriftforavsnitt"/>
    <w:link w:val="Brdtekst2"/>
    <w:uiPriority w:val="99"/>
    <w:semiHidden/>
    <w:rsid w:val="00675E3F"/>
    <w:rPr>
      <w:rFonts w:ascii="Times New Roman" w:eastAsia="Times New Roman" w:hAnsi="Times New Roman"/>
      <w:sz w:val="24"/>
    </w:rPr>
  </w:style>
  <w:style w:type="paragraph" w:styleId="Brdtekst3">
    <w:name w:val="Body Text 3"/>
    <w:basedOn w:val="Normal"/>
    <w:link w:val="Brdtekst3Tegn"/>
    <w:uiPriority w:val="99"/>
    <w:semiHidden/>
    <w:unhideWhenUsed/>
    <w:rsid w:val="00675E3F"/>
    <w:rPr>
      <w:sz w:val="16"/>
      <w:szCs w:val="16"/>
    </w:rPr>
  </w:style>
  <w:style w:type="character" w:customStyle="1" w:styleId="Brdtekst3Tegn">
    <w:name w:val="Brødtekst 3 Tegn"/>
    <w:basedOn w:val="Standardskriftforavsnitt"/>
    <w:link w:val="Brdtekst3"/>
    <w:uiPriority w:val="99"/>
    <w:semiHidden/>
    <w:rsid w:val="00675E3F"/>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675E3F"/>
    <w:pPr>
      <w:spacing w:line="480" w:lineRule="auto"/>
      <w:ind w:left="283"/>
    </w:pPr>
  </w:style>
  <w:style w:type="character" w:customStyle="1" w:styleId="Brdtekstinnrykk2Tegn">
    <w:name w:val="Brødtekstinnrykk 2 Tegn"/>
    <w:basedOn w:val="Standardskriftforavsnitt"/>
    <w:link w:val="Brdtekstinnrykk2"/>
    <w:uiPriority w:val="99"/>
    <w:semiHidden/>
    <w:rsid w:val="00675E3F"/>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675E3F"/>
    <w:pPr>
      <w:ind w:left="283"/>
    </w:pPr>
    <w:rPr>
      <w:sz w:val="16"/>
      <w:szCs w:val="16"/>
    </w:rPr>
  </w:style>
  <w:style w:type="character" w:customStyle="1" w:styleId="Brdtekstinnrykk3Tegn">
    <w:name w:val="Brødtekstinnrykk 3 Tegn"/>
    <w:basedOn w:val="Standardskriftforavsnitt"/>
    <w:link w:val="Brdtekstinnrykk3"/>
    <w:uiPriority w:val="99"/>
    <w:semiHidden/>
    <w:rsid w:val="00675E3F"/>
    <w:rPr>
      <w:rFonts w:ascii="Times New Roman" w:eastAsia="Times New Roman" w:hAnsi="Times New Roman"/>
      <w:sz w:val="16"/>
      <w:szCs w:val="16"/>
    </w:rPr>
  </w:style>
  <w:style w:type="paragraph" w:styleId="Blokktekst">
    <w:name w:val="Block Text"/>
    <w:basedOn w:val="Normal"/>
    <w:uiPriority w:val="99"/>
    <w:semiHidden/>
    <w:unhideWhenUsed/>
    <w:rsid w:val="00675E3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75E3F"/>
    <w:rPr>
      <w:color w:val="954F72" w:themeColor="followedHyperlink"/>
      <w:u w:val="single"/>
    </w:rPr>
  </w:style>
  <w:style w:type="character" w:styleId="Utheving">
    <w:name w:val="Emphasis"/>
    <w:basedOn w:val="Standardskriftforavsnitt"/>
    <w:uiPriority w:val="20"/>
    <w:qFormat/>
    <w:rsid w:val="00675E3F"/>
    <w:rPr>
      <w:i/>
      <w:iCs/>
    </w:rPr>
  </w:style>
  <w:style w:type="paragraph" w:styleId="Dokumentkart">
    <w:name w:val="Document Map"/>
    <w:basedOn w:val="Normal"/>
    <w:link w:val="DokumentkartTegn"/>
    <w:uiPriority w:val="99"/>
    <w:semiHidden/>
    <w:unhideWhenUsed/>
    <w:rsid w:val="00675E3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75E3F"/>
    <w:rPr>
      <w:rFonts w:ascii="Tahoma" w:eastAsia="Times New Roman" w:hAnsi="Tahoma" w:cs="Tahoma"/>
      <w:sz w:val="16"/>
      <w:szCs w:val="16"/>
    </w:rPr>
  </w:style>
  <w:style w:type="paragraph" w:styleId="Rentekst">
    <w:name w:val="Plain Text"/>
    <w:basedOn w:val="Normal"/>
    <w:link w:val="RentekstTegn"/>
    <w:uiPriority w:val="99"/>
    <w:semiHidden/>
    <w:unhideWhenUsed/>
    <w:rsid w:val="00675E3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75E3F"/>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675E3F"/>
    <w:pPr>
      <w:spacing w:after="0" w:line="240" w:lineRule="auto"/>
    </w:pPr>
  </w:style>
  <w:style w:type="character" w:customStyle="1" w:styleId="E-postsignaturTegn">
    <w:name w:val="E-postsignatur Tegn"/>
    <w:basedOn w:val="Standardskriftforavsnitt"/>
    <w:link w:val="E-postsignatur"/>
    <w:uiPriority w:val="99"/>
    <w:semiHidden/>
    <w:rsid w:val="00675E3F"/>
    <w:rPr>
      <w:rFonts w:ascii="Times New Roman" w:eastAsia="Times New Roman" w:hAnsi="Times New Roman"/>
      <w:sz w:val="24"/>
    </w:rPr>
  </w:style>
  <w:style w:type="character" w:styleId="HTML-akronym">
    <w:name w:val="HTML Acronym"/>
    <w:basedOn w:val="Standardskriftforavsnitt"/>
    <w:uiPriority w:val="99"/>
    <w:semiHidden/>
    <w:unhideWhenUsed/>
    <w:rsid w:val="00675E3F"/>
  </w:style>
  <w:style w:type="paragraph" w:styleId="HTML-adresse">
    <w:name w:val="HTML Address"/>
    <w:basedOn w:val="Normal"/>
    <w:link w:val="HTML-adresseTegn"/>
    <w:uiPriority w:val="99"/>
    <w:semiHidden/>
    <w:unhideWhenUsed/>
    <w:rsid w:val="00675E3F"/>
    <w:pPr>
      <w:spacing w:after="0" w:line="240" w:lineRule="auto"/>
    </w:pPr>
    <w:rPr>
      <w:i/>
      <w:iCs/>
    </w:rPr>
  </w:style>
  <w:style w:type="character" w:customStyle="1" w:styleId="HTML-adresseTegn">
    <w:name w:val="HTML-adresse Tegn"/>
    <w:basedOn w:val="Standardskriftforavsnitt"/>
    <w:link w:val="HTML-adresse"/>
    <w:uiPriority w:val="99"/>
    <w:semiHidden/>
    <w:rsid w:val="00675E3F"/>
    <w:rPr>
      <w:rFonts w:ascii="Times New Roman" w:eastAsia="Times New Roman" w:hAnsi="Times New Roman"/>
      <w:i/>
      <w:iCs/>
      <w:sz w:val="24"/>
    </w:rPr>
  </w:style>
  <w:style w:type="character" w:styleId="HTML-sitat">
    <w:name w:val="HTML Cite"/>
    <w:basedOn w:val="Standardskriftforavsnitt"/>
    <w:uiPriority w:val="99"/>
    <w:semiHidden/>
    <w:unhideWhenUsed/>
    <w:rsid w:val="00675E3F"/>
    <w:rPr>
      <w:i/>
      <w:iCs/>
    </w:rPr>
  </w:style>
  <w:style w:type="character" w:styleId="HTML-kode">
    <w:name w:val="HTML Code"/>
    <w:basedOn w:val="Standardskriftforavsnitt"/>
    <w:uiPriority w:val="99"/>
    <w:semiHidden/>
    <w:unhideWhenUsed/>
    <w:rsid w:val="00675E3F"/>
    <w:rPr>
      <w:rFonts w:ascii="Consolas" w:hAnsi="Consolas"/>
      <w:sz w:val="20"/>
      <w:szCs w:val="20"/>
    </w:rPr>
  </w:style>
  <w:style w:type="character" w:styleId="HTML-definisjon">
    <w:name w:val="HTML Definition"/>
    <w:basedOn w:val="Standardskriftforavsnitt"/>
    <w:uiPriority w:val="99"/>
    <w:semiHidden/>
    <w:unhideWhenUsed/>
    <w:rsid w:val="00675E3F"/>
    <w:rPr>
      <w:i/>
      <w:iCs/>
    </w:rPr>
  </w:style>
  <w:style w:type="character" w:styleId="HTML-tastatur">
    <w:name w:val="HTML Keyboard"/>
    <w:basedOn w:val="Standardskriftforavsnitt"/>
    <w:uiPriority w:val="99"/>
    <w:semiHidden/>
    <w:unhideWhenUsed/>
    <w:rsid w:val="00675E3F"/>
    <w:rPr>
      <w:rFonts w:ascii="Consolas" w:hAnsi="Consolas"/>
      <w:sz w:val="20"/>
      <w:szCs w:val="20"/>
    </w:rPr>
  </w:style>
  <w:style w:type="paragraph" w:styleId="HTML-forhndsformatert">
    <w:name w:val="HTML Preformatted"/>
    <w:basedOn w:val="Normal"/>
    <w:link w:val="HTML-forhndsformatertTegn"/>
    <w:uiPriority w:val="99"/>
    <w:semiHidden/>
    <w:unhideWhenUsed/>
    <w:rsid w:val="00675E3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75E3F"/>
    <w:rPr>
      <w:rFonts w:ascii="Consolas" w:eastAsia="Times New Roman" w:hAnsi="Consolas"/>
      <w:sz w:val="20"/>
      <w:szCs w:val="20"/>
    </w:rPr>
  </w:style>
  <w:style w:type="character" w:styleId="HTML-eksempel">
    <w:name w:val="HTML Sample"/>
    <w:basedOn w:val="Standardskriftforavsnitt"/>
    <w:uiPriority w:val="99"/>
    <w:semiHidden/>
    <w:unhideWhenUsed/>
    <w:rsid w:val="00675E3F"/>
    <w:rPr>
      <w:rFonts w:ascii="Consolas" w:hAnsi="Consolas"/>
      <w:sz w:val="24"/>
      <w:szCs w:val="24"/>
    </w:rPr>
  </w:style>
  <w:style w:type="character" w:styleId="HTML-skrivemaskin">
    <w:name w:val="HTML Typewriter"/>
    <w:basedOn w:val="Standardskriftforavsnitt"/>
    <w:uiPriority w:val="99"/>
    <w:semiHidden/>
    <w:unhideWhenUsed/>
    <w:rsid w:val="00675E3F"/>
    <w:rPr>
      <w:rFonts w:ascii="Consolas" w:hAnsi="Consolas"/>
      <w:sz w:val="20"/>
      <w:szCs w:val="20"/>
    </w:rPr>
  </w:style>
  <w:style w:type="character" w:styleId="HTML-variabel">
    <w:name w:val="HTML Variable"/>
    <w:basedOn w:val="Standardskriftforavsnitt"/>
    <w:uiPriority w:val="99"/>
    <w:semiHidden/>
    <w:unhideWhenUsed/>
    <w:rsid w:val="00675E3F"/>
    <w:rPr>
      <w:i/>
      <w:iCs/>
    </w:rPr>
  </w:style>
  <w:style w:type="paragraph" w:styleId="Kommentaremne">
    <w:name w:val="annotation subject"/>
    <w:basedOn w:val="Merknadstekst"/>
    <w:next w:val="Merknadstekst"/>
    <w:link w:val="KommentaremneTegn"/>
    <w:uiPriority w:val="99"/>
    <w:semiHidden/>
    <w:unhideWhenUsed/>
    <w:rsid w:val="00675E3F"/>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675E3F"/>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675E3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75E3F"/>
    <w:rPr>
      <w:rFonts w:ascii="Tahoma" w:eastAsia="Times New Roman" w:hAnsi="Tahoma" w:cs="Tahoma"/>
      <w:sz w:val="16"/>
      <w:szCs w:val="16"/>
    </w:rPr>
  </w:style>
  <w:style w:type="paragraph" w:styleId="Ingenmellomrom">
    <w:name w:val="No Spacing"/>
    <w:uiPriority w:val="1"/>
    <w:qFormat/>
    <w:rsid w:val="00675E3F"/>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675E3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73D4B"/>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675E3F"/>
    <w:rPr>
      <w:i/>
      <w:iCs/>
      <w:color w:val="808080" w:themeColor="text1" w:themeTint="7F"/>
    </w:rPr>
  </w:style>
  <w:style w:type="character" w:styleId="Sterkutheving">
    <w:name w:val="Intense Emphasis"/>
    <w:basedOn w:val="Standardskriftforavsnitt"/>
    <w:uiPriority w:val="21"/>
    <w:qFormat/>
    <w:rsid w:val="00675E3F"/>
    <w:rPr>
      <w:b/>
      <w:bCs/>
      <w:i/>
      <w:iCs/>
      <w:color w:val="4472C4" w:themeColor="accent1"/>
    </w:rPr>
  </w:style>
  <w:style w:type="character" w:styleId="Svakreferanse">
    <w:name w:val="Subtle Reference"/>
    <w:basedOn w:val="Standardskriftforavsnitt"/>
    <w:uiPriority w:val="31"/>
    <w:qFormat/>
    <w:rsid w:val="00675E3F"/>
    <w:rPr>
      <w:smallCaps/>
      <w:color w:val="ED7D31" w:themeColor="accent2"/>
      <w:u w:val="single"/>
    </w:rPr>
  </w:style>
  <w:style w:type="character" w:styleId="Sterkreferanse">
    <w:name w:val="Intense Reference"/>
    <w:basedOn w:val="Standardskriftforavsnitt"/>
    <w:uiPriority w:val="32"/>
    <w:qFormat/>
    <w:rsid w:val="00675E3F"/>
    <w:rPr>
      <w:b/>
      <w:bCs/>
      <w:smallCaps/>
      <w:color w:val="ED7D31" w:themeColor="accent2"/>
      <w:spacing w:val="5"/>
      <w:u w:val="single"/>
    </w:rPr>
  </w:style>
  <w:style w:type="character" w:styleId="Boktittel">
    <w:name w:val="Book Title"/>
    <w:basedOn w:val="Standardskriftforavsnitt"/>
    <w:uiPriority w:val="33"/>
    <w:qFormat/>
    <w:rsid w:val="00675E3F"/>
    <w:rPr>
      <w:b/>
      <w:bCs/>
      <w:smallCaps/>
      <w:spacing w:val="5"/>
    </w:rPr>
  </w:style>
  <w:style w:type="paragraph" w:styleId="Bibliografi">
    <w:name w:val="Bibliography"/>
    <w:basedOn w:val="Normal"/>
    <w:next w:val="Normal"/>
    <w:uiPriority w:val="37"/>
    <w:semiHidden/>
    <w:unhideWhenUsed/>
    <w:rsid w:val="00675E3F"/>
  </w:style>
  <w:style w:type="paragraph" w:styleId="Overskriftforinnholdsfortegnelse">
    <w:name w:val="TOC Heading"/>
    <w:basedOn w:val="Overskrift1"/>
    <w:next w:val="Normal"/>
    <w:uiPriority w:val="39"/>
    <w:semiHidden/>
    <w:unhideWhenUsed/>
    <w:qFormat/>
    <w:rsid w:val="00675E3F"/>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675E3F"/>
    <w:pPr>
      <w:suppressAutoHyphens/>
      <w:spacing w:before="400" w:after="200" w:line="240" w:lineRule="auto"/>
      <w:jc w:val="center"/>
    </w:pPr>
    <w:rPr>
      <w:b/>
      <w:color w:val="FF0000"/>
    </w:rPr>
  </w:style>
  <w:style w:type="numbering" w:customStyle="1" w:styleId="AlfaListeStil">
    <w:name w:val="AlfaListeStil"/>
    <w:uiPriority w:val="99"/>
    <w:rsid w:val="00675E3F"/>
    <w:pPr>
      <w:numPr>
        <w:numId w:val="9"/>
      </w:numPr>
    </w:pPr>
  </w:style>
  <w:style w:type="numbering" w:customStyle="1" w:styleId="l-AlfaListeStil">
    <w:name w:val="l-AlfaListeStil"/>
    <w:uiPriority w:val="99"/>
    <w:rsid w:val="00675E3F"/>
    <w:pPr>
      <w:numPr>
        <w:numId w:val="10"/>
      </w:numPr>
    </w:pPr>
  </w:style>
  <w:style w:type="numbering" w:customStyle="1" w:styleId="l-NummerertListeStil">
    <w:name w:val="l-NummerertListeStil"/>
    <w:uiPriority w:val="99"/>
    <w:rsid w:val="00675E3F"/>
    <w:pPr>
      <w:numPr>
        <w:numId w:val="11"/>
      </w:numPr>
    </w:pPr>
  </w:style>
  <w:style w:type="numbering" w:customStyle="1" w:styleId="NrListeStil">
    <w:name w:val="NrListeStil"/>
    <w:uiPriority w:val="99"/>
    <w:rsid w:val="00675E3F"/>
    <w:pPr>
      <w:numPr>
        <w:numId w:val="12"/>
      </w:numPr>
    </w:pPr>
  </w:style>
  <w:style w:type="numbering" w:customStyle="1" w:styleId="OpplistingListeStil">
    <w:name w:val="OpplistingListeStil"/>
    <w:uiPriority w:val="99"/>
    <w:rsid w:val="00675E3F"/>
    <w:pPr>
      <w:numPr>
        <w:numId w:val="13"/>
      </w:numPr>
    </w:pPr>
  </w:style>
  <w:style w:type="numbering" w:customStyle="1" w:styleId="OverskrifterListeStil">
    <w:name w:val="OverskrifterListeStil"/>
    <w:uiPriority w:val="99"/>
    <w:rsid w:val="00675E3F"/>
    <w:pPr>
      <w:numPr>
        <w:numId w:val="14"/>
      </w:numPr>
    </w:pPr>
  </w:style>
  <w:style w:type="numbering" w:customStyle="1" w:styleId="RomListeStil">
    <w:name w:val="RomListeStil"/>
    <w:uiPriority w:val="99"/>
    <w:rsid w:val="00675E3F"/>
    <w:pPr>
      <w:numPr>
        <w:numId w:val="15"/>
      </w:numPr>
    </w:pPr>
  </w:style>
  <w:style w:type="numbering" w:customStyle="1" w:styleId="StrekListeStil">
    <w:name w:val="StrekListeStil"/>
    <w:uiPriority w:val="99"/>
    <w:rsid w:val="00675E3F"/>
    <w:pPr>
      <w:numPr>
        <w:numId w:val="16"/>
      </w:numPr>
    </w:pPr>
  </w:style>
  <w:style w:type="paragraph" w:styleId="Brdtekst-frsteinnrykk">
    <w:name w:val="Body Text First Indent"/>
    <w:basedOn w:val="Brdtekst"/>
    <w:link w:val="Brdtekst-frsteinnrykkTegn"/>
    <w:uiPriority w:val="99"/>
    <w:semiHidden/>
    <w:unhideWhenUsed/>
    <w:rsid w:val="00675E3F"/>
    <w:pPr>
      <w:ind w:firstLine="360"/>
    </w:pPr>
  </w:style>
  <w:style w:type="character" w:customStyle="1" w:styleId="Brdtekst-frsteinnrykkTegn">
    <w:name w:val="Brødtekst - første innrykk Tegn"/>
    <w:basedOn w:val="BrdtekstTegn"/>
    <w:link w:val="Brdtekst-frsteinnrykk"/>
    <w:uiPriority w:val="99"/>
    <w:semiHidden/>
    <w:rsid w:val="00675E3F"/>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675E3F"/>
    <w:pPr>
      <w:ind w:left="360" w:firstLine="360"/>
    </w:pPr>
  </w:style>
  <w:style w:type="character" w:customStyle="1" w:styleId="Brdtekst-frsteinnrykk2Tegn">
    <w:name w:val="Brødtekst - første innrykk 2 Tegn"/>
    <w:basedOn w:val="BrdtekstinnrykkTegn"/>
    <w:link w:val="Brdtekst-frsteinnrykk2"/>
    <w:uiPriority w:val="99"/>
    <w:semiHidden/>
    <w:rsid w:val="00675E3F"/>
    <w:rPr>
      <w:rFonts w:ascii="Times New Roman" w:eastAsia="Times New Roman" w:hAnsi="Times New Roman"/>
      <w:sz w:val="24"/>
    </w:rPr>
  </w:style>
  <w:style w:type="paragraph" w:styleId="Liste-forts">
    <w:name w:val="List Continue"/>
    <w:basedOn w:val="Normal"/>
    <w:uiPriority w:val="99"/>
    <w:semiHidden/>
    <w:unhideWhenUsed/>
    <w:rsid w:val="00675E3F"/>
    <w:pPr>
      <w:ind w:left="283"/>
      <w:contextualSpacing/>
    </w:pPr>
  </w:style>
  <w:style w:type="paragraph" w:styleId="Liste-forts2">
    <w:name w:val="List Continue 2"/>
    <w:basedOn w:val="Normal"/>
    <w:uiPriority w:val="99"/>
    <w:semiHidden/>
    <w:unhideWhenUsed/>
    <w:rsid w:val="00675E3F"/>
    <w:pPr>
      <w:ind w:left="566"/>
      <w:contextualSpacing/>
    </w:pPr>
  </w:style>
  <w:style w:type="paragraph" w:styleId="Liste-forts3">
    <w:name w:val="List Continue 3"/>
    <w:basedOn w:val="Normal"/>
    <w:uiPriority w:val="99"/>
    <w:semiHidden/>
    <w:unhideWhenUsed/>
    <w:rsid w:val="00675E3F"/>
    <w:pPr>
      <w:ind w:left="849"/>
      <w:contextualSpacing/>
    </w:pPr>
  </w:style>
  <w:style w:type="paragraph" w:styleId="Liste-forts4">
    <w:name w:val="List Continue 4"/>
    <w:basedOn w:val="Normal"/>
    <w:uiPriority w:val="99"/>
    <w:semiHidden/>
    <w:unhideWhenUsed/>
    <w:rsid w:val="00675E3F"/>
    <w:pPr>
      <w:ind w:left="1132"/>
      <w:contextualSpacing/>
    </w:pPr>
  </w:style>
  <w:style w:type="paragraph" w:styleId="Liste-forts5">
    <w:name w:val="List Continue 5"/>
    <w:basedOn w:val="Normal"/>
    <w:uiPriority w:val="99"/>
    <w:semiHidden/>
    <w:unhideWhenUsed/>
    <w:rsid w:val="00675E3F"/>
    <w:pPr>
      <w:ind w:left="1415"/>
      <w:contextualSpacing/>
    </w:pPr>
  </w:style>
  <w:style w:type="paragraph" w:customStyle="1" w:styleId="Sammendrag">
    <w:name w:val="Sammendrag"/>
    <w:basedOn w:val="Overskrift1"/>
    <w:qFormat/>
    <w:rsid w:val="00675E3F"/>
    <w:pPr>
      <w:numPr>
        <w:numId w:val="0"/>
      </w:numPr>
    </w:pPr>
  </w:style>
  <w:style w:type="paragraph" w:customStyle="1" w:styleId="TrykkeriMerknad">
    <w:name w:val="TrykkeriMerknad"/>
    <w:basedOn w:val="Normal"/>
    <w:qFormat/>
    <w:rsid w:val="00675E3F"/>
    <w:pPr>
      <w:spacing w:before="60"/>
    </w:pPr>
    <w:rPr>
      <w:rFonts w:ascii="Arial" w:hAnsi="Arial"/>
      <w:color w:val="C45911" w:themeColor="accent2" w:themeShade="BF"/>
      <w:spacing w:val="4"/>
      <w:sz w:val="26"/>
    </w:rPr>
  </w:style>
  <w:style w:type="table" w:styleId="Tabellrutenett">
    <w:name w:val="Table Grid"/>
    <w:basedOn w:val="Vanligtabell"/>
    <w:uiPriority w:val="59"/>
    <w:rsid w:val="00675E3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675E3F"/>
    <w:pPr>
      <w:spacing w:before="360" w:after="240"/>
      <w:jc w:val="center"/>
    </w:pPr>
    <w:rPr>
      <w:b/>
      <w:spacing w:val="4"/>
      <w:sz w:val="28"/>
    </w:rPr>
  </w:style>
  <w:style w:type="paragraph" w:customStyle="1" w:styleId="ForfatterMerknad">
    <w:name w:val="ForfatterMerknad"/>
    <w:basedOn w:val="TrykkeriMerknad"/>
    <w:qFormat/>
    <w:rsid w:val="00675E3F"/>
    <w:pPr>
      <w:shd w:val="clear" w:color="auto" w:fill="FFFF99"/>
      <w:spacing w:line="240" w:lineRule="auto"/>
    </w:pPr>
    <w:rPr>
      <w:color w:val="833C0B" w:themeColor="accent2" w:themeShade="80"/>
    </w:rPr>
  </w:style>
  <w:style w:type="paragraph" w:customStyle="1" w:styleId="tblRad">
    <w:name w:val="tblRad"/>
    <w:rsid w:val="00675E3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75E3F"/>
  </w:style>
  <w:style w:type="paragraph" w:customStyle="1" w:styleId="tbl2LinjeSumBold">
    <w:name w:val="tbl2LinjeSumBold"/>
    <w:basedOn w:val="tblRad"/>
    <w:rsid w:val="00675E3F"/>
    <w:rPr>
      <w:b/>
    </w:rPr>
  </w:style>
  <w:style w:type="paragraph" w:customStyle="1" w:styleId="tblDelsum1">
    <w:name w:val="tblDelsum1"/>
    <w:basedOn w:val="tblRad"/>
    <w:rsid w:val="00675E3F"/>
    <w:rPr>
      <w:i/>
    </w:rPr>
  </w:style>
  <w:style w:type="paragraph" w:customStyle="1" w:styleId="tblDelsum1-Kapittel">
    <w:name w:val="tblDelsum1 - Kapittel"/>
    <w:basedOn w:val="tblDelsum1"/>
    <w:rsid w:val="00675E3F"/>
    <w:pPr>
      <w:keepNext w:val="0"/>
    </w:pPr>
  </w:style>
  <w:style w:type="paragraph" w:customStyle="1" w:styleId="tblDelsum2">
    <w:name w:val="tblDelsum2"/>
    <w:basedOn w:val="tblRad"/>
    <w:rsid w:val="00675E3F"/>
    <w:rPr>
      <w:b/>
      <w:i/>
    </w:rPr>
  </w:style>
  <w:style w:type="paragraph" w:customStyle="1" w:styleId="tblDelsum2-Kapittel">
    <w:name w:val="tblDelsum2 - Kapittel"/>
    <w:basedOn w:val="tblDelsum2"/>
    <w:rsid w:val="00675E3F"/>
    <w:pPr>
      <w:keepNext w:val="0"/>
    </w:pPr>
  </w:style>
  <w:style w:type="paragraph" w:customStyle="1" w:styleId="tblTabelloverskrift">
    <w:name w:val="tblTabelloverskrift"/>
    <w:rsid w:val="00675E3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75E3F"/>
    <w:pPr>
      <w:spacing w:after="0"/>
      <w:jc w:val="right"/>
    </w:pPr>
    <w:rPr>
      <w:b w:val="0"/>
      <w:caps w:val="0"/>
      <w:sz w:val="16"/>
    </w:rPr>
  </w:style>
  <w:style w:type="paragraph" w:customStyle="1" w:styleId="tblKategoriOverskrift">
    <w:name w:val="tblKategoriOverskrift"/>
    <w:basedOn w:val="tblRad"/>
    <w:rsid w:val="00675E3F"/>
    <w:pPr>
      <w:spacing w:before="120"/>
    </w:pPr>
    <w:rPr>
      <w:b/>
    </w:rPr>
  </w:style>
  <w:style w:type="paragraph" w:customStyle="1" w:styleId="tblKolonneoverskrift">
    <w:name w:val="tblKolonneoverskrift"/>
    <w:basedOn w:val="Normal"/>
    <w:rsid w:val="00675E3F"/>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675E3F"/>
    <w:pPr>
      <w:spacing w:after="360"/>
      <w:jc w:val="center"/>
    </w:pPr>
    <w:rPr>
      <w:b w:val="0"/>
      <w:caps w:val="0"/>
    </w:rPr>
  </w:style>
  <w:style w:type="paragraph" w:customStyle="1" w:styleId="tblKolonneoverskrift-Vedtak">
    <w:name w:val="tblKolonneoverskrift - Vedtak"/>
    <w:basedOn w:val="tblTabelloverskrift-Vedtak"/>
    <w:rsid w:val="00675E3F"/>
    <w:pPr>
      <w:spacing w:after="0"/>
    </w:pPr>
  </w:style>
  <w:style w:type="paragraph" w:customStyle="1" w:styleId="tblOverskrift-Vedtak">
    <w:name w:val="tblOverskrift - Vedtak"/>
    <w:basedOn w:val="tblRad"/>
    <w:rsid w:val="00675E3F"/>
    <w:pPr>
      <w:spacing w:before="360"/>
      <w:jc w:val="center"/>
    </w:pPr>
  </w:style>
  <w:style w:type="paragraph" w:customStyle="1" w:styleId="tblRadBold">
    <w:name w:val="tblRadBold"/>
    <w:basedOn w:val="tblRad"/>
    <w:rsid w:val="00675E3F"/>
    <w:rPr>
      <w:b/>
    </w:rPr>
  </w:style>
  <w:style w:type="paragraph" w:customStyle="1" w:styleId="tblRadItalic">
    <w:name w:val="tblRadItalic"/>
    <w:basedOn w:val="tblRad"/>
    <w:rsid w:val="00675E3F"/>
    <w:rPr>
      <w:i/>
    </w:rPr>
  </w:style>
  <w:style w:type="paragraph" w:customStyle="1" w:styleId="tblRadItalicSiste">
    <w:name w:val="tblRadItalicSiste"/>
    <w:basedOn w:val="tblRadItalic"/>
    <w:rsid w:val="00675E3F"/>
  </w:style>
  <w:style w:type="paragraph" w:customStyle="1" w:styleId="tblRadMedLuft">
    <w:name w:val="tblRadMedLuft"/>
    <w:basedOn w:val="tblRad"/>
    <w:rsid w:val="00675E3F"/>
    <w:pPr>
      <w:spacing w:before="120"/>
    </w:pPr>
  </w:style>
  <w:style w:type="paragraph" w:customStyle="1" w:styleId="tblRadMedLuftSiste">
    <w:name w:val="tblRadMedLuftSiste"/>
    <w:basedOn w:val="tblRadMedLuft"/>
    <w:rsid w:val="00675E3F"/>
    <w:pPr>
      <w:spacing w:after="120"/>
    </w:pPr>
  </w:style>
  <w:style w:type="paragraph" w:customStyle="1" w:styleId="tblRadMedLuftSiste-Vedtak">
    <w:name w:val="tblRadMedLuftSiste - Vedtak"/>
    <w:basedOn w:val="tblRadMedLuftSiste"/>
    <w:rsid w:val="00675E3F"/>
    <w:pPr>
      <w:keepNext w:val="0"/>
    </w:pPr>
  </w:style>
  <w:style w:type="paragraph" w:customStyle="1" w:styleId="tblRadSiste">
    <w:name w:val="tblRadSiste"/>
    <w:basedOn w:val="tblRad"/>
    <w:rsid w:val="00675E3F"/>
  </w:style>
  <w:style w:type="paragraph" w:customStyle="1" w:styleId="tblSluttsum">
    <w:name w:val="tblSluttsum"/>
    <w:basedOn w:val="tblRad"/>
    <w:rsid w:val="00675E3F"/>
    <w:pPr>
      <w:spacing w:before="120"/>
    </w:pPr>
    <w:rPr>
      <w:b/>
      <w:i/>
    </w:rPr>
  </w:style>
  <w:style w:type="character" w:styleId="Emneknagg">
    <w:name w:val="Hashtag"/>
    <w:basedOn w:val="Standardskriftforavsnitt"/>
    <w:uiPriority w:val="99"/>
    <w:semiHidden/>
    <w:unhideWhenUsed/>
    <w:rsid w:val="004A107D"/>
    <w:rPr>
      <w:color w:val="2B579A"/>
      <w:shd w:val="clear" w:color="auto" w:fill="E1DFDD"/>
    </w:rPr>
  </w:style>
  <w:style w:type="character" w:styleId="Omtale">
    <w:name w:val="Mention"/>
    <w:basedOn w:val="Standardskriftforavsnitt"/>
    <w:uiPriority w:val="99"/>
    <w:semiHidden/>
    <w:unhideWhenUsed/>
    <w:rsid w:val="004A107D"/>
    <w:rPr>
      <w:color w:val="2B579A"/>
      <w:shd w:val="clear" w:color="auto" w:fill="E1DFDD"/>
    </w:rPr>
  </w:style>
  <w:style w:type="paragraph" w:styleId="Sitat0">
    <w:name w:val="Quote"/>
    <w:basedOn w:val="Normal"/>
    <w:next w:val="Normal"/>
    <w:link w:val="SitatTegn1"/>
    <w:uiPriority w:val="29"/>
    <w:qFormat/>
    <w:rsid w:val="004A107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A107D"/>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4A107D"/>
    <w:rPr>
      <w:u w:val="dotted"/>
    </w:rPr>
  </w:style>
  <w:style w:type="character" w:styleId="Smartkobling">
    <w:name w:val="Smart Link"/>
    <w:basedOn w:val="Standardskriftforavsnitt"/>
    <w:uiPriority w:val="99"/>
    <w:semiHidden/>
    <w:unhideWhenUsed/>
    <w:rsid w:val="004A107D"/>
    <w:rPr>
      <w:color w:val="0000FF"/>
      <w:u w:val="single"/>
      <w:shd w:val="clear" w:color="auto" w:fill="F3F2F1"/>
    </w:rPr>
  </w:style>
  <w:style w:type="character" w:styleId="Ulstomtale">
    <w:name w:val="Unresolved Mention"/>
    <w:basedOn w:val="Standardskriftforavsnitt"/>
    <w:uiPriority w:val="99"/>
    <w:semiHidden/>
    <w:unhideWhenUsed/>
    <w:rsid w:val="004A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23</TotalTime>
  <Pages>331</Pages>
  <Words>115245</Words>
  <Characters>678609</Characters>
  <Application>Microsoft Office Word</Application>
  <DocSecurity>0</DocSecurity>
  <Lines>5655</Lines>
  <Paragraphs>1584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7</cp:revision>
  <dcterms:created xsi:type="dcterms:W3CDTF">2022-09-30T09:58:00Z</dcterms:created>
  <dcterms:modified xsi:type="dcterms:W3CDTF">2022-09-30T10:55:00Z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2022-09-30T09:25:38Z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ec06a833-6859-4111-b959-3a2cdaa8fb26</vt:lpwstr>
  </property>
  <property fmtid="{D5CDD505-2E9C-101B-9397-08002B2CF9AE}" pid="8" name="MSIP_Label_b22f7043-6caf-4431-9109-8eff758a1d8b_ContentBits">
    <vt:lpwstr>0</vt:lpwstr>
  </property>
</Properties>
</file>