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762B7" w:rsidP="00E81532">
      <w:pPr>
        <w:pStyle w:val="is-dep"/>
      </w:pPr>
      <w:r>
        <w:t>Klima- og miljødepartementet</w:t>
      </w:r>
    </w:p>
    <w:p w:rsidR="00000000" w:rsidRDefault="00E81532" w:rsidP="000762B7">
      <w:pPr>
        <w:pStyle w:val="i-hode"/>
      </w:pPr>
      <w:r>
        <w:t>Prop. 77 L</w:t>
      </w:r>
    </w:p>
    <w:p w:rsidR="00000000" w:rsidRDefault="00E81532" w:rsidP="000762B7">
      <w:pPr>
        <w:pStyle w:val="i-sesjon"/>
      </w:pPr>
      <w:r>
        <w:t>(20</w:t>
      </w:r>
      <w:r>
        <w:t>18–2019)</w:t>
      </w:r>
    </w:p>
    <w:p w:rsidR="00000000" w:rsidRDefault="00E81532" w:rsidP="000762B7">
      <w:pPr>
        <w:pStyle w:val="i-hode-tit"/>
      </w:pPr>
      <w:r>
        <w:t>Proposisjon til Stortinget (forslag til lovvedtak)</w:t>
      </w:r>
    </w:p>
    <w:p w:rsidR="00000000" w:rsidRDefault="00E81532" w:rsidP="000762B7">
      <w:pPr>
        <w:pStyle w:val="i-tit"/>
        <w:rPr>
          <w:rFonts w:ascii="UniMyriad Bold" w:hAnsi="UniMyriad Bold" w:cs="UniMyriad Bold"/>
          <w:sz w:val="34"/>
          <w:szCs w:val="34"/>
        </w:rPr>
      </w:pPr>
      <w:r>
        <w:t>Endringer i forurensningsloven, produktkontrolloven, naturmangfoldloven og svalbardmiljøloven mv. (innføring av overtrede</w:t>
      </w:r>
      <w:bookmarkStart w:id="0" w:name="_GoBack"/>
      <w:bookmarkEnd w:id="0"/>
      <w:r>
        <w:t>lsesgebyr og heving av strafferammer)</w:t>
      </w:r>
    </w:p>
    <w:p w:rsidR="00000000" w:rsidRDefault="000762B7" w:rsidP="000762B7">
      <w:pPr>
        <w:pStyle w:val="i-dep"/>
      </w:pPr>
      <w:r>
        <w:t>Klima- og miljødepartementet</w:t>
      </w:r>
    </w:p>
    <w:p w:rsidR="00000000" w:rsidRDefault="00E81532" w:rsidP="000762B7">
      <w:pPr>
        <w:pStyle w:val="i-hode"/>
      </w:pPr>
      <w:r>
        <w:t>Prop. 77 L</w:t>
      </w:r>
    </w:p>
    <w:p w:rsidR="00000000" w:rsidRDefault="00E81532" w:rsidP="000762B7">
      <w:pPr>
        <w:pStyle w:val="i-sesjon"/>
      </w:pPr>
      <w:r>
        <w:t>(2018–2019)</w:t>
      </w:r>
    </w:p>
    <w:p w:rsidR="00000000" w:rsidRDefault="00E81532" w:rsidP="000762B7">
      <w:pPr>
        <w:pStyle w:val="i-hode-tit"/>
      </w:pPr>
      <w:r>
        <w:t>Proposisjon til Stortinget (forslag til lovvedtak)</w:t>
      </w:r>
    </w:p>
    <w:p w:rsidR="00000000" w:rsidRDefault="00E81532" w:rsidP="000762B7">
      <w:pPr>
        <w:pStyle w:val="i-tit"/>
      </w:pPr>
      <w:r>
        <w:t>Endringer i forurensningsloven, produktkontrolloven, naturmangfoldloven og svalbardmiljøloven mv. (innføring av overtredelsesgebyr og heving av strafferammer)</w:t>
      </w:r>
    </w:p>
    <w:p w:rsidR="00000000" w:rsidRDefault="00E81532" w:rsidP="000762B7">
      <w:pPr>
        <w:pStyle w:val="i-statsrdato"/>
      </w:pPr>
      <w:r>
        <w:t>Tilråd</w:t>
      </w:r>
      <w:r>
        <w:t>ing fra Klima- og miljødepartementet 5. april 2019, godkjent i statsråd samme dag. (Regjeringen So</w:t>
      </w:r>
      <w:r>
        <w:t>l</w:t>
      </w:r>
      <w:r>
        <w:t xml:space="preserve">berg) </w:t>
      </w:r>
    </w:p>
    <w:p w:rsidR="00000000" w:rsidRDefault="00E81532" w:rsidP="00E81532">
      <w:pPr>
        <w:pStyle w:val="Overskrift1"/>
      </w:pPr>
      <w:r>
        <w:t>Proposisjonens hovedinnhold</w:t>
      </w:r>
    </w:p>
    <w:p w:rsidR="00000000" w:rsidRDefault="00E81532" w:rsidP="000762B7">
      <w:r>
        <w:t>Departementet foreslår endringer i forurensningsloven, produktkontrolloven, naturmangfold</w:t>
      </w:r>
      <w:r>
        <w:t>s</w:t>
      </w:r>
      <w:r>
        <w:t>loven, sva</w:t>
      </w:r>
      <w:r>
        <w:t>l</w:t>
      </w:r>
      <w:r>
        <w:t>bardmiljøl</w:t>
      </w:r>
      <w:r>
        <w:t>oven og straffeprosessloven. Forslaget innebærer at det innføres hjemler for overtredelsesg</w:t>
      </w:r>
      <w:r>
        <w:t>e</w:t>
      </w:r>
      <w:r>
        <w:t>byr i forurensingsloven og produktkontrolloven, samt at bestemmelsen i natu</w:t>
      </w:r>
      <w:r>
        <w:t>r</w:t>
      </w:r>
      <w:r>
        <w:t>mangfoldloven om milj</w:t>
      </w:r>
      <w:r>
        <w:t>ø</w:t>
      </w:r>
      <w:r>
        <w:t>ersta</w:t>
      </w:r>
      <w:r>
        <w:t>t</w:t>
      </w:r>
      <w:r>
        <w:t>ning endres til en bestemmelse om overtredelsesgebyr. Videre</w:t>
      </w:r>
      <w:r>
        <w:t xml:space="preserve"> innebærer forslaget at straffera</w:t>
      </w:r>
      <w:r>
        <w:t>m</w:t>
      </w:r>
      <w:r>
        <w:t>mene heves i de fire nevnte lovene, at vilkår for bruk av øvre strafferamme i forurensningsloven endres, og at det presiseres i straffeprosessloven at påtal</w:t>
      </w:r>
      <w:r>
        <w:t>e</w:t>
      </w:r>
      <w:r>
        <w:lastRenderedPageBreak/>
        <w:t>kompetansen for alminnelige overtredelser av de nevnte lovene leg</w:t>
      </w:r>
      <w:r>
        <w:t>ges til politiet. For øvrig foreslås det enkelte mindre endringer i straffebestemmelsene i fo</w:t>
      </w:r>
      <w:r>
        <w:t>r</w:t>
      </w:r>
      <w:r>
        <w:t>uren</w:t>
      </w:r>
      <w:r>
        <w:t>s</w:t>
      </w:r>
      <w:r>
        <w:t>ningsloven og produk</w:t>
      </w:r>
      <w:r>
        <w:t>t</w:t>
      </w:r>
      <w:r>
        <w:t>kontrolloven.</w:t>
      </w:r>
    </w:p>
    <w:p w:rsidR="00000000" w:rsidRDefault="00E81532" w:rsidP="000762B7">
      <w:pPr>
        <w:pStyle w:val="Overskrift1"/>
      </w:pPr>
      <w:r>
        <w:t>Bakgrunnen for lovforslaget</w:t>
      </w:r>
    </w:p>
    <w:p w:rsidR="00000000" w:rsidRDefault="00E81532" w:rsidP="000762B7">
      <w:pPr>
        <w:pStyle w:val="Overskrift2"/>
      </w:pPr>
      <w:r>
        <w:t>Innføring av hjemmel for overtredelsesgebyr i produktkontroll</w:t>
      </w:r>
      <w:r>
        <w:t>o</w:t>
      </w:r>
      <w:r>
        <w:t>ven og forurensn</w:t>
      </w:r>
      <w:r>
        <w:t>ingsloven</w:t>
      </w:r>
    </w:p>
    <w:p w:rsidR="00000000" w:rsidRDefault="00E81532" w:rsidP="000762B7">
      <w:r>
        <w:t>Sanksjonsutvalget ble nedsatt av regjeringen ved kongelig resolusjon 26. januar 2001. Mandatet fremh</w:t>
      </w:r>
      <w:r>
        <w:t>e</w:t>
      </w:r>
      <w:r>
        <w:t>vet to hovedsvakheter ved det tradisjonelle sanksjonssystemet for overtredelser av sæ</w:t>
      </w:r>
      <w:r>
        <w:t>r</w:t>
      </w:r>
      <w:r>
        <w:t>lovgivningen: Al</w:t>
      </w:r>
      <w:r>
        <w:t>t</w:t>
      </w:r>
      <w:r>
        <w:t>for mange, til dels bagatellmessige regelb</w:t>
      </w:r>
      <w:r>
        <w:t>rudd er straffbare, og en altfor stor del av straffebestemmelsene er tomme trusler i den forstand at de i liten grad – eller ikke i det hele tatt – blir håndhevet. Begge deler er samfunnsmessig uheldig og svekker respekten for straff. På mange områder er d</w:t>
      </w:r>
      <w:r>
        <w:t xml:space="preserve">et god grunn til å vurdere om andre sanksjoner enn straff kan virke bedre og kreve færre ressurser. Sanksjonsutvalgets utredning, NOU 2003: 15 </w:t>
      </w:r>
      <w:r>
        <w:rPr>
          <w:rStyle w:val="kursiv"/>
          <w:sz w:val="21"/>
          <w:szCs w:val="21"/>
        </w:rPr>
        <w:t>Fra bot til bedring</w:t>
      </w:r>
      <w:r>
        <w:t>, inneholder forslag til reaksjoner mot mindre alvorlige ove</w:t>
      </w:r>
      <w:r>
        <w:t>r</w:t>
      </w:r>
      <w:r>
        <w:t>tredelser av særlovgivningen (bes</w:t>
      </w:r>
      <w:r>
        <w:t>temmelser utenfor straffeloven), som gir et mer effektivt og nyansert sanksjonssy</w:t>
      </w:r>
      <w:r>
        <w:t>s</w:t>
      </w:r>
      <w:r>
        <w:t>tem med mindre bruk av straff og mer bruk av administrative sanksjoner. En av disse adm</w:t>
      </w:r>
      <w:r>
        <w:t>i</w:t>
      </w:r>
      <w:r>
        <w:t xml:space="preserve">nistrative sanksjonene er overtredelsesgebyr. Utredningen fremhever at administrative </w:t>
      </w:r>
      <w:r>
        <w:t>sanksjoner no</w:t>
      </w:r>
      <w:r>
        <w:t>r</w:t>
      </w:r>
      <w:r>
        <w:t>malt vil være mer effektivt enn straff ved at det spares tid og kostnader, samtidig som håndhevelsen be</w:t>
      </w:r>
      <w:r>
        <w:t>d</w:t>
      </w:r>
      <w:r>
        <w:t>res. Kostnadene reduseres ved at saken normalt bare behandles i én etat (forvaltningen) istedenfor i to eller tre (forval</w:t>
      </w:r>
      <w:r>
        <w:t>t</w:t>
      </w:r>
      <w:r>
        <w:t>ningen, politiet</w:t>
      </w:r>
      <w:r>
        <w:t>/påtalemyndigheten og eventuelt domstolene). Behandlingen i forval</w:t>
      </w:r>
      <w:r>
        <w:t>t</w:t>
      </w:r>
      <w:r>
        <w:t>ningen vil dessuten ofte være enklere og raskere enn i strafferettsapparatet. Hensynet til en effektiv håndhevelse må også ses i sammenheng med forvaltningens og politiets kompetanse. På fl</w:t>
      </w:r>
      <w:r>
        <w:t>ere forval</w:t>
      </w:r>
      <w:r>
        <w:t>t</w:t>
      </w:r>
      <w:r>
        <w:t>ningsområder kan sakene være svært komplekse og av en art som politiet, påtal</w:t>
      </w:r>
      <w:r>
        <w:t>e</w:t>
      </w:r>
      <w:r>
        <w:t>myndigheten og do</w:t>
      </w:r>
      <w:r>
        <w:t>m</w:t>
      </w:r>
      <w:r>
        <w:t xml:space="preserve">stolene har liten erfaring med. </w:t>
      </w:r>
    </w:p>
    <w:p w:rsidR="00000000" w:rsidRDefault="00E81532" w:rsidP="000762B7">
      <w:r>
        <w:t xml:space="preserve">I etterkant av NOU 2003: 15 </w:t>
      </w:r>
      <w:r>
        <w:rPr>
          <w:rStyle w:val="kursiv"/>
          <w:sz w:val="21"/>
          <w:szCs w:val="21"/>
        </w:rPr>
        <w:t>Fra bot til bedring</w:t>
      </w:r>
      <w:r>
        <w:t xml:space="preserve"> har det blitt innført bestemmelser om overtr</w:t>
      </w:r>
      <w:r>
        <w:t>e</w:t>
      </w:r>
      <w:r>
        <w:t>delsesg</w:t>
      </w:r>
      <w:r>
        <w:t>e</w:t>
      </w:r>
      <w:r>
        <w:t xml:space="preserve">byr i en rekke </w:t>
      </w:r>
      <w:r>
        <w:t>miljølover. I 2016 ble nytt kapittel IX i forvaltningsloven om adminis</w:t>
      </w:r>
      <w:r>
        <w:t>t</w:t>
      </w:r>
      <w:r>
        <w:t>rative sanksjoner ve</w:t>
      </w:r>
      <w:r>
        <w:t>d</w:t>
      </w:r>
      <w:r>
        <w:t>tatt for blant annet å legge til rette for en mer enhetlig behandling av saker om administrative sanksjoner innenfor b</w:t>
      </w:r>
      <w:r>
        <w:t>e</w:t>
      </w:r>
      <w:r>
        <w:t>tryggende rettslige rammer. Behovet for et ef</w:t>
      </w:r>
      <w:r>
        <w:t>fektivt og fleksibelt sanksjonssystem er ikke mindre på miljø- og produktkontrollområdet enn på andre forvaltningsområder.</w:t>
      </w:r>
    </w:p>
    <w:p w:rsidR="00000000" w:rsidRDefault="00E81532" w:rsidP="000762B7">
      <w:r>
        <w:t>Det avdekkes årlig et stort antall overtredelser av produktkontrollov</w:t>
      </w:r>
      <w:r>
        <w:t>en, forurensningsloven og fo</w:t>
      </w:r>
      <w:r>
        <w:t>r</w:t>
      </w:r>
      <w:r>
        <w:t>skrifter og enkeltvedtak gitt i medhold av disse lovene. Slike overtredelser medfører risiko for skader på miljø og helse. Dette skadepotensialet gjør det viktig å sikre at regelverket etter fo</w:t>
      </w:r>
      <w:r>
        <w:t>r</w:t>
      </w:r>
      <w:r>
        <w:t>urensningsloven og produktkontrol</w:t>
      </w:r>
      <w:r>
        <w:t>loven blir etterlevd, og allmennpreventive hensyn tilsier at brudd på regelverket må kunne møtes med effektive sanksjoner mot den ansvarlige. Det er derfor behov for et effektivt sanksjonssystem som virker preventivt.</w:t>
      </w:r>
    </w:p>
    <w:p w:rsidR="00000000" w:rsidRDefault="00E81532" w:rsidP="000762B7">
      <w:r>
        <w:t>Årlig gjennomfører Miljødirektoratet o</w:t>
      </w:r>
      <w:r>
        <w:t>g Fylkesmannens miljøvernavdeling i underkant av 1300 tilsyn for å kontrollere om forurensningsloven, produktkontrolloven og klimakvoteloven med forskrifter ove</w:t>
      </w:r>
      <w:r>
        <w:t>r</w:t>
      </w:r>
      <w:r>
        <w:t xml:space="preserve">holdes. Det blir avdekket brudd i omkring </w:t>
      </w:r>
      <w:proofErr w:type="gramStart"/>
      <w:r>
        <w:t>70%</w:t>
      </w:r>
      <w:proofErr w:type="gramEnd"/>
      <w:r>
        <w:t xml:space="preserve"> av de kontrollerte virksomhetene. Det er et stort</w:t>
      </w:r>
      <w:r>
        <w:t xml:space="preserve"> antall aktører som bryter regelverket, og det er mange som gjør dette gjentatte </w:t>
      </w:r>
      <w:r>
        <w:lastRenderedPageBreak/>
        <w:t>ganger, til tross for gjentatte tilsyn fra myndighetenes side. Det ordinære strafferettsapparatet dekker etter departementets oppfatning ikke sanksjonsbehovet fordi politi- og</w:t>
      </w:r>
      <w:r>
        <w:t xml:space="preserve"> påtalemyndighet bare har kapasitet til å forfølge noen få, særlig alvorlige lovbrudd. I det store flertallet av saker der det er behov for å sanksjonere et brudd på regelve</w:t>
      </w:r>
      <w:r>
        <w:t>r</w:t>
      </w:r>
      <w:r>
        <w:t>ket etter produktkontrolloven og fo</w:t>
      </w:r>
      <w:r>
        <w:t>r</w:t>
      </w:r>
      <w:r>
        <w:t xml:space="preserve">urensningsloven, vil det være uforholdsmessig </w:t>
      </w:r>
      <w:r>
        <w:t>ressurskrevende å ta i bruk straffeprosessen. Én grunn til det er at de enkelte regelverksbruddene hver for seg sjelden er alvo</w:t>
      </w:r>
      <w:r>
        <w:t>r</w:t>
      </w:r>
      <w:r>
        <w:t>lige nok for pol</w:t>
      </w:r>
      <w:r>
        <w:t>i</w:t>
      </w:r>
      <w:r>
        <w:t>tianmeldelser og straffefo</w:t>
      </w:r>
      <w:r>
        <w:t>r</w:t>
      </w:r>
      <w:r>
        <w:t>følgelse ved domstolene. Den samlede effekten av en stor mengde brudd utgjør derimot</w:t>
      </w:r>
      <w:r>
        <w:t xml:space="preserve"> et alvorlig sa</w:t>
      </w:r>
      <w:r>
        <w:t>m</w:t>
      </w:r>
      <w:r>
        <w:t>funnsproblem. Etter departementets oppfatning er det derfor nødvendig å kunne ilegge sanksjoner mot noen typer overtredelser etter et enklere system enn det a</w:t>
      </w:r>
      <w:r>
        <w:t>l</w:t>
      </w:r>
      <w:r>
        <w:t>minnelige stra</w:t>
      </w:r>
      <w:r>
        <w:t>f</w:t>
      </w:r>
      <w:r>
        <w:t>ferettsapparatet.</w:t>
      </w:r>
    </w:p>
    <w:p w:rsidR="00000000" w:rsidRDefault="00E81532" w:rsidP="000762B7">
      <w:r>
        <w:t>Med ca. 10–20 anmeldelser årlig for brudd på pro</w:t>
      </w:r>
      <w:r>
        <w:t xml:space="preserve">duktkontrolloven og forurensningsloven, hvor også noen blir henlagt, er det en svært liten andel av avdekkede overtredelser som i dag får en pønal reaksjon. For mange typer lovbrudd fremstår straffebestemmelsene i produktkontrolloven og forurensningsloven </w:t>
      </w:r>
      <w:r>
        <w:t>derfor som s</w:t>
      </w:r>
      <w:r>
        <w:t>å</w:t>
      </w:r>
      <w:r>
        <w:t xml:space="preserve">kalte «tomme trusler», som NOU 2003: 15 </w:t>
      </w:r>
      <w:r>
        <w:rPr>
          <w:rStyle w:val="kursiv"/>
          <w:sz w:val="21"/>
          <w:szCs w:val="21"/>
        </w:rPr>
        <w:t>Fra bot til bedring</w:t>
      </w:r>
      <w:r>
        <w:t xml:space="preserve"> peker på som en svakhet ved det tradisjonelle sanksjonssystemet. </w:t>
      </w:r>
    </w:p>
    <w:p w:rsidR="00000000" w:rsidRDefault="00E81532" w:rsidP="000762B7">
      <w:r>
        <w:t>En utilstrekkelig håndhevelse av produktkontrolloven og forurensningsloven, og tilhørende forskrifter er ikke bare et</w:t>
      </w:r>
      <w:r>
        <w:t xml:space="preserve"> miljø- og helsemessig problem. Det fører også til konkurransevri</w:t>
      </w:r>
      <w:r>
        <w:t>d</w:t>
      </w:r>
      <w:r>
        <w:t>ninger i næringslivet. Miljøkrav er ofte forbundet med betydelige kostnader for næringslivet, og en utilstrekkelig håndheving vil derfor føre til at lovlydige virksomheter får et høyere kos</w:t>
      </w:r>
      <w:r>
        <w:t>t</w:t>
      </w:r>
      <w:r>
        <w:t>nadsnivå enn virksomheter som bryter miljør</w:t>
      </w:r>
      <w:r>
        <w:t>e</w:t>
      </w:r>
      <w:r>
        <w:t>gelverket i visshet om at risikoen for å bli stra</w:t>
      </w:r>
      <w:r>
        <w:t>f</w:t>
      </w:r>
      <w:r>
        <w:t>feforfulgt er liten. Hensynet til rettferdig konkurranse i næringslivet tilsier derfor også en mer effektiv sanksjonering.</w:t>
      </w:r>
    </w:p>
    <w:p w:rsidR="00000000" w:rsidRDefault="00E81532" w:rsidP="000762B7">
      <w:r>
        <w:t xml:space="preserve">Målet om bedre allmenn etterlevelse av </w:t>
      </w:r>
      <w:r>
        <w:t>produktkontrolloven og forurensingsloven kan ikke nås gje</w:t>
      </w:r>
      <w:r>
        <w:t>n</w:t>
      </w:r>
      <w:r>
        <w:t>nom bruk av ikke-pønale virkemidler alene, som ikke har preventiv effekt. Departementet foreslår derfor å innføre hjemler til å ilegge overtredelsesgebyr i produktkontrolloven og fo</w:t>
      </w:r>
      <w:r>
        <w:t>r</w:t>
      </w:r>
      <w:r>
        <w:t>urensningsloven.</w:t>
      </w:r>
      <w:r>
        <w:t xml:space="preserve"> Ved siden av muligheten til å bruke strafferettsapparatet i de mest alvorlige sakene, vil man med overtredelsesgebyr få et mer helhetlig og fleksibelt sanksjonssystem som vil virke mer preventivt enn dagens ensporede sy</w:t>
      </w:r>
      <w:r>
        <w:t>s</w:t>
      </w:r>
      <w:r>
        <w:t>tem. Dette vil på sikt redusere ris</w:t>
      </w:r>
      <w:r>
        <w:t xml:space="preserve">ikoen for skader på miljø og helse. </w:t>
      </w:r>
    </w:p>
    <w:p w:rsidR="00000000" w:rsidRDefault="00E81532" w:rsidP="000762B7">
      <w:pPr>
        <w:pStyle w:val="Overskrift2"/>
      </w:pPr>
      <w:r>
        <w:t>Endring av naturmangfoldloven § 74 fra miljøerstatning til ove</w:t>
      </w:r>
      <w:r>
        <w:t>r</w:t>
      </w:r>
      <w:r>
        <w:t>trede</w:t>
      </w:r>
      <w:r>
        <w:t>l</w:t>
      </w:r>
      <w:r>
        <w:t>sesgebyr</w:t>
      </w:r>
    </w:p>
    <w:p w:rsidR="00000000" w:rsidRDefault="00E81532" w:rsidP="000762B7">
      <w:r>
        <w:t xml:space="preserve">Biomangfoldutvalget foreslo i NOU 2004: 28 </w:t>
      </w:r>
      <w:r>
        <w:rPr>
          <w:rStyle w:val="kursiv"/>
          <w:sz w:val="21"/>
          <w:szCs w:val="21"/>
        </w:rPr>
        <w:t>Lov om bevaring av natur, landskap og biologisk mangfold</w:t>
      </w:r>
      <w:r>
        <w:t xml:space="preserve"> en adgang til å pålegge erstatnin</w:t>
      </w:r>
      <w:r>
        <w:t>gsansvar for skade på biologisk mangfold eller natu</w:t>
      </w:r>
      <w:r>
        <w:t>r</w:t>
      </w:r>
      <w:r>
        <w:t>miljøet for øvrig, selv om det ikke er voldt noe økonomisk tap. Regelen var inspirert av sva</w:t>
      </w:r>
      <w:r>
        <w:t>l</w:t>
      </w:r>
      <w:r>
        <w:t>bardmiljøloven § 95 annet ledd og fikk betegnelsen miljøerstatning. Utvalget foreslo at milj</w:t>
      </w:r>
      <w:r>
        <w:t>ø</w:t>
      </w:r>
      <w:r>
        <w:t xml:space="preserve">erstatning skulle </w:t>
      </w:r>
      <w:r>
        <w:t>være en sivilrettslig reaksjon og at erstatningen skulle gå inn i et særskilt fond som bare kunne brukes til angitte formål i naturman</w:t>
      </w:r>
      <w:r>
        <w:t>g</w:t>
      </w:r>
      <w:r>
        <w:t>foldloven (Naturfondet). Forutsatt en b</w:t>
      </w:r>
      <w:r>
        <w:t>e</w:t>
      </w:r>
      <w:r>
        <w:t>stemmelse om miljøerstatning, anså lovutvalget det som tilstre</w:t>
      </w:r>
      <w:r>
        <w:t>k</w:t>
      </w:r>
      <w:r>
        <w:t>kelig å straffesan</w:t>
      </w:r>
      <w:r>
        <w:t>ksjonere fo</w:t>
      </w:r>
      <w:r>
        <w:t>r</w:t>
      </w:r>
      <w:r>
        <w:t>settlige og grovt uaktsomme overtredelser. For uaktsomme overtredelser ville det da være ti</w:t>
      </w:r>
      <w:r>
        <w:t>l</w:t>
      </w:r>
      <w:r>
        <w:t>strekkelig med miljøerstatning.</w:t>
      </w:r>
    </w:p>
    <w:p w:rsidR="00000000" w:rsidRDefault="00E81532" w:rsidP="000762B7">
      <w:r>
        <w:lastRenderedPageBreak/>
        <w:t>Regjeringen opprettholdt utvalgets forslag om miljøerstatning i Ot.prp. nr. 52 (2008–2009). Regj</w:t>
      </w:r>
      <w:r>
        <w:t>e</w:t>
      </w:r>
      <w:r>
        <w:t>ringen ønsket imidlerti</w:t>
      </w:r>
      <w:r>
        <w:t>d ikke at erstatning skulle gå inn i et fond og endret bestemmelsen slik at ersta</w:t>
      </w:r>
      <w:r>
        <w:t>t</w:t>
      </w:r>
      <w:r>
        <w:t>ning tilfaller staten på vanlig måte. Regjeringen endret også straffebestemmelsen, slik at den også omfa</w:t>
      </w:r>
      <w:r>
        <w:t>t</w:t>
      </w:r>
      <w:r>
        <w:t>tet uaktsomme overtredelser.</w:t>
      </w:r>
    </w:p>
    <w:p w:rsidR="00000000" w:rsidRDefault="00E81532" w:rsidP="000762B7">
      <w:r>
        <w:t>Som følge av disse endringene, ble beste</w:t>
      </w:r>
      <w:r>
        <w:t>mmelsens karakter av sivilrettslig reaksjon svekket. B</w:t>
      </w:r>
      <w:r>
        <w:t>e</w:t>
      </w:r>
      <w:r>
        <w:t>stemmelsen fremstår som en kombinasjon av erstatning og sanksjon, noe som blant annet har skapt usikkerhet om milj</w:t>
      </w:r>
      <w:r>
        <w:t>ø</w:t>
      </w:r>
      <w:r>
        <w:t xml:space="preserve">erstatning er straff i EMKs forstand. </w:t>
      </w:r>
    </w:p>
    <w:p w:rsidR="00000000" w:rsidRDefault="00E81532" w:rsidP="000762B7">
      <w:r>
        <w:t>Bestemmelsens spesielle karakter skaper også pe</w:t>
      </w:r>
      <w:r>
        <w:t>dagogiske utfordringer med å kommunisere hva som ligger i bestemmelsen, både overfor foretak eller fysiske personer og i miljøforvaltningen. Dette har me</w:t>
      </w:r>
      <w:r>
        <w:t>d</w:t>
      </w:r>
      <w:r>
        <w:t>virket til at bestemmelsen har blitt lite brukt. Per i dag har det bare blitt truffet to vedtak om mil</w:t>
      </w:r>
      <w:r>
        <w:t>j</w:t>
      </w:r>
      <w:r>
        <w:t>ø</w:t>
      </w:r>
      <w:r>
        <w:t>ersta</w:t>
      </w:r>
      <w:r>
        <w:t>t</w:t>
      </w:r>
      <w:r>
        <w:t xml:space="preserve">ning. Sett i lys av at det de siste ti årene har blitt innført bestemmelser om overtredelsesgebyr i en rekke miljølover, fremstår bestemmelsen om miljøerstatning også som en særregel. </w:t>
      </w:r>
    </w:p>
    <w:p w:rsidR="00000000" w:rsidRDefault="00E81532" w:rsidP="000762B7">
      <w:r>
        <w:t>Nytt kapittel IX i forvaltningsloven legger til rette for en me</w:t>
      </w:r>
      <w:r>
        <w:t>r enhetlig behandling av saker om adm</w:t>
      </w:r>
      <w:r>
        <w:t>i</w:t>
      </w:r>
      <w:r>
        <w:t>nistrative sanksjoner innenfor betryggende rettslige rammer og inneholder en rekke felles regler for overtredelsesgebyr. Det vil forenkle bestemmelsen i naturmangfoldloven betraktelig hvis man lettere kan knytte seg ti</w:t>
      </w:r>
      <w:r>
        <w:t xml:space="preserve">l disse reglene. </w:t>
      </w:r>
    </w:p>
    <w:p w:rsidR="00000000" w:rsidRDefault="00E81532" w:rsidP="000762B7">
      <w:r>
        <w:t>Bestemmelsen i naturmangfoldloven § 74 har innholdsmessig mange likhetstrekk med et ove</w:t>
      </w:r>
      <w:r>
        <w:t>r</w:t>
      </w:r>
      <w:r>
        <w:t>trede</w:t>
      </w:r>
      <w:r>
        <w:t>l</w:t>
      </w:r>
      <w:r>
        <w:t>sesgebyr. For å klargjøre bestemmelsen i naturmangfoldloven § 74 og gjøre den anvendelig både for foretak/fysiske personer og for miljøforvaltni</w:t>
      </w:r>
      <w:r>
        <w:t>ngen samt for å samordne og ensarte de administrative sanksjonene i miljøl</w:t>
      </w:r>
      <w:r>
        <w:t>o</w:t>
      </w:r>
      <w:r>
        <w:t>vene, mener departementet at bestemmelsen om milj</w:t>
      </w:r>
      <w:r>
        <w:t>ø</w:t>
      </w:r>
      <w:r>
        <w:t>erstatning i naturmangfoldl</w:t>
      </w:r>
      <w:r>
        <w:t>o</w:t>
      </w:r>
      <w:r>
        <w:t>ven bør endres til en b</w:t>
      </w:r>
      <w:r>
        <w:t>e</w:t>
      </w:r>
      <w:r>
        <w:t>stemmelse om overtredelsesgebyr.</w:t>
      </w:r>
    </w:p>
    <w:p w:rsidR="00000000" w:rsidRDefault="00E81532" w:rsidP="000762B7">
      <w:r>
        <w:t>Den foreslåtte endringen innebærer ingen vesen</w:t>
      </w:r>
      <w:r>
        <w:t>tlig endring i bestemmelsens innhold. Endringen gir en kla</w:t>
      </w:r>
      <w:r>
        <w:t>r</w:t>
      </w:r>
      <w:r>
        <w:t>gjøring og forenkling i tråd med de nye reglene om overtredelsesgebyr i forval</w:t>
      </w:r>
      <w:r>
        <w:t>t</w:t>
      </w:r>
      <w:r>
        <w:t xml:space="preserve">ningsloven, og med endringene som foreslås i produktkontrolloven og forurensningsloven. </w:t>
      </w:r>
    </w:p>
    <w:p w:rsidR="00000000" w:rsidRDefault="00E81532" w:rsidP="000762B7">
      <w:pPr>
        <w:pStyle w:val="Overskrift2"/>
      </w:pPr>
      <w:r>
        <w:t>Heving av strafferamm</w:t>
      </w:r>
      <w:r>
        <w:t>ene i produktkontrolloven, forurensning</w:t>
      </w:r>
      <w:r>
        <w:t>s</w:t>
      </w:r>
      <w:r>
        <w:t>loven, naturmangfoldloven og svalbardmiljøloven</w:t>
      </w:r>
    </w:p>
    <w:p w:rsidR="00000000" w:rsidRDefault="00E81532" w:rsidP="000762B7">
      <w:r>
        <w:t>I lys av utviklingen i annen miljølovgivning er den alminnelige strafferammen i produktko</w:t>
      </w:r>
      <w:r>
        <w:t>n</w:t>
      </w:r>
      <w:r>
        <w:t>trolloven og forurensningsloven i dag lav. En alminnelig strafferamme på 3 mån</w:t>
      </w:r>
      <w:r>
        <w:t>eders fengsel reflekterer ikke behovet for strenge reaksjoner mot miljøkriminalitet på produktkontrollovens og forurensningslovens område.</w:t>
      </w:r>
    </w:p>
    <w:p w:rsidR="00000000" w:rsidRDefault="00E81532" w:rsidP="000762B7">
      <w:r>
        <w:t>Departementet foreslår å heve den alminnelige strafferammen til 1 år i begge lovene, i tråd med det som er blitt fast</w:t>
      </w:r>
      <w:r>
        <w:t>satt i flere andre miljølover i senere år.</w:t>
      </w:r>
    </w:p>
    <w:p w:rsidR="00000000" w:rsidRDefault="00E81532" w:rsidP="000762B7">
      <w:r>
        <w:t>I tillegg foreslår departementet å innføre en forhøyet strafferamme ved skjerpende omstendi</w:t>
      </w:r>
      <w:r>
        <w:t>g</w:t>
      </w:r>
      <w:r>
        <w:t>heter i pr</w:t>
      </w:r>
      <w:r>
        <w:t>o</w:t>
      </w:r>
      <w:r>
        <w:t>duktkontrolloven med strafferamme på 3 år, og å</w:t>
      </w:r>
      <w:r>
        <w:t xml:space="preserve"> heve strafferammen i foruren</w:t>
      </w:r>
      <w:r>
        <w:t>s</w:t>
      </w:r>
      <w:r>
        <w:t>ningsloven for skjer</w:t>
      </w:r>
      <w:r>
        <w:t>p</w:t>
      </w:r>
      <w:r>
        <w:t>ende omstendigheter tilsvarende, fra 2 år til 3 år.</w:t>
      </w:r>
    </w:p>
    <w:p w:rsidR="00000000" w:rsidRDefault="00E81532" w:rsidP="000762B7">
      <w:r>
        <w:t>Departementet foreslår videre å heve strafferammen for grove overtredelser av naturmangfol</w:t>
      </w:r>
      <w:r>
        <w:t>d</w:t>
      </w:r>
      <w:r>
        <w:t>loven. På ba</w:t>
      </w:r>
      <w:r>
        <w:t>k</w:t>
      </w:r>
      <w:r>
        <w:t>grunn av den store og økende trusselen mot naturm</w:t>
      </w:r>
      <w:r>
        <w:t>angfold, de særlige allmen</w:t>
      </w:r>
      <w:r>
        <w:t>n</w:t>
      </w:r>
      <w:r>
        <w:t>preventive hens</w:t>
      </w:r>
      <w:r>
        <w:t>y</w:t>
      </w:r>
      <w:r>
        <w:t>nene som gjør seg gjeldende i forhold til flora- og faunakriminalitet, at gen</w:t>
      </w:r>
      <w:r>
        <w:t>e</w:t>
      </w:r>
      <w:r>
        <w:lastRenderedPageBreak/>
        <w:t>ralklausulen i straffeloven § 240 ikke fullt ut reflekterer dagens trusler mot naturmangfold og at Norge er internasjonalt forpliktet t</w:t>
      </w:r>
      <w:r>
        <w:t>il å ha en strafferamme for ulovlig handel med truede arter på minimum fire år, mener departementet at straffe</w:t>
      </w:r>
      <w:r>
        <w:t>r</w:t>
      </w:r>
      <w:r>
        <w:t>ammen for grove overtredelser av naturman</w:t>
      </w:r>
      <w:r>
        <w:t>g</w:t>
      </w:r>
      <w:r>
        <w:t xml:space="preserve">foldloven er for lav og bør heves fra 3 år til 5 år. </w:t>
      </w:r>
    </w:p>
    <w:p w:rsidR="00000000" w:rsidRDefault="00E81532" w:rsidP="000762B7">
      <w:r>
        <w:t>Den foreslåtte endringen i naturmangfoldloven § 7</w:t>
      </w:r>
      <w:r>
        <w:t>5 medfører behov for å endre straffeb</w:t>
      </w:r>
      <w:r>
        <w:t>e</w:t>
      </w:r>
      <w:r>
        <w:t>stemmelsen i sva</w:t>
      </w:r>
      <w:r>
        <w:t>l</w:t>
      </w:r>
      <w:r>
        <w:t>bardmiljøloven tilsvarende, på grunn av de unike miljøverdiene på øygruppen og prinsippet om at miljør</w:t>
      </w:r>
      <w:r>
        <w:t>e</w:t>
      </w:r>
      <w:r>
        <w:t>gelverket skal være minst like strengt på Svalbard som på fastlandet. Departementet foreslår på de</w:t>
      </w:r>
      <w:r>
        <w:t>nne ba</w:t>
      </w:r>
      <w:r>
        <w:t>k</w:t>
      </w:r>
      <w:r>
        <w:t>grunn å heve strafferammen for grove overtredelser av svalbardmiljøloven fra 3 år til 5 år.</w:t>
      </w:r>
    </w:p>
    <w:p w:rsidR="00000000" w:rsidRDefault="00E81532" w:rsidP="000762B7">
      <w:pPr>
        <w:pStyle w:val="Overskrift2"/>
      </w:pPr>
      <w:r>
        <w:t>Presisering av påtalekompetanse i straffeprosessloven</w:t>
      </w:r>
    </w:p>
    <w:p w:rsidR="00000000" w:rsidRDefault="00E81532" w:rsidP="000762B7">
      <w:r>
        <w:t xml:space="preserve">Departementet foreslår at påtalekompetansen for politiet etter forurensningslovens § 78 første </w:t>
      </w:r>
      <w:r>
        <w:t>ledd pr</w:t>
      </w:r>
      <w:r>
        <w:t>e</w:t>
      </w:r>
      <w:r>
        <w:t>siseres i straffeprosessloven § 67 andre ledd bokstav c. Straffebudet skal følge norma</w:t>
      </w:r>
      <w:r>
        <w:t>l</w:t>
      </w:r>
      <w:r>
        <w:t xml:space="preserve">regelen når det gjelder foreldelse. En presisering av politiets påtalekompetanse etter § 78 første ledd i straffeprosessloven § 67 vil samtidig klargjøre dette. </w:t>
      </w:r>
      <w:r>
        <w:t>Kompetansen til å ta ut tiltale etter forurensningslovens § 78 andre ledd skal fortsatt ligge hos statsadvokaten.</w:t>
      </w:r>
    </w:p>
    <w:p w:rsidR="00000000" w:rsidRDefault="00E81532" w:rsidP="000762B7">
      <w:r>
        <w:t>Påtalekompetansen for brudd på produktkontrolloven § 12 ligger i dag hos politiet, etter h</w:t>
      </w:r>
      <w:r>
        <w:t>o</w:t>
      </w:r>
      <w:r>
        <w:t>vedreg</w:t>
      </w:r>
      <w:r>
        <w:t>e</w:t>
      </w:r>
      <w:r>
        <w:t>len i straffeprosessloven § 67 andre ledd bo</w:t>
      </w:r>
      <w:r>
        <w:t>kstav a. Når produktkontrolloven etter lo</w:t>
      </w:r>
      <w:r>
        <w:t>v</w:t>
      </w:r>
      <w:r>
        <w:t xml:space="preserve">forslaget her får et nytt annet ledd med forhøyet strafferamme ved skjerpende omstendigheter, vil påtalekompetansen kunne gå over til statsadvokaten i henhold til normalregelen, med mindre man eksplisitt regulerer </w:t>
      </w:r>
      <w:r>
        <w:t>påtalekomp</w:t>
      </w:r>
      <w:r>
        <w:t>e</w:t>
      </w:r>
      <w:r>
        <w:t>tansen i loven. Departementet mener påtalekompetansen etter første ledd fortsatt bør ligge hos politiet, og dette bør klargjøres i straffeprosessloven § 67. Kompetansen til å ta ut tiltale etter den foreslåtte straf</w:t>
      </w:r>
      <w:r>
        <w:t>f</w:t>
      </w:r>
      <w:r>
        <w:t>skjerpingsregelen i § 12 nytt</w:t>
      </w:r>
      <w:r>
        <w:t xml:space="preserve"> andre ledd, skal ligge hos statsadvokaten.</w:t>
      </w:r>
    </w:p>
    <w:p w:rsidR="00000000" w:rsidRDefault="00E81532" w:rsidP="000762B7">
      <w:r>
        <w:t>I forbindelse med høringen ble det foreslått fra Sysselmannen på Svalbard, Troms og Finnmark stat</w:t>
      </w:r>
      <w:r>
        <w:t>s</w:t>
      </w:r>
      <w:r>
        <w:t>adv</w:t>
      </w:r>
      <w:r>
        <w:t>o</w:t>
      </w:r>
      <w:r>
        <w:t xml:space="preserve">katembeter, Riksadvokaten, ØKOKRIM og Politidirektoratet </w:t>
      </w:r>
      <w:proofErr w:type="gramStart"/>
      <w:r>
        <w:t>å</w:t>
      </w:r>
      <w:proofErr w:type="gramEnd"/>
      <w:r>
        <w:t xml:space="preserve"> samtidig klargjøre at påtalekomp</w:t>
      </w:r>
      <w:r>
        <w:t>e</w:t>
      </w:r>
      <w:r>
        <w:t>tansen etter svalb</w:t>
      </w:r>
      <w:r>
        <w:t>ardmiljøloven § 99 første ledd første punktum ligger hos Sysse</w:t>
      </w:r>
      <w:r>
        <w:t>l</w:t>
      </w:r>
      <w:r>
        <w:t>mannen. Departementet foreslår at det presiseres i straffeprosessloven § 67 andre ledd bokstav c.</w:t>
      </w:r>
    </w:p>
    <w:p w:rsidR="00000000" w:rsidRDefault="00E81532" w:rsidP="000762B7">
      <w:pPr>
        <w:pStyle w:val="Overskrift2"/>
      </w:pPr>
      <w:r>
        <w:t>Endring av vilkår for bruk av forurensningsloven § 78 andre straffa</w:t>
      </w:r>
      <w:r>
        <w:t>l</w:t>
      </w:r>
      <w:r>
        <w:t>ternativ på 5 år</w:t>
      </w:r>
    </w:p>
    <w:p w:rsidR="00000000" w:rsidRDefault="00E81532" w:rsidP="000762B7">
      <w:r>
        <w:t xml:space="preserve">I </w:t>
      </w:r>
      <w:r>
        <w:t>forbindelse med høring av forslagene om å innføre overtredelsesgebyr og heve strafferammene i de fire lovene, ble det mottatt høringsinnspill fra ØKOKRIM, med støtte fra Riksadvokaten, om at det samtidig bør gjøres en endring av forurensningsloven § 78 and</w:t>
      </w:r>
      <w:r>
        <w:t>re ledd andre straffaltern</w:t>
      </w:r>
      <w:r>
        <w:t>a</w:t>
      </w:r>
      <w:r>
        <w:t>tiv, for at den høyeste straff</w:t>
      </w:r>
      <w:r>
        <w:t>e</w:t>
      </w:r>
      <w:r>
        <w:t>rammen på 5 år også skal kunne brukes ved overtredelser som medfører skade på miljøet. Den øverste strafferammen i forurensningsloven på 5 år er per i dag knyttet til at «overtredelsen har voldt far</w:t>
      </w:r>
      <w:r>
        <w:t xml:space="preserve">e for menneskers liv eller helbred». </w:t>
      </w:r>
    </w:p>
    <w:p w:rsidR="00000000" w:rsidRDefault="00E81532" w:rsidP="000762B7">
      <w:r>
        <w:t>Departementet mener den øverste strafferammen også bør kunne anvendes ved overtredelser som medfører skade på miljø. Forslaget til endring i femårsstraffalternativet vil gi påtalemyndigh</w:t>
      </w:r>
      <w:r>
        <w:t>e</w:t>
      </w:r>
      <w:r>
        <w:t>tene et nytt alternativ til å k</w:t>
      </w:r>
      <w:r>
        <w:t>unne avstemme straffereaksjon etter alvorligheten ved overtredelser av forurensningsl</w:t>
      </w:r>
      <w:r>
        <w:t>o</w:t>
      </w:r>
      <w:r>
        <w:t xml:space="preserve">ven som medfører fare for alvorlig skade på miljø. Departementet foreslår på </w:t>
      </w:r>
      <w:r>
        <w:lastRenderedPageBreak/>
        <w:t>denne bakgrunn at overtr</w:t>
      </w:r>
      <w:r>
        <w:t>e</w:t>
      </w:r>
      <w:r>
        <w:t>delser som har voldt fare for alvorlig eller irreversibel skade på b</w:t>
      </w:r>
      <w:r>
        <w:t>i</w:t>
      </w:r>
      <w:r>
        <w:t>o</w:t>
      </w:r>
      <w:r>
        <w:t>logisk mangfold, kan straffes med fengsel inntil 5 år.</w:t>
      </w:r>
    </w:p>
    <w:p w:rsidR="00000000" w:rsidRDefault="00E81532" w:rsidP="000762B7">
      <w:pPr>
        <w:pStyle w:val="Overskrift2"/>
      </w:pPr>
      <w:r>
        <w:t>Øvrige lovendringsforslag</w:t>
      </w:r>
    </w:p>
    <w:p w:rsidR="00000000" w:rsidRDefault="00E81532" w:rsidP="000762B7">
      <w:pPr>
        <w:pStyle w:val="Overskrift3"/>
      </w:pPr>
      <w:r>
        <w:t>Oppheving av kravet til påtalebegjæring i forurensningsloven</w:t>
      </w:r>
    </w:p>
    <w:p w:rsidR="00000000" w:rsidRDefault="00E81532" w:rsidP="000762B7">
      <w:r>
        <w:t>I forbindelse med høring kom det frem at det også er hensiktsmessig å oppheve kravet til påt</w:t>
      </w:r>
      <w:r>
        <w:t>a</w:t>
      </w:r>
      <w:r>
        <w:t>lebegjæring i forurensingsloven § 78 siste ledd og § 79 siste ledd. Endringer i straffeproses</w:t>
      </w:r>
      <w:r>
        <w:t>s</w:t>
      </w:r>
      <w:r>
        <w:t>lovgivningen gjør at b</w:t>
      </w:r>
      <w:r>
        <w:t>e</w:t>
      </w:r>
      <w:r>
        <w:t>grunnelsen for kravet om påtalebegjæring faller bort og bestemmelsene anses derfor unødvendige.</w:t>
      </w:r>
    </w:p>
    <w:p w:rsidR="00000000" w:rsidRDefault="00E81532" w:rsidP="000762B7">
      <w:pPr>
        <w:pStyle w:val="Overskrift3"/>
      </w:pPr>
      <w:r>
        <w:t>Oppheving av straffebud for br</w:t>
      </w:r>
      <w:r>
        <w:t>udd på taushetsplikt i produktkontrolloven</w:t>
      </w:r>
    </w:p>
    <w:p w:rsidR="00000000" w:rsidRDefault="00E81532" w:rsidP="000762B7">
      <w:r>
        <w:t>Det er ikke lenger behov for å opprettholde det særskilte straffebudet i produktkontrolloven for brudd på taushetsplikt, når straffebudene i straffeloven regulerer det tilfredsstillende.</w:t>
      </w:r>
    </w:p>
    <w:p w:rsidR="00000000" w:rsidRDefault="00E81532" w:rsidP="000762B7">
      <w:pPr>
        <w:pStyle w:val="Overskrift1"/>
      </w:pPr>
      <w:r>
        <w:t>Høringen</w:t>
      </w:r>
    </w:p>
    <w:p w:rsidR="00000000" w:rsidRDefault="00E81532" w:rsidP="000762B7">
      <w:r>
        <w:t>På</w:t>
      </w:r>
      <w:r>
        <w:t xml:space="preserve"> oppdrag fra Klima- og miljødepartementet sendte Miljødirektoratet endringsforslagene på høring. Proposisjonen er basert på Miljødirektoratets høringsnotat 8. desember 2017 om innf</w:t>
      </w:r>
      <w:r>
        <w:t>ø</w:t>
      </w:r>
      <w:r>
        <w:t>ring av overtrede</w:t>
      </w:r>
      <w:r>
        <w:t>l</w:t>
      </w:r>
      <w:r>
        <w:t>sesgebyr og heving av strafferammer i forurensningsloven,</w:t>
      </w:r>
      <w:r>
        <w:t xml:space="preserve"> produktko</w:t>
      </w:r>
      <w:r>
        <w:t>n</w:t>
      </w:r>
      <w:r>
        <w:t>trolloven og naturmangfoldloven og høringsnotat 19. januar 2018 om å heve strafferammen i svalbardmiljøloven, begge høringer med h</w:t>
      </w:r>
      <w:r>
        <w:t>ø</w:t>
      </w:r>
      <w:r>
        <w:t>ringsfrist 8. mars 2018. På bakgrunn av mottatte høringsinnspill sendte departementet en ytterligere en</w:t>
      </w:r>
      <w:r>
        <w:t>d</w:t>
      </w:r>
      <w:r>
        <w:t>ring i str</w:t>
      </w:r>
      <w:r>
        <w:t>affebestemmelse i foruren</w:t>
      </w:r>
      <w:r>
        <w:t>s</w:t>
      </w:r>
      <w:r>
        <w:t>ningsloven på ny høring 18. desember 2018 med høringsfrist 4. februar 2019. Departementet har gjort enkelte andre endringer i forslagene til lovendringer for å im</w:t>
      </w:r>
      <w:r>
        <w:t>ø</w:t>
      </w:r>
      <w:r>
        <w:t>tekomme innspill fra h</w:t>
      </w:r>
      <w:r>
        <w:t>ø</w:t>
      </w:r>
      <w:r>
        <w:t>ringsinstanser, men departementet mener diss</w:t>
      </w:r>
      <w:r>
        <w:t>e ikke er vesentlige nok til at det er behov for ny alminnelig høring av de forslagene.</w:t>
      </w:r>
    </w:p>
    <w:p w:rsidR="00000000" w:rsidRDefault="00E81532" w:rsidP="000762B7">
      <w:r>
        <w:t>Høringsnotat 8. desember 2017 og høringsnotat 18. desember 2018 ble sendt til følgende i</w:t>
      </w:r>
      <w:r>
        <w:t>n</w:t>
      </w:r>
      <w:r>
        <w:t>stanser:</w:t>
      </w:r>
    </w:p>
    <w:p w:rsidR="00000000" w:rsidRDefault="00E81532" w:rsidP="000762B7">
      <w:pPr>
        <w:pStyle w:val="opplisting"/>
      </w:pPr>
      <w:r>
        <w:t xml:space="preserve">Finansdepartementet </w:t>
      </w:r>
    </w:p>
    <w:p w:rsidR="00000000" w:rsidRDefault="00E81532" w:rsidP="000762B7">
      <w:pPr>
        <w:pStyle w:val="opplisting"/>
      </w:pPr>
      <w:r>
        <w:t xml:space="preserve">Helse- og omsorgsdepartementet </w:t>
      </w:r>
    </w:p>
    <w:p w:rsidR="00000000" w:rsidRDefault="00E81532" w:rsidP="000762B7">
      <w:pPr>
        <w:pStyle w:val="opplisting"/>
      </w:pPr>
      <w:r>
        <w:t>Justis- og bereds</w:t>
      </w:r>
      <w:r>
        <w:t xml:space="preserve">kapsdepartementet </w:t>
      </w:r>
    </w:p>
    <w:p w:rsidR="00000000" w:rsidRDefault="00E81532" w:rsidP="000762B7">
      <w:pPr>
        <w:pStyle w:val="opplisting"/>
      </w:pPr>
      <w:r>
        <w:t xml:space="preserve">Kommunal- og moderniseringsdepartementet </w:t>
      </w:r>
    </w:p>
    <w:p w:rsidR="00000000" w:rsidRDefault="00E81532" w:rsidP="000762B7">
      <w:pPr>
        <w:pStyle w:val="opplisting"/>
      </w:pPr>
      <w:r>
        <w:t>Landbruks- og matdepartementet</w:t>
      </w:r>
    </w:p>
    <w:p w:rsidR="00000000" w:rsidRDefault="00E81532" w:rsidP="000762B7">
      <w:pPr>
        <w:pStyle w:val="opplisting"/>
      </w:pPr>
      <w:r>
        <w:t xml:space="preserve">Nærings- og fiskeridepartementet </w:t>
      </w:r>
    </w:p>
    <w:p w:rsidR="00000000" w:rsidRDefault="00E81532" w:rsidP="000762B7">
      <w:pPr>
        <w:pStyle w:val="opplisting"/>
      </w:pPr>
      <w:r>
        <w:t xml:space="preserve">Olje- og energidepartementet </w:t>
      </w:r>
    </w:p>
    <w:p w:rsidR="00000000" w:rsidRDefault="00E81532" w:rsidP="000762B7">
      <w:pPr>
        <w:pStyle w:val="opplisting"/>
      </w:pPr>
      <w:r>
        <w:t xml:space="preserve">Samferdselsdepartementet </w:t>
      </w:r>
    </w:p>
    <w:p w:rsidR="00000000" w:rsidRDefault="00E81532" w:rsidP="000762B7">
      <w:pPr>
        <w:pStyle w:val="opplisting"/>
      </w:pPr>
      <w:r>
        <w:t xml:space="preserve">Utenriksdepartementet </w:t>
      </w:r>
    </w:p>
    <w:p w:rsidR="00000000" w:rsidRDefault="00E81532" w:rsidP="000762B7">
      <w:r>
        <w:t xml:space="preserve">   </w:t>
      </w:r>
    </w:p>
    <w:p w:rsidR="00000000" w:rsidRDefault="00E81532" w:rsidP="000762B7">
      <w:pPr>
        <w:pStyle w:val="opplisting"/>
      </w:pPr>
      <w:r>
        <w:t>Fylkesmennene</w:t>
      </w:r>
    </w:p>
    <w:p w:rsidR="00000000" w:rsidRDefault="00E81532" w:rsidP="000762B7">
      <w:r>
        <w:t xml:space="preserve">   </w:t>
      </w:r>
    </w:p>
    <w:p w:rsidR="00000000" w:rsidRDefault="00E81532" w:rsidP="000762B7">
      <w:pPr>
        <w:pStyle w:val="opplisting"/>
      </w:pPr>
      <w:r>
        <w:t xml:space="preserve">Arbeidstilsynet </w:t>
      </w:r>
    </w:p>
    <w:p w:rsidR="00000000" w:rsidRDefault="00E81532" w:rsidP="000762B7">
      <w:pPr>
        <w:pStyle w:val="opplisting"/>
      </w:pPr>
      <w:r>
        <w:lastRenderedPageBreak/>
        <w:t>Direktoratet</w:t>
      </w:r>
      <w:r>
        <w:t xml:space="preserve"> for mineralforvaltning </w:t>
      </w:r>
    </w:p>
    <w:p w:rsidR="00000000" w:rsidRDefault="00E81532" w:rsidP="000762B7">
      <w:pPr>
        <w:pStyle w:val="opplisting"/>
      </w:pPr>
      <w:r>
        <w:t xml:space="preserve">Direktoratet for samfunnssikkerhet og beredskap </w:t>
      </w:r>
    </w:p>
    <w:p w:rsidR="00000000" w:rsidRDefault="00E81532" w:rsidP="000762B7">
      <w:pPr>
        <w:pStyle w:val="opplisting"/>
      </w:pPr>
      <w:r>
        <w:t xml:space="preserve">Helsedirektoratet </w:t>
      </w:r>
    </w:p>
    <w:p w:rsidR="00000000" w:rsidRDefault="00E81532" w:rsidP="000762B7">
      <w:pPr>
        <w:pStyle w:val="opplisting"/>
      </w:pPr>
      <w:r>
        <w:t xml:space="preserve">Helsetilsynet </w:t>
      </w:r>
    </w:p>
    <w:p w:rsidR="00000000" w:rsidRDefault="00E81532" w:rsidP="000762B7">
      <w:pPr>
        <w:pStyle w:val="opplisting"/>
      </w:pPr>
      <w:r>
        <w:t xml:space="preserve">Kystverket </w:t>
      </w:r>
    </w:p>
    <w:p w:rsidR="00000000" w:rsidRDefault="00E81532" w:rsidP="000762B7">
      <w:pPr>
        <w:pStyle w:val="opplisting"/>
      </w:pPr>
      <w:r>
        <w:t xml:space="preserve">Landbruksdirektoratet </w:t>
      </w:r>
    </w:p>
    <w:p w:rsidR="00000000" w:rsidRDefault="00E81532" w:rsidP="000762B7">
      <w:pPr>
        <w:pStyle w:val="opplisting"/>
      </w:pPr>
      <w:r>
        <w:t xml:space="preserve">Mattilsynet </w:t>
      </w:r>
    </w:p>
    <w:p w:rsidR="00000000" w:rsidRDefault="00E81532" w:rsidP="000762B7">
      <w:pPr>
        <w:pStyle w:val="opplisting"/>
      </w:pPr>
      <w:r>
        <w:t xml:space="preserve">Nasjonalpark- og verneområdestyrer </w:t>
      </w:r>
    </w:p>
    <w:p w:rsidR="00000000" w:rsidRDefault="00E81532" w:rsidP="000762B7">
      <w:pPr>
        <w:pStyle w:val="opplisting"/>
      </w:pPr>
      <w:r>
        <w:t xml:space="preserve">Norges vassdrags- og energidirektorat </w:t>
      </w:r>
    </w:p>
    <w:p w:rsidR="00000000" w:rsidRDefault="00E81532" w:rsidP="000762B7">
      <w:pPr>
        <w:pStyle w:val="opplisting"/>
      </w:pPr>
      <w:r>
        <w:t xml:space="preserve">Oljedirektoratet </w:t>
      </w:r>
    </w:p>
    <w:p w:rsidR="00000000" w:rsidRDefault="00E81532" w:rsidP="000762B7">
      <w:pPr>
        <w:pStyle w:val="opplisting"/>
      </w:pPr>
      <w:r>
        <w:t xml:space="preserve">Petroleumstilsynet </w:t>
      </w:r>
    </w:p>
    <w:p w:rsidR="00000000" w:rsidRDefault="00E81532" w:rsidP="000762B7">
      <w:pPr>
        <w:pStyle w:val="opplisting"/>
      </w:pPr>
      <w:r>
        <w:t>Politidirektoratet</w:t>
      </w:r>
    </w:p>
    <w:p w:rsidR="00000000" w:rsidRDefault="00E81532" w:rsidP="000762B7">
      <w:pPr>
        <w:pStyle w:val="opplisting"/>
      </w:pPr>
      <w:r>
        <w:t xml:space="preserve">Regjeringsadvokaten </w:t>
      </w:r>
    </w:p>
    <w:p w:rsidR="00000000" w:rsidRDefault="00E81532" w:rsidP="000762B7">
      <w:pPr>
        <w:pStyle w:val="opplisting"/>
      </w:pPr>
      <w:r>
        <w:t xml:space="preserve">Riksadvokaten </w:t>
      </w:r>
    </w:p>
    <w:p w:rsidR="00000000" w:rsidRDefault="00E81532" w:rsidP="000762B7">
      <w:pPr>
        <w:pStyle w:val="opplisting"/>
      </w:pPr>
      <w:r>
        <w:t xml:space="preserve">Sametinget </w:t>
      </w:r>
    </w:p>
    <w:p w:rsidR="00000000" w:rsidRDefault="00E81532" w:rsidP="000762B7">
      <w:pPr>
        <w:pStyle w:val="opplisting"/>
      </w:pPr>
      <w:r>
        <w:t xml:space="preserve">Sjøfartsdirektoratet </w:t>
      </w:r>
    </w:p>
    <w:p w:rsidR="00000000" w:rsidRDefault="00E81532" w:rsidP="000762B7">
      <w:pPr>
        <w:pStyle w:val="opplisting"/>
      </w:pPr>
      <w:r>
        <w:t xml:space="preserve">Statens innkrevingssentral </w:t>
      </w:r>
    </w:p>
    <w:p w:rsidR="00000000" w:rsidRDefault="00E81532" w:rsidP="000762B7">
      <w:pPr>
        <w:pStyle w:val="opplisting"/>
      </w:pPr>
      <w:r>
        <w:t xml:space="preserve">Statens strålevern </w:t>
      </w:r>
    </w:p>
    <w:p w:rsidR="00000000" w:rsidRDefault="00E81532" w:rsidP="000762B7">
      <w:pPr>
        <w:pStyle w:val="opplisting"/>
      </w:pPr>
      <w:r>
        <w:t xml:space="preserve">Statens vegvesen </w:t>
      </w:r>
    </w:p>
    <w:p w:rsidR="00000000" w:rsidRDefault="00E81532" w:rsidP="000762B7">
      <w:pPr>
        <w:pStyle w:val="opplisting"/>
      </w:pPr>
      <w:r>
        <w:t xml:space="preserve">Statistisk sentralbyrå </w:t>
      </w:r>
    </w:p>
    <w:p w:rsidR="00000000" w:rsidRDefault="00E81532" w:rsidP="000762B7">
      <w:pPr>
        <w:pStyle w:val="opplisting"/>
      </w:pPr>
      <w:r>
        <w:t>Sysselmannen på Svalbard</w:t>
      </w:r>
    </w:p>
    <w:p w:rsidR="00000000" w:rsidRDefault="00E81532" w:rsidP="000762B7">
      <w:pPr>
        <w:pStyle w:val="opplisting"/>
      </w:pPr>
      <w:r>
        <w:t xml:space="preserve">Tolldirektoratet </w:t>
      </w:r>
    </w:p>
    <w:p w:rsidR="00000000" w:rsidRDefault="00E81532" w:rsidP="000762B7">
      <w:pPr>
        <w:pStyle w:val="opplisting"/>
      </w:pPr>
      <w:r>
        <w:t xml:space="preserve">ØKOKRIM </w:t>
      </w:r>
    </w:p>
    <w:p w:rsidR="00000000" w:rsidRDefault="00E81532" w:rsidP="000762B7">
      <w:r>
        <w:t xml:space="preserve">   </w:t>
      </w:r>
    </w:p>
    <w:p w:rsidR="00000000" w:rsidRDefault="00E81532" w:rsidP="000762B7">
      <w:pPr>
        <w:pStyle w:val="opplisting"/>
      </w:pPr>
      <w:r>
        <w:t>A</w:t>
      </w:r>
      <w:r>
        <w:t xml:space="preserve">vfall Norge </w:t>
      </w:r>
    </w:p>
    <w:p w:rsidR="00000000" w:rsidRDefault="00E81532" w:rsidP="000762B7">
      <w:pPr>
        <w:pStyle w:val="opplisting"/>
      </w:pPr>
      <w:r>
        <w:t xml:space="preserve">Bedriftsforbundet </w:t>
      </w:r>
    </w:p>
    <w:p w:rsidR="00000000" w:rsidRDefault="00E81532" w:rsidP="000762B7">
      <w:pPr>
        <w:pStyle w:val="opplisting"/>
      </w:pPr>
      <w:r>
        <w:t xml:space="preserve">Den Norske Advokatforening </w:t>
      </w:r>
    </w:p>
    <w:p w:rsidR="00000000" w:rsidRDefault="00E81532" w:rsidP="000762B7">
      <w:pPr>
        <w:pStyle w:val="opplisting"/>
      </w:pPr>
      <w:r>
        <w:t xml:space="preserve">ERP Norway </w:t>
      </w:r>
    </w:p>
    <w:p w:rsidR="00000000" w:rsidRDefault="00E81532" w:rsidP="000762B7">
      <w:pPr>
        <w:pStyle w:val="opplisting"/>
      </w:pPr>
      <w:r>
        <w:t xml:space="preserve">Framtiden i Våre Hender </w:t>
      </w:r>
    </w:p>
    <w:p w:rsidR="00000000" w:rsidRDefault="00E81532" w:rsidP="000762B7">
      <w:pPr>
        <w:pStyle w:val="opplisting"/>
      </w:pPr>
      <w:r>
        <w:t xml:space="preserve">Greenpeace Norge </w:t>
      </w:r>
    </w:p>
    <w:p w:rsidR="00000000" w:rsidRDefault="00E81532" w:rsidP="000762B7">
      <w:pPr>
        <w:pStyle w:val="opplisting"/>
      </w:pPr>
      <w:r>
        <w:t xml:space="preserve">KS </w:t>
      </w:r>
    </w:p>
    <w:p w:rsidR="00000000" w:rsidRDefault="00E81532" w:rsidP="000762B7">
      <w:pPr>
        <w:pStyle w:val="opplisting"/>
      </w:pPr>
      <w:r>
        <w:t>Landsorganisasjonen i Norge</w:t>
      </w:r>
    </w:p>
    <w:p w:rsidR="00000000" w:rsidRDefault="00E81532" w:rsidP="000762B7">
      <w:pPr>
        <w:pStyle w:val="opplisting"/>
      </w:pPr>
      <w:r>
        <w:t xml:space="preserve">Miljøstiftelsen Bellona </w:t>
      </w:r>
    </w:p>
    <w:p w:rsidR="00000000" w:rsidRDefault="00E81532" w:rsidP="000762B7">
      <w:pPr>
        <w:pStyle w:val="opplisting"/>
      </w:pPr>
      <w:r>
        <w:t>Natur og ungdom</w:t>
      </w:r>
    </w:p>
    <w:p w:rsidR="00000000" w:rsidRDefault="00E81532" w:rsidP="000762B7">
      <w:pPr>
        <w:pStyle w:val="opplisting"/>
      </w:pPr>
      <w:r>
        <w:t xml:space="preserve">Naturvernforbundet </w:t>
      </w:r>
    </w:p>
    <w:p w:rsidR="00000000" w:rsidRDefault="00E81532" w:rsidP="000762B7">
      <w:pPr>
        <w:pStyle w:val="opplisting"/>
      </w:pPr>
      <w:r>
        <w:t xml:space="preserve">Norges Juristforbund </w:t>
      </w:r>
    </w:p>
    <w:p w:rsidR="00000000" w:rsidRDefault="00E81532" w:rsidP="000762B7">
      <w:pPr>
        <w:pStyle w:val="opplisting"/>
      </w:pPr>
      <w:r>
        <w:t xml:space="preserve">Norges Miljøvernforbund </w:t>
      </w:r>
    </w:p>
    <w:p w:rsidR="00000000" w:rsidRDefault="00E81532" w:rsidP="000762B7">
      <w:pPr>
        <w:pStyle w:val="opplisting"/>
      </w:pPr>
      <w:r>
        <w:t xml:space="preserve">Norsirk </w:t>
      </w:r>
    </w:p>
    <w:p w:rsidR="00000000" w:rsidRDefault="00E81532" w:rsidP="000762B7">
      <w:pPr>
        <w:pStyle w:val="opplisting"/>
      </w:pPr>
      <w:r>
        <w:t xml:space="preserve">Norsk forening for farlig avfall </w:t>
      </w:r>
    </w:p>
    <w:p w:rsidR="00000000" w:rsidRDefault="00E81532" w:rsidP="000762B7">
      <w:pPr>
        <w:pStyle w:val="opplisting"/>
      </w:pPr>
      <w:r>
        <w:t xml:space="preserve">Norsk Industri </w:t>
      </w:r>
    </w:p>
    <w:p w:rsidR="00000000" w:rsidRDefault="00E81532" w:rsidP="000762B7">
      <w:pPr>
        <w:pStyle w:val="opplisting"/>
      </w:pPr>
      <w:r>
        <w:t xml:space="preserve">Norsk Olje og Gass </w:t>
      </w:r>
    </w:p>
    <w:p w:rsidR="00000000" w:rsidRDefault="00E81532" w:rsidP="000762B7">
      <w:pPr>
        <w:pStyle w:val="opplisting"/>
      </w:pPr>
      <w:r>
        <w:t xml:space="preserve">Norsk Vann </w:t>
      </w:r>
    </w:p>
    <w:p w:rsidR="00000000" w:rsidRDefault="00E81532" w:rsidP="000762B7">
      <w:pPr>
        <w:pStyle w:val="opplisting"/>
      </w:pPr>
      <w:r>
        <w:t xml:space="preserve">Næringslivets Hovedorganisasjon </w:t>
      </w:r>
    </w:p>
    <w:p w:rsidR="00000000" w:rsidRDefault="00E81532" w:rsidP="000762B7">
      <w:pPr>
        <w:pStyle w:val="opplisting"/>
      </w:pPr>
      <w:r>
        <w:t xml:space="preserve">Renas </w:t>
      </w:r>
    </w:p>
    <w:p w:rsidR="00000000" w:rsidRDefault="00E81532" w:rsidP="000762B7">
      <w:pPr>
        <w:pStyle w:val="opplisting"/>
      </w:pPr>
      <w:r>
        <w:t xml:space="preserve">Sabima </w:t>
      </w:r>
    </w:p>
    <w:p w:rsidR="00000000" w:rsidRDefault="00E81532" w:rsidP="000762B7">
      <w:pPr>
        <w:pStyle w:val="opplisting"/>
      </w:pPr>
      <w:r>
        <w:lastRenderedPageBreak/>
        <w:t xml:space="preserve">Virke </w:t>
      </w:r>
    </w:p>
    <w:p w:rsidR="00000000" w:rsidRDefault="00E81532" w:rsidP="000762B7">
      <w:pPr>
        <w:pStyle w:val="opplisting"/>
      </w:pPr>
      <w:r>
        <w:t xml:space="preserve">WWF Verdens naturfond </w:t>
      </w:r>
    </w:p>
    <w:p w:rsidR="00000000" w:rsidRDefault="00E81532" w:rsidP="000762B7">
      <w:pPr>
        <w:pStyle w:val="opplisting"/>
      </w:pPr>
      <w:r>
        <w:t>Yrkesorganisasjonenes Sentralforbund</w:t>
      </w:r>
    </w:p>
    <w:p w:rsidR="00000000" w:rsidRDefault="00E81532" w:rsidP="000762B7">
      <w:r>
        <w:t>Høringsnotat 19. januar 2018 ble sendt til følgend</w:t>
      </w:r>
      <w:r>
        <w:t>e instanser:</w:t>
      </w:r>
    </w:p>
    <w:p w:rsidR="00000000" w:rsidRDefault="00E81532" w:rsidP="000762B7">
      <w:pPr>
        <w:pStyle w:val="opplisting"/>
      </w:pPr>
      <w:r>
        <w:t xml:space="preserve">Finansdepartementet </w:t>
      </w:r>
    </w:p>
    <w:p w:rsidR="00000000" w:rsidRDefault="00E81532" w:rsidP="000762B7">
      <w:pPr>
        <w:pStyle w:val="opplisting"/>
      </w:pPr>
      <w:r>
        <w:t xml:space="preserve">Helse- og omsorgsdepartementet </w:t>
      </w:r>
    </w:p>
    <w:p w:rsidR="00000000" w:rsidRDefault="00E81532" w:rsidP="000762B7">
      <w:pPr>
        <w:pStyle w:val="opplisting"/>
      </w:pPr>
      <w:r>
        <w:t xml:space="preserve">Justis- og beredskapsdepartementet </w:t>
      </w:r>
    </w:p>
    <w:p w:rsidR="00000000" w:rsidRDefault="00E81532" w:rsidP="000762B7">
      <w:pPr>
        <w:pStyle w:val="opplisting"/>
      </w:pPr>
      <w:r>
        <w:t xml:space="preserve">Kommunal- og moderniseringsdepartementet </w:t>
      </w:r>
    </w:p>
    <w:p w:rsidR="00000000" w:rsidRDefault="00E81532" w:rsidP="000762B7">
      <w:pPr>
        <w:pStyle w:val="opplisting"/>
      </w:pPr>
      <w:r>
        <w:t>Landbruks- og matdepartementet</w:t>
      </w:r>
    </w:p>
    <w:p w:rsidR="00000000" w:rsidRDefault="00E81532" w:rsidP="000762B7">
      <w:pPr>
        <w:pStyle w:val="opplisting"/>
      </w:pPr>
      <w:r>
        <w:t xml:space="preserve">Nærings- og fiskeridepartementet </w:t>
      </w:r>
    </w:p>
    <w:p w:rsidR="00000000" w:rsidRDefault="00E81532" w:rsidP="000762B7">
      <w:pPr>
        <w:pStyle w:val="opplisting"/>
      </w:pPr>
      <w:r>
        <w:t xml:space="preserve">Olje- og energidepartementet </w:t>
      </w:r>
    </w:p>
    <w:p w:rsidR="00000000" w:rsidRDefault="00E81532" w:rsidP="000762B7">
      <w:pPr>
        <w:pStyle w:val="opplisting"/>
      </w:pPr>
      <w:r>
        <w:t>Samferdselsdepart</w:t>
      </w:r>
      <w:r>
        <w:t xml:space="preserve">ementet </w:t>
      </w:r>
    </w:p>
    <w:p w:rsidR="00000000" w:rsidRDefault="00E81532" w:rsidP="000762B7">
      <w:pPr>
        <w:pStyle w:val="opplisting"/>
      </w:pPr>
      <w:r>
        <w:t xml:space="preserve">Utenriksdepartementet </w:t>
      </w:r>
    </w:p>
    <w:p w:rsidR="00000000" w:rsidRDefault="00E81532" w:rsidP="000762B7">
      <w:r>
        <w:t xml:space="preserve">   </w:t>
      </w:r>
    </w:p>
    <w:p w:rsidR="00000000" w:rsidRDefault="00E81532" w:rsidP="000762B7">
      <w:pPr>
        <w:pStyle w:val="opplisting"/>
      </w:pPr>
      <w:r>
        <w:t xml:space="preserve">Det Norske Meteorologiske institutt </w:t>
      </w:r>
    </w:p>
    <w:p w:rsidR="00000000" w:rsidRDefault="00E81532" w:rsidP="000762B7">
      <w:pPr>
        <w:pStyle w:val="opplisting"/>
      </w:pPr>
      <w:r>
        <w:t>Direktoratet for mineralforvaltning med Bergmesteren for Svalbard</w:t>
      </w:r>
    </w:p>
    <w:p w:rsidR="00000000" w:rsidRDefault="00E81532" w:rsidP="000762B7">
      <w:pPr>
        <w:pStyle w:val="opplisting"/>
      </w:pPr>
      <w:r>
        <w:t xml:space="preserve">Fiskeridirektoratet </w:t>
      </w:r>
    </w:p>
    <w:p w:rsidR="00000000" w:rsidRDefault="00E81532" w:rsidP="000762B7">
      <w:pPr>
        <w:pStyle w:val="opplisting"/>
      </w:pPr>
      <w:r>
        <w:t xml:space="preserve">Havforskningsinstituttet </w:t>
      </w:r>
    </w:p>
    <w:p w:rsidR="00000000" w:rsidRDefault="00E81532" w:rsidP="000762B7">
      <w:pPr>
        <w:pStyle w:val="opplisting"/>
      </w:pPr>
      <w:r>
        <w:t>Kartverket</w:t>
      </w:r>
    </w:p>
    <w:p w:rsidR="00000000" w:rsidRDefault="00E81532" w:rsidP="000762B7">
      <w:pPr>
        <w:pStyle w:val="opplisting"/>
      </w:pPr>
      <w:r>
        <w:t xml:space="preserve">Kystvakta </w:t>
      </w:r>
    </w:p>
    <w:p w:rsidR="00000000" w:rsidRDefault="00E81532" w:rsidP="000762B7">
      <w:pPr>
        <w:pStyle w:val="opplisting"/>
      </w:pPr>
      <w:r>
        <w:t xml:space="preserve">Kystverket </w:t>
      </w:r>
    </w:p>
    <w:p w:rsidR="00000000" w:rsidRDefault="00E81532" w:rsidP="000762B7">
      <w:pPr>
        <w:pStyle w:val="opplisting"/>
      </w:pPr>
      <w:r>
        <w:t xml:space="preserve">Longyearbyen Lokalstyre </w:t>
      </w:r>
    </w:p>
    <w:p w:rsidR="00000000" w:rsidRDefault="00E81532" w:rsidP="000762B7">
      <w:pPr>
        <w:pStyle w:val="opplisting"/>
      </w:pPr>
      <w:r>
        <w:t xml:space="preserve">Norges forskningsråd </w:t>
      </w:r>
    </w:p>
    <w:p w:rsidR="00000000" w:rsidRDefault="00E81532" w:rsidP="000762B7">
      <w:pPr>
        <w:pStyle w:val="opplisting"/>
      </w:pPr>
      <w:r>
        <w:t xml:space="preserve">Norges geologiske undersøkelse </w:t>
      </w:r>
    </w:p>
    <w:p w:rsidR="00000000" w:rsidRDefault="00E81532" w:rsidP="000762B7">
      <w:pPr>
        <w:pStyle w:val="opplisting"/>
      </w:pPr>
      <w:r>
        <w:t xml:space="preserve">Norges teknisk-naturvitenskapelige universitet </w:t>
      </w:r>
    </w:p>
    <w:p w:rsidR="00000000" w:rsidRDefault="00E81532" w:rsidP="000762B7">
      <w:pPr>
        <w:pStyle w:val="opplisting"/>
      </w:pPr>
      <w:r>
        <w:t xml:space="preserve">Norges vassdrags- og energidirektorat </w:t>
      </w:r>
    </w:p>
    <w:p w:rsidR="00000000" w:rsidRDefault="00E81532" w:rsidP="000762B7">
      <w:pPr>
        <w:pStyle w:val="opplisting"/>
      </w:pPr>
      <w:r>
        <w:t xml:space="preserve">Norsk Institutt for kulturminneforskning </w:t>
      </w:r>
    </w:p>
    <w:p w:rsidR="00000000" w:rsidRDefault="00E81532" w:rsidP="000762B7">
      <w:pPr>
        <w:pStyle w:val="opplisting"/>
      </w:pPr>
      <w:r>
        <w:t xml:space="preserve">Norsk Institutt for luftforskning </w:t>
      </w:r>
    </w:p>
    <w:p w:rsidR="00000000" w:rsidRDefault="00E81532" w:rsidP="000762B7">
      <w:pPr>
        <w:pStyle w:val="opplisting"/>
      </w:pPr>
      <w:r>
        <w:t xml:space="preserve">Norsk Institutt for naturforskning </w:t>
      </w:r>
    </w:p>
    <w:p w:rsidR="00000000" w:rsidRDefault="00E81532" w:rsidP="000762B7">
      <w:pPr>
        <w:pStyle w:val="opplisting"/>
      </w:pPr>
      <w:r>
        <w:t>No</w:t>
      </w:r>
      <w:r>
        <w:t xml:space="preserve">rsk Polarinstitutt </w:t>
      </w:r>
    </w:p>
    <w:p w:rsidR="00000000" w:rsidRDefault="00E81532" w:rsidP="000762B7">
      <w:pPr>
        <w:pStyle w:val="opplisting"/>
      </w:pPr>
      <w:r>
        <w:t xml:space="preserve">Politidirektoratet </w:t>
      </w:r>
    </w:p>
    <w:p w:rsidR="00000000" w:rsidRDefault="00E81532" w:rsidP="000762B7">
      <w:pPr>
        <w:pStyle w:val="opplisting"/>
      </w:pPr>
      <w:r>
        <w:t xml:space="preserve">Regjeringsadvokaten </w:t>
      </w:r>
    </w:p>
    <w:p w:rsidR="00000000" w:rsidRDefault="00E81532" w:rsidP="000762B7">
      <w:pPr>
        <w:pStyle w:val="opplisting"/>
      </w:pPr>
      <w:r>
        <w:t xml:space="preserve">Riksadvokaten </w:t>
      </w:r>
    </w:p>
    <w:p w:rsidR="00000000" w:rsidRDefault="00E81532" w:rsidP="000762B7">
      <w:pPr>
        <w:pStyle w:val="opplisting"/>
      </w:pPr>
      <w:r>
        <w:t xml:space="preserve">Riksantikvaren </w:t>
      </w:r>
    </w:p>
    <w:p w:rsidR="00000000" w:rsidRDefault="00E81532" w:rsidP="000762B7">
      <w:pPr>
        <w:pStyle w:val="opplisting"/>
      </w:pPr>
      <w:r>
        <w:t xml:space="preserve">Sjøfartsdirektoratet </w:t>
      </w:r>
    </w:p>
    <w:p w:rsidR="00000000" w:rsidRDefault="00E81532" w:rsidP="000762B7">
      <w:pPr>
        <w:pStyle w:val="opplisting"/>
      </w:pPr>
      <w:r>
        <w:t xml:space="preserve">Statsadvokaten i Troms og Finnmark </w:t>
      </w:r>
    </w:p>
    <w:p w:rsidR="00000000" w:rsidRDefault="00E81532" w:rsidP="000762B7">
      <w:pPr>
        <w:pStyle w:val="opplisting"/>
      </w:pPr>
      <w:r>
        <w:t xml:space="preserve">Svalbard skattekontor </w:t>
      </w:r>
    </w:p>
    <w:p w:rsidR="00000000" w:rsidRDefault="00E81532" w:rsidP="000762B7">
      <w:pPr>
        <w:pStyle w:val="opplisting"/>
      </w:pPr>
      <w:r>
        <w:t>Sysselmannen på Svalbard</w:t>
      </w:r>
    </w:p>
    <w:p w:rsidR="00000000" w:rsidRDefault="00E81532" w:rsidP="000762B7">
      <w:pPr>
        <w:pStyle w:val="opplisting"/>
      </w:pPr>
      <w:r>
        <w:t xml:space="preserve">Toll- og avgiftsdirektoratet </w:t>
      </w:r>
    </w:p>
    <w:p w:rsidR="00000000" w:rsidRDefault="00E81532" w:rsidP="000762B7">
      <w:pPr>
        <w:pStyle w:val="opplisting"/>
      </w:pPr>
      <w:r>
        <w:t xml:space="preserve">UNIS – Universitetssenteret </w:t>
      </w:r>
      <w:r>
        <w:t xml:space="preserve">på Svalbard </w:t>
      </w:r>
    </w:p>
    <w:p w:rsidR="00000000" w:rsidRDefault="00E81532" w:rsidP="000762B7">
      <w:pPr>
        <w:pStyle w:val="opplisting"/>
      </w:pPr>
      <w:r>
        <w:t xml:space="preserve">Universitetet for Miljø- og Biovitenskap </w:t>
      </w:r>
    </w:p>
    <w:p w:rsidR="00000000" w:rsidRDefault="00E81532" w:rsidP="000762B7">
      <w:pPr>
        <w:pStyle w:val="opplisting"/>
      </w:pPr>
      <w:r>
        <w:t xml:space="preserve">Universitetet i Bergen </w:t>
      </w:r>
    </w:p>
    <w:p w:rsidR="00000000" w:rsidRDefault="00E81532" w:rsidP="000762B7">
      <w:pPr>
        <w:pStyle w:val="opplisting"/>
      </w:pPr>
      <w:r>
        <w:t xml:space="preserve">Universitetet i Oslo </w:t>
      </w:r>
    </w:p>
    <w:p w:rsidR="00000000" w:rsidRDefault="00E81532" w:rsidP="000762B7">
      <w:pPr>
        <w:pStyle w:val="opplisting"/>
      </w:pPr>
      <w:r>
        <w:t xml:space="preserve">Universitetet i Tromsø </w:t>
      </w:r>
    </w:p>
    <w:p w:rsidR="00000000" w:rsidRDefault="00E81532" w:rsidP="000762B7">
      <w:pPr>
        <w:pStyle w:val="opplisting"/>
      </w:pPr>
      <w:r>
        <w:t>ØKOKRIM</w:t>
      </w:r>
    </w:p>
    <w:p w:rsidR="00000000" w:rsidRDefault="00E81532" w:rsidP="000762B7">
      <w:r>
        <w:lastRenderedPageBreak/>
        <w:t xml:space="preserve">   </w:t>
      </w:r>
    </w:p>
    <w:p w:rsidR="00000000" w:rsidRDefault="00E81532" w:rsidP="000762B7">
      <w:pPr>
        <w:pStyle w:val="opplisting"/>
      </w:pPr>
      <w:r>
        <w:t xml:space="preserve">Avinor AS </w:t>
      </w:r>
    </w:p>
    <w:p w:rsidR="00000000" w:rsidRDefault="00E81532" w:rsidP="000762B7">
      <w:pPr>
        <w:pStyle w:val="opplisting"/>
      </w:pPr>
      <w:r>
        <w:t xml:space="preserve">Svalbard Museum </w:t>
      </w:r>
    </w:p>
    <w:p w:rsidR="00000000" w:rsidRDefault="00E81532" w:rsidP="000762B7">
      <w:r>
        <w:t xml:space="preserve">   </w:t>
      </w:r>
    </w:p>
    <w:p w:rsidR="00000000" w:rsidRDefault="00E81532" w:rsidP="000762B7">
      <w:pPr>
        <w:pStyle w:val="opplisting"/>
      </w:pPr>
      <w:r>
        <w:t xml:space="preserve">AECO – Association for Arctic Cruise Operators </w:t>
      </w:r>
    </w:p>
    <w:p w:rsidR="00000000" w:rsidRDefault="00E81532" w:rsidP="000762B7">
      <w:pPr>
        <w:pStyle w:val="opplisting"/>
      </w:pPr>
      <w:r>
        <w:t xml:space="preserve">Arctic Husky Travellers </w:t>
      </w:r>
    </w:p>
    <w:p w:rsidR="00000000" w:rsidRDefault="00E81532" w:rsidP="000762B7">
      <w:pPr>
        <w:pStyle w:val="opplisting"/>
      </w:pPr>
      <w:r>
        <w:t xml:space="preserve">Basecamp Spitsbergen AS </w:t>
      </w:r>
    </w:p>
    <w:p w:rsidR="00000000" w:rsidRDefault="00E81532" w:rsidP="000762B7">
      <w:pPr>
        <w:pStyle w:val="opplisting"/>
      </w:pPr>
      <w:r>
        <w:t xml:space="preserve">Den Norske Turistforening </w:t>
      </w:r>
    </w:p>
    <w:p w:rsidR="00000000" w:rsidRDefault="00E81532" w:rsidP="000762B7">
      <w:pPr>
        <w:pStyle w:val="opplisting"/>
      </w:pPr>
      <w:r>
        <w:t xml:space="preserve">Fangstmann Harald Soleim </w:t>
      </w:r>
    </w:p>
    <w:p w:rsidR="00000000" w:rsidRDefault="00E81532" w:rsidP="000762B7">
      <w:pPr>
        <w:pStyle w:val="opplisting"/>
      </w:pPr>
      <w:r>
        <w:t xml:space="preserve">Fangstmann Tommy Sandal </w:t>
      </w:r>
    </w:p>
    <w:p w:rsidR="00000000" w:rsidRDefault="00E81532" w:rsidP="000762B7">
      <w:pPr>
        <w:pStyle w:val="opplisting"/>
      </w:pPr>
      <w:r>
        <w:t>Fiskebåt</w:t>
      </w:r>
    </w:p>
    <w:p w:rsidR="00000000" w:rsidRDefault="00E81532" w:rsidP="000762B7">
      <w:pPr>
        <w:pStyle w:val="opplisting"/>
      </w:pPr>
      <w:r>
        <w:t>Friluftslivets fellesorganisasjon – FRIFO</w:t>
      </w:r>
    </w:p>
    <w:p w:rsidR="00000000" w:rsidRDefault="00E81532" w:rsidP="000762B7">
      <w:pPr>
        <w:pStyle w:val="opplisting"/>
      </w:pPr>
      <w:r>
        <w:t xml:space="preserve">Greenpeace Norge </w:t>
      </w:r>
    </w:p>
    <w:p w:rsidR="00000000" w:rsidRDefault="00E81532" w:rsidP="000762B7">
      <w:pPr>
        <w:pStyle w:val="opplisting"/>
      </w:pPr>
      <w:r>
        <w:t xml:space="preserve">Hurtigruten Svalbard AS </w:t>
      </w:r>
    </w:p>
    <w:p w:rsidR="00000000" w:rsidRDefault="00E81532" w:rsidP="000762B7">
      <w:pPr>
        <w:pStyle w:val="opplisting"/>
      </w:pPr>
      <w:r>
        <w:t>Jason Roberts Productions</w:t>
      </w:r>
    </w:p>
    <w:p w:rsidR="00000000" w:rsidRDefault="00E81532" w:rsidP="000762B7">
      <w:pPr>
        <w:pStyle w:val="opplisting"/>
      </w:pPr>
      <w:r>
        <w:t>Karoline Bælum og Rico Behlke</w:t>
      </w:r>
    </w:p>
    <w:p w:rsidR="00000000" w:rsidRDefault="00E81532" w:rsidP="000762B7">
      <w:pPr>
        <w:pStyle w:val="opplisting"/>
      </w:pPr>
      <w:r>
        <w:t>Kin</w:t>
      </w:r>
      <w:r>
        <w:t xml:space="preserve">gs Bay AS </w:t>
      </w:r>
    </w:p>
    <w:p w:rsidR="00000000" w:rsidRDefault="00E81532" w:rsidP="000762B7">
      <w:pPr>
        <w:pStyle w:val="opplisting"/>
      </w:pPr>
      <w:r>
        <w:t xml:space="preserve">Longyearbyen Jeger- og fiskeforening </w:t>
      </w:r>
    </w:p>
    <w:p w:rsidR="00000000" w:rsidRDefault="00E81532" w:rsidP="000762B7">
      <w:pPr>
        <w:pStyle w:val="opplisting"/>
      </w:pPr>
      <w:r>
        <w:t xml:space="preserve">Longyearbyen Røde Kors Hjelpekorps </w:t>
      </w:r>
    </w:p>
    <w:p w:rsidR="00000000" w:rsidRDefault="00E81532" w:rsidP="000762B7">
      <w:pPr>
        <w:pStyle w:val="opplisting"/>
      </w:pPr>
      <w:r>
        <w:t xml:space="preserve">LPO arkitekter </w:t>
      </w:r>
    </w:p>
    <w:p w:rsidR="00000000" w:rsidRDefault="00E81532" w:rsidP="000762B7">
      <w:pPr>
        <w:pStyle w:val="opplisting"/>
      </w:pPr>
      <w:r>
        <w:t xml:space="preserve">Miljøstiftelsen Bellona </w:t>
      </w:r>
    </w:p>
    <w:p w:rsidR="00000000" w:rsidRDefault="00E81532" w:rsidP="000762B7">
      <w:pPr>
        <w:pStyle w:val="opplisting"/>
      </w:pPr>
      <w:r>
        <w:t xml:space="preserve">Multiconsult </w:t>
      </w:r>
    </w:p>
    <w:p w:rsidR="00000000" w:rsidRDefault="00E81532" w:rsidP="000762B7">
      <w:pPr>
        <w:pStyle w:val="opplisting"/>
      </w:pPr>
      <w:r>
        <w:t xml:space="preserve">Natur og Ungdom </w:t>
      </w:r>
    </w:p>
    <w:p w:rsidR="00000000" w:rsidRDefault="00E81532" w:rsidP="000762B7">
      <w:pPr>
        <w:pStyle w:val="opplisting"/>
      </w:pPr>
      <w:r>
        <w:t xml:space="preserve">Norges fiskarlag </w:t>
      </w:r>
    </w:p>
    <w:p w:rsidR="00000000" w:rsidRDefault="00E81532" w:rsidP="000762B7">
      <w:pPr>
        <w:pStyle w:val="opplisting"/>
      </w:pPr>
      <w:r>
        <w:t xml:space="preserve">Norges Jeger- og fiskeforbund </w:t>
      </w:r>
    </w:p>
    <w:p w:rsidR="00000000" w:rsidRDefault="00E81532" w:rsidP="000762B7">
      <w:pPr>
        <w:pStyle w:val="opplisting"/>
      </w:pPr>
      <w:r>
        <w:t xml:space="preserve">Norges Miljøvernforbund </w:t>
      </w:r>
    </w:p>
    <w:p w:rsidR="00000000" w:rsidRDefault="00E81532" w:rsidP="000762B7">
      <w:pPr>
        <w:pStyle w:val="opplisting"/>
      </w:pPr>
      <w:r>
        <w:t xml:space="preserve">Norges Naturvernforbund </w:t>
      </w:r>
    </w:p>
    <w:p w:rsidR="00000000" w:rsidRDefault="00E81532" w:rsidP="000762B7">
      <w:pPr>
        <w:pStyle w:val="opplisting"/>
      </w:pPr>
      <w:r>
        <w:t xml:space="preserve">NySmack </w:t>
      </w:r>
    </w:p>
    <w:p w:rsidR="00000000" w:rsidRDefault="00E81532" w:rsidP="000762B7">
      <w:pPr>
        <w:pStyle w:val="opplisting"/>
      </w:pPr>
      <w:r>
        <w:t xml:space="preserve">Næringslivets hovedorganisasjon </w:t>
      </w:r>
    </w:p>
    <w:p w:rsidR="00000000" w:rsidRDefault="00E81532" w:rsidP="000762B7">
      <w:pPr>
        <w:pStyle w:val="opplisting"/>
      </w:pPr>
      <w:r>
        <w:t xml:space="preserve">Pole Position Spitsbergen </w:t>
      </w:r>
    </w:p>
    <w:p w:rsidR="00000000" w:rsidRDefault="00E81532" w:rsidP="000762B7">
      <w:pPr>
        <w:pStyle w:val="opplisting"/>
      </w:pPr>
      <w:r>
        <w:t xml:space="preserve">Polish Polar Station </w:t>
      </w:r>
    </w:p>
    <w:p w:rsidR="00000000" w:rsidRDefault="00E81532" w:rsidP="000762B7">
      <w:pPr>
        <w:pStyle w:val="opplisting"/>
      </w:pPr>
      <w:r>
        <w:t xml:space="preserve">Poli Arctici </w:t>
      </w:r>
    </w:p>
    <w:p w:rsidR="00000000" w:rsidRDefault="00E81532" w:rsidP="000762B7">
      <w:pPr>
        <w:pStyle w:val="opplisting"/>
      </w:pPr>
      <w:r>
        <w:t xml:space="preserve">Spitsbergen Guideservice AS </w:t>
      </w:r>
    </w:p>
    <w:p w:rsidR="00000000" w:rsidRDefault="00E81532" w:rsidP="000762B7">
      <w:pPr>
        <w:pStyle w:val="opplisting"/>
      </w:pPr>
      <w:r>
        <w:t>Store Norske Spitsbergen Kulkompani AS</w:t>
      </w:r>
    </w:p>
    <w:p w:rsidR="00000000" w:rsidRDefault="00E81532" w:rsidP="000762B7">
      <w:pPr>
        <w:pStyle w:val="opplisting"/>
      </w:pPr>
      <w:r>
        <w:t xml:space="preserve">Svalbard Explorer </w:t>
      </w:r>
    </w:p>
    <w:p w:rsidR="00000000" w:rsidRDefault="00E81532" w:rsidP="000762B7">
      <w:pPr>
        <w:pStyle w:val="opplisting"/>
      </w:pPr>
      <w:r>
        <w:t xml:space="preserve">Svalbard Næringsforening </w:t>
      </w:r>
    </w:p>
    <w:p w:rsidR="00000000" w:rsidRDefault="00E81532" w:rsidP="000762B7">
      <w:pPr>
        <w:pStyle w:val="opplisting"/>
      </w:pPr>
      <w:r>
        <w:t xml:space="preserve">Svalbard Science Forum </w:t>
      </w:r>
    </w:p>
    <w:p w:rsidR="00000000" w:rsidRDefault="00E81532" w:rsidP="000762B7">
      <w:pPr>
        <w:pStyle w:val="opplisting"/>
      </w:pPr>
      <w:r>
        <w:t xml:space="preserve">Svalbard Villmarksenter AS </w:t>
      </w:r>
    </w:p>
    <w:p w:rsidR="00000000" w:rsidRDefault="00E81532" w:rsidP="000762B7">
      <w:pPr>
        <w:pStyle w:val="opplisting"/>
      </w:pPr>
      <w:r>
        <w:t xml:space="preserve">Svalbard Wildlife Eiendom AS </w:t>
      </w:r>
    </w:p>
    <w:p w:rsidR="00000000" w:rsidRDefault="00E81532" w:rsidP="000762B7">
      <w:pPr>
        <w:pStyle w:val="opplisting"/>
      </w:pPr>
      <w:r>
        <w:t xml:space="preserve">Telenor Svalbard </w:t>
      </w:r>
    </w:p>
    <w:p w:rsidR="00000000" w:rsidRDefault="00E81532" w:rsidP="000762B7">
      <w:pPr>
        <w:pStyle w:val="opplisting"/>
      </w:pPr>
      <w:r>
        <w:t xml:space="preserve">Tom Haugen El-installasjon </w:t>
      </w:r>
    </w:p>
    <w:p w:rsidR="00000000" w:rsidRDefault="00E81532" w:rsidP="000762B7">
      <w:pPr>
        <w:pStyle w:val="opplisting"/>
      </w:pPr>
      <w:r>
        <w:t xml:space="preserve">To-Takteren </w:t>
      </w:r>
    </w:p>
    <w:p w:rsidR="00000000" w:rsidRDefault="00E81532" w:rsidP="000762B7">
      <w:pPr>
        <w:pStyle w:val="opplisting"/>
      </w:pPr>
      <w:r>
        <w:t>Trust Artikugol Barentsburg</w:t>
      </w:r>
    </w:p>
    <w:p w:rsidR="00000000" w:rsidRDefault="00E81532" w:rsidP="000762B7">
      <w:pPr>
        <w:pStyle w:val="opplisting"/>
      </w:pPr>
      <w:r>
        <w:t>Verdens Naturfond</w:t>
      </w:r>
    </w:p>
    <w:p w:rsidR="00000000" w:rsidRDefault="00E81532" w:rsidP="000762B7">
      <w:pPr>
        <w:pStyle w:val="opplisting"/>
      </w:pPr>
      <w:r>
        <w:t>Visit Svalbard</w:t>
      </w:r>
    </w:p>
    <w:p w:rsidR="00000000" w:rsidRDefault="00E81532" w:rsidP="000762B7">
      <w:pPr>
        <w:pStyle w:val="opplisting"/>
      </w:pPr>
      <w:r>
        <w:lastRenderedPageBreak/>
        <w:t>WWF Verdens naturfond</w:t>
      </w:r>
    </w:p>
    <w:p w:rsidR="00000000" w:rsidRDefault="00E81532" w:rsidP="000762B7">
      <w:r>
        <w:t xml:space="preserve">Følgende instanser har uttalt seg om ett eller flere av </w:t>
      </w:r>
      <w:r>
        <w:t>forslagene:</w:t>
      </w:r>
    </w:p>
    <w:p w:rsidR="00000000" w:rsidRDefault="00E81532" w:rsidP="000762B7">
      <w:pPr>
        <w:pStyle w:val="opplisting"/>
      </w:pPr>
      <w:r>
        <w:t>Justis- og beredskapsdepartementet</w:t>
      </w:r>
    </w:p>
    <w:p w:rsidR="00000000" w:rsidRDefault="00E81532" w:rsidP="000762B7">
      <w:pPr>
        <w:pStyle w:val="opplisting"/>
      </w:pPr>
      <w:r>
        <w:t>Kommunal- og moderniseringsdepartementet</w:t>
      </w:r>
    </w:p>
    <w:p w:rsidR="00000000" w:rsidRDefault="00E81532" w:rsidP="000762B7">
      <w:pPr>
        <w:pStyle w:val="opplisting"/>
      </w:pPr>
      <w:r>
        <w:t>Samferdselsdepartementet</w:t>
      </w:r>
    </w:p>
    <w:p w:rsidR="00000000" w:rsidRDefault="00E81532" w:rsidP="000762B7">
      <w:r>
        <w:t xml:space="preserve">   </w:t>
      </w:r>
    </w:p>
    <w:p w:rsidR="00000000" w:rsidRDefault="00E81532" w:rsidP="000762B7">
      <w:pPr>
        <w:pStyle w:val="opplisting"/>
      </w:pPr>
      <w:r>
        <w:t>Direktoratet for samfunnssikkerhet og beredskap (DSB)</w:t>
      </w:r>
    </w:p>
    <w:p w:rsidR="00000000" w:rsidRDefault="00E81532" w:rsidP="000762B7">
      <w:pPr>
        <w:pStyle w:val="opplisting"/>
      </w:pPr>
      <w:r>
        <w:t>Direktoratet for mineralforvaltning med Bergmesteren på Svalbard</w:t>
      </w:r>
    </w:p>
    <w:p w:rsidR="00000000" w:rsidRDefault="00E81532" w:rsidP="000762B7">
      <w:pPr>
        <w:pStyle w:val="opplisting"/>
      </w:pPr>
      <w:r>
        <w:t>Fiskeridirektoratet</w:t>
      </w:r>
    </w:p>
    <w:p w:rsidR="00000000" w:rsidRDefault="00E81532" w:rsidP="000762B7">
      <w:pPr>
        <w:pStyle w:val="opplisting"/>
      </w:pPr>
      <w:r>
        <w:t>Fylkesmannen i Hedmark</w:t>
      </w:r>
    </w:p>
    <w:p w:rsidR="00000000" w:rsidRDefault="00E81532" w:rsidP="000762B7">
      <w:pPr>
        <w:pStyle w:val="opplisting"/>
      </w:pPr>
      <w:r>
        <w:t>Kystverket</w:t>
      </w:r>
    </w:p>
    <w:p w:rsidR="00000000" w:rsidRDefault="00E81532" w:rsidP="000762B7">
      <w:pPr>
        <w:pStyle w:val="opplisting"/>
      </w:pPr>
      <w:r>
        <w:t>Naustdal-Gjengedal verneområdestyre</w:t>
      </w:r>
    </w:p>
    <w:p w:rsidR="00000000" w:rsidRDefault="00E81532" w:rsidP="000762B7">
      <w:pPr>
        <w:pStyle w:val="opplisting"/>
      </w:pPr>
      <w:r>
        <w:t>Norges vassdrags- og energidirektorat (NVE)</w:t>
      </w:r>
    </w:p>
    <w:p w:rsidR="00000000" w:rsidRDefault="00E81532" w:rsidP="000762B7">
      <w:pPr>
        <w:pStyle w:val="opplisting"/>
      </w:pPr>
      <w:r>
        <w:t>Oslo kommune</w:t>
      </w:r>
    </w:p>
    <w:p w:rsidR="00000000" w:rsidRDefault="00E81532" w:rsidP="000762B7">
      <w:pPr>
        <w:pStyle w:val="opplisting"/>
      </w:pPr>
      <w:r>
        <w:t>Oslo politidistrikt</w:t>
      </w:r>
    </w:p>
    <w:p w:rsidR="00000000" w:rsidRDefault="00E81532" w:rsidP="000762B7">
      <w:pPr>
        <w:pStyle w:val="opplisting"/>
      </w:pPr>
      <w:r>
        <w:t>Politidirektoratet</w:t>
      </w:r>
    </w:p>
    <w:p w:rsidR="00000000" w:rsidRDefault="00E81532" w:rsidP="000762B7">
      <w:pPr>
        <w:pStyle w:val="opplisting"/>
      </w:pPr>
      <w:r>
        <w:t>Riksadvokaten</w:t>
      </w:r>
    </w:p>
    <w:p w:rsidR="00000000" w:rsidRDefault="00E81532" w:rsidP="000762B7">
      <w:pPr>
        <w:pStyle w:val="opplisting"/>
      </w:pPr>
      <w:r>
        <w:t>Sjøfartsdirektoratet</w:t>
      </w:r>
    </w:p>
    <w:p w:rsidR="00000000" w:rsidRDefault="00E81532" w:rsidP="000762B7">
      <w:pPr>
        <w:pStyle w:val="opplisting"/>
      </w:pPr>
      <w:r>
        <w:t>Statens strålevern</w:t>
      </w:r>
    </w:p>
    <w:p w:rsidR="00000000" w:rsidRDefault="00E81532" w:rsidP="000762B7">
      <w:pPr>
        <w:pStyle w:val="opplisting"/>
      </w:pPr>
      <w:r>
        <w:t>Sysselmannen på Svalbard</w:t>
      </w:r>
    </w:p>
    <w:p w:rsidR="00000000" w:rsidRDefault="00E81532" w:rsidP="000762B7">
      <w:pPr>
        <w:pStyle w:val="opplisting"/>
      </w:pPr>
      <w:r>
        <w:t>Troms og Finnmark statsadvokatembeter</w:t>
      </w:r>
    </w:p>
    <w:p w:rsidR="00000000" w:rsidRDefault="00E81532" w:rsidP="000762B7">
      <w:pPr>
        <w:pStyle w:val="opplisting"/>
      </w:pPr>
      <w:r>
        <w:t>Vest politidistrikt</w:t>
      </w:r>
    </w:p>
    <w:p w:rsidR="00000000" w:rsidRDefault="00E81532" w:rsidP="000762B7">
      <w:pPr>
        <w:pStyle w:val="opplisting"/>
      </w:pPr>
      <w:r>
        <w:t>ØKOKRIM</w:t>
      </w:r>
    </w:p>
    <w:p w:rsidR="00000000" w:rsidRDefault="00E81532" w:rsidP="000762B7">
      <w:pPr>
        <w:pStyle w:val="opplisting"/>
      </w:pPr>
      <w:r>
        <w:t>Ålfotbreen verneområdestyre</w:t>
      </w:r>
    </w:p>
    <w:p w:rsidR="00000000" w:rsidRDefault="00E81532" w:rsidP="000762B7">
      <w:r>
        <w:t xml:space="preserve">   </w:t>
      </w:r>
    </w:p>
    <w:p w:rsidR="00000000" w:rsidRDefault="00E81532" w:rsidP="000762B7">
      <w:pPr>
        <w:pStyle w:val="opplisting"/>
      </w:pPr>
      <w:r>
        <w:t>Advokatforeningen</w:t>
      </w:r>
    </w:p>
    <w:p w:rsidR="00000000" w:rsidRDefault="00E81532" w:rsidP="000762B7">
      <w:pPr>
        <w:pStyle w:val="opplisting"/>
      </w:pPr>
      <w:r>
        <w:t>Avfall Norge</w:t>
      </w:r>
    </w:p>
    <w:p w:rsidR="00000000" w:rsidRDefault="00E81532" w:rsidP="000762B7">
      <w:pPr>
        <w:pStyle w:val="opplisting"/>
      </w:pPr>
      <w:r>
        <w:t>NOAH – for dyrs rettigheter</w:t>
      </w:r>
    </w:p>
    <w:p w:rsidR="00000000" w:rsidRDefault="00E81532" w:rsidP="000762B7">
      <w:pPr>
        <w:pStyle w:val="opplisting"/>
      </w:pPr>
      <w:r>
        <w:t>Norges Bondelag</w:t>
      </w:r>
    </w:p>
    <w:p w:rsidR="00000000" w:rsidRDefault="00E81532" w:rsidP="000762B7">
      <w:pPr>
        <w:pStyle w:val="opplisting"/>
      </w:pPr>
      <w:r>
        <w:t>Norsk forening for farlig avfall (NFFA)</w:t>
      </w:r>
    </w:p>
    <w:p w:rsidR="00000000" w:rsidRDefault="00E81532" w:rsidP="000762B7">
      <w:pPr>
        <w:pStyle w:val="opplisting"/>
      </w:pPr>
      <w:r>
        <w:t>Norges Miljøvernforbund</w:t>
      </w:r>
    </w:p>
    <w:p w:rsidR="00000000" w:rsidRDefault="00E81532" w:rsidP="000762B7">
      <w:pPr>
        <w:pStyle w:val="opplisting"/>
      </w:pPr>
      <w:r>
        <w:t>Norsk Industri</w:t>
      </w:r>
    </w:p>
    <w:p w:rsidR="00000000" w:rsidRDefault="00E81532" w:rsidP="000762B7">
      <w:pPr>
        <w:pStyle w:val="opplisting"/>
      </w:pPr>
      <w:r>
        <w:t>Norg</w:t>
      </w:r>
      <w:r>
        <w:t>es Skogeierforbund</w:t>
      </w:r>
    </w:p>
    <w:p w:rsidR="00000000" w:rsidRDefault="00E81532" w:rsidP="000762B7">
      <w:pPr>
        <w:pStyle w:val="opplisting"/>
      </w:pPr>
      <w:r>
        <w:t>Norsk Vann</w:t>
      </w:r>
    </w:p>
    <w:p w:rsidR="00000000" w:rsidRDefault="00E81532" w:rsidP="000762B7">
      <w:pPr>
        <w:pStyle w:val="opplisting"/>
      </w:pPr>
      <w:r>
        <w:t>Næringslivets hovedorganisasjon (NHO)</w:t>
      </w:r>
    </w:p>
    <w:p w:rsidR="00000000" w:rsidRDefault="00E81532" w:rsidP="000762B7">
      <w:pPr>
        <w:pStyle w:val="opplisting"/>
      </w:pPr>
      <w:r>
        <w:t>WWF Verdens naturfond</w:t>
      </w:r>
    </w:p>
    <w:p w:rsidR="00000000" w:rsidRDefault="00E81532" w:rsidP="000762B7">
      <w:r>
        <w:t>Følgende høringsinstanser har uttalt at de ikke har merknader til forslagene:</w:t>
      </w:r>
    </w:p>
    <w:p w:rsidR="00000000" w:rsidRDefault="00E81532" w:rsidP="000762B7">
      <w:pPr>
        <w:pStyle w:val="opplisting"/>
      </w:pPr>
      <w:r>
        <w:t>Helse- og omsorgsdepartementet</w:t>
      </w:r>
    </w:p>
    <w:p w:rsidR="00000000" w:rsidRDefault="00E81532" w:rsidP="000762B7">
      <w:pPr>
        <w:pStyle w:val="opplisting"/>
      </w:pPr>
      <w:r>
        <w:t>Landbruks- og matdepartementet</w:t>
      </w:r>
    </w:p>
    <w:p w:rsidR="00000000" w:rsidRDefault="00E81532" w:rsidP="000762B7">
      <w:pPr>
        <w:pStyle w:val="opplisting"/>
      </w:pPr>
      <w:r>
        <w:t>Utenriksdepartementet</w:t>
      </w:r>
    </w:p>
    <w:p w:rsidR="00000000" w:rsidRDefault="00E81532" w:rsidP="000762B7">
      <w:r>
        <w:t xml:space="preserve">   </w:t>
      </w:r>
    </w:p>
    <w:p w:rsidR="00000000" w:rsidRDefault="00E81532" w:rsidP="000762B7">
      <w:pPr>
        <w:pStyle w:val="opplisting"/>
      </w:pPr>
      <w:r>
        <w:t>Direktoratet for strålevern og atomsikkerhet</w:t>
      </w:r>
    </w:p>
    <w:p w:rsidR="00000000" w:rsidRDefault="00E81532" w:rsidP="000762B7">
      <w:pPr>
        <w:pStyle w:val="opplisting"/>
      </w:pPr>
      <w:r>
        <w:t>Jernbanedirektoratet</w:t>
      </w:r>
    </w:p>
    <w:p w:rsidR="00000000" w:rsidRDefault="00E81532" w:rsidP="000762B7">
      <w:pPr>
        <w:pStyle w:val="opplisting"/>
      </w:pPr>
      <w:r>
        <w:lastRenderedPageBreak/>
        <w:t>Kartverket</w:t>
      </w:r>
    </w:p>
    <w:p w:rsidR="00000000" w:rsidRDefault="00E81532" w:rsidP="000762B7">
      <w:pPr>
        <w:pStyle w:val="opplisting"/>
      </w:pPr>
      <w:r>
        <w:t>Statistisk sentralbyrå</w:t>
      </w:r>
    </w:p>
    <w:p w:rsidR="00000000" w:rsidRDefault="00E81532" w:rsidP="000762B7">
      <w:pPr>
        <w:pStyle w:val="opplisting"/>
      </w:pPr>
      <w:r>
        <w:t>Tolldirektoratet</w:t>
      </w:r>
    </w:p>
    <w:p w:rsidR="00000000" w:rsidRDefault="00E81532" w:rsidP="000762B7">
      <w:pPr>
        <w:pStyle w:val="opplisting"/>
      </w:pPr>
      <w:r>
        <w:t>Vegdirektoratet</w:t>
      </w:r>
    </w:p>
    <w:p w:rsidR="00000000" w:rsidRDefault="00E81532" w:rsidP="000762B7">
      <w:pPr>
        <w:pStyle w:val="Overskrift1"/>
      </w:pPr>
      <w:r>
        <w:t>Departementets lovforslag</w:t>
      </w:r>
    </w:p>
    <w:p w:rsidR="00000000" w:rsidRDefault="00E81532" w:rsidP="000762B7">
      <w:pPr>
        <w:pStyle w:val="Overskrift2"/>
      </w:pPr>
      <w:r>
        <w:t>Ny hjemmel til å</w:t>
      </w:r>
      <w:r>
        <w:t xml:space="preserve"> ilegge overtredelsesgebyr i produktkontrolloven og forurensningsloven</w:t>
      </w:r>
    </w:p>
    <w:p w:rsidR="00000000" w:rsidRDefault="00E81532" w:rsidP="000762B7">
      <w:pPr>
        <w:pStyle w:val="Overskrift3"/>
      </w:pPr>
      <w:r>
        <w:t>Gjeldende rett</w:t>
      </w:r>
    </w:p>
    <w:p w:rsidR="00000000" w:rsidRDefault="00E81532" w:rsidP="000762B7">
      <w:r>
        <w:t xml:space="preserve">Produktkontrolloven og forurensningsloven har ikke hjemler til å ilegge overtredelsesgebyr eller andre administrative </w:t>
      </w:r>
      <w:r>
        <w:rPr>
          <w:rStyle w:val="kursiv"/>
          <w:sz w:val="21"/>
          <w:szCs w:val="21"/>
        </w:rPr>
        <w:t xml:space="preserve">sanksjoner </w:t>
      </w:r>
      <w:r>
        <w:t>som alternativ til straff. Me</w:t>
      </w:r>
      <w:r>
        <w:t>d administrativ sanksjon menes «en negativ reaksjon som kan ilegges av et forvaltningsorgan, som retter seg mot en begått ove</w:t>
      </w:r>
      <w:r>
        <w:t>r</w:t>
      </w:r>
      <w:r>
        <w:t>tredelse av lov, forskrift eller individuell avgjørelse, og som regnes som straff etter den eur</w:t>
      </w:r>
      <w:r>
        <w:t>o</w:t>
      </w:r>
      <w:r>
        <w:t>peiske menneskerettskonvensjon», j</w:t>
      </w:r>
      <w:r>
        <w:t>f. fo</w:t>
      </w:r>
      <w:r>
        <w:t>r</w:t>
      </w:r>
      <w:r>
        <w:t xml:space="preserve">valtningsloven § 43. </w:t>
      </w:r>
    </w:p>
    <w:p w:rsidR="00000000" w:rsidRDefault="00E81532" w:rsidP="000762B7">
      <w:r>
        <w:t>Produktkontrolloven og forurensningsloven hjemler flere typer administrative</w:t>
      </w:r>
      <w:r>
        <w:rPr>
          <w:rStyle w:val="kursiv"/>
          <w:sz w:val="21"/>
          <w:szCs w:val="21"/>
        </w:rPr>
        <w:t xml:space="preserve"> reaksjoner</w:t>
      </w:r>
      <w:r>
        <w:t xml:space="preserve"> ved overtr</w:t>
      </w:r>
      <w:r>
        <w:t>e</w:t>
      </w:r>
      <w:r>
        <w:t>delser av loven eller vedtak i medhold av loven. I produktkontrolloven er det blant annet hjemler til å fatte vedtak om permanent</w:t>
      </w:r>
      <w:r>
        <w:t xml:space="preserve"> eller midlertidig forbud mot produksjon, import og omsetning av produkt, ilegge tvangsmulkt og til å fatte vedtak om tiltak for å redusere risiko ved et produkt, herunder pålegg om å ti</w:t>
      </w:r>
      <w:r>
        <w:t>l</w:t>
      </w:r>
      <w:r>
        <w:t>bakekalle produkt fra brukere og distributører. I foruren</w:t>
      </w:r>
      <w:r>
        <w:t>s</w:t>
      </w:r>
      <w:r>
        <w:t xml:space="preserve">ningsloven </w:t>
      </w:r>
      <w:r>
        <w:t>er det blant annet hjemler for å p</w:t>
      </w:r>
      <w:r>
        <w:t>å</w:t>
      </w:r>
      <w:r>
        <w:t>legge tiltak, ilegge tvang</w:t>
      </w:r>
      <w:r>
        <w:t>s</w:t>
      </w:r>
      <w:r>
        <w:t>mulkt, rett til å foreta granskning og hjemmel til å pålegge undersøkelser. Fo</w:t>
      </w:r>
      <w:r>
        <w:t>r</w:t>
      </w:r>
      <w:r>
        <w:t>urensningsmyndigheten har også hjemmel til å tilbakekalle en utslippstillatelse eller skjerpe vilkårene i tillatels</w:t>
      </w:r>
      <w:r>
        <w:t>en.</w:t>
      </w:r>
    </w:p>
    <w:p w:rsidR="00000000" w:rsidRDefault="00E81532" w:rsidP="000762B7">
      <w:r>
        <w:t>Formålet med slike administrative reaksjoner (pålegg, direkte gjennomføring med refusjon av utgifter, tvangsmulkt mv.) er å rette opp eller begrense virkningene av et ulovlig forhold i den enkelte sak. Reaksj</w:t>
      </w:r>
      <w:r>
        <w:t>o</w:t>
      </w:r>
      <w:r>
        <w:t>nene kan ikke brukes som en form for straff</w:t>
      </w:r>
      <w:r>
        <w:t>. For eksempel er bruk av tvangsmulkt betinget av at den a</w:t>
      </w:r>
      <w:r>
        <w:t>n</w:t>
      </w:r>
      <w:r>
        <w:t>svarlige har en reell mulighet til å rette det ulovlige forholdet innen fristen i vedtaket om tvangsmulkt og dermed kan unngå at mulkten påløper. A</w:t>
      </w:r>
      <w:r>
        <w:t>d</w:t>
      </w:r>
      <w:r>
        <w:t>ministrative reaksjoner regnes ikke som straff og</w:t>
      </w:r>
      <w:r>
        <w:t xml:space="preserve"> er derfor ikke til hinder for at en overtredelse samtidig sanksjoneres med overtredelsesgebyr eller anmeldes til politiet. </w:t>
      </w:r>
    </w:p>
    <w:p w:rsidR="00000000" w:rsidRDefault="00E81532" w:rsidP="000762B7">
      <w:pPr>
        <w:pStyle w:val="Overskrift3"/>
      </w:pPr>
      <w:r>
        <w:t>Høringsforslaget</w:t>
      </w:r>
    </w:p>
    <w:p w:rsidR="00000000" w:rsidRDefault="00E81532" w:rsidP="000762B7">
      <w:pPr>
        <w:pStyle w:val="avsnitt-undertittel"/>
      </w:pPr>
      <w:r>
        <w:t>Forskriftshjemmel</w:t>
      </w:r>
    </w:p>
    <w:p w:rsidR="00000000" w:rsidRDefault="00E81532" w:rsidP="000762B7">
      <w:r>
        <w:t>Overtredelsesgebyr er et inngripende virkemiddel og bør</w:t>
      </w:r>
      <w:r>
        <w:t xml:space="preserve"> kun brukes der det er et reelt behov for det. Departementet foreslår en gradvis innføring av overtredelsesgebyr ved overtredelser av produktko</w:t>
      </w:r>
      <w:r>
        <w:t>n</w:t>
      </w:r>
      <w:r>
        <w:t>trolloven og forurensningsloven og bestemmelser gitt i medhold av disse lovene. Hensikten er å høste erfaring me</w:t>
      </w:r>
      <w:r>
        <w:t>d bruken av overtredelsesgebyr for noen overtredelser der b</w:t>
      </w:r>
      <w:r>
        <w:t>e</w:t>
      </w:r>
      <w:r>
        <w:t>hovet er særlig stort, og etablere gode rutiner før en utvider virkeområdet for overtredelsesgebyr til nye områder. For å gjøre det mulig med en slik gradvis innføring av overtredelsesgebyr uten h</w:t>
      </w:r>
      <w:r>
        <w:t>yppige lovendringer, foreslår departementet å in</w:t>
      </w:r>
      <w:r>
        <w:t>n</w:t>
      </w:r>
      <w:r>
        <w:t xml:space="preserve">føre en forskriftshjemmel. Forslag til ny </w:t>
      </w:r>
      <w:r>
        <w:lastRenderedPageBreak/>
        <w:t>lovhjemmel innebærer å gi henholdsvis Kongen og foruren</w:t>
      </w:r>
      <w:r>
        <w:t>s</w:t>
      </w:r>
      <w:r>
        <w:t>ningsmyndigheten hjemmel til å fastsette i forskrift at det kan ilegges overtredelsesgebyr ved de overtr</w:t>
      </w:r>
      <w:r>
        <w:t>e</w:t>
      </w:r>
      <w:r>
        <w:t>dels</w:t>
      </w:r>
      <w:r>
        <w:t>ene som er spesifisert i loven. Myndigheten til å fastsette slik forskrift vil ligge hos Kongen for pr</w:t>
      </w:r>
      <w:r>
        <w:t>o</w:t>
      </w:r>
      <w:r>
        <w:t>duktkontrolloven og hos Klima- og miljødepartementet for forurensningsloven. Intensjonen er at det fas</w:t>
      </w:r>
      <w:r>
        <w:t>t</w:t>
      </w:r>
      <w:r>
        <w:t>settes sen</w:t>
      </w:r>
      <w:r>
        <w:t>t</w:t>
      </w:r>
      <w:r>
        <w:t xml:space="preserve">rale statlige forskrifter, som gir den </w:t>
      </w:r>
      <w:r>
        <w:t>enkelte forurensningsmyndighet kompetanse til å ilegge overtredelsesgebyr. Hvem som er forurensningsmyndighet til å ilegge overtredelsesgebyr fremgår av forurensningsloven § 81 og gjeldende delegeringer. Når det vedtas forskrifter, vil det kunne presiseres</w:t>
      </w:r>
      <w:r>
        <w:t xml:space="preserve"> i forskriften hvem som er forurensningsmyndighet på det aktuelle området, hvis det er behov for å kla</w:t>
      </w:r>
      <w:r>
        <w:t>r</w:t>
      </w:r>
      <w:r>
        <w:t>gjøre på enkelte saksområder.</w:t>
      </w:r>
    </w:p>
    <w:p w:rsidR="00000000" w:rsidRDefault="00E81532" w:rsidP="000762B7">
      <w:r>
        <w:t>I utkast til ny § 12 a i produktkontrolloven er det listet opp de overtredelsene som er aktuelle for overtrede</w:t>
      </w:r>
      <w:r>
        <w:t>l</w:t>
      </w:r>
      <w:r>
        <w:t>sesgebyr, bl</w:t>
      </w:r>
      <w:r>
        <w:t>ant annet brudd på aktsomhetsplikten i § 3, brudd på substitusjonsplikten i § 3a, brudd på vedtak som forebygger at produkt medfører helseskade eller miljøforstyrrelse etter § 4 og brudd på plikten til å ha tilgjengelige opplysninger etter § 5a.</w:t>
      </w:r>
    </w:p>
    <w:p w:rsidR="00000000" w:rsidRDefault="00E81532" w:rsidP="000762B7">
      <w:r>
        <w:t>I utkast t</w:t>
      </w:r>
      <w:r>
        <w:t>il ny § 80 i forurensningsloven er det listet opp de overtredelsene som er aktuelle for ove</w:t>
      </w:r>
      <w:r>
        <w:t>r</w:t>
      </w:r>
      <w:r>
        <w:t>trede</w:t>
      </w:r>
      <w:r>
        <w:t>l</w:t>
      </w:r>
      <w:r>
        <w:t>sesgebyr, blant annet brudd på forurensningsforbudet i § 7, brudd på vilkår i tillatelse etter fo</w:t>
      </w:r>
      <w:r>
        <w:t>r</w:t>
      </w:r>
      <w:r>
        <w:t xml:space="preserve">urensningsloven § 11 jf. 16, brudd på forsøplingsforbudet i </w:t>
      </w:r>
      <w:r>
        <w:t>§ 28, brudd på bestemmelsen om håndtering av næringsavfall i § 32 og brudd på forskrifter gitt i medhold av forurensning</w:t>
      </w:r>
      <w:r>
        <w:t>s</w:t>
      </w:r>
      <w:r>
        <w:t>loven, som avfallsforskriften og forurensningsfo</w:t>
      </w:r>
      <w:r>
        <w:t>r</w:t>
      </w:r>
      <w:r>
        <w:t xml:space="preserve">skriften. Enkelte påleggshjemler foreslås at kan sanksjoneres, jf. § 7 fjerde ledd og </w:t>
      </w:r>
      <w:r>
        <w:t>§ 20 annet ledd. Disse påleggshjemlene gir forurensning</w:t>
      </w:r>
      <w:r>
        <w:t>s</w:t>
      </w:r>
      <w:r>
        <w:t>myndigheten adgang til å fastsette med bi</w:t>
      </w:r>
      <w:r>
        <w:t>n</w:t>
      </w:r>
      <w:r>
        <w:t>dende virkning hvordan den ansvarlige skal oppfylle plikter i samme bestemmelse.</w:t>
      </w:r>
    </w:p>
    <w:p w:rsidR="00000000" w:rsidRDefault="00E81532" w:rsidP="000762B7">
      <w:r>
        <w:t>Sanksjonsbehovet er avgjørende for avgrensningene i de to hjemlene. Enkelte o</w:t>
      </w:r>
      <w:r>
        <w:t>vertredelser vil det kun være behov for å håndheve med administrative reaksjoner for å sikre gjennomføring, fremfor å stra</w:t>
      </w:r>
      <w:r>
        <w:t>f</w:t>
      </w:r>
      <w:r>
        <w:t>f</w:t>
      </w:r>
      <w:r>
        <w:t>e</w:t>
      </w:r>
      <w:r>
        <w:t>sanksjonere. Hvis det unntaksvis skulle være behov for straffereaksjoner på forhold som ikke listes i b</w:t>
      </w:r>
      <w:r>
        <w:t>e</w:t>
      </w:r>
      <w:r>
        <w:t>stemmelsen for overtredelse</w:t>
      </w:r>
      <w:r>
        <w:t>sgebyr, kan disse forfølges i det ordinære straffesporet.</w:t>
      </w:r>
    </w:p>
    <w:p w:rsidR="00000000" w:rsidRDefault="00E81532" w:rsidP="000762B7">
      <w:r>
        <w:t>Bruk av overtredelsesgebyr forutsetter at det har skjedd en overtredelse innenfor en av de k</w:t>
      </w:r>
      <w:r>
        <w:t>a</w:t>
      </w:r>
      <w:r>
        <w:t>tegori</w:t>
      </w:r>
      <w:r>
        <w:t>e</w:t>
      </w:r>
      <w:r>
        <w:t>ne som er listet opp, og at det er gitt forskrift om at overtredelsesgebyr kan ilegges. Når vilkår</w:t>
      </w:r>
      <w:r>
        <w:t>ene for ove</w:t>
      </w:r>
      <w:r>
        <w:t>r</w:t>
      </w:r>
      <w:r>
        <w:t>tredelsesgebyr er oppfylt, vil forvaltningen ha en mulighet, men ikke en plikt, til å ilegge overtrede</w:t>
      </w:r>
      <w:r>
        <w:t>l</w:t>
      </w:r>
      <w:r>
        <w:t>se</w:t>
      </w:r>
      <w:r>
        <w:t>s</w:t>
      </w:r>
      <w:r>
        <w:t>gebyr. Forvaltningen har ikke kapasitet eller behov for å forfølge enhver overtredelse, og må derfor ha mulighet til å gjøre skjønnsmessig</w:t>
      </w:r>
      <w:r>
        <w:t xml:space="preserve">e prioriteringer. </w:t>
      </w:r>
    </w:p>
    <w:p w:rsidR="00000000" w:rsidRDefault="00E81532" w:rsidP="000762B7">
      <w:r>
        <w:t>Forslaget inneholder også en forskriftshjemmel for fastsettelse av nærmere regler om utmåling av overtr</w:t>
      </w:r>
      <w:r>
        <w:t>e</w:t>
      </w:r>
      <w:r>
        <w:t>delsesgebyr, herunder regler om standardisert utmåling. Slik forskrift skal også fastsette øvre rammer for individuelt utmålte overtr</w:t>
      </w:r>
      <w:r>
        <w:t>edelsesgebyrer, jf. forvaltningsloven § 44 annet ledd.</w:t>
      </w:r>
    </w:p>
    <w:p w:rsidR="00000000" w:rsidRDefault="00E81532" w:rsidP="000762B7">
      <w:pPr>
        <w:pStyle w:val="avsnitt-undertittel"/>
      </w:pPr>
      <w:r>
        <w:t>Ansvarssubjekter – fysiske personer og foretak</w:t>
      </w:r>
    </w:p>
    <w:p w:rsidR="00000000" w:rsidRDefault="00E81532" w:rsidP="000762B7">
      <w:r>
        <w:t>Ansvarssubjektene fremgår av de enkelte handlingsnormene i lov, forskrift og enkeltvedtak. Det er et behov for å kunne ilegge overtredelsesgebyr etter pro</w:t>
      </w:r>
      <w:r>
        <w:t>duktkontrolloven og forurensning</w:t>
      </w:r>
      <w:r>
        <w:t>s</w:t>
      </w:r>
      <w:r>
        <w:t>loven både mot fysiske personer og foretak. Brudd på regelverket etter produktkontrolloven og forurensningsloven kan skje som følge av virksomheten til et registrert foretak, eller det kan være fysiske personer uten ti</w:t>
      </w:r>
      <w:r>
        <w:t>l</w:t>
      </w:r>
      <w:r>
        <w:t>knyt</w:t>
      </w:r>
      <w:r>
        <w:t>ning til noe foretak som bryter regelverket. Eksempler på det siste er at personer kvitter seg med avfall på ulovlig vis, eller at personer uten tilknytning til noe reg</w:t>
      </w:r>
      <w:r>
        <w:t>i</w:t>
      </w:r>
      <w:r>
        <w:lastRenderedPageBreak/>
        <w:t>strert foretak importerer produkter som ikke overholder krav i produktregelverket eller</w:t>
      </w:r>
      <w:r>
        <w:t xml:space="preserve"> ekspo</w:t>
      </w:r>
      <w:r>
        <w:t>r</w:t>
      </w:r>
      <w:r>
        <w:t xml:space="preserve">terer avfall i strid med avfallsregelverket. </w:t>
      </w:r>
    </w:p>
    <w:p w:rsidR="00000000" w:rsidRDefault="00E81532" w:rsidP="000762B7">
      <w:r>
        <w:t>Hvis en person handler på vegne av et foretak, vil det være formålstjenlig at foretaket kan ilegges overtr</w:t>
      </w:r>
      <w:r>
        <w:t>e</w:t>
      </w:r>
      <w:r>
        <w:t>delsesgebyr i stedet for eller i tillegg til personen selv. Foretaket har normalt den øk</w:t>
      </w:r>
      <w:r>
        <w:t>o</w:t>
      </w:r>
      <w:r>
        <w:t>nomiske</w:t>
      </w:r>
      <w:r>
        <w:t xml:space="preserve"> interessen av den aktuelle handlingen eller unnlatelsen, og foretaket har ansvar for å sørge for at foret</w:t>
      </w:r>
      <w:r>
        <w:t>a</w:t>
      </w:r>
      <w:r>
        <w:t>kets virksomhet skjer i henhold til regelverket, gjennom opplæring, instrukser, internkontroll og andre tiltak. Det kan likevel være behov for å ileg</w:t>
      </w:r>
      <w:r>
        <w:t>ge overtredelsesgebyr til fysiske personer i foretaket, for e</w:t>
      </w:r>
      <w:r>
        <w:t>k</w:t>
      </w:r>
      <w:r>
        <w:t>sempel personer med ledende ansvar i virksomheten i tillegg til foretaket. Det kan være et særskilt behov for å ilegge personer i foretakets ledelse overtrede</w:t>
      </w:r>
      <w:r>
        <w:t>l</w:t>
      </w:r>
      <w:r>
        <w:t>sesgebyr dersom foretaket opphører.</w:t>
      </w:r>
      <w:r>
        <w:t xml:space="preserve"> For eksempel på produktområdet er det ikke uvanlig at enkeltpersoner oppretter foretak som importerer og omsetter pr</w:t>
      </w:r>
      <w:r>
        <w:t>o</w:t>
      </w:r>
      <w:r>
        <w:t>dukter på det norske markedet. Ved at ove</w:t>
      </w:r>
      <w:r>
        <w:t>r</w:t>
      </w:r>
      <w:r>
        <w:t>tredelsesgebyr også kan ilegges fysiske personer, vil en ikke kunne unngå overtr</w:t>
      </w:r>
      <w:r>
        <w:t>e</w:t>
      </w:r>
      <w:r>
        <w:t>delsesgebyr ved</w:t>
      </w:r>
      <w:r>
        <w:t xml:space="preserve"> å slette foretaket. Overtredelsesgebyr bør også kunne ilegges den som har hatt mulighet til å påvirke hendelsesfo</w:t>
      </w:r>
      <w:r>
        <w:t>r</w:t>
      </w:r>
      <w:r>
        <w:t>løpet. Personens bestemmende og styrende rolle i de aktuelle overtredelsene vil være relevante momenter i avgjørelsen av hvem som sanksjonere</w:t>
      </w:r>
      <w:r>
        <w:t>s.</w:t>
      </w:r>
    </w:p>
    <w:p w:rsidR="00000000" w:rsidRDefault="00E81532" w:rsidP="000762B7">
      <w:r>
        <w:t>Definisjonen av foretak og reguleringen av skyldkravet ved ileggelse av overtredelsesgebyr mot for</w:t>
      </w:r>
      <w:r>
        <w:t>e</w:t>
      </w:r>
      <w:r>
        <w:t xml:space="preserve">tak i forvaltningsloven § 46 første ledd gjelder. Det betyr at foretak skal kunne ilegges overtredelsesgebyr hvis overtredelsen er begått av noen som har </w:t>
      </w:r>
      <w:r>
        <w:t>handlet på vegne av foretaket. At skyldkravet er forskjellig for fysiske personer og foretak er i tråd med anbefalingene i Prop. 62 L (2015–2016) og i samsvar med andre lovhjemler om overtredelsesgebyr. Fysiske personer kan etter forslaget bare ilegges ove</w:t>
      </w:r>
      <w:r>
        <w:t>rtrede</w:t>
      </w:r>
      <w:r>
        <w:t>l</w:t>
      </w:r>
      <w:r>
        <w:t>sesgebyr hvis det foreligger forsett eller uaktsomhet. F</w:t>
      </w:r>
      <w:r>
        <w:t>o</w:t>
      </w:r>
      <w:r>
        <w:t xml:space="preserve">retak kan derimot ilegges overtredelsesgebyr selv om </w:t>
      </w:r>
      <w:proofErr w:type="gramStart"/>
      <w:r>
        <w:t>ingen</w:t>
      </w:r>
      <w:proofErr w:type="gramEnd"/>
      <w:r>
        <w:t xml:space="preserve"> enkeltperson har utvist skyld, men likevel ikke hvis overtredelsen må anses som et hend</w:t>
      </w:r>
      <w:r>
        <w:t>e</w:t>
      </w:r>
      <w:r>
        <w:t>lig uhell eller en følge av force majeure.</w:t>
      </w:r>
    </w:p>
    <w:p w:rsidR="00000000" w:rsidRDefault="00E81532" w:rsidP="000762B7">
      <w:r>
        <w:t>Fo</w:t>
      </w:r>
      <w:r>
        <w:t>rvaltningsloven § 46 annet ledd inneholder en liste over forhold det kan legges vekt på i vurderingen av om ove</w:t>
      </w:r>
      <w:r>
        <w:t>r</w:t>
      </w:r>
      <w:r>
        <w:t>tredelsesgebyr skal ilegges foretak og ved individuell utmåling av sanksjonen. Disse momentene egner seg godt som retningslinje også ved ileggel</w:t>
      </w:r>
      <w:r>
        <w:t>se av overtr</w:t>
      </w:r>
      <w:r>
        <w:t>e</w:t>
      </w:r>
      <w:r>
        <w:t>delsesgebyr etter produktkontrolloven og forurensningsloven. Listen i § 46 annet ledd er ikke uttømmende, det kan legges vekt på andre momenter enn de som er særskilt nevnt.</w:t>
      </w:r>
    </w:p>
    <w:p w:rsidR="00000000" w:rsidRDefault="00E81532" w:rsidP="000762B7">
      <w:pPr>
        <w:pStyle w:val="avsnitt-undertittel"/>
      </w:pPr>
      <w:r>
        <w:t>Forholdet til Grunnloven og den europeiske menneskerettskonvensjon</w:t>
      </w:r>
    </w:p>
    <w:p w:rsidR="00000000" w:rsidRDefault="00E81532" w:rsidP="000762B7">
      <w:r>
        <w:t>Gr</w:t>
      </w:r>
      <w:r>
        <w:t>unnloven § 96 bestemmer at ingen skal «straffes uten dom». Administrativt ilagte sanksjoner har i vid utstrekning blitt ansett for å falle utenfor dette domskravet i Grunnloven, fordi adm</w:t>
      </w:r>
      <w:r>
        <w:t>i</w:t>
      </w:r>
      <w:r>
        <w:t>nistrative sanksjoner ikke anses som «straff» i Grunnlovens § 96 sin</w:t>
      </w:r>
      <w:r>
        <w:t xml:space="preserve"> forstand. Departementet viser til redegjørelse for problemstillingen i Prop. 62 L (2015–2016) punkt 4.1. </w:t>
      </w:r>
    </w:p>
    <w:p w:rsidR="00000000" w:rsidRDefault="00E81532" w:rsidP="000762B7">
      <w:r>
        <w:t>Overtredelsesgebyr etter de foreslåtte hjemlene i forurensningsloven og produktkontrolloven vil måtte anses som straff etter den europeiske mennesker</w:t>
      </w:r>
      <w:r>
        <w:t>ettskonvensjonen (EMK). Samme forhold kan ikke fo</w:t>
      </w:r>
      <w:r>
        <w:t>r</w:t>
      </w:r>
      <w:r>
        <w:t>følges både med overtredelsesgebyr i forvaltningen og med straff i det ordinære straffesporet, med min</w:t>
      </w:r>
      <w:r>
        <w:t>d</w:t>
      </w:r>
      <w:r>
        <w:t>re det faller innenfor rammene for tillatt parallell forfølgning. Depa</w:t>
      </w:r>
      <w:r>
        <w:t>r</w:t>
      </w:r>
      <w:r>
        <w:t>tementet viser for øvrig til red</w:t>
      </w:r>
      <w:r>
        <w:t>egjøre</w:t>
      </w:r>
      <w:r>
        <w:t>l</w:t>
      </w:r>
      <w:r>
        <w:t xml:space="preserve">sen i Prop. 62 L (2015–2016) punkt 4.5. Dobbelforfølgning vil være i strid med EMK protokoll 7 artikkel 4. Hvis det både er hjemmel for overtredelsesgebyr og straff, må forvaltningen velge «spor». For de mest alvorlige sakene vil det være aktuelt å </w:t>
      </w:r>
      <w:r>
        <w:t>politianmelde. Hensikten med å ha en hjemmel for overtredelse</w:t>
      </w:r>
      <w:r>
        <w:t>s</w:t>
      </w:r>
      <w:r>
        <w:t xml:space="preserve">gebyr er at forvaltningen selv </w:t>
      </w:r>
      <w:r>
        <w:lastRenderedPageBreak/>
        <w:t>skal kunne sanksjonere de overtredelsene som er betydelige nok til at de bør medføre en san</w:t>
      </w:r>
      <w:r>
        <w:t>k</w:t>
      </w:r>
      <w:r>
        <w:t>sjon, men som ikke er så alvorlige at de bør politianmeldes.</w:t>
      </w:r>
    </w:p>
    <w:p w:rsidR="00000000" w:rsidRDefault="00E81532" w:rsidP="000762B7">
      <w:pPr>
        <w:pStyle w:val="avsnitt-undertittel"/>
      </w:pPr>
      <w:r>
        <w:t>Utfyllende</w:t>
      </w:r>
      <w:r>
        <w:t xml:space="preserve"> regler i forvaltningsloven</w:t>
      </w:r>
    </w:p>
    <w:p w:rsidR="00000000" w:rsidRDefault="00E81532" w:rsidP="000762B7">
      <w:r>
        <w:t>En avgjørelse om å ilegge overtredelsesgebyr vil være et enkeltvedtak, noe som betyr at regler etter fo</w:t>
      </w:r>
      <w:r>
        <w:t>r</w:t>
      </w:r>
      <w:r>
        <w:t>valtningsloven om blant annet forhåndsvarsel, partsinnsyn, begrunnelse og klagerett gjelder. Kapittel IX i forvaltningsloven</w:t>
      </w:r>
      <w:r>
        <w:t xml:space="preserve"> om administrative sanksjoner inneholder også generelle regler som skal gjelde på tvers av ulike forvaltningsområder. Dette er blant annet regler om samordningsplikt, informasjonsplikt om taushetsrett, utmåling av overtredelsesgebyr, oppfy</w:t>
      </w:r>
      <w:r>
        <w:t>l</w:t>
      </w:r>
      <w:r>
        <w:t>lelsesfrist og d</w:t>
      </w:r>
      <w:r>
        <w:t>omstolskontroll. Det betyr at flere sider ved overtredelsesgebyr, som det ellers ville ha vært nødvendig å regulere i forurensningsloven og pr</w:t>
      </w:r>
      <w:r>
        <w:t>o</w:t>
      </w:r>
      <w:r>
        <w:t>duktkontrolloven, er tilfredssti</w:t>
      </w:r>
      <w:r>
        <w:t>l</w:t>
      </w:r>
      <w:r>
        <w:t>lende regulert i forvaltningsloven.</w:t>
      </w:r>
    </w:p>
    <w:p w:rsidR="00000000" w:rsidRDefault="00E81532" w:rsidP="000762B7">
      <w:r>
        <w:t>I forvaltningsloven § 48 fremgår det at forv</w:t>
      </w:r>
      <w:r>
        <w:t>altningsorganet har en plikt til å orientere om tau</w:t>
      </w:r>
      <w:r>
        <w:t>s</w:t>
      </w:r>
      <w:r>
        <w:t>hetsrett når svaret eller utleveringen vil kunne utsette vedkommende for administrativ sanksjon eller straff. Dette vil ivareta selvinkrimineringsvernet, som inntrer når en er «siktet» i straffesak, jf. E</w:t>
      </w:r>
      <w:r>
        <w:t>MK artikkel 6 nr. 1. Siden administrativ sanksjon også regnes som straff etter EMK, vil selvinkrimineringsvernet inntre i s</w:t>
      </w:r>
      <w:r>
        <w:t>a</w:t>
      </w:r>
      <w:r>
        <w:t>ker om ileggelse av overtredelsesgebyr. Kjernen i sel</w:t>
      </w:r>
      <w:r>
        <w:t>v</w:t>
      </w:r>
      <w:r>
        <w:t>inkrimineringsvernet er at den som får en straff</w:t>
      </w:r>
      <w:r>
        <w:t>e</w:t>
      </w:r>
      <w:r>
        <w:t>siktelse eller sak om adminis</w:t>
      </w:r>
      <w:r>
        <w:t>trative sanksjoner rettet mot seg, ikke under trussel om straff eller ved annen tvang skal p</w:t>
      </w:r>
      <w:r>
        <w:t>å</w:t>
      </w:r>
      <w:r>
        <w:t>legges å gi opplysninger om forhold av betydning for sanksjonsspørsmålet. Juridiske pers</w:t>
      </w:r>
      <w:r>
        <w:t>o</w:t>
      </w:r>
      <w:r>
        <w:t>ner er også omfattet av vernet, men det skal mer til før deres vern er kre</w:t>
      </w:r>
      <w:r>
        <w:t xml:space="preserve">nket sammenliknet med det som gjelder fysiske personer. Det vises til redegjørelsen for selvinkrimineringsvernet i Prop. 62 L (2015–2016) kapittel 22 og NOU 2003: 15 </w:t>
      </w:r>
      <w:r>
        <w:rPr>
          <w:rStyle w:val="kursiv"/>
          <w:sz w:val="21"/>
          <w:szCs w:val="21"/>
        </w:rPr>
        <w:t>Fra bot til bedring</w:t>
      </w:r>
      <w:r>
        <w:t xml:space="preserve"> kapittel 12.</w:t>
      </w:r>
    </w:p>
    <w:p w:rsidR="00000000" w:rsidRDefault="00E81532" w:rsidP="000762B7">
      <w:pPr>
        <w:pStyle w:val="avsnitt-undertittel"/>
      </w:pPr>
      <w:r>
        <w:t>Tvangsgrunnlag</w:t>
      </w:r>
    </w:p>
    <w:p w:rsidR="00000000" w:rsidRDefault="00E81532" w:rsidP="000762B7">
      <w:r>
        <w:t>Vedtak om overtredelsesgebyr er tvangsgrun</w:t>
      </w:r>
      <w:r>
        <w:t>nlag for utlegg, jf. tvangsfullbyrdelsesloven § 7-2 bokstav d). Utleggstrekk og tvangsdekning av utleggspant kan bare skje når vedtaket om ove</w:t>
      </w:r>
      <w:r>
        <w:t>r</w:t>
      </w:r>
      <w:r>
        <w:t>tredelsesgebyr er e</w:t>
      </w:r>
      <w:r>
        <w:t>n</w:t>
      </w:r>
      <w:r>
        <w:t>delig, det vil si når klagefristen er utløpt eller når klageinstansen har truffet vedtak, jf.</w:t>
      </w:r>
      <w:r>
        <w:t xml:space="preserve"> tvangsfullbyrdels</w:t>
      </w:r>
      <w:r>
        <w:t>e</w:t>
      </w:r>
      <w:r>
        <w:t>sloven § 4-18 femte ledd.</w:t>
      </w:r>
    </w:p>
    <w:p w:rsidR="00000000" w:rsidRDefault="00E81532" w:rsidP="000762B7">
      <w:pPr>
        <w:pStyle w:val="avsnitt-undertittel"/>
      </w:pPr>
      <w:r>
        <w:t>Foreldelse</w:t>
      </w:r>
    </w:p>
    <w:p w:rsidR="00000000" w:rsidRDefault="00E81532" w:rsidP="000762B7">
      <w:r>
        <w:t>Departementet foreslår at adgangen til å ilegge overtredelsesgebyr blir foreldet 2 år etter at overtredelsen er opphørt. Dette er samme foreldelsesfrist som for straffeansvar der den høy</w:t>
      </w:r>
      <w:r>
        <w:t>este lovbestemte straffen er bot eller fengsel inntil 1 år, jf. straffeloven § 86 bokstav a. Fristen samsvarer også med foreldelsesfristen for å kunne ilegge overtredelsesgebyr etter akvakultu</w:t>
      </w:r>
      <w:r>
        <w:t>r</w:t>
      </w:r>
      <w:r>
        <w:t>loven og arbeidsmiljøloven. Foreldelsesfristen blir avbrutt ved</w:t>
      </w:r>
      <w:r>
        <w:t xml:space="preserve"> at det gis forhåndsvarsel eller fattes vedtak om overtredelsesgebyr. Et ilagt overtredelsesg</w:t>
      </w:r>
      <w:r>
        <w:t>e</w:t>
      </w:r>
      <w:r>
        <w:t>byr er et pengekrav som følger reglene i lov 18. mai 1979 nr. 18 om foreldelse av fordringer. Foreldelse</w:t>
      </w:r>
      <w:r>
        <w:t>s</w:t>
      </w:r>
      <w:r>
        <w:t>fristen for et ilagt overtredelsesgebyr er dermed 3 år, j</w:t>
      </w:r>
      <w:r>
        <w:t>f. lovens § 2.</w:t>
      </w:r>
    </w:p>
    <w:p w:rsidR="00000000" w:rsidRDefault="00E81532" w:rsidP="000762B7">
      <w:pPr>
        <w:pStyle w:val="Overskrift3"/>
      </w:pPr>
      <w:r>
        <w:t>Høringsinstansenes syn</w:t>
      </w:r>
    </w:p>
    <w:p w:rsidR="00000000" w:rsidRDefault="00E81532" w:rsidP="000762B7">
      <w:pPr>
        <w:rPr>
          <w:rStyle w:val="kursiv"/>
          <w:sz w:val="21"/>
          <w:szCs w:val="21"/>
        </w:rPr>
      </w:pPr>
      <w:r>
        <w:rPr>
          <w:rStyle w:val="kursiv"/>
          <w:sz w:val="21"/>
          <w:szCs w:val="21"/>
        </w:rPr>
        <w:t>Justis- og beredskapsdepartementet</w:t>
      </w:r>
      <w:r>
        <w:t xml:space="preserve"> har uttalt at enkelte av hjemlene i forslaget til forurensningsloven § 80 for å gi forskrift om overtredelsesgebyr er nokså generelle, og at det bør vurderes om bo</w:t>
      </w:r>
      <w:r>
        <w:t>k</w:t>
      </w:r>
      <w:r>
        <w:lastRenderedPageBreak/>
        <w:t>stavene</w:t>
      </w:r>
      <w:r>
        <w:t xml:space="preserve"> g, k, m og n i forslaget kan presiseres noe ytterligere. Det samme gjelder for forslaget til § 12a bokstav e i pr</w:t>
      </w:r>
      <w:r>
        <w:t>o</w:t>
      </w:r>
      <w:r>
        <w:t xml:space="preserve">duktkontrolloven. </w:t>
      </w:r>
    </w:p>
    <w:p w:rsidR="00000000" w:rsidRDefault="00E81532" w:rsidP="000762B7">
      <w:r>
        <w:t>Siden et overtredelsesgebyr utgjør straff etter EMK, kan den private parten måtte regnes som siktet på et tidligere stadiu</w:t>
      </w:r>
      <w:r>
        <w:t>m enn ellers. Et mulig selvinkrimineringsvern og orienteringsplikten etter forval</w:t>
      </w:r>
      <w:r>
        <w:t>t</w:t>
      </w:r>
      <w:r>
        <w:t>ning</w:t>
      </w:r>
      <w:r>
        <w:t>s</w:t>
      </w:r>
      <w:r>
        <w:t>loven § 48 vil dermed også inntre tidligere. I en eventuell proposisjon bør det sies noe om hvilke kons</w:t>
      </w:r>
      <w:r>
        <w:t>e</w:t>
      </w:r>
      <w:r>
        <w:t>kvenser dette kan få for gjennomføringen av tilsynet.</w:t>
      </w:r>
    </w:p>
    <w:p w:rsidR="00000000" w:rsidRDefault="00E81532" w:rsidP="000762B7">
      <w:pPr>
        <w:rPr>
          <w:rStyle w:val="kursiv"/>
          <w:sz w:val="21"/>
          <w:szCs w:val="21"/>
        </w:rPr>
      </w:pPr>
      <w:r>
        <w:rPr>
          <w:rStyle w:val="kursiv"/>
          <w:sz w:val="21"/>
          <w:szCs w:val="21"/>
        </w:rPr>
        <w:t>Kommunal- o</w:t>
      </w:r>
      <w:r>
        <w:rPr>
          <w:rStyle w:val="kursiv"/>
          <w:sz w:val="21"/>
          <w:szCs w:val="21"/>
        </w:rPr>
        <w:t xml:space="preserve">g moderniseringsdepartementet (KMD) </w:t>
      </w:r>
      <w:r>
        <w:t>påpeker at bruk av overtredelsesgebyr etter fo</w:t>
      </w:r>
      <w:r>
        <w:t>r</w:t>
      </w:r>
      <w:r>
        <w:t>uren</w:t>
      </w:r>
      <w:r>
        <w:t>s</w:t>
      </w:r>
      <w:r>
        <w:t>ningsloven og produktkontrolloven kan medføre en samordningsplikt mellom foruren</w:t>
      </w:r>
      <w:r>
        <w:t>s</w:t>
      </w:r>
      <w:r>
        <w:t>ningsmy</w:t>
      </w:r>
      <w:r>
        <w:t>n</w:t>
      </w:r>
      <w:r>
        <w:t>dighet</w:t>
      </w:r>
      <w:r>
        <w:t>e</w:t>
      </w:r>
      <w:r>
        <w:t>ne/produktkontrollmyndighetene og bygningsmyndighetene, jf. forvaltning</w:t>
      </w:r>
      <w:r>
        <w:t>s</w:t>
      </w:r>
      <w:r>
        <w:t>loven § 47 annet ledd, siden også plan- og bygningsloven gir hjemmel for overtredelsesgebyr. KMD anbefaler at denne problemstillingen vurderes nærmere før de varslede forskriftene om overtredelsesgebyr sendes på h</w:t>
      </w:r>
      <w:r>
        <w:t>ø</w:t>
      </w:r>
      <w:r>
        <w:t xml:space="preserve">ring. </w:t>
      </w:r>
    </w:p>
    <w:p w:rsidR="00000000" w:rsidRDefault="00E81532" w:rsidP="000762B7">
      <w:pPr>
        <w:rPr>
          <w:rStyle w:val="kursiv"/>
          <w:sz w:val="21"/>
          <w:szCs w:val="21"/>
        </w:rPr>
      </w:pPr>
      <w:r>
        <w:rPr>
          <w:rStyle w:val="kursiv"/>
          <w:sz w:val="21"/>
          <w:szCs w:val="21"/>
        </w:rPr>
        <w:t>Samferdselsdepartementet</w:t>
      </w:r>
      <w:r>
        <w:t xml:space="preserve"> og </w:t>
      </w:r>
      <w:r>
        <w:rPr>
          <w:rStyle w:val="kursiv"/>
          <w:sz w:val="21"/>
          <w:szCs w:val="21"/>
        </w:rPr>
        <w:t>Kystver</w:t>
      </w:r>
      <w:r>
        <w:rPr>
          <w:rStyle w:val="kursiv"/>
          <w:sz w:val="21"/>
          <w:szCs w:val="21"/>
        </w:rPr>
        <w:t>ket</w:t>
      </w:r>
      <w:r>
        <w:t xml:space="preserve"> forvalter flere av bestemmelsene i forurensningsloven som er o</w:t>
      </w:r>
      <w:r>
        <w:t>m</w:t>
      </w:r>
      <w:r>
        <w:t xml:space="preserve">fattet av den foreslåtte hjemmelen for overtredelsesgebyr, og ber om å bli involvert når det skal gis forskrifter om overtredelsesgebyr. </w:t>
      </w:r>
    </w:p>
    <w:p w:rsidR="00000000" w:rsidRDefault="00E81532" w:rsidP="000762B7">
      <w:r>
        <w:t>Kystverket er positiv til forslaget om å innføre ov</w:t>
      </w:r>
      <w:r>
        <w:t>ertredelsesgebyr i forurensningsloven. Kys</w:t>
      </w:r>
      <w:r>
        <w:t>t</w:t>
      </w:r>
      <w:r>
        <w:t>verket b</w:t>
      </w:r>
      <w:r>
        <w:t>e</w:t>
      </w:r>
      <w:r>
        <w:t>merker at en opplisting av overtredelser som kvalifiserer til overtredelsesgebyr kan gi en lite fleksibel og effektiv hjemmel</w:t>
      </w:r>
      <w:r>
        <w:t>s</w:t>
      </w:r>
      <w:r>
        <w:t>struktur. Kystverket foreslår å erstatte denne opplistingen med en mer generel</w:t>
      </w:r>
      <w:r>
        <w:t xml:space="preserve">l hjemmel som omfatter hele loven. </w:t>
      </w:r>
    </w:p>
    <w:p w:rsidR="00000000" w:rsidRDefault="00E81532" w:rsidP="000762B7">
      <w:r>
        <w:t>Kystverket mener man kan vurdere å innføre et vesentlighetskrav i forurensningslovens stra</w:t>
      </w:r>
      <w:r>
        <w:t>f</w:t>
      </w:r>
      <w:r>
        <w:t>feb</w:t>
      </w:r>
      <w:r>
        <w:t>e</w:t>
      </w:r>
      <w:r>
        <w:t>stemmelser når man innfører overtredelsesgebyr, for å markere et tydeligere skille mellom straffesporet og forval</w:t>
      </w:r>
      <w:r>
        <w:t>t</w:t>
      </w:r>
      <w:r>
        <w:t>ningssporet</w:t>
      </w:r>
      <w:r>
        <w:t xml:space="preserve">. </w:t>
      </w:r>
    </w:p>
    <w:p w:rsidR="00000000" w:rsidRDefault="00E81532" w:rsidP="000762B7">
      <w:pPr>
        <w:rPr>
          <w:rStyle w:val="kursiv"/>
          <w:sz w:val="21"/>
          <w:szCs w:val="21"/>
        </w:rPr>
      </w:pPr>
      <w:r>
        <w:rPr>
          <w:rStyle w:val="kursiv"/>
          <w:sz w:val="21"/>
          <w:szCs w:val="21"/>
        </w:rPr>
        <w:t>Direktoratet for samfunnssikkerhet og beredskap (DSB)</w:t>
      </w:r>
      <w:r>
        <w:t xml:space="preserve"> støtter forslaget om å innføre hjemmel for ove</w:t>
      </w:r>
      <w:r>
        <w:t>r</w:t>
      </w:r>
      <w:r>
        <w:t>tr</w:t>
      </w:r>
      <w:r>
        <w:t>e</w:t>
      </w:r>
      <w:r>
        <w:t>delsesgebyr i produktkontrolloven, men har enkelte merknader til utformingen av hjemmel.</w:t>
      </w:r>
    </w:p>
    <w:p w:rsidR="00000000" w:rsidRDefault="00E81532" w:rsidP="000762B7">
      <w:r>
        <w:t xml:space="preserve">DSB mener at § 12 a bør utformes slik at den gir adgang til </w:t>
      </w:r>
      <w:r>
        <w:t>å ilegge overtredelsesgebyr direkte, uten at det først må gis forskrift om overtredelsesgebyr. De begrunner dette med lovgivning</w:t>
      </w:r>
      <w:r>
        <w:t>s</w:t>
      </w:r>
      <w:r>
        <w:t>teknikk, he</w:t>
      </w:r>
      <w:r>
        <w:t>n</w:t>
      </w:r>
      <w:r>
        <w:t>siktsmessighet og at handlingsnormen i bestemmelser i loven fremstår tilstrekkelig klare til at eventuelle brudd ka</w:t>
      </w:r>
      <w:r>
        <w:t>n håndheves direkte etter loven. Videre mener DSB det er en fordel om bestemmelsen i pr</w:t>
      </w:r>
      <w:r>
        <w:t>o</w:t>
      </w:r>
      <w:r>
        <w:t>duktkontrolloven utformes i samsvar med andre lovers utforming. Det bør ses hen til lovforslaget om innføring av hjemmel for overtr</w:t>
      </w:r>
      <w:r>
        <w:t>e</w:t>
      </w:r>
      <w:r>
        <w:t>delsesgebyr i brann- og ekspl</w:t>
      </w:r>
      <w:r>
        <w:t>o</w:t>
      </w:r>
      <w:r>
        <w:t>sjonsv</w:t>
      </w:r>
      <w:r>
        <w:t>ernloven og også til ekomloven, av hensyn til et enhetlig regelverk.</w:t>
      </w:r>
    </w:p>
    <w:p w:rsidR="00000000" w:rsidRDefault="00E81532" w:rsidP="000762B7">
      <w:r>
        <w:t>Hvis man holder på modellen med forskriftshjemmel, ser DSB behov for enkelte justeringer for å klargjøre ordlyden. DSB foreslår videre å inkludere produktkontrolloven § 6a i listen over o</w:t>
      </w:r>
      <w:r>
        <w:t xml:space="preserve">vertredelser som kan sanksjoneres med overtredelsesgebyr. </w:t>
      </w:r>
    </w:p>
    <w:p w:rsidR="00000000" w:rsidRDefault="00E81532" w:rsidP="000762B7">
      <w:pPr>
        <w:rPr>
          <w:rStyle w:val="kursiv"/>
          <w:sz w:val="21"/>
          <w:szCs w:val="21"/>
        </w:rPr>
      </w:pPr>
      <w:r>
        <w:rPr>
          <w:rStyle w:val="kursiv"/>
          <w:sz w:val="21"/>
          <w:szCs w:val="21"/>
        </w:rPr>
        <w:t xml:space="preserve">Fylkesmannen i Hedmark </w:t>
      </w:r>
      <w:r>
        <w:t>støtter innføring av overtredelsesgebyr i forurensningsloven og pr</w:t>
      </w:r>
      <w:r>
        <w:t>o</w:t>
      </w:r>
      <w:r>
        <w:t>duk</w:t>
      </w:r>
      <w:r>
        <w:t>t</w:t>
      </w:r>
      <w:r>
        <w:t>kontroll</w:t>
      </w:r>
      <w:r>
        <w:t>o</w:t>
      </w:r>
      <w:r>
        <w:t>ven, og viser blant annet til at det kan ligge betydelige økonomiske motiver for ikke å etterl</w:t>
      </w:r>
      <w:r>
        <w:t xml:space="preserve">eve myndighetenes krav til f.eks. rensing og riktig avfallsdisponering. </w:t>
      </w:r>
    </w:p>
    <w:p w:rsidR="00000000" w:rsidRDefault="00E81532" w:rsidP="000762B7">
      <w:pPr>
        <w:rPr>
          <w:rStyle w:val="kursiv"/>
          <w:sz w:val="21"/>
          <w:szCs w:val="21"/>
        </w:rPr>
      </w:pPr>
      <w:r>
        <w:rPr>
          <w:rStyle w:val="kursiv"/>
          <w:sz w:val="21"/>
          <w:szCs w:val="21"/>
        </w:rPr>
        <w:t>Norges vassdrags- og energidirektorat (NVE)</w:t>
      </w:r>
      <w:r>
        <w:t xml:space="preserve"> støtter forslaget om å innføre hjemler for overtrede</w:t>
      </w:r>
      <w:r>
        <w:t>l</w:t>
      </w:r>
      <w:r>
        <w:t>se</w:t>
      </w:r>
      <w:r>
        <w:t>s</w:t>
      </w:r>
      <w:r>
        <w:t>gebyr i forurensningsloven og produktkontrolloven. NVE er særlig positiv til forsla</w:t>
      </w:r>
      <w:r>
        <w:t xml:space="preserve">get til </w:t>
      </w:r>
      <w:r>
        <w:lastRenderedPageBreak/>
        <w:t>§ 12 a i pr</w:t>
      </w:r>
      <w:r>
        <w:t>o</w:t>
      </w:r>
      <w:r>
        <w:t>duktko</w:t>
      </w:r>
      <w:r>
        <w:t>n</w:t>
      </w:r>
      <w:r>
        <w:t>trolloven, som vil gi hjemmel til overtredelsesgebyr ved brudd på energie</w:t>
      </w:r>
      <w:r>
        <w:t>f</w:t>
      </w:r>
      <w:r>
        <w:t>fektivitetskrav i me</w:t>
      </w:r>
      <w:r>
        <w:t>d</w:t>
      </w:r>
      <w:r>
        <w:t>hold av pr</w:t>
      </w:r>
      <w:r>
        <w:t>o</w:t>
      </w:r>
      <w:r>
        <w:t>duktkontrolloven § 4a. NVE er tilsynsmyndighet etter økod</w:t>
      </w:r>
      <w:r>
        <w:t>e</w:t>
      </w:r>
      <w:r>
        <w:t>signforskriften, og uttaler at det kan være aktuelt med overtrede</w:t>
      </w:r>
      <w:r>
        <w:t xml:space="preserve">lsesgebyr på dette området. </w:t>
      </w:r>
    </w:p>
    <w:p w:rsidR="00000000" w:rsidRDefault="00E81532" w:rsidP="000762B7">
      <w:r>
        <w:t>NVE reiser spørsmålet om foreldelsesfristen for å ilegge overtredelsesgebyr bør være lenger enn 2 år.</w:t>
      </w:r>
    </w:p>
    <w:p w:rsidR="00000000" w:rsidRDefault="00E81532" w:rsidP="000762B7">
      <w:pPr>
        <w:rPr>
          <w:rStyle w:val="kursiv"/>
          <w:sz w:val="21"/>
          <w:szCs w:val="21"/>
        </w:rPr>
      </w:pPr>
      <w:r>
        <w:rPr>
          <w:rStyle w:val="kursiv"/>
          <w:sz w:val="21"/>
          <w:szCs w:val="21"/>
        </w:rPr>
        <w:t>Politidirektoratet</w:t>
      </w:r>
      <w:r>
        <w:t xml:space="preserve"> støtter forslaget om å innføre overtredelsesgebyr i forurensningsloven og pr</w:t>
      </w:r>
      <w:r>
        <w:t>o</w:t>
      </w:r>
      <w:r>
        <w:t>duk</w:t>
      </w:r>
      <w:r>
        <w:t>t</w:t>
      </w:r>
      <w:r>
        <w:t>ko</w:t>
      </w:r>
      <w:r>
        <w:t>n</w:t>
      </w:r>
      <w:r>
        <w:t>trolloven. Politidirek</w:t>
      </w:r>
      <w:r>
        <w:t>toratet uttaler støtte til ØKOKRIM sin høringsuttalelse. Om valg av sanksjon og sa</w:t>
      </w:r>
      <w:r>
        <w:t>m</w:t>
      </w:r>
      <w:r>
        <w:t>ordning mellom forvaltningen og politiet mener Politidirektoratet at politia</w:t>
      </w:r>
      <w:r>
        <w:t>n</w:t>
      </w:r>
      <w:r>
        <w:t>meldelse er særlig egnet der det er brudd på flere ulike regelverk, forhold som krever bruk av t</w:t>
      </w:r>
      <w:r>
        <w:t>vangsmidler i bevissikringsøyemed samt der det er snakk om alvorlige forhold som kvalifiserer til fengsel og rettighetstap. Det bør fremgå av forskriften at i de nevnte tilfellene skal det ikke benyttes administrativ sanksjon.</w:t>
      </w:r>
    </w:p>
    <w:p w:rsidR="00000000" w:rsidRDefault="00E81532" w:rsidP="000762B7">
      <w:r>
        <w:t xml:space="preserve">Ilagt overtredelsesgebyr kan </w:t>
      </w:r>
      <w:r>
        <w:t>ha betydning for utmåling av straff i senere saker (gjentakelse). Et tidl</w:t>
      </w:r>
      <w:r>
        <w:t>i</w:t>
      </w:r>
      <w:r>
        <w:t>gere ilagt overtredelsesgebyr vil ikke fremgå av politiets strafferegister. De ulike forval</w:t>
      </w:r>
      <w:r>
        <w:t>t</w:t>
      </w:r>
      <w:r>
        <w:t>ningsorganer har heller ikke oppdatert informasjon om hvorvidt påtalemyndigheten har straf</w:t>
      </w:r>
      <w:r>
        <w:t>f</w:t>
      </w:r>
      <w:r>
        <w:t>eforforfulgt noen tidligere. Forskriften bør derfor inneholde tydelige føringer på hvordan sa</w:t>
      </w:r>
      <w:r>
        <w:t>m</w:t>
      </w:r>
      <w:r>
        <w:t>handlingen skal foregå, for å unngå dobbeltforfølgning og sørge for rett sporvalg. Felles stra</w:t>
      </w:r>
      <w:r>
        <w:t>f</w:t>
      </w:r>
      <w:r>
        <w:t>fesaksinntak vil være et egnet kontaktpunkt med forvaltningen.</w:t>
      </w:r>
    </w:p>
    <w:p w:rsidR="00000000" w:rsidRDefault="00E81532" w:rsidP="000762B7">
      <w:pPr>
        <w:rPr>
          <w:rStyle w:val="kursiv"/>
          <w:sz w:val="21"/>
          <w:szCs w:val="21"/>
        </w:rPr>
      </w:pPr>
      <w:r>
        <w:rPr>
          <w:rStyle w:val="kursiv"/>
          <w:sz w:val="21"/>
          <w:szCs w:val="21"/>
        </w:rPr>
        <w:t>Sjø</w:t>
      </w:r>
      <w:r>
        <w:rPr>
          <w:rStyle w:val="kursiv"/>
          <w:sz w:val="21"/>
          <w:szCs w:val="21"/>
        </w:rPr>
        <w:t>fartsdirektoratet</w:t>
      </w:r>
      <w:r>
        <w:t xml:space="preserve"> støtter forslaget om å innføre hjemmel for overtredelsesgebyr, men foreslår at hjemmelen gjøres mer generell. Ut fra deres erfaring vil det etablere et lite fleksibelt system å liste opp de enkelte ove</w:t>
      </w:r>
      <w:r>
        <w:t>r</w:t>
      </w:r>
      <w:r>
        <w:t>tredelser som kvalifiserer for overt</w:t>
      </w:r>
      <w:r>
        <w:t>redelsesgebyr. En vil stå i fare for å utelate regelbrudd som i ettertid viser seg burde vært belagte med hjemmel for overtredelse</w:t>
      </w:r>
      <w:r>
        <w:t>s</w:t>
      </w:r>
      <w:r>
        <w:t>gebyr og det er tidkrevende å få på plass de nødvendige hjemlene i ettertid. En generell åpning for bruk av overtredelsesgeby</w:t>
      </w:r>
      <w:r>
        <w:t>r for brudd på lovens bestemmelser, slik det foreslås for naturman</w:t>
      </w:r>
      <w:r>
        <w:t>g</w:t>
      </w:r>
      <w:r>
        <w:t>foldloven, åpner for en mer dynamisk praktis</w:t>
      </w:r>
      <w:r>
        <w:t>e</w:t>
      </w:r>
      <w:r>
        <w:t xml:space="preserve">ring. </w:t>
      </w:r>
    </w:p>
    <w:p w:rsidR="00000000" w:rsidRDefault="00E81532" w:rsidP="000762B7">
      <w:r>
        <w:t>Sjøfartsdirektoratet foreslår videre å innføre et vesentlighetskrav i straffebestemmelsene. At de sa</w:t>
      </w:r>
      <w:r>
        <w:t>m</w:t>
      </w:r>
      <w:r>
        <w:t>me overtredelsene kan sanksjoneres m</w:t>
      </w:r>
      <w:r>
        <w:t>ed overtredelsesgebyr og straff åpner for forskjell</w:t>
      </w:r>
      <w:r>
        <w:t>s</w:t>
      </w:r>
      <w:r>
        <w:t>behandling og uenighet om ansvarsforhold. Dette er både i skipssikkerhetsloven og akvaku</w:t>
      </w:r>
      <w:r>
        <w:t>l</w:t>
      </w:r>
      <w:r>
        <w:t>turloven løst med å knytte et vesentli</w:t>
      </w:r>
      <w:r>
        <w:t>g</w:t>
      </w:r>
      <w:r>
        <w:t>hetskrav til straffebestemmelsene, og slik markere et skille. Sjøfartsdirekt</w:t>
      </w:r>
      <w:r>
        <w:t>oratet mener dette er en hensikt</w:t>
      </w:r>
      <w:r>
        <w:t>s</w:t>
      </w:r>
      <w:r>
        <w:t>messig løsning. Skillet vil måtte innarbeides gjennom nærmere retningslinjer og utvikles gjennom praksis, i dialog med påtalemyndigheten.</w:t>
      </w:r>
    </w:p>
    <w:p w:rsidR="00000000" w:rsidRDefault="00E81532" w:rsidP="000762B7">
      <w:pPr>
        <w:rPr>
          <w:rStyle w:val="kursiv"/>
          <w:sz w:val="21"/>
          <w:szCs w:val="21"/>
        </w:rPr>
      </w:pPr>
      <w:r>
        <w:rPr>
          <w:rStyle w:val="kursiv"/>
          <w:sz w:val="21"/>
          <w:szCs w:val="21"/>
        </w:rPr>
        <w:t xml:space="preserve">Statens strålevern </w:t>
      </w:r>
      <w:r>
        <w:t>støtter forslaget om å innføre overtredelsesgebyr og heve straffer</w:t>
      </w:r>
      <w:r>
        <w:t>ammene i fo</w:t>
      </w:r>
      <w:r>
        <w:t>r</w:t>
      </w:r>
      <w:r>
        <w:t>uren</w:t>
      </w:r>
      <w:r>
        <w:t>s</w:t>
      </w:r>
      <w:r>
        <w:t>ningsloven. Statens strålevern mener imidlertid det bør fremgå av loven hvem som skal ha myndi</w:t>
      </w:r>
      <w:r>
        <w:t>g</w:t>
      </w:r>
      <w:r>
        <w:t>het til å ilegge overtredelsesgebyr. Statens strålevern mener videre at 2 års forelde</w:t>
      </w:r>
      <w:r>
        <w:t>l</w:t>
      </w:r>
      <w:r>
        <w:t>sesfrist for å ilegge overtrede</w:t>
      </w:r>
      <w:r>
        <w:t>l</w:t>
      </w:r>
      <w:r>
        <w:t>sesgebyr er for kort. Ette</w:t>
      </w:r>
      <w:r>
        <w:t>r deres oppfatning bør foreldelsesfristen være lik for fengselsstraff og overtrede</w:t>
      </w:r>
      <w:r>
        <w:t>l</w:t>
      </w:r>
      <w:r>
        <w:t xml:space="preserve">sesgebyr. </w:t>
      </w:r>
    </w:p>
    <w:p w:rsidR="00000000" w:rsidRDefault="00E81532" w:rsidP="000762B7">
      <w:pPr>
        <w:rPr>
          <w:rStyle w:val="kursiv"/>
          <w:sz w:val="21"/>
          <w:szCs w:val="21"/>
        </w:rPr>
      </w:pPr>
      <w:r>
        <w:rPr>
          <w:rStyle w:val="kursiv"/>
          <w:sz w:val="21"/>
          <w:szCs w:val="21"/>
        </w:rPr>
        <w:t>Sysselmannen på Svalbard</w:t>
      </w:r>
      <w:r>
        <w:t xml:space="preserve"> støtter forslaget om å innføre overtredelsesgebyr i produktkontrolloven (som gjelder på Svalbard).</w:t>
      </w:r>
    </w:p>
    <w:p w:rsidR="00000000" w:rsidRDefault="00E81532" w:rsidP="000762B7">
      <w:pPr>
        <w:rPr>
          <w:rStyle w:val="kursiv"/>
          <w:sz w:val="21"/>
          <w:szCs w:val="21"/>
        </w:rPr>
      </w:pPr>
      <w:r>
        <w:rPr>
          <w:rStyle w:val="kursiv"/>
          <w:sz w:val="21"/>
          <w:szCs w:val="21"/>
        </w:rPr>
        <w:t xml:space="preserve">Riksadvokaten </w:t>
      </w:r>
      <w:r>
        <w:t>uttaler at ØKOKRIMs høri</w:t>
      </w:r>
      <w:r>
        <w:t xml:space="preserve">ngsuttalelse er dekkende for Riksadvokatens syn. </w:t>
      </w:r>
    </w:p>
    <w:p w:rsidR="00000000" w:rsidRDefault="00E81532" w:rsidP="000762B7">
      <w:pPr>
        <w:rPr>
          <w:rStyle w:val="kursiv"/>
          <w:sz w:val="21"/>
          <w:szCs w:val="21"/>
        </w:rPr>
      </w:pPr>
      <w:r>
        <w:rPr>
          <w:rStyle w:val="kursiv"/>
          <w:sz w:val="21"/>
          <w:szCs w:val="21"/>
        </w:rPr>
        <w:t>Vest politidistrikt</w:t>
      </w:r>
      <w:r>
        <w:t xml:space="preserve"> og </w:t>
      </w:r>
      <w:r>
        <w:rPr>
          <w:rStyle w:val="kursiv"/>
          <w:sz w:val="21"/>
          <w:szCs w:val="21"/>
        </w:rPr>
        <w:t>Oslo politidistrikt</w:t>
      </w:r>
      <w:r>
        <w:t xml:space="preserve"> støtter forslaget om å innføre overtredelsesgebyr. </w:t>
      </w:r>
      <w:proofErr w:type="gramStart"/>
      <w:r>
        <w:t>Vest pol</w:t>
      </w:r>
      <w:r>
        <w:t>i</w:t>
      </w:r>
      <w:r>
        <w:t>t</w:t>
      </w:r>
      <w:r>
        <w:t>i</w:t>
      </w:r>
      <w:r>
        <w:t>distrikt mener</w:t>
      </w:r>
      <w:proofErr w:type="gramEnd"/>
      <w:r>
        <w:t xml:space="preserve"> dette vil gi et mer fleksibelt sanksjonssystem, og lede til at politiet i større grad </w:t>
      </w:r>
      <w:r>
        <w:lastRenderedPageBreak/>
        <w:t>enn i dag kan anvende sine ressurser til å etterforske og iretteføre de mest alvorlige sakene. Oslo politidistrikt utt</w:t>
      </w:r>
      <w:r>
        <w:t>a</w:t>
      </w:r>
      <w:r>
        <w:t>ler seg i samme retning, og slutter seg til beskrivelsen i høringsnotatet om at det i mange saker er ufo</w:t>
      </w:r>
      <w:r>
        <w:t>r</w:t>
      </w:r>
      <w:r>
        <w:t>holdsme</w:t>
      </w:r>
      <w:r>
        <w:t>s</w:t>
      </w:r>
      <w:r>
        <w:t>sig ressur</w:t>
      </w:r>
      <w:r>
        <w:t>s</w:t>
      </w:r>
      <w:r>
        <w:t>krevende å ta</w:t>
      </w:r>
      <w:r>
        <w:t xml:space="preserve"> i bruk straffeprosessen. </w:t>
      </w:r>
    </w:p>
    <w:p w:rsidR="00000000" w:rsidRDefault="00E81532" w:rsidP="000762B7">
      <w:pPr>
        <w:rPr>
          <w:rStyle w:val="kursiv"/>
          <w:sz w:val="21"/>
          <w:szCs w:val="21"/>
        </w:rPr>
      </w:pPr>
      <w:r>
        <w:rPr>
          <w:rStyle w:val="kursiv"/>
          <w:sz w:val="21"/>
          <w:szCs w:val="21"/>
        </w:rPr>
        <w:t>ØKOKRIM</w:t>
      </w:r>
      <w:r>
        <w:t xml:space="preserve"> uttaler at det også</w:t>
      </w:r>
      <w:r>
        <w:t xml:space="preserve"> etter deres erfaring er behov for overtredelsesgebyr i foruren</w:t>
      </w:r>
      <w:r>
        <w:t>s</w:t>
      </w:r>
      <w:r>
        <w:t>ningsl</w:t>
      </w:r>
      <w:r>
        <w:t>o</w:t>
      </w:r>
      <w:r>
        <w:t>ven og produktkontrolloven, dels fordi en del overtredelser er for lite alvorlige for straff, dels fordi politiet ikke har kapasitet til å etterforske alle sakene. Generelt finner ØKOKR</w:t>
      </w:r>
      <w:r>
        <w:t>IM det foreslåtte systemet for g</w:t>
      </w:r>
      <w:r>
        <w:t>e</w:t>
      </w:r>
      <w:r>
        <w:t>byr godt u</w:t>
      </w:r>
      <w:r>
        <w:t>t</w:t>
      </w:r>
      <w:r>
        <w:t xml:space="preserve">formet. </w:t>
      </w:r>
    </w:p>
    <w:p w:rsidR="00000000" w:rsidRDefault="00E81532" w:rsidP="000762B7">
      <w:r>
        <w:t>ØKOKRIM mener at Miljødirektoratet er nærmest til å vite hvilke områder som er mest egnet og hvor behovet for overtredelsesgebyr er størst, men etter ØKOKRIMs erfaring er foruren</w:t>
      </w:r>
      <w:r>
        <w:t>s</w:t>
      </w:r>
      <w:r>
        <w:t>ningsforbudet i § 7, bru</w:t>
      </w:r>
      <w:r>
        <w:t>dd på vilkår i tillatelse og forsøpling særlig egnet. Dersom mindre a</w:t>
      </w:r>
      <w:r>
        <w:t>l</w:t>
      </w:r>
      <w:r>
        <w:t>vorlige saker om ulovlige stoffer i produkter kan sanksjoneres med overtredelsesgebyr i stedet for straff, er det etter ØKOKRIMs syn en god løsning, også fordi disse sakene ikke alltid f</w:t>
      </w:r>
      <w:r>
        <w:t xml:space="preserve">år den behandling de fortjener i politiet. </w:t>
      </w:r>
    </w:p>
    <w:p w:rsidR="00000000" w:rsidRDefault="00E81532" w:rsidP="000762B7">
      <w:r>
        <w:t>ØKOKRIM peker på at politianmeldelse er egnet ved brudd på flere ulike regelverk, når det er grunn til å anta at viktige beviser kun kan skaffes ved tvangsmiddelbruk og selvsagt når sakens alvor tilsier det, særl</w:t>
      </w:r>
      <w:r>
        <w:t>ig hvor det i henhold til rettspraksis er grunnlag for fengsel og eventuelt rettighetstap.</w:t>
      </w:r>
    </w:p>
    <w:p w:rsidR="00000000" w:rsidRDefault="00E81532" w:rsidP="000762B7">
      <w:pPr>
        <w:rPr>
          <w:rStyle w:val="kursiv"/>
          <w:sz w:val="21"/>
          <w:szCs w:val="21"/>
        </w:rPr>
      </w:pPr>
      <w:r>
        <w:rPr>
          <w:rStyle w:val="kursiv"/>
          <w:sz w:val="21"/>
          <w:szCs w:val="21"/>
        </w:rPr>
        <w:t>Advokatforeningen</w:t>
      </w:r>
      <w:r>
        <w:t xml:space="preserve"> støtter forslaget om å innføre hjemmel for overtredelsesgebyr i foruren</w:t>
      </w:r>
      <w:r>
        <w:t>s</w:t>
      </w:r>
      <w:r>
        <w:t xml:space="preserve">ningsloven og produktkontrolloven, men er ikke enig i at foretak bør kunne </w:t>
      </w:r>
      <w:r>
        <w:t>ilegges overtrede</w:t>
      </w:r>
      <w:r>
        <w:t>l</w:t>
      </w:r>
      <w:r>
        <w:t>sesgebyr uten hensyn til skyld. Selv om forurensningsmyndigheten ikke nødvendigvis vil san</w:t>
      </w:r>
      <w:r>
        <w:t>k</w:t>
      </w:r>
      <w:r>
        <w:t>sjonere mindre alvorlige overtr</w:t>
      </w:r>
      <w:r>
        <w:t>e</w:t>
      </w:r>
      <w:r>
        <w:t>delser, er det betenkelig at vilkårene for ileggelse av overtr</w:t>
      </w:r>
      <w:r>
        <w:t>e</w:t>
      </w:r>
      <w:r>
        <w:t>delsesgebyr er oppfylt helt uavhengig av skyld.</w:t>
      </w:r>
    </w:p>
    <w:p w:rsidR="00000000" w:rsidRDefault="00E81532" w:rsidP="000762B7">
      <w:r>
        <w:t>Advo</w:t>
      </w:r>
      <w:r>
        <w:t>katforeningen mener det blir viktig å utforme generelle retningslinjer for saksbehandlingen ved ileggelse av overtredelsesgebyr, slik at det legges til rette for ensartet saksbehandlingspraksis som ivar</w:t>
      </w:r>
      <w:r>
        <w:t>e</w:t>
      </w:r>
      <w:r>
        <w:t>tar rettssi</w:t>
      </w:r>
      <w:r>
        <w:t>k</w:t>
      </w:r>
      <w:r>
        <w:t>kerhetsgarantiene som ligger i EMK og for</w:t>
      </w:r>
      <w:r>
        <w:t>valtningsloven kapittel IX.</w:t>
      </w:r>
    </w:p>
    <w:p w:rsidR="00000000" w:rsidRDefault="00E81532" w:rsidP="000762B7">
      <w:pPr>
        <w:rPr>
          <w:rStyle w:val="kursiv"/>
          <w:sz w:val="21"/>
          <w:szCs w:val="21"/>
        </w:rPr>
      </w:pPr>
      <w:r>
        <w:rPr>
          <w:rStyle w:val="kursiv"/>
          <w:sz w:val="21"/>
          <w:szCs w:val="21"/>
        </w:rPr>
        <w:t xml:space="preserve">Avfall Norge </w:t>
      </w:r>
      <w:r>
        <w:t xml:space="preserve">fremhever behovet for sanksjoner med preventiv effekt, og mener at myndighetene må føre hyppig og omfattende tilsyn med at regelverket blir fulgt. </w:t>
      </w:r>
    </w:p>
    <w:p w:rsidR="00000000" w:rsidRDefault="00E81532" w:rsidP="000762B7">
      <w:pPr>
        <w:rPr>
          <w:rStyle w:val="kursiv"/>
          <w:sz w:val="21"/>
          <w:szCs w:val="21"/>
        </w:rPr>
      </w:pPr>
      <w:r>
        <w:rPr>
          <w:rStyle w:val="kursiv"/>
          <w:sz w:val="21"/>
          <w:szCs w:val="21"/>
        </w:rPr>
        <w:t xml:space="preserve">Norsk forening for farlig avfall (NFFA) </w:t>
      </w:r>
      <w:r>
        <w:t>uttaler at det må sikres li</w:t>
      </w:r>
      <w:r>
        <w:t>kebehandling av aktørene i de ulike fylkene. Miljødirektoratet må aktivt tilse at lik praksis etterleves, bl.a ved å utvikle klare re</w:t>
      </w:r>
      <w:r>
        <w:t>t</w:t>
      </w:r>
      <w:r>
        <w:t>ningslinjer for de vurd</w:t>
      </w:r>
      <w:r>
        <w:t>e</w:t>
      </w:r>
      <w:r>
        <w:t>ringene som skal ligge til grunn for overtredelsesgebyr. Når brudd på vilkårene som blir gitt i ti</w:t>
      </w:r>
      <w:r>
        <w:t>llatelser blir grunnlag for overtredelsesgebyr er det viktig at vilkår i tillatelser blir tilstrekkelige presise og heller ikke gir uberettiget ulike konkurransevilkår. I motsatt fall vil det kunne være vanskelig å foru</w:t>
      </w:r>
      <w:r>
        <w:t>t</w:t>
      </w:r>
      <w:r>
        <w:t>b</w:t>
      </w:r>
      <w:r>
        <w:t>e</w:t>
      </w:r>
      <w:r>
        <w:t xml:space="preserve">regne den enkeltes rettsposisjon, </w:t>
      </w:r>
      <w:r>
        <w:t>noe som vil svekke rettssikkerheten til aktørene.</w:t>
      </w:r>
    </w:p>
    <w:p w:rsidR="00000000" w:rsidRDefault="00E81532" w:rsidP="000762B7">
      <w:pPr>
        <w:rPr>
          <w:rStyle w:val="kursiv"/>
          <w:sz w:val="21"/>
          <w:szCs w:val="21"/>
        </w:rPr>
      </w:pPr>
      <w:r>
        <w:rPr>
          <w:rStyle w:val="kursiv"/>
          <w:spacing w:val="2"/>
          <w:sz w:val="21"/>
          <w:szCs w:val="21"/>
        </w:rPr>
        <w:t>Næringslivets hovedorganisasjon (NHO)</w:t>
      </w:r>
      <w:r>
        <w:t xml:space="preserve"> ser at overtredelsesgebyr prinsipielt sett kan være et egnet virkemiddel i visse typer saker på miljørettens område, og er i hovedsak enig i beskrivelsen av behovet for</w:t>
      </w:r>
      <w:r>
        <w:t xml:space="preserve"> å innføre hjemler for overtredelsesgebyr i forurensningsloven og produktko</w:t>
      </w:r>
      <w:r>
        <w:t>n</w:t>
      </w:r>
      <w:r>
        <w:t>trolloven. NHO mener imidlertid at det foreslåtte virkeområdet for overtredelsesgebyr er for omfattende og at listen over typer overtredelser i utkastet til § 80 i forurensningslov</w:t>
      </w:r>
      <w:r>
        <w:t>en og § 12 a i produktkontrolloven bør reduseres vesentlig. NHO viser her til høringsuttalelsen fra Norsk Industri med henvisning til hvilke bestemme</w:t>
      </w:r>
      <w:r>
        <w:t>l</w:t>
      </w:r>
      <w:r>
        <w:t>ser som i første omgang bør reguleres med ove</w:t>
      </w:r>
      <w:r>
        <w:t>r</w:t>
      </w:r>
      <w:r>
        <w:lastRenderedPageBreak/>
        <w:t>trede</w:t>
      </w:r>
      <w:r>
        <w:t>l</w:t>
      </w:r>
      <w:r>
        <w:t>sesgebyr. Når det nye virkemiddelet overtrede</w:t>
      </w:r>
      <w:r>
        <w:t>l</w:t>
      </w:r>
      <w:r>
        <w:t>se</w:t>
      </w:r>
      <w:r>
        <w:t>s</w:t>
      </w:r>
      <w:r>
        <w:t>gebyr</w:t>
      </w:r>
      <w:r>
        <w:t xml:space="preserve"> er brukt en tid, bør det etter NHOs syn evalueres grundig om sanksjonsbehovet er dekket og på ny vurderes å endre lovgrunnlaget. </w:t>
      </w:r>
    </w:p>
    <w:p w:rsidR="00000000" w:rsidRDefault="00E81532" w:rsidP="000762B7">
      <w:r>
        <w:t>NHO er enig i at fysiske personer som handler på egne vegne og foretak skal kunne være a</w:t>
      </w:r>
      <w:r>
        <w:t>n</w:t>
      </w:r>
      <w:r>
        <w:t>svar</w:t>
      </w:r>
      <w:r>
        <w:t>s</w:t>
      </w:r>
      <w:r>
        <w:t>subjekter. I tilfeller der fysi</w:t>
      </w:r>
      <w:r>
        <w:t>ske personer handler på vegne av foretak, mener NHO at bare foretaket bør være ansvar</w:t>
      </w:r>
      <w:r>
        <w:t>s</w:t>
      </w:r>
      <w:r>
        <w:t>subjekt. NHO viser til at straffesporet innebærer større rettssikkerhet enn i forvaltningssp</w:t>
      </w:r>
      <w:r>
        <w:t>o</w:t>
      </w:r>
      <w:r>
        <w:t>ret.</w:t>
      </w:r>
    </w:p>
    <w:p w:rsidR="00000000" w:rsidRDefault="00E81532" w:rsidP="000762B7">
      <w:r>
        <w:t>NHO ber om at det innarbeides et skyldkrav også ved overtredelsesgebyr t</w:t>
      </w:r>
      <w:r>
        <w:t>il foretak, etter modell av energ</w:t>
      </w:r>
      <w:r>
        <w:t>i</w:t>
      </w:r>
      <w:r>
        <w:t>loven § 10-7. NHO mener at saksbehandlingen i direktoratet i saker om overtrede</w:t>
      </w:r>
      <w:r>
        <w:t>l</w:t>
      </w:r>
      <w:r>
        <w:t>sesgebyr burde være b</w:t>
      </w:r>
      <w:r>
        <w:t>e</w:t>
      </w:r>
      <w:r>
        <w:t>skrevet i høringsnotatet. NHO mener også at forvaltningsloven § 47 – om samordningsplikt overfor politiet og andre forva</w:t>
      </w:r>
      <w:r>
        <w:t>ltningsorganer – bør tas inn i forurensningsl</w:t>
      </w:r>
      <w:r>
        <w:t>o</w:t>
      </w:r>
      <w:r>
        <w:t xml:space="preserve">ven. </w:t>
      </w:r>
    </w:p>
    <w:p w:rsidR="00000000" w:rsidRDefault="00E81532" w:rsidP="000762B7">
      <w:pPr>
        <w:rPr>
          <w:rStyle w:val="kursiv"/>
          <w:sz w:val="21"/>
          <w:szCs w:val="21"/>
        </w:rPr>
      </w:pPr>
      <w:r>
        <w:rPr>
          <w:rStyle w:val="kursiv"/>
          <w:sz w:val="21"/>
          <w:szCs w:val="21"/>
        </w:rPr>
        <w:t>Norsk Industri</w:t>
      </w:r>
      <w:r>
        <w:t xml:space="preserve"> mener prinsipalt at det ikke er behov for å innføre hjemler for overtredelsesgebyr i fo</w:t>
      </w:r>
      <w:r>
        <w:t>r</w:t>
      </w:r>
      <w:r>
        <w:t>uren</w:t>
      </w:r>
      <w:r>
        <w:t>s</w:t>
      </w:r>
      <w:r>
        <w:t>ningsloven eller produktkontrolloven. De mener saker av pønal karakter bør overlates til politi-</w:t>
      </w:r>
      <w:r>
        <w:t xml:space="preserve"> og påtal</w:t>
      </w:r>
      <w:r>
        <w:t>e</w:t>
      </w:r>
      <w:r>
        <w:t>myndighetenes oppfølging. Ved ønske om å følge opp et større antall brudd bør løsningen heller være å styrke kapasiteten hos politi og påtalemyndighet.</w:t>
      </w:r>
    </w:p>
    <w:p w:rsidR="00000000" w:rsidRDefault="00E81532" w:rsidP="000762B7">
      <w:r>
        <w:t>Norsk Industri mener subsidiært at hjemlene for overtredelsesgebyr bør omfatte færre typer ove</w:t>
      </w:r>
      <w:r>
        <w:t>rtr</w:t>
      </w:r>
      <w:r>
        <w:t>e</w:t>
      </w:r>
      <w:r>
        <w:t>delser enn det som følger av lovutkastet. De mener at hjemmelen for overtredelsesgebyr etter foruren</w:t>
      </w:r>
      <w:r>
        <w:t>s</w:t>
      </w:r>
      <w:r>
        <w:t>ningsloven bør innsnevres ved å stryke bokstav a, c, f, i, j og r i utkastet til § 80. Norsk Industri mener også at overtrede</w:t>
      </w:r>
      <w:r>
        <w:t>l</w:t>
      </w:r>
      <w:r>
        <w:t>sesgebyr er lite egnet fo</w:t>
      </w:r>
      <w:r>
        <w:t>r overtredelsene i bokstav b, m, n, o og q i utkastet til § 80.</w:t>
      </w:r>
    </w:p>
    <w:p w:rsidR="00000000" w:rsidRDefault="00E81532" w:rsidP="000762B7">
      <w:r>
        <w:t>For mange av overtredelsene nevnt ovenfor mener Norsk Industri at pålegg om retting og tvang</w:t>
      </w:r>
      <w:r>
        <w:t>s</w:t>
      </w:r>
      <w:r>
        <w:t>mulkt er bedre virkemidler enn overtredelsesgebyr. Norsk Industri mener også at bruk av overtredels</w:t>
      </w:r>
      <w:r>
        <w:t>e</w:t>
      </w:r>
      <w:r>
        <w:t>s</w:t>
      </w:r>
      <w:r>
        <w:t>gebyr kan føre til mindre åpenhet og tillit mellom tilsynsmyndighetene og ind</w:t>
      </w:r>
      <w:r>
        <w:t>u</w:t>
      </w:r>
      <w:r>
        <w:t>strien.</w:t>
      </w:r>
    </w:p>
    <w:p w:rsidR="00000000" w:rsidRDefault="00E81532" w:rsidP="000762B7">
      <w:r>
        <w:t>Norsk Industri er kritiske til overtredelsesgebyr i henhold til bokstavene a–e i utkastet til ny § 12 a i pr</w:t>
      </w:r>
      <w:r>
        <w:t>o</w:t>
      </w:r>
      <w:r>
        <w:t>duktkontrolloven. De viser bl.a. til at aktsomhetsplikten o</w:t>
      </w:r>
      <w:r>
        <w:t>g substitusjonsplikten beror på skjønnsme</w:t>
      </w:r>
      <w:r>
        <w:t>s</w:t>
      </w:r>
      <w:r>
        <w:t>sige vurderinger, og de mener at overtredelsesgebyr da ikke er et egnet virk</w:t>
      </w:r>
      <w:r>
        <w:t>e</w:t>
      </w:r>
      <w:r>
        <w:t>middel.</w:t>
      </w:r>
    </w:p>
    <w:p w:rsidR="00000000" w:rsidRDefault="00E81532" w:rsidP="000762B7">
      <w:r>
        <w:t>Norsk Industri mener at overtredelsesgebyr kan være et egnet virkemiddel ved brudd på pr</w:t>
      </w:r>
      <w:r>
        <w:t>o</w:t>
      </w:r>
      <w:r>
        <w:t>duktko</w:t>
      </w:r>
      <w:r>
        <w:t>n</w:t>
      </w:r>
      <w:r>
        <w:t xml:space="preserve">trolloven §§ 4, 5a, 6 og 6b, jf. </w:t>
      </w:r>
      <w:r>
        <w:t xml:space="preserve">bokstav e første alternativ og bokstavene f–h i utkastet til ny § 12 a. </w:t>
      </w:r>
    </w:p>
    <w:p w:rsidR="00000000" w:rsidRDefault="00E81532" w:rsidP="000762B7">
      <w:r>
        <w:t>Norsk Industri mener at foretak bare bør kunne ilegges overtredelsesgebyr etter forurensning</w:t>
      </w:r>
      <w:r>
        <w:t>s</w:t>
      </w:r>
      <w:r>
        <w:t>loven og pr</w:t>
      </w:r>
      <w:r>
        <w:t>o</w:t>
      </w:r>
      <w:r>
        <w:t>duktkontrolloven hvis en person i foretaket har utvist skyld, og viser til NHO</w:t>
      </w:r>
      <w:r>
        <w:t>s h</w:t>
      </w:r>
      <w:r>
        <w:t>ø</w:t>
      </w:r>
      <w:r>
        <w:t>ringsuttalelse på dette punktet.</w:t>
      </w:r>
    </w:p>
    <w:p w:rsidR="00000000" w:rsidRDefault="00E81532" w:rsidP="000762B7">
      <w:pPr>
        <w:rPr>
          <w:rFonts w:ascii="Arial" w:hAnsi="Arial" w:cs="Arial"/>
          <w:b/>
          <w:bCs/>
        </w:rPr>
      </w:pPr>
      <w:r>
        <w:rPr>
          <w:rStyle w:val="kursiv"/>
          <w:sz w:val="21"/>
          <w:szCs w:val="21"/>
        </w:rPr>
        <w:t>Norsk Vann</w:t>
      </w:r>
      <w:r>
        <w:t xml:space="preserve"> støtter forslaget om å innføre overtredelsesgebyr. Norsk Vann mener at dagens straff</w:t>
      </w:r>
      <w:r>
        <w:t>e</w:t>
      </w:r>
      <w:r>
        <w:t>spor er lite hensiktsmessig, arbeidskrevende og tar for lang tid, og at overtredelsesgebyr vil gi my</w:t>
      </w:r>
      <w:r>
        <w:t>n</w:t>
      </w:r>
      <w:r>
        <w:t>dighetene et mer fleks</w:t>
      </w:r>
      <w:r>
        <w:t>ibelt og effektivt verktøy til å følge opp brudd på regelverket. De understreker l</w:t>
      </w:r>
      <w:r>
        <w:t>i</w:t>
      </w:r>
      <w:r>
        <w:t>kevel at det er avgjørende hvordan regelverket blir praktisert og hvilket nivå g</w:t>
      </w:r>
      <w:r>
        <w:t>e</w:t>
      </w:r>
      <w:r>
        <w:t xml:space="preserve">byrene blir liggende på, og at det blir viktig med god veiledning og oppfølging for å sikre </w:t>
      </w:r>
      <w:r>
        <w:t>lik behandling mellom ulike fylke</w:t>
      </w:r>
      <w:r>
        <w:t>s</w:t>
      </w:r>
      <w:r>
        <w:t xml:space="preserve">mannsembeter og mellom ulike kommuner. Norsk Vann foreslår </w:t>
      </w:r>
      <w:r>
        <w:lastRenderedPageBreak/>
        <w:t>at det tas inn i bestemmelsen at utsli</w:t>
      </w:r>
      <w:r>
        <w:t>p</w:t>
      </w:r>
      <w:r>
        <w:t>pets betydning for resipienten bør vektlegges både ved valg av om det skal ilegges overtredelsesgebyr og ved fastsettingen a</w:t>
      </w:r>
      <w:r>
        <w:t>v størrelsen på gebyret.</w:t>
      </w:r>
    </w:p>
    <w:p w:rsidR="00000000" w:rsidRDefault="00E81532" w:rsidP="000762B7">
      <w:pPr>
        <w:pStyle w:val="Overskrift3"/>
      </w:pPr>
      <w:r>
        <w:t>Departementets vurdering</w:t>
      </w:r>
    </w:p>
    <w:p w:rsidR="00000000" w:rsidRDefault="00E81532" w:rsidP="000762B7">
      <w:r>
        <w:t>Det gis bred støtte til forslaget om å innføre overtredelsesgebyr i produktkontrolloven og fo</w:t>
      </w:r>
      <w:r>
        <w:t>r</w:t>
      </w:r>
      <w:r>
        <w:t>urensning</w:t>
      </w:r>
      <w:r>
        <w:t>s</w:t>
      </w:r>
      <w:r>
        <w:t>loven. Departementet vurderer det som en styrke og god arbeidsdeling at også</w:t>
      </w:r>
      <w:r>
        <w:t xml:space="preserve"> fo</w:t>
      </w:r>
      <w:r>
        <w:t>r</w:t>
      </w:r>
      <w:r>
        <w:t>valtningen håndterer enkelte saker av pønal karakter. De mest alvorlige sakene vil likevel fortsatt overlates til politi- og påtal</w:t>
      </w:r>
      <w:r>
        <w:t>e</w:t>
      </w:r>
      <w:r>
        <w:t>myndighet. Å utvide sanksjonsmidlene vil være effektivt for å kunne følge opp et større antall brudd og gi allmennprevent</w:t>
      </w:r>
      <w:r>
        <w:t>iv virkning. Departementet vurderer at det er et stort behov for hjemlene til å ilegge ove</w:t>
      </w:r>
      <w:r>
        <w:t>r</w:t>
      </w:r>
      <w:r>
        <w:t>tredelsesgebyr, og at det vil styrke reaksjons- og sanksjonshjemlene i produktkontrolloven og foruren</w:t>
      </w:r>
      <w:r>
        <w:t>s</w:t>
      </w:r>
      <w:r>
        <w:t xml:space="preserve">ningsloven. </w:t>
      </w:r>
    </w:p>
    <w:p w:rsidR="00000000" w:rsidRDefault="00E81532" w:rsidP="000762B7">
      <w:r>
        <w:t>Når det gjelder kommentarer knyttet til innretning</w:t>
      </w:r>
      <w:r>
        <w:t xml:space="preserve"> og virkeområde for bestemmelsen, så varierer u</w:t>
      </w:r>
      <w:r>
        <w:t>t</w:t>
      </w:r>
      <w:r>
        <w:t>talelsene fra høringsinstansene noe, idet enkelte ønsker flere avgrensninger og konkretiseringer i lo</w:t>
      </w:r>
      <w:r>
        <w:t>v</w:t>
      </w:r>
      <w:r>
        <w:t>hjemmelen, mens andre mener bestemmelsen bør gjøres mer generell og dermed sikre at den er mer fleksibel o</w:t>
      </w:r>
      <w:r>
        <w:t>g effektiv. D</w:t>
      </w:r>
      <w:r>
        <w:t>e</w:t>
      </w:r>
      <w:r>
        <w:t>partementet mener at gjennom den foreslåtte innretningen med forskriftshjemmel er det funnet en balanse som ivaretar hensynene om forutberegnelighet, fle</w:t>
      </w:r>
      <w:r>
        <w:t>k</w:t>
      </w:r>
      <w:r>
        <w:t>sibilitet og effektivitet. M</w:t>
      </w:r>
      <w:r>
        <w:t>o</w:t>
      </w:r>
      <w:r>
        <w:t>dellen avviker fra andre lovb</w:t>
      </w:r>
      <w:r>
        <w:t>e</w:t>
      </w:r>
      <w:r>
        <w:t>stemmelser, en kan også hjeml</w:t>
      </w:r>
      <w:r>
        <w:t>e ove</w:t>
      </w:r>
      <w:r>
        <w:t>r</w:t>
      </w:r>
      <w:r>
        <w:t>tredelsesgebyr direkte i loven, som er foreslått fra enkelte høringsi</w:t>
      </w:r>
      <w:r>
        <w:t>n</w:t>
      </w:r>
      <w:r>
        <w:t>stanser. Dette har blitt vu</w:t>
      </w:r>
      <w:r>
        <w:t>r</w:t>
      </w:r>
      <w:r>
        <w:t>dert, men departementet har kommet frem til at det er mest hensiktsmessig med en forskrift</w:t>
      </w:r>
      <w:r>
        <w:t>s</w:t>
      </w:r>
      <w:r>
        <w:t>hjemmel. Det vil gi mulighet for å starte med overtredelse</w:t>
      </w:r>
      <w:r>
        <w:t>s</w:t>
      </w:r>
      <w:r>
        <w:t>ge</w:t>
      </w:r>
      <w:r>
        <w:t>byr på noen områder der behovet er særlig stort og høste erfaring med dette før man eventuelt utvider virkeområdet. Det vil gi mi</w:t>
      </w:r>
      <w:r>
        <w:t>l</w:t>
      </w:r>
      <w:r>
        <w:t>jøforvaltningen bedre mulighet for å sikre ensartet praksis, tilstrekkelig ve</w:t>
      </w:r>
      <w:r>
        <w:t>i</w:t>
      </w:r>
      <w:r>
        <w:t>ledning og gode rutiner for saksbehandling å sta</w:t>
      </w:r>
      <w:r>
        <w:t>rte med noen områder. En slik gradvis innføring er en</w:t>
      </w:r>
      <w:r>
        <w:t>k</w:t>
      </w:r>
      <w:r>
        <w:t xml:space="preserve">lere å gjennomføre gjennom forskriftsendringer fremfor hyppige lovendringer. </w:t>
      </w:r>
    </w:p>
    <w:p w:rsidR="00000000" w:rsidRDefault="00E81532" w:rsidP="000762B7">
      <w:r>
        <w:t>Departementet anbefaler ikke en generell åpning for bruk av overtredelsesgebyr for brudd på alle produk</w:t>
      </w:r>
      <w:r>
        <w:t>t</w:t>
      </w:r>
      <w:r>
        <w:t>kontrollovens og for</w:t>
      </w:r>
      <w:r>
        <w:t>urensingslovens bestemmelser, slik som noen andre lover er utfo</w:t>
      </w:r>
      <w:r>
        <w:t>r</w:t>
      </w:r>
      <w:r>
        <w:t>met. D</w:t>
      </w:r>
      <w:r>
        <w:t>e</w:t>
      </w:r>
      <w:r>
        <w:t xml:space="preserve">partementet viser til at sanksjonsutvalget i NOU 2003: 15 </w:t>
      </w:r>
      <w:r>
        <w:rPr>
          <w:rStyle w:val="kursiv"/>
          <w:sz w:val="21"/>
          <w:szCs w:val="21"/>
        </w:rPr>
        <w:t>Fra bot til bedring</w:t>
      </w:r>
      <w:r>
        <w:t xml:space="preserve"> har frarådet generelle form</w:t>
      </w:r>
      <w:r>
        <w:t>u</w:t>
      </w:r>
      <w:r>
        <w:t>leringer som hjemler gebyr for overtredelser av enhver bestemmelse i loven. Dep</w:t>
      </w:r>
      <w:r>
        <w:t>artementet mener sa</w:t>
      </w:r>
      <w:r>
        <w:t>m</w:t>
      </w:r>
      <w:r>
        <w:t>tidig det vil være praktisk vanskelig å avgrense hjemmelen for ove</w:t>
      </w:r>
      <w:r>
        <w:t>r</w:t>
      </w:r>
      <w:r>
        <w:t>tredelsesgebyr ytterligere enn allerede foreslått, med hensyn til hvilke forskrifter og enkeltvedtak den skal gjelde. Det er en stor og variert mengde normer som er fast</w:t>
      </w:r>
      <w:r>
        <w:t>satt og som stadig blir fastsatt i medhold av forskriftshjemlene i produktko</w:t>
      </w:r>
      <w:r>
        <w:t>n</w:t>
      </w:r>
      <w:r>
        <w:t>trolloven og forurensningsloven. Fo</w:t>
      </w:r>
      <w:r>
        <w:t>r</w:t>
      </w:r>
      <w:r>
        <w:t>skriftshje</w:t>
      </w:r>
      <w:r>
        <w:t>m</w:t>
      </w:r>
      <w:r>
        <w:t>melen i lovene kan ikke være så snevre at det ikke gir rom for noe fleksibilitet, det vil kreve hyppige lovendringer.</w:t>
      </w:r>
    </w:p>
    <w:p w:rsidR="00000000" w:rsidRDefault="00E81532" w:rsidP="000762B7">
      <w:r>
        <w:t xml:space="preserve">Departementet </w:t>
      </w:r>
      <w:r>
        <w:t>mener virkeområde og de listede bestemmelsene for overtredelser som kan sanksj</w:t>
      </w:r>
      <w:r>
        <w:t>o</w:t>
      </w:r>
      <w:r>
        <w:t>neres med overtredelsesgebyr er grundig vurdert, med hensyn til sanksjonsbehov og nødvendighet. D</w:t>
      </w:r>
      <w:r>
        <w:t>e</w:t>
      </w:r>
      <w:r>
        <w:t>partementet mener også at det vil svekke hjemlenes praktiske anvendelighet å sn</w:t>
      </w:r>
      <w:r>
        <w:t>evre inn virkeområdet, slik Norsk Industri har foreslått. Det avdekkes per i dag et stort antall brudd på store deler av produkt- og forurensningregelverket, som det av allmennpreventive hensyn er viktig at møtes med effektive sanksj</w:t>
      </w:r>
      <w:r>
        <w:t>o</w:t>
      </w:r>
      <w:r>
        <w:t xml:space="preserve">ner. Departementet er </w:t>
      </w:r>
      <w:r>
        <w:t>enig i DSB sine innspill til endringer for å klargjøre ordlyden i produktkontrolloven og at produktkontrolloven § 6a inkl</w:t>
      </w:r>
      <w:r>
        <w:t>u</w:t>
      </w:r>
      <w:r>
        <w:t>deres i listen over overtredelser som kan sanksjoneres med overtr</w:t>
      </w:r>
      <w:r>
        <w:t>e</w:t>
      </w:r>
      <w:r>
        <w:t>delsesgebyr. Forslaget er justert i tråd med dette.</w:t>
      </w:r>
    </w:p>
    <w:p w:rsidR="00000000" w:rsidRDefault="00E81532" w:rsidP="000762B7">
      <w:r>
        <w:lastRenderedPageBreak/>
        <w:t xml:space="preserve">Når det gjelder </w:t>
      </w:r>
      <w:r>
        <w:t>innspillene angående å innføre skyldkrav for foretak, så følger det av forval</w:t>
      </w:r>
      <w:r>
        <w:t>t</w:t>
      </w:r>
      <w:r>
        <w:t xml:space="preserve">ningsloven § 46 at når det er fastsatt i lov at det kan ilegges administrativ sanksjon overfor et foretak, kan sanksjon ilegges selv om </w:t>
      </w:r>
      <w:proofErr w:type="gramStart"/>
      <w:r>
        <w:t>ingen</w:t>
      </w:r>
      <w:proofErr w:type="gramEnd"/>
      <w:r>
        <w:t xml:space="preserve"> enkeltperson har utvist skyld. Depar</w:t>
      </w:r>
      <w:r>
        <w:t>tementet ser ikke noen grunn til å fravike fra dette i produk</w:t>
      </w:r>
      <w:r>
        <w:t>t</w:t>
      </w:r>
      <w:r>
        <w:t>kontrolloven eller forurensningsloven.</w:t>
      </w:r>
    </w:p>
    <w:p w:rsidR="00000000" w:rsidRDefault="00E81532" w:rsidP="000762B7">
      <w:r>
        <w:t>Norsk Vann har foreslått at det i forurensningsloven tas inn i bestemmelsen om overtredelse</w:t>
      </w:r>
      <w:r>
        <w:t>s</w:t>
      </w:r>
      <w:r>
        <w:t>gebyr at u</w:t>
      </w:r>
      <w:r>
        <w:t>t</w:t>
      </w:r>
      <w:r>
        <w:t>slippets betydning i resipient bør vektlegges båd</w:t>
      </w:r>
      <w:r>
        <w:t>e ved valg av om det skal ilegges overtredelsesgebyr og i fastsetting av størrelsen på gebyret. Det følger av forvaltningsloven § 44 tredje ledd og § 46 annet ledd hvilke hensyn som blant annet legges vekt på og tas hensyn til i avgjørelsen av om en skal i</w:t>
      </w:r>
      <w:r>
        <w:t>legge admin</w:t>
      </w:r>
      <w:r>
        <w:t>i</w:t>
      </w:r>
      <w:r>
        <w:t>strativ sanksjon og ved utmåling. Utslippets betydning for resipient vil for eksempel falle innunder he</w:t>
      </w:r>
      <w:r>
        <w:t>n</w:t>
      </w:r>
      <w:r>
        <w:t>synet om overtredelsens grovhet, jf. forval</w:t>
      </w:r>
      <w:r>
        <w:t>t</w:t>
      </w:r>
      <w:r>
        <w:t>ningsloven § 46 bokstav b). Departementet mener b</w:t>
      </w:r>
      <w:r>
        <w:t>e</w:t>
      </w:r>
      <w:r>
        <w:t>ste</w:t>
      </w:r>
      <w:r>
        <w:t>m</w:t>
      </w:r>
      <w:r>
        <w:t>melsene i fo</w:t>
      </w:r>
      <w:r>
        <w:t>r</w:t>
      </w:r>
      <w:r>
        <w:t>valtningsloven er de</w:t>
      </w:r>
      <w:r>
        <w:t>k</w:t>
      </w:r>
      <w:r>
        <w:t>kende fo</w:t>
      </w:r>
      <w:r>
        <w:t>r saker om overtredelsesgebyr etter forurensningsloven og at det dermed ikke er behov for å presisere noen ytterligere hensyn i forurensningsloven. Det kan eventuelt være aktuelt å fremheve noen særskilte hensyn i forskrift for bestemte typer overtredelser</w:t>
      </w:r>
      <w:r>
        <w:t>, og det vil vurderes når forskrift skal fas</w:t>
      </w:r>
      <w:r>
        <w:t>t</w:t>
      </w:r>
      <w:r>
        <w:t>settes.</w:t>
      </w:r>
    </w:p>
    <w:p w:rsidR="00000000" w:rsidRDefault="00E81532" w:rsidP="000762B7">
      <w:r>
        <w:t>Enkelte høringsinstanser har etterlyst nærmere beskrivelse av saksbehandlingspraksis og sa</w:t>
      </w:r>
      <w:r>
        <w:t>m</w:t>
      </w:r>
      <w:r>
        <w:t>or</w:t>
      </w:r>
      <w:r>
        <w:t>d</w:t>
      </w:r>
      <w:r>
        <w:t>ning mellom forvaltning og politi. Departementet understreker at et vedtak om overtrede</w:t>
      </w:r>
      <w:r>
        <w:t>l</w:t>
      </w:r>
      <w:r>
        <w:t xml:space="preserve">sesgebyr vil være et </w:t>
      </w:r>
      <w:r>
        <w:t>enkeltvedtak, og saksbehandling vil derfor følge regler for enkeltvedtak i forvaltningsloven. I ti</w:t>
      </w:r>
      <w:r>
        <w:t>l</w:t>
      </w:r>
      <w:r>
        <w:t>legg gjelder de generelle reglene om administrative sanksjoner fastsatt i forvaltningslovens kapittel IX, som vil utfylle bestemmelsene i produktkontrolloven</w:t>
      </w:r>
      <w:r>
        <w:t xml:space="preserve"> og fo</w:t>
      </w:r>
      <w:r>
        <w:t>r</w:t>
      </w:r>
      <w:r>
        <w:t>urensningsloven. Departementet ser ikke b</w:t>
      </w:r>
      <w:r>
        <w:t>e</w:t>
      </w:r>
      <w:r>
        <w:t>hov for å regulere det som følger av forvaltning</w:t>
      </w:r>
      <w:r>
        <w:t>s</w:t>
      </w:r>
      <w:r>
        <w:t>loven også i produktkontrolloven og forurensningsloven. Angående sa</w:t>
      </w:r>
      <w:r>
        <w:t>m</w:t>
      </w:r>
      <w:r>
        <w:t>ordning mellom fo</w:t>
      </w:r>
      <w:r>
        <w:t>r</w:t>
      </w:r>
      <w:r>
        <w:t>val</w:t>
      </w:r>
      <w:r>
        <w:t>t</w:t>
      </w:r>
      <w:r>
        <w:t>ning og politi viser departementet til forvaltningsloven § 47. De</w:t>
      </w:r>
      <w:r>
        <w:t>r</w:t>
      </w:r>
      <w:r>
        <w:t>so</w:t>
      </w:r>
      <w:r>
        <w:t>m et forval</w:t>
      </w:r>
      <w:r>
        <w:t>t</w:t>
      </w:r>
      <w:r>
        <w:t>ningsorgan har grunn til å anta at både straff og overtredelsesgebyr kan være aktuell rea</w:t>
      </w:r>
      <w:r>
        <w:t>k</w:t>
      </w:r>
      <w:r>
        <w:t>sjon mot samme fo</w:t>
      </w:r>
      <w:r>
        <w:t>r</w:t>
      </w:r>
      <w:r>
        <w:t>hold, må organet i samråd med påtalemyndigheten avklare hvordan forholdet skal forfølges. Påtal</w:t>
      </w:r>
      <w:r>
        <w:t>e</w:t>
      </w:r>
      <w:r>
        <w:t>myndigheten kan også beslutte at sak hen</w:t>
      </w:r>
      <w:r>
        <w:t>legges og heller overføres til forvaltningen for vurdering av administrativ sanksjon, jf. straffeprosessloven § 71 c).</w:t>
      </w:r>
    </w:p>
    <w:p w:rsidR="00000000" w:rsidRDefault="00E81532" w:rsidP="000762B7">
      <w:r>
        <w:t>Det har kommet høringsinnspill om å innføre et vesentlighetskrav for å trekke et tydeligere skille d</w:t>
      </w:r>
      <w:r>
        <w:t>i</w:t>
      </w:r>
      <w:r>
        <w:t>rekte i loven mellom når en bruker s</w:t>
      </w:r>
      <w:r>
        <w:t>traff og når en bruker overtredelsesgebyr. Et vesentli</w:t>
      </w:r>
      <w:r>
        <w:t>g</w:t>
      </w:r>
      <w:r>
        <w:t>hetsvilkår vil innebære en ytterligere terskel for å bruke straffesporet. Departementet mener det bedre overlates til praksis å trekke grensene for sporvalget. Departementet er enig med ØK</w:t>
      </w:r>
      <w:r>
        <w:t>O</w:t>
      </w:r>
      <w:r>
        <w:t>KRIM og Poli</w:t>
      </w:r>
      <w:r>
        <w:t>tidirektoratet i deres innspill om hvilke saker som egner seg best for å politia</w:t>
      </w:r>
      <w:r>
        <w:t>n</w:t>
      </w:r>
      <w:r>
        <w:t>meldes. Politianmeldelse er egnet ved brudd på flere ulike regelverk, når det er grunn til å anta at viktige beviser kun kan skaffes ved tvang</w:t>
      </w:r>
      <w:r>
        <w:t>s</w:t>
      </w:r>
      <w:r>
        <w:t>middelbruk og når sakens alvor t</w:t>
      </w:r>
      <w:r>
        <w:t>ilsier det. I praksis vil påtalemyndigheten uansett vurdere om en ove</w:t>
      </w:r>
      <w:r>
        <w:t>r</w:t>
      </w:r>
      <w:r>
        <w:t>tredelse er alvorlig nok til å bli prioritert i stra</w:t>
      </w:r>
      <w:r>
        <w:t>f</w:t>
      </w:r>
      <w:r>
        <w:t>fesporet av hensyn til ressursbruk og prioriteringer, selv om det ikke er et vesentlighetsvilkår i lovbeste</w:t>
      </w:r>
      <w:r>
        <w:t>m</w:t>
      </w:r>
      <w:r>
        <w:t>melsen. Departementet vur</w:t>
      </w:r>
      <w:r>
        <w:t>derer at det ikke er behov for et vesentlighetsvilkår i lo</w:t>
      </w:r>
      <w:r>
        <w:t>v</w:t>
      </w:r>
      <w:r>
        <w:t>bestemmelsen.</w:t>
      </w:r>
    </w:p>
    <w:p w:rsidR="00000000" w:rsidRDefault="00E81532" w:rsidP="000762B7">
      <w:r>
        <w:t>Siden overtredelsesgebyr utgjør straff etter EMK kan den private parten måtte regnes som siktet på et tidligere stadium enn ellers, og et mulig selvinkrimineringsvern kan inntre tidli</w:t>
      </w:r>
      <w:r>
        <w:t>gere. Justis- og bere</w:t>
      </w:r>
      <w:r>
        <w:t>d</w:t>
      </w:r>
      <w:r>
        <w:t>skapsdepartementet har påpekt at det av den grunn bør sies noe om konsekvensene for gjennomføring av tilsyn. Taushetsretten går foran partens plikt til å gi opplysninger og til å fremlegge dokumentasjon etter produktkontrolloven § 5 o</w:t>
      </w:r>
      <w:r>
        <w:t>g fo</w:t>
      </w:r>
      <w:r>
        <w:t>r</w:t>
      </w:r>
      <w:r>
        <w:t xml:space="preserve">urensningsloven §§ 48 og 50, men </w:t>
      </w:r>
      <w:r>
        <w:lastRenderedPageBreak/>
        <w:t xml:space="preserve">retten til å nekte å svare på spørsmål eller aktivt </w:t>
      </w:r>
      <w:proofErr w:type="gramStart"/>
      <w:r>
        <w:t>fremlegge</w:t>
      </w:r>
      <w:proofErr w:type="gramEnd"/>
      <w:r>
        <w:t xml:space="preserve"> dokumenter eller gjenstander gjelder ikke ubegrenset. Veiledningspli</w:t>
      </w:r>
      <w:r>
        <w:t>k</w:t>
      </w:r>
      <w:r>
        <w:t>ten skal ikke være til hinder for forvaltningens legitime behov for å kunne få opplysni</w:t>
      </w:r>
      <w:r>
        <w:t>nger i saker der det i utgang</w:t>
      </w:r>
      <w:r>
        <w:t>s</w:t>
      </w:r>
      <w:r>
        <w:t>punktet ikke er spørsmål om å ilegge san</w:t>
      </w:r>
      <w:r>
        <w:t>k</w:t>
      </w:r>
      <w:r>
        <w:t xml:space="preserve">sjoner. Et kjernespørsmål er derfor når noe går over fra å være en ordinær forvaltningssak til </w:t>
      </w:r>
      <w:proofErr w:type="gramStart"/>
      <w:r>
        <w:t>å</w:t>
      </w:r>
      <w:proofErr w:type="gramEnd"/>
      <w:r>
        <w:t xml:space="preserve"> (også) bli en sanksjonssak. Departementet viser til NOU 2003: 15 </w:t>
      </w:r>
      <w:r>
        <w:rPr>
          <w:rStyle w:val="kursiv"/>
          <w:sz w:val="21"/>
          <w:szCs w:val="21"/>
        </w:rPr>
        <w:t>Fra bot til bedring</w:t>
      </w:r>
      <w:r>
        <w:t xml:space="preserve"> pun</w:t>
      </w:r>
      <w:r>
        <w:t xml:space="preserve">kt 5.7.6 og 12.7.4, som behandler denne generelle problemstillingen som gjelder på tvers av saksområder. Det beror på en konkret helhetsvurdering i det enkelte tilsyn </w:t>
      </w:r>
      <w:r>
        <w:rPr>
          <w:rStyle w:val="kursiv"/>
          <w:spacing w:val="1"/>
          <w:sz w:val="21"/>
          <w:szCs w:val="21"/>
        </w:rPr>
        <w:t>om</w:t>
      </w:r>
      <w:r>
        <w:t xml:space="preserve"> selvinkrim</w:t>
      </w:r>
      <w:r>
        <w:t>i</w:t>
      </w:r>
      <w:r>
        <w:t xml:space="preserve">neringsvernet trer inn og eventuelt </w:t>
      </w:r>
      <w:r>
        <w:rPr>
          <w:rStyle w:val="kursiv"/>
          <w:spacing w:val="1"/>
          <w:sz w:val="21"/>
          <w:szCs w:val="21"/>
        </w:rPr>
        <w:t xml:space="preserve">når </w:t>
      </w:r>
      <w:r>
        <w:t>det trer inn. Utgangspunktet for ti</w:t>
      </w:r>
      <w:r>
        <w:t>lsyn og kontroll med produk</w:t>
      </w:r>
      <w:r>
        <w:t>t</w:t>
      </w:r>
      <w:r>
        <w:t>kontrolloven og forurensningsloven, er kontroll med lovlig virksomhet. Kontrollen har da ikke som fo</w:t>
      </w:r>
      <w:r>
        <w:t>r</w:t>
      </w:r>
      <w:r>
        <w:t>mål å innhente informasjon som vil føre til bruk av sanksjonsmidler. På produkt- og forurensnin</w:t>
      </w:r>
      <w:r>
        <w:t>g</w:t>
      </w:r>
      <w:r>
        <w:t>omr</w:t>
      </w:r>
      <w:r>
        <w:t>å</w:t>
      </w:r>
      <w:r>
        <w:t>det legger depa</w:t>
      </w:r>
      <w:r>
        <w:t>r</w:t>
      </w:r>
      <w:r>
        <w:t>tementet ti</w:t>
      </w:r>
      <w:r>
        <w:t>l grunn at ordinære tilsyn (revisjoner) normalt kan gjennomføres uten at or</w:t>
      </w:r>
      <w:r>
        <w:t>i</w:t>
      </w:r>
      <w:r>
        <w:t>entering</w:t>
      </w:r>
      <w:r>
        <w:t>s</w:t>
      </w:r>
      <w:r>
        <w:t>plikten om taushetsrett i forvaltningsloven § 48 inntrer. På det tidspunktet er det ikke naturlig å anse noen som siktet i en sak om straff. I noen tilfeller har man imidl</w:t>
      </w:r>
      <w:r>
        <w:t>ertid på forhånd inform</w:t>
      </w:r>
      <w:r>
        <w:t>a</w:t>
      </w:r>
      <w:r>
        <w:t>sjon/observasjoner om ulovlige forhold som skal dokumenteres og sanksjoneres. Da vil vernet mot selvinkriminering kunne tre inn på et tidlig tidspunkt under et tilsyn. Sel</w:t>
      </w:r>
      <w:r>
        <w:t>v</w:t>
      </w:r>
      <w:r>
        <w:t>inkrimineringsvern kan inntre underveis i et tilsyn, tilsyn</w:t>
      </w:r>
      <w:r>
        <w:t>s</w:t>
      </w:r>
      <w:r>
        <w:t>myndigheten må til enhver tid vurdere om vernet trer inn. Retningslinjer og veiledning i bruk av ove</w:t>
      </w:r>
      <w:r>
        <w:t>r</w:t>
      </w:r>
      <w:r>
        <w:t xml:space="preserve">tredelsesgebyr vil være egnet til </w:t>
      </w:r>
      <w:proofErr w:type="gramStart"/>
      <w:r>
        <w:t>å</w:t>
      </w:r>
      <w:proofErr w:type="gramEnd"/>
      <w:r>
        <w:t xml:space="preserve"> nærmere avklare og sikre ensartet praksis som ivaretar selvinkrim</w:t>
      </w:r>
      <w:r>
        <w:t>i</w:t>
      </w:r>
      <w:r>
        <w:t>neringsvernet og orient</w:t>
      </w:r>
      <w:r>
        <w:t>e</w:t>
      </w:r>
      <w:r>
        <w:t>ringsplikten i mi</w:t>
      </w:r>
      <w:r>
        <w:t>l</w:t>
      </w:r>
      <w:r>
        <w:t>jøforvaltni</w:t>
      </w:r>
      <w:r>
        <w:t xml:space="preserve">ngen. </w:t>
      </w:r>
    </w:p>
    <w:p w:rsidR="00000000" w:rsidRDefault="00E81532" w:rsidP="000762B7">
      <w:r>
        <w:t>Hvem som har myndighet til å ilegge overtredelsesgebyr etter forurensningsloven mener d</w:t>
      </w:r>
      <w:r>
        <w:t>e</w:t>
      </w:r>
      <w:r>
        <w:t>part</w:t>
      </w:r>
      <w:r>
        <w:t>e</w:t>
      </w:r>
      <w:r>
        <w:t>mentet a</w:t>
      </w:r>
      <w:r>
        <w:t>l</w:t>
      </w:r>
      <w:r>
        <w:t>lerede fremgår klart av bestemmelsen. Det vil være forurensningsmyndigheten, og dette begr</w:t>
      </w:r>
      <w:r>
        <w:t>e</w:t>
      </w:r>
      <w:r>
        <w:t xml:space="preserve">pet brukes gjennomgående i forurensningsloven. Hvem som </w:t>
      </w:r>
      <w:r>
        <w:t>er forurensningsmy</w:t>
      </w:r>
      <w:r>
        <w:t>n</w:t>
      </w:r>
      <w:r>
        <w:t>dighet fremgår av fo</w:t>
      </w:r>
      <w:r>
        <w:t>r</w:t>
      </w:r>
      <w:r>
        <w:t>urensningsloven § 81 og gjeldende delegeringer. Når det vedtas forskrifter, vil det kunne presiseres i forskriften hvem som er forurensningsmyndighet på det aktuelle o</w:t>
      </w:r>
      <w:r>
        <w:t>m</w:t>
      </w:r>
      <w:r>
        <w:t>rådet, hvis det er behov for å kla</w:t>
      </w:r>
      <w:r>
        <w:t>r</w:t>
      </w:r>
      <w:r>
        <w:t>gjøre på enke</w:t>
      </w:r>
      <w:r>
        <w:t>lte saksområder.</w:t>
      </w:r>
    </w:p>
    <w:p w:rsidR="00000000" w:rsidRDefault="00E81532" w:rsidP="000762B7">
      <w:r>
        <w:t>Departementet mener foreldelsesfristen på 2 år er passende, sett i lys av andre bestemmelser, fore</w:t>
      </w:r>
      <w:r>
        <w:t>l</w:t>
      </w:r>
      <w:r>
        <w:t>delsesfristen for alminnelig straffeansvar og også foreldelsesfristen for pengekrav.</w:t>
      </w:r>
    </w:p>
    <w:p w:rsidR="00000000" w:rsidRDefault="00E81532" w:rsidP="000762B7">
      <w:r>
        <w:t>Departementet har på bakgrunn av høringsinnspillene kun</w:t>
      </w:r>
      <w:r>
        <w:t xml:space="preserve"> gjennomført noen mindre justeringer i hjemlene. Departementet vurderer at forslaget er utformet på en måte som ivaretar de vesentligste he</w:t>
      </w:r>
      <w:r>
        <w:t>n</w:t>
      </w:r>
      <w:r>
        <w:t xml:space="preserve">syn ved bruk av administrative sanksjoner, og som er anbefalt av sanksjonsutvalget utredning i NOU 2003: 15 </w:t>
      </w:r>
      <w:r>
        <w:rPr>
          <w:rStyle w:val="kursiv"/>
          <w:sz w:val="21"/>
          <w:szCs w:val="21"/>
        </w:rPr>
        <w:t xml:space="preserve">Fra bot </w:t>
      </w:r>
      <w:r>
        <w:rPr>
          <w:rStyle w:val="kursiv"/>
          <w:sz w:val="21"/>
          <w:szCs w:val="21"/>
        </w:rPr>
        <w:t>til bedring</w:t>
      </w:r>
      <w:r>
        <w:t>.</w:t>
      </w:r>
    </w:p>
    <w:p w:rsidR="00000000" w:rsidRDefault="00E81532" w:rsidP="000762B7">
      <w:pPr>
        <w:pStyle w:val="Overskrift2"/>
      </w:pPr>
      <w:r>
        <w:t>Endring av naturmangfoldloven § 74 fra miljøerstatning til ove</w:t>
      </w:r>
      <w:r>
        <w:t>r</w:t>
      </w:r>
      <w:r>
        <w:t>tredelsesgebyr</w:t>
      </w:r>
    </w:p>
    <w:p w:rsidR="00000000" w:rsidRDefault="00E81532" w:rsidP="000762B7">
      <w:pPr>
        <w:pStyle w:val="Overskrift3"/>
      </w:pPr>
      <w:r>
        <w:t>Gjeldende rett</w:t>
      </w:r>
    </w:p>
    <w:p w:rsidR="00000000" w:rsidRDefault="00E81532" w:rsidP="000762B7">
      <w:r>
        <w:t>Naturmangfoldloven har til formål å ta vare på naturen med dens biologiske, landskapsmessige og geol</w:t>
      </w:r>
      <w:r>
        <w:t>o</w:t>
      </w:r>
      <w:r>
        <w:t xml:space="preserve">giske mangfold og økologiske </w:t>
      </w:r>
      <w:r>
        <w:t>prosesser, ved bærekraftig bruk og vern, slik at den gir grunnlag for me</w:t>
      </w:r>
      <w:r>
        <w:t>n</w:t>
      </w:r>
      <w:r>
        <w:t xml:space="preserve">neskenes virksomhet, kultur, helse og trivsel, nå og i fremtiden, også som grunnlag for samisk kultur, jf. naturmangfoldloven § 1. </w:t>
      </w:r>
    </w:p>
    <w:p w:rsidR="00000000" w:rsidRDefault="00E81532" w:rsidP="000762B7">
      <w:r>
        <w:t xml:space="preserve">Etterlevelse av naturmangfoldloven er viktig for å </w:t>
      </w:r>
      <w:r>
        <w:t>nå målet om å ta vare på naturmangfold. I den sa</w:t>
      </w:r>
      <w:r>
        <w:t>m</w:t>
      </w:r>
      <w:r>
        <w:t xml:space="preserve">menheng er veiledning, informasjon og kommunikasjon viktig for å oppnå forståelse for de </w:t>
      </w:r>
      <w:r>
        <w:lastRenderedPageBreak/>
        <w:t xml:space="preserve">verdiene loven skal ivareta. Der slike virkemidler ikke er tilstrekkelig, har naturmangfoldloven regler om håndheving </w:t>
      </w:r>
      <w:r>
        <w:t>og sanksjoner (kapittel IX). Dette er bestemmelser om endring og o</w:t>
      </w:r>
      <w:r>
        <w:t>m</w:t>
      </w:r>
      <w:r>
        <w:t>gjøring av tillatelser (§ 67), retting, stans og avbøtende tiltak (§§ 69 og 70), direkte gjennomf</w:t>
      </w:r>
      <w:r>
        <w:t>ø</w:t>
      </w:r>
      <w:r>
        <w:t>ring (§ 71), administrativt beslag (§ 72 a), administrativ inndragning (§ 72 b), tvangsmulk</w:t>
      </w:r>
      <w:r>
        <w:t xml:space="preserve">t (§ 73), miljøerstatning (§ 74) og straff (§ 75). </w:t>
      </w:r>
    </w:p>
    <w:p w:rsidR="00000000" w:rsidRDefault="00E81532" w:rsidP="000762B7">
      <w:r>
        <w:t xml:space="preserve">Naturmangfoldloven § 74 om miljøerstatning lyder i dag: </w:t>
      </w:r>
    </w:p>
    <w:p w:rsidR="00000000" w:rsidRDefault="00E81532" w:rsidP="000762B7">
      <w:pPr>
        <w:pStyle w:val="blokksit"/>
        <w:rPr>
          <w:rStyle w:val="kursiv"/>
          <w:sz w:val="21"/>
          <w:szCs w:val="21"/>
        </w:rPr>
      </w:pPr>
      <w:r>
        <w:t xml:space="preserve">«Den som overtrer bestemmelser i eller i medhold av denne loven eller bestemmelser som tjener til gjennomføring av mål og prinsipper i loven, skal </w:t>
      </w:r>
      <w:r>
        <w:t>etter pålegg fra myndigheten etter loven b</w:t>
      </w:r>
      <w:r>
        <w:t>e</w:t>
      </w:r>
      <w:r>
        <w:t>tale mi</w:t>
      </w:r>
      <w:r>
        <w:t>l</w:t>
      </w:r>
      <w:r>
        <w:t xml:space="preserve">jøerstatning til staten. </w:t>
      </w:r>
    </w:p>
    <w:p w:rsidR="00000000" w:rsidRDefault="00E81532" w:rsidP="000762B7">
      <w:pPr>
        <w:pStyle w:val="blokksit"/>
        <w:rPr>
          <w:rStyle w:val="kursiv"/>
          <w:sz w:val="21"/>
          <w:szCs w:val="21"/>
        </w:rPr>
      </w:pPr>
      <w:r>
        <w:t>Avgjørelse av om pålegg skal gis og fastsetting av miljøerstatningens størrelse, skjer etter en samlet vurdering av de aktuelle miljøverdienes betydning, miljøskadens eventuelle o</w:t>
      </w:r>
      <w:r>
        <w:t>mfang og varighet, san</w:t>
      </w:r>
      <w:r>
        <w:t>k</w:t>
      </w:r>
      <w:r>
        <w:t>sjoner pålagt ove</w:t>
      </w:r>
      <w:r>
        <w:t>r</w:t>
      </w:r>
      <w:r>
        <w:t>trederen og omstendighetene for øvrig. Kongen kan gi forskrift om forenklet pålegg etter fastsatte satser for b</w:t>
      </w:r>
      <w:r>
        <w:t>e</w:t>
      </w:r>
      <w:r>
        <w:t xml:space="preserve">stemte overtredelser. </w:t>
      </w:r>
    </w:p>
    <w:p w:rsidR="00000000" w:rsidRDefault="00E81532" w:rsidP="000762B7">
      <w:pPr>
        <w:pStyle w:val="blokksit"/>
        <w:rPr>
          <w:rStyle w:val="kursiv"/>
          <w:sz w:val="21"/>
          <w:szCs w:val="21"/>
        </w:rPr>
      </w:pPr>
      <w:r>
        <w:t xml:space="preserve">Pålegg om miljøerstatning regnes som et enkeltvedtak etter forvaltningsloven. </w:t>
      </w:r>
    </w:p>
    <w:p w:rsidR="00000000" w:rsidRDefault="00E81532" w:rsidP="000762B7">
      <w:pPr>
        <w:pStyle w:val="blokksit"/>
        <w:rPr>
          <w:rStyle w:val="kursiv"/>
          <w:sz w:val="21"/>
          <w:szCs w:val="21"/>
        </w:rPr>
      </w:pPr>
      <w:r>
        <w:t>P</w:t>
      </w:r>
      <w:r>
        <w:t>ålegg om miljøerstatning er tvangsgrunnlag for utlegg. Erstatningskravet kan også tas opp i straff</w:t>
      </w:r>
      <w:r>
        <w:t>e</w:t>
      </w:r>
      <w:r>
        <w:t>sak. Blir e</w:t>
      </w:r>
      <w:r>
        <w:t>r</w:t>
      </w:r>
      <w:r>
        <w:t>statningskravet brakt inn for retten i straffesak, sivilt søksmål eller ved klage over utleggsforre</w:t>
      </w:r>
      <w:r>
        <w:t>t</w:t>
      </w:r>
      <w:r>
        <w:t>ning, kan retten prøve erstatningskravet full</w:t>
      </w:r>
      <w:r>
        <w:t xml:space="preserve">t ut. Underretning om pålegget skal gi opplysning om reglene i leddet her. </w:t>
      </w:r>
    </w:p>
    <w:p w:rsidR="00000000" w:rsidRDefault="00E81532" w:rsidP="000762B7">
      <w:pPr>
        <w:pStyle w:val="blokksit"/>
        <w:rPr>
          <w:rStyle w:val="kursiv"/>
          <w:sz w:val="21"/>
          <w:szCs w:val="21"/>
        </w:rPr>
      </w:pPr>
      <w:r>
        <w:t>Departementet kan frafalle kravet på miljøerstatning. Avgjørelsen regnes ikke som enkeltvedtak e</w:t>
      </w:r>
      <w:r>
        <w:t>t</w:t>
      </w:r>
      <w:r>
        <w:t>ter forval</w:t>
      </w:r>
      <w:r>
        <w:t>t</w:t>
      </w:r>
      <w:r>
        <w:t xml:space="preserve">ningsloven. </w:t>
      </w:r>
    </w:p>
    <w:p w:rsidR="00000000" w:rsidRDefault="00E81532" w:rsidP="000762B7">
      <w:pPr>
        <w:pStyle w:val="blokksit"/>
        <w:rPr>
          <w:rStyle w:val="kursiv"/>
          <w:sz w:val="21"/>
          <w:szCs w:val="21"/>
        </w:rPr>
      </w:pPr>
      <w:r>
        <w:t>Miljøe</w:t>
      </w:r>
      <w:r>
        <w:t>rstatning etter denne loven ilegges ikke hvis det ilegges erstatning etter genteknologiloven eller fo</w:t>
      </w:r>
      <w:r>
        <w:t>r</w:t>
      </w:r>
      <w:r>
        <w:t xml:space="preserve">urensningsloven. </w:t>
      </w:r>
    </w:p>
    <w:p w:rsidR="00000000" w:rsidRDefault="00E81532" w:rsidP="000762B7">
      <w:pPr>
        <w:pStyle w:val="blokksit"/>
        <w:rPr>
          <w:rStyle w:val="kursiv"/>
          <w:sz w:val="21"/>
          <w:szCs w:val="21"/>
        </w:rPr>
      </w:pPr>
      <w:r>
        <w:t>At noen er ilagt miljøerstatning, er ikke til hinder for ileggelse av sanksjoner som f.eks. overtr</w:t>
      </w:r>
      <w:r>
        <w:t>e</w:t>
      </w:r>
      <w:r>
        <w:t xml:space="preserve">delsesgebyr.» </w:t>
      </w:r>
    </w:p>
    <w:p w:rsidR="00000000" w:rsidRDefault="00E81532" w:rsidP="000762B7">
      <w:r>
        <w:t>Naturmangfoldloven § 7</w:t>
      </w:r>
      <w:r>
        <w:t>4 gir hjemmel for pålegg om miljøerstatning ved overtredelse av b</w:t>
      </w:r>
      <w:r>
        <w:t>e</w:t>
      </w:r>
      <w:r>
        <w:t>stemmelser i eller i medhold av naturmangfoldloven eller bestemmelser som tjener til gje</w:t>
      </w:r>
      <w:r>
        <w:t>n</w:t>
      </w:r>
      <w:r>
        <w:t>nomføring av mål og pri</w:t>
      </w:r>
      <w:r>
        <w:t>n</w:t>
      </w:r>
      <w:r>
        <w:t xml:space="preserve">sipper i loven. </w:t>
      </w:r>
    </w:p>
    <w:p w:rsidR="00000000" w:rsidRDefault="00E81532" w:rsidP="000762B7">
      <w:r>
        <w:t>Det er ikke krav til utvist skyld i form av uaktsomhet eller</w:t>
      </w:r>
      <w:r>
        <w:t xml:space="preserve"> forsett. Det er heller ikke krav om økon</w:t>
      </w:r>
      <w:r>
        <w:t>o</w:t>
      </w:r>
      <w:r>
        <w:t xml:space="preserve">misk tap. Miljøerstatning kan videre pålegges selv om overtredelsen ikke har voldt noen økologisk skade. </w:t>
      </w:r>
    </w:p>
    <w:p w:rsidR="00000000" w:rsidRDefault="00E81532" w:rsidP="000762B7">
      <w:r>
        <w:t>Miljøerstatning kan pålegges både enkeltpersoner og foretak. Der overtredelsen er begått av en a</w:t>
      </w:r>
      <w:r>
        <w:t>r</w:t>
      </w:r>
      <w:r>
        <w:t xml:space="preserve">beidstaker </w:t>
      </w:r>
      <w:r>
        <w:t>innenfor rammen av tjenesten, må pålegget rettes mot arbeidsgiver. Ved op</w:t>
      </w:r>
      <w:r>
        <w:t>p</w:t>
      </w:r>
      <w:r>
        <w:t xml:space="preserve">dragsforhold kan pålegg rettes både mot oppdragstaker og oppdragsgiver. </w:t>
      </w:r>
    </w:p>
    <w:p w:rsidR="00000000" w:rsidRDefault="00E81532" w:rsidP="000762B7">
      <w:r>
        <w:t>Avgjørelsen av om pålegg skal gis og fastsetting av erstatningens størrelse skjer etter en samlet vu</w:t>
      </w:r>
      <w:r>
        <w:t>r</w:t>
      </w:r>
      <w:r>
        <w:t>dering a</w:t>
      </w:r>
      <w:r>
        <w:t>v de aktuelle miljøverdienes betydning, miljøskadens eventuelle omfang og varighet, sanksjoner pålagt ove</w:t>
      </w:r>
      <w:r>
        <w:t>r</w:t>
      </w:r>
      <w:r>
        <w:t xml:space="preserve">trederen og omstendighetene for øvrig. Ved denne vurdering vil også graden av skyld være relevant. </w:t>
      </w:r>
    </w:p>
    <w:p w:rsidR="00000000" w:rsidRDefault="00E81532" w:rsidP="000762B7">
      <w:r>
        <w:t>Det følger av § 74 annet ledd at Kongen kan gi for</w:t>
      </w:r>
      <w:r>
        <w:t>skrift om forenklet pålegg etter fastsatte satser for b</w:t>
      </w:r>
      <w:r>
        <w:t>e</w:t>
      </w:r>
      <w:r>
        <w:t>stemte ove</w:t>
      </w:r>
      <w:r>
        <w:t>r</w:t>
      </w:r>
      <w:r>
        <w:t>tredelser. Slik forskrift er ikke gitt.</w:t>
      </w:r>
    </w:p>
    <w:p w:rsidR="00000000" w:rsidRDefault="00E81532" w:rsidP="000762B7">
      <w:r>
        <w:t>Pålegg om miljøerstatning gis av «myndigheten etter loven». I henhold til FOR-2015-10-09-1178 ligger denne myndigheten hos Klima- og miljødepartement</w:t>
      </w:r>
      <w:r>
        <w:t>et. Klima- og miljødepartementet har delegert my</w:t>
      </w:r>
      <w:r>
        <w:t>n</w:t>
      </w:r>
      <w:r>
        <w:t>digheten til Miljødirektoratet.</w:t>
      </w:r>
    </w:p>
    <w:p w:rsidR="00000000" w:rsidRDefault="00E81532" w:rsidP="000762B7">
      <w:pPr>
        <w:pStyle w:val="Overskrift3"/>
      </w:pPr>
      <w:r>
        <w:lastRenderedPageBreak/>
        <w:t>Høringsforslaget</w:t>
      </w:r>
    </w:p>
    <w:p w:rsidR="00000000" w:rsidRDefault="00E81532" w:rsidP="000762B7">
      <w:pPr>
        <w:pStyle w:val="avsnitt-undertittel"/>
      </w:pPr>
      <w:r>
        <w:t xml:space="preserve">Det materielle innholdet i bestemmelsen </w:t>
      </w:r>
    </w:p>
    <w:p w:rsidR="00000000" w:rsidRDefault="00E81532" w:rsidP="000762B7">
      <w:r>
        <w:t>Miljøerstatning kan ilegges ved overtredelse av bestemmelser i eller i medhold av naturman</w:t>
      </w:r>
      <w:r>
        <w:t>g</w:t>
      </w:r>
      <w:r>
        <w:t>foldloven og v</w:t>
      </w:r>
      <w:r>
        <w:t>ed overtredelse av bestemmelser «som tjener til gjennomføring av mål eller prinsipper» i naturman</w:t>
      </w:r>
      <w:r>
        <w:t>g</w:t>
      </w:r>
      <w:r>
        <w:t>foldloven. Det kan være uklart hvilke bestemmelser i andre lover det siktes til og angivelsen kan også være problematisk i forhold til kravet om presis angive</w:t>
      </w:r>
      <w:r>
        <w:t>lse av vilkårene for straff etter EMK artikkel 7. Depa</w:t>
      </w:r>
      <w:r>
        <w:t>r</w:t>
      </w:r>
      <w:r>
        <w:t>tementet foreslår derfor at hjemmelen for ove</w:t>
      </w:r>
      <w:r>
        <w:t>r</w:t>
      </w:r>
      <w:r>
        <w:t>tredelsesgebyr begrenses til å gjelde overtredelser av b</w:t>
      </w:r>
      <w:r>
        <w:t>e</w:t>
      </w:r>
      <w:r>
        <w:t>stemmelser i eller i medhold av natu</w:t>
      </w:r>
      <w:r>
        <w:t>r</w:t>
      </w:r>
      <w:r>
        <w:t xml:space="preserve">mangfoldloven. </w:t>
      </w:r>
    </w:p>
    <w:p w:rsidR="00000000" w:rsidRDefault="00E81532" w:rsidP="000762B7">
      <w:r>
        <w:t>For øvrig foreslår departementet å videreføre</w:t>
      </w:r>
      <w:r>
        <w:t xml:space="preserve"> den generelle angivelsen av «overtredelse av b</w:t>
      </w:r>
      <w:r>
        <w:t>e</w:t>
      </w:r>
      <w:r>
        <w:t>ste</w:t>
      </w:r>
      <w:r>
        <w:t>m</w:t>
      </w:r>
      <w:r>
        <w:t xml:space="preserve">melser i eller i medhold» av naturmangfoldloven. Det anses ikke hensiktsmessig </w:t>
      </w:r>
      <w:proofErr w:type="gramStart"/>
      <w:r>
        <w:t>å</w:t>
      </w:r>
      <w:proofErr w:type="gramEnd"/>
      <w:r>
        <w:t xml:space="preserve"> formelt avgrense b</w:t>
      </w:r>
      <w:r>
        <w:t>e</w:t>
      </w:r>
      <w:r>
        <w:t xml:space="preserve">stemmelsen til nærmere spesifiserte typer overtredelser. </w:t>
      </w:r>
    </w:p>
    <w:p w:rsidR="00000000" w:rsidRDefault="00E81532" w:rsidP="000762B7">
      <w:r>
        <w:t>Basert på de retningslinjer som har ligget til</w:t>
      </w:r>
      <w:r>
        <w:t xml:space="preserve"> grunn for bruk av bestemmelsen om miljøerstatning, er det likevel klart at bruk av bestemmelsen er mest aktuelt der man ikke har andre reaksjon</w:t>
      </w:r>
      <w:r>
        <w:t>s</w:t>
      </w:r>
      <w:r>
        <w:t>muligheter eller der andre reaksjoner ikke anses hensiktsmessige. De mest alvorlige overtr</w:t>
      </w:r>
      <w:r>
        <w:t>e</w:t>
      </w:r>
      <w:r>
        <w:t>delsene skal fortsat</w:t>
      </w:r>
      <w:r>
        <w:t>t følges opp i straff</w:t>
      </w:r>
      <w:r>
        <w:t>e</w:t>
      </w:r>
      <w:r>
        <w:t>sporet, men overtredelsesgebyr kan være aktuelt for eksempel ved mindre alvorlige tilfeller av ulovlig uttak av vilt eller planter og sopp eller utsetting av fremmede organismer samt ved mindre ove</w:t>
      </w:r>
      <w:r>
        <w:t>r</w:t>
      </w:r>
      <w:r>
        <w:t>tredelser i verneo</w:t>
      </w:r>
      <w:r>
        <w:t>m</w:t>
      </w:r>
      <w:r>
        <w:t>råder.</w:t>
      </w:r>
    </w:p>
    <w:p w:rsidR="00000000" w:rsidRDefault="00E81532" w:rsidP="000762B7">
      <w:r>
        <w:t>Overtredel</w:t>
      </w:r>
      <w:r>
        <w:t>se av aktsomhetsplikten i naturmangfoldloven §§ 6, 28 første ledd og 53 første ledd er ikke straffbart etter naturmangfoldloven § 75. Slike overtredelser kan imidlertid være alvorlige og få store følger for naturmangfold. Bestemmelsen om miljøerstatning ha</w:t>
      </w:r>
      <w:r>
        <w:t>r derfor hatt særlig betydning ved ove</w:t>
      </w:r>
      <w:r>
        <w:t>r</w:t>
      </w:r>
      <w:r>
        <w:t>tredelser av disse bestemmelsene. De to vedtakene som er truffet om milj</w:t>
      </w:r>
      <w:r>
        <w:t>ø</w:t>
      </w:r>
      <w:r>
        <w:t>erstatning, gjaldt overtredelse av aktsomhet</w:t>
      </w:r>
      <w:r>
        <w:t>s</w:t>
      </w:r>
      <w:r>
        <w:t>plikten i naturmangfoldloven § 6, jf. § 53. B</w:t>
      </w:r>
      <w:r>
        <w:t>e</w:t>
      </w:r>
      <w:r>
        <w:t xml:space="preserve">stemmelsen om overtredelsesgebyr skal få tilsvarende </w:t>
      </w:r>
      <w:r>
        <w:t>betydning i slike saker.</w:t>
      </w:r>
    </w:p>
    <w:p w:rsidR="00000000" w:rsidRDefault="00E81532" w:rsidP="000762B7">
      <w:pPr>
        <w:pStyle w:val="avsnitt-undertittel"/>
      </w:pPr>
      <w:r>
        <w:t>Ansvarssubjekt og skyldkrav</w:t>
      </w:r>
    </w:p>
    <w:p w:rsidR="00000000" w:rsidRDefault="00E81532" w:rsidP="000762B7">
      <w:r>
        <w:t>Miljøerstatning kan pålegges både enkeltpersoner og foretak. Departementet foreslår å vider</w:t>
      </w:r>
      <w:r>
        <w:t>e</w:t>
      </w:r>
      <w:r>
        <w:t>føre dette i bestemmelsen om overtredelsesgebyr. Foretak skal kunne ilegges overtredelsesgebyr hvis overtr</w:t>
      </w:r>
      <w:r>
        <w:t>e</w:t>
      </w:r>
      <w:r>
        <w:t>de</w:t>
      </w:r>
      <w:r>
        <w:t>l</w:t>
      </w:r>
      <w:r>
        <w:t>s</w:t>
      </w:r>
      <w:r>
        <w:t>en er begått av noen som har handlet på vegne av foretaket. Departementet f</w:t>
      </w:r>
      <w:r>
        <w:t>o</w:t>
      </w:r>
      <w:r>
        <w:t>reslår tilsvarende fo</w:t>
      </w:r>
      <w:r>
        <w:t>r</w:t>
      </w:r>
      <w:r>
        <w:t xml:space="preserve">mulering i forslaget til endring av naturmangfoldloven § 74 som i forslaget til forurensningsloven og produktkontrolloven. </w:t>
      </w:r>
    </w:p>
    <w:p w:rsidR="00000000" w:rsidRDefault="00E81532" w:rsidP="000762B7">
      <w:r>
        <w:t>Etter bestemmelsen om miljøerstatn</w:t>
      </w:r>
      <w:r>
        <w:t>ing gjelder det ikke noe skyldkrav, verken for foretak eller for f</w:t>
      </w:r>
      <w:r>
        <w:t>y</w:t>
      </w:r>
      <w:r>
        <w:t>siske personer. I forarbeidene til nytt kapittel IX i forvaltningsloven anbefales det at skyldkravet skal være fo</w:t>
      </w:r>
      <w:r>
        <w:t>r</w:t>
      </w:r>
      <w:r>
        <w:t>skjellig for fysiske personer og for foretak: Fysiske personer kan etter fo</w:t>
      </w:r>
      <w:r>
        <w:t>rslaget bare ilegges overtr</w:t>
      </w:r>
      <w:r>
        <w:t>e</w:t>
      </w:r>
      <w:r>
        <w:t>delse</w:t>
      </w:r>
      <w:r>
        <w:t>s</w:t>
      </w:r>
      <w:r>
        <w:t xml:space="preserve">gebyr hvis det foreligger forsett eller uaktsomhet. Foretak kan derimot ilegges overtredelsesgebyr selv om </w:t>
      </w:r>
      <w:proofErr w:type="gramStart"/>
      <w:r>
        <w:t>ingen</w:t>
      </w:r>
      <w:proofErr w:type="gramEnd"/>
      <w:r>
        <w:t xml:space="preserve"> enkeltperson har utvist skyld, men ikke hvis overtredelsen må anses som et hendelig uhell eller en følge av f</w:t>
      </w:r>
      <w:r>
        <w:t xml:space="preserve">orce majeure. </w:t>
      </w:r>
    </w:p>
    <w:p w:rsidR="00000000" w:rsidRDefault="00E81532" w:rsidP="000762B7">
      <w:r>
        <w:t>Tatt i betraktning at graden av skyld har vært et vesentlig moment ved vurdering av pålegg om milj</w:t>
      </w:r>
      <w:r>
        <w:t>ø</w:t>
      </w:r>
      <w:r>
        <w:t>erstatning overfor fysiske personer, vil det i realiteten ikke medføre store endringer å følge denne anbef</w:t>
      </w:r>
      <w:r>
        <w:t>a</w:t>
      </w:r>
      <w:r>
        <w:t>lingen i en bestemmelse om overtred</w:t>
      </w:r>
      <w:r>
        <w:t>elsesgebyr i naturmangfoldloven. Depart</w:t>
      </w:r>
      <w:r>
        <w:t>e</w:t>
      </w:r>
      <w:r>
        <w:lastRenderedPageBreak/>
        <w:t>mentet foreslår dermed samme formul</w:t>
      </w:r>
      <w:r>
        <w:t>e</w:t>
      </w:r>
      <w:r>
        <w:t xml:space="preserve">ring som i forslag til ny § 80 i forurensningsloven og ny § 12 a i produktkontrolloven. </w:t>
      </w:r>
    </w:p>
    <w:p w:rsidR="00000000" w:rsidRDefault="00E81532" w:rsidP="000762B7">
      <w:r>
        <w:t>Forvaltningsloven § 44 tredje ledd angir at det ved individuell utmåling av overtredelsesge</w:t>
      </w:r>
      <w:r>
        <w:t>byr mot f</w:t>
      </w:r>
      <w:r>
        <w:t>y</w:t>
      </w:r>
      <w:r>
        <w:t>siske personer blant annet kan legges vekt på overtredelsens omfang og virkninger, fo</w:t>
      </w:r>
      <w:r>
        <w:t>r</w:t>
      </w:r>
      <w:r>
        <w:t>deler som er eller kunne vært oppnådd ved lovbruddet, samt overtrederens skyld og økonomiske evne. Departementet for</w:t>
      </w:r>
      <w:r>
        <w:t>e</w:t>
      </w:r>
      <w:r>
        <w:t xml:space="preserve">slår at de samme momentene blir avgjørende </w:t>
      </w:r>
      <w:r>
        <w:t xml:space="preserve">for vurderingen av om overtredelsesgebyr skal ilegges, slik tilfellet er for foretak i § 46 annet ledd. </w:t>
      </w:r>
    </w:p>
    <w:p w:rsidR="00000000" w:rsidRDefault="00E81532" w:rsidP="000762B7">
      <w:r>
        <w:t>Etter departementets oppfatning vil momentene i forvaltningsloven §§ 44 tredje ledd og 46 annet ledd være dekkende for vurderingen av om overtredelsesg</w:t>
      </w:r>
      <w:r>
        <w:t>ebyr etter naturmangfoldloven bør ilegges. Gje</w:t>
      </w:r>
      <w:r>
        <w:t>l</w:t>
      </w:r>
      <w:r>
        <w:t>dende § 74 annet ledd første punktum foreslås derfor ikke videreført. Det bemerkes at vurdering av de aktuelle milj</w:t>
      </w:r>
      <w:r>
        <w:t>ø</w:t>
      </w:r>
      <w:r>
        <w:t>verdienes betydning og miljøskadens eventuelle omfang og varighet, anses dekket av «ove</w:t>
      </w:r>
      <w:r>
        <w:t>r</w:t>
      </w:r>
      <w:r>
        <w:t>trede</w:t>
      </w:r>
      <w:r>
        <w:t>lsens omfang og virkninger» i § 44 tredje ledd og av «overtredelsens grovhet» i § 46 annet ledd.</w:t>
      </w:r>
    </w:p>
    <w:p w:rsidR="00000000" w:rsidRDefault="00E81532" w:rsidP="000762B7">
      <w:pPr>
        <w:pStyle w:val="avsnitt-undertittel"/>
      </w:pPr>
      <w:r>
        <w:t>Valget mellom ingen sanksjon, overtredelsesgebyr og straff</w:t>
      </w:r>
    </w:p>
    <w:p w:rsidR="00000000" w:rsidRDefault="00E81532" w:rsidP="000762B7">
      <w:r>
        <w:t>Overtredelser av naturmangfoldloven som innebærer omfattende brudd på</w:t>
      </w:r>
      <w:r>
        <w:t xml:space="preserve"> loven, forskrifter eller tillate</w:t>
      </w:r>
      <w:r>
        <w:t>l</w:t>
      </w:r>
      <w:r>
        <w:t>ser, vil være så alvorlige at de bør følges opp med politianmeldelse. Også ved overtredelser som har store konsekvenser for naturmangfoldet eller risiko for dette, eller dersom det foreligger sterk grad av utvist skyld ell</w:t>
      </w:r>
      <w:r>
        <w:t xml:space="preserve">er sterke allmennpreventive hensyn, er det naturlig at saken følges opp i straffesporet. </w:t>
      </w:r>
    </w:p>
    <w:p w:rsidR="00000000" w:rsidRDefault="00E81532" w:rsidP="000762B7">
      <w:r>
        <w:t>Det følger av gjeldende § 74 syvende ledd at ileggelse av miljøerstatning ikke er til hinder for andre san</w:t>
      </w:r>
      <w:r>
        <w:t>k</w:t>
      </w:r>
      <w:r>
        <w:t>sjoner. Når det gjelder andre sanksjoner som anses som stra</w:t>
      </w:r>
      <w:r>
        <w:t>ff i EMKs forstand, bygger dette på en forutsetning om at miljøerstatning ikke er straff etter EMK. Dette har vært noe usikkert i og med de en</w:t>
      </w:r>
      <w:r>
        <w:t>d</w:t>
      </w:r>
      <w:r>
        <w:t>ringene som ble gjort i Biomangfoldutvalgets forslag. Når bestemmelsen nå gjøres om til en bestemmelse om overtre</w:t>
      </w:r>
      <w:r>
        <w:t>delse</w:t>
      </w:r>
      <w:r>
        <w:t>s</w:t>
      </w:r>
      <w:r>
        <w:t>gebyr, foreslår departementet å ta bort syvende ledd.</w:t>
      </w:r>
    </w:p>
    <w:p w:rsidR="00000000" w:rsidRDefault="00E81532" w:rsidP="000762B7">
      <w:pPr>
        <w:pStyle w:val="Overskrift3"/>
      </w:pPr>
      <w:r>
        <w:t>Høringsinstansenes syn</w:t>
      </w:r>
    </w:p>
    <w:p w:rsidR="00000000" w:rsidRDefault="00E81532" w:rsidP="000762B7">
      <w:pPr>
        <w:rPr>
          <w:rStyle w:val="kursiv"/>
          <w:sz w:val="21"/>
          <w:szCs w:val="21"/>
        </w:rPr>
      </w:pPr>
      <w:r>
        <w:rPr>
          <w:rStyle w:val="kursiv"/>
          <w:sz w:val="21"/>
          <w:szCs w:val="21"/>
        </w:rPr>
        <w:t xml:space="preserve">Justis- og beredskapsdepartementet </w:t>
      </w:r>
      <w:r>
        <w:t>uttaler at formuleringen i naturmangfoldloven § 74 er svært generell og at loven i utgangspunktet ikke bør utformes slik.</w:t>
      </w:r>
    </w:p>
    <w:p w:rsidR="00000000" w:rsidRDefault="00E81532" w:rsidP="000762B7">
      <w:pPr>
        <w:rPr>
          <w:rStyle w:val="kursiv"/>
          <w:sz w:val="21"/>
          <w:szCs w:val="21"/>
        </w:rPr>
      </w:pPr>
      <w:r>
        <w:rPr>
          <w:rStyle w:val="kursiv"/>
          <w:spacing w:val="-2"/>
          <w:sz w:val="21"/>
          <w:szCs w:val="21"/>
        </w:rPr>
        <w:t xml:space="preserve">Samferdselsdepartementet </w:t>
      </w:r>
      <w:r>
        <w:t>mener man bør vurdere å beholde hjemmelen for miljøerstatning selv om man innfører hjemmel for overtredelsesgebyr, og viser til at bestemmelsene har ulikt formål. Formålet med mi</w:t>
      </w:r>
      <w:r>
        <w:t>l</w:t>
      </w:r>
      <w:r>
        <w:t xml:space="preserve">jøskadeserstatning er å sikre gjenopprettende eller </w:t>
      </w:r>
      <w:r>
        <w:t>avbøtende tiltak med den hensikt å tilbakeføre miljøet til den kvalitet og tilstand det hadde før forurensningen, eller å gjennomføre kompenserende tiltak. Tilsvare</w:t>
      </w:r>
      <w:r>
        <w:t>n</w:t>
      </w:r>
      <w:r>
        <w:t>de bestemmelser om miljøskadese</w:t>
      </w:r>
      <w:r>
        <w:t>r</w:t>
      </w:r>
      <w:r>
        <w:t>statning finnes i svalbardmiljøloven. Også internasjonalt e</w:t>
      </w:r>
      <w:r>
        <w:t>r det en te</w:t>
      </w:r>
      <w:r>
        <w:t>n</w:t>
      </w:r>
      <w:r>
        <w:t xml:space="preserve">dens til </w:t>
      </w:r>
      <w:proofErr w:type="gramStart"/>
      <w:r>
        <w:t>å</w:t>
      </w:r>
      <w:proofErr w:type="gramEnd"/>
      <w:r>
        <w:t xml:space="preserve"> i økende grad vedta regelverk som har som formål å gjenopprette naturen etter miljøskade. </w:t>
      </w:r>
    </w:p>
    <w:p w:rsidR="00000000" w:rsidRDefault="00E81532" w:rsidP="000762B7">
      <w:pPr>
        <w:rPr>
          <w:rStyle w:val="kursiv"/>
          <w:sz w:val="21"/>
          <w:szCs w:val="21"/>
        </w:rPr>
      </w:pPr>
      <w:r>
        <w:rPr>
          <w:rStyle w:val="kursiv"/>
          <w:sz w:val="21"/>
          <w:szCs w:val="21"/>
        </w:rPr>
        <w:t>Kystverket</w:t>
      </w:r>
      <w:r>
        <w:t xml:space="preserve"> er skeptisk til å erstatte bestemmelsen om miljøerstatning med bestemmelser om overtr</w:t>
      </w:r>
      <w:r>
        <w:t>e</w:t>
      </w:r>
      <w:r>
        <w:t>delse</w:t>
      </w:r>
      <w:r>
        <w:t>s</w:t>
      </w:r>
      <w:r>
        <w:t>gebyr. Kystverket bemerker at et overor</w:t>
      </w:r>
      <w:r>
        <w:t>dnet prinsipp i miljøretten er «Polluter Pays Principle», og at hjemler til å kreve erstatning for ren miljøskade kan være en viktig del av et samlet regelverksko</w:t>
      </w:r>
      <w:r>
        <w:t>m</w:t>
      </w:r>
      <w:r>
        <w:t xml:space="preserve">pleks for å sikre erstatning for den samlede miljøskaden som et utslipp medfører. Kystverket </w:t>
      </w:r>
      <w:r>
        <w:t>viser til ti</w:t>
      </w:r>
      <w:r>
        <w:t>l</w:t>
      </w:r>
      <w:r>
        <w:t>svarende bestemmelser om miljøskadeserstatning i svalbar</w:t>
      </w:r>
      <w:r>
        <w:t>d</w:t>
      </w:r>
      <w:r>
        <w:lastRenderedPageBreak/>
        <w:t>miljøloven. Det er en generell global utvi</w:t>
      </w:r>
      <w:r>
        <w:t>k</w:t>
      </w:r>
      <w:r>
        <w:t>ling mot strengere regelverk når det gjelder erstatning for naturoppretning og ikke-økonomisk miljøsk</w:t>
      </w:r>
      <w:r>
        <w:t>a</w:t>
      </w:r>
      <w:r>
        <w:t>de. For</w:t>
      </w:r>
      <w:r>
        <w:t>m</w:t>
      </w:r>
      <w:r>
        <w:t>ålet med miljøskadeserstatning er</w:t>
      </w:r>
      <w:r>
        <w:t xml:space="preserve"> å sikre gjenopprettende eller avbøtende tiltak med hensikt å tilbakeføre miljøet til den kvalitet og tilstand det hadde før forurensningen, eller å gjennomføre kompe</w:t>
      </w:r>
      <w:r>
        <w:t>n</w:t>
      </w:r>
      <w:r>
        <w:t>serende tiltak. Overtrede</w:t>
      </w:r>
      <w:r>
        <w:t>l</w:t>
      </w:r>
      <w:r>
        <w:t>sesgebyr er en sanksjon med rent pønalt formål. Etter Kystverke</w:t>
      </w:r>
      <w:r>
        <w:t>ts syn er det klart at beste</w:t>
      </w:r>
      <w:r>
        <w:t>m</w:t>
      </w:r>
      <w:r>
        <w:t>melsene har ulike bakenforliggende hensyn og formål, og delvis vil kunne benyttes i ulike s</w:t>
      </w:r>
      <w:r>
        <w:t>i</w:t>
      </w:r>
      <w:r>
        <w:t>tuasjoner.</w:t>
      </w:r>
    </w:p>
    <w:p w:rsidR="00000000" w:rsidRDefault="00E81532" w:rsidP="000762B7">
      <w:pPr>
        <w:rPr>
          <w:rStyle w:val="kursiv"/>
          <w:sz w:val="21"/>
          <w:szCs w:val="21"/>
        </w:rPr>
      </w:pPr>
      <w:r>
        <w:rPr>
          <w:rStyle w:val="kursiv"/>
          <w:sz w:val="21"/>
          <w:szCs w:val="21"/>
        </w:rPr>
        <w:t>Norges vassdrags- og energidirektorat (NVE)</w:t>
      </w:r>
      <w:r>
        <w:t xml:space="preserve"> støtter forslaget om å innføre hjemmel for overtrede</w:t>
      </w:r>
      <w:r>
        <w:t>l</w:t>
      </w:r>
      <w:r>
        <w:t>se</w:t>
      </w:r>
      <w:r>
        <w:t>s</w:t>
      </w:r>
      <w:r>
        <w:t>gebyr i naturmangfoldlov</w:t>
      </w:r>
      <w:r>
        <w:t>en.</w:t>
      </w:r>
    </w:p>
    <w:p w:rsidR="00000000" w:rsidRDefault="00E81532" w:rsidP="000762B7">
      <w:pPr>
        <w:rPr>
          <w:rStyle w:val="kursiv"/>
          <w:sz w:val="21"/>
          <w:szCs w:val="21"/>
        </w:rPr>
      </w:pPr>
      <w:r>
        <w:rPr>
          <w:rStyle w:val="kursiv"/>
          <w:sz w:val="21"/>
          <w:szCs w:val="21"/>
        </w:rPr>
        <w:t>Fylkesmannen i Hedmark</w:t>
      </w:r>
      <w:r>
        <w:t xml:space="preserve"> støtter endringen fra miljøerstatning til overtredelsesgebyr i naturman</w:t>
      </w:r>
      <w:r>
        <w:t>g</w:t>
      </w:r>
      <w:r>
        <w:t>fol</w:t>
      </w:r>
      <w:r>
        <w:t>d</w:t>
      </w:r>
      <w:r>
        <w:t xml:space="preserve">loven. </w:t>
      </w:r>
    </w:p>
    <w:p w:rsidR="00000000" w:rsidRDefault="00E81532" w:rsidP="000762B7">
      <w:pPr>
        <w:rPr>
          <w:rStyle w:val="kursiv"/>
          <w:sz w:val="21"/>
          <w:szCs w:val="21"/>
        </w:rPr>
      </w:pPr>
      <w:r>
        <w:rPr>
          <w:rStyle w:val="kursiv"/>
          <w:sz w:val="21"/>
          <w:szCs w:val="21"/>
        </w:rPr>
        <w:t>Politidirektoratet</w:t>
      </w:r>
      <w:r>
        <w:t xml:space="preserve"> støtter forslaget om å endre naturmangfoldloven § 74 fra miljøerstatning til overtr</w:t>
      </w:r>
      <w:r>
        <w:t>e</w:t>
      </w:r>
      <w:r>
        <w:t>delse</w:t>
      </w:r>
      <w:r>
        <w:t>s</w:t>
      </w:r>
      <w:r>
        <w:t xml:space="preserve">gebyr. </w:t>
      </w:r>
    </w:p>
    <w:p w:rsidR="00000000" w:rsidRDefault="00E81532" w:rsidP="000762B7">
      <w:pPr>
        <w:rPr>
          <w:rStyle w:val="kursiv"/>
          <w:sz w:val="21"/>
          <w:szCs w:val="21"/>
        </w:rPr>
      </w:pPr>
      <w:r>
        <w:rPr>
          <w:rStyle w:val="kursiv"/>
          <w:sz w:val="21"/>
          <w:szCs w:val="21"/>
        </w:rPr>
        <w:t>Oslo politidistrikt</w:t>
      </w:r>
      <w:r>
        <w:t xml:space="preserve"> og </w:t>
      </w:r>
      <w:r>
        <w:rPr>
          <w:rStyle w:val="kursiv"/>
          <w:sz w:val="21"/>
          <w:szCs w:val="21"/>
        </w:rPr>
        <w:t xml:space="preserve">Vest </w:t>
      </w:r>
      <w:r>
        <w:rPr>
          <w:rStyle w:val="kursiv"/>
          <w:sz w:val="21"/>
          <w:szCs w:val="21"/>
        </w:rPr>
        <w:t>politidistrikt</w:t>
      </w:r>
      <w:r>
        <w:t xml:space="preserve"> støtter forslaget om å innføre overtredelsesgebyr i natu</w:t>
      </w:r>
      <w:r>
        <w:t>r</w:t>
      </w:r>
      <w:r>
        <w:t>man</w:t>
      </w:r>
      <w:r>
        <w:t>g</w:t>
      </w:r>
      <w:r>
        <w:t>foldl</w:t>
      </w:r>
      <w:r>
        <w:t>o</w:t>
      </w:r>
      <w:r>
        <w:t>ven.</w:t>
      </w:r>
    </w:p>
    <w:p w:rsidR="00000000" w:rsidRDefault="00E81532" w:rsidP="000762B7">
      <w:pPr>
        <w:rPr>
          <w:rStyle w:val="kursiv"/>
          <w:sz w:val="21"/>
          <w:szCs w:val="21"/>
        </w:rPr>
      </w:pPr>
      <w:r>
        <w:rPr>
          <w:rStyle w:val="kursiv"/>
          <w:sz w:val="21"/>
          <w:szCs w:val="21"/>
        </w:rPr>
        <w:t xml:space="preserve">Riksadvokaten </w:t>
      </w:r>
      <w:r>
        <w:t xml:space="preserve">uttaler at ØKOKRIMs høringsuttalelse er dekkende for Riksadvokatens syn. </w:t>
      </w:r>
    </w:p>
    <w:p w:rsidR="00000000" w:rsidRDefault="00E81532" w:rsidP="000762B7">
      <w:pPr>
        <w:rPr>
          <w:rStyle w:val="kursiv"/>
          <w:sz w:val="21"/>
          <w:szCs w:val="21"/>
        </w:rPr>
      </w:pPr>
      <w:r>
        <w:rPr>
          <w:rStyle w:val="kursiv"/>
          <w:sz w:val="21"/>
          <w:szCs w:val="21"/>
        </w:rPr>
        <w:t>ØKOKRIM</w:t>
      </w:r>
      <w:r>
        <w:t xml:space="preserve"> støtter endringen fra miljøerstatning til overtredelsesgebyr i naturmangf</w:t>
      </w:r>
      <w:r>
        <w:t xml:space="preserve">oldloven. </w:t>
      </w:r>
    </w:p>
    <w:p w:rsidR="00000000" w:rsidRDefault="00E81532" w:rsidP="000762B7">
      <w:pPr>
        <w:rPr>
          <w:rStyle w:val="kursiv"/>
          <w:sz w:val="21"/>
          <w:szCs w:val="21"/>
        </w:rPr>
      </w:pPr>
      <w:r>
        <w:rPr>
          <w:rStyle w:val="kursiv"/>
          <w:sz w:val="21"/>
          <w:szCs w:val="21"/>
        </w:rPr>
        <w:t>Ålfotbreen verneområdestyre</w:t>
      </w:r>
      <w:r>
        <w:t xml:space="preserve"> og </w:t>
      </w:r>
      <w:r>
        <w:rPr>
          <w:rStyle w:val="kursiv"/>
          <w:sz w:val="21"/>
          <w:szCs w:val="21"/>
        </w:rPr>
        <w:t>Naustdal-Gjengedal verneområdestyre</w:t>
      </w:r>
      <w:r>
        <w:t xml:space="preserve"> er positive til endringen fra milj</w:t>
      </w:r>
      <w:r>
        <w:t>ø</w:t>
      </w:r>
      <w:r>
        <w:t xml:space="preserve">erstatning til overtredelsesgebyr i naturmangfoldloven. </w:t>
      </w:r>
    </w:p>
    <w:p w:rsidR="00000000" w:rsidRDefault="00E81532" w:rsidP="000762B7">
      <w:pPr>
        <w:rPr>
          <w:rStyle w:val="kursiv"/>
          <w:sz w:val="21"/>
          <w:szCs w:val="21"/>
        </w:rPr>
      </w:pPr>
      <w:r>
        <w:rPr>
          <w:rStyle w:val="kursiv"/>
          <w:sz w:val="21"/>
          <w:szCs w:val="21"/>
        </w:rPr>
        <w:t>Advokatforeningen</w:t>
      </w:r>
      <w:r>
        <w:t xml:space="preserve"> støtter forslaget om å endre naturmangfoldloven § 74 fra miljøerstat</w:t>
      </w:r>
      <w:r>
        <w:t>ning til ove</w:t>
      </w:r>
      <w:r>
        <w:t>r</w:t>
      </w:r>
      <w:r>
        <w:t>trede</w:t>
      </w:r>
      <w:r>
        <w:t>l</w:t>
      </w:r>
      <w:r>
        <w:t xml:space="preserve">sesgebyr. </w:t>
      </w:r>
    </w:p>
    <w:p w:rsidR="00000000" w:rsidRDefault="00E81532" w:rsidP="000762B7">
      <w:pPr>
        <w:rPr>
          <w:rStyle w:val="kursiv"/>
          <w:sz w:val="21"/>
          <w:szCs w:val="21"/>
        </w:rPr>
      </w:pPr>
      <w:r>
        <w:rPr>
          <w:rStyle w:val="kursiv"/>
          <w:sz w:val="21"/>
          <w:szCs w:val="21"/>
        </w:rPr>
        <w:t xml:space="preserve">NHO </w:t>
      </w:r>
      <w:r>
        <w:t>er uenig i at naturmangfoldloven bør gi hjemmel til å ilegge overtredelsesgebyr til den «som overtrer bestemmelser i eller i medhold av loven». NHO mener at man bør følge samme gradvise innf</w:t>
      </w:r>
      <w:r>
        <w:t>a</w:t>
      </w:r>
      <w:r>
        <w:t>sing for ove</w:t>
      </w:r>
      <w:r>
        <w:t>r</w:t>
      </w:r>
      <w:r>
        <w:t>tredelsesgebyr ett</w:t>
      </w:r>
      <w:r>
        <w:t>er naturmangfoldloven som den som er foreslått for fo</w:t>
      </w:r>
      <w:r>
        <w:t>r</w:t>
      </w:r>
      <w:r>
        <w:t>urensningsloven og produktko</w:t>
      </w:r>
      <w:r>
        <w:t>n</w:t>
      </w:r>
      <w:r>
        <w:t xml:space="preserve">trolloven. </w:t>
      </w:r>
    </w:p>
    <w:p w:rsidR="00000000" w:rsidRDefault="00E81532" w:rsidP="000762B7">
      <w:pPr>
        <w:rPr>
          <w:rStyle w:val="kursiv"/>
          <w:sz w:val="21"/>
          <w:szCs w:val="21"/>
        </w:rPr>
      </w:pPr>
      <w:r>
        <w:rPr>
          <w:rStyle w:val="kursiv"/>
          <w:sz w:val="21"/>
          <w:szCs w:val="21"/>
        </w:rPr>
        <w:t xml:space="preserve">NOAH – for dyrs rettigheter </w:t>
      </w:r>
      <w:r>
        <w:t>mener endringen fra miljøerstatning til overtredelsesgebyr i natu</w:t>
      </w:r>
      <w:r>
        <w:t>r</w:t>
      </w:r>
      <w:r>
        <w:t>man</w:t>
      </w:r>
      <w:r>
        <w:t>g</w:t>
      </w:r>
      <w:r>
        <w:t>foldloven er velkommen, hvis det medfører mer bruk av administr</w:t>
      </w:r>
      <w:r>
        <w:t>ative sanksjoner som gir preventiv e</w:t>
      </w:r>
      <w:r>
        <w:t>f</w:t>
      </w:r>
      <w:r>
        <w:t>fekt. NOAH mener at Mattilsynet har vært for tilbakeholdne med å bruke overtr</w:t>
      </w:r>
      <w:r>
        <w:t>e</w:t>
      </w:r>
      <w:r>
        <w:t>delsesgebyr ved brudd på dyrevelferd</w:t>
      </w:r>
      <w:r>
        <w:t>s</w:t>
      </w:r>
      <w:r>
        <w:t xml:space="preserve">loven. </w:t>
      </w:r>
    </w:p>
    <w:p w:rsidR="00000000" w:rsidRDefault="00E81532" w:rsidP="000762B7">
      <w:pPr>
        <w:rPr>
          <w:rStyle w:val="kursiv"/>
          <w:sz w:val="21"/>
          <w:szCs w:val="21"/>
        </w:rPr>
      </w:pPr>
      <w:r>
        <w:rPr>
          <w:rStyle w:val="kursiv"/>
          <w:sz w:val="21"/>
          <w:szCs w:val="21"/>
        </w:rPr>
        <w:t>Norsk Industri</w:t>
      </w:r>
      <w:r>
        <w:t xml:space="preserve"> mener prinsipalt at det ikke er behov for å innføre hjemler for overtredelsesgeby</w:t>
      </w:r>
      <w:r>
        <w:t>r, he</w:t>
      </w:r>
      <w:r>
        <w:t>l</w:t>
      </w:r>
      <w:r>
        <w:t xml:space="preserve">ler ikke i naturmangfoldloven. </w:t>
      </w:r>
    </w:p>
    <w:p w:rsidR="00000000" w:rsidRDefault="00E81532" w:rsidP="000762B7">
      <w:pPr>
        <w:rPr>
          <w:rStyle w:val="kursiv"/>
          <w:sz w:val="21"/>
          <w:szCs w:val="21"/>
        </w:rPr>
      </w:pPr>
      <w:r>
        <w:rPr>
          <w:rStyle w:val="kursiv"/>
          <w:sz w:val="21"/>
          <w:szCs w:val="21"/>
        </w:rPr>
        <w:t>Norsk Vann</w:t>
      </w:r>
      <w:r>
        <w:t xml:space="preserve"> støtter forslaget om å innføre overtredelsesgebyr i naturmangfoldloven.</w:t>
      </w:r>
    </w:p>
    <w:p w:rsidR="00000000" w:rsidRDefault="00E81532" w:rsidP="000762B7">
      <w:pPr>
        <w:rPr>
          <w:rFonts w:ascii="Arial" w:hAnsi="Arial" w:cs="Arial"/>
          <w:b/>
          <w:bCs/>
        </w:rPr>
      </w:pPr>
      <w:r>
        <w:rPr>
          <w:rStyle w:val="kursiv"/>
          <w:sz w:val="21"/>
          <w:szCs w:val="21"/>
        </w:rPr>
        <w:t xml:space="preserve">WWF Verdens naturfond </w:t>
      </w:r>
      <w:r>
        <w:t>støtter forslaget om å endre miljøerstatning til overtredelsesgebyr i n</w:t>
      </w:r>
      <w:r>
        <w:t>a</w:t>
      </w:r>
      <w:r>
        <w:t>tu</w:t>
      </w:r>
      <w:r>
        <w:t>r</w:t>
      </w:r>
      <w:r>
        <w:t>man</w:t>
      </w:r>
      <w:r>
        <w:t>g</w:t>
      </w:r>
      <w:r>
        <w:t xml:space="preserve">foldloven. </w:t>
      </w:r>
    </w:p>
    <w:p w:rsidR="00000000" w:rsidRDefault="00E81532" w:rsidP="000762B7">
      <w:pPr>
        <w:pStyle w:val="Overskrift3"/>
      </w:pPr>
      <w:r>
        <w:t>Departemen</w:t>
      </w:r>
      <w:r>
        <w:t>tets vurdering</w:t>
      </w:r>
    </w:p>
    <w:p w:rsidR="00000000" w:rsidRDefault="00E81532" w:rsidP="000762B7">
      <w:r>
        <w:t>Det gis i høringen bred støtte til forslaget om å endre naturmangfoldloven § 74 fra miljøersta</w:t>
      </w:r>
      <w:r>
        <w:t>t</w:t>
      </w:r>
      <w:r>
        <w:t xml:space="preserve">ning til overtredelsesgebyr. </w:t>
      </w:r>
    </w:p>
    <w:p w:rsidR="00000000" w:rsidRDefault="00E81532" w:rsidP="000762B7">
      <w:r>
        <w:lastRenderedPageBreak/>
        <w:t>Samferdselsdepartementet og Kystverket mener at man bør beholde dagens hjemmel for milj</w:t>
      </w:r>
      <w:r>
        <w:t>ø</w:t>
      </w:r>
      <w:r>
        <w:t>e</w:t>
      </w:r>
      <w:r>
        <w:t>rsta</w:t>
      </w:r>
      <w:r>
        <w:t>t</w:t>
      </w:r>
      <w:r>
        <w:t>ning, eventuelt i tillegg til en bestemmelse om overtredelsesgebyr. Det vises til tilsvarende bestemmelse i sva</w:t>
      </w:r>
      <w:r>
        <w:t>l</w:t>
      </w:r>
      <w:r>
        <w:t xml:space="preserve">bardmiljøloven. Departementet bemerker at bestemmelsen om miljøerstatning ble endret i forhold til forslaget fra Biomangfoldutvalget og at </w:t>
      </w:r>
      <w:r>
        <w:t>erstatningspreget ble svekket. Bestemmelsen avviker nå på vikt</w:t>
      </w:r>
      <w:r>
        <w:t>i</w:t>
      </w:r>
      <w:r>
        <w:t>ge punkter fra bestemmelsen i svalbardmiljøloven. Milj</w:t>
      </w:r>
      <w:r>
        <w:t>ø</w:t>
      </w:r>
      <w:r>
        <w:t>erstatning etter gjeldende § 74 går ikke til et ør</w:t>
      </w:r>
      <w:r>
        <w:t>e</w:t>
      </w:r>
      <w:r>
        <w:t>merket fond, men tilfaller statskassen. Dagens bestemmelse sikrer dermed ikke at gjenop</w:t>
      </w:r>
      <w:r>
        <w:t>prettende eller avbøtende tiltak blir gjennomført. Naturmangfoldloven har andre bestemmelser som ivaretar dette, nemlig § 69 (retting), § 71 (direkte gjennomføring) og § 73 (tvangsmulkt). Miljøerstatning etter § 74 er knyttet til selve overtredelsen og for</w:t>
      </w:r>
      <w:r>
        <w:t>utsetter heller ikke at det har oppstått miljøskade. Hvorvidt milj</w:t>
      </w:r>
      <w:r>
        <w:t>ø</w:t>
      </w:r>
      <w:r>
        <w:t>erstatning skal pålegges og eventuelt hvor stor den skal være, skjer etter en bred skjønnsmessig vurd</w:t>
      </w:r>
      <w:r>
        <w:t>e</w:t>
      </w:r>
      <w:r>
        <w:t>ring der o</w:t>
      </w:r>
      <w:r>
        <w:t>m</w:t>
      </w:r>
      <w:r>
        <w:t>fanget av en eventuell miljøskade bare er ett av flere momenter.</w:t>
      </w:r>
    </w:p>
    <w:p w:rsidR="00000000" w:rsidRDefault="00E81532" w:rsidP="000762B7">
      <w:r>
        <w:t>NHO mener a</w:t>
      </w:r>
      <w:r>
        <w:t>t man også for naturmangfoldloven bør følge samme gradvise innfasing for ove</w:t>
      </w:r>
      <w:r>
        <w:t>r</w:t>
      </w:r>
      <w:r>
        <w:t>trede</w:t>
      </w:r>
      <w:r>
        <w:t>l</w:t>
      </w:r>
      <w:r>
        <w:t>sesgebyr som for forurensningsloven og produktkontrolloven. Departementet er uenig i dette og viser til at natu</w:t>
      </w:r>
      <w:r>
        <w:t>r</w:t>
      </w:r>
      <w:r>
        <w:t>mangfoldloven allerede har en bestemmelse som ligner på et ov</w:t>
      </w:r>
      <w:r>
        <w:t>ertr</w:t>
      </w:r>
      <w:r>
        <w:t>e</w:t>
      </w:r>
      <w:r>
        <w:t>delsesgebyr og at det de</w:t>
      </w:r>
      <w:r>
        <w:t>r</w:t>
      </w:r>
      <w:r>
        <w:t xml:space="preserve">med verken er naturlig eller nødvendig med en slik gradvis innfasing. </w:t>
      </w:r>
    </w:p>
    <w:p w:rsidR="00000000" w:rsidRDefault="00E81532" w:rsidP="000762B7">
      <w:r>
        <w:t>Justis- og beredskapsdepartementet har bedt om at departementet vurderer å gi forslaget til § 74 i natu</w:t>
      </w:r>
      <w:r>
        <w:t>r</w:t>
      </w:r>
      <w:r>
        <w:t>mangfoldloven en noe mindre generell utforming. Dep</w:t>
      </w:r>
      <w:r>
        <w:t>artementet har på denne bakgrunn endret bestemmelsen slik at den nå angir mer konkret hvilke overtredelser som kan sanksjoneres med overtr</w:t>
      </w:r>
      <w:r>
        <w:t>e</w:t>
      </w:r>
      <w:r>
        <w:t>delsesgebyr. Presis</w:t>
      </w:r>
      <w:r>
        <w:t>e</w:t>
      </w:r>
      <w:r>
        <w:t>ringen innebærer at en rekke bestemmelser eller deler av b</w:t>
      </w:r>
      <w:r>
        <w:t>e</w:t>
      </w:r>
      <w:r>
        <w:t>stemmelser i natu</w:t>
      </w:r>
      <w:r>
        <w:t>r</w:t>
      </w:r>
      <w:r>
        <w:t>mangfoldloven ikke e</w:t>
      </w:r>
      <w:r>
        <w:t>r tatt med fordi de ikke inneholder handlingsnormer som kan sanksjoneres. Enkelte bestemmelser som inneholder handlingsnormer, er heller ikke tatt med, fordi det ikke anses hensikt</w:t>
      </w:r>
      <w:r>
        <w:t>s</w:t>
      </w:r>
      <w:r>
        <w:t>messig å sanksjonere eventuelle brudd på disse med overtr</w:t>
      </w:r>
      <w:r>
        <w:t>e</w:t>
      </w:r>
      <w:r>
        <w:t xml:space="preserve">delsesgebyr. </w:t>
      </w:r>
    </w:p>
    <w:p w:rsidR="00000000" w:rsidRDefault="00E81532" w:rsidP="000762B7">
      <w:r>
        <w:t>Ved</w:t>
      </w:r>
      <w:r>
        <w:t xml:space="preserve"> overtredelser av de bestemmelsene som nå listes opp i § 74 første ledd, mener departementet at det er behov for overtredelsesgebyr. </w:t>
      </w:r>
      <w:proofErr w:type="gramStart"/>
      <w:r>
        <w:t>Noen</w:t>
      </w:r>
      <w:proofErr w:type="gramEnd"/>
      <w:r>
        <w:t xml:space="preserve"> presisering av bestemmelsen utover den som nå er gjort, er vanskelig. En svært stor og variert mengde normer er og kan</w:t>
      </w:r>
      <w:r>
        <w:t xml:space="preserve"> bli fastsatt i medhold av naturman</w:t>
      </w:r>
      <w:r>
        <w:t>g</w:t>
      </w:r>
      <w:r>
        <w:t>fol</w:t>
      </w:r>
      <w:r>
        <w:t>d</w:t>
      </w:r>
      <w:r>
        <w:t>loven. Det er blant annet fastsatt flere tusen forskrifter for verneområder der de materielle reglene i hvert tilfelle er tilpasset den naturverdien fo</w:t>
      </w:r>
      <w:r>
        <w:t>r</w:t>
      </w:r>
      <w:r>
        <w:t>skriften skal ivareta. Det vil derfor i praksis vanskelig la seg</w:t>
      </w:r>
      <w:r>
        <w:t xml:space="preserve"> gjøre å presisere bestemmelsen utover å henvise til de aktuelle hjemmelsbestemmelsene i natu</w:t>
      </w:r>
      <w:r>
        <w:t>r</w:t>
      </w:r>
      <w:r>
        <w:t>mangfoldl</w:t>
      </w:r>
      <w:r>
        <w:t>o</w:t>
      </w:r>
      <w:r>
        <w:t>ven. Departementet bemerker imidlertid at forskrifter som er gitt med hjemmel i natu</w:t>
      </w:r>
      <w:r>
        <w:t>r</w:t>
      </w:r>
      <w:r>
        <w:t>mangfoldloven også kan inneholde en konkretisering av hvilke handli</w:t>
      </w:r>
      <w:r>
        <w:t>ngsnormer som skal sanksjon</w:t>
      </w:r>
      <w:r>
        <w:t>e</w:t>
      </w:r>
      <w:r>
        <w:t>res. Dette er e</w:t>
      </w:r>
      <w:r>
        <w:t>k</w:t>
      </w:r>
      <w:r>
        <w:t>sempelvis gjort i ny CITES-forskrift.</w:t>
      </w:r>
    </w:p>
    <w:p w:rsidR="00000000" w:rsidRDefault="00E81532" w:rsidP="000762B7">
      <w:r>
        <w:t xml:space="preserve">Overtredelsesgebyr vil måtte anses som straff etter den europeiske menneskerettskonvensjonen. Samme forhold kan ikke forfølges både med overtredelsesgebyr i forvaltningen og </w:t>
      </w:r>
      <w:r>
        <w:t>med straff i det ord</w:t>
      </w:r>
      <w:r>
        <w:t>i</w:t>
      </w:r>
      <w:r>
        <w:t>nære straff</w:t>
      </w:r>
      <w:r>
        <w:t>e</w:t>
      </w:r>
      <w:r>
        <w:t>sporet, med mindre det faller innenfor rammene for parallell forfølgning. Departementet viser for øvrig til redegjørelsen i Prop. 62 L (2015–2016) punkt 4.5. Hvis fo</w:t>
      </w:r>
      <w:r>
        <w:t>r</w:t>
      </w:r>
      <w:r>
        <w:t xml:space="preserve">valtningsmyndigheten har grunn til å anta at både straff </w:t>
      </w:r>
      <w:r>
        <w:t>og overtredelsesgebyr kan være aktuell reaksjon mot samme forhold, må forval</w:t>
      </w:r>
      <w:r>
        <w:t>t</w:t>
      </w:r>
      <w:r>
        <w:t>ning</w:t>
      </w:r>
      <w:r>
        <w:t>s</w:t>
      </w:r>
      <w:r>
        <w:t>myndigheten i samråd med påtalemyndigheten avklare hvordan forholdet skal forfølges, jf. samor</w:t>
      </w:r>
      <w:r>
        <w:t>d</w:t>
      </w:r>
      <w:r>
        <w:t>ning</w:t>
      </w:r>
      <w:r>
        <w:t>s</w:t>
      </w:r>
      <w:r>
        <w:t>plikten i forval</w:t>
      </w:r>
      <w:r>
        <w:t>t</w:t>
      </w:r>
      <w:r>
        <w:t>ningsloven § 47.</w:t>
      </w:r>
    </w:p>
    <w:p w:rsidR="00000000" w:rsidRDefault="00E81532" w:rsidP="000762B7">
      <w:r>
        <w:t>De mest alvorlige overtredelsene skal fo</w:t>
      </w:r>
      <w:r>
        <w:t>rtsatt følges opp i straffesporet. Ved brudd på flere ulike r</w:t>
      </w:r>
      <w:r>
        <w:t>e</w:t>
      </w:r>
      <w:r>
        <w:t xml:space="preserve">gelverk og der bruk av tvangsmidler er nødvendig for å sikre bevis, bør overtredelser følges opp </w:t>
      </w:r>
      <w:r>
        <w:lastRenderedPageBreak/>
        <w:t>ved a</w:t>
      </w:r>
      <w:r>
        <w:t>n</w:t>
      </w:r>
      <w:r>
        <w:t>meldelse. Et kjerneområde for overtredelsesgebyr vil være overtredelser som ikke er straffb</w:t>
      </w:r>
      <w:r>
        <w:t xml:space="preserve">are samt overtredelse der de enkelte regelbruddene hver for seg ikke er alvorlige nok for politianmeldelse, men </w:t>
      </w:r>
      <w:proofErr w:type="gramStart"/>
      <w:r>
        <w:t>den</w:t>
      </w:r>
      <w:proofErr w:type="gramEnd"/>
      <w:r>
        <w:t xml:space="preserve"> samlede </w:t>
      </w:r>
      <w:proofErr w:type="gramStart"/>
      <w:r>
        <w:t>effektene</w:t>
      </w:r>
      <w:proofErr w:type="gramEnd"/>
      <w:r>
        <w:t xml:space="preserve"> av overtredelser utgjør et alvorlig samfunnspr</w:t>
      </w:r>
      <w:r>
        <w:t>o</w:t>
      </w:r>
      <w:r>
        <w:t xml:space="preserve">blem. </w:t>
      </w:r>
    </w:p>
    <w:p w:rsidR="00000000" w:rsidRDefault="00E81532" w:rsidP="000762B7">
      <w:r>
        <w:t>Overtredelsesgebyr kan ilegges i tillegg til administrative reaksjon</w:t>
      </w:r>
      <w:r>
        <w:t>er som ikke er straff etter EMK, ekse</w:t>
      </w:r>
      <w:r>
        <w:t>m</w:t>
      </w:r>
      <w:r>
        <w:t xml:space="preserve">pelvis pålegg om retting, stans og/eller tvangsmulkt. </w:t>
      </w:r>
    </w:p>
    <w:p w:rsidR="00000000" w:rsidRDefault="00E81532" w:rsidP="000762B7">
      <w:r>
        <w:t>En rekke uttalelser fra høringsinstansene er felles for forslagene om overtredelsesgebyr i fo</w:t>
      </w:r>
      <w:r>
        <w:t>r</w:t>
      </w:r>
      <w:r>
        <w:t>uren</w:t>
      </w:r>
      <w:r>
        <w:t>s</w:t>
      </w:r>
      <w:r>
        <w:t>ningsloven, produktkontrolloven og naturmangfoldloven. Disse spø</w:t>
      </w:r>
      <w:r>
        <w:t xml:space="preserve">rsmålene vurderes i punkt 4.1.4. </w:t>
      </w:r>
    </w:p>
    <w:p w:rsidR="00000000" w:rsidRDefault="00E81532" w:rsidP="000762B7">
      <w:r>
        <w:t>Når det gjelder tilsyn og vern mot selvinkriminering, beror det videre på en konkret helhet</w:t>
      </w:r>
      <w:r>
        <w:t>s</w:t>
      </w:r>
      <w:r>
        <w:t xml:space="preserve">vurdering i det enkelte tilsyn </w:t>
      </w:r>
      <w:r>
        <w:rPr>
          <w:rStyle w:val="kursiv"/>
          <w:sz w:val="21"/>
          <w:szCs w:val="21"/>
        </w:rPr>
        <w:t>om</w:t>
      </w:r>
      <w:r>
        <w:t xml:space="preserve"> selvinkrimineringsvernet trer inn og eventuelt </w:t>
      </w:r>
      <w:r>
        <w:rPr>
          <w:rStyle w:val="kursiv"/>
          <w:sz w:val="21"/>
          <w:szCs w:val="21"/>
        </w:rPr>
        <w:t>når</w:t>
      </w:r>
      <w:r>
        <w:t xml:space="preserve"> det trer inn. Dette kan arte seg ulikt innenf</w:t>
      </w:r>
      <w:r>
        <w:t xml:space="preserve">or de ulike områdene som omfattes av naturmangfoldloven § 74, hvem tilsynet retter seg mot (foretak og/eller fysisk person) og hva som er formålet med tilsynet. </w:t>
      </w:r>
    </w:p>
    <w:p w:rsidR="00000000" w:rsidRDefault="00E81532" w:rsidP="000762B7">
      <w:r>
        <w:t>Utgangspunktet for tilsyn og kontroll med naturmangfoldloven, er kontroll med lovlig vir</w:t>
      </w:r>
      <w:r>
        <w:t>k</w:t>
      </w:r>
      <w:r>
        <w:t>somhe</w:t>
      </w:r>
      <w:r>
        <w:t>t. Ko</w:t>
      </w:r>
      <w:r>
        <w:t>n</w:t>
      </w:r>
      <w:r>
        <w:t>trollen har da ikke som formål å innhente informasjon som vil føre til bruk av sanksjonsmidler. I noen tilfeller har man imidlertid på forhånd informasjon/observasjoner om ulovlige forhold som skal dokumenteres og sanksjoneres. Da vil vernet mot selv</w:t>
      </w:r>
      <w:r>
        <w:t>inkriminering kunne tre inn på et tidlig tidspunkt under et tilsyn. Det som starter som en rutinekontroll av lovlige forhold, kan også gå over til å bli et forhold der det avdekkes ulovli</w:t>
      </w:r>
      <w:r>
        <w:t>g</w:t>
      </w:r>
      <w:r>
        <w:t>heter. Tilsynsmy</w:t>
      </w:r>
      <w:r>
        <w:t>n</w:t>
      </w:r>
      <w:r>
        <w:t>digheten må ved tilsyn ha bevissthet om når selvink</w:t>
      </w:r>
      <w:r>
        <w:t xml:space="preserve">rimineringsvernet trer inn. </w:t>
      </w:r>
    </w:p>
    <w:p w:rsidR="00000000" w:rsidRDefault="00E81532" w:rsidP="000762B7">
      <w:r>
        <w:t>Tilsynsmyndigheten må utarbeide rutiner som sikrer at selvinkrimineringsvernet og orient</w:t>
      </w:r>
      <w:r>
        <w:t>e</w:t>
      </w:r>
      <w:r>
        <w:t>ringspli</w:t>
      </w:r>
      <w:r>
        <w:t>k</w:t>
      </w:r>
      <w:r>
        <w:t>ten iv</w:t>
      </w:r>
      <w:r>
        <w:t>a</w:t>
      </w:r>
      <w:r>
        <w:t>retas i ulike situasjoner. Departementet bemerker at feltapparatet i Statens n</w:t>
      </w:r>
      <w:r>
        <w:t>a</w:t>
      </w:r>
      <w:r>
        <w:t>turoppsyn, som fører tilsyn med naturtilsta</w:t>
      </w:r>
      <w:r>
        <w:t>nden og med at bestemmelsene i miljølovgivningen blir overholdt, i de fleste tilfeller har begrenset politimyndighet. Begrenset politimyndighet kan tas i bruk som tillegg til naturoppsyn</w:t>
      </w:r>
      <w:r>
        <w:t>s</w:t>
      </w:r>
      <w:r>
        <w:t>myndigheten der s</w:t>
      </w:r>
      <w:r>
        <w:t>i</w:t>
      </w:r>
      <w:r>
        <w:t>tuasjonen krever dette. Feltapparatet i Statens nat</w:t>
      </w:r>
      <w:r>
        <w:t>uroppsyn har dermed erfaring med å forholde seg til at en tilsynssituasjon kan endre seg i løpet av tilsynet, med de konsekvenser dette kan få for vern mot selvinkr</w:t>
      </w:r>
      <w:r>
        <w:t>i</w:t>
      </w:r>
      <w:r>
        <w:t xml:space="preserve">minering. </w:t>
      </w:r>
    </w:p>
    <w:p w:rsidR="00000000" w:rsidRDefault="00E81532" w:rsidP="000762B7">
      <w:r>
        <w:t>Når det gjelder foreldelse, vises det til vurderingene i punkt 4.1.2, som gjelde</w:t>
      </w:r>
      <w:r>
        <w:t>r tilsvarende ved ove</w:t>
      </w:r>
      <w:r>
        <w:t>r</w:t>
      </w:r>
      <w:r>
        <w:t>trede</w:t>
      </w:r>
      <w:r>
        <w:t>l</w:t>
      </w:r>
      <w:r>
        <w:t>sesgebyr etter naturmangfoldloven.</w:t>
      </w:r>
    </w:p>
    <w:p w:rsidR="00000000" w:rsidRDefault="00E81532" w:rsidP="000762B7">
      <w:r>
        <w:t>Departementet opprettholder etter dette høringsforslaget og de vurderingene som ble gjort i h</w:t>
      </w:r>
      <w:r>
        <w:t>ø</w:t>
      </w:r>
      <w:r>
        <w:t>ringsnotatet, med de endringer som følger over. Departementet vurderer at forslaget er u</w:t>
      </w:r>
      <w:r>
        <w:t>t</w:t>
      </w:r>
      <w:r>
        <w:t xml:space="preserve">formet på </w:t>
      </w:r>
      <w:r>
        <w:t xml:space="preserve">en måte som ivaretar de vesentligste hensyn ved bruk av administrative sanksjoner, og som er anbefalt av sanksjonsutvalget utredning i NOU 2003: 15 </w:t>
      </w:r>
      <w:r>
        <w:rPr>
          <w:rStyle w:val="kursiv"/>
          <w:sz w:val="21"/>
          <w:szCs w:val="21"/>
        </w:rPr>
        <w:t>Fra bot til bedring</w:t>
      </w:r>
      <w:r>
        <w:t>.</w:t>
      </w:r>
    </w:p>
    <w:p w:rsidR="00000000" w:rsidRDefault="00E81532" w:rsidP="000762B7">
      <w:pPr>
        <w:pStyle w:val="Overskrift2"/>
      </w:pPr>
      <w:r>
        <w:t>Heving av strafferammer i produktkontrolloven, forurensning</w:t>
      </w:r>
      <w:r>
        <w:t>s</w:t>
      </w:r>
      <w:r>
        <w:t>loven, naturmangfol</w:t>
      </w:r>
      <w:r>
        <w:t>dloven og svalbardmiljøloven</w:t>
      </w:r>
    </w:p>
    <w:p w:rsidR="00000000" w:rsidRDefault="00E81532" w:rsidP="000762B7">
      <w:pPr>
        <w:pStyle w:val="Overskrift3"/>
      </w:pPr>
      <w:r>
        <w:t>Gjeldende rett</w:t>
      </w:r>
    </w:p>
    <w:p w:rsidR="00000000" w:rsidRDefault="00E81532" w:rsidP="000762B7">
      <w:r>
        <w:t>Den alminnelige strafferammen etter produktkontrolloven § 12 første ledd er bøter eller fengsel i inntil tre måneder eller begge deler. Det er ikke noe forhøy</w:t>
      </w:r>
      <w:r>
        <w:t>et strafferamme for grove overtr</w:t>
      </w:r>
      <w:r>
        <w:t>e</w:t>
      </w:r>
      <w:r>
        <w:t>delser eller skje</w:t>
      </w:r>
      <w:r>
        <w:t>r</w:t>
      </w:r>
      <w:r>
        <w:t>pende omstendigheter i produktkontrolloven.</w:t>
      </w:r>
    </w:p>
    <w:p w:rsidR="00000000" w:rsidRDefault="00E81532" w:rsidP="000762B7">
      <w:r>
        <w:lastRenderedPageBreak/>
        <w:t>Den alminnelige strafferammen etter forurensningsloven § 78 første ledd er bøter eller fengsel inntil 3 m</w:t>
      </w:r>
      <w:r>
        <w:t>å</w:t>
      </w:r>
      <w:r>
        <w:t>neder eller begge deler. Etter andre ledd økes straffer</w:t>
      </w:r>
      <w:r>
        <w:t>ammen til fengsel i 2 år hvis det foreligger skjerpende omstendigheter, og inntil 5 år hvis overtredelsen har voldt fare for me</w:t>
      </w:r>
      <w:r>
        <w:t>n</w:t>
      </w:r>
      <w:r>
        <w:t>neskers liv eller he</w:t>
      </w:r>
      <w:r>
        <w:t>l</w:t>
      </w:r>
      <w:r>
        <w:t>bred. Den almi</w:t>
      </w:r>
      <w:r>
        <w:t>n</w:t>
      </w:r>
      <w:r>
        <w:t>nelige strafferammen etter § 79 første ledd er bøter eller fengsel inntil 3 måneder eller be</w:t>
      </w:r>
      <w:r>
        <w:t>gge deler. For ulovlig innførsel eller utførsel av avfall er stra</w:t>
      </w:r>
      <w:r>
        <w:t>f</w:t>
      </w:r>
      <w:r>
        <w:t xml:space="preserve">ferammen 2 år, jf. § 79 tredje ledd. </w:t>
      </w:r>
    </w:p>
    <w:p w:rsidR="00000000" w:rsidRDefault="00E81532" w:rsidP="000762B7">
      <w:r>
        <w:t xml:space="preserve">Den alminnelige strafferammen etter naturmangfoldloven § 75 første ledd er bøter eller fengsel inntil 1 år. Etter annet ledd er strafferammen bot eller </w:t>
      </w:r>
      <w:r>
        <w:t>fengsel inntil tre år ved grove overtredelser av første ledd. Ved avgjørelsen av om overtredelsen er grov, legges særlig vekt på om den har medført eller voldt fare for bet</w:t>
      </w:r>
      <w:r>
        <w:t>y</w:t>
      </w:r>
      <w:r>
        <w:t>delig skade på naturmangfoldet, om skaden på naturmangfoldet må anses uopprettelig,</w:t>
      </w:r>
      <w:r>
        <w:t xml:space="preserve"> gr</w:t>
      </w:r>
      <w:r>
        <w:t>a</w:t>
      </w:r>
      <w:r>
        <w:t>den av skyld, og om overtrederen har truffet forebyggende eller a</w:t>
      </w:r>
      <w:r>
        <w:t>v</w:t>
      </w:r>
      <w:r>
        <w:t>bøtende tiltak.</w:t>
      </w:r>
    </w:p>
    <w:p w:rsidR="00000000" w:rsidRDefault="00E81532" w:rsidP="000762B7">
      <w:r>
        <w:t>Den alminnelige strafferammen etter svalbardmiljøloven § 99 er bøter eller fengsel inntil 1 år. Etter annet punktum er strafferammen fengsel inntil 3 år der det er inntrå</w:t>
      </w:r>
      <w:r>
        <w:t>dt eller voldt fare for betydelig milj</w:t>
      </w:r>
      <w:r>
        <w:t>ø</w:t>
      </w:r>
      <w:r>
        <w:t xml:space="preserve">skade eller det for øvrig foreligger særdeles skjerpende omstendigheter. </w:t>
      </w:r>
    </w:p>
    <w:p w:rsidR="00000000" w:rsidRDefault="00E81532" w:rsidP="000762B7">
      <w:pPr>
        <w:pStyle w:val="Overskrift3"/>
      </w:pPr>
      <w:r>
        <w:t>Høringsforslaget</w:t>
      </w:r>
    </w:p>
    <w:p w:rsidR="00000000" w:rsidRDefault="00E81532" w:rsidP="000762B7">
      <w:pPr>
        <w:pStyle w:val="Overskrift4"/>
      </w:pPr>
      <w:r>
        <w:t>Produktkontrolloven og forurensningsloven</w:t>
      </w:r>
    </w:p>
    <w:p w:rsidR="00000000" w:rsidRDefault="00E81532" w:rsidP="000762B7">
      <w:r>
        <w:t>Den alminnelige strafferammen i produktkontrolloven og f</w:t>
      </w:r>
      <w:r>
        <w:t>orurensningsloven, som er bøter eller fengsel inntil 3 måneder, har vært uendret siden vedtakelsen av lovene i 1976 og 1981. Siden den gang har det skjedd en utvikling i synet på behovet for strenge reaksjoner i saker om miljøkr</w:t>
      </w:r>
      <w:r>
        <w:t>i</w:t>
      </w:r>
      <w:r>
        <w:t>minalitet, blant annet gjen</w:t>
      </w:r>
      <w:r>
        <w:t>nom vedtakelsen av generalklausulen mot alvorlig miljøkriminalitet i tidligere straffelov § 152 b og i ny straffelov § 240, og ved at den alminnelige strafferammen i en rekke andre miljølover i de senere år er blitt satt til 1 års fengsel eller mer. Høyest</w:t>
      </w:r>
      <w:r>
        <w:t>erett har i avgjørelser i senere år uttalt at det av allmennpreve</w:t>
      </w:r>
      <w:r>
        <w:t>n</w:t>
      </w:r>
      <w:r>
        <w:t>tive grunner må reageres strengt i saker om miljøkriminalitet. I lys av denne utviklingen er den alminn</w:t>
      </w:r>
      <w:r>
        <w:t>e</w:t>
      </w:r>
      <w:r>
        <w:t>lige strafferammen i produktko</w:t>
      </w:r>
      <w:r>
        <w:t>n</w:t>
      </w:r>
      <w:r>
        <w:t>trolloven og forurensningsloven i dag for lav. En straf</w:t>
      </w:r>
      <w:r>
        <w:t>feramme på 3 m</w:t>
      </w:r>
      <w:r>
        <w:t>å</w:t>
      </w:r>
      <w:r>
        <w:t>neders fengsel reflekterer ikke behovet for strenge reaksjoner mot miljøkriminalitet på produktko</w:t>
      </w:r>
      <w:r>
        <w:t>n</w:t>
      </w:r>
      <w:r>
        <w:t>trollovens og fo</w:t>
      </w:r>
      <w:r>
        <w:t>r</w:t>
      </w:r>
      <w:r>
        <w:t>urensningslovens områder.</w:t>
      </w:r>
    </w:p>
    <w:p w:rsidR="00000000" w:rsidRDefault="00E81532" w:rsidP="000762B7">
      <w:r>
        <w:t>Departementet foreslår at den alminnelige strafferammen i produktkontrolloven og foruren</w:t>
      </w:r>
      <w:r>
        <w:t>s</w:t>
      </w:r>
      <w:r>
        <w:t>ningsl</w:t>
      </w:r>
      <w:r>
        <w:t>o</w:t>
      </w:r>
      <w:r>
        <w:t xml:space="preserve">ven </w:t>
      </w:r>
      <w:r>
        <w:t>økes fra 3 måneder til inntil 1 års fengsel, i tråd med det som er blitt fastsatt i flere andre miljølover i senere år. Med dette forslaget vil den alminnelige strafferammen i produk</w:t>
      </w:r>
      <w:r>
        <w:t>t</w:t>
      </w:r>
      <w:r>
        <w:t>kontrolloven og foruren</w:t>
      </w:r>
      <w:r>
        <w:t>s</w:t>
      </w:r>
      <w:r>
        <w:t>ningsloven ajourføres med det nivå andre nyere mi</w:t>
      </w:r>
      <w:r>
        <w:t>ljø- og produktlover ligger på, som blant annet natu</w:t>
      </w:r>
      <w:r>
        <w:t>r</w:t>
      </w:r>
      <w:r>
        <w:t>mangfoldloven, markaloven, svalbardmiljøloven, kulturminn</w:t>
      </w:r>
      <w:r>
        <w:t>e</w:t>
      </w:r>
      <w:r>
        <w:t>loven, viltloven, akvakulturloven, plan- og bygningsloven, havressurslova, lakse- og innland</w:t>
      </w:r>
      <w:r>
        <w:t>s</w:t>
      </w:r>
      <w:r>
        <w:t>fiskloven, skogbruksloven, matloven og kosmetikklova</w:t>
      </w:r>
      <w:r>
        <w:t>.</w:t>
      </w:r>
    </w:p>
    <w:p w:rsidR="00000000" w:rsidRDefault="00E81532" w:rsidP="000762B7">
      <w:r>
        <w:t>Når den alminnelige strafferammen i forurensningsloven § 78 første ledd økes fra 3 måneder til 1 år, mener departementet det også er naturlig å heve strafferammen i § 78 andre ledd første straffalte</w:t>
      </w:r>
      <w:r>
        <w:t>r</w:t>
      </w:r>
      <w:r>
        <w:t xml:space="preserve">nativ for skjerpende omstendigheter fra 2 år til 3 år. </w:t>
      </w:r>
      <w:r>
        <w:t>Departementet foreslår samtidig at det i produk</w:t>
      </w:r>
      <w:r>
        <w:t>t</w:t>
      </w:r>
      <w:r>
        <w:t>ko</w:t>
      </w:r>
      <w:r>
        <w:t>n</w:t>
      </w:r>
      <w:r>
        <w:t>trolloven innføres en forhøyet strafferamme på 3 år, der overtredelsen har voldt fare for menneskers liv eller helbred, stor skade eller ulempe på miljøet eller det for øvrig for</w:t>
      </w:r>
      <w:r>
        <w:t>e</w:t>
      </w:r>
      <w:r>
        <w:t>ligger skjerpende omstendi</w:t>
      </w:r>
      <w:r>
        <w:t>g</w:t>
      </w:r>
      <w:r>
        <w:t>heter. Gitt det store skadepotensialet ved brudd på produktko</w:t>
      </w:r>
      <w:r>
        <w:t>n</w:t>
      </w:r>
      <w:r>
        <w:lastRenderedPageBreak/>
        <w:t>trolloven, for eksempel ved omsetning av he</w:t>
      </w:r>
      <w:r>
        <w:t>l</w:t>
      </w:r>
      <w:r>
        <w:t>sefarlige produkter til barn, er det en mangel ved loven at den i dag ikke har en slik straffskje</w:t>
      </w:r>
      <w:r>
        <w:t>r</w:t>
      </w:r>
      <w:r>
        <w:t>pingsregel.</w:t>
      </w:r>
    </w:p>
    <w:p w:rsidR="00000000" w:rsidRDefault="00E81532" w:rsidP="000762B7">
      <w:r>
        <w:t xml:space="preserve">Departementet ønsker med de foreslåtte </w:t>
      </w:r>
      <w:r>
        <w:t>nye alminnelige strafferammene på 1 år og straffskje</w:t>
      </w:r>
      <w:r>
        <w:t>r</w:t>
      </w:r>
      <w:r>
        <w:t>ping</w:t>
      </w:r>
      <w:r>
        <w:t>s</w:t>
      </w:r>
      <w:r>
        <w:t>regelen på 3 år at det generelle straffutmålingsnivået økes. Særlig er straffenivået etter produktkontroll</w:t>
      </w:r>
      <w:r>
        <w:t>o</w:t>
      </w:r>
      <w:r>
        <w:t xml:space="preserve">ven i dag alt for lavt. Det er flere eksempler på at alvorlige saker ender med bøter under </w:t>
      </w:r>
      <w:r>
        <w:t>100.000 kr. Det gjelder blant annet saker der store, profesjonelle aktører har solgt produkter som inneholder ulovlige og helseskadelige stoffer. For at straff etter produktko</w:t>
      </w:r>
      <w:r>
        <w:t>n</w:t>
      </w:r>
      <w:r>
        <w:t>trolloven skal ha tilstrekkelig preventiv effekt, må dette straffenivået betydel</w:t>
      </w:r>
      <w:r>
        <w:t>ig opp.</w:t>
      </w:r>
    </w:p>
    <w:p w:rsidR="00000000" w:rsidRDefault="00E81532" w:rsidP="000762B7">
      <w:r>
        <w:t>Det er også grunn til å tro at den lave strafferammen kan ha bidratt til en lavere prioritering av brudd på produktkontrolloven og forurensningsloven i politi- og påtalemyndighet enn det som er ønskelig. Når stra</w:t>
      </w:r>
      <w:r>
        <w:t>f</w:t>
      </w:r>
      <w:r>
        <w:t>ferammene øk</w:t>
      </w:r>
      <w:r>
        <w:t>es, forventer departementet at det gir et tydelig signal om hvor alvorlig og straffverdig lo</w:t>
      </w:r>
      <w:r>
        <w:t>v</w:t>
      </w:r>
      <w:r>
        <w:t>bruddet anses å være og at det er naturlig at dette da inngår som et viktig moment i politiets priorit</w:t>
      </w:r>
      <w:r>
        <w:t>e</w:t>
      </w:r>
      <w:r>
        <w:t>ringer.</w:t>
      </w:r>
    </w:p>
    <w:p w:rsidR="00000000" w:rsidRDefault="00E81532" w:rsidP="000762B7">
      <w:pPr>
        <w:pStyle w:val="Overskrift4"/>
      </w:pPr>
      <w:r>
        <w:t>Naturmangfoldloven</w:t>
      </w:r>
    </w:p>
    <w:p w:rsidR="00000000" w:rsidRDefault="00E81532" w:rsidP="000762B7">
      <w:r>
        <w:t>Verdens arter utr</w:t>
      </w:r>
      <w:r>
        <w:t xml:space="preserve">yddes nå 1000 ganger raskere enn det som er naturlig. Miljøkriminalitet er en viktig del av trusselbildet mot biologisk mangfold, ikke minst ulovlig uttak av truede arter. </w:t>
      </w:r>
    </w:p>
    <w:p w:rsidR="00000000" w:rsidRDefault="00E81532" w:rsidP="000762B7">
      <w:r>
        <w:t>Behovet for effektiv allmennprevensjon for å forhindre alvorlig miljøkriminalitet e</w:t>
      </w:r>
      <w:r>
        <w:t>r på denne bakgrunn vi</w:t>
      </w:r>
      <w:r>
        <w:t>k</w:t>
      </w:r>
      <w:r>
        <w:t>tigere i dag enn noen gang før. Slik kriminalitet rammer fellesverdier av stor samfunnsmessig bety</w:t>
      </w:r>
      <w:r>
        <w:t>d</w:t>
      </w:r>
      <w:r>
        <w:t>ning og utgjør en reell trussel mot disse verdiene. Betydningen av disse fellesverdiene er også kommet til u</w:t>
      </w:r>
      <w:r>
        <w:t>t</w:t>
      </w:r>
      <w:r>
        <w:t>trykk i Grunnloven § 112.</w:t>
      </w:r>
      <w:r>
        <w:t xml:space="preserve"> Straffebestemmelsen i natu</w:t>
      </w:r>
      <w:r>
        <w:t>r</w:t>
      </w:r>
      <w:r>
        <w:t>mangfoldloven § 75 er i den sammenheng av v</w:t>
      </w:r>
      <w:r>
        <w:t>e</w:t>
      </w:r>
      <w:r>
        <w:t>sentlig b</w:t>
      </w:r>
      <w:r>
        <w:t>e</w:t>
      </w:r>
      <w:r>
        <w:t>tydning, som et virkemiddel for effektiv allmennprevensjon.</w:t>
      </w:r>
    </w:p>
    <w:p w:rsidR="00000000" w:rsidRDefault="00E81532" w:rsidP="000762B7">
      <w:r>
        <w:t xml:space="preserve">I internasjonal sammenheng regnes miljøkriminalitet for å utgjøre en trussel mot bærekraftig vekst, helse og fred </w:t>
      </w:r>
      <w:r>
        <w:t>og sikkerhet. Miljøkriminalitet utgjør verdens tredje største illegale økonomi, med en årlig vekst som er to-tre ganger større enn veksten i verdensøkonomien. Norge er også en del av dette bildet. Høyesterett har i en rekke avgjørelser i de senere år uttal</w:t>
      </w:r>
      <w:r>
        <w:t>t at det av allmen</w:t>
      </w:r>
      <w:r>
        <w:t>n</w:t>
      </w:r>
      <w:r>
        <w:t>preventive grunner må reag</w:t>
      </w:r>
      <w:r>
        <w:t>e</w:t>
      </w:r>
      <w:r>
        <w:t xml:space="preserve">res strengt i saker om miljøkriminalitet. </w:t>
      </w:r>
    </w:p>
    <w:p w:rsidR="00000000" w:rsidRDefault="00E81532" w:rsidP="000762B7">
      <w:r>
        <w:t>Etter straffeloven § 240 annet ledd bokstav a, er strafferammen inntil 6 år for den som forsettlig eller grovt uaktsomt «minsker en naturlig bestand av fredede organis</w:t>
      </w:r>
      <w:r>
        <w:t>mer som nasjonalt eller internasjonalt er truet av utryddelse». Bestemmelsen, og dens forgjenger § 152 b i straffeloven av 1902, var da den kom i 1993 ment som et signal fra lovgiver til strafferettslige myndigheter om å prioritere opp innsatsen mot miljøk</w:t>
      </w:r>
      <w:r>
        <w:t xml:space="preserve">riminalitet generelt. </w:t>
      </w:r>
    </w:p>
    <w:p w:rsidR="00000000" w:rsidRDefault="00E81532" w:rsidP="000762B7">
      <w:r>
        <w:t>Bestemmelsen har imidlertid vært lite brukt i konkrete straffesaker og kriteriene for straff er utformet på en måte som i liten grad samsvarer med den mer moderne økosystemtenkningen som ligger til grunn for n</w:t>
      </w:r>
      <w:r>
        <w:t>a</w:t>
      </w:r>
      <w:r>
        <w:t>turmangfoldlovens regle</w:t>
      </w:r>
      <w:r>
        <w:t>r. Et eksempel på dette er vilkåret i § 240 om at bestanden «minsker». In</w:t>
      </w:r>
      <w:r>
        <w:t>n</w:t>
      </w:r>
      <w:r>
        <w:t xml:space="preserve">førsel av helt ny bestand, i form av utsetting av fremmede arter, kan også være et eksempel på alvorlig miljøkriminalitet. Videre kan det for en art som har så lav bestand at den er </w:t>
      </w:r>
      <w:r>
        <w:t>avhengig av at bestanden øker, slik tilfellet for eksempel har vært for fjellrev, være like alvorlig med ulovlige naturinngrep mv. som hindrer arten i å oppnå den nødvendige bestandsøkningen. Andre eksempler på moderne, svært alvorlig milj</w:t>
      </w:r>
      <w:r>
        <w:t>ø</w:t>
      </w:r>
      <w:r>
        <w:t>kriminalitet, er</w:t>
      </w:r>
      <w:r>
        <w:t xml:space="preserve"> omfa</w:t>
      </w:r>
      <w:r>
        <w:t>t</w:t>
      </w:r>
      <w:r>
        <w:t xml:space="preserve">tende </w:t>
      </w:r>
      <w:r>
        <w:lastRenderedPageBreak/>
        <w:t xml:space="preserve">ulovlig handel med eksemplarer av arter som er truet på verdensbasis, for eksempel handel med elfenben eller alligatorskinn. </w:t>
      </w:r>
    </w:p>
    <w:p w:rsidR="00000000" w:rsidRDefault="00E81532" w:rsidP="000762B7">
      <w:r>
        <w:t>Straffeloven § 240 er derfor lite tilpasset en moderne økosystemtenkning, og det er ikke naturlig at former for miljøk</w:t>
      </w:r>
      <w:r>
        <w:t>riminalitet som kan være minst like – eller langt mer – alvorlig, skal ha en lavere straff</w:t>
      </w:r>
      <w:r>
        <w:t>e</w:t>
      </w:r>
      <w:r>
        <w:t>ramme i n</w:t>
      </w:r>
      <w:r>
        <w:t>a</w:t>
      </w:r>
      <w:r>
        <w:t>turmangfoldloven. Det er derfor behov for å øke strafferammen i n</w:t>
      </w:r>
      <w:r>
        <w:t>a</w:t>
      </w:r>
      <w:r>
        <w:t xml:space="preserve">turmangfoldloven § 75. </w:t>
      </w:r>
    </w:p>
    <w:p w:rsidR="00000000" w:rsidRDefault="00E81532" w:rsidP="000762B7">
      <w:r>
        <w:t>Et tilleggsmoment her, er også at FN-konvensjonen mot grenseovers</w:t>
      </w:r>
      <w:r>
        <w:t>kridende organisert krim</w:t>
      </w:r>
      <w:r>
        <w:t>i</w:t>
      </w:r>
      <w:r>
        <w:t>nalitet får anvendelse der det foreligger en «serious crime». I henhold til article 2, subparagraph (b) i konve</w:t>
      </w:r>
      <w:r>
        <w:t>n</w:t>
      </w:r>
      <w:r>
        <w:t>sjonen er «serious crime» definert som «conduct constituting an offence punishable by a maximum d</w:t>
      </w:r>
      <w:r>
        <w:t>e</w:t>
      </w:r>
      <w:r>
        <w:t xml:space="preserve">privation of liberty </w:t>
      </w:r>
      <w:r>
        <w:t xml:space="preserve">of at least four years or a </w:t>
      </w:r>
      <w:proofErr w:type="gramStart"/>
      <w:r>
        <w:t>more</w:t>
      </w:r>
      <w:proofErr w:type="gramEnd"/>
      <w:r>
        <w:t xml:space="preserve"> serious penalty.» Konve</w:t>
      </w:r>
      <w:r>
        <w:t>n</w:t>
      </w:r>
      <w:r>
        <w:t>sjonen ble ratifisert av Norge i 2003. Det er i ulike FN-fora stort fokus på at medlemsstatene skal forplikte seg til å gjøre ulovlig handel med truede arter til en «serious crime» i nasjonal lovgi</w:t>
      </w:r>
      <w:r>
        <w:t>v</w:t>
      </w:r>
      <w:r>
        <w:t>n</w:t>
      </w:r>
      <w:r>
        <w:t>ing, slik at konvensjonen får anvendelse.</w:t>
      </w:r>
    </w:p>
    <w:p w:rsidR="00000000" w:rsidRDefault="00E81532" w:rsidP="000762B7">
      <w:r>
        <w:t>Forskrift 15. juni 2018 nr. 889 om innførsel, utførsel, besittelse mv. av truede arter av vill fauna og fl</w:t>
      </w:r>
      <w:r>
        <w:t>o</w:t>
      </w:r>
      <w:r>
        <w:t>ra (CITES-forskriften) er hjemlet i naturmangfoldloven § 26. Naturmangfoldlovens n</w:t>
      </w:r>
      <w:r>
        <w:t>å</w:t>
      </w:r>
      <w:r>
        <w:t>værende straffe</w:t>
      </w:r>
      <w:r>
        <w:t>r</w:t>
      </w:r>
      <w:r>
        <w:t xml:space="preserve">amme på </w:t>
      </w:r>
      <w:r>
        <w:t>tre år blir dermed bestemmende for øvre strafferamme i forskriften. En heving av straffera</w:t>
      </w:r>
      <w:r>
        <w:t>m</w:t>
      </w:r>
      <w:r>
        <w:t>men i n</w:t>
      </w:r>
      <w:r>
        <w:t>a</w:t>
      </w:r>
      <w:r>
        <w:t>tu</w:t>
      </w:r>
      <w:r>
        <w:t>r</w:t>
      </w:r>
      <w:r>
        <w:t>mangfoldloven i samsvar med kravene til «serious crime» i FN-konvensjonen mot grens</w:t>
      </w:r>
      <w:r>
        <w:t>e</w:t>
      </w:r>
      <w:r>
        <w:t>overskridende o</w:t>
      </w:r>
      <w:r>
        <w:t>r</w:t>
      </w:r>
      <w:r>
        <w:t>ganisert kriminalitet, vil sikre en bedre etterlevelse</w:t>
      </w:r>
      <w:r>
        <w:t xml:space="preserve"> av Norges internasjonale forplikte</w:t>
      </w:r>
      <w:r>
        <w:t>l</w:t>
      </w:r>
      <w:r>
        <w:t xml:space="preserve">ser. </w:t>
      </w:r>
    </w:p>
    <w:p w:rsidR="00000000" w:rsidRDefault="00E81532" w:rsidP="000762B7">
      <w:r>
        <w:t>På denne bakgrunn foreslår departementet å heve strafferammen i § 75 andre ledd fra tre år til fem år. Det er ikke vanlig i norsk strafferettstradisjon å operere med strafferammer på fire år. Videre er enkelte stra</w:t>
      </w:r>
      <w:r>
        <w:t>ffepr</w:t>
      </w:r>
      <w:r>
        <w:t>o</w:t>
      </w:r>
      <w:r>
        <w:t>sessuelle tvangsmidler som kan være viktige i forbindelse med e</w:t>
      </w:r>
      <w:r>
        <w:t>t</w:t>
      </w:r>
      <w:r>
        <w:t>terforskning av den mest a</w:t>
      </w:r>
      <w:r>
        <w:t>l</w:t>
      </w:r>
      <w:r>
        <w:t>vorlige milj</w:t>
      </w:r>
      <w:r>
        <w:t>ø</w:t>
      </w:r>
      <w:r>
        <w:t xml:space="preserve">kriminaliteten, knyttet til en strafferamme på minst fem år (for eksempel teknisk sporing av kjøretøy jf. straffeprosessloven § 202b). </w:t>
      </w:r>
    </w:p>
    <w:p w:rsidR="00000000" w:rsidRDefault="00E81532" w:rsidP="000762B7">
      <w:pPr>
        <w:pStyle w:val="Overskrift4"/>
      </w:pPr>
      <w:r>
        <w:t>Svalbardmiljøloven</w:t>
      </w:r>
    </w:p>
    <w:p w:rsidR="00000000" w:rsidRDefault="00E81532" w:rsidP="000762B7">
      <w:r>
        <w:t>Den foreslåtte endringen i strafferammen etter naturmangfoldloven medfører behov for å endre straffeb</w:t>
      </w:r>
      <w:r>
        <w:t>e</w:t>
      </w:r>
      <w:r>
        <w:t>stemmelsen i svalbardmiljøloven tilsvarende, på grunn av prinsippet om at miljør</w:t>
      </w:r>
      <w:r>
        <w:t>e</w:t>
      </w:r>
      <w:r>
        <w:t>gelverket skal være minst like strengt på Svalba</w:t>
      </w:r>
      <w:r>
        <w:t>rd som på fastlandet. I forarbeidene til sva</w:t>
      </w:r>
      <w:r>
        <w:t>l</w:t>
      </w:r>
      <w:r>
        <w:t>bardmiljøloven (Ot.prp. nr. 38 (2000–2001) i punkt 17.8.4 viste departementet til at straffe</w:t>
      </w:r>
      <w:r>
        <w:t>r</w:t>
      </w:r>
      <w:r>
        <w:t>ammen for overtredelser av miljøforskrifter med hjemmel i § 4 i svalbardloven av 1925 til dels var lavere enn straffer</w:t>
      </w:r>
      <w:r>
        <w:t>ammene i miljøregelverket på fastla</w:t>
      </w:r>
      <w:r>
        <w:t>n</w:t>
      </w:r>
      <w:r>
        <w:t>det, og uttalte at departementet ikke mener dette er tilfredsstillende, sett på bakgrunn av de unike milj</w:t>
      </w:r>
      <w:r>
        <w:t>ø</w:t>
      </w:r>
      <w:r>
        <w:t>verdier som finnes på ø</w:t>
      </w:r>
      <w:r>
        <w:t>y</w:t>
      </w:r>
      <w:r>
        <w:t>gruppen, og på bakgrunn av at miljøregelverket bør være minst like strengt på Svalbard som</w:t>
      </w:r>
      <w:r>
        <w:t xml:space="preserve"> på fastlandet. I forarbeidene vises det også til at de særskilte forholdene på Svalbard med store avstander og folketomme områder gjør at det kan være tilfeldig om en overtredelse blir oppdaget og møtt med straffereaksjoner. Det er derfor av desto større </w:t>
      </w:r>
      <w:r>
        <w:t>allmennpreventiv betydning at r</w:t>
      </w:r>
      <w:r>
        <w:t>e</w:t>
      </w:r>
      <w:r>
        <w:t>aksjonen er merkbar.</w:t>
      </w:r>
    </w:p>
    <w:p w:rsidR="00000000" w:rsidRDefault="00E81532" w:rsidP="000762B7">
      <w:r>
        <w:t>Departementet mener at disse hensynene tilsier at strafferammen i svalbardmiljøloven ikke kan bli liggende etter rettsutviklingen på fastlandet. Straffebestemmelsen i svalbardmiljøloven er basert på en m</w:t>
      </w:r>
      <w:r>
        <w:t>odell der det gjelder den samme strafferamme for alle former for miljøkriminalitet. Denne modellen videreføres med forslaget, slik at det ikke differensieres mellom de ulike fo</w:t>
      </w:r>
      <w:r>
        <w:t>r</w:t>
      </w:r>
      <w:r>
        <w:t>mene for miljøkriminalitet.</w:t>
      </w:r>
    </w:p>
    <w:p w:rsidR="00000000" w:rsidRDefault="00E81532" w:rsidP="000762B7">
      <w:r>
        <w:lastRenderedPageBreak/>
        <w:t>Man fører dermed også videre systemet med at man på</w:t>
      </w:r>
      <w:r>
        <w:t xml:space="preserve"> noen områder har en strengere straff</w:t>
      </w:r>
      <w:r>
        <w:t>e</w:t>
      </w:r>
      <w:r>
        <w:t>ramme på Svalbard enn det som er tilfelle for tilsvarende felt på fastlandet. Dette gjelder blant annet fredede kultu</w:t>
      </w:r>
      <w:r>
        <w:t>r</w:t>
      </w:r>
      <w:r>
        <w:t>minner. En streng generell strafferamme vil kunne virke allmennpreventivt i forhold til uheldige akt</w:t>
      </w:r>
      <w:r>
        <w:t>iviteter, blant annet som følge av stadig økende turisme og ferdsel g</w:t>
      </w:r>
      <w:r>
        <w:t>e</w:t>
      </w:r>
      <w:r>
        <w:t>nerelt, og bidra til økt bevissthet om kultu</w:t>
      </w:r>
      <w:r>
        <w:t>r</w:t>
      </w:r>
      <w:r>
        <w:t xml:space="preserve">minnene på Svalbard sin spesielle og sårbare karakter. På bakgrunn av dette </w:t>
      </w:r>
      <w:r>
        <w:rPr>
          <w:spacing w:val="-3"/>
        </w:rPr>
        <w:t>foreslår departementet å øke den forhøyede straffe</w:t>
      </w:r>
      <w:r>
        <w:t>rammen etter sv</w:t>
      </w:r>
      <w:r>
        <w:t>albardmi</w:t>
      </w:r>
      <w:r>
        <w:t>l</w:t>
      </w:r>
      <w:r>
        <w:t xml:space="preserve">jøloven § 99 første ledd andre punktum fra 3 til 5 år. </w:t>
      </w:r>
    </w:p>
    <w:p w:rsidR="00000000" w:rsidRDefault="00E81532" w:rsidP="000762B7">
      <w:pPr>
        <w:pStyle w:val="Overskrift4"/>
      </w:pPr>
      <w:r>
        <w:t>Foreldelse</w:t>
      </w:r>
    </w:p>
    <w:p w:rsidR="00000000" w:rsidRDefault="00E81532" w:rsidP="000762B7">
      <w:r>
        <w:t>Ved straffebud som har høyere strafferamme ved «skjerpende omstendigheter» eller andre g</w:t>
      </w:r>
      <w:r>
        <w:t>e</w:t>
      </w:r>
      <w:r>
        <w:t>nerelle forhold, er det normalt den forhøyede rammen som er avgjør</w:t>
      </w:r>
      <w:r>
        <w:t>ende i relasjon til forelde</w:t>
      </w:r>
      <w:r>
        <w:t>l</w:t>
      </w:r>
      <w:r>
        <w:t>sesfrist, uavhengig av om det i den konkrete saken konkluderes med om det foreligger slike skjerpende omstendigheter eller ikke, jf. bl.a. Rt. 2010 s. 850.</w:t>
      </w:r>
    </w:p>
    <w:p w:rsidR="00000000" w:rsidRDefault="00E81532" w:rsidP="000762B7">
      <w:r>
        <w:t>Departementet forutsetter at forurensningsloven § 78 og produktkontrollo</w:t>
      </w:r>
      <w:r>
        <w:t>ven § 12 etter de f</w:t>
      </w:r>
      <w:r>
        <w:t>o</w:t>
      </w:r>
      <w:r>
        <w:t>reslåtte loven</w:t>
      </w:r>
      <w:r>
        <w:t>d</w:t>
      </w:r>
      <w:r>
        <w:t>ringene skal følge denne «normalregelen», m.a.o. at de foreslåtte straffskje</w:t>
      </w:r>
      <w:r>
        <w:t>r</w:t>
      </w:r>
      <w:r>
        <w:t>pingsbestemmelsene i foruren</w:t>
      </w:r>
      <w:r>
        <w:t>s</w:t>
      </w:r>
      <w:r>
        <w:t>ningsloven § 78 andre ledd første alternativ og produktko</w:t>
      </w:r>
      <w:r>
        <w:t>n</w:t>
      </w:r>
      <w:r>
        <w:t>trolloven § 12 nytt andre ledd skal være avgjørende i rel</w:t>
      </w:r>
      <w:r>
        <w:t>asjon til foreldelsesfristen etter straff</w:t>
      </w:r>
      <w:r>
        <w:t>e</w:t>
      </w:r>
      <w:r>
        <w:t>loven § 86. Foreldelsesfristen vil dermed være 5 år, jf. straffeloven § 86 første ledd bokstav b. Departementet legger til grunn at det ikke er nødvendig å presisere foreldelse</w:t>
      </w:r>
      <w:r>
        <w:t>s</w:t>
      </w:r>
      <w:r>
        <w:t>fristen i selve lovteksten, siden det</w:t>
      </w:r>
      <w:r>
        <w:t>te er normalregelen.</w:t>
      </w:r>
    </w:p>
    <w:p w:rsidR="00000000" w:rsidRDefault="00E81532" w:rsidP="000762B7">
      <w:r>
        <w:t>En foreldelsesfrist på 2 år ville ha vært et problem på forurensningslovens og produktko</w:t>
      </w:r>
      <w:r>
        <w:t>n</w:t>
      </w:r>
      <w:r>
        <w:t>trollovens område, fordi det ofte går tid fra et regelbrudd inntrer og opphører og frem til det blir oppdaget, og fordi undersøkelsene av regelbru</w:t>
      </w:r>
      <w:r>
        <w:t>ddet og dets årsaker og virkninger ofte er tidkr</w:t>
      </w:r>
      <w:r>
        <w:t>e</w:t>
      </w:r>
      <w:r>
        <w:t>vende.</w:t>
      </w:r>
    </w:p>
    <w:p w:rsidR="00000000" w:rsidRDefault="00E81532" w:rsidP="000762B7">
      <w:r>
        <w:t>De foreslåtte endringene i naturmangfoldloven § 75 andre ledd og svalbardmiljøloven § 99 første ledd andre punktum medfører at foreldelsesfristen endres fra 5 år til 10 år, jf. straffeloven § 86 først</w:t>
      </w:r>
      <w:r>
        <w:t>e ledd bo</w:t>
      </w:r>
      <w:r>
        <w:t>k</w:t>
      </w:r>
      <w:r>
        <w:t xml:space="preserve">stav c. </w:t>
      </w:r>
    </w:p>
    <w:p w:rsidR="00000000" w:rsidRDefault="00E81532" w:rsidP="000762B7">
      <w:pPr>
        <w:pStyle w:val="Overskrift4"/>
      </w:pPr>
      <w:r>
        <w:t>Tvangsmidler</w:t>
      </w:r>
    </w:p>
    <w:p w:rsidR="00000000" w:rsidRDefault="00E81532" w:rsidP="000762B7">
      <w:r>
        <w:t xml:space="preserve">For noen av tvangsmidlene etter straffeprosessloven er det et vilkår at det er skjellig grunn til mistanke om en handling som kan medføre høyere straff enn fengsel i 6 måneder. Dette gjelder pågripelse etter </w:t>
      </w:r>
      <w:r>
        <w:t>§ 171, ransaking av andre enn mistenkte etter § 195 tredje ledd, skjult fjer</w:t>
      </w:r>
      <w:r>
        <w:t>n</w:t>
      </w:r>
      <w:r>
        <w:t xml:space="preserve">synsovervåking på offentlig sted etter § 202 a, utsatt underretning om beslag av bevismidler etter § 203 jf. § 208 a, og beslag av brev mv. etter § 211. </w:t>
      </w:r>
    </w:p>
    <w:p w:rsidR="00000000" w:rsidRDefault="00E81532" w:rsidP="000762B7">
      <w:r>
        <w:t>Heving av den alminnelige</w:t>
      </w:r>
      <w:r>
        <w:t xml:space="preserve"> strafferammen i forurensningsloven §§ 78 og 79 og produktko</w:t>
      </w:r>
      <w:r>
        <w:t>n</w:t>
      </w:r>
      <w:r>
        <w:t xml:space="preserve">trolloven § 12 fra fengsel i 3 måneder til fengsel i 1 år vil dermed medføre at disse tvangsmidlene vil bli tilgjengelig for politiet, under forutsetning av at straffeprosesslovens øvrige vilkår </w:t>
      </w:r>
      <w:r>
        <w:t xml:space="preserve">for de enkelte tvangsmidlene også er oppfylt. </w:t>
      </w:r>
    </w:p>
    <w:p w:rsidR="00000000" w:rsidRDefault="00E81532" w:rsidP="000762B7">
      <w:r>
        <w:t>Heving av strafferammen i naturmangfoldloven § 75 andre ledd og svalbardmiljøloven § 99 første ledd andre punktum til fem år vil gi tilgang på noen flere straffeprosessuelle tvangsmidler, som teknisk sporing a</w:t>
      </w:r>
      <w:r>
        <w:t>v kj</w:t>
      </w:r>
      <w:r>
        <w:t>ø</w:t>
      </w:r>
      <w:r>
        <w:t>retøy jf. straffeprosessloven § 202 b og enkelte typer kontroll av kommunikasjonsanlegg, jf. straff</w:t>
      </w:r>
      <w:r>
        <w:t>e</w:t>
      </w:r>
      <w:r>
        <w:t>proses</w:t>
      </w:r>
      <w:r>
        <w:t>s</w:t>
      </w:r>
      <w:r>
        <w:t xml:space="preserve">loven § 216 b første ledd bokstav a. </w:t>
      </w:r>
    </w:p>
    <w:p w:rsidR="00000000" w:rsidRDefault="00E81532" w:rsidP="000762B7">
      <w:pPr>
        <w:pStyle w:val="Overskrift3"/>
      </w:pPr>
      <w:r>
        <w:lastRenderedPageBreak/>
        <w:t>Høringsinstansenes syn</w:t>
      </w:r>
    </w:p>
    <w:p w:rsidR="00000000" w:rsidRDefault="00E81532" w:rsidP="000762B7">
      <w:pPr>
        <w:pStyle w:val="avsnitt-undertittel"/>
      </w:pPr>
      <w:r>
        <w:t>Om endringene i produktkontrolloven, forurensningsloven og naturmangfol</w:t>
      </w:r>
      <w:r>
        <w:t>dloven</w:t>
      </w:r>
    </w:p>
    <w:p w:rsidR="00000000" w:rsidRDefault="00E81532" w:rsidP="000762B7">
      <w:pPr>
        <w:rPr>
          <w:rStyle w:val="kursiv"/>
          <w:sz w:val="21"/>
          <w:szCs w:val="21"/>
        </w:rPr>
      </w:pPr>
      <w:r>
        <w:rPr>
          <w:rStyle w:val="kursiv"/>
          <w:sz w:val="21"/>
          <w:szCs w:val="21"/>
        </w:rPr>
        <w:t>Direktoratet for samfunnssikkerhet og beredskap (DSB)</w:t>
      </w:r>
      <w:r>
        <w:t>, som er tilsynsmyndighet etter produktko</w:t>
      </w:r>
      <w:r>
        <w:t>n</w:t>
      </w:r>
      <w:r>
        <w:t>troll</w:t>
      </w:r>
      <w:r>
        <w:t>o</w:t>
      </w:r>
      <w:r>
        <w:t>ven, støtter forslaget om å heve strafferammen i produktkontrolloven. DSB har ikke vurdert endringene i fo</w:t>
      </w:r>
      <w:r>
        <w:t>r</w:t>
      </w:r>
      <w:r>
        <w:t>urensningsloven eller naturmangfoldloven.</w:t>
      </w:r>
    </w:p>
    <w:p w:rsidR="00000000" w:rsidRDefault="00E81532" w:rsidP="000762B7">
      <w:pPr>
        <w:rPr>
          <w:rStyle w:val="kursiv"/>
          <w:sz w:val="21"/>
          <w:szCs w:val="21"/>
        </w:rPr>
      </w:pPr>
      <w:r>
        <w:rPr>
          <w:rStyle w:val="kursiv"/>
          <w:sz w:val="21"/>
          <w:szCs w:val="21"/>
        </w:rPr>
        <w:t>Fylkesmannen i Hedmark</w:t>
      </w:r>
      <w:r>
        <w:t xml:space="preserve"> støtter hevingen av strafferammene i naturmangfoldloven, foruren</w:t>
      </w:r>
      <w:r>
        <w:t>s</w:t>
      </w:r>
      <w:r>
        <w:t>ningsl</w:t>
      </w:r>
      <w:r>
        <w:t>o</w:t>
      </w:r>
      <w:r>
        <w:t>ven og produktkontrolloven.</w:t>
      </w:r>
    </w:p>
    <w:p w:rsidR="00000000" w:rsidRDefault="00E81532" w:rsidP="000762B7">
      <w:pPr>
        <w:rPr>
          <w:rStyle w:val="kursiv"/>
          <w:sz w:val="21"/>
          <w:szCs w:val="21"/>
        </w:rPr>
      </w:pPr>
      <w:r>
        <w:rPr>
          <w:rStyle w:val="kursiv"/>
          <w:sz w:val="21"/>
          <w:szCs w:val="21"/>
        </w:rPr>
        <w:t>Norges vassdrags- og energidirektorat (NVE)</w:t>
      </w:r>
      <w:r>
        <w:t xml:space="preserve"> støtter forslaget om å heve strafferammene i foruren</w:t>
      </w:r>
      <w:r>
        <w:t>s</w:t>
      </w:r>
      <w:r>
        <w:t>ningsl</w:t>
      </w:r>
      <w:r>
        <w:t>o</w:t>
      </w:r>
      <w:r>
        <w:t xml:space="preserve">ven, produktkontrolloven og </w:t>
      </w:r>
      <w:r>
        <w:t xml:space="preserve">naturmangfoldloven. </w:t>
      </w:r>
    </w:p>
    <w:p w:rsidR="00000000" w:rsidRDefault="00E81532" w:rsidP="000762B7">
      <w:pPr>
        <w:rPr>
          <w:rStyle w:val="kursiv"/>
          <w:sz w:val="21"/>
          <w:szCs w:val="21"/>
        </w:rPr>
      </w:pPr>
      <w:r>
        <w:rPr>
          <w:rStyle w:val="kursiv"/>
          <w:sz w:val="21"/>
          <w:szCs w:val="21"/>
        </w:rPr>
        <w:t>Oslo politidistrikt</w:t>
      </w:r>
      <w:r>
        <w:t xml:space="preserve"> støtter forslaget om å heve strafferammene. Distriktet er av den oppfatning at fo</w:t>
      </w:r>
      <w:r>
        <w:t>r</w:t>
      </w:r>
      <w:r>
        <w:t>høyet strafferamme vil speile mer riktig hvor alvorlig samfunnet ser på slike lovovertredelser i dag kontra på det tidspunktet lovene</w:t>
      </w:r>
      <w:r>
        <w:t xml:space="preserve"> ble skrevet. </w:t>
      </w:r>
    </w:p>
    <w:p w:rsidR="00000000" w:rsidRDefault="00E81532" w:rsidP="000762B7">
      <w:r>
        <w:t>En annen effekt av forhøyet strafferamme fra 3 måneder til 1 år er at politiet får anledning til å pågripe den mistenkte etter primærhjemmelen i straffeprosessloven § 171. Oslo politidistrikt ser nytten av dette blant annet for å begrense be</w:t>
      </w:r>
      <w:r>
        <w:t>visforspillelsesfare i sakens initialfase.</w:t>
      </w:r>
    </w:p>
    <w:p w:rsidR="00000000" w:rsidRDefault="00E81532" w:rsidP="000762B7">
      <w:r>
        <w:t>Oslo politidistrikt foreslår at foreldelsesfristen ved overtredelse av forurensningsloven § 78 presiseres i loven, og uttaler at Høyestretts kjennelse Rt. 2015 s. 940 kan etterlate tvil om fo</w:t>
      </w:r>
      <w:r>
        <w:t>r</w:t>
      </w:r>
      <w:r>
        <w:t>tolkning av når fore</w:t>
      </w:r>
      <w:r>
        <w:t>l</w:t>
      </w:r>
      <w:r>
        <w:t>delsen inntrer. I den grad det er ønskelig fra direktoratet med lengre tid før foreldelse av straffansvar in</w:t>
      </w:r>
      <w:r>
        <w:t>n</w:t>
      </w:r>
      <w:r>
        <w:t>trer ved overtredelse av forurensningsloven, så er det Oslo polit</w:t>
      </w:r>
      <w:r>
        <w:t>i</w:t>
      </w:r>
      <w:r>
        <w:t>distrikts klare anbefaling at det lovhje</w:t>
      </w:r>
      <w:r>
        <w:t>m</w:t>
      </w:r>
      <w:r>
        <w:t>les særskilt i foruren</w:t>
      </w:r>
      <w:r>
        <w:t>s</w:t>
      </w:r>
      <w:r>
        <w:t>ningsloven og der</w:t>
      </w:r>
      <w:r>
        <w:t>ved avklarer rettstilstanden som til nå har vært uklar på dette punktet.</w:t>
      </w:r>
    </w:p>
    <w:p w:rsidR="00000000" w:rsidRDefault="00E81532" w:rsidP="000762B7">
      <w:pPr>
        <w:rPr>
          <w:rStyle w:val="kursiv"/>
          <w:sz w:val="21"/>
          <w:szCs w:val="21"/>
        </w:rPr>
      </w:pPr>
      <w:r>
        <w:rPr>
          <w:rStyle w:val="kursiv"/>
          <w:sz w:val="21"/>
          <w:szCs w:val="21"/>
        </w:rPr>
        <w:t>Politidirektoratet</w:t>
      </w:r>
      <w:r>
        <w:t xml:space="preserve"> støtter forslaget om å heve strafferammene i forurensningsloven, produktko</w:t>
      </w:r>
      <w:r>
        <w:t>n</w:t>
      </w:r>
      <w:r>
        <w:t>troll</w:t>
      </w:r>
      <w:r>
        <w:t>o</w:t>
      </w:r>
      <w:r>
        <w:t>ven og naturmangfoldloven, men mener at en bør se nærmere på de foreslåtte stramme</w:t>
      </w:r>
      <w:r>
        <w:t>r</w:t>
      </w:r>
      <w:r>
        <w:t>ammene i fo</w:t>
      </w:r>
      <w:r>
        <w:t>r</w:t>
      </w:r>
      <w:r>
        <w:t>uren</w:t>
      </w:r>
      <w:r>
        <w:t>s</w:t>
      </w:r>
      <w:r>
        <w:t>ningsloven sett opp mot straffeloven § 240 første ledd. Politidirektoratet slutter seg i det vesentlig</w:t>
      </w:r>
      <w:r>
        <w:t>s</w:t>
      </w:r>
      <w:r>
        <w:t>te til Økokrims vu</w:t>
      </w:r>
      <w:r>
        <w:t>r</w:t>
      </w:r>
      <w:r>
        <w:t>deringer av dette. Politidirektoratet er likevel usikker på om man bør oppheve straff</w:t>
      </w:r>
      <w:r>
        <w:t>e</w:t>
      </w:r>
      <w:r>
        <w:t xml:space="preserve">loven § 240, fordi de mener at </w:t>
      </w:r>
      <w:r>
        <w:t xml:space="preserve">alvorlig og forsettlig miljøkriminalitet bør ha en plass i straffeloven. </w:t>
      </w:r>
    </w:p>
    <w:p w:rsidR="00000000" w:rsidRDefault="00E81532" w:rsidP="000762B7">
      <w:r>
        <w:t>Politidirektoratet mener at foreldelsesfristen bør reguleres særskilt i forurensningsloven, og slutter seg til Oslo politidistrikts begrunnelse for dette.</w:t>
      </w:r>
    </w:p>
    <w:p w:rsidR="00000000" w:rsidRDefault="00E81532" w:rsidP="000762B7">
      <w:pPr>
        <w:rPr>
          <w:rStyle w:val="kursiv"/>
          <w:sz w:val="21"/>
          <w:szCs w:val="21"/>
        </w:rPr>
      </w:pPr>
      <w:r>
        <w:rPr>
          <w:rStyle w:val="kursiv"/>
          <w:sz w:val="21"/>
          <w:szCs w:val="21"/>
        </w:rPr>
        <w:t>Riksadvokaten</w:t>
      </w:r>
      <w:r>
        <w:t xml:space="preserve"> uttaler at ØK</w:t>
      </w:r>
      <w:r>
        <w:t xml:space="preserve">OKRIMs høringsuttalelse er dekkende for Riksadvokatens syn. </w:t>
      </w:r>
    </w:p>
    <w:p w:rsidR="00000000" w:rsidRDefault="00E81532" w:rsidP="000762B7">
      <w:pPr>
        <w:rPr>
          <w:rStyle w:val="kursiv"/>
          <w:sz w:val="21"/>
          <w:szCs w:val="21"/>
        </w:rPr>
      </w:pPr>
      <w:r>
        <w:rPr>
          <w:rStyle w:val="kursiv"/>
          <w:sz w:val="21"/>
          <w:szCs w:val="21"/>
        </w:rPr>
        <w:t>Sysselmannen på Svalbard</w:t>
      </w:r>
      <w:r>
        <w:t xml:space="preserve"> støtter forslaget om heving av strafferammene i produktkontrolloven (som også gjelder på Svalbard).</w:t>
      </w:r>
    </w:p>
    <w:p w:rsidR="00000000" w:rsidRDefault="00E81532" w:rsidP="000762B7">
      <w:pPr>
        <w:rPr>
          <w:rStyle w:val="kursiv"/>
          <w:sz w:val="21"/>
          <w:szCs w:val="21"/>
        </w:rPr>
      </w:pPr>
      <w:proofErr w:type="gramStart"/>
      <w:r>
        <w:rPr>
          <w:rStyle w:val="kursiv"/>
          <w:sz w:val="21"/>
          <w:szCs w:val="21"/>
        </w:rPr>
        <w:t>Vest politidistrikt</w:t>
      </w:r>
      <w:r>
        <w:t xml:space="preserve"> støtter</w:t>
      </w:r>
      <w:proofErr w:type="gramEnd"/>
      <w:r>
        <w:t xml:space="preserve"> forslaget om heving av strafferammene i de</w:t>
      </w:r>
      <w:r>
        <w:t xml:space="preserve"> tre lovene, som de mener refle</w:t>
      </w:r>
      <w:r>
        <w:t>k</w:t>
      </w:r>
      <w:r>
        <w:t xml:space="preserve">terer de siste årenes utvikling i reaksjoner i miljøkrimsaker. </w:t>
      </w:r>
      <w:proofErr w:type="gramStart"/>
      <w:r>
        <w:t>Vest politidistrikt ser</w:t>
      </w:r>
      <w:proofErr w:type="gramEnd"/>
      <w:r>
        <w:t xml:space="preserve"> svært positivt på at lo</w:t>
      </w:r>
      <w:r>
        <w:t>v</w:t>
      </w:r>
      <w:r>
        <w:t>forslaget klargjør spørsmålene om påtalekompetanse og foreldelsesfristens lengde, som har voldt og fremdeles vold</w:t>
      </w:r>
      <w:r>
        <w:t>er en del tvil i praksis.</w:t>
      </w:r>
    </w:p>
    <w:p w:rsidR="00000000" w:rsidRDefault="00E81532" w:rsidP="000762B7">
      <w:pPr>
        <w:rPr>
          <w:rStyle w:val="kursiv"/>
          <w:sz w:val="21"/>
          <w:szCs w:val="21"/>
        </w:rPr>
      </w:pPr>
      <w:r>
        <w:rPr>
          <w:rStyle w:val="kursiv"/>
          <w:sz w:val="21"/>
          <w:szCs w:val="21"/>
        </w:rPr>
        <w:t>ØKOKRIM</w:t>
      </w:r>
      <w:r>
        <w:t xml:space="preserve"> tar til orde for å innføre systemet med liten, vanlig og grov overtredelse i foruren</w:t>
      </w:r>
      <w:r>
        <w:t>s</w:t>
      </w:r>
      <w:r>
        <w:t>ningsl</w:t>
      </w:r>
      <w:r>
        <w:t>o</w:t>
      </w:r>
      <w:r>
        <w:t>ven, med strafferammer på f.eks. 1, 5 og 10 år. På samme måte kan man innføre vanlig og grov overtr</w:t>
      </w:r>
      <w:r>
        <w:t>e</w:t>
      </w:r>
      <w:r>
        <w:t>delse i natu</w:t>
      </w:r>
      <w:r>
        <w:t>r</w:t>
      </w:r>
      <w:r>
        <w:t xml:space="preserve">mangfoldloven og </w:t>
      </w:r>
      <w:r>
        <w:t xml:space="preserve">produktkontrolloven. ØKOKRIM tar også til orde for </w:t>
      </w:r>
      <w:r>
        <w:lastRenderedPageBreak/>
        <w:t>å vurdere 10 års straffe</w:t>
      </w:r>
      <w:r>
        <w:t>r</w:t>
      </w:r>
      <w:r>
        <w:t>amme i naturmangfoldloven, og å vurdere å redusere strafferammen i straffeloven § 240 til 10 år ev. op</w:t>
      </w:r>
      <w:r>
        <w:t>p</w:t>
      </w:r>
      <w:r>
        <w:t>heve denne og legge til tilsvarende skjerpingsalternativ i forurensningsloven</w:t>
      </w:r>
      <w:r>
        <w:t xml:space="preserve"> § 78. ØKOKRIM uttaler at den bør være 10 år selv om det vil innebære at svalbardmiljøloven § 99 får lavere strafferamme enn n</w:t>
      </w:r>
      <w:r>
        <w:t>a</w:t>
      </w:r>
      <w:r>
        <w:t xml:space="preserve">turmangfoldloven. </w:t>
      </w:r>
    </w:p>
    <w:p w:rsidR="00000000" w:rsidRDefault="00E81532" w:rsidP="000762B7">
      <w:pPr>
        <w:rPr>
          <w:rStyle w:val="kursiv"/>
          <w:sz w:val="21"/>
          <w:szCs w:val="21"/>
        </w:rPr>
      </w:pPr>
      <w:r>
        <w:rPr>
          <w:rStyle w:val="kursiv"/>
          <w:sz w:val="21"/>
          <w:szCs w:val="21"/>
        </w:rPr>
        <w:t>Advokatforeningen</w:t>
      </w:r>
      <w:r>
        <w:t xml:space="preserve"> støtter forslaget om å heve strafferammen i naturmangfoldloven § 75, og viser til at straffe</w:t>
      </w:r>
      <w:r>
        <w:t xml:space="preserve">loven § 240 er lite tilpasset en moderne økosystemtenkning. </w:t>
      </w:r>
    </w:p>
    <w:p w:rsidR="00000000" w:rsidRDefault="00E81532" w:rsidP="000762B7">
      <w:r>
        <w:t>Advokatforeningen støtter også forslaget om å innføre en straffskjerpingsregel i produktko</w:t>
      </w:r>
      <w:r>
        <w:t>n</w:t>
      </w:r>
      <w:r>
        <w:t xml:space="preserve">trolloven. </w:t>
      </w:r>
    </w:p>
    <w:p w:rsidR="00000000" w:rsidRDefault="00E81532" w:rsidP="000762B7">
      <w:r>
        <w:t>Advokatforeningen støtter derimot ikke forslaget om å heve den alminnelige strafferammen i f</w:t>
      </w:r>
      <w:r>
        <w:t>o</w:t>
      </w:r>
      <w:r>
        <w:t>r</w:t>
      </w:r>
      <w:r>
        <w:t>uren</w:t>
      </w:r>
      <w:r>
        <w:t>s</w:t>
      </w:r>
      <w:r>
        <w:t>ningsloven og produktkontrolloven fra 3 måneder til 1 år. Ønske om at politi- og påt</w:t>
      </w:r>
      <w:r>
        <w:t>a</w:t>
      </w:r>
      <w:r>
        <w:t>lemyndighet skal pri</w:t>
      </w:r>
      <w:r>
        <w:t>o</w:t>
      </w:r>
      <w:r>
        <w:t>ritere miljøkriminalitet er alene ingen tilfredsstillende begrunnelse for forslaget. Etter forenin</w:t>
      </w:r>
      <w:r>
        <w:t>g</w:t>
      </w:r>
      <w:r>
        <w:t>ens syn tilsier heller ikke alminnelige betr</w:t>
      </w:r>
      <w:r>
        <w:t>aktninger om behovet for en mer effektiv bekjempelse av mi</w:t>
      </w:r>
      <w:r>
        <w:t>l</w:t>
      </w:r>
      <w:r>
        <w:t>jøkrimin</w:t>
      </w:r>
      <w:r>
        <w:t>a</w:t>
      </w:r>
      <w:r>
        <w:t>litet, eller harmonisering med straffenivået i andre miljølover, at straffenivået heves. Bruken av strengere straffer fo</w:t>
      </w:r>
      <w:r>
        <w:t>r</w:t>
      </w:r>
      <w:r>
        <w:t>utsetter, etter Advokatfor</w:t>
      </w:r>
      <w:r>
        <w:t>e</w:t>
      </w:r>
      <w:r>
        <w:t>ningens syn, en særskilt begrunnelse som</w:t>
      </w:r>
      <w:r>
        <w:t xml:space="preserve"> viser at straffen vil ha den tilsiktede allmenn og/eller individualpreventive effekt.</w:t>
      </w:r>
    </w:p>
    <w:p w:rsidR="00000000" w:rsidRDefault="00E81532" w:rsidP="000762B7">
      <w:r>
        <w:t>Etter Advokatforeningens syn er det også usikkert om en skjerpelse av strafferammene i fo</w:t>
      </w:r>
      <w:r>
        <w:t>r</w:t>
      </w:r>
      <w:r>
        <w:t>uren</w:t>
      </w:r>
      <w:r>
        <w:t>s</w:t>
      </w:r>
      <w:r>
        <w:t>ningsloven og produktkontrolloven vil ha noen preventiv effekt ved siden a</w:t>
      </w:r>
      <w:r>
        <w:t>v innføringen av overtrede</w:t>
      </w:r>
      <w:r>
        <w:t>l</w:t>
      </w:r>
      <w:r>
        <w:t>sesgebyr. Adv</w:t>
      </w:r>
      <w:r>
        <w:t>o</w:t>
      </w:r>
      <w:r>
        <w:t>katforeningen mener at man fremfor å øke den alminnelige straffe</w:t>
      </w:r>
      <w:r>
        <w:t>r</w:t>
      </w:r>
      <w:r>
        <w:t>ammen i foruren</w:t>
      </w:r>
      <w:r>
        <w:t>s</w:t>
      </w:r>
      <w:r>
        <w:t>ningsloven og produk</w:t>
      </w:r>
      <w:r>
        <w:t>t</w:t>
      </w:r>
      <w:r>
        <w:t>kontrolloven nå, bør evaluere hvorvidt innføringen av overtredelsesgebyr får den nødvendige preventive effekt.</w:t>
      </w:r>
    </w:p>
    <w:p w:rsidR="00000000" w:rsidRDefault="00E81532" w:rsidP="000762B7">
      <w:pPr>
        <w:rPr>
          <w:rStyle w:val="kursiv"/>
          <w:sz w:val="21"/>
          <w:szCs w:val="21"/>
        </w:rPr>
      </w:pPr>
      <w:r>
        <w:rPr>
          <w:rStyle w:val="kursiv"/>
          <w:sz w:val="21"/>
          <w:szCs w:val="21"/>
        </w:rPr>
        <w:t>Av</w:t>
      </w:r>
      <w:r>
        <w:rPr>
          <w:rStyle w:val="kursiv"/>
          <w:sz w:val="21"/>
          <w:szCs w:val="21"/>
        </w:rPr>
        <w:t xml:space="preserve">fall Norge </w:t>
      </w:r>
      <w:r>
        <w:t>fremhever behovet for strafferammer og sanksjoner med preventiv effekt, og mener at my</w:t>
      </w:r>
      <w:r>
        <w:t>n</w:t>
      </w:r>
      <w:r>
        <w:t xml:space="preserve">dighetene må føre hyppig og omfattende tilsyn med at regelverket blir fulgt. </w:t>
      </w:r>
    </w:p>
    <w:p w:rsidR="00000000" w:rsidRDefault="00E81532" w:rsidP="000762B7">
      <w:pPr>
        <w:rPr>
          <w:rStyle w:val="kursiv"/>
          <w:sz w:val="21"/>
          <w:szCs w:val="21"/>
        </w:rPr>
      </w:pPr>
      <w:r>
        <w:rPr>
          <w:rStyle w:val="kursiv"/>
          <w:sz w:val="21"/>
          <w:szCs w:val="21"/>
        </w:rPr>
        <w:t xml:space="preserve">NOAH – for dyrs rettigheter </w:t>
      </w:r>
      <w:r>
        <w:t>ser det som positivt at det foreslås</w:t>
      </w:r>
      <w:r>
        <w:t xml:space="preserve"> en hevelse av strafferammen for grov ove</w:t>
      </w:r>
      <w:r>
        <w:t>r</w:t>
      </w:r>
      <w:r>
        <w:t xml:space="preserve">tredelse av naturmangfoldloven § 75 fra 3 til 5 år, fordi det er svært viktig for ulovlig handel med truede arter. </w:t>
      </w:r>
    </w:p>
    <w:p w:rsidR="00000000" w:rsidRDefault="00E81532" w:rsidP="000762B7">
      <w:pPr>
        <w:rPr>
          <w:rStyle w:val="kursiv"/>
          <w:sz w:val="21"/>
          <w:szCs w:val="21"/>
        </w:rPr>
      </w:pPr>
      <w:r>
        <w:rPr>
          <w:rStyle w:val="kursiv"/>
          <w:sz w:val="21"/>
          <w:szCs w:val="21"/>
        </w:rPr>
        <w:t xml:space="preserve">Norsk forening for farlig avfall (NFFA) </w:t>
      </w:r>
      <w:r>
        <w:t>er positiv til forslaget om å heve strafferammen i foruren</w:t>
      </w:r>
      <w:r>
        <w:t>s</w:t>
      </w:r>
      <w:r>
        <w:t>ningsloven og påpeker at det er viktig at det gis reaksjoner fra myndighetene dersom det utføres oppdrag med farlig avfall av aktører som mangler kompetanse, tillatelse eller andre forutse</w:t>
      </w:r>
      <w:r>
        <w:t>t</w:t>
      </w:r>
      <w:r>
        <w:t>ninger.</w:t>
      </w:r>
    </w:p>
    <w:p w:rsidR="00000000" w:rsidRDefault="00E81532" w:rsidP="000762B7">
      <w:pPr>
        <w:rPr>
          <w:rStyle w:val="kursiv"/>
          <w:sz w:val="21"/>
          <w:szCs w:val="21"/>
        </w:rPr>
      </w:pPr>
      <w:r>
        <w:rPr>
          <w:rStyle w:val="kursiv"/>
          <w:sz w:val="21"/>
          <w:szCs w:val="21"/>
        </w:rPr>
        <w:t>Norsk Industri</w:t>
      </w:r>
      <w:r>
        <w:t xml:space="preserve"> er uenig i at det er behov for å skjerpe st</w:t>
      </w:r>
      <w:r>
        <w:t>rafferammene og savner en bedre b</w:t>
      </w:r>
      <w:r>
        <w:t>e</w:t>
      </w:r>
      <w:r>
        <w:t>grunnelse for forslaget. Det er ikke dokumentert eller gitt en særskilt begrunnelse for at en skjerpelse av straffe</w:t>
      </w:r>
      <w:r>
        <w:t>r</w:t>
      </w:r>
      <w:r>
        <w:t>ammene vil ha noen preventiv effekt ved siden av innføring av overtr</w:t>
      </w:r>
      <w:r>
        <w:t>e</w:t>
      </w:r>
      <w:r>
        <w:t>delsesgebyr. For eksempel kunne det v</w:t>
      </w:r>
      <w:r>
        <w:t>ært naturlig å beskrive konkrete tilfeller der miljømy</w:t>
      </w:r>
      <w:r>
        <w:t>n</w:t>
      </w:r>
      <w:r>
        <w:t>dighetene vurderer at straffeutmålingen har blitt for lav til å ha ønsket preventiv effekt på grunn av lovens alminnelige strafferamme. Norsk Industri mener at det heller ikke kan tillegges vekt at økt</w:t>
      </w:r>
      <w:r>
        <w:t>e strafferammer forlenger foreldelsesfristen. Dersom en overtr</w:t>
      </w:r>
      <w:r>
        <w:t>e</w:t>
      </w:r>
      <w:r>
        <w:t xml:space="preserve">delse av lovene vurderes som alvorlig bør saken også prioriteres av myndighetene. </w:t>
      </w:r>
    </w:p>
    <w:p w:rsidR="00000000" w:rsidRDefault="00E81532" w:rsidP="000762B7">
      <w:r>
        <w:t>Før strafferammene i lovene ev. økes mener Norsk Industri det først bør evalueres om det a</w:t>
      </w:r>
      <w:r>
        <w:t>d</w:t>
      </w:r>
      <w:r>
        <w:t>ministr</w:t>
      </w:r>
      <w:r>
        <w:t>a</w:t>
      </w:r>
      <w:r>
        <w:t>tive sanksj</w:t>
      </w:r>
      <w:r>
        <w:t>onssystemet som foreslås innført gir ønsket preventiv effekt.</w:t>
      </w:r>
    </w:p>
    <w:p w:rsidR="00000000" w:rsidRDefault="00E81532" w:rsidP="000762B7">
      <w:pPr>
        <w:rPr>
          <w:rStyle w:val="kursiv"/>
          <w:sz w:val="21"/>
          <w:szCs w:val="21"/>
        </w:rPr>
      </w:pPr>
      <w:r>
        <w:rPr>
          <w:rStyle w:val="kursiv"/>
          <w:sz w:val="21"/>
          <w:szCs w:val="21"/>
        </w:rPr>
        <w:lastRenderedPageBreak/>
        <w:t>Næringslivets hovedorganisasjon (NHO)</w:t>
      </w:r>
      <w:r>
        <w:t xml:space="preserve"> er uenig i at strafferammene i forurensningsloven og pr</w:t>
      </w:r>
      <w:r>
        <w:t>o</w:t>
      </w:r>
      <w:r>
        <w:t>duktko</w:t>
      </w:r>
      <w:r>
        <w:t>n</w:t>
      </w:r>
      <w:r>
        <w:t>trolloven bør økes, og mener at man først bør evaluere om det administrative san</w:t>
      </w:r>
      <w:r>
        <w:t>k</w:t>
      </w:r>
      <w:r>
        <w:t>sjonssysteme</w:t>
      </w:r>
      <w:r>
        <w:t>t som foreslås innført, gir ønsket preventiv effekt.</w:t>
      </w:r>
    </w:p>
    <w:p w:rsidR="00000000" w:rsidRDefault="00E81532" w:rsidP="000762B7">
      <w:pPr>
        <w:rPr>
          <w:rStyle w:val="kursiv"/>
          <w:sz w:val="21"/>
          <w:szCs w:val="21"/>
        </w:rPr>
      </w:pPr>
      <w:r>
        <w:rPr>
          <w:rStyle w:val="kursiv"/>
          <w:sz w:val="21"/>
          <w:szCs w:val="21"/>
        </w:rPr>
        <w:t xml:space="preserve">Norsk Vann </w:t>
      </w:r>
      <w:r>
        <w:t>ser ikke behovet for å øke strafferammen til hhv. 1, 3 og 5 år. Innføring av overtr</w:t>
      </w:r>
      <w:r>
        <w:t>e</w:t>
      </w:r>
      <w:r>
        <w:t>delse</w:t>
      </w:r>
      <w:r>
        <w:t>s</w:t>
      </w:r>
      <w:r>
        <w:t>gebyr vil i praksis øke muligheten for at flere lovbrudd blir fulgt opp med en reaksjon. Økt oppfølgin</w:t>
      </w:r>
      <w:r>
        <w:t>g av brudd på forurensningsloven vil kunne virke preventivt, gjennom å øke samfu</w:t>
      </w:r>
      <w:r>
        <w:t>n</w:t>
      </w:r>
      <w:r>
        <w:t>nets fokus på konsekve</w:t>
      </w:r>
      <w:r>
        <w:t>n</w:t>
      </w:r>
      <w:r>
        <w:t xml:space="preserve">sene av ulovlig forurensning. Norsk Vann mener det er lite trolig at en økning av strafferammen vil ha ytterligere preventiv effekt. Norsk Vann er ikke </w:t>
      </w:r>
      <w:r>
        <w:t>enig i at stra</w:t>
      </w:r>
      <w:r>
        <w:t>f</w:t>
      </w:r>
      <w:r>
        <w:t>ferammen i forurensningsloven og produk</w:t>
      </w:r>
      <w:r>
        <w:t>t</w:t>
      </w:r>
      <w:r>
        <w:t>kontrolloven er for lav. Dersom forslaget likevel opprettholdes, bør dette ses i sammenheng med straff</w:t>
      </w:r>
      <w:r>
        <w:t>e</w:t>
      </w:r>
      <w:r>
        <w:t>rammen i plan- og by</w:t>
      </w:r>
      <w:r>
        <w:t>g</w:t>
      </w:r>
      <w:r>
        <w:t>ningsloven § 32-9.</w:t>
      </w:r>
    </w:p>
    <w:p w:rsidR="00000000" w:rsidRDefault="00E81532" w:rsidP="000762B7">
      <w:pPr>
        <w:rPr>
          <w:rStyle w:val="kursiv"/>
          <w:sz w:val="21"/>
          <w:szCs w:val="21"/>
        </w:rPr>
      </w:pPr>
      <w:r>
        <w:rPr>
          <w:rStyle w:val="kursiv"/>
          <w:sz w:val="21"/>
          <w:szCs w:val="21"/>
        </w:rPr>
        <w:t>WWF Verdens naturfond</w:t>
      </w:r>
      <w:r>
        <w:t xml:space="preserve"> støtter forslaget om å heve straffer</w:t>
      </w:r>
      <w:r>
        <w:t>ammen i naturmangfoldloven, og uttaler blant annet at utfordringene med miljøkriminalitet nasjonalt, regionalt og internasjonalt er store og krever økt innsats også i Norge. WWF mener det i dag er for liten risiko for å bli tatt for miljøkriminalitet i No</w:t>
      </w:r>
      <w:r>
        <w:t>r</w:t>
      </w:r>
      <w:r>
        <w:t>ge, sammenlignet med andre typer kriminalitet. WWF nevner inn- og utførsel av truede arter som e</w:t>
      </w:r>
      <w:r>
        <w:t>k</w:t>
      </w:r>
      <w:r>
        <w:t>sempler på alvorlig miljøkriminalitet som omfattes av straffeb</w:t>
      </w:r>
      <w:r>
        <w:t>e</w:t>
      </w:r>
      <w:r>
        <w:t>stemmelsen.</w:t>
      </w:r>
    </w:p>
    <w:p w:rsidR="00000000" w:rsidRDefault="00E81532" w:rsidP="000762B7">
      <w:r>
        <w:t xml:space="preserve">WWF mener at det av allmennpreventive hensyn er viktig at straffenivået heves for å </w:t>
      </w:r>
      <w:r>
        <w:t>reflektere alvo</w:t>
      </w:r>
      <w:r>
        <w:t>r</w:t>
      </w:r>
      <w:r>
        <w:t>ligheten av miljøkriminalitet. Dette er alene ikke tilstrekkelig for å ta tak i all miljøkrim</w:t>
      </w:r>
      <w:r>
        <w:t>i</w:t>
      </w:r>
      <w:r>
        <w:t>nalitet, men vil være et viktig bidrag til rammeverket som er nødvendig for å redusere trusselen fra miljøkriminalitet mot norsk, og til en viss g</w:t>
      </w:r>
      <w:r>
        <w:t>rad internasjonalt, naturmangfold.</w:t>
      </w:r>
    </w:p>
    <w:p w:rsidR="00000000" w:rsidRDefault="00E81532" w:rsidP="000762B7">
      <w:pPr>
        <w:pStyle w:val="avsnitt-undertittel"/>
      </w:pPr>
      <w:r>
        <w:t>Om endringen i svalbardmiljøloven</w:t>
      </w:r>
    </w:p>
    <w:p w:rsidR="00000000" w:rsidRDefault="00E81532" w:rsidP="000762B7">
      <w:pPr>
        <w:rPr>
          <w:rStyle w:val="kursiv"/>
          <w:sz w:val="21"/>
          <w:szCs w:val="21"/>
        </w:rPr>
      </w:pPr>
      <w:r>
        <w:rPr>
          <w:rStyle w:val="kursiv"/>
          <w:sz w:val="21"/>
          <w:szCs w:val="21"/>
        </w:rPr>
        <w:t xml:space="preserve">Justis- og beredskapsdepartementet </w:t>
      </w:r>
      <w:r>
        <w:t>påpeker at en strafferamme på 5 år medfører foreldelse etter 10 år, jf. straffeloven § 86 første ledd bokstav c, og at det derfor er feil når det i høri</w:t>
      </w:r>
      <w:r>
        <w:t>ngsnotatet heter at forslaget til endring av strafferammen ikke får betydning for foreldelsen.</w:t>
      </w:r>
    </w:p>
    <w:p w:rsidR="00000000" w:rsidRDefault="00E81532" w:rsidP="000762B7">
      <w:pPr>
        <w:rPr>
          <w:rStyle w:val="kursiv"/>
          <w:sz w:val="21"/>
          <w:szCs w:val="21"/>
        </w:rPr>
      </w:pPr>
      <w:r>
        <w:rPr>
          <w:rStyle w:val="kursiv"/>
          <w:sz w:val="21"/>
          <w:szCs w:val="21"/>
        </w:rPr>
        <w:t>Direktoratet for mineralforvaltning med Bergmesteren på Svalbard</w:t>
      </w:r>
      <w:r>
        <w:t xml:space="preserve"> bemerker på generelt grunnlag vi</w:t>
      </w:r>
      <w:r>
        <w:t>k</w:t>
      </w:r>
      <w:r>
        <w:t>tigheten av at regelverksutvikling tar høyde for de særskilte a</w:t>
      </w:r>
      <w:r>
        <w:t>rktiske forholdene på Svalbard, og at geol</w:t>
      </w:r>
      <w:r>
        <w:t>o</w:t>
      </w:r>
      <w:r>
        <w:t>giske re</w:t>
      </w:r>
      <w:r>
        <w:t>s</w:t>
      </w:r>
      <w:r>
        <w:t>surser, herunder bl.a. konsekvensene av tiltak som kan komme i konflikt med, hindre eller b</w:t>
      </w:r>
      <w:r>
        <w:t>e</w:t>
      </w:r>
      <w:r>
        <w:t>grense utnyttelse av slike ressurser, blir grundig belyst.</w:t>
      </w:r>
    </w:p>
    <w:p w:rsidR="00000000" w:rsidRDefault="00E81532" w:rsidP="000762B7">
      <w:pPr>
        <w:rPr>
          <w:rStyle w:val="kursiv"/>
          <w:sz w:val="21"/>
          <w:szCs w:val="21"/>
        </w:rPr>
      </w:pPr>
      <w:r>
        <w:rPr>
          <w:rStyle w:val="kursiv"/>
          <w:sz w:val="21"/>
          <w:szCs w:val="21"/>
        </w:rPr>
        <w:t xml:space="preserve">Fiskeridirektoratet </w:t>
      </w:r>
      <w:r>
        <w:t>slutter seg til at det prinsipielt sett er behov for å skjerpe strafferammen for betyd</w:t>
      </w:r>
      <w:r>
        <w:t>e</w:t>
      </w:r>
      <w:r>
        <w:t>lig skade på miljø og naturressurser på Svalbard. Fiskeridirektoratet uttaler videre at det er begrenset fisk</w:t>
      </w:r>
      <w:r>
        <w:t>e</w:t>
      </w:r>
      <w:r>
        <w:t>riaktivitet i sjøområdet ut til territorialgrensen som er o</w:t>
      </w:r>
      <w:r>
        <w:t>mfattet av svalbardmi</w:t>
      </w:r>
      <w:r>
        <w:t>l</w:t>
      </w:r>
      <w:r>
        <w:t>jøloven, og Fiskerid</w:t>
      </w:r>
      <w:r>
        <w:t>i</w:t>
      </w:r>
      <w:r>
        <w:t>rekt</w:t>
      </w:r>
      <w:r>
        <w:t>o</w:t>
      </w:r>
      <w:r>
        <w:t>ratet har ingen indikasjoner på at det er risiko for miljøskadelig fo</w:t>
      </w:r>
      <w:r>
        <w:t>r</w:t>
      </w:r>
      <w:r>
        <w:t>urensning fra denne aktiviteten. Fisk</w:t>
      </w:r>
      <w:r>
        <w:t>e</w:t>
      </w:r>
      <w:r>
        <w:t>ridirektoratet er imidlertid enig i at lav oppdagelsesrisiko, allmennpreventive hensyn og det forhol</w:t>
      </w:r>
      <w:r>
        <w:t>d at Svalbard har et særlig sårbart miljø, gjør det minst like nødvendig å heve strafferammen for miljøkr</w:t>
      </w:r>
      <w:r>
        <w:t>i</w:t>
      </w:r>
      <w:r>
        <w:t>min</w:t>
      </w:r>
      <w:r>
        <w:t>a</w:t>
      </w:r>
      <w:r>
        <w:t>litet på Svalbard som på fastlandet.</w:t>
      </w:r>
    </w:p>
    <w:p w:rsidR="00000000" w:rsidRDefault="00E81532" w:rsidP="000762B7">
      <w:pPr>
        <w:rPr>
          <w:rStyle w:val="kursiv"/>
          <w:sz w:val="21"/>
          <w:szCs w:val="21"/>
        </w:rPr>
      </w:pPr>
      <w:r>
        <w:rPr>
          <w:rStyle w:val="kursiv"/>
          <w:sz w:val="21"/>
          <w:szCs w:val="21"/>
        </w:rPr>
        <w:t>Kystverket</w:t>
      </w:r>
      <w:r>
        <w:t xml:space="preserve"> støtter forslaget om å heve strafferammen i svalbardmiljøloven.</w:t>
      </w:r>
    </w:p>
    <w:p w:rsidR="00000000" w:rsidRDefault="00E81532" w:rsidP="000762B7">
      <w:pPr>
        <w:rPr>
          <w:rStyle w:val="kursiv"/>
          <w:sz w:val="21"/>
          <w:szCs w:val="21"/>
        </w:rPr>
      </w:pPr>
      <w:r>
        <w:rPr>
          <w:rStyle w:val="kursiv"/>
          <w:sz w:val="21"/>
          <w:szCs w:val="21"/>
        </w:rPr>
        <w:t>Norges vassdrags- og energidirekto</w:t>
      </w:r>
      <w:r>
        <w:rPr>
          <w:rStyle w:val="kursiv"/>
          <w:sz w:val="21"/>
          <w:szCs w:val="21"/>
        </w:rPr>
        <w:t>rat (NVE)</w:t>
      </w:r>
      <w:r>
        <w:t xml:space="preserve"> støtter forslaget om å heve strafferammen i svalbar</w:t>
      </w:r>
      <w:r>
        <w:t>d</w:t>
      </w:r>
      <w:r>
        <w:t>mi</w:t>
      </w:r>
      <w:r>
        <w:t>l</w:t>
      </w:r>
      <w:r>
        <w:t xml:space="preserve">jøloven. </w:t>
      </w:r>
    </w:p>
    <w:p w:rsidR="00000000" w:rsidRDefault="00E81532" w:rsidP="000762B7">
      <w:pPr>
        <w:rPr>
          <w:rStyle w:val="kursiv"/>
          <w:sz w:val="21"/>
          <w:szCs w:val="21"/>
        </w:rPr>
      </w:pPr>
      <w:r>
        <w:rPr>
          <w:rStyle w:val="kursiv"/>
          <w:sz w:val="21"/>
          <w:szCs w:val="21"/>
        </w:rPr>
        <w:t>Sysselmannen på Svalbard</w:t>
      </w:r>
      <w:r>
        <w:t xml:space="preserve"> støtter forslaget om å heve strafferammen i svalbardmiljøloven. Sy</w:t>
      </w:r>
      <w:r>
        <w:t>s</w:t>
      </w:r>
      <w:r>
        <w:t>se</w:t>
      </w:r>
      <w:r>
        <w:t>l</w:t>
      </w:r>
      <w:r>
        <w:t>mannen mener at det er svært viktig at strafferammene for miljøkriminalitet på Svalbar</w:t>
      </w:r>
      <w:r>
        <w:t xml:space="preserve">d er </w:t>
      </w:r>
      <w:r>
        <w:lastRenderedPageBreak/>
        <w:t>minst like strenge som på fastlandet. Høye strafferammer kan ha en stor allmennpreventiv b</w:t>
      </w:r>
      <w:r>
        <w:t>e</w:t>
      </w:r>
      <w:r>
        <w:t xml:space="preserve">tydning og er viktig for å ivareta de unike miljøverdiene som finnes på Svalbard. </w:t>
      </w:r>
    </w:p>
    <w:p w:rsidR="00000000" w:rsidRDefault="00E81532" w:rsidP="000762B7">
      <w:pPr>
        <w:rPr>
          <w:rStyle w:val="kursiv"/>
          <w:sz w:val="21"/>
          <w:szCs w:val="21"/>
        </w:rPr>
      </w:pPr>
      <w:r>
        <w:rPr>
          <w:rStyle w:val="kursiv"/>
          <w:sz w:val="21"/>
          <w:szCs w:val="21"/>
        </w:rPr>
        <w:t>Politidirektoratet</w:t>
      </w:r>
      <w:r>
        <w:t xml:space="preserve"> støtter forslaget om å heve strafferammen i svalbardmiljøl</w:t>
      </w:r>
      <w:r>
        <w:t xml:space="preserve">oven. </w:t>
      </w:r>
    </w:p>
    <w:p w:rsidR="00000000" w:rsidRDefault="00E81532" w:rsidP="000762B7">
      <w:pPr>
        <w:rPr>
          <w:rStyle w:val="kursiv"/>
          <w:sz w:val="21"/>
          <w:szCs w:val="21"/>
        </w:rPr>
      </w:pPr>
      <w:r>
        <w:rPr>
          <w:rStyle w:val="kursiv"/>
          <w:sz w:val="21"/>
          <w:szCs w:val="21"/>
        </w:rPr>
        <w:t xml:space="preserve">Troms og Finnmark statsadvokatembeter </w:t>
      </w:r>
      <w:r>
        <w:t>slutter seg til at det prinsipielt er behov for å ha minst like strenge strafferammer for miljøkriminalitet på Svalbard som på fastlandet, på grunn av lav oppdagelsesr</w:t>
      </w:r>
      <w:r>
        <w:t>i</w:t>
      </w:r>
      <w:r>
        <w:t>siko, al</w:t>
      </w:r>
      <w:r>
        <w:t>l</w:t>
      </w:r>
      <w:r>
        <w:t>mennpreventive behov og særlig sår</w:t>
      </w:r>
      <w:r>
        <w:t>barhet for kulturminner, miljø og fauna. Troms og Finnmark statsadv</w:t>
      </w:r>
      <w:r>
        <w:t>o</w:t>
      </w:r>
      <w:r>
        <w:t>katembeter påpeker at det frem til i dag ikke har oppstått behov for å utnytte den eksisterende strafferammen på 3 år, men at det ikke kan utelukkes at særlige alvorlige saker kan oppstå i</w:t>
      </w:r>
      <w:r>
        <w:t xml:space="preserve"> fremtiden, med behov for straff av fengsel i mer enn 3 år. </w:t>
      </w:r>
    </w:p>
    <w:p w:rsidR="00000000" w:rsidRDefault="00E81532" w:rsidP="000762B7">
      <w:pPr>
        <w:rPr>
          <w:rFonts w:ascii="Arial" w:hAnsi="Arial" w:cs="Arial"/>
          <w:b/>
          <w:bCs/>
        </w:rPr>
      </w:pPr>
      <w:r>
        <w:rPr>
          <w:rStyle w:val="kursiv"/>
          <w:sz w:val="21"/>
          <w:szCs w:val="21"/>
        </w:rPr>
        <w:t>ØKOKRIM</w:t>
      </w:r>
      <w:r>
        <w:t xml:space="preserve"> støtter forslaget om å heve strafferammen i svalbardmiljøloven til 5 år.</w:t>
      </w:r>
    </w:p>
    <w:p w:rsidR="00000000" w:rsidRDefault="00E81532" w:rsidP="000762B7">
      <w:pPr>
        <w:pStyle w:val="Overskrift3"/>
      </w:pPr>
      <w:r>
        <w:t>Departementets vurderinger</w:t>
      </w:r>
    </w:p>
    <w:p w:rsidR="00000000" w:rsidRDefault="00E81532" w:rsidP="000762B7">
      <w:r>
        <w:t>Departementet vurderer at de foreslåtte endringene i strafferammer i forure</w:t>
      </w:r>
      <w:r>
        <w:t>nsningsloven, pr</w:t>
      </w:r>
      <w:r>
        <w:t>o</w:t>
      </w:r>
      <w:r>
        <w:t>duktko</w:t>
      </w:r>
      <w:r>
        <w:t>n</w:t>
      </w:r>
      <w:r>
        <w:t>trolloven og naturmangfoldloven har mottatt bred støtte i høringen. Innvendingene fra Advokatforenin</w:t>
      </w:r>
      <w:r>
        <w:t>g</w:t>
      </w:r>
      <w:r>
        <w:t>en, Norsk Industri og NHO mot å heve den alminnelige strafferammen i pr</w:t>
      </w:r>
      <w:r>
        <w:t>o</w:t>
      </w:r>
      <w:r>
        <w:t>duktkontrolloven og fo</w:t>
      </w:r>
      <w:r>
        <w:t>r</w:t>
      </w:r>
      <w:r>
        <w:t>uren</w:t>
      </w:r>
      <w:r>
        <w:t>s</w:t>
      </w:r>
      <w:r>
        <w:t xml:space="preserve">ningsloven fra 3 måneder til 1 </w:t>
      </w:r>
      <w:r>
        <w:t>år er vurdert, men departementet er ikke enige i at man bør vente med å innføre 1 års strafferamme til man har evaluert den preventive effekten av overtredelsesgebyr. A</w:t>
      </w:r>
      <w:r>
        <w:t>r</w:t>
      </w:r>
      <w:r>
        <w:t>gume</w:t>
      </w:r>
      <w:r>
        <w:t>n</w:t>
      </w:r>
      <w:r>
        <w:t>tene for å heve strafferammen gjør seg gjeldende selv om man skulle lykkes med å r</w:t>
      </w:r>
      <w:r>
        <w:t>edusere anta</w:t>
      </w:r>
      <w:r>
        <w:t>l</w:t>
      </w:r>
      <w:r>
        <w:t>let overtredelser av de to lovene gjennom bruk av overtredelsesgebyr. Departementet mener det er ti</w:t>
      </w:r>
      <w:r>
        <w:t>l</w:t>
      </w:r>
      <w:r>
        <w:t>stre</w:t>
      </w:r>
      <w:r>
        <w:t>k</w:t>
      </w:r>
      <w:r>
        <w:t>kelig begrunnet å heve strafferammene.</w:t>
      </w:r>
    </w:p>
    <w:p w:rsidR="00000000" w:rsidRDefault="00E81532" w:rsidP="000762B7">
      <w:r>
        <w:t>Departementet har notert seg ØKOKRIMs forslag om å innføre systemet med liten, vanlig og grov overt</w:t>
      </w:r>
      <w:r>
        <w:t>r</w:t>
      </w:r>
      <w:r>
        <w:t>e</w:t>
      </w:r>
      <w:r>
        <w:t>delse, heving av strafferammen i naturmangfoldloven til 10 år og mulige endringer i straffeloven § 240, men dette innebærer en mer omfattende revisjon av straffereglene enn det som har vært målet for lovarbeidet her.</w:t>
      </w:r>
    </w:p>
    <w:p w:rsidR="00000000" w:rsidRDefault="00E81532" w:rsidP="000762B7">
      <w:r>
        <w:t>Departementet klargjør at foreldelses</w:t>
      </w:r>
      <w:r>
        <w:t>fristen for overtredelse av forurensningsloven § 78 og produk</w:t>
      </w:r>
      <w:r>
        <w:t>t</w:t>
      </w:r>
      <w:r>
        <w:t>ko</w:t>
      </w:r>
      <w:r>
        <w:t>n</w:t>
      </w:r>
      <w:r>
        <w:t>trolloven § 12 følger normalregelen, og er dermed 5 år. Departementet legger til grunn at det ikke er nødvendig å innta en særskilt fristregel i loven når det følger normalregelen, jf. omtale</w:t>
      </w:r>
      <w:r>
        <w:t xml:space="preserve"> av foreldelse over. Departementet har likevel presisert foreldelsesfristen i merknader til bestemmelsene, for at det ikke skal være noen tvil.</w:t>
      </w:r>
    </w:p>
    <w:p w:rsidR="00000000" w:rsidRDefault="00E81532" w:rsidP="000762B7">
      <w:r>
        <w:t>Departementet klargjør videre at vurderingen av om den forhøyede strafferammen i foruren</w:t>
      </w:r>
      <w:r>
        <w:t>s</w:t>
      </w:r>
      <w:r>
        <w:t>ningsl</w:t>
      </w:r>
      <w:r>
        <w:t>o</w:t>
      </w:r>
      <w:r>
        <w:t>ven § 78, produk</w:t>
      </w:r>
      <w:r>
        <w:t>tkontrolloven § 12, naturmangfoldloven § 75 og svalbardmiljøloven § 99 kommer til anvendelse, hører til straffutmålingen, og ikke til skyldspørsmålet. Beste</w:t>
      </w:r>
      <w:r>
        <w:t>m</w:t>
      </w:r>
      <w:r>
        <w:t>melsen i straffeloven § 24 får derfor ikke betydning for disse bestemmelsene. Følger som gje</w:t>
      </w:r>
      <w:r>
        <w:t>r</w:t>
      </w:r>
      <w:r>
        <w:t>ningsp</w:t>
      </w:r>
      <w:r>
        <w:t>ersonen kunne, men ikke burde, innsett muligheten av, får betydning for straffutmålingen på samme måte som tidligere.</w:t>
      </w:r>
    </w:p>
    <w:p w:rsidR="00000000" w:rsidRDefault="00E81532" w:rsidP="000762B7">
      <w:r>
        <w:t xml:space="preserve">Når det gjelder endringene i Svalbardmiljøloven så er det også gitt bred støtte til forslaget. Det er ingen høringsinstanser som går imot </w:t>
      </w:r>
      <w:r>
        <w:t>forslaget. Departementet vurderer at det ikke er behov for noen justeringer i forslaget til lovbestemmelse på bakgrunn av høringsuttalelsene. At endringen av straffera</w:t>
      </w:r>
      <w:r>
        <w:t>m</w:t>
      </w:r>
      <w:r>
        <w:t>men fra 3 år til 5 år får betydning for foreldelsesfristen er rettet opp i omtalen.</w:t>
      </w:r>
    </w:p>
    <w:p w:rsidR="00000000" w:rsidRDefault="00E81532" w:rsidP="000762B7">
      <w:pPr>
        <w:pStyle w:val="Overskrift2"/>
      </w:pPr>
      <w:r>
        <w:lastRenderedPageBreak/>
        <w:t>Presisering av påtalekompetanse i straffeprosessloven § 67</w:t>
      </w:r>
    </w:p>
    <w:p w:rsidR="00000000" w:rsidRDefault="00E81532" w:rsidP="000762B7">
      <w:pPr>
        <w:pStyle w:val="Overskrift3"/>
      </w:pPr>
      <w:r>
        <w:t>Gjeldende rett og høringsforslag</w:t>
      </w:r>
    </w:p>
    <w:p w:rsidR="00000000" w:rsidRDefault="00E81532" w:rsidP="000762B7">
      <w:r>
        <w:t>I kjennelse inntatt i Rt. 2015 s. 940 fastslo Høyesterett at påtalekompetansen for brudd på fo</w:t>
      </w:r>
      <w:r>
        <w:t>r</w:t>
      </w:r>
      <w:r>
        <w:t>urensning</w:t>
      </w:r>
      <w:r>
        <w:t>s</w:t>
      </w:r>
      <w:r>
        <w:t>loven § 78 før</w:t>
      </w:r>
      <w:r>
        <w:t>ste ledd ligger hos politiet, på tross av at strafferammen ved skjerpende omstendigheter etter § 78 andre ledd normalt skulle tilsi at påtalekompetansen lå hos statsa</w:t>
      </w:r>
      <w:r>
        <w:t>d</w:t>
      </w:r>
      <w:r>
        <w:t xml:space="preserve">vokaten. Departementet foreslår at påtalekompetansen for politiet etter § 78 første ledd </w:t>
      </w:r>
      <w:r>
        <w:t>pres</w:t>
      </w:r>
      <w:r>
        <w:t>i</w:t>
      </w:r>
      <w:r>
        <w:t>seres i straffeprosessloven § 67 andre ledd bo</w:t>
      </w:r>
      <w:r>
        <w:t>k</w:t>
      </w:r>
      <w:r>
        <w:t>stav c. Dette bør gjøres som følge av at straff</w:t>
      </w:r>
      <w:r>
        <w:t>e</w:t>
      </w:r>
      <w:r>
        <w:t>budet skal følge «normalregelen» når det gjelder foreldelse, se punkt 4.3.2.4. Med denne pres</w:t>
      </w:r>
      <w:r>
        <w:t>i</w:t>
      </w:r>
      <w:r>
        <w:t>seringen, unngår en inkonsekvens mellom regelen om påtalekompe</w:t>
      </w:r>
      <w:r>
        <w:t>tanse og regelen om fore</w:t>
      </w:r>
      <w:r>
        <w:t>l</w:t>
      </w:r>
      <w:r>
        <w:t>delse. Politiet har allerede per i dag påtalekompetansen for brudd på forurensningsl</w:t>
      </w:r>
      <w:r>
        <w:t>o</w:t>
      </w:r>
      <w:r>
        <w:t xml:space="preserve">ven § 79 tredje ledd, der strafferammen er 2 år, jf. gjeldende straffeprosesslov § 67 andre ledd bokstav c. Kompetansen til å ta ut tiltale etter </w:t>
      </w:r>
      <w:r>
        <w:t>§ 78 andre ledd skal fortsatt ligge hos statsadvokaten.</w:t>
      </w:r>
    </w:p>
    <w:p w:rsidR="00000000" w:rsidRDefault="00E81532" w:rsidP="000762B7">
      <w:r>
        <w:t>Påtalekompetansen for brudd på produktkontrolloven § 12 ligger i dag hos politiet, etter h</w:t>
      </w:r>
      <w:r>
        <w:t>o</w:t>
      </w:r>
      <w:r>
        <w:t>vedreg</w:t>
      </w:r>
      <w:r>
        <w:t>e</w:t>
      </w:r>
      <w:r>
        <w:t>len i straffeprosessloven § 67 andre ledd bokstav a. Når produktkontrolloven etter lo</w:t>
      </w:r>
      <w:r>
        <w:t>v</w:t>
      </w:r>
      <w:r>
        <w:t>forslaget her få</w:t>
      </w:r>
      <w:r>
        <w:t>r et nytt annet ledd med forhøyet strafferamme ved særdeles skjerpende o</w:t>
      </w:r>
      <w:r>
        <w:t>m</w:t>
      </w:r>
      <w:r>
        <w:t>stendigheter, vil påtalekomp</w:t>
      </w:r>
      <w:r>
        <w:t>e</w:t>
      </w:r>
      <w:r>
        <w:t>tansen kunne gå over til statsadvokaten i henhold til normalregelen, med mindre man eksplisitt regulerer påt</w:t>
      </w:r>
      <w:r>
        <w:t>a</w:t>
      </w:r>
      <w:r>
        <w:t>lekompetansen i loven. Departementet mener på</w:t>
      </w:r>
      <w:r>
        <w:t>tal</w:t>
      </w:r>
      <w:r>
        <w:t>e</w:t>
      </w:r>
      <w:r>
        <w:t>kompetansen etter første ledd fortsatt bør ligge hos politiet, og dette bør derfor klargjøres i straffeprosessloven § 67. Kompetansen til å ta ut tiltale etter den foreslåtte straffskje</w:t>
      </w:r>
      <w:r>
        <w:t>r</w:t>
      </w:r>
      <w:r>
        <w:t>pingsr</w:t>
      </w:r>
      <w:r>
        <w:t>e</w:t>
      </w:r>
      <w:r>
        <w:t>gelen i § 12 nytt andre ledd, skal ligge hos statsadvokaten</w:t>
      </w:r>
      <w:r>
        <w:t>.</w:t>
      </w:r>
    </w:p>
    <w:p w:rsidR="00000000" w:rsidRDefault="00E81532" w:rsidP="000762B7">
      <w:r>
        <w:t>Forslaget til endring av naturmangfoldloven § 75 andre ledd og svalbardmiljøloven § 99 første ledd andre punktum får ingen betydning for påtalekompetansen, som fortsatt vil ligge hos statsadvokaten, jf. straff</w:t>
      </w:r>
      <w:r>
        <w:t>e</w:t>
      </w:r>
      <w:r>
        <w:t>prosessloven § 66.</w:t>
      </w:r>
    </w:p>
    <w:p w:rsidR="00000000" w:rsidRDefault="00E81532" w:rsidP="000762B7">
      <w:pPr>
        <w:pStyle w:val="Overskrift3"/>
      </w:pPr>
      <w:r>
        <w:t>Høringsinstan</w:t>
      </w:r>
      <w:r>
        <w:t>senes syn</w:t>
      </w:r>
    </w:p>
    <w:p w:rsidR="00000000" w:rsidRDefault="00E81532" w:rsidP="000762B7">
      <w:pPr>
        <w:rPr>
          <w:rStyle w:val="kursiv"/>
          <w:sz w:val="21"/>
          <w:szCs w:val="21"/>
        </w:rPr>
      </w:pPr>
      <w:r>
        <w:rPr>
          <w:rStyle w:val="kursiv"/>
          <w:sz w:val="21"/>
          <w:szCs w:val="21"/>
        </w:rPr>
        <w:t>ØKOKRIM</w:t>
      </w:r>
      <w:r>
        <w:t xml:space="preserve"> støtter forslaget til plassering av påtalekompetanse og at det klargjøres i straffepr</w:t>
      </w:r>
      <w:r>
        <w:t>o</w:t>
      </w:r>
      <w:r>
        <w:t>sessloven § 67.</w:t>
      </w:r>
    </w:p>
    <w:p w:rsidR="00000000" w:rsidRDefault="00E81532" w:rsidP="000762B7">
      <w:pPr>
        <w:rPr>
          <w:rFonts w:ascii="Arial" w:hAnsi="Arial" w:cs="Arial"/>
          <w:b/>
          <w:bCs/>
        </w:rPr>
      </w:pPr>
      <w:r>
        <w:rPr>
          <w:rStyle w:val="kursiv"/>
          <w:sz w:val="21"/>
          <w:szCs w:val="21"/>
        </w:rPr>
        <w:t>Sysselmannen på Svalbard, Troms og Finnmark statsadvokatembeter, Riksadvokaten, ØKOKRIM og P</w:t>
      </w:r>
      <w:r>
        <w:rPr>
          <w:rStyle w:val="kursiv"/>
          <w:sz w:val="21"/>
          <w:szCs w:val="21"/>
        </w:rPr>
        <w:t>o</w:t>
      </w:r>
      <w:r>
        <w:rPr>
          <w:rStyle w:val="kursiv"/>
          <w:sz w:val="21"/>
          <w:szCs w:val="21"/>
        </w:rPr>
        <w:t>lit</w:t>
      </w:r>
      <w:r>
        <w:rPr>
          <w:rStyle w:val="kursiv"/>
          <w:sz w:val="21"/>
          <w:szCs w:val="21"/>
        </w:rPr>
        <w:t>i</w:t>
      </w:r>
      <w:r>
        <w:rPr>
          <w:rStyle w:val="kursiv"/>
          <w:sz w:val="21"/>
          <w:szCs w:val="21"/>
        </w:rPr>
        <w:t>direktoratet</w:t>
      </w:r>
      <w:r>
        <w:t xml:space="preserve"> mener at Sysselmannen bør </w:t>
      </w:r>
      <w:r>
        <w:t>ha påtalekompetanse ved overtredelse av svalbardmi</w:t>
      </w:r>
      <w:r>
        <w:t>l</w:t>
      </w:r>
      <w:r>
        <w:t>jøloven § 99 første ledd første punktum, og foreslår at dette samtidig klargjøres ved en tilføyelse i straffeproses</w:t>
      </w:r>
      <w:r>
        <w:t>s</w:t>
      </w:r>
      <w:r>
        <w:t>loven § 67 annet ledd bokstav c. Riksadvokaten har fremmet forslag om dette i brev av 13.</w:t>
      </w:r>
      <w:r>
        <w:t>3.2018 til Justis- og bere</w:t>
      </w:r>
      <w:r>
        <w:t>d</w:t>
      </w:r>
      <w:r>
        <w:t xml:space="preserve">skapsdepartementet, med kopi til Miljødirektoratet. </w:t>
      </w:r>
    </w:p>
    <w:p w:rsidR="00000000" w:rsidRDefault="00E81532" w:rsidP="000762B7">
      <w:pPr>
        <w:pStyle w:val="Overskrift3"/>
      </w:pPr>
      <w:r>
        <w:t>Departementets vurdering</w:t>
      </w:r>
    </w:p>
    <w:p w:rsidR="00000000" w:rsidRDefault="00E81532" w:rsidP="000762B7">
      <w:r>
        <w:t>Departementet vurderer at forslaget til endring i straffeprosessloven § 67 bokstav c er he</w:t>
      </w:r>
      <w:r>
        <w:t>n</w:t>
      </w:r>
      <w:r>
        <w:t>siktsmessig for å klargjøre påtalekompetansen. D</w:t>
      </w:r>
      <w:r>
        <w:t>et er ingen av høringsinstansene som har noen innvendinger til forsl</w:t>
      </w:r>
      <w:r>
        <w:t>a</w:t>
      </w:r>
      <w:r>
        <w:t>get.</w:t>
      </w:r>
    </w:p>
    <w:p w:rsidR="00000000" w:rsidRDefault="00E81532" w:rsidP="000762B7">
      <w:r>
        <w:t>Departementet er enig i at påtalekompetanse ved overtredelse av svalbardmiljøloven § 99 første ledd første punktum samtidig bør klargjøres, og har tilføyd dette i forslaget til loven</w:t>
      </w:r>
      <w:r>
        <w:t>dring i straffeprosessloven § 67 bokstav c.</w:t>
      </w:r>
    </w:p>
    <w:p w:rsidR="00000000" w:rsidRDefault="00E81532" w:rsidP="000762B7">
      <w:pPr>
        <w:pStyle w:val="Overskrift2"/>
      </w:pPr>
      <w:r>
        <w:lastRenderedPageBreak/>
        <w:t>Endring av vilkår for bruk av annet straffalternativ i foruren</w:t>
      </w:r>
      <w:r>
        <w:t>s</w:t>
      </w:r>
      <w:r>
        <w:t>ningsloven § 78</w:t>
      </w:r>
    </w:p>
    <w:p w:rsidR="00000000" w:rsidRDefault="00E81532" w:rsidP="000762B7">
      <w:pPr>
        <w:pStyle w:val="Overskrift3"/>
      </w:pPr>
      <w:r>
        <w:t>Gjeldende rett</w:t>
      </w:r>
    </w:p>
    <w:p w:rsidR="00000000" w:rsidRDefault="00E81532" w:rsidP="000762B7">
      <w:r>
        <w:t>Øverste strafferamme i forurensningsloven for forurensning som volder fare for skade på miljø</w:t>
      </w:r>
      <w:r>
        <w:t>, er etter gjeldende rett to års fengsel, jf. § 78 annet ledd første straffalternativ. Den øverste strafferammen i fo</w:t>
      </w:r>
      <w:r>
        <w:t>r</w:t>
      </w:r>
      <w:r>
        <w:t xml:space="preserve">urensningsloven på 5 år er knyttet til at «overtredelsen har voldt fare for menneskers liv eller helbred». </w:t>
      </w:r>
    </w:p>
    <w:p w:rsidR="00000000" w:rsidRDefault="00E81532" w:rsidP="000762B7">
      <w:r>
        <w:t>Påtalemyndighetens reelle valg</w:t>
      </w:r>
      <w:r>
        <w:t xml:space="preserve"> ved påtaleavgjørelse i alvorlige forurensningssaker som ikke har medført he</w:t>
      </w:r>
      <w:r>
        <w:t>l</w:t>
      </w:r>
      <w:r>
        <w:t>seskade står etter gjeldende rett mellom 2 års strafferamme i forurensningsloven og 15 år i generalklausulen i straffeloven § 240 første ledd bokstav a. Sistnevnte paragraf rammer</w:t>
      </w:r>
      <w:r>
        <w:t xml:space="preserve"> den som «fo</w:t>
      </w:r>
      <w:r>
        <w:t>r</w:t>
      </w:r>
      <w:r>
        <w:t>urenser luft, vann eller grunn slik at livsmiljøet i et område blir betydelig skadet eller trues av slik sk</w:t>
      </w:r>
      <w:r>
        <w:t>a</w:t>
      </w:r>
      <w:r>
        <w:t>de». Det foreligger per i dag ikke noe alternativ for alle miljøskadesakene som i alvorsgrad ligger me</w:t>
      </w:r>
      <w:r>
        <w:t>l</w:t>
      </w:r>
      <w:r>
        <w:t>lom 2 og 15 års strafferamme.</w:t>
      </w:r>
    </w:p>
    <w:p w:rsidR="00000000" w:rsidRDefault="00E81532" w:rsidP="000762B7">
      <w:pPr>
        <w:pStyle w:val="Overskrift3"/>
      </w:pPr>
      <w:r>
        <w:t>Høringsforslaget</w:t>
      </w:r>
    </w:p>
    <w:p w:rsidR="00000000" w:rsidRDefault="00E81532" w:rsidP="000762B7">
      <w:r>
        <w:t>Departementet foreslår at den øverste strafferammen på 5 år også bør kunne anvendes ved overtredelser som medfører skade på miljø. De fleste tilfeller av forurensning rammer naturen, ikke mennesker, i hvert fall ikke så direkte s</w:t>
      </w:r>
      <w:r>
        <w:t>om «fare for menneskers liv eller helbred»-vilkåret krever. Departementet foreslår å innføre i forurensningsloven § 78 at dersom overtredelsen har voldt fare for alvorlig eller irreversibel skade på biologisk mangfold eller fare for menneskers liv eller he</w:t>
      </w:r>
      <w:r>
        <w:t>lbred, kan fengsel inntil 5 år anvendes. Forslaget til endring i femårsstraffalternativet vil gi påtalemyndighetene et nytt alternativ til å kunne a</w:t>
      </w:r>
      <w:r>
        <w:t>v</w:t>
      </w:r>
      <w:r>
        <w:t>stemme straffereaksjon etter alvorligheten.</w:t>
      </w:r>
    </w:p>
    <w:p w:rsidR="00000000" w:rsidRDefault="00E81532" w:rsidP="000762B7">
      <w:r>
        <w:t>Departementet mener det vil være i tråd med lovens formål å inn</w:t>
      </w:r>
      <w:r>
        <w:t>lemme skade på miljø i fe</w:t>
      </w:r>
      <w:r>
        <w:t>m</w:t>
      </w:r>
      <w:r>
        <w:t>årsstraf</w:t>
      </w:r>
      <w:r>
        <w:t>f</w:t>
      </w:r>
      <w:r>
        <w:t>altern</w:t>
      </w:r>
      <w:r>
        <w:t>a</w:t>
      </w:r>
      <w:r>
        <w:t>tivet. Forurensningslovens formål er knyttet til både helse- og miljøverdier, jf. § 1. Forslaget til endring i vilkår for bruk av den høyeste strafferammen i forurensningsloven vil synliggjøre den vekt en legger på</w:t>
      </w:r>
      <w:r>
        <w:t xml:space="preserve"> miljøverdier som loven skal verne. Som redegjort for over i forslaget om å heve strafferammene så har det skjedd en utvikling i synet på behovet for strenge reaksjoner i saker om miljøkriminalitet. Det har blant annet kommet til uttrykk gjennom ve</w:t>
      </w:r>
      <w:r>
        <w:t>d</w:t>
      </w:r>
      <w:r>
        <w:t>takelse</w:t>
      </w:r>
      <w:r>
        <w:t>n av generalklausulen mot alvorlig miljøkriminal</w:t>
      </w:r>
      <w:r>
        <w:t>i</w:t>
      </w:r>
      <w:r>
        <w:t xml:space="preserve">tet i straffeloven § 240. </w:t>
      </w:r>
    </w:p>
    <w:p w:rsidR="00000000" w:rsidRDefault="00E81532" w:rsidP="000762B7">
      <w:r>
        <w:t>Forslaget innebærer at det må trekkes en grense mellom «stor skade» i annet ledd første punktum og «alvorlig eller irreversibel skade på biologisk mangfold» i forslag til nytt anne</w:t>
      </w:r>
      <w:r>
        <w:t>t ledd andre punktum. De alvorligste tilfellene som i dag omfattes av alternativet «stor skade» i § 78 annet ledd, vil få et skjerpet straffalternativ i nytt annet punktum. Forslaget vil gi påtalemyndighetene og domstolene et nytt alternativ mellom 2 års s</w:t>
      </w:r>
      <w:r>
        <w:t>trafferamme og 15 års strafferamme for milj</w:t>
      </w:r>
      <w:r>
        <w:t>ø</w:t>
      </w:r>
      <w:r>
        <w:t>skadesakene. For de aller groveste overtr</w:t>
      </w:r>
      <w:r>
        <w:t>e</w:t>
      </w:r>
      <w:r>
        <w:t>delsene vil genera</w:t>
      </w:r>
      <w:r>
        <w:t>l</w:t>
      </w:r>
      <w:r>
        <w:t xml:space="preserve">klausulen i strl. § 240 første ledd bokstav a) fremdeles </w:t>
      </w:r>
      <w:proofErr w:type="gramStart"/>
      <w:r>
        <w:t>være</w:t>
      </w:r>
      <w:proofErr w:type="gramEnd"/>
      <w:r>
        <w:t xml:space="preserve"> aktuell, jf. at bestemme</w:t>
      </w:r>
      <w:r>
        <w:t>l</w:t>
      </w:r>
      <w:r>
        <w:t xml:space="preserve">sen i straffeloven opererer med et skjerpet skyldkrav (fortsett </w:t>
      </w:r>
      <w:r>
        <w:t>eller grov uaktsomhet). Den nærmere grens</w:t>
      </w:r>
      <w:r>
        <w:t>e</w:t>
      </w:r>
      <w:r>
        <w:t>dragningen må etter depa</w:t>
      </w:r>
      <w:r>
        <w:t>r</w:t>
      </w:r>
      <w:r>
        <w:t>t</w:t>
      </w:r>
      <w:r>
        <w:t>e</w:t>
      </w:r>
      <w:r>
        <w:t>mentets syn overlates til praksis.</w:t>
      </w:r>
    </w:p>
    <w:p w:rsidR="00000000" w:rsidRDefault="00E81532" w:rsidP="000762B7">
      <w:pPr>
        <w:pStyle w:val="Overskrift3"/>
      </w:pPr>
      <w:r>
        <w:lastRenderedPageBreak/>
        <w:t>Høringsinstansenes syn</w:t>
      </w:r>
    </w:p>
    <w:p w:rsidR="00000000" w:rsidRDefault="00E81532" w:rsidP="000762B7">
      <w:pPr>
        <w:rPr>
          <w:rStyle w:val="kursiv"/>
          <w:sz w:val="21"/>
          <w:szCs w:val="21"/>
        </w:rPr>
      </w:pPr>
      <w:r>
        <w:rPr>
          <w:rStyle w:val="kursiv"/>
          <w:sz w:val="21"/>
          <w:szCs w:val="21"/>
        </w:rPr>
        <w:t xml:space="preserve">Norges vassdrags- og energidirektorat (NVE) </w:t>
      </w:r>
      <w:r>
        <w:t>støt</w:t>
      </w:r>
      <w:r>
        <w:t>ter forslaget og den begrunnelsen som er gitt. Det er p</w:t>
      </w:r>
      <w:r>
        <w:t>o</w:t>
      </w:r>
      <w:r>
        <w:t>sitivt at man får et alternativ mht. straffehjemler for saker som i alvorlighetsgrad ligger mellom foruren</w:t>
      </w:r>
      <w:r>
        <w:t>s</w:t>
      </w:r>
      <w:r>
        <w:t>ningsloven § 78 annet ledd første straffalternativ og generalklausulen i straffeloven § 240 f</w:t>
      </w:r>
      <w:r>
        <w:t>ørste ledd bokstav a. NVE mener at harmonisering og justering av reaksjoner er et viktig verktøy i et samfunn hvor vi står overfor store endringer som følge av våre miljømessige u</w:t>
      </w:r>
      <w:r>
        <w:t>t</w:t>
      </w:r>
      <w:r>
        <w:t>fordringer.</w:t>
      </w:r>
    </w:p>
    <w:p w:rsidR="00000000" w:rsidRDefault="00E81532" w:rsidP="000762B7">
      <w:pPr>
        <w:rPr>
          <w:rStyle w:val="kursiv"/>
          <w:sz w:val="21"/>
          <w:szCs w:val="21"/>
        </w:rPr>
      </w:pPr>
      <w:r>
        <w:rPr>
          <w:rStyle w:val="kursiv"/>
          <w:sz w:val="21"/>
          <w:szCs w:val="21"/>
        </w:rPr>
        <w:t xml:space="preserve">Oslo kommune </w:t>
      </w:r>
      <w:r>
        <w:t>støtter forslaget og uttaler at de deler departemen</w:t>
      </w:r>
      <w:r>
        <w:t>tets vurdering av at spennet mellom 2 og 15 års strafferamme er for stort og at den foreslåtte endringen i femårsalternativet, vil gi påtalemy</w:t>
      </w:r>
      <w:r>
        <w:t>n</w:t>
      </w:r>
      <w:r>
        <w:t>dighetene et nytt alternativ til å kunne avstemme straffereaksjon etter alvorli</w:t>
      </w:r>
      <w:r>
        <w:t>g</w:t>
      </w:r>
      <w:r>
        <w:t>heten. En skjerpet straff</w:t>
      </w:r>
      <w:r>
        <w:t>e</w:t>
      </w:r>
      <w:r>
        <w:t>ramme f</w:t>
      </w:r>
      <w:r>
        <w:t>or ove</w:t>
      </w:r>
      <w:r>
        <w:t>r</w:t>
      </w:r>
      <w:r>
        <w:t>tredelser som medfører skade på miljøet, vil etter Oslo kommunes vurdering være he</w:t>
      </w:r>
      <w:r>
        <w:t>n</w:t>
      </w:r>
      <w:r>
        <w:t xml:space="preserve">siktsmessig. Oslo kommune mener det er viktig å vektlegge de miljøverdier som loven skal verne. Strengere reaksjoner i saker om miljøkriminalitet vil kunne bidra til </w:t>
      </w:r>
      <w:r>
        <w:t>ytterligere forbedring av rutiner og risikoanalyser i forbindelse med tiltak og aktiviteter som utgjør vesentlig risiko for langvarig eller uop</w:t>
      </w:r>
      <w:r>
        <w:t>p</w:t>
      </w:r>
      <w:r>
        <w:t>rettelig skade på miljøet. Det kan være blant annet store fysiske tiltak som etablering av nyanlegg, for eksempe</w:t>
      </w:r>
      <w:r>
        <w:t>l vei, nybygg og annen infr</w:t>
      </w:r>
      <w:r>
        <w:t>a</w:t>
      </w:r>
      <w:r>
        <w:t>struktur, samt oppbevaring og håndtering av potensielt miljøskad</w:t>
      </w:r>
      <w:r>
        <w:t>e</w:t>
      </w:r>
      <w:r>
        <w:t>lige stoffer, kjemikalier m.m.</w:t>
      </w:r>
    </w:p>
    <w:p w:rsidR="00000000" w:rsidRDefault="00E81532" w:rsidP="000762B7">
      <w:pPr>
        <w:rPr>
          <w:rStyle w:val="kursiv"/>
          <w:sz w:val="21"/>
          <w:szCs w:val="21"/>
        </w:rPr>
      </w:pPr>
      <w:r>
        <w:rPr>
          <w:rStyle w:val="kursiv"/>
          <w:sz w:val="21"/>
          <w:szCs w:val="21"/>
        </w:rPr>
        <w:t xml:space="preserve">Advokatforeningen </w:t>
      </w:r>
      <w:r>
        <w:t>deler departementets syn på viktigheten av å bekjempe miljøkriminalitet og er i u</w:t>
      </w:r>
      <w:r>
        <w:t>t</w:t>
      </w:r>
      <w:r>
        <w:t>gangspunktet enig i at spennet m</w:t>
      </w:r>
      <w:r>
        <w:t>ellom 2 og 15 års strafferamme er forholdsvis stort, og at det derfor kan være hensiktsmessig å innføre en bestemmelse som fanger opp overtredelser med alvorlighet mellom «stor skade, jf. forurensningsloven § 78 andre ledd første punktum og straffeloven § </w:t>
      </w:r>
      <w:r>
        <w:t>240 første ledd bo</w:t>
      </w:r>
      <w:r>
        <w:t>k</w:t>
      </w:r>
      <w:r>
        <w:t>stav a). Advokatf</w:t>
      </w:r>
      <w:r>
        <w:t>o</w:t>
      </w:r>
      <w:r>
        <w:t>reningen mener likevel at dette ikke er ti</w:t>
      </w:r>
      <w:r>
        <w:t>l</w:t>
      </w:r>
      <w:r>
        <w:t>strekkelig begrunnelse for forslaget om å in</w:t>
      </w:r>
      <w:r>
        <w:t>n</w:t>
      </w:r>
      <w:r>
        <w:t>føre et skjerpet straf</w:t>
      </w:r>
      <w:r>
        <w:t>f</w:t>
      </w:r>
      <w:r>
        <w:t>alternativ. Bruken av strengere straffer forutsetter en særskilt begrunnelse som viser at straffen vil ha de</w:t>
      </w:r>
      <w:r>
        <w:t xml:space="preserve">n tilsiktede allmenn- og/eller </w:t>
      </w:r>
      <w:r>
        <w:rPr>
          <w:spacing w:val="2"/>
        </w:rPr>
        <w:t>individualpreventive effekt. Advokatforeningen</w:t>
      </w:r>
      <w:r>
        <w:t xml:space="preserve"> mener at en først bør evaluere hvorvidt det administrative sanksjonssystemet som foreslås innført, gir tilstrekkelig preventiv effekt.</w:t>
      </w:r>
    </w:p>
    <w:p w:rsidR="00000000" w:rsidRDefault="00E81532" w:rsidP="000762B7">
      <w:pPr>
        <w:rPr>
          <w:rStyle w:val="kursiv"/>
          <w:sz w:val="21"/>
          <w:szCs w:val="21"/>
        </w:rPr>
      </w:pPr>
      <w:r>
        <w:rPr>
          <w:rStyle w:val="kursiv"/>
          <w:sz w:val="21"/>
          <w:szCs w:val="21"/>
        </w:rPr>
        <w:t>Kystverket</w:t>
      </w:r>
      <w:r>
        <w:t xml:space="preserve"> støtter forslaget. Kystverket fo</w:t>
      </w:r>
      <w:r>
        <w:t>reslår imidlertid at strukturen i bestemmelsen endres tilsv</w:t>
      </w:r>
      <w:r>
        <w:t>a</w:t>
      </w:r>
      <w:r>
        <w:t>rende straffebestemmelsen i naturmangfoldloven. Videre at en harmoniserer begrepene med begrepene brukt i straffebestemmelsen i naturmangfoldloven og at begrepet «biologisk mangfold» erstattes med</w:t>
      </w:r>
      <w:r>
        <w:t xml:space="preserve"> «naturman</w:t>
      </w:r>
      <w:r>
        <w:t>g</w:t>
      </w:r>
      <w:r>
        <w:t>fold», som også omfatter landskapsmessig mangfold og geologisk mangfold. Kystverket p</w:t>
      </w:r>
      <w:r>
        <w:t>å</w:t>
      </w:r>
      <w:r>
        <w:t>peker at det blir krevende å trekke grensen mellom annet ledd første straffalternativ og andre straffalte</w:t>
      </w:r>
      <w:r>
        <w:t>r</w:t>
      </w:r>
      <w:r>
        <w:t>nativ, og at første straffalternativ nå blir overflød</w:t>
      </w:r>
      <w:r>
        <w:t>ig og bør fjernes. Videre foreslår Kystverket vurdering</w:t>
      </w:r>
      <w:r>
        <w:t>s</w:t>
      </w:r>
      <w:r>
        <w:t>momenter i vurd</w:t>
      </w:r>
      <w:r>
        <w:t>e</w:t>
      </w:r>
      <w:r>
        <w:t>ringen av om en overtredelse er grov, blant annet å legge til at det har betydning hvi</w:t>
      </w:r>
      <w:r>
        <w:t>l</w:t>
      </w:r>
      <w:r>
        <w:t>ken grad av skyld som er utvist, og at det bør fremgå av ordlyden.</w:t>
      </w:r>
    </w:p>
    <w:p w:rsidR="00000000" w:rsidRDefault="00E81532" w:rsidP="000762B7">
      <w:pPr>
        <w:rPr>
          <w:rStyle w:val="kursiv"/>
          <w:sz w:val="21"/>
          <w:szCs w:val="21"/>
        </w:rPr>
      </w:pPr>
      <w:r>
        <w:rPr>
          <w:rStyle w:val="kursiv"/>
          <w:sz w:val="21"/>
          <w:szCs w:val="21"/>
        </w:rPr>
        <w:t xml:space="preserve">Norges Bondelag </w:t>
      </w:r>
      <w:r>
        <w:t>mener forslage</w:t>
      </w:r>
      <w:r>
        <w:t>t ikke er tilstrekkelig utredet. De savner en grundig drøftelse av hvilke prinsipielle spørsmål forslaget reiser, og en vurdering av både positive og negative vir</w:t>
      </w:r>
      <w:r>
        <w:t>k</w:t>
      </w:r>
      <w:r>
        <w:t>ninger av tiltaket, og hvem som blir berørte av end</w:t>
      </w:r>
      <w:r>
        <w:rPr>
          <w:spacing w:val="-2"/>
        </w:rPr>
        <w:t>ringen. Etter Norges Bondelags vudering vi</w:t>
      </w:r>
      <w:r>
        <w:rPr>
          <w:spacing w:val="-2"/>
        </w:rPr>
        <w:t>l skade</w:t>
      </w:r>
      <w:r>
        <w:t xml:space="preserve"> på menneskers liv og helse tross alt være mer alvorlig enn skade på naturen. Forslaget vil innebære en betydelig straffeskje</w:t>
      </w:r>
      <w:r>
        <w:t>r</w:t>
      </w:r>
      <w:r>
        <w:t>pelse, og også senking av skyldkravet for handlinger som kan medføre 5 års fengsel. Forslaget legger opp til å in</w:t>
      </w:r>
      <w:r>
        <w:t>n</w:t>
      </w:r>
      <w:r>
        <w:t>skrenke r</w:t>
      </w:r>
      <w:r>
        <w:t>ettsvernet i denne typen saker. Argumentet om spennet i strafferammene er etter deres vurd</w:t>
      </w:r>
      <w:r>
        <w:t>e</w:t>
      </w:r>
      <w:r>
        <w:t>ring ikke rel</w:t>
      </w:r>
      <w:r>
        <w:t>e</w:t>
      </w:r>
      <w:r>
        <w:t>vant. Norges Bo</w:t>
      </w:r>
      <w:r>
        <w:t>n</w:t>
      </w:r>
      <w:r>
        <w:lastRenderedPageBreak/>
        <w:t>delag viser også til muligheten til å reagere med erstatningskrav (ref</w:t>
      </w:r>
      <w:r>
        <w:t>u</w:t>
      </w:r>
      <w:r>
        <w:t>sjonskrav) for offen</w:t>
      </w:r>
      <w:r>
        <w:t>t</w:t>
      </w:r>
      <w:r>
        <w:t>liges utgifter til opprydning av sterkt for</w:t>
      </w:r>
      <w:r>
        <w:t>urenset grunn. Norges Bondelag mener fo</w:t>
      </w:r>
      <w:r>
        <w:t>r</w:t>
      </w:r>
      <w:r>
        <w:t>slaget bærer preg av at hovedhensikten er å gjøre det enklere for påtalemyndigheten å oppnå domfe</w:t>
      </w:r>
      <w:r>
        <w:t>l</w:t>
      </w:r>
      <w:r>
        <w:t>lelse i saker om miljøkriminalitet. Dette vil etter deres syn innebære en meget lav terskel for å dømmes for a</w:t>
      </w:r>
      <w:r>
        <w:t>l</w:t>
      </w:r>
      <w:r>
        <w:t xml:space="preserve">vorlig </w:t>
      </w:r>
      <w:r>
        <w:t>miljøkriminalitet. Forslaget vil medføre en stor utvidelse av straffansvaret. Det påpekes at det ikke er drøftet hva det faktisk innebærer å senke skyldkravet.</w:t>
      </w:r>
    </w:p>
    <w:p w:rsidR="00000000" w:rsidRDefault="00E81532" w:rsidP="000762B7">
      <w:pPr>
        <w:rPr>
          <w:rStyle w:val="kursiv"/>
          <w:sz w:val="21"/>
          <w:szCs w:val="21"/>
        </w:rPr>
      </w:pPr>
      <w:r>
        <w:rPr>
          <w:rStyle w:val="kursiv"/>
          <w:sz w:val="21"/>
          <w:szCs w:val="21"/>
        </w:rPr>
        <w:t xml:space="preserve">Norges Miljøvernforbund </w:t>
      </w:r>
      <w:r>
        <w:t>støtter forslaget. Norges Miljøvernforbund er enig med departementet i a</w:t>
      </w:r>
      <w:r>
        <w:t>t det vil være i tråd med lovens formål å innlemme skade på miljø i femårsstraffalternativet. Norges Miljøver</w:t>
      </w:r>
      <w:r>
        <w:t>n</w:t>
      </w:r>
      <w:r>
        <w:t>forbund mener det høyeste straffalternativet i forurensningsloven i likhet med generalklausulen i straff</w:t>
      </w:r>
      <w:r>
        <w:t>e</w:t>
      </w:r>
      <w:r>
        <w:t>loven bør være anvendelig ved overtredels</w:t>
      </w:r>
      <w:r>
        <w:t>er til skade på miljø. De ber om at departementet sørger for at de nye straffeb</w:t>
      </w:r>
      <w:r>
        <w:t>e</w:t>
      </w:r>
      <w:r>
        <w:t>stemmelsene også blir anvendelig for å b</w:t>
      </w:r>
      <w:r>
        <w:t>e</w:t>
      </w:r>
      <w:r>
        <w:t>kjempe miljøkriminalitet utført av oppdrettsi</w:t>
      </w:r>
      <w:r>
        <w:t>n</w:t>
      </w:r>
      <w:r>
        <w:t>d</w:t>
      </w:r>
      <w:r>
        <w:t>u</w:t>
      </w:r>
      <w:r>
        <w:t>strien.</w:t>
      </w:r>
    </w:p>
    <w:p w:rsidR="00000000" w:rsidRDefault="00E81532" w:rsidP="000762B7">
      <w:pPr>
        <w:rPr>
          <w:rStyle w:val="kursiv"/>
          <w:sz w:val="21"/>
          <w:szCs w:val="21"/>
        </w:rPr>
      </w:pPr>
      <w:r>
        <w:rPr>
          <w:rStyle w:val="kursiv"/>
          <w:sz w:val="21"/>
          <w:szCs w:val="21"/>
        </w:rPr>
        <w:t xml:space="preserve">Norges Skogeierforbund </w:t>
      </w:r>
      <w:r>
        <w:t>mener det er viktige prinsipielle spørsmål som ikke er t</w:t>
      </w:r>
      <w:r>
        <w:t>ilstrekkelig drøftet i h</w:t>
      </w:r>
      <w:r>
        <w:t>ø</w:t>
      </w:r>
      <w:r>
        <w:t>ringsnotatet og viser til Norges Bondelag sin uttalelse, som de gir full støtte til. Norges skogeierfo</w:t>
      </w:r>
      <w:r>
        <w:t>r</w:t>
      </w:r>
      <w:r>
        <w:t>bund mener det er spesielt viktig med en grundig drøftelse rundt spørsmålet om skade på natur skal a</w:t>
      </w:r>
      <w:r>
        <w:t>n</w:t>
      </w:r>
      <w:r>
        <w:t>ses for å være like alvorli</w:t>
      </w:r>
      <w:r>
        <w:t>g som skade på et menneske. Forslaget om å senke skyldkravet og utvide stra</w:t>
      </w:r>
      <w:r>
        <w:t>f</w:t>
      </w:r>
      <w:r>
        <w:t>feansvaret kan få store konsekvenser som ikke er belyst. Norges skogeierforbund mener forslaget vil medføre en stor utvidelse av straffansvaret, og at endringen vil gi rom for domf</w:t>
      </w:r>
      <w:r>
        <w:t>ellelser der en grunneier har opptrådt ak</w:t>
      </w:r>
      <w:r>
        <w:t>t</w:t>
      </w:r>
      <w:r>
        <w:t>somt og he</w:t>
      </w:r>
      <w:r>
        <w:t>n</w:t>
      </w:r>
      <w:r>
        <w:t xml:space="preserve">synsfullt, men vært uheldig. </w:t>
      </w:r>
    </w:p>
    <w:p w:rsidR="00000000" w:rsidRDefault="00E81532" w:rsidP="000762B7">
      <w:pPr>
        <w:rPr>
          <w:rStyle w:val="kursiv"/>
          <w:sz w:val="21"/>
          <w:szCs w:val="21"/>
        </w:rPr>
      </w:pPr>
      <w:r>
        <w:rPr>
          <w:rStyle w:val="kursiv"/>
          <w:sz w:val="21"/>
          <w:szCs w:val="21"/>
        </w:rPr>
        <w:t xml:space="preserve">NHO og Norsk Industri </w:t>
      </w:r>
      <w:r>
        <w:t>er negative til høringsforslaget. Etter deres syn er de eksisterende straff</w:t>
      </w:r>
      <w:r>
        <w:t>e</w:t>
      </w:r>
      <w:r>
        <w:t>hjemlene tilstrekkelige til å opprettholde en allmennpreventiv og individua</w:t>
      </w:r>
      <w:r>
        <w:t>lpreventiv virkning i saker om miljøkrim</w:t>
      </w:r>
      <w:r>
        <w:t>i</w:t>
      </w:r>
      <w:r>
        <w:t>nalitet. De kan ikke se at det er trukket frem konkrete eksempler fra tidligere straffesaker som viser behov for strengere straffehjemler. Selv om miljølovgivningen skal ivareta viktige samfunnsmessige formål, er de</w:t>
      </w:r>
      <w:r>
        <w:t>res hovedsyn at straffeutmålingen kan utvikles i tråd med behovet for samfunnsbeskyttelse innenfor de eksist</w:t>
      </w:r>
      <w:r>
        <w:t>e</w:t>
      </w:r>
      <w:r>
        <w:t>rende hjemlene. Lovgivers beslutning i forurensningsloven om å skille mellom ove</w:t>
      </w:r>
      <w:r>
        <w:t>r</w:t>
      </w:r>
      <w:r>
        <w:t>tredelser som har voldt fare for menneskers liv eller helbred på d</w:t>
      </w:r>
      <w:r>
        <w:t>en ene side, og overtredelser som me</w:t>
      </w:r>
      <w:r>
        <w:t>d</w:t>
      </w:r>
      <w:r>
        <w:t>fører fare for skade på miljøet i form av voldt fare for alvorlig eller irreversibel skade på biologisk man</w:t>
      </w:r>
      <w:r>
        <w:t>g</w:t>
      </w:r>
      <w:r>
        <w:t>fold på den andre, bør opprettholdes.</w:t>
      </w:r>
    </w:p>
    <w:p w:rsidR="00000000" w:rsidRDefault="00E81532" w:rsidP="000762B7">
      <w:pPr>
        <w:rPr>
          <w:rStyle w:val="kursiv"/>
          <w:sz w:val="21"/>
          <w:szCs w:val="21"/>
        </w:rPr>
      </w:pPr>
      <w:r>
        <w:rPr>
          <w:rStyle w:val="kursiv"/>
          <w:sz w:val="21"/>
          <w:szCs w:val="21"/>
        </w:rPr>
        <w:t xml:space="preserve">Riksadvokaten </w:t>
      </w:r>
      <w:r>
        <w:t>er enig i at miljøskade bør kunne kvalifisere for bruk av d</w:t>
      </w:r>
      <w:r>
        <w:t>en skjerpede strafferamme i fo</w:t>
      </w:r>
      <w:r>
        <w:t>r</w:t>
      </w:r>
      <w:r>
        <w:t>urensingsloven § 78 andre ledd, andre straffalternativ, og slutter seg i det vesentlige til b</w:t>
      </w:r>
      <w:r>
        <w:t>e</w:t>
      </w:r>
      <w:r>
        <w:t>grunnelsen i h</w:t>
      </w:r>
      <w:r>
        <w:t>ø</w:t>
      </w:r>
      <w:r>
        <w:t>ringsnotatet. Det bemerkes særlig at forslaget tilrettelegger for at påtalemy</w:t>
      </w:r>
      <w:r>
        <w:t>n</w:t>
      </w:r>
      <w:r>
        <w:t>digheten kan avstemme straff</w:t>
      </w:r>
      <w:r>
        <w:t>e</w:t>
      </w:r>
      <w:r>
        <w:t xml:space="preserve">reaksjon </w:t>
      </w:r>
      <w:r>
        <w:t xml:space="preserve">etter alvorligheten i ulike typer overtredelser, noe som anses hensiktsmessig. </w:t>
      </w:r>
    </w:p>
    <w:p w:rsidR="00000000" w:rsidRDefault="00E81532" w:rsidP="000762B7">
      <w:pPr>
        <w:rPr>
          <w:rFonts w:ascii="Arial" w:hAnsi="Arial" w:cs="Arial"/>
          <w:b/>
          <w:bCs/>
        </w:rPr>
      </w:pPr>
      <w:r>
        <w:rPr>
          <w:rStyle w:val="kursiv"/>
          <w:sz w:val="21"/>
          <w:szCs w:val="21"/>
        </w:rPr>
        <w:t xml:space="preserve">ØKOKRIM </w:t>
      </w:r>
      <w:r>
        <w:t>støtter forslaget. Forslaget tilrettelegger for at påtalemyndigheten kan avstemme straff</w:t>
      </w:r>
      <w:r>
        <w:t>e</w:t>
      </w:r>
      <w:r>
        <w:t>reaksjon etter alvorlighet i ulike typer overtredelser, noe som anses hensiktsm</w:t>
      </w:r>
      <w:r>
        <w:t>essig. En høyning av stra</w:t>
      </w:r>
      <w:r>
        <w:t>f</w:t>
      </w:r>
      <w:r>
        <w:t>ferammen vil være i samsvar med utviklingen på miljøstraffområdet de senere årene, ved at en rekke mi</w:t>
      </w:r>
      <w:r>
        <w:t>l</w:t>
      </w:r>
      <w:r>
        <w:t>jølover har fått betydelige straffeskjerpelser. ØKOKRIM er ikke kjent med at generalklausulen i straffel</w:t>
      </w:r>
      <w:r>
        <w:t>o</w:t>
      </w:r>
      <w:r>
        <w:t xml:space="preserve">ven noen gang er brukt </w:t>
      </w:r>
      <w:r>
        <w:t>i alvorlige forurensingssaker. Det skyldes at det skal svært alvorlig forurensning til før denne beste</w:t>
      </w:r>
      <w:r>
        <w:t>m</w:t>
      </w:r>
      <w:r>
        <w:t>melsen kommer til anvendelse. Terskelen for å bruke strl. § 240 blir så høy at b</w:t>
      </w:r>
      <w:r>
        <w:t>e</w:t>
      </w:r>
      <w:r>
        <w:t>ste</w:t>
      </w:r>
      <w:r>
        <w:t>m</w:t>
      </w:r>
      <w:r>
        <w:t>melsen mister sin pra</w:t>
      </w:r>
      <w:r>
        <w:t>k</w:t>
      </w:r>
      <w:r>
        <w:t>tiske anvendelse, med mindre vi får miljøkatas</w:t>
      </w:r>
      <w:r>
        <w:t>trofer av langt større omfang enn for eksempel «Full C</w:t>
      </w:r>
      <w:r>
        <w:t>i</w:t>
      </w:r>
      <w:r>
        <w:t xml:space="preserve">ty»-forliset ved </w:t>
      </w:r>
      <w:r>
        <w:lastRenderedPageBreak/>
        <w:t>Såstein utenfor Langesund i 2009 (RG 2011 s. 680). Påtalemy</w:t>
      </w:r>
      <w:r>
        <w:t>n</w:t>
      </w:r>
      <w:r>
        <w:t>dighetens reelle valg ved påt</w:t>
      </w:r>
      <w:r>
        <w:t>a</w:t>
      </w:r>
      <w:r>
        <w:t>leavgjørelse i alvorlige forurensningssaker ved stor skade på naturen er kun to års strafferam</w:t>
      </w:r>
      <w:r>
        <w:t>me. Det mener ØKOKRIM er for lavt. Forurensningskriminalitet kan i mange tilfeller være alvorlig og med betydelig vinning til følge. Eksempelvis om ansatte i bedrift bevisst velger å slippe ut kj</w:t>
      </w:r>
      <w:r>
        <w:t>e</w:t>
      </w:r>
      <w:r>
        <w:t>mikalier i en elv for å slippe å levere og betale for kjemik</w:t>
      </w:r>
      <w:r>
        <w:t>aliene til et avfallsmottak, og det fører til fi</w:t>
      </w:r>
      <w:r>
        <w:t>s</w:t>
      </w:r>
      <w:r>
        <w:t>kedød og annen skade på naturen. Det er særlig hensynet til allmennprevensjon som begrunner hvorfor lovgi</w:t>
      </w:r>
      <w:r>
        <w:t>v</w:t>
      </w:r>
      <w:r>
        <w:t>ningen er sanksjonert med straff. For at straffen skal kunne ha en pr</w:t>
      </w:r>
      <w:r>
        <w:t>e</w:t>
      </w:r>
      <w:r>
        <w:t>ventiv effekt, er det en foru</w:t>
      </w:r>
      <w:r>
        <w:t>t</w:t>
      </w:r>
      <w:r>
        <w:t>s</w:t>
      </w:r>
      <w:r>
        <w:t>etning at straffansvaret oppleves som en reell trussel. Det kan i tillegg være mulig å oppnå betydelig økonomisk gevinst ved å bryte forurensningsloven. Videre er det slik at strafferammene som settes for ulike typer lovbrudd, sier noe om samfunnets syn på</w:t>
      </w:r>
      <w:r>
        <w:t xml:space="preserve"> straffverdigheten av lovbruddet. Det er viktig at he</w:t>
      </w:r>
      <w:r>
        <w:t>v</w:t>
      </w:r>
      <w:r>
        <w:t>ningen av strafferammen også gjelder – slik det fremgår av forslaget – ved fare for forurensning. Alvorlig fare for alvorlig eller irreversibel skade kan f.eks. foreligge hvor nødvendig og pliktig vedli</w:t>
      </w:r>
      <w:r>
        <w:t>kehold/tilsyn med en oljetank eller tank med giftige kjemikalier unnlates eller neglisjeres. Det er da praktisk viktig at faren og skad</w:t>
      </w:r>
      <w:r>
        <w:t>e</w:t>
      </w:r>
      <w:r>
        <w:t>potensialet ved slike unnlatelser gir grunnlag for å anvende 5 års altern</w:t>
      </w:r>
      <w:r>
        <w:t>a</w:t>
      </w:r>
      <w:r>
        <w:t>tivet, selv om det ikke har funnet sted en for</w:t>
      </w:r>
      <w:r>
        <w:t>urensning når unnlatelsen oppdages. Det er faren for alvorlig eller irreversibel skade som blant annet begrunner straff, ikke om forurensningen har skjedd eller materialisert seg.</w:t>
      </w:r>
    </w:p>
    <w:p w:rsidR="00000000" w:rsidRDefault="00E81532" w:rsidP="000762B7">
      <w:pPr>
        <w:pStyle w:val="Overskrift3"/>
      </w:pPr>
      <w:r>
        <w:t>Departementets vurdering</w:t>
      </w:r>
    </w:p>
    <w:p w:rsidR="00000000" w:rsidRDefault="00E81532" w:rsidP="000762B7">
      <w:r>
        <w:t>Departementet mener det høyeste straffa</w:t>
      </w:r>
      <w:r>
        <w:t>lternativet i forurensningsloven i likhet med genera</w:t>
      </w:r>
      <w:r>
        <w:t>l</w:t>
      </w:r>
      <w:r>
        <w:t>klausulen i straffeloven bør være anvendelig ved overtredelser som kan medføre skade på miljø. Departementet m</w:t>
      </w:r>
      <w:r>
        <w:t>e</w:t>
      </w:r>
      <w:r>
        <w:t>ner det er gode grunner for å opprettholde forslaget.</w:t>
      </w:r>
    </w:p>
    <w:p w:rsidR="00000000" w:rsidRDefault="00E81532" w:rsidP="000762B7">
      <w:r>
        <w:t>Gjennom generalklausulen i straffelove</w:t>
      </w:r>
      <w:r>
        <w:t>n har lovgiver allerede gitt uttrykk for at også alvorlige skader på miljø har høy straffverdighet. At strafferammen på 5 år i forurensningsloven skal kunne anvendes ved fare for alvorlig eller irreversibel skade på naturmangfoldet stemmer også godt overen</w:t>
      </w:r>
      <w:r>
        <w:t>s med foreslått skjerping av strafferamme i naturmangfoldloven til 5 år. Skillet i forurensningsloven mellom overtredelser som har voldt fare for menneskers liv eller helbred og overtredelser som medfører fare for skade på mi</w:t>
      </w:r>
      <w:r>
        <w:t>l</w:t>
      </w:r>
      <w:r>
        <w:t>jøet fremstår utdatert, etters</w:t>
      </w:r>
      <w:r>
        <w:t>om vekten på mi</w:t>
      </w:r>
      <w:r>
        <w:t>l</w:t>
      </w:r>
      <w:r>
        <w:t>jøverdier har økt i samfunnet og det har skjedd en utvikling i synet på behov for strenge rea</w:t>
      </w:r>
      <w:r>
        <w:t>k</w:t>
      </w:r>
      <w:r>
        <w:t>sjoner i saker om miljøkriminalitet. Departementet er enig i uttalelsene fra ØKOKRIM om at forslaget vil være i samsvar med utviklingen på miljøst</w:t>
      </w:r>
      <w:r>
        <w:t>raffområdet de senere årene. Det er som ØKOKRIM sier særlig allmennprevensjon som begrunner hvorfor lovgivningen er sanksjonert med straff. Departementet mener det vil bidra til effektiv allmennprevensjon på foruren</w:t>
      </w:r>
      <w:r>
        <w:t>s</w:t>
      </w:r>
      <w:r>
        <w:t xml:space="preserve">ningsområdet at øverste strafferammen i </w:t>
      </w:r>
      <w:r>
        <w:t>forurensning</w:t>
      </w:r>
      <w:r>
        <w:t>s</w:t>
      </w:r>
      <w:r>
        <w:t>loven også kan anvendes i miljøskad</w:t>
      </w:r>
      <w:r>
        <w:t>e</w:t>
      </w:r>
      <w:r>
        <w:t>sakene. Argumentene for å endre vilkårene for bruk av den øverste strafferammen gjør seg like fullt gjeldende selv om man skulle lykkes med å redusere antallet overtredelser av foruren</w:t>
      </w:r>
      <w:r>
        <w:t>s</w:t>
      </w:r>
      <w:r>
        <w:t>ningsloven gjennom bru</w:t>
      </w:r>
      <w:r>
        <w:t>k av overtredelsesgebyr. De mest alvorlige sakene, og spesielt de hvor den øverste strafferammen kan være aktuell, vil fremdeles politianmeldes, og ikke være aktuelle for overtrede</w:t>
      </w:r>
      <w:r>
        <w:t>l</w:t>
      </w:r>
      <w:r>
        <w:t xml:space="preserve">sesgebyr. </w:t>
      </w:r>
    </w:p>
    <w:p w:rsidR="00000000" w:rsidRDefault="00E81532" w:rsidP="000762B7">
      <w:r>
        <w:t>ØKOKRIM, som i praksis arbeider med de mest alvorlige straffesak</w:t>
      </w:r>
      <w:r>
        <w:t>ene innen miljø, har fre</w:t>
      </w:r>
      <w:r>
        <w:t>m</w:t>
      </w:r>
      <w:r>
        <w:t>holdt at det er et behov for å endre hjemmelen så påtalemyndigheten bedre kan avstemme straffereaksjon etter alvorligheten, og har også nevnt noen eksempler på saker i sin høringsu</w:t>
      </w:r>
      <w:r>
        <w:t>t</w:t>
      </w:r>
      <w:r>
        <w:lastRenderedPageBreak/>
        <w:t xml:space="preserve">talelse. Riksadvokaten har også uttrykt at det er </w:t>
      </w:r>
      <w:r>
        <w:t>he</w:t>
      </w:r>
      <w:r>
        <w:t>n</w:t>
      </w:r>
      <w:r>
        <w:t>siktsmessig. Departementet legger derfor til grunn at det er et reelt behov for en</w:t>
      </w:r>
      <w:r>
        <w:t>d</w:t>
      </w:r>
      <w:r>
        <w:t xml:space="preserve">ringen. </w:t>
      </w:r>
    </w:p>
    <w:p w:rsidR="00000000" w:rsidRDefault="00E81532" w:rsidP="000762B7">
      <w:r>
        <w:t>Enkelte høringsuttalelser uttaler at forslaget medfører senkning av skyldkrav og uttaler beky</w:t>
      </w:r>
      <w:r>
        <w:t>m</w:t>
      </w:r>
      <w:r>
        <w:t xml:space="preserve">ring over strengere aktsomhetskrav. Departementet vil klargjøre at </w:t>
      </w:r>
      <w:r>
        <w:t>uaktsomme overtredelser av forurensingsloven allerede er straffbart etter forurensningsloven § 78. Lovendringsforslaget innebærer ingen endringer i eller senkning av skyldkrav. Fo</w:t>
      </w:r>
      <w:r>
        <w:t>r</w:t>
      </w:r>
      <w:r>
        <w:t>slaget innebærer heller ikke noen senkning av terskel for å kunne dømmes for</w:t>
      </w:r>
      <w:r>
        <w:t xml:space="preserve"> alvorlig miljøkriminalitet. Forslaget medfører kun at det kan gis strengere straff også i miljøskadesakene.</w:t>
      </w:r>
    </w:p>
    <w:p w:rsidR="00000000" w:rsidRDefault="00E81532" w:rsidP="000762B7">
      <w:r>
        <w:t>Kystverket foreslår å gå over til modellen som er brukt i naturmangfoldlovens straffebeste</w:t>
      </w:r>
      <w:r>
        <w:t>m</w:t>
      </w:r>
      <w:r>
        <w:t>melse. Depa</w:t>
      </w:r>
      <w:r>
        <w:t>r</w:t>
      </w:r>
      <w:r>
        <w:t>tementet ser det ikke som hensiktsmessig å e</w:t>
      </w:r>
      <w:r>
        <w:t>ndre på hele systematikken for stra</w:t>
      </w:r>
      <w:r>
        <w:t>f</w:t>
      </w:r>
      <w:r>
        <w:t>febestemmelsene i fo</w:t>
      </w:r>
      <w:r>
        <w:t>r</w:t>
      </w:r>
      <w:r>
        <w:t>urensningsloven nå. Det vil innebære en mer omfattende revisjon av straffebestemmelsene enn det som har vært målet for lovarbeidet her.</w:t>
      </w:r>
    </w:p>
    <w:p w:rsidR="00000000" w:rsidRDefault="00E81532" w:rsidP="000762B7">
      <w:r>
        <w:t>Å trekke grensen mellom før</w:t>
      </w:r>
      <w:r>
        <w:t>ste og andre straffalternativ i bestemmelsens annet ledd vil bero på et skjønn og grensen bør trekkes opp i praksis. Departementet mener tredelingen av straffe</w:t>
      </w:r>
      <w:r>
        <w:t>r</w:t>
      </w:r>
      <w:r>
        <w:t>ammen i fo</w:t>
      </w:r>
      <w:r>
        <w:t>r</w:t>
      </w:r>
      <w:r>
        <w:t xml:space="preserve">urensningsloven bør videreføres, andre straffalternativ i nytt annet punktum er ment </w:t>
      </w:r>
      <w:r>
        <w:t>å være et skjerpet straffalternativ. D</w:t>
      </w:r>
      <w:r>
        <w:t>e</w:t>
      </w:r>
      <w:r>
        <w:t>partementet har vurdert at det er alvorlig eller irreversibel skade på biologisk mangfold som har så høy straffverdighet at den øverste strafferammen bør kunne anvendes. Begrepene som brukes er innarbeidede begreper i</w:t>
      </w:r>
      <w:r>
        <w:t xml:space="preserve"> naturmangfoldloven.</w:t>
      </w:r>
    </w:p>
    <w:p w:rsidR="00000000" w:rsidRDefault="00E81532" w:rsidP="000762B7">
      <w:r>
        <w:t>Med den systematikken som er i forurensningsloven, så er de forhøyede straffalternativene knyttet til sk</w:t>
      </w:r>
      <w:r>
        <w:t>a</w:t>
      </w:r>
      <w:r>
        <w:t xml:space="preserve">defølger, og ikke til skyld. Grad av skyld vil som ellers være relevant moment i straffutmålingen, og det presiseres i merknadene </w:t>
      </w:r>
      <w:r>
        <w:t>til bestemmelsen.</w:t>
      </w:r>
    </w:p>
    <w:p w:rsidR="00000000" w:rsidRDefault="00E81532" w:rsidP="000762B7">
      <w:pPr>
        <w:pStyle w:val="Overskrift2"/>
      </w:pPr>
      <w:r>
        <w:t>Øvrige lovendringsforslag</w:t>
      </w:r>
    </w:p>
    <w:p w:rsidR="00000000" w:rsidRDefault="00E81532" w:rsidP="000762B7">
      <w:pPr>
        <w:pStyle w:val="Overskrift3"/>
      </w:pPr>
      <w:r>
        <w:t xml:space="preserve">Oppheving av kravet til påtalebegjæring etter forurensningsloven </w:t>
      </w:r>
    </w:p>
    <w:p w:rsidR="00000000" w:rsidRDefault="00E81532" w:rsidP="000762B7">
      <w:pPr>
        <w:pStyle w:val="Overskrift4"/>
      </w:pPr>
      <w:r>
        <w:t>Gjeldende rett og endringsforslag</w:t>
      </w:r>
    </w:p>
    <w:p w:rsidR="00000000" w:rsidRDefault="00E81532" w:rsidP="000762B7">
      <w:r>
        <w:t>I forurensningsloven § 78 siste ledd og § 79 siste ledd bestemmes det at påt</w:t>
      </w:r>
      <w:r>
        <w:t>ale bare skal skje etter b</w:t>
      </w:r>
      <w:r>
        <w:t>e</w:t>
      </w:r>
      <w:r>
        <w:t>gjæring fra forurensningsmyndigheten når en overtredelse bare har ført til ubetydelig fo</w:t>
      </w:r>
      <w:r>
        <w:t>r</w:t>
      </w:r>
      <w:r>
        <w:t xml:space="preserve">urensning, fare for ubetydelig forurensning eller ubetydelig skade eller ulempe. </w:t>
      </w:r>
    </w:p>
    <w:p w:rsidR="00000000" w:rsidRDefault="00E81532" w:rsidP="000762B7">
      <w:r>
        <w:t>Bakgrunnen for at leddene ble tatt inn i forurensingsloven</w:t>
      </w:r>
      <w:r>
        <w:t>s straffebestemmelser var at straff</w:t>
      </w:r>
      <w:r>
        <w:t>e</w:t>
      </w:r>
      <w:r>
        <w:t>loven den gang fastsatte ubetinget offentlig påtale med mindre noe annet var bestemt, jf. § 77 i straffeloven av 1902. Regelen i § 77 i straffeloven av 1902 er blitt erstattet av regelen i straff</w:t>
      </w:r>
      <w:r>
        <w:t>e</w:t>
      </w:r>
      <w:r>
        <w:t>prosessloven § 62 a, som</w:t>
      </w:r>
      <w:r>
        <w:t xml:space="preserve"> fastslår at for ove</w:t>
      </w:r>
      <w:r>
        <w:t>r</w:t>
      </w:r>
      <w:r>
        <w:t>tredelse av straffebud med en strafferamme på 2 år eller lavere kan påtale unnlates hvis ikke al</w:t>
      </w:r>
      <w:r>
        <w:t>l</w:t>
      </w:r>
      <w:r>
        <w:t>menne hensyn tilsier påtale. Det er dermed ikke behov for kravet om påtalebegjæring i foruren</w:t>
      </w:r>
      <w:r>
        <w:t>s</w:t>
      </w:r>
      <w:r>
        <w:t>ningsloven § 78 og § 79 siste ledd lenger.</w:t>
      </w:r>
    </w:p>
    <w:p w:rsidR="00000000" w:rsidRDefault="00E81532" w:rsidP="000762B7">
      <w:r>
        <w:t>D</w:t>
      </w:r>
      <w:r>
        <w:t xml:space="preserve">epartementet foreslår å oppheve kravet til påtalebegjæring i forurensningsloven § 78 siste ledd og § 79 siste ledd. </w:t>
      </w:r>
    </w:p>
    <w:p w:rsidR="00000000" w:rsidRDefault="00E81532" w:rsidP="000762B7">
      <w:pPr>
        <w:pStyle w:val="Overskrift4"/>
      </w:pPr>
      <w:r>
        <w:t>Høringsinstansenes syn</w:t>
      </w:r>
    </w:p>
    <w:p w:rsidR="00000000" w:rsidRDefault="00E81532" w:rsidP="000762B7">
      <w:r>
        <w:t>Forslaget har ikke vært på alminnelig høring, men i forbindelse med hør</w:t>
      </w:r>
      <w:r>
        <w:t>ingen av de andre en</w:t>
      </w:r>
      <w:r>
        <w:t>d</w:t>
      </w:r>
      <w:r>
        <w:t>ringsfo</w:t>
      </w:r>
      <w:r>
        <w:t>r</w:t>
      </w:r>
      <w:r>
        <w:t>slagene i straffebestemmelsen i forurensningsloven har enkelte uttalt seg om dette leddet.</w:t>
      </w:r>
    </w:p>
    <w:p w:rsidR="00000000" w:rsidRDefault="00E81532" w:rsidP="000762B7">
      <w:pPr>
        <w:rPr>
          <w:rStyle w:val="kursiv"/>
          <w:sz w:val="21"/>
          <w:szCs w:val="21"/>
        </w:rPr>
      </w:pPr>
      <w:r>
        <w:rPr>
          <w:rStyle w:val="kursiv"/>
          <w:spacing w:val="-2"/>
          <w:sz w:val="21"/>
          <w:szCs w:val="21"/>
        </w:rPr>
        <w:lastRenderedPageBreak/>
        <w:t>Kystverket</w:t>
      </w:r>
      <w:r>
        <w:t xml:space="preserve"> mener også man bør vurdere å fjerne kravet til påtalebegjæring i §§ 78 og 79 siste ledd.</w:t>
      </w:r>
    </w:p>
    <w:p w:rsidR="00000000" w:rsidRDefault="00E81532" w:rsidP="000762B7">
      <w:pPr>
        <w:rPr>
          <w:rStyle w:val="kursiv"/>
          <w:sz w:val="21"/>
          <w:szCs w:val="21"/>
        </w:rPr>
      </w:pPr>
      <w:r>
        <w:rPr>
          <w:rStyle w:val="kursiv"/>
          <w:sz w:val="21"/>
          <w:szCs w:val="21"/>
        </w:rPr>
        <w:t xml:space="preserve">Politidirektoratet </w:t>
      </w:r>
      <w:r>
        <w:t>støt</w:t>
      </w:r>
      <w:r>
        <w:t>ter forslaget om å fjerne kravet til påtalebegjæring fra forurensningsmy</w:t>
      </w:r>
      <w:r>
        <w:t>n</w:t>
      </w:r>
      <w:r>
        <w:t>digheten i forurensningsloven §§ 78 og 79 siste ledd. Politidirektoratet tilføyer at tilsvarende krav ikke finnes i pr</w:t>
      </w:r>
      <w:r>
        <w:t>o</w:t>
      </w:r>
      <w:r>
        <w:t>duktkontrolloven eller naturmangfoldloven, og at kravet til påta</w:t>
      </w:r>
      <w:r>
        <w:t>lebegjæring også er tatt bort i straff</w:t>
      </w:r>
      <w:r>
        <w:t>e</w:t>
      </w:r>
      <w:r>
        <w:t>loven av 2005.</w:t>
      </w:r>
    </w:p>
    <w:p w:rsidR="00000000" w:rsidRDefault="00E81532" w:rsidP="000762B7">
      <w:pPr>
        <w:rPr>
          <w:rStyle w:val="kursiv"/>
          <w:sz w:val="21"/>
          <w:szCs w:val="21"/>
        </w:rPr>
      </w:pPr>
      <w:proofErr w:type="gramStart"/>
      <w:r>
        <w:rPr>
          <w:rStyle w:val="kursiv"/>
          <w:sz w:val="21"/>
          <w:szCs w:val="21"/>
        </w:rPr>
        <w:t>Vest politidistrikt</w:t>
      </w:r>
      <w:r>
        <w:t xml:space="preserve"> foreslår</w:t>
      </w:r>
      <w:proofErr w:type="gramEnd"/>
      <w:r>
        <w:t xml:space="preserve"> å oppheve forurensningsloven § 78 siste ledd og § 79 siste ledd. </w:t>
      </w:r>
      <w:proofErr w:type="gramStart"/>
      <w:r>
        <w:t>Vest polit</w:t>
      </w:r>
      <w:r>
        <w:t>i</w:t>
      </w:r>
      <w:r>
        <w:t>distrikt uttaler</w:t>
      </w:r>
      <w:proofErr w:type="gramEnd"/>
      <w:r>
        <w:t xml:space="preserve"> at det ikke lengre er behov for å gjøre straffeansvaret betinget av foruren</w:t>
      </w:r>
      <w:r>
        <w:t>s</w:t>
      </w:r>
      <w:r>
        <w:t>ning</w:t>
      </w:r>
      <w:r>
        <w:t>smyndigh</w:t>
      </w:r>
      <w:r>
        <w:t>e</w:t>
      </w:r>
      <w:r>
        <w:t>tens påtal</w:t>
      </w:r>
      <w:r>
        <w:t>e</w:t>
      </w:r>
      <w:r>
        <w:t xml:space="preserve">begjæring i disse sakene. </w:t>
      </w:r>
    </w:p>
    <w:p w:rsidR="00000000" w:rsidRDefault="00E81532" w:rsidP="000762B7">
      <w:r>
        <w:t xml:space="preserve">En stor andel av sakene som faller under bestemmelsens siste ledd er forholdsvis kurante saker, som sjelden nødvendiggjør forurensningsmyndighetens fagkompetanse, og det fremstår derfor unødvendig å forelegge </w:t>
      </w:r>
      <w:r>
        <w:t>forurensningsmyndigheten disse sakene. Erfaringsmessig har det ofte tatt forholdsvis lang tid før foruren</w:t>
      </w:r>
      <w:r>
        <w:t>s</w:t>
      </w:r>
      <w:r>
        <w:t>ningsmyndighetens uttalelse om påtalespørsmålet foreligger. Saker i nedre sjikt av ulovlig forurensning og avfall ligger dessuten ofte til rette for s</w:t>
      </w:r>
      <w:r>
        <w:t>åkalte skrankeforelegg, som er raske forelegg på bakgrunn av begrenset etterforskning, ofte utført av patruljen som rykket ut. Systemet med påtalebegj</w:t>
      </w:r>
      <w:r>
        <w:t>æ</w:t>
      </w:r>
      <w:r>
        <w:t xml:space="preserve">ring er i dag til hinder for dette. </w:t>
      </w:r>
    </w:p>
    <w:p w:rsidR="00000000" w:rsidRDefault="00E81532" w:rsidP="000762B7">
      <w:r>
        <w:t>Politiet har uansett anledning til å forelegge sak for uttalelse fra</w:t>
      </w:r>
      <w:r>
        <w:t xml:space="preserve"> forurensningsmyndighetene der dette anses nødvendig og hensiktsmessig, uten vilkåret om påtalebegjæring. Det foreligger ingen tungtveiende grunner mot å oppheve forurensningsloven §§ 78 og 79 siste ledd.</w:t>
      </w:r>
    </w:p>
    <w:p w:rsidR="00000000" w:rsidRDefault="00E81532" w:rsidP="000762B7">
      <w:pPr>
        <w:pStyle w:val="Overskrift4"/>
      </w:pPr>
      <w:r>
        <w:t>Departementets vurdering</w:t>
      </w:r>
    </w:p>
    <w:p w:rsidR="00000000" w:rsidRDefault="00E81532" w:rsidP="000762B7">
      <w:r>
        <w:t>Departemen</w:t>
      </w:r>
      <w:r>
        <w:t>tet mener det ikke lenger er behov for kravet om påtalebegjæring i forurensning</w:t>
      </w:r>
      <w:r>
        <w:t>s</w:t>
      </w:r>
      <w:r>
        <w:t>loven §§ 78 og 79 siste ledd. Departementet anser ny høring om dette som åpenbart unødvendig. Endringer i straff</w:t>
      </w:r>
      <w:r>
        <w:t>e</w:t>
      </w:r>
      <w:r>
        <w:t>prosesslovgivningen gjør at begrunnelsen for kravet om påtalebe</w:t>
      </w:r>
      <w:r>
        <w:t>gjæring faller bort, og bestemmelsen anses derfor som unødvendig. Departementet kan ikke se at det er noen grunner som taler mot å oppheve kravet til påtalebegjæring i §§ 78 og 79 siste ledd.</w:t>
      </w:r>
    </w:p>
    <w:p w:rsidR="00000000" w:rsidRDefault="00E81532" w:rsidP="000762B7">
      <w:pPr>
        <w:pStyle w:val="Overskrift3"/>
      </w:pPr>
      <w:r>
        <w:t>Oppheving av produktkontrollovens straffebud ved bru</w:t>
      </w:r>
      <w:r>
        <w:t>dd på taushetsplikt</w:t>
      </w:r>
    </w:p>
    <w:p w:rsidR="00000000" w:rsidRDefault="00E81532" w:rsidP="000762B7">
      <w:r>
        <w:t>Produktkontrolloven § 12 andre ledd gir hjemmel for straff ved brudd på taushetsplikten etter samme lovs § 11. Brudd på denne taushetsplikten kan også straffes etter straffeloven § 209 (vanlig overtredelse) og § 210 (grov overtredelse).</w:t>
      </w:r>
      <w:r>
        <w:t xml:space="preserve"> </w:t>
      </w:r>
    </w:p>
    <w:p w:rsidR="00000000" w:rsidRDefault="00E81532" w:rsidP="000762B7">
      <w:r>
        <w:t>Departementet ser ikke behov for å opprettholde det særskilte straffebudet i produktkontrolloven ved siden av det alminnelige straffebudet i straffeloven, og foreslår derfor å oppheve det. Straff for brudd på taushetsplikten etter produktkontrolloven § </w:t>
      </w:r>
      <w:r>
        <w:t>11 vil etter dette bare følge av straff</w:t>
      </w:r>
      <w:r>
        <w:t>e</w:t>
      </w:r>
      <w:r>
        <w:t xml:space="preserve">loven. </w:t>
      </w:r>
    </w:p>
    <w:p w:rsidR="00000000" w:rsidRDefault="00E81532" w:rsidP="000762B7">
      <w:pPr>
        <w:pStyle w:val="Overskrift1"/>
      </w:pPr>
      <w:r>
        <w:t>Økonomiske og administrative konsekvenser</w:t>
      </w:r>
    </w:p>
    <w:p w:rsidR="00000000" w:rsidRDefault="00E81532" w:rsidP="000762B7">
      <w:r>
        <w:t xml:space="preserve">Innføring av overtredelsesgebyr vil føre til at det blir mulig å sanksjonere en del lovbrudd som i dag ikke blir fulgt opp som følge av begrenset kapasitet i </w:t>
      </w:r>
      <w:r>
        <w:t xml:space="preserve">strafferettsapparatet. Sanksjonering av slike lovbrudd kan på kort sikt medføre økt arbeidsmengde for forvaltningen. </w:t>
      </w:r>
    </w:p>
    <w:p w:rsidR="00000000" w:rsidRDefault="00E81532" w:rsidP="000762B7">
      <w:r>
        <w:t>Hvis overtredelsesgebyr gir den ønskede preventive effekten, vil man imidlertid på lengre sikt oppnå adm</w:t>
      </w:r>
      <w:r>
        <w:t>i</w:t>
      </w:r>
      <w:r>
        <w:t>nistrative og økonomiske besparel</w:t>
      </w:r>
      <w:r>
        <w:t>ser. Når aktørene i større grad etterlever rege</w:t>
      </w:r>
      <w:r>
        <w:t>l</w:t>
      </w:r>
      <w:r>
        <w:lastRenderedPageBreak/>
        <w:t>verket av eget in</w:t>
      </w:r>
      <w:r>
        <w:t>i</w:t>
      </w:r>
      <w:r>
        <w:t>tiativ, vil dette redusere behovet for pålegg og annen oppfølgning fra fo</w:t>
      </w:r>
      <w:r>
        <w:t>r</w:t>
      </w:r>
      <w:r>
        <w:t>urensningsmyndighetenes og produktko</w:t>
      </w:r>
      <w:r>
        <w:t>n</w:t>
      </w:r>
      <w:r>
        <w:t>trollmyndighetenes side.</w:t>
      </w:r>
    </w:p>
    <w:p w:rsidR="00000000" w:rsidRDefault="00E81532" w:rsidP="000762B7">
      <w:r>
        <w:t>De alvorligste bruddene på forurensningsloven, naturma</w:t>
      </w:r>
      <w:r>
        <w:t>ngfoldloven og produktkontrolloven vil for</w:t>
      </w:r>
      <w:r>
        <w:t>t</w:t>
      </w:r>
      <w:r>
        <w:t>satt bli forfulgt i det ordinære straffesporet. Ressursbruken i disse sakene vil ikke bli berørt av nye regler om ove</w:t>
      </w:r>
      <w:r>
        <w:t>r</w:t>
      </w:r>
      <w:r>
        <w:t xml:space="preserve">tredelsesgebyr. </w:t>
      </w:r>
    </w:p>
    <w:p w:rsidR="00000000" w:rsidRDefault="00E81532" w:rsidP="000762B7">
      <w:r>
        <w:t>Heving av strafferammene i forurensningsloven, produktkontrolloven, naturmangf</w:t>
      </w:r>
      <w:r>
        <w:t>oldloven og sva</w:t>
      </w:r>
      <w:r>
        <w:t>l</w:t>
      </w:r>
      <w:r>
        <w:t>bardmi</w:t>
      </w:r>
      <w:r>
        <w:t>l</w:t>
      </w:r>
      <w:r>
        <w:t xml:space="preserve">jøloven vil etter departementets vurdering ikke ha vesentlige administrative eller økonomiske konsekvenser for det offentlige. </w:t>
      </w:r>
    </w:p>
    <w:p w:rsidR="00000000" w:rsidRDefault="00E81532" w:rsidP="000762B7">
      <w:pPr>
        <w:pStyle w:val="Overskrift1"/>
      </w:pPr>
      <w:r>
        <w:t>Departementets merknader til de enkelte bestemmelsene</w:t>
      </w:r>
    </w:p>
    <w:p w:rsidR="00000000" w:rsidRDefault="00E81532" w:rsidP="000762B7">
      <w:pPr>
        <w:pStyle w:val="avsnitt-undertittel"/>
      </w:pPr>
      <w:r>
        <w:t>Til produktkontrolloven § 12</w:t>
      </w:r>
    </w:p>
    <w:p w:rsidR="00000000" w:rsidRDefault="00E81532" w:rsidP="000762B7">
      <w:r>
        <w:t xml:space="preserve">Det vises til </w:t>
      </w:r>
      <w:r>
        <w:t>nærmere beskrivelse av endringsforslaget i punkt 4.3.</w:t>
      </w:r>
    </w:p>
    <w:p w:rsidR="00000000" w:rsidRDefault="00E81532" w:rsidP="000762B7">
      <w:r>
        <w:t>Hevingen av strafferammen er ment å føre til en økning av det generelle straffutmålingsnivået. Når straff</w:t>
      </w:r>
      <w:r>
        <w:t>e</w:t>
      </w:r>
      <w:r>
        <w:t>rammen økes, forventer departementet også at det gir et tydelig signal om høyere straffverdighet</w:t>
      </w:r>
      <w:r>
        <w:t xml:space="preserve"> av ove</w:t>
      </w:r>
      <w:r>
        <w:t>r</w:t>
      </w:r>
      <w:r>
        <w:t>tredelser mot produktkontrolloven og at det er naturlig at dette inngår som et viktig moment i polit</w:t>
      </w:r>
      <w:r>
        <w:t>i</w:t>
      </w:r>
      <w:r>
        <w:t>ets pri</w:t>
      </w:r>
      <w:r>
        <w:t>o</w:t>
      </w:r>
      <w:r>
        <w:t>riteringer.</w:t>
      </w:r>
    </w:p>
    <w:p w:rsidR="00000000" w:rsidRDefault="00E81532" w:rsidP="000762B7">
      <w:r>
        <w:t>Foreldelsesfristen er 5 år, jf. straffeloven § 86 første ledd bokstav b).</w:t>
      </w:r>
    </w:p>
    <w:p w:rsidR="00000000" w:rsidRDefault="00E81532" w:rsidP="000762B7">
      <w:pPr>
        <w:pStyle w:val="avsnitt-undertittel"/>
      </w:pPr>
      <w:r>
        <w:t>Til produktkontrolloven ny § 12 a</w:t>
      </w:r>
    </w:p>
    <w:p w:rsidR="00000000" w:rsidRDefault="00E81532" w:rsidP="000762B7">
      <w:r>
        <w:t>Det vises til nærme</w:t>
      </w:r>
      <w:r>
        <w:t xml:space="preserve">re beskrivelse av endringsforslaget i punkt 4.1. </w:t>
      </w:r>
    </w:p>
    <w:p w:rsidR="00000000" w:rsidRDefault="00E81532" w:rsidP="000762B7">
      <w:r>
        <w:t xml:space="preserve">Overtredelsesgebyr er en administrativ sanksjon, jf. forvaltningsloven § 43, og anses som straff etter den europeiske menneskerettskonvensjonen. </w:t>
      </w:r>
    </w:p>
    <w:p w:rsidR="00000000" w:rsidRDefault="00E81532" w:rsidP="000762B7">
      <w:r>
        <w:t xml:space="preserve">Bruk av overtredelsesgebyr forutsetter at det har skjedd en </w:t>
      </w:r>
      <w:r>
        <w:t>overtredelse innenfor en av de k</w:t>
      </w:r>
      <w:r>
        <w:t>a</w:t>
      </w:r>
      <w:r>
        <w:t>tegori</w:t>
      </w:r>
      <w:r>
        <w:t>e</w:t>
      </w:r>
      <w:r>
        <w:t>ne som er listet opp, og at det er gitt forskrift om at overtredelsesgebyr kan ilegges.</w:t>
      </w:r>
    </w:p>
    <w:p w:rsidR="00000000" w:rsidRDefault="00E81532" w:rsidP="000762B7">
      <w:r>
        <w:t>Avgjørelsen av om overtredelsesgebyr skal ilegges eller ikke, skjer etter en samlet vurdering av en rekke hensyn. Forvaltningslo</w:t>
      </w:r>
      <w:r>
        <w:t>ven §§ 44 og 46 angir en rekke hensyn som man kan ta hensyn til ved utm</w:t>
      </w:r>
      <w:r>
        <w:t>å</w:t>
      </w:r>
      <w:r>
        <w:t>ling av overtredelsesgebyr (fysiske personer) samt ved avgjørelsen av om det skal ilegges overtredelse</w:t>
      </w:r>
      <w:r>
        <w:t>s</w:t>
      </w:r>
      <w:r>
        <w:t>gebyr og ved utmåling av gebyret (foretak). Departementet mener at de hensynene s</w:t>
      </w:r>
      <w:r>
        <w:t>om angis her er e</w:t>
      </w:r>
      <w:r>
        <w:t>g</w:t>
      </w:r>
      <w:r>
        <w:t>net, både som re</w:t>
      </w:r>
      <w:r>
        <w:t>t</w:t>
      </w:r>
      <w:r>
        <w:t>ningslinje for å avgjøre om overtredelsesgebyr skal ilegges eller ikke og ved utmåling av eventuelt gebyr. Opplistingen er ikke uttømmende. Departementet peker særlig på at det kan være akt</w:t>
      </w:r>
      <w:r>
        <w:t>u</w:t>
      </w:r>
      <w:r>
        <w:t xml:space="preserve">elt å se hen til om den totale </w:t>
      </w:r>
      <w:r>
        <w:t>reaksjonen mot overtredelsen fremstår som rimelig. Det vil også kunne være aktuelt å fremheve noen særskilte hensyn i forskrift for bestemte typer lovbrudd. En avgjørelse om å ilegge overtredelsesgebyr vil være et enkeltvedtak, som betyr at en må følge sak</w:t>
      </w:r>
      <w:r>
        <w:t>sbehandlingsreglene etter fo</w:t>
      </w:r>
      <w:r>
        <w:t>r</w:t>
      </w:r>
      <w:r>
        <w:t>valtningsloven om blant annet forhåndsvarsel, partsinnsyn, begrunnelse og klagerett. Beste</w:t>
      </w:r>
      <w:r>
        <w:t>m</w:t>
      </w:r>
      <w:r>
        <w:t>melsen u</w:t>
      </w:r>
      <w:r>
        <w:t>t</w:t>
      </w:r>
      <w:r>
        <w:t>fylles av kapittel IX i forvaltning</w:t>
      </w:r>
      <w:r>
        <w:t>s</w:t>
      </w:r>
      <w:r>
        <w:t>loven, som inneholder generelle regler om administrative sanksjoner som skal gjelde på tver</w:t>
      </w:r>
      <w:r>
        <w:t>s av ulike fo</w:t>
      </w:r>
      <w:r>
        <w:t>r</w:t>
      </w:r>
      <w:r>
        <w:t>valtningsområder.</w:t>
      </w:r>
    </w:p>
    <w:p w:rsidR="00000000" w:rsidRDefault="00E81532" w:rsidP="000762B7">
      <w:r>
        <w:t>Foretaksbegrepet og skyldkravet for foretak i forvaltningsloven § 46 første ledd gjelder.</w:t>
      </w:r>
    </w:p>
    <w:p w:rsidR="00000000" w:rsidRDefault="00E81532" w:rsidP="000762B7">
      <w:r>
        <w:lastRenderedPageBreak/>
        <w:t>Hvis det er hjemmel både for overtredelsesgebyr og straff, må forvaltningen velge «spor». Samme forhold kan ikke forfølges båd</w:t>
      </w:r>
      <w:r>
        <w:t>e med overtredelsesgebyr i forvaltningen og med straff i det ordinære straffesporet, med mindre det faller innenfor rammene for tillatt parallell forføl</w:t>
      </w:r>
      <w:r>
        <w:t>g</w:t>
      </w:r>
      <w:r>
        <w:t>ning. Departementet viser for øvrig til red</w:t>
      </w:r>
      <w:r>
        <w:t>e</w:t>
      </w:r>
      <w:r>
        <w:t>gjørelsen i Prop. 62 L (2015–2016) punkt 4.5. Pol</w:t>
      </w:r>
      <w:r>
        <w:t>i</w:t>
      </w:r>
      <w:r>
        <w:t>tianmelde</w:t>
      </w:r>
      <w:r>
        <w:t>lse er bedre egnet enn ove</w:t>
      </w:r>
      <w:r>
        <w:t>r</w:t>
      </w:r>
      <w:r>
        <w:t>tredelsesgebyr ved brudd på flere ulike regelverk, når det er grunn til å anta at viktige beviser kun kan skaffes ved tvangsmi</w:t>
      </w:r>
      <w:r>
        <w:t>d</w:t>
      </w:r>
      <w:r>
        <w:t xml:space="preserve">delbruk og når sakens alvor tilsier det. Dersom forurensningsmyndigheten har grunn til å anta at både </w:t>
      </w:r>
      <w:r>
        <w:t>straff og overtrede</w:t>
      </w:r>
      <w:r>
        <w:t>l</w:t>
      </w:r>
      <w:r>
        <w:t>sesgebyr kan være aktuell reaksjon mot samme forhold, må forurensningsmyndigheten i samråd med påtalemyndigheten avklare hvordan forholdet skal forfølges, jf. samordningsplikten i fo</w:t>
      </w:r>
      <w:r>
        <w:t>r</w:t>
      </w:r>
      <w:r>
        <w:t>valtningsloven § 47.</w:t>
      </w:r>
    </w:p>
    <w:p w:rsidR="00000000" w:rsidRDefault="00E81532" w:rsidP="000762B7">
      <w:r>
        <w:t>Det bør utarbeides retningslinje</w:t>
      </w:r>
      <w:r>
        <w:t>r og veileder for bruk av hjemmelen til å ilegge overtredelse</w:t>
      </w:r>
      <w:r>
        <w:t>s</w:t>
      </w:r>
      <w:r>
        <w:t>gebyr, for å sikre ensartet praksis.</w:t>
      </w:r>
    </w:p>
    <w:p w:rsidR="00000000" w:rsidRDefault="00E81532" w:rsidP="000762B7">
      <w:pPr>
        <w:pStyle w:val="avsnitt-undertittel"/>
      </w:pPr>
      <w:r>
        <w:t>Til forurensningsloven § 78 første ledd og annet ledd første punktum</w:t>
      </w:r>
    </w:p>
    <w:p w:rsidR="00000000" w:rsidRDefault="00E81532" w:rsidP="000762B7">
      <w:r>
        <w:t xml:space="preserve">Det vises til nærmere beskrivelse av endringsforslaget i punkt 4.3. </w:t>
      </w:r>
    </w:p>
    <w:p w:rsidR="00000000" w:rsidRDefault="00E81532" w:rsidP="000762B7">
      <w:r>
        <w:t>Hevingen av straffe</w:t>
      </w:r>
      <w:r>
        <w:t>rammen er ment å føre til en økning av det generelle straffutmålingsnivået. Når straff</w:t>
      </w:r>
      <w:r>
        <w:t>e</w:t>
      </w:r>
      <w:r>
        <w:t>rammen økes, forventer departementet også at det gir et tydelig signal om høyere straffverdighet av ove</w:t>
      </w:r>
      <w:r>
        <w:t>r</w:t>
      </w:r>
      <w:r>
        <w:t>tredelser mot forurensningsloven og at det er naturlig at dette i</w:t>
      </w:r>
      <w:r>
        <w:t>nngår som et viktig moment i politiets prior</w:t>
      </w:r>
      <w:r>
        <w:t>i</w:t>
      </w:r>
      <w:r>
        <w:t>teringer.</w:t>
      </w:r>
    </w:p>
    <w:p w:rsidR="00000000" w:rsidRDefault="00E81532" w:rsidP="000762B7">
      <w:r>
        <w:t xml:space="preserve">Foreldelsesfristen er 5 år, jf. straffeloven § 86 første ledd bokstav b). </w:t>
      </w:r>
    </w:p>
    <w:p w:rsidR="00000000" w:rsidRDefault="00E81532" w:rsidP="000762B7">
      <w:pPr>
        <w:pStyle w:val="avsnitt-undertittel"/>
      </w:pPr>
      <w:r>
        <w:t>Til forurensningsloven § 78 annet ledd annet punktum</w:t>
      </w:r>
    </w:p>
    <w:p w:rsidR="00000000" w:rsidRDefault="00E81532" w:rsidP="000762B7">
      <w:r>
        <w:t>Det vises til nærmere beskrivelse av endringsforslaget i punkt 4.5.</w:t>
      </w:r>
    </w:p>
    <w:p w:rsidR="00000000" w:rsidRDefault="00E81532" w:rsidP="000762B7">
      <w:r>
        <w:t>Biolo</w:t>
      </w:r>
      <w:r>
        <w:t>gisk mangfold skal forstås i tråd med definisjonen i naturmangfoldloven § 3 bokstav c, og omfa</w:t>
      </w:r>
      <w:r>
        <w:t>t</w:t>
      </w:r>
      <w:r>
        <w:t>ter mangfoldet av økosystemer, arter og genetiske variasjoner innenfor artene, og de økologiske sa</w:t>
      </w:r>
      <w:r>
        <w:t>m</w:t>
      </w:r>
      <w:r>
        <w:t>menhengene mellom disse komponentene. Hvorvidt overtredelsen h</w:t>
      </w:r>
      <w:r>
        <w:t>ar voldt fare for alvorlig eller irreve</w:t>
      </w:r>
      <w:r>
        <w:t>r</w:t>
      </w:r>
      <w:r>
        <w:t>sibel skade på biologisk mangfold, vil bero på en skjønnsmessig vurd</w:t>
      </w:r>
      <w:r>
        <w:t>e</w:t>
      </w:r>
      <w:r>
        <w:t>ring. Ved vurderingen er det natu</w:t>
      </w:r>
      <w:r>
        <w:t>r</w:t>
      </w:r>
      <w:r>
        <w:t>lig å ta utgangspunkt i skadens omfang, om skaden er varig eller forbigående og om det biologiske mangfo</w:t>
      </w:r>
      <w:r>
        <w:t>l</w:t>
      </w:r>
      <w:r>
        <w:t xml:space="preserve">det som </w:t>
      </w:r>
      <w:r>
        <w:t xml:space="preserve">blir berørt er truet eller er verdifulle naturtyper. Det er av betydning om skaden gjør det vanskelig </w:t>
      </w:r>
      <w:proofErr w:type="gramStart"/>
      <w:r>
        <w:t>å</w:t>
      </w:r>
      <w:proofErr w:type="gramEnd"/>
      <w:r>
        <w:t xml:space="preserve"> nå eller opprettholde forval</w:t>
      </w:r>
      <w:r>
        <w:t>t</w:t>
      </w:r>
      <w:r>
        <w:t>ningsmålene for naturtyper, økosystemer og arter i naturman</w:t>
      </w:r>
      <w:r>
        <w:t>g</w:t>
      </w:r>
      <w:r>
        <w:t>foldloven §§ 4 og 5. Dersom en art eller naturtype er sterkt tr</w:t>
      </w:r>
      <w:r>
        <w:t xml:space="preserve">uet, skal det mindre til for at skaden anses som alvorlig. Langvarige skader på truet eller sårbar natur vil som regel anses som alvorlige. </w:t>
      </w:r>
    </w:p>
    <w:p w:rsidR="00000000" w:rsidRDefault="00E81532" w:rsidP="000762B7">
      <w:r>
        <w:t>Ved å ramme fare for skade kommer bestemmelsen også til anvendelse der hvor forurensningen har funnet sted, men ska</w:t>
      </w:r>
      <w:r>
        <w:t>den ikke nødvendigvis har materialisert seg. For eksempel vil det være tilfelle der eventuelle skader som følge av forurensningen begrenses eller elimineres helt takket være inngrep fra utenforstående eller offentlige myndigheter. Det kan også være vanskel</w:t>
      </w:r>
      <w:r>
        <w:t>ig å bevise i en straffesak at sk</w:t>
      </w:r>
      <w:r>
        <w:t>a</w:t>
      </w:r>
      <w:r>
        <w:t>den er alvorlig eller irreversibel fordi skadevirkningene først vil materialisere seg over et lengre tidsrom. Det må imidlertid for</w:t>
      </w:r>
      <w:r>
        <w:t>e</w:t>
      </w:r>
      <w:r>
        <w:t>ligge en konkret og aktuell fare for at straffalternativet i andre ledd annet punktum skal</w:t>
      </w:r>
      <w:r>
        <w:t xml:space="preserve"> komme til anvendelse.</w:t>
      </w:r>
    </w:p>
    <w:p w:rsidR="00000000" w:rsidRDefault="00E81532" w:rsidP="000762B7">
      <w:r>
        <w:t>Graden av skyld vil som ellers ha betydning for straffutmålingen.</w:t>
      </w:r>
    </w:p>
    <w:p w:rsidR="00000000" w:rsidRDefault="00E81532" w:rsidP="000762B7">
      <w:pPr>
        <w:pStyle w:val="avsnitt-undertittel"/>
      </w:pPr>
      <w:r>
        <w:lastRenderedPageBreak/>
        <w:t>Til forurensningsloven § 79 første ledd</w:t>
      </w:r>
    </w:p>
    <w:p w:rsidR="00000000" w:rsidRDefault="00E81532" w:rsidP="000762B7">
      <w:r>
        <w:t>Det vises til nærmere beskrivelse av endringsforslaget i punkt 4.3.</w:t>
      </w:r>
    </w:p>
    <w:p w:rsidR="00000000" w:rsidRDefault="00E81532" w:rsidP="000762B7">
      <w:r>
        <w:t>Hevingen av strafferammen er ment å føre til en økning av d</w:t>
      </w:r>
      <w:r>
        <w:t>et generelle straffutmålingsnivået. Når straffe</w:t>
      </w:r>
      <w:r>
        <w:t>r</w:t>
      </w:r>
      <w:r>
        <w:t>ammen økes, forventer departementet også at det gir et tydelig signal om høyere straffverdi</w:t>
      </w:r>
      <w:r>
        <w:t>g</w:t>
      </w:r>
      <w:r>
        <w:t>het av overtredelser mot forurensningsloven og at det er naturlig at dette inngår som et viktig moment i politiets p</w:t>
      </w:r>
      <w:r>
        <w:t>rioriteringer.</w:t>
      </w:r>
    </w:p>
    <w:p w:rsidR="00000000" w:rsidRDefault="00E81532" w:rsidP="000762B7">
      <w:pPr>
        <w:pStyle w:val="avsnitt-undertittel"/>
      </w:pPr>
      <w:r>
        <w:t>Til forurensningsloven ny § 80</w:t>
      </w:r>
    </w:p>
    <w:p w:rsidR="00000000" w:rsidRDefault="00E81532" w:rsidP="000762B7">
      <w:r>
        <w:t>Det vises til nærmere beskrivelse av endringsforslaget i punkt 4.1.</w:t>
      </w:r>
    </w:p>
    <w:p w:rsidR="00000000" w:rsidRDefault="00E81532" w:rsidP="000762B7">
      <w:r>
        <w:t>Overtredelsesgebyr er en administrativ sanksjon, jf. forvaltningsloven § 43, og anses som straff etter den europeiske menneskerettskonvensjon.</w:t>
      </w:r>
    </w:p>
    <w:p w:rsidR="00000000" w:rsidRDefault="00E81532" w:rsidP="000762B7">
      <w:r>
        <w:t>Bruk av overtredelsesgebyr forutsetter at det har skjedd en overtredelse innenfor en av de k</w:t>
      </w:r>
      <w:r>
        <w:t>a</w:t>
      </w:r>
      <w:r>
        <w:t>tegori</w:t>
      </w:r>
      <w:r>
        <w:t>e</w:t>
      </w:r>
      <w:r>
        <w:t xml:space="preserve">ne som er listet opp, og at det er gitt forskrift om at overtredelsesgebyr kan ilegges. </w:t>
      </w:r>
    </w:p>
    <w:p w:rsidR="00000000" w:rsidRDefault="00E81532" w:rsidP="000762B7">
      <w:r>
        <w:t>Avgjørelsen av om overtredelsesgebyr skal ilegges eller ikke, skje</w:t>
      </w:r>
      <w:r>
        <w:t>r etter en samlet vurdering av en rekke hensyn. Forvaltningsloven §§ 44 og 46 angir en rekke hensyn som man kan ta hensyn til ved utmåling av overtredelsesgebyr (fysiske personer) samt ved avgjørelsen av om det skal ilegges overtredelsesgebyr og ved utmåli</w:t>
      </w:r>
      <w:r>
        <w:t>ng av gebyret (for</w:t>
      </w:r>
      <w:r>
        <w:t>e</w:t>
      </w:r>
      <w:r>
        <w:t>tak). Departementet mener at de hensynene som angis her er egnet, både som re</w:t>
      </w:r>
      <w:r>
        <w:t>t</w:t>
      </w:r>
      <w:r>
        <w:t>ningslinje for å avgjøre om overtr</w:t>
      </w:r>
      <w:r>
        <w:t>e</w:t>
      </w:r>
      <w:r>
        <w:t>delsesgebyr skal ilegges eller ikke og ved utmåling av eventuelt gebyr. Opplistingen er ikke uttømmende. Depart</w:t>
      </w:r>
      <w:r>
        <w:t>e</w:t>
      </w:r>
      <w:r>
        <w:t>mentet peker</w:t>
      </w:r>
      <w:r>
        <w:t xml:space="preserve"> særlig på at det kan være aktuelt å se hen til om den totale reaksjonen mot overtredelsen fremstår som rimelig. En avgjørelse om å ilegge overtredelsesgebyr vil være et enkeltvedtak, som betyr at en må følge saksbehan</w:t>
      </w:r>
      <w:r>
        <w:t>d</w:t>
      </w:r>
      <w:r>
        <w:t xml:space="preserve">lingsreglene etter forvaltningsloven </w:t>
      </w:r>
      <w:r>
        <w:t>om blant a</w:t>
      </w:r>
      <w:r>
        <w:t>n</w:t>
      </w:r>
      <w:r>
        <w:t>net forhåndsvarsel, partsinnsyn, begrunnelse og klagerett. Beste</w:t>
      </w:r>
      <w:r>
        <w:t>m</w:t>
      </w:r>
      <w:r>
        <w:t>melsen utfylles av kapittel IX i forval</w:t>
      </w:r>
      <w:r>
        <w:t>t</w:t>
      </w:r>
      <w:r>
        <w:t>ningsl</w:t>
      </w:r>
      <w:r>
        <w:t>o</w:t>
      </w:r>
      <w:r>
        <w:t>ven, som inneholder generelle regler om administrative sanksjoner som skal gjelde på tvers av ulike forval</w:t>
      </w:r>
      <w:r>
        <w:t>t</w:t>
      </w:r>
      <w:r>
        <w:t>ningsområder.</w:t>
      </w:r>
    </w:p>
    <w:p w:rsidR="00000000" w:rsidRDefault="00E81532" w:rsidP="000762B7">
      <w:r>
        <w:t>Foretaksbegr</w:t>
      </w:r>
      <w:r>
        <w:t>epet og skyldkravet for foretak i forvaltningsloven § 46 første ledd gjelder.</w:t>
      </w:r>
    </w:p>
    <w:p w:rsidR="00000000" w:rsidRDefault="00E81532" w:rsidP="000762B7">
      <w:r>
        <w:t>Hvis det er hjemmel både for overtredelsesgebyr og straff, må forvaltningen velge «spor». Samme forhold kan ikke forfølges både med overtredelsesgebyr i forvaltningen og med stra</w:t>
      </w:r>
      <w:r>
        <w:t>ff i det ordinære straffesporet, med mindre det faller innenfor rammene for tillatt parallell forføl</w:t>
      </w:r>
      <w:r>
        <w:t>g</w:t>
      </w:r>
      <w:r>
        <w:t>ning. Departementet viser for øvrig til red</w:t>
      </w:r>
      <w:r>
        <w:t>e</w:t>
      </w:r>
      <w:r>
        <w:t>gjørelsen i Prop. 62 L (2015–2016) punkt 4.5. Pol</w:t>
      </w:r>
      <w:r>
        <w:t>i</w:t>
      </w:r>
      <w:r>
        <w:t>tianmeldelse er bedre egnet enn ove</w:t>
      </w:r>
      <w:r>
        <w:t>r</w:t>
      </w:r>
      <w:r>
        <w:t xml:space="preserve">tredelsesgebyr ved brudd </w:t>
      </w:r>
      <w:r>
        <w:t>på flere ulike regelverk, når det er grunn til å anta at viktige beviser kun kan skaffes ved tvangsmi</w:t>
      </w:r>
      <w:r>
        <w:t>d</w:t>
      </w:r>
      <w:r>
        <w:t>delbruk og når sakens alvor tilsier det. Dersom forurensningsmyndigheten har grunn til å anta at både straff og overtrede</w:t>
      </w:r>
      <w:r>
        <w:t>l</w:t>
      </w:r>
      <w:r>
        <w:t>sesgebyr kan være aktuell reaksj</w:t>
      </w:r>
      <w:r>
        <w:t>on mot samme forhold, må forurensningsmyndigheten i samråd med påtalemyndigheten avklare hvordan forholdet skal forfølges, jf. samordningsplikten i fo</w:t>
      </w:r>
      <w:r>
        <w:t>r</w:t>
      </w:r>
      <w:r>
        <w:t>valtningsloven § 47.</w:t>
      </w:r>
    </w:p>
    <w:p w:rsidR="00000000" w:rsidRDefault="00E81532" w:rsidP="000762B7">
      <w:r>
        <w:t>Det bør utarbeides retningslinjer og veileder for bruk av hjemmelen til å ilegge ove</w:t>
      </w:r>
      <w:r>
        <w:t>rtredelse</w:t>
      </w:r>
      <w:r>
        <w:t>s</w:t>
      </w:r>
      <w:r>
        <w:t>gebyr, for å sikre ensartet praksis.</w:t>
      </w:r>
    </w:p>
    <w:p w:rsidR="00000000" w:rsidRDefault="00E81532" w:rsidP="000762B7">
      <w:pPr>
        <w:pStyle w:val="avsnitt-undertittel"/>
      </w:pPr>
      <w:r>
        <w:t>Til straffeprosessloven § 67 annet ledd bokstav c)</w:t>
      </w:r>
    </w:p>
    <w:p w:rsidR="00000000" w:rsidRDefault="00E81532" w:rsidP="000762B7">
      <w:r>
        <w:t>Det vises til nærmere beskrivelse av endringsforslaget i punkt 4.4.</w:t>
      </w:r>
    </w:p>
    <w:p w:rsidR="00000000" w:rsidRDefault="00E81532" w:rsidP="000762B7">
      <w:r>
        <w:lastRenderedPageBreak/>
        <w:t>Bestemmelsen klargjør hva som skal ligge under politiets påtalekompetanse.</w:t>
      </w:r>
    </w:p>
    <w:p w:rsidR="00000000" w:rsidRDefault="00E81532" w:rsidP="000762B7">
      <w:pPr>
        <w:pStyle w:val="avsnitt-undertittel"/>
      </w:pPr>
      <w:r>
        <w:t>Til svalbardmil</w:t>
      </w:r>
      <w:r>
        <w:t>jøloven § 99</w:t>
      </w:r>
    </w:p>
    <w:p w:rsidR="00000000" w:rsidRDefault="00E81532" w:rsidP="000762B7">
      <w:r>
        <w:t>Det vises til nærmere beskrivelse av endringsforslaget i punkt 4.3.</w:t>
      </w:r>
    </w:p>
    <w:p w:rsidR="00000000" w:rsidRDefault="00E81532" w:rsidP="000762B7">
      <w:r>
        <w:t>Det er unike miljøverdier på Svalbard, og miljøregelverket bør være minst like strengt på Svalbard som på fastlandet. Strafferammen i svalbardmiljøloven må derfor følge rettsu</w:t>
      </w:r>
      <w:r>
        <w:t>tviklingen på fastlandet. De sær</w:t>
      </w:r>
      <w:r>
        <w:t>s</w:t>
      </w:r>
      <w:r>
        <w:t>kilte forholdene på Svalbard med store avstander og folketomme områder gjør at det kan være tilfe</w:t>
      </w:r>
      <w:r>
        <w:t>l</w:t>
      </w:r>
      <w:r>
        <w:t>dig om en overtredelse blir oppdaget og møtt med straffereaksjoner. Det er derfor av stor allmennpreve</w:t>
      </w:r>
      <w:r>
        <w:t>n</w:t>
      </w:r>
      <w:r>
        <w:t>tiv b</w:t>
      </w:r>
      <w:r>
        <w:t>e</w:t>
      </w:r>
      <w:r>
        <w:t>tydning at reaks</w:t>
      </w:r>
      <w:r>
        <w:t>jonen er merkbar. Modellen med at det gjelder den samme strafferammen for alle former for miljøkr</w:t>
      </w:r>
      <w:r>
        <w:t>i</w:t>
      </w:r>
      <w:r>
        <w:t>minalitet videreføres.</w:t>
      </w:r>
    </w:p>
    <w:p w:rsidR="00000000" w:rsidRDefault="00E81532" w:rsidP="000762B7">
      <w:pPr>
        <w:pStyle w:val="avsnitt-undertittel"/>
      </w:pPr>
      <w:r>
        <w:t>Til naturmangfoldloven § 74</w:t>
      </w:r>
    </w:p>
    <w:p w:rsidR="00000000" w:rsidRDefault="00E81532" w:rsidP="000762B7">
      <w:r>
        <w:t xml:space="preserve">Det vises til nærmere beskrivelse av endringsforslaget i punkt 4.2. </w:t>
      </w:r>
    </w:p>
    <w:p w:rsidR="00000000" w:rsidRDefault="00E81532" w:rsidP="000762B7">
      <w:r>
        <w:t>Overtredelsesgebyr er en administrativ sanksjon, jf. forvaltningsloven § 43 og anses som straff etter den europeiske menneskerettskonvensjonen. Endringen fra miljøerstatning til overtrede</w:t>
      </w:r>
      <w:r>
        <w:t>l</w:t>
      </w:r>
      <w:r>
        <w:t>sesgebyr kla</w:t>
      </w:r>
      <w:r>
        <w:t>r</w:t>
      </w:r>
      <w:r>
        <w:t>gjør dermed både hva som er formålet med bestemmelsen o</w:t>
      </w:r>
      <w:r>
        <w:t>g hvilke rammer fo</w:t>
      </w:r>
      <w:r>
        <w:t>r</w:t>
      </w:r>
      <w:r>
        <w:t xml:space="preserve">valtningen må forholde seg til ved bruk av bestemmelsen. </w:t>
      </w:r>
    </w:p>
    <w:p w:rsidR="00000000" w:rsidRDefault="00E81532" w:rsidP="000762B7">
      <w:r>
        <w:t>En avgjørelse om å ilegge overtredelsesgebyr vil være et enkeltvedtak, som betyr at man må følge saksb</w:t>
      </w:r>
      <w:r>
        <w:t>e</w:t>
      </w:r>
      <w:r>
        <w:t>handlingsreglene i forvaltningsloven om blant annet forhåndsvarsel, partsinn</w:t>
      </w:r>
      <w:r>
        <w:t>syn, b</w:t>
      </w:r>
      <w:r>
        <w:t>e</w:t>
      </w:r>
      <w:r>
        <w:t>grunnelse og klagerett. Bestemmelsen om overtredelsesgebyr utfylles også av forvaltningsloven kapittel IX, som inn</w:t>
      </w:r>
      <w:r>
        <w:t>e</w:t>
      </w:r>
      <w:r>
        <w:t>holder generelle regler om administrative sanksjoner som gjelder på tvers av ulike forvaltningsområder.</w:t>
      </w:r>
    </w:p>
    <w:p w:rsidR="00000000" w:rsidRDefault="00E81532" w:rsidP="000762B7">
      <w:r>
        <w:t>Det følger av bestemmelsens fø</w:t>
      </w:r>
      <w:r>
        <w:t>rste ledd at myndigheten etter loven kan ilegge overtredelse</w:t>
      </w:r>
      <w:r>
        <w:t>s</w:t>
      </w:r>
      <w:r>
        <w:t xml:space="preserve">gebyr til den som overtrer § 6, § 15 første og annet ledd, § 17 fjerde ledd første punktum, § 17 a annet og tredje ledd, § 22, § 24 første ledd, § 25, § 26, § 27 annet ledd, § 28, § 29 første og </w:t>
      </w:r>
      <w:r>
        <w:t>fjerde ledd, § 30 første og annet ledd, § 31 annet ledd annet punktum, § 34, § 35 annet ledd, § 36 annet ledd, § 37 tredje ledd, § 38 annet punktum, § 39 femte ledd, § 44 annet ledd, § 45 første og annet ledd, § 54 første til fjerde punktum, § 55 første le</w:t>
      </w:r>
      <w:r>
        <w:t xml:space="preserve">dd, § 58 første ledd, § 59 første og sjette ledd, § 60 første ledd, § 61, § 63 annet ledd første punktum og § 66. </w:t>
      </w:r>
    </w:p>
    <w:p w:rsidR="00000000" w:rsidRDefault="00E81532" w:rsidP="000762B7">
      <w:r>
        <w:t>Overtredelse av aktsomhetsbestemmelsene i naturmangfoldloven § 6 og § 28 første ledd er ikke straffbart, og departementet mener at det er vik</w:t>
      </w:r>
      <w:r>
        <w:t>tig å kunne reagere med overtredelsesgebyr ved overtr</w:t>
      </w:r>
      <w:r>
        <w:t>e</w:t>
      </w:r>
      <w:r>
        <w:t>delse av disse b</w:t>
      </w:r>
      <w:r>
        <w:t>e</w:t>
      </w:r>
      <w:r>
        <w:t>stemmelsene. De to vedtakene som er truffet om miljøerstatning, gjaldt overtredelse av § 6, jf. § 53 første ledd (uaktsom hogst av kalklindeskog og uaktsom hogst av hule eiker). Aktsomh</w:t>
      </w:r>
      <w:r>
        <w:t>et</w:t>
      </w:r>
      <w:r>
        <w:t>s</w:t>
      </w:r>
      <w:r>
        <w:t>bestemmelsen i § 53 første ledd viser til § 6 og listes derfor ikke opp særskilt i bestemmelsen.</w:t>
      </w:r>
    </w:p>
    <w:p w:rsidR="00000000" w:rsidRDefault="00E81532" w:rsidP="000762B7">
      <w:r>
        <w:t>Av annet ledd fremgår det at overtredelsesgebyr også kan ilegges den som overtrer bestemmelser i forskrifter eller plikter som følger av individuelle avgjør</w:t>
      </w:r>
      <w:r>
        <w:t>elser gitt med hjemmel i noen av b</w:t>
      </w:r>
      <w:r>
        <w:t>e</w:t>
      </w:r>
      <w:r>
        <w:t>stemmelsene nevnt i første ledd, samt bestemmelser i forskrifter eller plikter som følger av i</w:t>
      </w:r>
      <w:r>
        <w:t>n</w:t>
      </w:r>
      <w:r>
        <w:t xml:space="preserve">dividuelle avgjørelser som nevnt i § 77 første punktum. </w:t>
      </w:r>
    </w:p>
    <w:p w:rsidR="00000000" w:rsidRDefault="00E81532" w:rsidP="000762B7">
      <w:r>
        <w:t>Brudd på plikter som følger av individuelle avgjørelser kan typisk væ</w:t>
      </w:r>
      <w:r>
        <w:t>re brudd på vilkår knyttet til till</w:t>
      </w:r>
      <w:r>
        <w:t>a</w:t>
      </w:r>
      <w:r>
        <w:t xml:space="preserve">telser. Departementet bemerker at det er viktig å reagere mot brudd på vilkår og at slike brudd </w:t>
      </w:r>
      <w:r>
        <w:lastRenderedPageBreak/>
        <w:t>ofte ikke vil være så alvorlige at de blir anmeldt. Overtredelsesgebyr vil derfor være et egnet virkemiddel. Presis</w:t>
      </w:r>
      <w:r>
        <w:t>e</w:t>
      </w:r>
      <w:r>
        <w:t>ringen m</w:t>
      </w:r>
      <w:r>
        <w:t>edfører ikke at naturmangfoldloven § 75 skal tolkes innskrenkende, selv om tilsvarende presis</w:t>
      </w:r>
      <w:r>
        <w:t>e</w:t>
      </w:r>
      <w:r>
        <w:t>ring ikke er gjort der.</w:t>
      </w:r>
    </w:p>
    <w:p w:rsidR="00000000" w:rsidRDefault="00E81532" w:rsidP="000762B7">
      <w:r>
        <w:t>Overtredelsesgebyr</w:t>
      </w:r>
      <w:r>
        <w:rPr>
          <w:rStyle w:val="kursiv"/>
          <w:sz w:val="21"/>
          <w:szCs w:val="21"/>
        </w:rPr>
        <w:t xml:space="preserve"> kan</w:t>
      </w:r>
      <w:r>
        <w:t xml:space="preserve"> ilegges ved overtredelse av nevnte bestemmelser. Avgjørelsen av om ove</w:t>
      </w:r>
      <w:r>
        <w:t>r</w:t>
      </w:r>
      <w:r>
        <w:t>tredelse</w:t>
      </w:r>
      <w:r>
        <w:t>s</w:t>
      </w:r>
      <w:r>
        <w:t>gebyr skal ilegges eller ikke, skje</w:t>
      </w:r>
      <w:r>
        <w:t>r etter en samlet vurdering av en rekke hensyn. Departementet vurderer at momentene i forvaltningsloven § 44 tredje ledd, som gjelder utmåling av overtredelsesgebyr overfor fysiske personer, også er egnet ved vurderingen av om overtr</w:t>
      </w:r>
      <w:r>
        <w:t>e</w:t>
      </w:r>
      <w:r>
        <w:t>delsesgebyr skal ilegg</w:t>
      </w:r>
      <w:r>
        <w:t xml:space="preserve">es eller ikke. </w:t>
      </w:r>
    </w:p>
    <w:p w:rsidR="00000000" w:rsidRDefault="00E81532" w:rsidP="000762B7">
      <w:r>
        <w:t>Opplistingen i forvaltningsloven § 44 tredje ledd er ikke uttømmende. Departementet peker særlig på at det kan være aktuelt å se hen til at den totale reaksjonen mot overtredelsen fremstår som rimelig. D</w:t>
      </w:r>
      <w:r>
        <w:t>e</w:t>
      </w:r>
      <w:r>
        <w:t>partementet bemerker at «overtredels</w:t>
      </w:r>
      <w:r>
        <w:t>ens omfang og virkninger» kan omfatte både omfanget av selve overtredelsen og omfanget av en eventuell skade på naturen. Ved vu</w:t>
      </w:r>
      <w:r>
        <w:t>r</w:t>
      </w:r>
      <w:r>
        <w:t>deringen av dette hensynet må man også se hen til verdien av den naturen som er skadet eller kunne ha blitt skadet ved overtrede</w:t>
      </w:r>
      <w:r>
        <w:t>lsen og v</w:t>
      </w:r>
      <w:r>
        <w:t>a</w:t>
      </w:r>
      <w:r>
        <w:t xml:space="preserve">righeten av en eventuell skade. </w:t>
      </w:r>
    </w:p>
    <w:p w:rsidR="00000000" w:rsidRDefault="00E81532" w:rsidP="000762B7">
      <w:r>
        <w:t>Vurderingen av om overtredelsesgebyr skal ilegges overfor foretak, reguleres av forvaltning</w:t>
      </w:r>
      <w:r>
        <w:t>s</w:t>
      </w:r>
      <w:r>
        <w:t>loven § 46 annet ledd. De samme momentene gjelder ved utmåling av gebyret. Reguleringen av skyldkravet for foretak og def</w:t>
      </w:r>
      <w:r>
        <w:t xml:space="preserve">inisjonen av foretak i forvaltningsloven § 46 første ledd gjelder tilsvarende. </w:t>
      </w:r>
    </w:p>
    <w:p w:rsidR="00000000" w:rsidRDefault="00E81532" w:rsidP="000762B7">
      <w:r>
        <w:t>I henhold til fjerde ledd kan Kongen gi forskrift med nærmere regler om utmåling av overtr</w:t>
      </w:r>
      <w:r>
        <w:t>e</w:t>
      </w:r>
      <w:r>
        <w:t>delse</w:t>
      </w:r>
      <w:r>
        <w:t>s</w:t>
      </w:r>
      <w:r>
        <w:t>gebyr. Slik forskrift skal også fastsette øvre rammer for individuelt utmålte o</w:t>
      </w:r>
      <w:r>
        <w:t>vertrede</w:t>
      </w:r>
      <w:r>
        <w:t>l</w:t>
      </w:r>
      <w:r>
        <w:t>sesgebyrer, jf. fo</w:t>
      </w:r>
      <w:r>
        <w:t>r</w:t>
      </w:r>
      <w:r>
        <w:t xml:space="preserve">valtningsloven § 44 annet ledd. </w:t>
      </w:r>
    </w:p>
    <w:p w:rsidR="00000000" w:rsidRDefault="00E81532" w:rsidP="000762B7">
      <w:r>
        <w:t>Klima- og miljødepartementet er myndighet etter bestemmelsen om miljøerstatning og vil også være myndighet etter ny bestemmelse om overtredelsesgebyr. Myndigheten er delegert til Mi</w:t>
      </w:r>
      <w:r>
        <w:t>l</w:t>
      </w:r>
      <w:r>
        <w:t>jødirektorate</w:t>
      </w:r>
      <w:r>
        <w:t>t. Det kan være aktuelt å delegere myndigheten videre til fylkesmennene. Ved overtredelse av noen b</w:t>
      </w:r>
      <w:r>
        <w:t>e</w:t>
      </w:r>
      <w:r>
        <w:t>stemmelser, som for eksempel meldeplikt, kan det også være aktuelt å delegere myndighet til komm</w:t>
      </w:r>
      <w:r>
        <w:t>u</w:t>
      </w:r>
      <w:r>
        <w:t>nene. Naturmangfoldloven § 62 annet ledd annet punktum åpne</w:t>
      </w:r>
      <w:r>
        <w:t>r for at myndighet kan delegeres til kommunen. En slik delegering må knyttes til bestemte b</w:t>
      </w:r>
      <w:r>
        <w:t>e</w:t>
      </w:r>
      <w:r>
        <w:t>stemmelser i loven eller forskrift med hje</w:t>
      </w:r>
      <w:r>
        <w:t>m</w:t>
      </w:r>
      <w:r>
        <w:t>mel i loven. En eventuell delegering vil ikke medføre at my</w:t>
      </w:r>
      <w:r>
        <w:t>n</w:t>
      </w:r>
      <w:r>
        <w:t>digheten overføres fra Klima- og miljød</w:t>
      </w:r>
      <w:r>
        <w:t>e</w:t>
      </w:r>
      <w:r>
        <w:t>part</w:t>
      </w:r>
      <w:r>
        <w:t>e</w:t>
      </w:r>
      <w:r>
        <w:t>mentet.</w:t>
      </w:r>
    </w:p>
    <w:p w:rsidR="00000000" w:rsidRDefault="00E81532" w:rsidP="000762B7">
      <w:pPr>
        <w:pStyle w:val="avsnitt-undertittel"/>
      </w:pPr>
      <w:r>
        <w:t>Til natu</w:t>
      </w:r>
      <w:r>
        <w:t>rmangfoldloven § 75</w:t>
      </w:r>
    </w:p>
    <w:p w:rsidR="00000000" w:rsidRDefault="00E81532" w:rsidP="000762B7">
      <w:r>
        <w:t>Det vises til nærmere beskrivelse av endringsforslaget i punkt 4.3.</w:t>
      </w:r>
    </w:p>
    <w:p w:rsidR="00000000" w:rsidRDefault="00E81532" w:rsidP="000762B7">
      <w:r>
        <w:t>Heving av strafferammen er ment å føre til en økning av det generelle straffutmålingsnivået. Når straffe</w:t>
      </w:r>
      <w:r>
        <w:t>r</w:t>
      </w:r>
      <w:r>
        <w:t xml:space="preserve">ammen økes, forventer departementet også at det gir et tydelig </w:t>
      </w:r>
      <w:r>
        <w:t>signal om hvor alvorlig og straf</w:t>
      </w:r>
      <w:r>
        <w:t>f</w:t>
      </w:r>
      <w:r>
        <w:t>verdig ove</w:t>
      </w:r>
      <w:r>
        <w:t>r</w:t>
      </w:r>
      <w:r>
        <w:t>tredelser av naturmangfoldloven anses å være og at det er naturlig at dette inngår som et vi</w:t>
      </w:r>
      <w:r>
        <w:t>k</w:t>
      </w:r>
      <w:r>
        <w:t>tig moment i politiets prioriteringer.</w:t>
      </w:r>
    </w:p>
    <w:p w:rsidR="00000000" w:rsidRDefault="00E81532" w:rsidP="000762B7">
      <w:r>
        <w:t>Endringen i naturmangfoldloven § 75 andre ledd medfører at foreldelsesfristen en</w:t>
      </w:r>
      <w:r>
        <w:t>dres fra 5 år til 10 år, jf. straffeloven § 86 første ledd bokstav c. Endringen har ingen betydning for påtal</w:t>
      </w:r>
      <w:r>
        <w:t>e</w:t>
      </w:r>
      <w:r>
        <w:t>kompetansen.</w:t>
      </w:r>
    </w:p>
    <w:p w:rsidR="00000000" w:rsidRDefault="00E81532" w:rsidP="000762B7">
      <w:r>
        <w:lastRenderedPageBreak/>
        <w:t>Heving av strafferammen til 5 år vil gi tilgang på noen flere straffeprosessuelle tvangsmidler, som te</w:t>
      </w:r>
      <w:r>
        <w:t>k</w:t>
      </w:r>
      <w:r>
        <w:t>nisk sporing av kjøretøy jf. s</w:t>
      </w:r>
      <w:r>
        <w:t>traffeprosessloven § 202 b og annen kontroll av komm</w:t>
      </w:r>
      <w:r>
        <w:t>u</w:t>
      </w:r>
      <w:r>
        <w:t>nikasjonsanlegg, jf. straff</w:t>
      </w:r>
      <w:r>
        <w:t>e</w:t>
      </w:r>
      <w:r>
        <w:t xml:space="preserve">prosessloven § 216 b første ledd bokstav a. </w:t>
      </w:r>
    </w:p>
    <w:p w:rsidR="00000000" w:rsidRDefault="00E81532" w:rsidP="000762B7">
      <w:pPr>
        <w:pStyle w:val="a-tilraar-dep"/>
      </w:pPr>
      <w:r>
        <w:t>Klima- og miljødepartementet</w:t>
      </w:r>
    </w:p>
    <w:p w:rsidR="00000000" w:rsidRDefault="00E81532" w:rsidP="000762B7">
      <w:pPr>
        <w:pStyle w:val="a-tilraar-tit"/>
      </w:pPr>
      <w:r>
        <w:t>tilrår:</w:t>
      </w:r>
    </w:p>
    <w:p w:rsidR="00000000" w:rsidRDefault="00E81532" w:rsidP="000762B7">
      <w:r>
        <w:t>At Deres Majestet godkjenner og skriver under et framlagt forslag til proposisjon til Stortin</w:t>
      </w:r>
      <w:r>
        <w:t>get om endringer i forurensningsloven, produktkontrolloven, naturmangfoldloven og svalbardmi</w:t>
      </w:r>
      <w:r>
        <w:t>l</w:t>
      </w:r>
      <w:r>
        <w:t>jøloven mv. (innføring av overtredelsesgebyr og heving av strafferammer).</w:t>
      </w:r>
    </w:p>
    <w:p w:rsidR="00000000" w:rsidRDefault="00E81532" w:rsidP="000762B7">
      <w:pPr>
        <w:pStyle w:val="a-konge-tekst"/>
        <w:rPr>
          <w:rStyle w:val="halvfet"/>
          <w:sz w:val="21"/>
          <w:szCs w:val="21"/>
        </w:rPr>
      </w:pPr>
      <w:r>
        <w:rPr>
          <w:rStyle w:val="halvfet"/>
          <w:sz w:val="21"/>
          <w:szCs w:val="21"/>
        </w:rPr>
        <w:t xml:space="preserve">Vi HARALD, </w:t>
      </w:r>
      <w:r>
        <w:t>Norges Konge,</w:t>
      </w:r>
    </w:p>
    <w:p w:rsidR="00000000" w:rsidRDefault="00E81532" w:rsidP="000762B7">
      <w:pPr>
        <w:pStyle w:val="a-konge-tit"/>
      </w:pPr>
      <w:r>
        <w:t>stadfester:</w:t>
      </w:r>
    </w:p>
    <w:p w:rsidR="00000000" w:rsidRDefault="00E81532" w:rsidP="000762B7">
      <w:r>
        <w:t>Stortinget blir bedt om å gjøre vedtak til lov om en</w:t>
      </w:r>
      <w:r>
        <w:t>dringer i forurensningsloven, produktko</w:t>
      </w:r>
      <w:r>
        <w:t>n</w:t>
      </w:r>
      <w:r>
        <w:t>trolloven, naturmangfoldloven og svalbardmiljøloven mv. (innføring av overtredelsesgebyr og heving av straffe</w:t>
      </w:r>
      <w:r>
        <w:t>r</w:t>
      </w:r>
      <w:r>
        <w:t>ammer) i samsvar med et vedlagt forslag.</w:t>
      </w:r>
    </w:p>
    <w:p w:rsidR="00000000" w:rsidRDefault="00E81532" w:rsidP="000762B7">
      <w:pPr>
        <w:pStyle w:val="a-vedtak-tit"/>
      </w:pPr>
      <w:r>
        <w:t xml:space="preserve">Forslag </w:t>
      </w:r>
    </w:p>
    <w:p w:rsidR="00000000" w:rsidRDefault="00E81532" w:rsidP="000762B7">
      <w:pPr>
        <w:pStyle w:val="a-vedtak-tit"/>
      </w:pPr>
      <w:r>
        <w:t>til lov om endringer i forurensningsloven, produktkontro</w:t>
      </w:r>
      <w:r>
        <w:t>lloven, naturman</w:t>
      </w:r>
      <w:r>
        <w:t>g</w:t>
      </w:r>
      <w:r>
        <w:t>foldloven og svalbardmiljøloven mv. (innføring av overtredelsesgebyr og h</w:t>
      </w:r>
      <w:r>
        <w:t>e</w:t>
      </w:r>
      <w:r>
        <w:t>ving av strafferammer)</w:t>
      </w:r>
    </w:p>
    <w:p w:rsidR="00000000" w:rsidRDefault="00E81532" w:rsidP="000762B7">
      <w:pPr>
        <w:pStyle w:val="a-vedtak-del"/>
      </w:pPr>
      <w:r>
        <w:t>I</w:t>
      </w:r>
    </w:p>
    <w:p w:rsidR="00000000" w:rsidRDefault="00E81532" w:rsidP="000762B7">
      <w:pPr>
        <w:pStyle w:val="l-tit-endr-lov"/>
      </w:pPr>
      <w:r>
        <w:t xml:space="preserve">I lov 11. juni 1976 nr. 79 om kontroll med produkter og forbrukertjenester gjøres følgende endringer: </w:t>
      </w:r>
    </w:p>
    <w:p w:rsidR="00000000" w:rsidRDefault="00E81532" w:rsidP="000762B7">
      <w:pPr>
        <w:pStyle w:val="l-tit-endr-paragraf"/>
      </w:pPr>
      <w:r>
        <w:t>§ 12 skal lyde:</w:t>
      </w:r>
    </w:p>
    <w:p w:rsidR="00000000" w:rsidRDefault="00E81532" w:rsidP="000762B7">
      <w:pPr>
        <w:pStyle w:val="l-paragraf"/>
        <w:rPr>
          <w:rStyle w:val="regular"/>
          <w:sz w:val="21"/>
          <w:szCs w:val="21"/>
        </w:rPr>
      </w:pPr>
      <w:r>
        <w:rPr>
          <w:rStyle w:val="regular"/>
          <w:i/>
          <w:iCs/>
          <w:sz w:val="21"/>
          <w:szCs w:val="21"/>
        </w:rPr>
        <w:t xml:space="preserve">§ 12 </w:t>
      </w:r>
      <w:r>
        <w:t>Straffansvar.</w:t>
      </w:r>
    </w:p>
    <w:p w:rsidR="00000000" w:rsidRDefault="00E81532" w:rsidP="000762B7">
      <w:pPr>
        <w:pStyle w:val="l-ledd"/>
      </w:pPr>
      <w:r>
        <w:t xml:space="preserve">Den som forsettlig eller uaktsomt overtrer bestemmelser gitt i eller i medhold av denne lov, eller som bryter vilkår fastsatt med hjemmel i § 7, straffes med bøter, fengsel i inntil </w:t>
      </w:r>
      <w:r>
        <w:rPr>
          <w:rStyle w:val="l-endring"/>
          <w:sz w:val="21"/>
          <w:szCs w:val="21"/>
        </w:rPr>
        <w:t>1 år</w:t>
      </w:r>
      <w:r>
        <w:t xml:space="preserve"> eller begge deler, så fremt ikke strengere straffebestemmelse kommer </w:t>
      </w:r>
      <w:r>
        <w:t xml:space="preserve">til </w:t>
      </w:r>
      <w:r>
        <w:rPr>
          <w:rStyle w:val="l-endring"/>
          <w:sz w:val="21"/>
          <w:szCs w:val="21"/>
        </w:rPr>
        <w:t>anvendelse.</w:t>
      </w:r>
      <w:r>
        <w:t xml:space="preserve"> </w:t>
      </w:r>
    </w:p>
    <w:p w:rsidR="00000000" w:rsidRDefault="00E81532" w:rsidP="000762B7">
      <w:pPr>
        <w:pStyle w:val="l-ledd"/>
        <w:rPr>
          <w:rStyle w:val="l-endring"/>
          <w:sz w:val="21"/>
          <w:szCs w:val="21"/>
        </w:rPr>
      </w:pPr>
      <w:r>
        <w:rPr>
          <w:rStyle w:val="l-endring"/>
          <w:sz w:val="21"/>
          <w:szCs w:val="21"/>
        </w:rPr>
        <w:t>Har overtredelsen voldt fare for menneskers liv eller helbred, stor skade eller ulempe på miljøet, eller det for øvrig foreligger særdeles skjerpende omstendigheter, kan fengsel inntil 3 år anvendes, så fremt ikke stren</w:t>
      </w:r>
      <w:r>
        <w:rPr>
          <w:rStyle w:val="l-endring"/>
          <w:sz w:val="21"/>
          <w:szCs w:val="21"/>
        </w:rPr>
        <w:t>g</w:t>
      </w:r>
      <w:r>
        <w:rPr>
          <w:rStyle w:val="l-endring"/>
          <w:sz w:val="21"/>
          <w:szCs w:val="21"/>
        </w:rPr>
        <w:t>ere straffebestemme</w:t>
      </w:r>
      <w:r>
        <w:rPr>
          <w:rStyle w:val="l-endring"/>
          <w:sz w:val="21"/>
          <w:szCs w:val="21"/>
        </w:rPr>
        <w:t>lse kommer til anvendelse.</w:t>
      </w:r>
      <w:r>
        <w:t xml:space="preserve"> </w:t>
      </w:r>
    </w:p>
    <w:p w:rsidR="00000000" w:rsidRDefault="00E81532" w:rsidP="000762B7">
      <w:pPr>
        <w:pStyle w:val="l-ledd"/>
      </w:pPr>
      <w:r>
        <w:rPr>
          <w:rStyle w:val="l-endring"/>
          <w:sz w:val="21"/>
          <w:szCs w:val="21"/>
        </w:rPr>
        <w:t>Første og andre ledd gjelder ikke overtredelse av §§ 9, 10 og 11 femte ledd.</w:t>
      </w:r>
      <w:r>
        <w:t xml:space="preserve"> </w:t>
      </w:r>
      <w:r>
        <w:rPr>
          <w:rStyle w:val="l-endring"/>
          <w:sz w:val="21"/>
          <w:szCs w:val="21"/>
        </w:rPr>
        <w:t>Overtredelse av § 3 straffes bare dersom den skjer forsettlig eller ved grov uaktsomhet.</w:t>
      </w:r>
    </w:p>
    <w:p w:rsidR="00000000" w:rsidRDefault="00E81532" w:rsidP="000762B7">
      <w:pPr>
        <w:pStyle w:val="l-tit-endr-paragraf"/>
      </w:pPr>
      <w:r>
        <w:t>Ny § 12 a skal lyde:</w:t>
      </w:r>
    </w:p>
    <w:p w:rsidR="00000000" w:rsidRDefault="00E81532" w:rsidP="000762B7">
      <w:pPr>
        <w:pStyle w:val="l-paragraf"/>
        <w:rPr>
          <w:rStyle w:val="regular"/>
          <w:sz w:val="21"/>
          <w:szCs w:val="21"/>
        </w:rPr>
      </w:pPr>
      <w:r>
        <w:rPr>
          <w:rStyle w:val="regular"/>
          <w:i/>
          <w:iCs/>
          <w:sz w:val="21"/>
          <w:szCs w:val="21"/>
        </w:rPr>
        <w:t xml:space="preserve">§ 12 a </w:t>
      </w:r>
      <w:r>
        <w:t>Overtredelsesgebyr.</w:t>
      </w:r>
    </w:p>
    <w:p w:rsidR="00000000" w:rsidRDefault="00E81532" w:rsidP="000762B7">
      <w:pPr>
        <w:pStyle w:val="l-ledd"/>
      </w:pPr>
      <w:r>
        <w:t xml:space="preserve">Kongen kan gi </w:t>
      </w:r>
      <w:r>
        <w:t>forskrift om ileggelse av overtredelsesgebyr til den som:</w:t>
      </w:r>
    </w:p>
    <w:p w:rsidR="00000000" w:rsidRDefault="00E81532" w:rsidP="000762B7">
      <w:pPr>
        <w:pStyle w:val="friliste"/>
      </w:pPr>
      <w:r>
        <w:t xml:space="preserve">a) </w:t>
      </w:r>
      <w:r>
        <w:tab/>
        <w:t xml:space="preserve">overtrer aktsomhet- og tiltaksplikt i § 3 første ledd </w:t>
      </w:r>
    </w:p>
    <w:p w:rsidR="00000000" w:rsidRDefault="00E81532" w:rsidP="000762B7">
      <w:pPr>
        <w:pStyle w:val="friliste"/>
      </w:pPr>
      <w:r>
        <w:t xml:space="preserve">b) </w:t>
      </w:r>
      <w:r>
        <w:tab/>
        <w:t xml:space="preserve">overtrer aktsomhet- og tiltaksplikt i § 3 andre ledd første punktum </w:t>
      </w:r>
    </w:p>
    <w:p w:rsidR="00000000" w:rsidRDefault="00E81532" w:rsidP="000762B7">
      <w:pPr>
        <w:pStyle w:val="friliste"/>
      </w:pPr>
      <w:r>
        <w:t xml:space="preserve">c) </w:t>
      </w:r>
      <w:r>
        <w:tab/>
        <w:t xml:space="preserve">overtrer informasjonsplikt i § 3 femte ledd </w:t>
      </w:r>
    </w:p>
    <w:p w:rsidR="00000000" w:rsidRDefault="00E81532" w:rsidP="000762B7">
      <w:pPr>
        <w:pStyle w:val="friliste"/>
      </w:pPr>
      <w:r>
        <w:lastRenderedPageBreak/>
        <w:t xml:space="preserve">d) </w:t>
      </w:r>
      <w:r>
        <w:tab/>
        <w:t>overtrer subs</w:t>
      </w:r>
      <w:r>
        <w:t xml:space="preserve">titusjonsplikt i § 3 a </w:t>
      </w:r>
    </w:p>
    <w:p w:rsidR="00000000" w:rsidRDefault="00E81532" w:rsidP="000762B7">
      <w:pPr>
        <w:pStyle w:val="friliste"/>
      </w:pPr>
      <w:r>
        <w:t xml:space="preserve">e) </w:t>
      </w:r>
      <w:r>
        <w:tab/>
        <w:t xml:space="preserve">overtrer forskrifter eller enkeltvedtak etter § 4 eller § 4a </w:t>
      </w:r>
    </w:p>
    <w:p w:rsidR="00000000" w:rsidRDefault="00E81532" w:rsidP="000762B7">
      <w:pPr>
        <w:pStyle w:val="friliste"/>
      </w:pPr>
      <w:r>
        <w:t xml:space="preserve">f) </w:t>
      </w:r>
      <w:r>
        <w:tab/>
        <w:t xml:space="preserve">overtrer plikt i § 5 a </w:t>
      </w:r>
    </w:p>
    <w:p w:rsidR="00000000" w:rsidRDefault="00E81532" w:rsidP="000762B7">
      <w:pPr>
        <w:pStyle w:val="friliste"/>
      </w:pPr>
      <w:r>
        <w:t xml:space="preserve">g) </w:t>
      </w:r>
      <w:r>
        <w:tab/>
        <w:t xml:space="preserve">overtrer forbud etter § 6 </w:t>
      </w:r>
    </w:p>
    <w:p w:rsidR="00000000" w:rsidRDefault="00E81532" w:rsidP="000762B7">
      <w:pPr>
        <w:pStyle w:val="friliste"/>
      </w:pPr>
      <w:r>
        <w:t xml:space="preserve">h) </w:t>
      </w:r>
      <w:r>
        <w:tab/>
        <w:t>overtrer vedtak etter § 6 a</w:t>
      </w:r>
    </w:p>
    <w:p w:rsidR="00000000" w:rsidRDefault="00E81532" w:rsidP="000762B7">
      <w:pPr>
        <w:pStyle w:val="friliste"/>
      </w:pPr>
      <w:r>
        <w:t xml:space="preserve">i) </w:t>
      </w:r>
      <w:r>
        <w:tab/>
        <w:t>overtrer meldeplikt i eller etter § 6 b.</w:t>
      </w:r>
    </w:p>
    <w:p w:rsidR="00000000" w:rsidRDefault="00E81532" w:rsidP="000762B7">
      <w:pPr>
        <w:pStyle w:val="l-ledd"/>
      </w:pPr>
      <w:r>
        <w:t>Fysiske personer kan bare ileg</w:t>
      </w:r>
      <w:r>
        <w:t>ges overtredelsesgebyr for forsettlige eller uaktsomme ove</w:t>
      </w:r>
      <w:r>
        <w:t>r</w:t>
      </w:r>
      <w:r>
        <w:t xml:space="preserve">tredelser. </w:t>
      </w:r>
    </w:p>
    <w:p w:rsidR="00000000" w:rsidRDefault="00E81532" w:rsidP="000762B7">
      <w:pPr>
        <w:pStyle w:val="l-ledd"/>
      </w:pPr>
      <w:r>
        <w:t xml:space="preserve">Kongen kan gi forskrift om utmålingen av overtredelsesgebyr. </w:t>
      </w:r>
    </w:p>
    <w:p w:rsidR="00000000" w:rsidRDefault="00E81532" w:rsidP="000762B7">
      <w:pPr>
        <w:pStyle w:val="l-ledd"/>
      </w:pPr>
      <w:r>
        <w:t>Adgangen til å ilegge overtredelsesgebyr foreldes 2 år etter at overtredelsen er opphørt. Fristen a</w:t>
      </w:r>
      <w:r>
        <w:t>v</w:t>
      </w:r>
      <w:r>
        <w:t>brytes ved at det gis f</w:t>
      </w:r>
      <w:r>
        <w:t xml:space="preserve">orhåndsvarsel eller fattes vedtak om overtredelsesgebyr. </w:t>
      </w:r>
    </w:p>
    <w:p w:rsidR="00000000" w:rsidRDefault="00E81532" w:rsidP="000762B7">
      <w:pPr>
        <w:pStyle w:val="a-vedtak-del"/>
      </w:pPr>
      <w:r>
        <w:t>II</w:t>
      </w:r>
    </w:p>
    <w:p w:rsidR="00000000" w:rsidRDefault="00E81532" w:rsidP="000762B7">
      <w:pPr>
        <w:pStyle w:val="l-tit-endr-lov"/>
      </w:pPr>
      <w:r>
        <w:t>I lov 13. mars 1981 nr. 6 om vern mot forurensinger og om avfall gjøres følgende endringer:</w:t>
      </w:r>
    </w:p>
    <w:p w:rsidR="00000000" w:rsidRDefault="00E81532" w:rsidP="000762B7">
      <w:pPr>
        <w:pStyle w:val="l-tit-endr-paragraf"/>
      </w:pPr>
      <w:r>
        <w:t xml:space="preserve">§ 78 skal lyde: </w:t>
      </w:r>
    </w:p>
    <w:p w:rsidR="00000000" w:rsidRDefault="00E81532" w:rsidP="000762B7">
      <w:pPr>
        <w:pStyle w:val="l-paragraf"/>
        <w:rPr>
          <w:rStyle w:val="regular"/>
          <w:sz w:val="21"/>
          <w:szCs w:val="21"/>
        </w:rPr>
      </w:pPr>
      <w:r>
        <w:rPr>
          <w:rStyle w:val="regular"/>
          <w:i/>
          <w:iCs/>
          <w:sz w:val="21"/>
          <w:szCs w:val="21"/>
        </w:rPr>
        <w:t xml:space="preserve">§ 78 </w:t>
      </w:r>
      <w:r>
        <w:t>(straffansvar for forurensning)</w:t>
      </w:r>
    </w:p>
    <w:p w:rsidR="00000000" w:rsidRDefault="00E81532" w:rsidP="000762B7">
      <w:pPr>
        <w:pStyle w:val="l-ledd"/>
      </w:pPr>
      <w:r>
        <w:t xml:space="preserve">Med bøter eller fengsel inntil </w:t>
      </w:r>
      <w:r>
        <w:rPr>
          <w:rStyle w:val="l-endring"/>
          <w:sz w:val="21"/>
          <w:szCs w:val="21"/>
        </w:rPr>
        <w:t>1 år</w:t>
      </w:r>
      <w:r>
        <w:t xml:space="preserve"> eller begge d</w:t>
      </w:r>
      <w:r>
        <w:t>eler straffes den som forsettlig eller uak</w:t>
      </w:r>
      <w:r>
        <w:t>t</w:t>
      </w:r>
      <w:r>
        <w:t>somt</w:t>
      </w:r>
    </w:p>
    <w:p w:rsidR="00000000" w:rsidRDefault="00E81532" w:rsidP="000762B7">
      <w:pPr>
        <w:pStyle w:val="friliste"/>
      </w:pPr>
      <w:r>
        <w:t xml:space="preserve">a) </w:t>
      </w:r>
      <w:r>
        <w:tab/>
        <w:t>har, gjør eller setter i verk noe som kan forurense i strid med denne lov eller forskrifter i medhold av loven</w:t>
      </w:r>
    </w:p>
    <w:p w:rsidR="00000000" w:rsidRDefault="00E81532" w:rsidP="000762B7">
      <w:pPr>
        <w:pStyle w:val="friliste"/>
      </w:pPr>
      <w:r>
        <w:t xml:space="preserve">b) </w:t>
      </w:r>
      <w:r>
        <w:tab/>
        <w:t>unnlater å treffe tiltak som han er pliktig til etter §§ </w:t>
      </w:r>
      <w:r>
        <w:t>7 og 40, etter forskrift i medhold av loven, etter vilkår i enkelttillatelse etter § 11, vilkår i godkjent beredskapsplan etter § 41, eller etter særskilt p</w:t>
      </w:r>
      <w:r>
        <w:t>å</w:t>
      </w:r>
      <w:r>
        <w:t>legg i medhold av denne lov</w:t>
      </w:r>
    </w:p>
    <w:p w:rsidR="00000000" w:rsidRDefault="00E81532" w:rsidP="000762B7">
      <w:pPr>
        <w:pStyle w:val="friliste"/>
      </w:pPr>
      <w:r>
        <w:t xml:space="preserve">c) </w:t>
      </w:r>
      <w:r>
        <w:tab/>
        <w:t>unnlater å gi melding etter §§ 19 eller 20 eller å legge fram bered</w:t>
      </w:r>
      <w:r>
        <w:t>skapsplan etter § 41</w:t>
      </w:r>
    </w:p>
    <w:p w:rsidR="00000000" w:rsidRDefault="00E81532" w:rsidP="000762B7">
      <w:pPr>
        <w:pStyle w:val="friliste"/>
      </w:pPr>
      <w:r>
        <w:t xml:space="preserve">d) </w:t>
      </w:r>
      <w:r>
        <w:tab/>
        <w:t>unnlater å etterkomme forurensningsmyndighetens pålegg etter §§ 49-51.</w:t>
      </w:r>
    </w:p>
    <w:p w:rsidR="00000000" w:rsidRDefault="00E81532" w:rsidP="000762B7">
      <w:pPr>
        <w:pStyle w:val="l-ledd"/>
      </w:pPr>
      <w:r>
        <w:t>Har overtredelsen voldt fare for stor skade eller ulempe, eller det forøvrig foreligger skje</w:t>
      </w:r>
      <w:r>
        <w:t>r</w:t>
      </w:r>
      <w:r>
        <w:t>pende o</w:t>
      </w:r>
      <w:r>
        <w:t>m</w:t>
      </w:r>
      <w:r>
        <w:t xml:space="preserve">stendigheter, kan fengsel inntil </w:t>
      </w:r>
      <w:r>
        <w:rPr>
          <w:rStyle w:val="l-endring"/>
          <w:sz w:val="21"/>
          <w:szCs w:val="21"/>
        </w:rPr>
        <w:t>3 år</w:t>
      </w:r>
      <w:r>
        <w:t xml:space="preserve"> anvendes. </w:t>
      </w:r>
      <w:r>
        <w:rPr>
          <w:rStyle w:val="l-endring"/>
          <w:sz w:val="21"/>
          <w:szCs w:val="21"/>
        </w:rPr>
        <w:t xml:space="preserve">Dersom </w:t>
      </w:r>
      <w:r>
        <w:t>over</w:t>
      </w:r>
      <w:r>
        <w:t xml:space="preserve">tredelsen har voldt fare </w:t>
      </w:r>
      <w:r>
        <w:rPr>
          <w:rStyle w:val="l-endring"/>
          <w:sz w:val="21"/>
          <w:szCs w:val="21"/>
        </w:rPr>
        <w:t>for alvorlig eller irr</w:t>
      </w:r>
      <w:r>
        <w:rPr>
          <w:rStyle w:val="l-endring"/>
          <w:sz w:val="21"/>
          <w:szCs w:val="21"/>
        </w:rPr>
        <w:t>e</w:t>
      </w:r>
      <w:r>
        <w:rPr>
          <w:rStyle w:val="l-endring"/>
          <w:sz w:val="21"/>
          <w:szCs w:val="21"/>
        </w:rPr>
        <w:t>versibel skade på biologisk mangfold, eller fare for menneskers liv eller helbred, kan fengsel inntil 5 år anve</w:t>
      </w:r>
      <w:r>
        <w:rPr>
          <w:rStyle w:val="l-endring"/>
          <w:sz w:val="21"/>
          <w:szCs w:val="21"/>
        </w:rPr>
        <w:t>n</w:t>
      </w:r>
      <w:r>
        <w:rPr>
          <w:rStyle w:val="l-endring"/>
          <w:sz w:val="21"/>
          <w:szCs w:val="21"/>
        </w:rPr>
        <w:t xml:space="preserve">des. </w:t>
      </w:r>
    </w:p>
    <w:p w:rsidR="00000000" w:rsidRDefault="00E81532" w:rsidP="000762B7">
      <w:pPr>
        <w:pStyle w:val="l-tit-endr-ledd"/>
      </w:pPr>
      <w:r>
        <w:t xml:space="preserve">§ 79 første ledd skal lyde: </w:t>
      </w:r>
    </w:p>
    <w:p w:rsidR="00000000" w:rsidRDefault="00E81532" w:rsidP="000762B7">
      <w:pPr>
        <w:pStyle w:val="l-ledd"/>
      </w:pPr>
      <w:r>
        <w:t>Med bøter eller fengsel inntil</w:t>
      </w:r>
      <w:r>
        <w:rPr>
          <w:rStyle w:val="l-endring"/>
          <w:sz w:val="21"/>
          <w:szCs w:val="21"/>
        </w:rPr>
        <w:t xml:space="preserve"> 1 år </w:t>
      </w:r>
      <w:r>
        <w:t>eller begge deler straffe</w:t>
      </w:r>
      <w:r>
        <w:t>s den som forsettlig eller uak</w:t>
      </w:r>
      <w:r>
        <w:t>t</w:t>
      </w:r>
      <w:r>
        <w:t>somt</w:t>
      </w:r>
    </w:p>
    <w:p w:rsidR="00000000" w:rsidRDefault="00E81532" w:rsidP="000762B7">
      <w:pPr>
        <w:pStyle w:val="friliste"/>
      </w:pPr>
      <w:r>
        <w:t xml:space="preserve">a) </w:t>
      </w:r>
      <w:r>
        <w:tab/>
        <w:t>etterlater eller tømmer samlet avfall, større kasserte gjenstander eller spesialavfall, slik at det kan vi</w:t>
      </w:r>
      <w:r>
        <w:t>r</w:t>
      </w:r>
      <w:r>
        <w:t>ke skjemmende eller være til skade eller ulempe for miljøet</w:t>
      </w:r>
    </w:p>
    <w:p w:rsidR="00000000" w:rsidRDefault="00E81532" w:rsidP="000762B7">
      <w:pPr>
        <w:pStyle w:val="friliste"/>
      </w:pPr>
      <w:r>
        <w:t xml:space="preserve">b) </w:t>
      </w:r>
      <w:r>
        <w:tab/>
        <w:t>unnlater å etterkomme pålegg om tiltak mot av</w:t>
      </w:r>
      <w:r>
        <w:t>fall etter § 37</w:t>
      </w:r>
    </w:p>
    <w:p w:rsidR="00000000" w:rsidRDefault="00E81532" w:rsidP="000762B7">
      <w:pPr>
        <w:pStyle w:val="l-tit-endr-paragraf"/>
      </w:pPr>
      <w:r>
        <w:t>§ 79 fjerde ledd oppheves.</w:t>
      </w:r>
    </w:p>
    <w:p w:rsidR="00000000" w:rsidRDefault="00E81532" w:rsidP="000762B7">
      <w:pPr>
        <w:pStyle w:val="l-tit-endr-paragraf"/>
      </w:pPr>
      <w:r>
        <w:t xml:space="preserve">Ny § 80 skal lyde: </w:t>
      </w:r>
    </w:p>
    <w:p w:rsidR="00000000" w:rsidRDefault="00E81532" w:rsidP="000762B7">
      <w:pPr>
        <w:pStyle w:val="l-paragraf"/>
        <w:rPr>
          <w:rStyle w:val="regular"/>
          <w:sz w:val="21"/>
          <w:szCs w:val="21"/>
        </w:rPr>
      </w:pPr>
      <w:r>
        <w:rPr>
          <w:rStyle w:val="regular"/>
          <w:i/>
          <w:iCs/>
          <w:sz w:val="21"/>
          <w:szCs w:val="21"/>
        </w:rPr>
        <w:t xml:space="preserve">§ 80 </w:t>
      </w:r>
      <w:r>
        <w:t>(overtredelsesgebyr)</w:t>
      </w:r>
    </w:p>
    <w:p w:rsidR="00000000" w:rsidRDefault="00E81532" w:rsidP="000762B7">
      <w:pPr>
        <w:pStyle w:val="l-ledd"/>
        <w:rPr>
          <w:rStyle w:val="l-endring"/>
          <w:sz w:val="21"/>
          <w:szCs w:val="21"/>
        </w:rPr>
      </w:pPr>
      <w:r>
        <w:t>Forurensningsmyndigheten kan gi forskrift om ileggelse av overtredelsesgebyr til den som</w:t>
      </w:r>
    </w:p>
    <w:p w:rsidR="00000000" w:rsidRDefault="00E81532" w:rsidP="000762B7">
      <w:pPr>
        <w:pStyle w:val="friliste"/>
        <w:rPr>
          <w:rStyle w:val="l-endring"/>
          <w:sz w:val="21"/>
          <w:szCs w:val="21"/>
        </w:rPr>
      </w:pPr>
      <w:r>
        <w:t>a)</w:t>
      </w:r>
      <w:r>
        <w:tab/>
        <w:t>har, gjør eller setter i verk noe som kan forurense i strid med denne lov e</w:t>
      </w:r>
      <w:r>
        <w:t xml:space="preserve">ller forskrifter i medhold av loven </w:t>
      </w:r>
    </w:p>
    <w:p w:rsidR="00000000" w:rsidRDefault="00E81532" w:rsidP="000762B7">
      <w:pPr>
        <w:pStyle w:val="friliste"/>
        <w:rPr>
          <w:rStyle w:val="l-endring"/>
          <w:sz w:val="21"/>
          <w:szCs w:val="21"/>
        </w:rPr>
      </w:pPr>
      <w:r>
        <w:lastRenderedPageBreak/>
        <w:t>b)</w:t>
      </w:r>
      <w:r>
        <w:tab/>
        <w:t xml:space="preserve">overtrer tiltaksplikt etter § 7 andre ledd eller pålegg etter § 7 fjerde ledd </w:t>
      </w:r>
    </w:p>
    <w:p w:rsidR="00000000" w:rsidRDefault="00E81532" w:rsidP="000762B7">
      <w:pPr>
        <w:pStyle w:val="friliste"/>
        <w:rPr>
          <w:rStyle w:val="l-endring"/>
          <w:sz w:val="21"/>
          <w:szCs w:val="21"/>
        </w:rPr>
      </w:pPr>
      <w:r>
        <w:t>c)</w:t>
      </w:r>
      <w:r>
        <w:tab/>
        <w:t xml:space="preserve">overtrer vilkår i forskrift etter § 9 første ledd eller tillatelse etter § 11 første ledd jf. § 16 </w:t>
      </w:r>
    </w:p>
    <w:p w:rsidR="00000000" w:rsidRDefault="00E81532" w:rsidP="000762B7">
      <w:pPr>
        <w:pStyle w:val="friliste"/>
        <w:rPr>
          <w:rStyle w:val="l-endring"/>
          <w:sz w:val="21"/>
          <w:szCs w:val="21"/>
        </w:rPr>
      </w:pPr>
      <w:r>
        <w:t>d)</w:t>
      </w:r>
      <w:r>
        <w:tab/>
        <w:t>driver virksomhet uten tillatel</w:t>
      </w:r>
      <w:r>
        <w:t>se i strid med forskrift etter § 11 tredje ledd</w:t>
      </w:r>
    </w:p>
    <w:p w:rsidR="00000000" w:rsidRDefault="00E81532" w:rsidP="000762B7">
      <w:pPr>
        <w:pStyle w:val="friliste"/>
        <w:rPr>
          <w:rStyle w:val="l-endring"/>
          <w:sz w:val="21"/>
          <w:szCs w:val="21"/>
        </w:rPr>
      </w:pPr>
      <w:r>
        <w:t>e)</w:t>
      </w:r>
      <w:r>
        <w:tab/>
        <w:t xml:space="preserve">overtrer meldingsplikt etter § 20 første ledd andre punktum eller tredje ledd første punktum eller forskrift etter § 20 fjerde ledd </w:t>
      </w:r>
    </w:p>
    <w:p w:rsidR="00000000" w:rsidRDefault="00E81532" w:rsidP="000762B7">
      <w:pPr>
        <w:pStyle w:val="friliste"/>
        <w:rPr>
          <w:rStyle w:val="l-endring"/>
          <w:sz w:val="21"/>
          <w:szCs w:val="21"/>
        </w:rPr>
      </w:pPr>
      <w:r>
        <w:t>f)</w:t>
      </w:r>
      <w:r>
        <w:tab/>
        <w:t>overtrer tiltaksplikt etter § 20 første ledd første punktum eller pål</w:t>
      </w:r>
      <w:r>
        <w:t xml:space="preserve">egg etter § 20 andre ledd </w:t>
      </w:r>
    </w:p>
    <w:p w:rsidR="00000000" w:rsidRDefault="00E81532" w:rsidP="000762B7">
      <w:pPr>
        <w:pStyle w:val="friliste"/>
        <w:rPr>
          <w:rStyle w:val="l-endring"/>
          <w:sz w:val="21"/>
          <w:szCs w:val="21"/>
        </w:rPr>
      </w:pPr>
      <w:r>
        <w:t>g)</w:t>
      </w:r>
      <w:r>
        <w:tab/>
        <w:t xml:space="preserve">overtrer forskrift etter § 24 tredje ledd </w:t>
      </w:r>
    </w:p>
    <w:p w:rsidR="00000000" w:rsidRDefault="00E81532" w:rsidP="000762B7">
      <w:pPr>
        <w:pStyle w:val="friliste"/>
        <w:rPr>
          <w:rStyle w:val="l-endring"/>
          <w:sz w:val="21"/>
          <w:szCs w:val="21"/>
        </w:rPr>
      </w:pPr>
      <w:r>
        <w:t>h)</w:t>
      </w:r>
      <w:r>
        <w:tab/>
        <w:t xml:space="preserve">overtrer forbud i § 28 første ledd eller plikt etter § 28 tredje ledd </w:t>
      </w:r>
    </w:p>
    <w:p w:rsidR="00000000" w:rsidRDefault="00E81532" w:rsidP="000762B7">
      <w:pPr>
        <w:pStyle w:val="friliste"/>
        <w:rPr>
          <w:rStyle w:val="l-endring"/>
          <w:sz w:val="21"/>
          <w:szCs w:val="21"/>
        </w:rPr>
      </w:pPr>
      <w:r>
        <w:t>i)</w:t>
      </w:r>
      <w:r>
        <w:tab/>
        <w:t xml:space="preserve">overtrer § 29 første ledd første punktum </w:t>
      </w:r>
    </w:p>
    <w:p w:rsidR="00000000" w:rsidRDefault="00E81532" w:rsidP="000762B7">
      <w:pPr>
        <w:pStyle w:val="friliste"/>
        <w:rPr>
          <w:rStyle w:val="l-endring"/>
          <w:sz w:val="21"/>
          <w:szCs w:val="21"/>
        </w:rPr>
      </w:pPr>
      <w:r>
        <w:t>j)</w:t>
      </w:r>
      <w:r>
        <w:tab/>
        <w:t>overtrer forbud i § 30 tredje ledd andre punktum, eller forsk</w:t>
      </w:r>
      <w:r>
        <w:t>rift etter § 30 andre eller tredje ledd</w:t>
      </w:r>
    </w:p>
    <w:p w:rsidR="00000000" w:rsidRDefault="00E81532" w:rsidP="000762B7">
      <w:pPr>
        <w:pStyle w:val="friliste"/>
        <w:rPr>
          <w:rStyle w:val="l-endring"/>
          <w:sz w:val="21"/>
          <w:szCs w:val="21"/>
        </w:rPr>
      </w:pPr>
      <w:r>
        <w:t>k)</w:t>
      </w:r>
      <w:r>
        <w:tab/>
        <w:t xml:space="preserve">overtrer forskrift eller enkeltvedtak etter § 31 andre ledd </w:t>
      </w:r>
    </w:p>
    <w:p w:rsidR="00000000" w:rsidRDefault="00E81532" w:rsidP="000762B7">
      <w:pPr>
        <w:pStyle w:val="friliste"/>
        <w:rPr>
          <w:rStyle w:val="l-endring"/>
          <w:sz w:val="21"/>
          <w:szCs w:val="21"/>
        </w:rPr>
      </w:pPr>
      <w:r>
        <w:t>l)</w:t>
      </w:r>
      <w:r>
        <w:tab/>
        <w:t>forsøker å overtre bestemmelser om grensekryssende forsendelse av avfall i forskrift etter §§ 31 til 32</w:t>
      </w:r>
    </w:p>
    <w:p w:rsidR="00000000" w:rsidRDefault="00E81532" w:rsidP="000762B7">
      <w:pPr>
        <w:pStyle w:val="friliste"/>
        <w:rPr>
          <w:rStyle w:val="l-endring"/>
          <w:sz w:val="21"/>
          <w:szCs w:val="21"/>
        </w:rPr>
      </w:pPr>
      <w:r>
        <w:t>m)</w:t>
      </w:r>
      <w:r>
        <w:tab/>
        <w:t>overtrer plikt i § 32 første ledd første p</w:t>
      </w:r>
      <w:r>
        <w:t xml:space="preserve">unktum </w:t>
      </w:r>
    </w:p>
    <w:p w:rsidR="00000000" w:rsidRDefault="00E81532" w:rsidP="000762B7">
      <w:pPr>
        <w:pStyle w:val="friliste"/>
        <w:rPr>
          <w:rStyle w:val="l-endring"/>
          <w:sz w:val="21"/>
          <w:szCs w:val="21"/>
        </w:rPr>
      </w:pPr>
      <w:r>
        <w:t>n)</w:t>
      </w:r>
      <w:r>
        <w:tab/>
        <w:t xml:space="preserve">overtrer forskrift etter § 32 a første ledd </w:t>
      </w:r>
    </w:p>
    <w:p w:rsidR="00000000" w:rsidRDefault="00E81532" w:rsidP="000762B7">
      <w:pPr>
        <w:pStyle w:val="friliste"/>
        <w:rPr>
          <w:rStyle w:val="l-endring"/>
          <w:sz w:val="21"/>
          <w:szCs w:val="21"/>
        </w:rPr>
      </w:pPr>
      <w:r>
        <w:t>o)</w:t>
      </w:r>
      <w:r>
        <w:tab/>
        <w:t xml:space="preserve">overtrer forskrift eller enkeltvedtak etter § 33 første ledd </w:t>
      </w:r>
    </w:p>
    <w:p w:rsidR="00000000" w:rsidRDefault="00E81532" w:rsidP="000762B7">
      <w:pPr>
        <w:pStyle w:val="friliste"/>
        <w:rPr>
          <w:rStyle w:val="l-endring"/>
          <w:sz w:val="21"/>
          <w:szCs w:val="21"/>
        </w:rPr>
      </w:pPr>
      <w:r>
        <w:t>p)</w:t>
      </w:r>
      <w:r>
        <w:tab/>
        <w:t xml:space="preserve">overtrer plikt i § 35 første eller tredje ledd eller pålegg etter § 35 fjerde ledd </w:t>
      </w:r>
    </w:p>
    <w:p w:rsidR="00000000" w:rsidRDefault="00E81532" w:rsidP="000762B7">
      <w:pPr>
        <w:pStyle w:val="friliste"/>
        <w:rPr>
          <w:rStyle w:val="l-endring"/>
          <w:sz w:val="21"/>
          <w:szCs w:val="21"/>
        </w:rPr>
      </w:pPr>
      <w:r>
        <w:t>q)</w:t>
      </w:r>
      <w:r>
        <w:tab/>
        <w:t>overtrer varslingsplikt i § 39 før</w:t>
      </w:r>
      <w:r>
        <w:t>ste eller andre ledd eller forskrift etter § 39 tredje ledd, når vedko</w:t>
      </w:r>
      <w:r>
        <w:t>m</w:t>
      </w:r>
      <w:r>
        <w:t>mende er den ansvarlige for forurensningen,</w:t>
      </w:r>
    </w:p>
    <w:p w:rsidR="00000000" w:rsidRDefault="00E81532" w:rsidP="000762B7">
      <w:pPr>
        <w:pStyle w:val="friliste"/>
        <w:rPr>
          <w:rStyle w:val="l-endring"/>
          <w:sz w:val="21"/>
          <w:szCs w:val="21"/>
        </w:rPr>
      </w:pPr>
      <w:r>
        <w:t>r)</w:t>
      </w:r>
      <w:r>
        <w:tab/>
        <w:t xml:space="preserve">overtrer beredskapsplikt i § 40 første ledd eller forskrift eller enkeltvedtak etter § 40 andre ledd </w:t>
      </w:r>
    </w:p>
    <w:p w:rsidR="00000000" w:rsidRDefault="00E81532" w:rsidP="000762B7">
      <w:pPr>
        <w:pStyle w:val="friliste"/>
        <w:rPr>
          <w:rStyle w:val="l-endring"/>
          <w:rFonts w:ascii="Times" w:hAnsi="Times" w:cs="Times"/>
          <w:sz w:val="21"/>
          <w:szCs w:val="21"/>
        </w:rPr>
      </w:pPr>
      <w:r>
        <w:t>s)</w:t>
      </w:r>
      <w:r>
        <w:tab/>
        <w:t>overtrer forskrift etter § 52 b.</w:t>
      </w:r>
    </w:p>
    <w:p w:rsidR="00000000" w:rsidRDefault="00E81532" w:rsidP="000762B7">
      <w:pPr>
        <w:pStyle w:val="l-ledd"/>
        <w:rPr>
          <w:rStyle w:val="l-endring"/>
          <w:sz w:val="21"/>
          <w:szCs w:val="21"/>
        </w:rPr>
      </w:pPr>
      <w:r>
        <w:t>Fysiske personer kan bare ilegges overtredelsesgebyr for forsettlige eller uaktsomme ove</w:t>
      </w:r>
      <w:r>
        <w:t>r</w:t>
      </w:r>
      <w:r>
        <w:t xml:space="preserve">tredelser. </w:t>
      </w:r>
    </w:p>
    <w:p w:rsidR="00000000" w:rsidRDefault="00E81532" w:rsidP="000762B7">
      <w:pPr>
        <w:pStyle w:val="l-ledd"/>
        <w:rPr>
          <w:rStyle w:val="l-endring"/>
          <w:sz w:val="21"/>
          <w:szCs w:val="21"/>
        </w:rPr>
      </w:pPr>
      <w:r>
        <w:t xml:space="preserve">Forurensningsmyndigheten kan gi forskrift om utmålingen av overtredelsesgebyr. </w:t>
      </w:r>
    </w:p>
    <w:p w:rsidR="00000000" w:rsidRDefault="00E81532" w:rsidP="000762B7">
      <w:pPr>
        <w:pStyle w:val="l-ledd"/>
        <w:rPr>
          <w:rFonts w:ascii="Times New Roman" w:hAnsi="Times New Roman" w:cs="Times New Roman"/>
        </w:rPr>
      </w:pPr>
      <w:r>
        <w:t>Adgangen til å ilegge overtredelsesgebyr foreldes 2 år etter at overtredels</w:t>
      </w:r>
      <w:r>
        <w:t>en er opphørt. Fristen a</w:t>
      </w:r>
      <w:r>
        <w:t>v</w:t>
      </w:r>
      <w:r>
        <w:t>brytes ved at det gis forhåndsvarsel eller fattes vedtak om overtredelsesgebyr.</w:t>
      </w:r>
    </w:p>
    <w:p w:rsidR="00000000" w:rsidRDefault="00E81532" w:rsidP="000762B7">
      <w:pPr>
        <w:pStyle w:val="a-vedtak-del"/>
      </w:pPr>
      <w:r>
        <w:t>III</w:t>
      </w:r>
    </w:p>
    <w:p w:rsidR="00000000" w:rsidRDefault="00E81532" w:rsidP="000762B7">
      <w:pPr>
        <w:pStyle w:val="l-tit-endr-lov"/>
      </w:pPr>
      <w:r>
        <w:t xml:space="preserve">I lov 22. mai 1981 nr. 25 om rettergangsmåten i straffesaker skal § 67 andre ledd bokstav c lyde: </w:t>
      </w:r>
    </w:p>
    <w:p w:rsidR="00000000" w:rsidRDefault="00E81532" w:rsidP="000762B7">
      <w:pPr>
        <w:pStyle w:val="friliste"/>
      </w:pPr>
      <w:r>
        <w:t xml:space="preserve">c) </w:t>
      </w:r>
      <w:r>
        <w:tab/>
        <w:t>overtredelse av militær straffelov § </w:t>
      </w:r>
      <w:r>
        <w:t>34 annet ledd annet straffalternativ, jf. tredje ledd, lov om toll og vareførsel § 16-7, skatteforvaltningsloven §§ 14-12 og 14-13, utlendingsloven § 108 tredje ledd, jf. sjette ledd, regn</w:t>
      </w:r>
      <w:r>
        <w:t>s</w:t>
      </w:r>
      <w:r>
        <w:t>kapsloven § 8-5 første ledd første og tredje punktum, jf. tredje le</w:t>
      </w:r>
      <w:r>
        <w:t>dd første punktum, bokf</w:t>
      </w:r>
      <w:r>
        <w:t>ø</w:t>
      </w:r>
      <w:r>
        <w:t>ringsloven § 15 første ledd første og tredje punktum, jf. tredje ledd første punktum, alkoholloven § 10-1 annet ledd, arbeid</w:t>
      </w:r>
      <w:r>
        <w:t>s</w:t>
      </w:r>
      <w:r>
        <w:t>miljøloven § 19-1 annet ledd, kys</w:t>
      </w:r>
      <w:r>
        <w:t>t</w:t>
      </w:r>
      <w:r>
        <w:t>vaktloven § 36 annet ledd, viltloven § 56 første ledd annet punktum, laks</w:t>
      </w:r>
      <w:r>
        <w:t>e- og innlandsfiskloven § 49 første ledd annet punktum</w:t>
      </w:r>
      <w:r>
        <w:rPr>
          <w:rStyle w:val="l-endring"/>
          <w:sz w:val="21"/>
          <w:szCs w:val="21"/>
        </w:rPr>
        <w:t>,</w:t>
      </w:r>
      <w:r>
        <w:t xml:space="preserve"> </w:t>
      </w:r>
      <w:r>
        <w:rPr>
          <w:rStyle w:val="l-endring"/>
          <w:sz w:val="21"/>
          <w:szCs w:val="21"/>
        </w:rPr>
        <w:t>foruren</w:t>
      </w:r>
      <w:r>
        <w:rPr>
          <w:rStyle w:val="l-endring"/>
          <w:sz w:val="21"/>
          <w:szCs w:val="21"/>
        </w:rPr>
        <w:t>s</w:t>
      </w:r>
      <w:r>
        <w:rPr>
          <w:rStyle w:val="l-endring"/>
          <w:sz w:val="21"/>
          <w:szCs w:val="21"/>
        </w:rPr>
        <w:t>ningsloven</w:t>
      </w:r>
      <w:r>
        <w:t xml:space="preserve"> </w:t>
      </w:r>
      <w:r>
        <w:rPr>
          <w:rStyle w:val="l-endring"/>
          <w:sz w:val="21"/>
          <w:szCs w:val="21"/>
        </w:rPr>
        <w:t>§ 78 første ledd og § 79 tredje ledd,</w:t>
      </w:r>
      <w:r>
        <w:t xml:space="preserve"> </w:t>
      </w:r>
      <w:r>
        <w:rPr>
          <w:rStyle w:val="l-endring"/>
          <w:sz w:val="21"/>
          <w:szCs w:val="21"/>
        </w:rPr>
        <w:t>produktko</w:t>
      </w:r>
      <w:r>
        <w:rPr>
          <w:rStyle w:val="l-endring"/>
          <w:sz w:val="21"/>
          <w:szCs w:val="21"/>
        </w:rPr>
        <w:t>n</w:t>
      </w:r>
      <w:r>
        <w:rPr>
          <w:rStyle w:val="l-endring"/>
          <w:sz w:val="21"/>
          <w:szCs w:val="21"/>
        </w:rPr>
        <w:t xml:space="preserve">trolloven § 12 første ledd, svalbardmiljøloven § 99 første ledd første punktum </w:t>
      </w:r>
      <w:r>
        <w:t>og transplant</w:t>
      </w:r>
      <w:r>
        <w:t>a</w:t>
      </w:r>
      <w:r>
        <w:t>sjonslova § 23a.</w:t>
      </w:r>
    </w:p>
    <w:p w:rsidR="00000000" w:rsidRDefault="00E81532" w:rsidP="000762B7">
      <w:pPr>
        <w:pStyle w:val="a-vedtak-del"/>
      </w:pPr>
      <w:r>
        <w:t>IV</w:t>
      </w:r>
    </w:p>
    <w:p w:rsidR="00000000" w:rsidRDefault="00E81532" w:rsidP="000762B7">
      <w:pPr>
        <w:pStyle w:val="l-tit-endr-lov"/>
      </w:pPr>
      <w:r>
        <w:t xml:space="preserve">I lov 15. juni 2001 </w:t>
      </w:r>
      <w:r>
        <w:t>nr. 79 om miljøvern på Svalbard skal § 99 første ledd andre punktum lyde:</w:t>
      </w:r>
    </w:p>
    <w:p w:rsidR="00000000" w:rsidRDefault="00E81532" w:rsidP="000762B7">
      <w:pPr>
        <w:pStyle w:val="l-ledd"/>
      </w:pPr>
      <w:r>
        <w:t>Er det inntrådt eller voldt fare for betydelig miljøskade, eller det for øvrig foreligger sæ</w:t>
      </w:r>
      <w:r>
        <w:t>r</w:t>
      </w:r>
      <w:r>
        <w:t>deles skjer</w:t>
      </w:r>
      <w:r>
        <w:t>p</w:t>
      </w:r>
      <w:r>
        <w:t xml:space="preserve">ende omstendigheter, kan fengsel inntil </w:t>
      </w:r>
      <w:r>
        <w:rPr>
          <w:rStyle w:val="l-endring"/>
          <w:sz w:val="21"/>
          <w:szCs w:val="21"/>
        </w:rPr>
        <w:t>5 år</w:t>
      </w:r>
      <w:r>
        <w:t xml:space="preserve"> anvendes.</w:t>
      </w:r>
    </w:p>
    <w:p w:rsidR="00000000" w:rsidRDefault="00E81532" w:rsidP="000762B7">
      <w:pPr>
        <w:pStyle w:val="a-vedtak-del"/>
      </w:pPr>
      <w:r>
        <w:lastRenderedPageBreak/>
        <w:t>V</w:t>
      </w:r>
    </w:p>
    <w:p w:rsidR="00000000" w:rsidRDefault="00E81532" w:rsidP="000762B7">
      <w:pPr>
        <w:pStyle w:val="l-tit-endr-lov"/>
      </w:pPr>
      <w:r>
        <w:t xml:space="preserve">I lov 19. juni 2009 </w:t>
      </w:r>
      <w:r>
        <w:t xml:space="preserve">nr. 100 om forvaltning av naturens mangfold gjøres følgende endringer: </w:t>
      </w:r>
    </w:p>
    <w:p w:rsidR="00000000" w:rsidRDefault="00E81532" w:rsidP="000762B7">
      <w:pPr>
        <w:pStyle w:val="l-tit-endr-paragraf"/>
      </w:pPr>
      <w:r>
        <w:t xml:space="preserve">§ 74 skal lyde: </w:t>
      </w:r>
    </w:p>
    <w:p w:rsidR="00000000" w:rsidRDefault="00E81532" w:rsidP="000762B7">
      <w:pPr>
        <w:pStyle w:val="l-paragraf"/>
        <w:rPr>
          <w:rStyle w:val="regular"/>
          <w:sz w:val="21"/>
          <w:szCs w:val="21"/>
        </w:rPr>
      </w:pPr>
      <w:r>
        <w:rPr>
          <w:rStyle w:val="regular"/>
          <w:i/>
          <w:iCs/>
          <w:sz w:val="21"/>
          <w:szCs w:val="21"/>
        </w:rPr>
        <w:t xml:space="preserve">§ 74 </w:t>
      </w:r>
      <w:r>
        <w:t>(overtredelsesgebyr)</w:t>
      </w:r>
    </w:p>
    <w:p w:rsidR="00000000" w:rsidRDefault="00E81532" w:rsidP="000762B7">
      <w:pPr>
        <w:pStyle w:val="l-ledd"/>
      </w:pPr>
      <w:r>
        <w:t>Myndigheten etter loven kan ilegge overtredelsesgebyr til den som overtrer § 6, § 15 første og annet ledd, § 17 fjerde ledd første punktum, §</w:t>
      </w:r>
      <w:r>
        <w:t xml:space="preserve"> 17 a annet og tredje ledd, § 22, § 24 første ledd, § 25, § 26, § 27 annet ledd, § 28, § 29 første og fjerde ledd, § 30 første og annet ledd, § 31 annet ledd annet punktum, § 34, § 35 annet ledd, § 36 annet ledd, § 37 tredje ledd, § 38 annet punktum, § 39 </w:t>
      </w:r>
      <w:r>
        <w:t xml:space="preserve">femte ledd, § 44 annet ledd, § 45 første og annet ledd, § 54 første til fjerde punktum, § 55 første ledd, § 58 første ledd, § 59 første og sjette ledd, § 60 første ledd, § 61, § 63 annet ledd første punktum og § 66. </w:t>
      </w:r>
    </w:p>
    <w:p w:rsidR="00000000" w:rsidRDefault="00E81532" w:rsidP="000762B7">
      <w:pPr>
        <w:pStyle w:val="l-ledd"/>
      </w:pPr>
      <w:r>
        <w:t>Overtredelsesgebyr kan også ilegges den</w:t>
      </w:r>
      <w:r>
        <w:t xml:space="preserve"> som overtrer</w:t>
      </w:r>
    </w:p>
    <w:p w:rsidR="00000000" w:rsidRDefault="00E81532" w:rsidP="000762B7">
      <w:pPr>
        <w:pStyle w:val="friliste"/>
      </w:pPr>
      <w:r>
        <w:t xml:space="preserve">a) </w:t>
      </w:r>
      <w:r>
        <w:tab/>
        <w:t>bestemmelser i en forskrift gitt med hjemmel i noen av bestemmelsene nevnt i første ledd</w:t>
      </w:r>
    </w:p>
    <w:p w:rsidR="00000000" w:rsidRDefault="00E81532" w:rsidP="000762B7">
      <w:pPr>
        <w:pStyle w:val="friliste"/>
      </w:pPr>
      <w:r>
        <w:t xml:space="preserve">b) </w:t>
      </w:r>
      <w:r>
        <w:tab/>
        <w:t>plikter som følger av individuelle avgjørelser gitt med hjemmel i noen av bestemmelsene nevnt i første ledd</w:t>
      </w:r>
    </w:p>
    <w:p w:rsidR="00000000" w:rsidRDefault="00E81532" w:rsidP="000762B7">
      <w:pPr>
        <w:pStyle w:val="friliste"/>
      </w:pPr>
      <w:r>
        <w:t xml:space="preserve">c) </w:t>
      </w:r>
      <w:r>
        <w:tab/>
        <w:t>bestemmelser i en forskrift som n</w:t>
      </w:r>
      <w:r>
        <w:t>evnt i § 77 første punktum</w:t>
      </w:r>
    </w:p>
    <w:p w:rsidR="00000000" w:rsidRDefault="00E81532" w:rsidP="000762B7">
      <w:pPr>
        <w:pStyle w:val="friliste"/>
      </w:pPr>
      <w:r>
        <w:t>d)</w:t>
      </w:r>
      <w:r>
        <w:tab/>
        <w:t xml:space="preserve">plikter som følger av individuelle avgjørelser som nevnt i § 77 første punktum. </w:t>
      </w:r>
    </w:p>
    <w:p w:rsidR="00000000" w:rsidRDefault="00E81532" w:rsidP="000762B7">
      <w:pPr>
        <w:pStyle w:val="l-ledd"/>
      </w:pPr>
      <w:r>
        <w:t>Fysiske personer kan bare ilegges overtredelsesgebyr for forsettlige eller uaktsomme ove</w:t>
      </w:r>
      <w:r>
        <w:t>r</w:t>
      </w:r>
      <w:r>
        <w:t>tredelser.</w:t>
      </w:r>
    </w:p>
    <w:p w:rsidR="00000000" w:rsidRDefault="00E81532" w:rsidP="000762B7">
      <w:pPr>
        <w:pStyle w:val="l-ledd"/>
      </w:pPr>
      <w:r>
        <w:t>Kongen kan gi forskrift om utmåling av overtr</w:t>
      </w:r>
      <w:r>
        <w:t xml:space="preserve">edelsesgebyr. </w:t>
      </w:r>
    </w:p>
    <w:p w:rsidR="00000000" w:rsidRDefault="00E81532" w:rsidP="000762B7">
      <w:pPr>
        <w:pStyle w:val="l-ledd"/>
      </w:pPr>
      <w:r>
        <w:t>Adgangen til å ilegge overtredelsesgebyr foreldes 2 år etter at overtredelsen er opphørt. Fristen a</w:t>
      </w:r>
      <w:r>
        <w:t>v</w:t>
      </w:r>
      <w:r>
        <w:t>brytes ved at det gis forhåndsvarsel eller fattes vedtak om overtredelsesgebyr.</w:t>
      </w:r>
    </w:p>
    <w:p w:rsidR="00000000" w:rsidRDefault="00E81532" w:rsidP="000762B7">
      <w:pPr>
        <w:pStyle w:val="l-tit-endr-ledd"/>
      </w:pPr>
      <w:r>
        <w:t>§ 75 annet ledd skal lyde:</w:t>
      </w:r>
    </w:p>
    <w:p w:rsidR="00000000" w:rsidRDefault="00E81532" w:rsidP="000762B7">
      <w:pPr>
        <w:pStyle w:val="l-ledd"/>
      </w:pPr>
      <w:r>
        <w:t>Grov overtredelse av første ledd s</w:t>
      </w:r>
      <w:r>
        <w:t xml:space="preserve">traffes med </w:t>
      </w:r>
      <w:r>
        <w:rPr>
          <w:rStyle w:val="l-endring"/>
          <w:sz w:val="21"/>
          <w:szCs w:val="21"/>
        </w:rPr>
        <w:t>bøter</w:t>
      </w:r>
      <w:r>
        <w:t xml:space="preserve"> eller fengsel inntil </w:t>
      </w:r>
      <w:r>
        <w:rPr>
          <w:rStyle w:val="l-endring"/>
          <w:sz w:val="21"/>
          <w:szCs w:val="21"/>
        </w:rPr>
        <w:t>fem</w:t>
      </w:r>
      <w:r>
        <w:t xml:space="preserve"> år. Ved avgjøre</w:t>
      </w:r>
      <w:r>
        <w:t>l</w:t>
      </w:r>
      <w:r>
        <w:t>sen av om overtredelsen er grov, legges særlig vekt på om den har medført eller voldt fare for betydelig skade på n</w:t>
      </w:r>
      <w:r>
        <w:t>a</w:t>
      </w:r>
      <w:r>
        <w:t>turmangfoldet, om skaden på naturmangfoldet må anses uopprettelig, graden av skyl</w:t>
      </w:r>
      <w:r>
        <w:t>d, og om overtr</w:t>
      </w:r>
      <w:r>
        <w:t>e</w:t>
      </w:r>
      <w:r>
        <w:t>deren har truffet forebyggende eller avbøtende tiltak.</w:t>
      </w:r>
    </w:p>
    <w:p w:rsidR="00000000" w:rsidRDefault="00E81532" w:rsidP="000762B7">
      <w:pPr>
        <w:pStyle w:val="a-vedtak-del"/>
      </w:pPr>
      <w:r>
        <w:t>VI</w:t>
      </w:r>
    </w:p>
    <w:p w:rsidR="00000000" w:rsidRDefault="00E81532" w:rsidP="000762B7">
      <w:r>
        <w:t xml:space="preserve">Loven gjelder fra den tid Kongen bestemmer. </w:t>
      </w:r>
    </w:p>
    <w:p w:rsidR="00000000" w:rsidRDefault="00E81532" w:rsidP="000762B7"/>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1532">
      <w:pPr>
        <w:spacing w:after="0" w:line="240" w:lineRule="auto"/>
      </w:pPr>
      <w:r>
        <w:separator/>
      </w:r>
    </w:p>
  </w:endnote>
  <w:endnote w:type="continuationSeparator" w:id="0">
    <w:p w:rsidR="00000000" w:rsidRDefault="00E8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1532">
      <w:pPr>
        <w:spacing w:after="0" w:line="240" w:lineRule="auto"/>
      </w:pPr>
      <w:r>
        <w:separator/>
      </w:r>
    </w:p>
  </w:footnote>
  <w:footnote w:type="continuationSeparator" w:id="0">
    <w:p w:rsidR="00000000" w:rsidRDefault="00E81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B2142E"/>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15"/>
  </w:num>
  <w:num w:numId="3">
    <w:abstractNumId w:val="1"/>
  </w:num>
  <w:num w:numId="4">
    <w:abstractNumId w:val="13"/>
  </w:num>
  <w:num w:numId="5">
    <w:abstractNumId w:val="6"/>
  </w:num>
  <w:num w:numId="6">
    <w:abstractNumId w:val="11"/>
  </w:num>
  <w:num w:numId="7">
    <w:abstractNumId w:val="16"/>
  </w:num>
  <w:num w:numId="8">
    <w:abstractNumId w:val="3"/>
  </w:num>
  <w:num w:numId="9">
    <w:abstractNumId w:val="2"/>
  </w:num>
  <w:num w:numId="10">
    <w:abstractNumId w:val="12"/>
  </w:num>
  <w:num w:numId="11">
    <w:abstractNumId w:val="4"/>
  </w:num>
  <w:num w:numId="12">
    <w:abstractNumId w:val="10"/>
  </w:num>
  <w:num w:numId="13">
    <w:abstractNumId w:val="7"/>
  </w:num>
  <w:num w:numId="14">
    <w:abstractNumId w:val="17"/>
  </w:num>
  <w:num w:numId="15">
    <w:abstractNumId w:val="5"/>
  </w:num>
  <w:num w:numId="16">
    <w:abstractNumId w:val="14"/>
  </w:num>
  <w:num w:numId="17">
    <w:abstractNumId w:val="18"/>
  </w:num>
  <w:num w:numId="18">
    <w:abstractNumId w:val="8"/>
  </w:num>
  <w:num w:numId="19">
    <w:abstractNumId w:val="9"/>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962BF"/>
    <w:rsid w:val="000762B7"/>
    <w:rsid w:val="00A962BF"/>
    <w:rsid w:val="00E815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62B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0762B7"/>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762B7"/>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0762B7"/>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0762B7"/>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0762B7"/>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0762B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0762B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0762B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0762B7"/>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0762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762B7"/>
  </w:style>
  <w:style w:type="paragraph" w:customStyle="1" w:styleId="a-konge-tekst">
    <w:name w:val="a-konge-tekst"/>
    <w:basedOn w:val="Normal"/>
    <w:next w:val="Normal"/>
    <w:rsid w:val="000762B7"/>
    <w:pPr>
      <w:keepNext/>
      <w:keepLines/>
      <w:spacing w:before="240" w:after="240"/>
    </w:pPr>
  </w:style>
  <w:style w:type="paragraph" w:customStyle="1" w:styleId="a-konge-tit">
    <w:name w:val="a-konge-tit"/>
    <w:basedOn w:val="Normal"/>
    <w:next w:val="Normal"/>
    <w:rsid w:val="000762B7"/>
    <w:pPr>
      <w:keepNext/>
      <w:keepLines/>
      <w:spacing w:before="240"/>
      <w:jc w:val="center"/>
    </w:pPr>
    <w:rPr>
      <w:spacing w:val="30"/>
    </w:rPr>
  </w:style>
  <w:style w:type="paragraph" w:customStyle="1" w:styleId="a-tilraar-dep">
    <w:name w:val="a-tilraar-dep"/>
    <w:basedOn w:val="Normal"/>
    <w:next w:val="Normal"/>
    <w:rsid w:val="000762B7"/>
    <w:pPr>
      <w:keepNext/>
      <w:keepLines/>
      <w:spacing w:before="240" w:after="240"/>
    </w:pPr>
  </w:style>
  <w:style w:type="paragraph" w:customStyle="1" w:styleId="a-tilraar-tit">
    <w:name w:val="a-tilraar-tit"/>
    <w:basedOn w:val="Normal"/>
    <w:next w:val="Normal"/>
    <w:rsid w:val="000762B7"/>
    <w:pPr>
      <w:keepNext/>
      <w:keepLines/>
      <w:spacing w:before="240"/>
      <w:jc w:val="center"/>
    </w:pPr>
    <w:rPr>
      <w:spacing w:val="30"/>
    </w:rPr>
  </w:style>
  <w:style w:type="paragraph" w:customStyle="1" w:styleId="a-vedtak-del">
    <w:name w:val="a-vedtak-del"/>
    <w:basedOn w:val="Normal"/>
    <w:next w:val="Normal"/>
    <w:rsid w:val="000762B7"/>
    <w:pPr>
      <w:spacing w:before="240"/>
      <w:jc w:val="center"/>
    </w:pPr>
  </w:style>
  <w:style w:type="paragraph" w:customStyle="1" w:styleId="a-vedtak-tekst">
    <w:name w:val="a-vedtak-tekst"/>
    <w:basedOn w:val="Normal"/>
    <w:next w:val="Normal"/>
    <w:rsid w:val="000762B7"/>
    <w:pPr>
      <w:keepNext/>
      <w:jc w:val="center"/>
    </w:pPr>
  </w:style>
  <w:style w:type="paragraph" w:customStyle="1" w:styleId="opplisting">
    <w:name w:val="opplisting"/>
    <w:basedOn w:val="Normal"/>
    <w:rsid w:val="000762B7"/>
    <w:pPr>
      <w:spacing w:after="0"/>
    </w:pPr>
    <w:rPr>
      <w:rFonts w:ascii="Times" w:hAnsi="Times" w:cs="Times New Roman"/>
      <w:spacing w:val="0"/>
    </w:rPr>
  </w:style>
  <w:style w:type="paragraph" w:customStyle="1" w:styleId="a-vedtak-tit">
    <w:name w:val="a-vedtak-tit"/>
    <w:basedOn w:val="Normal"/>
    <w:next w:val="Normal"/>
    <w:rsid w:val="000762B7"/>
    <w:pPr>
      <w:keepNext/>
      <w:jc w:val="center"/>
    </w:pPr>
    <w:rPr>
      <w:b/>
      <w:sz w:val="28"/>
    </w:rPr>
  </w:style>
  <w:style w:type="paragraph" w:customStyle="1" w:styleId="ramme-noter">
    <w:name w:val="ramme-noter"/>
    <w:basedOn w:val="Normal"/>
    <w:next w:val="Normal"/>
    <w:rsid w:val="000762B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762B7"/>
    <w:pPr>
      <w:keepNext/>
      <w:keepLines/>
      <w:numPr>
        <w:ilvl w:val="6"/>
        <w:numId w:val="20"/>
      </w:numPr>
      <w:spacing w:before="240"/>
    </w:pPr>
    <w:rPr>
      <w:rFonts w:ascii="Arial" w:hAnsi="Arial"/>
    </w:rPr>
  </w:style>
  <w:style w:type="paragraph" w:customStyle="1" w:styleId="figur-tittel">
    <w:name w:val="figur-tittel"/>
    <w:basedOn w:val="Normal"/>
    <w:next w:val="Normal"/>
    <w:rsid w:val="000762B7"/>
    <w:pPr>
      <w:numPr>
        <w:ilvl w:val="5"/>
        <w:numId w:val="20"/>
      </w:numPr>
    </w:pPr>
    <w:rPr>
      <w:rFonts w:ascii="Arial" w:hAnsi="Arial"/>
    </w:rPr>
  </w:style>
  <w:style w:type="paragraph" w:customStyle="1" w:styleId="b-budkaptit">
    <w:name w:val="b-budkaptit"/>
    <w:basedOn w:val="Normal"/>
    <w:next w:val="Normal"/>
    <w:rsid w:val="000762B7"/>
    <w:pPr>
      <w:keepNext/>
      <w:keepLines/>
      <w:ind w:left="1021" w:hanging="1021"/>
    </w:pPr>
    <w:rPr>
      <w:b/>
      <w:spacing w:val="0"/>
    </w:rPr>
  </w:style>
  <w:style w:type="paragraph" w:customStyle="1" w:styleId="b-post">
    <w:name w:val="b-post"/>
    <w:basedOn w:val="Normal"/>
    <w:next w:val="Normal"/>
    <w:rsid w:val="000762B7"/>
    <w:pPr>
      <w:keepNext/>
      <w:keepLines/>
      <w:spacing w:before="360"/>
      <w:ind w:left="1021" w:hanging="1021"/>
    </w:pPr>
    <w:rPr>
      <w:i/>
      <w:spacing w:val="0"/>
    </w:rPr>
  </w:style>
  <w:style w:type="paragraph" w:customStyle="1" w:styleId="b-progkat">
    <w:name w:val="b-progkat"/>
    <w:basedOn w:val="Normal"/>
    <w:next w:val="Normal"/>
    <w:rsid w:val="000762B7"/>
    <w:pPr>
      <w:keepNext/>
      <w:keepLines/>
    </w:pPr>
    <w:rPr>
      <w:b/>
      <w:spacing w:val="0"/>
    </w:rPr>
  </w:style>
  <w:style w:type="paragraph" w:customStyle="1" w:styleId="b-progomr">
    <w:name w:val="b-progomr"/>
    <w:basedOn w:val="Normal"/>
    <w:next w:val="Normal"/>
    <w:rsid w:val="000762B7"/>
    <w:pPr>
      <w:keepNext/>
      <w:keepLines/>
      <w:spacing w:before="240"/>
    </w:pPr>
    <w:rPr>
      <w:b/>
      <w:spacing w:val="0"/>
    </w:rPr>
  </w:style>
  <w:style w:type="paragraph" w:customStyle="1" w:styleId="dato">
    <w:name w:val="dato"/>
    <w:basedOn w:val="Normal"/>
    <w:next w:val="Normal"/>
    <w:rsid w:val="000762B7"/>
  </w:style>
  <w:style w:type="paragraph" w:customStyle="1" w:styleId="Def">
    <w:name w:val="Def"/>
    <w:basedOn w:val="hengende-innrykk"/>
    <w:rsid w:val="000762B7"/>
    <w:pPr>
      <w:spacing w:line="240" w:lineRule="auto"/>
      <w:ind w:left="0" w:firstLine="0"/>
    </w:pPr>
    <w:rPr>
      <w:rFonts w:ascii="Times" w:eastAsia="Batang" w:hAnsi="Times"/>
      <w:spacing w:val="0"/>
      <w:szCs w:val="20"/>
    </w:rPr>
  </w:style>
  <w:style w:type="paragraph" w:customStyle="1" w:styleId="del-nr">
    <w:name w:val="del-nr"/>
    <w:basedOn w:val="Normal"/>
    <w:qFormat/>
    <w:rsid w:val="000762B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762B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762B7"/>
  </w:style>
  <w:style w:type="paragraph" w:customStyle="1" w:styleId="figur-noter">
    <w:name w:val="figur-noter"/>
    <w:basedOn w:val="Normal"/>
    <w:next w:val="Normal"/>
    <w:rsid w:val="000762B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762B7"/>
    <w:pPr>
      <w:spacing w:before="240"/>
      <w:jc w:val="center"/>
    </w:pPr>
  </w:style>
  <w:style w:type="paragraph" w:styleId="Fotnotetekst">
    <w:name w:val="footnote text"/>
    <w:basedOn w:val="Normal"/>
    <w:link w:val="FotnotetekstTegn"/>
    <w:rsid w:val="000762B7"/>
    <w:rPr>
      <w:sz w:val="20"/>
    </w:rPr>
  </w:style>
  <w:style w:type="character" w:customStyle="1" w:styleId="FotnotetekstTegn">
    <w:name w:val="Fotnotetekst Tegn"/>
    <w:basedOn w:val="Standardskriftforavsnitt"/>
    <w:link w:val="Fotnotetekst"/>
    <w:rsid w:val="000762B7"/>
    <w:rPr>
      <w:rFonts w:ascii="Times New Roman" w:eastAsia="Times New Roman" w:hAnsi="Times New Roman"/>
      <w:spacing w:val="4"/>
      <w:sz w:val="20"/>
    </w:rPr>
  </w:style>
  <w:style w:type="paragraph" w:customStyle="1" w:styleId="hengende-innrykk">
    <w:name w:val="hengende-innrykk"/>
    <w:basedOn w:val="Normal"/>
    <w:next w:val="Normal"/>
    <w:rsid w:val="000762B7"/>
    <w:pPr>
      <w:ind w:left="1418" w:hanging="1418"/>
    </w:pPr>
  </w:style>
  <w:style w:type="paragraph" w:customStyle="1" w:styleId="i-budkap-over">
    <w:name w:val="i-budkap-over"/>
    <w:basedOn w:val="Normal"/>
    <w:next w:val="Normal"/>
    <w:rsid w:val="000762B7"/>
    <w:pPr>
      <w:jc w:val="right"/>
    </w:pPr>
    <w:rPr>
      <w:rFonts w:ascii="Times" w:hAnsi="Times"/>
      <w:b/>
      <w:noProof/>
    </w:rPr>
  </w:style>
  <w:style w:type="paragraph" w:customStyle="1" w:styleId="i-dep">
    <w:name w:val="i-dep"/>
    <w:basedOn w:val="Normal"/>
    <w:next w:val="Normal"/>
    <w:rsid w:val="000762B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0762B7"/>
    <w:pPr>
      <w:keepNext/>
      <w:keepLines/>
      <w:spacing w:before="360"/>
      <w:jc w:val="center"/>
    </w:pPr>
    <w:rPr>
      <w:rFonts w:ascii="Times" w:hAnsi="Times"/>
      <w:b/>
      <w:noProof/>
      <w:sz w:val="28"/>
    </w:rPr>
  </w:style>
  <w:style w:type="paragraph" w:customStyle="1" w:styleId="i-saerskilt-vedl">
    <w:name w:val="i-saerskilt-vedl"/>
    <w:basedOn w:val="Normal"/>
    <w:next w:val="Normal"/>
    <w:rsid w:val="000762B7"/>
    <w:pPr>
      <w:ind w:left="1985" w:hanging="1985"/>
    </w:pPr>
    <w:rPr>
      <w:spacing w:val="0"/>
    </w:rPr>
  </w:style>
  <w:style w:type="paragraph" w:customStyle="1" w:styleId="i-statsrdato">
    <w:name w:val="i-statsr.dato"/>
    <w:basedOn w:val="Normal"/>
    <w:next w:val="Normal"/>
    <w:rsid w:val="000762B7"/>
    <w:pPr>
      <w:spacing w:after="0"/>
      <w:jc w:val="center"/>
    </w:pPr>
    <w:rPr>
      <w:rFonts w:ascii="Times" w:hAnsi="Times"/>
      <w:i/>
      <w:noProof/>
    </w:rPr>
  </w:style>
  <w:style w:type="paragraph" w:customStyle="1" w:styleId="i-termin">
    <w:name w:val="i-termin"/>
    <w:basedOn w:val="Normal"/>
    <w:next w:val="Normal"/>
    <w:rsid w:val="000762B7"/>
    <w:pPr>
      <w:spacing w:before="360"/>
      <w:jc w:val="center"/>
    </w:pPr>
    <w:rPr>
      <w:b/>
      <w:noProof/>
      <w:sz w:val="28"/>
    </w:rPr>
  </w:style>
  <w:style w:type="paragraph" w:customStyle="1" w:styleId="i-tit">
    <w:name w:val="i-tit"/>
    <w:basedOn w:val="Normal"/>
    <w:next w:val="i-statsrdato"/>
    <w:rsid w:val="000762B7"/>
    <w:pPr>
      <w:keepNext/>
      <w:keepLines/>
      <w:spacing w:before="360" w:after="240"/>
      <w:jc w:val="center"/>
    </w:pPr>
    <w:rPr>
      <w:rFonts w:ascii="Times" w:hAnsi="Times"/>
      <w:noProof/>
      <w:sz w:val="40"/>
    </w:rPr>
  </w:style>
  <w:style w:type="paragraph" w:customStyle="1" w:styleId="is-dep">
    <w:name w:val="is-dep"/>
    <w:basedOn w:val="i-dep"/>
    <w:qFormat/>
    <w:rsid w:val="000762B7"/>
  </w:style>
  <w:style w:type="paragraph" w:customStyle="1" w:styleId="Kilde">
    <w:name w:val="Kilde"/>
    <w:basedOn w:val="Normal"/>
    <w:next w:val="Normal"/>
    <w:rsid w:val="000762B7"/>
    <w:pPr>
      <w:spacing w:after="240"/>
    </w:pPr>
    <w:rPr>
      <w:sz w:val="20"/>
    </w:rPr>
  </w:style>
  <w:style w:type="paragraph" w:customStyle="1" w:styleId="l-avsnitt">
    <w:name w:val="l-avsnitt"/>
    <w:basedOn w:val="l-lovkap"/>
    <w:qFormat/>
    <w:rsid w:val="000762B7"/>
    <w:rPr>
      <w:lang w:val="nn-NO"/>
    </w:rPr>
  </w:style>
  <w:style w:type="paragraph" w:customStyle="1" w:styleId="l-lovdeltit">
    <w:name w:val="l-lovdeltit"/>
    <w:basedOn w:val="Normal"/>
    <w:next w:val="Normal"/>
    <w:rsid w:val="000762B7"/>
    <w:pPr>
      <w:keepNext/>
      <w:spacing w:before="120" w:after="60"/>
    </w:pPr>
    <w:rPr>
      <w:b/>
      <w:spacing w:val="0"/>
    </w:rPr>
  </w:style>
  <w:style w:type="paragraph" w:customStyle="1" w:styleId="l-lovkap">
    <w:name w:val="l-lovkap"/>
    <w:basedOn w:val="Normal"/>
    <w:next w:val="Normal"/>
    <w:rsid w:val="000762B7"/>
    <w:pPr>
      <w:keepNext/>
      <w:spacing w:before="240" w:after="40"/>
    </w:pPr>
    <w:rPr>
      <w:b/>
    </w:rPr>
  </w:style>
  <w:style w:type="paragraph" w:customStyle="1" w:styleId="l-lovtit">
    <w:name w:val="l-lovtit"/>
    <w:basedOn w:val="Normal"/>
    <w:next w:val="Normal"/>
    <w:rsid w:val="000762B7"/>
    <w:pPr>
      <w:keepNext/>
      <w:spacing w:before="120" w:after="60"/>
    </w:pPr>
    <w:rPr>
      <w:b/>
    </w:rPr>
  </w:style>
  <w:style w:type="paragraph" w:customStyle="1" w:styleId="l-punktum">
    <w:name w:val="l-punktum"/>
    <w:basedOn w:val="Normal"/>
    <w:qFormat/>
    <w:rsid w:val="000762B7"/>
    <w:pPr>
      <w:spacing w:after="0"/>
    </w:pPr>
  </w:style>
  <w:style w:type="paragraph" w:customStyle="1" w:styleId="l-tit-endr-avsnitt">
    <w:name w:val="l-tit-endr-avsnitt"/>
    <w:basedOn w:val="l-tit-endr-lovkap"/>
    <w:qFormat/>
    <w:rsid w:val="000762B7"/>
  </w:style>
  <w:style w:type="paragraph" w:customStyle="1" w:styleId="l-tit-endr-ledd">
    <w:name w:val="l-tit-endr-ledd"/>
    <w:basedOn w:val="Normal"/>
    <w:qFormat/>
    <w:rsid w:val="000762B7"/>
    <w:pPr>
      <w:keepNext/>
      <w:spacing w:before="240" w:after="0" w:line="240" w:lineRule="auto"/>
    </w:pPr>
    <w:rPr>
      <w:rFonts w:ascii="Times" w:hAnsi="Times"/>
      <w:noProof/>
      <w:lang w:val="nn-NO"/>
    </w:rPr>
  </w:style>
  <w:style w:type="paragraph" w:customStyle="1" w:styleId="l-tit-endr-lov">
    <w:name w:val="l-tit-endr-lov"/>
    <w:basedOn w:val="Normal"/>
    <w:qFormat/>
    <w:rsid w:val="000762B7"/>
    <w:pPr>
      <w:keepNext/>
      <w:spacing w:before="240" w:after="0" w:line="240" w:lineRule="auto"/>
    </w:pPr>
    <w:rPr>
      <w:rFonts w:ascii="Times" w:hAnsi="Times"/>
      <w:noProof/>
      <w:lang w:val="nn-NO"/>
    </w:rPr>
  </w:style>
  <w:style w:type="paragraph" w:customStyle="1" w:styleId="l-tit-endr-lovdel">
    <w:name w:val="l-tit-endr-lovdel"/>
    <w:basedOn w:val="Normal"/>
    <w:qFormat/>
    <w:rsid w:val="000762B7"/>
    <w:pPr>
      <w:keepNext/>
      <w:spacing w:before="240" w:after="0" w:line="240" w:lineRule="auto"/>
    </w:pPr>
    <w:rPr>
      <w:rFonts w:ascii="Times" w:hAnsi="Times"/>
      <w:noProof/>
      <w:lang w:val="nn-NO"/>
    </w:rPr>
  </w:style>
  <w:style w:type="paragraph" w:customStyle="1" w:styleId="l-tit-endr-lovkap">
    <w:name w:val="l-tit-endr-lovkap"/>
    <w:basedOn w:val="Normal"/>
    <w:qFormat/>
    <w:rsid w:val="000762B7"/>
    <w:pPr>
      <w:keepNext/>
      <w:spacing w:before="240" w:after="0" w:line="240" w:lineRule="auto"/>
    </w:pPr>
    <w:rPr>
      <w:rFonts w:ascii="Times" w:hAnsi="Times"/>
      <w:noProof/>
      <w:lang w:val="nn-NO"/>
    </w:rPr>
  </w:style>
  <w:style w:type="paragraph" w:customStyle="1" w:styleId="l-tit-endr-punktum">
    <w:name w:val="l-tit-endr-punktum"/>
    <w:basedOn w:val="l-tit-endr-ledd"/>
    <w:qFormat/>
    <w:rsid w:val="000762B7"/>
  </w:style>
  <w:style w:type="paragraph" w:styleId="Listeavsnitt">
    <w:name w:val="List Paragraph"/>
    <w:basedOn w:val="Normal"/>
    <w:uiPriority w:val="34"/>
    <w:qFormat/>
    <w:rsid w:val="000762B7"/>
    <w:pPr>
      <w:spacing w:before="60" w:after="0"/>
      <w:ind w:left="397"/>
    </w:pPr>
    <w:rPr>
      <w:spacing w:val="0"/>
    </w:rPr>
  </w:style>
  <w:style w:type="paragraph" w:customStyle="1" w:styleId="Listeavsnitt2">
    <w:name w:val="Listeavsnitt 2"/>
    <w:basedOn w:val="Normal"/>
    <w:qFormat/>
    <w:rsid w:val="000762B7"/>
    <w:pPr>
      <w:spacing w:before="60" w:after="0"/>
      <w:ind w:left="794"/>
    </w:pPr>
    <w:rPr>
      <w:spacing w:val="0"/>
    </w:rPr>
  </w:style>
  <w:style w:type="paragraph" w:customStyle="1" w:styleId="Listeavsnitt3">
    <w:name w:val="Listeavsnitt 3"/>
    <w:basedOn w:val="Normal"/>
    <w:qFormat/>
    <w:rsid w:val="000762B7"/>
    <w:pPr>
      <w:spacing w:before="60" w:after="0"/>
      <w:ind w:left="1191"/>
    </w:pPr>
    <w:rPr>
      <w:spacing w:val="0"/>
    </w:rPr>
  </w:style>
  <w:style w:type="paragraph" w:customStyle="1" w:styleId="Listeavsnitt4">
    <w:name w:val="Listeavsnitt 4"/>
    <w:basedOn w:val="Normal"/>
    <w:qFormat/>
    <w:rsid w:val="000762B7"/>
    <w:pPr>
      <w:spacing w:before="60" w:after="0"/>
      <w:ind w:left="1588"/>
    </w:pPr>
    <w:rPr>
      <w:spacing w:val="0"/>
    </w:rPr>
  </w:style>
  <w:style w:type="paragraph" w:customStyle="1" w:styleId="Listeavsnitt5">
    <w:name w:val="Listeavsnitt 5"/>
    <w:basedOn w:val="Normal"/>
    <w:qFormat/>
    <w:rsid w:val="000762B7"/>
    <w:pPr>
      <w:spacing w:before="60" w:after="0"/>
      <w:ind w:left="1985"/>
    </w:pPr>
    <w:rPr>
      <w:spacing w:val="0"/>
    </w:rPr>
  </w:style>
  <w:style w:type="paragraph" w:customStyle="1" w:styleId="Normalref">
    <w:name w:val="Normalref"/>
    <w:basedOn w:val="Normal"/>
    <w:qFormat/>
    <w:rsid w:val="000762B7"/>
    <w:pPr>
      <w:spacing w:after="0"/>
      <w:ind w:left="397" w:hanging="397"/>
    </w:pPr>
    <w:rPr>
      <w:spacing w:val="0"/>
    </w:rPr>
  </w:style>
  <w:style w:type="paragraph" w:customStyle="1" w:styleId="avsnitt-tittel">
    <w:name w:val="avsnitt-tittel"/>
    <w:basedOn w:val="Normal"/>
    <w:next w:val="Normal"/>
    <w:rsid w:val="000762B7"/>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0762B7"/>
    <w:rPr>
      <w:rFonts w:ascii="Arial" w:eastAsia="Times New Roman" w:hAnsi="Arial"/>
      <w:b/>
      <w:kern w:val="28"/>
      <w:sz w:val="32"/>
    </w:rPr>
  </w:style>
  <w:style w:type="paragraph" w:styleId="Undertittel">
    <w:name w:val="Subtitle"/>
    <w:basedOn w:val="Normal"/>
    <w:next w:val="Normal"/>
    <w:link w:val="UndertittelTegn"/>
    <w:qFormat/>
    <w:rsid w:val="000762B7"/>
    <w:pPr>
      <w:keepNext/>
      <w:keepLines/>
      <w:spacing w:before="360"/>
    </w:pPr>
    <w:rPr>
      <w:rFonts w:ascii="Arial" w:hAnsi="Arial"/>
      <w:b/>
      <w:sz w:val="28"/>
    </w:rPr>
  </w:style>
  <w:style w:type="character" w:customStyle="1" w:styleId="UndertittelTegn">
    <w:name w:val="Undertittel Tegn"/>
    <w:basedOn w:val="Standardskriftforavsnitt"/>
    <w:link w:val="Undertittel"/>
    <w:rsid w:val="000762B7"/>
    <w:rPr>
      <w:rFonts w:ascii="Arial" w:eastAsia="Times New Roman" w:hAnsi="Arial"/>
      <w:b/>
      <w:spacing w:val="4"/>
      <w:sz w:val="28"/>
    </w:rPr>
  </w:style>
  <w:style w:type="paragraph" w:customStyle="1" w:styleId="Petit">
    <w:name w:val="Petit"/>
    <w:basedOn w:val="Normal"/>
    <w:next w:val="Normal"/>
    <w:qFormat/>
    <w:rsid w:val="000762B7"/>
    <w:rPr>
      <w:spacing w:val="6"/>
      <w:sz w:val="19"/>
    </w:rPr>
  </w:style>
  <w:style w:type="paragraph" w:customStyle="1" w:styleId="Ramme-slutt">
    <w:name w:val="Ramme-slutt"/>
    <w:basedOn w:val="Normal"/>
    <w:autoRedefine/>
    <w:rsid w:val="000762B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0762B7"/>
  </w:style>
  <w:style w:type="paragraph" w:customStyle="1" w:styleId="tabell-noter">
    <w:name w:val="tabell-noter"/>
    <w:basedOn w:val="Normal"/>
    <w:next w:val="Normal"/>
    <w:rsid w:val="000762B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0762B7"/>
    <w:pPr>
      <w:spacing w:line="240" w:lineRule="auto"/>
    </w:pPr>
    <w:rPr>
      <w:rFonts w:ascii="Times" w:eastAsia="Batang" w:hAnsi="Times"/>
      <w:vanish/>
      <w:color w:val="008000"/>
      <w:spacing w:val="0"/>
      <w:szCs w:val="24"/>
    </w:rPr>
  </w:style>
  <w:style w:type="paragraph" w:customStyle="1" w:styleId="Term">
    <w:name w:val="Term"/>
    <w:basedOn w:val="hengende-innrykk"/>
    <w:rsid w:val="000762B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762B7"/>
    <w:pPr>
      <w:keepNext/>
      <w:keepLines/>
      <w:jc w:val="center"/>
    </w:pPr>
    <w:rPr>
      <w:rFonts w:ascii="Arial" w:hAnsi="Arial"/>
      <w:b/>
      <w:spacing w:val="0"/>
      <w:sz w:val="28"/>
    </w:rPr>
  </w:style>
  <w:style w:type="paragraph" w:customStyle="1" w:styleId="tittel-litteraturliste">
    <w:name w:val="tittel-litteraturliste"/>
    <w:basedOn w:val="Normal"/>
    <w:next w:val="Normal"/>
    <w:rsid w:val="000762B7"/>
    <w:pPr>
      <w:keepNext/>
      <w:keepLines/>
      <w:spacing w:before="360" w:after="240"/>
      <w:jc w:val="center"/>
    </w:pPr>
    <w:rPr>
      <w:rFonts w:ascii="Arial" w:hAnsi="Arial"/>
      <w:b/>
      <w:sz w:val="28"/>
    </w:rPr>
  </w:style>
  <w:style w:type="paragraph" w:customStyle="1" w:styleId="tittel-ordforkl">
    <w:name w:val="tittel-ordforkl"/>
    <w:basedOn w:val="Normal"/>
    <w:next w:val="Normal"/>
    <w:rsid w:val="000762B7"/>
    <w:pPr>
      <w:keepNext/>
      <w:keepLines/>
      <w:spacing w:before="360" w:after="240"/>
      <w:jc w:val="center"/>
    </w:pPr>
    <w:rPr>
      <w:rFonts w:ascii="Arial" w:hAnsi="Arial"/>
      <w:b/>
      <w:sz w:val="28"/>
    </w:rPr>
  </w:style>
  <w:style w:type="paragraph" w:customStyle="1" w:styleId="undervedl-nr">
    <w:name w:val="undervedl-nr"/>
    <w:basedOn w:val="vedlegg-nr"/>
    <w:next w:val="Normal"/>
    <w:rsid w:val="000762B7"/>
    <w:pPr>
      <w:numPr>
        <w:numId w:val="0"/>
      </w:numPr>
    </w:pPr>
    <w:rPr>
      <w:b w:val="0"/>
      <w:i/>
    </w:rPr>
  </w:style>
  <w:style w:type="paragraph" w:customStyle="1" w:styleId="Undervedl-tittel">
    <w:name w:val="Undervedl-tittel"/>
    <w:basedOn w:val="Normal"/>
    <w:next w:val="Normal"/>
    <w:rsid w:val="000762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762B7"/>
    <w:pPr>
      <w:numPr>
        <w:numId w:val="0"/>
      </w:numPr>
      <w:outlineLvl w:val="9"/>
    </w:pPr>
  </w:style>
  <w:style w:type="paragraph" w:customStyle="1" w:styleId="v-Overskrift2">
    <w:name w:val="v-Overskrift 2"/>
    <w:basedOn w:val="Overskrift2"/>
    <w:next w:val="Normal"/>
    <w:rsid w:val="000762B7"/>
    <w:pPr>
      <w:numPr>
        <w:ilvl w:val="0"/>
        <w:numId w:val="0"/>
      </w:numPr>
      <w:outlineLvl w:val="9"/>
    </w:pPr>
  </w:style>
  <w:style w:type="paragraph" w:customStyle="1" w:styleId="v-Overskrift3">
    <w:name w:val="v-Overskrift 3"/>
    <w:basedOn w:val="Overskrift3"/>
    <w:next w:val="Normal"/>
    <w:rsid w:val="000762B7"/>
    <w:pPr>
      <w:numPr>
        <w:ilvl w:val="0"/>
        <w:numId w:val="0"/>
      </w:numPr>
      <w:outlineLvl w:val="9"/>
    </w:pPr>
  </w:style>
  <w:style w:type="paragraph" w:customStyle="1" w:styleId="vedlegg-nr">
    <w:name w:val="vedlegg-nr"/>
    <w:basedOn w:val="Normal"/>
    <w:next w:val="Normal"/>
    <w:rsid w:val="000762B7"/>
    <w:pPr>
      <w:keepNext/>
      <w:keepLines/>
      <w:numPr>
        <w:numId w:val="3"/>
      </w:numPr>
      <w:ind w:left="357" w:hanging="357"/>
    </w:pPr>
    <w:rPr>
      <w:rFonts w:ascii="Arial" w:hAnsi="Arial"/>
      <w:b/>
      <w:u w:val="single"/>
    </w:rPr>
  </w:style>
  <w:style w:type="paragraph" w:customStyle="1" w:styleId="vedlegg-tit">
    <w:name w:val="vedlegg-tit"/>
    <w:basedOn w:val="Normal"/>
    <w:next w:val="Normal"/>
    <w:rsid w:val="000762B7"/>
    <w:pPr>
      <w:keepNext/>
      <w:keepLines/>
      <w:spacing w:before="360" w:after="80"/>
      <w:jc w:val="center"/>
    </w:pPr>
    <w:rPr>
      <w:rFonts w:ascii="Arial" w:hAnsi="Arial"/>
      <w:b/>
      <w:sz w:val="28"/>
    </w:rPr>
  </w:style>
  <w:style w:type="paragraph" w:customStyle="1" w:styleId="i-hode-tit">
    <w:name w:val="i-hode-tit"/>
    <w:basedOn w:val="Normal"/>
    <w:autoRedefine/>
    <w:qFormat/>
    <w:rsid w:val="000762B7"/>
    <w:pPr>
      <w:keepNext/>
      <w:keepLines/>
      <w:jc w:val="center"/>
    </w:pPr>
    <w:rPr>
      <w:rFonts w:eastAsia="Batang"/>
      <w:b/>
      <w:sz w:val="28"/>
    </w:rPr>
  </w:style>
  <w:style w:type="paragraph" w:customStyle="1" w:styleId="i-hode">
    <w:name w:val="i-hode"/>
    <w:basedOn w:val="Normal"/>
    <w:next w:val="Normal"/>
    <w:rsid w:val="000762B7"/>
    <w:pPr>
      <w:keepNext/>
      <w:keepLines/>
      <w:spacing w:before="720"/>
      <w:jc w:val="center"/>
    </w:pPr>
    <w:rPr>
      <w:rFonts w:ascii="Times" w:hAnsi="Times"/>
      <w:b/>
      <w:noProof/>
      <w:sz w:val="56"/>
    </w:rPr>
  </w:style>
  <w:style w:type="paragraph" w:customStyle="1" w:styleId="i-sesjon">
    <w:name w:val="i-sesjon"/>
    <w:basedOn w:val="Normal"/>
    <w:next w:val="Normal"/>
    <w:rsid w:val="000762B7"/>
    <w:pPr>
      <w:jc w:val="center"/>
    </w:pPr>
    <w:rPr>
      <w:rFonts w:ascii="Times" w:hAnsi="Times"/>
      <w:b/>
      <w:noProof/>
      <w:sz w:val="28"/>
    </w:rPr>
  </w:style>
  <w:style w:type="paragraph" w:customStyle="1" w:styleId="i-mtit">
    <w:name w:val="i-mtit"/>
    <w:basedOn w:val="Normal"/>
    <w:next w:val="Normal"/>
    <w:rsid w:val="000762B7"/>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0762B7"/>
    <w:rPr>
      <w:rFonts w:ascii="Arial" w:eastAsia="Times New Roman" w:hAnsi="Arial"/>
      <w:b/>
      <w:spacing w:val="4"/>
      <w:sz w:val="28"/>
    </w:rPr>
  </w:style>
  <w:style w:type="character" w:customStyle="1" w:styleId="Overskrift3Tegn">
    <w:name w:val="Overskrift 3 Tegn"/>
    <w:basedOn w:val="Standardskriftforavsnitt"/>
    <w:link w:val="Overskrift3"/>
    <w:rsid w:val="000762B7"/>
    <w:rPr>
      <w:rFonts w:ascii="Arial" w:eastAsia="Times New Roman" w:hAnsi="Arial"/>
      <w:b/>
      <w:sz w:val="24"/>
    </w:rPr>
  </w:style>
  <w:style w:type="character" w:customStyle="1" w:styleId="Overskrift4Tegn">
    <w:name w:val="Overskrift 4 Tegn"/>
    <w:basedOn w:val="Standardskriftforavsnitt"/>
    <w:link w:val="Overskrift4"/>
    <w:rsid w:val="000762B7"/>
    <w:rPr>
      <w:rFonts w:ascii="Arial" w:eastAsia="Times New Roman" w:hAnsi="Arial"/>
      <w:i/>
      <w:spacing w:val="4"/>
      <w:sz w:val="24"/>
    </w:rPr>
  </w:style>
  <w:style w:type="character" w:customStyle="1" w:styleId="Overskrift5Tegn">
    <w:name w:val="Overskrift 5 Tegn"/>
    <w:basedOn w:val="Standardskriftforavsnitt"/>
    <w:link w:val="Overskrift5"/>
    <w:rsid w:val="000762B7"/>
    <w:rPr>
      <w:rFonts w:ascii="Arial" w:eastAsia="Times New Roman" w:hAnsi="Arial"/>
      <w:i/>
      <w:sz w:val="24"/>
    </w:rPr>
  </w:style>
  <w:style w:type="paragraph" w:styleId="Liste">
    <w:name w:val="List"/>
    <w:basedOn w:val="Normal"/>
    <w:rsid w:val="000762B7"/>
    <w:pPr>
      <w:numPr>
        <w:numId w:val="7"/>
      </w:numPr>
      <w:spacing w:line="240" w:lineRule="auto"/>
      <w:contextualSpacing/>
    </w:pPr>
  </w:style>
  <w:style w:type="paragraph" w:styleId="Liste2">
    <w:name w:val="List 2"/>
    <w:basedOn w:val="Normal"/>
    <w:rsid w:val="000762B7"/>
    <w:pPr>
      <w:numPr>
        <w:ilvl w:val="1"/>
        <w:numId w:val="7"/>
      </w:numPr>
      <w:spacing w:after="0"/>
    </w:pPr>
  </w:style>
  <w:style w:type="paragraph" w:styleId="Liste3">
    <w:name w:val="List 3"/>
    <w:basedOn w:val="Normal"/>
    <w:rsid w:val="000762B7"/>
    <w:pPr>
      <w:numPr>
        <w:ilvl w:val="2"/>
        <w:numId w:val="7"/>
      </w:numPr>
      <w:spacing w:after="0"/>
    </w:pPr>
    <w:rPr>
      <w:spacing w:val="0"/>
    </w:rPr>
  </w:style>
  <w:style w:type="paragraph" w:styleId="Liste4">
    <w:name w:val="List 4"/>
    <w:basedOn w:val="Normal"/>
    <w:rsid w:val="000762B7"/>
    <w:pPr>
      <w:numPr>
        <w:ilvl w:val="3"/>
        <w:numId w:val="7"/>
      </w:numPr>
      <w:spacing w:after="0"/>
    </w:pPr>
    <w:rPr>
      <w:spacing w:val="0"/>
    </w:rPr>
  </w:style>
  <w:style w:type="paragraph" w:styleId="Liste5">
    <w:name w:val="List 5"/>
    <w:basedOn w:val="Normal"/>
    <w:rsid w:val="000762B7"/>
    <w:pPr>
      <w:numPr>
        <w:ilvl w:val="4"/>
        <w:numId w:val="7"/>
      </w:numPr>
      <w:spacing w:after="0"/>
    </w:pPr>
    <w:rPr>
      <w:spacing w:val="0"/>
    </w:rPr>
  </w:style>
  <w:style w:type="paragraph" w:styleId="Nummerertliste">
    <w:name w:val="List Number"/>
    <w:basedOn w:val="Normal"/>
    <w:rsid w:val="000762B7"/>
    <w:pPr>
      <w:numPr>
        <w:numId w:val="5"/>
      </w:numPr>
      <w:spacing w:after="0"/>
    </w:pPr>
    <w:rPr>
      <w:rFonts w:ascii="Times" w:eastAsia="Batang" w:hAnsi="Times"/>
      <w:spacing w:val="0"/>
      <w:szCs w:val="20"/>
    </w:rPr>
  </w:style>
  <w:style w:type="paragraph" w:styleId="Nummerertliste2">
    <w:name w:val="List Number 2"/>
    <w:basedOn w:val="Normal"/>
    <w:rsid w:val="000762B7"/>
    <w:pPr>
      <w:numPr>
        <w:ilvl w:val="1"/>
        <w:numId w:val="5"/>
      </w:numPr>
      <w:spacing w:after="0" w:line="240" w:lineRule="auto"/>
    </w:pPr>
    <w:rPr>
      <w:rFonts w:ascii="Times" w:eastAsia="Batang" w:hAnsi="Times"/>
      <w:spacing w:val="0"/>
      <w:szCs w:val="20"/>
    </w:rPr>
  </w:style>
  <w:style w:type="paragraph" w:styleId="Nummerertliste3">
    <w:name w:val="List Number 3"/>
    <w:basedOn w:val="Normal"/>
    <w:rsid w:val="000762B7"/>
    <w:pPr>
      <w:numPr>
        <w:ilvl w:val="2"/>
        <w:numId w:val="5"/>
      </w:numPr>
      <w:spacing w:after="0" w:line="240" w:lineRule="auto"/>
    </w:pPr>
    <w:rPr>
      <w:rFonts w:ascii="Times" w:eastAsia="Batang" w:hAnsi="Times"/>
      <w:spacing w:val="0"/>
      <w:szCs w:val="20"/>
    </w:rPr>
  </w:style>
  <w:style w:type="paragraph" w:styleId="Nummerertliste4">
    <w:name w:val="List Number 4"/>
    <w:basedOn w:val="Normal"/>
    <w:rsid w:val="000762B7"/>
    <w:pPr>
      <w:numPr>
        <w:ilvl w:val="3"/>
        <w:numId w:val="5"/>
      </w:numPr>
      <w:spacing w:after="0" w:line="240" w:lineRule="auto"/>
    </w:pPr>
    <w:rPr>
      <w:rFonts w:ascii="Times" w:eastAsia="Batang" w:hAnsi="Times"/>
      <w:spacing w:val="0"/>
      <w:szCs w:val="20"/>
    </w:rPr>
  </w:style>
  <w:style w:type="paragraph" w:styleId="Nummerertliste5">
    <w:name w:val="List Number 5"/>
    <w:basedOn w:val="Normal"/>
    <w:rsid w:val="000762B7"/>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0762B7"/>
    <w:pPr>
      <w:numPr>
        <w:numId w:val="15"/>
      </w:numPr>
      <w:tabs>
        <w:tab w:val="left" w:pos="397"/>
      </w:tabs>
      <w:ind w:left="397" w:hanging="397"/>
    </w:pPr>
  </w:style>
  <w:style w:type="paragraph" w:customStyle="1" w:styleId="Listebombe2">
    <w:name w:val="Liste bombe 2"/>
    <w:basedOn w:val="Liste2"/>
    <w:qFormat/>
    <w:rsid w:val="000762B7"/>
    <w:pPr>
      <w:numPr>
        <w:ilvl w:val="0"/>
        <w:numId w:val="16"/>
      </w:numPr>
      <w:ind w:left="794" w:hanging="397"/>
    </w:pPr>
  </w:style>
  <w:style w:type="paragraph" w:customStyle="1" w:styleId="Listebombe3">
    <w:name w:val="Liste bombe 3"/>
    <w:basedOn w:val="Liste3"/>
    <w:qFormat/>
    <w:rsid w:val="000762B7"/>
    <w:pPr>
      <w:numPr>
        <w:ilvl w:val="0"/>
        <w:numId w:val="17"/>
      </w:numPr>
      <w:ind w:left="1191" w:hanging="397"/>
    </w:pPr>
  </w:style>
  <w:style w:type="paragraph" w:customStyle="1" w:styleId="Listebombe4">
    <w:name w:val="Liste bombe 4"/>
    <w:basedOn w:val="Liste4"/>
    <w:qFormat/>
    <w:rsid w:val="000762B7"/>
    <w:pPr>
      <w:numPr>
        <w:ilvl w:val="0"/>
        <w:numId w:val="18"/>
      </w:numPr>
      <w:ind w:left="1588" w:hanging="397"/>
    </w:pPr>
  </w:style>
  <w:style w:type="paragraph" w:customStyle="1" w:styleId="Listebombe5">
    <w:name w:val="Liste bombe 5"/>
    <w:basedOn w:val="Liste5"/>
    <w:qFormat/>
    <w:rsid w:val="000762B7"/>
    <w:pPr>
      <w:numPr>
        <w:ilvl w:val="0"/>
        <w:numId w:val="19"/>
      </w:numPr>
      <w:ind w:left="1985" w:hanging="397"/>
    </w:pPr>
  </w:style>
  <w:style w:type="paragraph" w:customStyle="1" w:styleId="alfaliste">
    <w:name w:val="alfaliste"/>
    <w:basedOn w:val="Normal"/>
    <w:rsid w:val="000762B7"/>
    <w:pPr>
      <w:numPr>
        <w:numId w:val="4"/>
      </w:numPr>
      <w:spacing w:after="0"/>
    </w:pPr>
  </w:style>
  <w:style w:type="paragraph" w:customStyle="1" w:styleId="alfaliste2">
    <w:name w:val="alfaliste 2"/>
    <w:basedOn w:val="Liste2"/>
    <w:rsid w:val="000762B7"/>
    <w:pPr>
      <w:numPr>
        <w:numId w:val="4"/>
      </w:numPr>
    </w:pPr>
  </w:style>
  <w:style w:type="paragraph" w:customStyle="1" w:styleId="alfaliste3">
    <w:name w:val="alfaliste 3"/>
    <w:basedOn w:val="Normal"/>
    <w:rsid w:val="000762B7"/>
    <w:pPr>
      <w:numPr>
        <w:ilvl w:val="2"/>
        <w:numId w:val="4"/>
      </w:numPr>
      <w:spacing w:after="0"/>
    </w:pPr>
    <w:rPr>
      <w:spacing w:val="0"/>
    </w:rPr>
  </w:style>
  <w:style w:type="paragraph" w:customStyle="1" w:styleId="alfaliste4">
    <w:name w:val="alfaliste 4"/>
    <w:basedOn w:val="Normal"/>
    <w:rsid w:val="000762B7"/>
    <w:pPr>
      <w:numPr>
        <w:ilvl w:val="3"/>
        <w:numId w:val="4"/>
      </w:numPr>
      <w:spacing w:after="0"/>
    </w:pPr>
    <w:rPr>
      <w:spacing w:val="0"/>
    </w:rPr>
  </w:style>
  <w:style w:type="paragraph" w:customStyle="1" w:styleId="alfaliste5">
    <w:name w:val="alfaliste 5"/>
    <w:basedOn w:val="Normal"/>
    <w:rsid w:val="000762B7"/>
    <w:pPr>
      <w:numPr>
        <w:ilvl w:val="4"/>
        <w:numId w:val="4"/>
      </w:numPr>
      <w:spacing w:after="0"/>
    </w:pPr>
    <w:rPr>
      <w:rFonts w:cs="Times New Roman"/>
      <w:spacing w:val="0"/>
    </w:rPr>
  </w:style>
  <w:style w:type="paragraph" w:customStyle="1" w:styleId="romertallliste">
    <w:name w:val="romertall liste"/>
    <w:basedOn w:val="Normal"/>
    <w:rsid w:val="000762B7"/>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0762B7"/>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0762B7"/>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0762B7"/>
    <w:pPr>
      <w:numPr>
        <w:ilvl w:val="3"/>
        <w:numId w:val="14"/>
      </w:numPr>
      <w:spacing w:after="0" w:line="240" w:lineRule="auto"/>
    </w:pPr>
    <w:rPr>
      <w:rFonts w:ascii="Times" w:eastAsia="Batang" w:hAnsi="Times"/>
      <w:spacing w:val="0"/>
      <w:szCs w:val="20"/>
    </w:rPr>
  </w:style>
  <w:style w:type="paragraph" w:customStyle="1" w:styleId="romertallliste5">
    <w:name w:val="romertall liste 5"/>
    <w:basedOn w:val="Normal"/>
    <w:qFormat/>
    <w:rsid w:val="000762B7"/>
    <w:pPr>
      <w:numPr>
        <w:ilvl w:val="4"/>
        <w:numId w:val="14"/>
      </w:numPr>
      <w:spacing w:after="0"/>
    </w:pPr>
  </w:style>
  <w:style w:type="paragraph" w:customStyle="1" w:styleId="opplisting2">
    <w:name w:val="opplisting 2"/>
    <w:basedOn w:val="Normal"/>
    <w:qFormat/>
    <w:rsid w:val="000762B7"/>
    <w:pPr>
      <w:spacing w:after="0"/>
      <w:ind w:left="397"/>
    </w:pPr>
    <w:rPr>
      <w:spacing w:val="0"/>
      <w:lang w:val="en-US"/>
    </w:rPr>
  </w:style>
  <w:style w:type="paragraph" w:customStyle="1" w:styleId="opplisting3">
    <w:name w:val="opplisting 3"/>
    <w:basedOn w:val="Normal"/>
    <w:qFormat/>
    <w:rsid w:val="000762B7"/>
    <w:pPr>
      <w:spacing w:after="0"/>
      <w:ind w:left="794"/>
    </w:pPr>
    <w:rPr>
      <w:spacing w:val="0"/>
    </w:rPr>
  </w:style>
  <w:style w:type="paragraph" w:customStyle="1" w:styleId="opplisting4">
    <w:name w:val="opplisting 4"/>
    <w:basedOn w:val="Normal"/>
    <w:qFormat/>
    <w:rsid w:val="000762B7"/>
    <w:pPr>
      <w:spacing w:after="0"/>
      <w:ind w:left="1191"/>
    </w:pPr>
    <w:rPr>
      <w:spacing w:val="0"/>
    </w:rPr>
  </w:style>
  <w:style w:type="paragraph" w:customStyle="1" w:styleId="opplisting5">
    <w:name w:val="opplisting 5"/>
    <w:basedOn w:val="Normal"/>
    <w:qFormat/>
    <w:rsid w:val="000762B7"/>
    <w:pPr>
      <w:spacing w:after="0"/>
      <w:ind w:left="1588"/>
    </w:pPr>
    <w:rPr>
      <w:spacing w:val="0"/>
    </w:rPr>
  </w:style>
  <w:style w:type="paragraph" w:customStyle="1" w:styleId="friliste">
    <w:name w:val="friliste"/>
    <w:basedOn w:val="Normal"/>
    <w:qFormat/>
    <w:rsid w:val="000762B7"/>
    <w:pPr>
      <w:tabs>
        <w:tab w:val="left" w:pos="397"/>
      </w:tabs>
      <w:spacing w:after="0"/>
      <w:ind w:left="397" w:hanging="397"/>
    </w:pPr>
    <w:rPr>
      <w:spacing w:val="0"/>
    </w:rPr>
  </w:style>
  <w:style w:type="paragraph" w:customStyle="1" w:styleId="friliste2">
    <w:name w:val="friliste 2"/>
    <w:basedOn w:val="Normal"/>
    <w:qFormat/>
    <w:rsid w:val="000762B7"/>
    <w:pPr>
      <w:tabs>
        <w:tab w:val="left" w:pos="794"/>
      </w:tabs>
      <w:spacing w:after="0"/>
      <w:ind w:left="794" w:hanging="397"/>
    </w:pPr>
    <w:rPr>
      <w:spacing w:val="0"/>
    </w:rPr>
  </w:style>
  <w:style w:type="paragraph" w:customStyle="1" w:styleId="friliste3">
    <w:name w:val="friliste 3"/>
    <w:basedOn w:val="Normal"/>
    <w:qFormat/>
    <w:rsid w:val="000762B7"/>
    <w:pPr>
      <w:tabs>
        <w:tab w:val="left" w:pos="1191"/>
      </w:tabs>
      <w:spacing w:after="0"/>
      <w:ind w:left="1191" w:hanging="397"/>
    </w:pPr>
    <w:rPr>
      <w:spacing w:val="0"/>
    </w:rPr>
  </w:style>
  <w:style w:type="paragraph" w:customStyle="1" w:styleId="friliste4">
    <w:name w:val="friliste 4"/>
    <w:basedOn w:val="Normal"/>
    <w:qFormat/>
    <w:rsid w:val="000762B7"/>
    <w:pPr>
      <w:tabs>
        <w:tab w:val="left" w:pos="1588"/>
      </w:tabs>
      <w:spacing w:after="0"/>
      <w:ind w:left="1588" w:hanging="397"/>
    </w:pPr>
    <w:rPr>
      <w:spacing w:val="0"/>
    </w:rPr>
  </w:style>
  <w:style w:type="paragraph" w:customStyle="1" w:styleId="friliste5">
    <w:name w:val="friliste 5"/>
    <w:basedOn w:val="Normal"/>
    <w:qFormat/>
    <w:rsid w:val="000762B7"/>
    <w:pPr>
      <w:tabs>
        <w:tab w:val="left" w:pos="1985"/>
      </w:tabs>
      <w:spacing w:after="0"/>
      <w:ind w:left="1985" w:hanging="397"/>
    </w:pPr>
    <w:rPr>
      <w:spacing w:val="0"/>
    </w:rPr>
  </w:style>
  <w:style w:type="paragraph" w:customStyle="1" w:styleId="l-alfaliste">
    <w:name w:val="l-alfaliste"/>
    <w:basedOn w:val="alfaliste"/>
    <w:qFormat/>
    <w:rsid w:val="000762B7"/>
    <w:pPr>
      <w:numPr>
        <w:numId w:val="13"/>
      </w:numPr>
    </w:pPr>
    <w:rPr>
      <w:rFonts w:eastAsiaTheme="minorEastAsia"/>
    </w:rPr>
  </w:style>
  <w:style w:type="paragraph" w:customStyle="1" w:styleId="l-alfaliste2">
    <w:name w:val="l-alfaliste 2"/>
    <w:basedOn w:val="alfaliste2"/>
    <w:qFormat/>
    <w:rsid w:val="000762B7"/>
    <w:pPr>
      <w:numPr>
        <w:numId w:val="13"/>
      </w:numPr>
    </w:pPr>
  </w:style>
  <w:style w:type="paragraph" w:customStyle="1" w:styleId="avsnitt-undertittel">
    <w:name w:val="avsnitt-undertittel"/>
    <w:basedOn w:val="Normal"/>
    <w:next w:val="Normal"/>
    <w:rsid w:val="000762B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0762B7"/>
    <w:pPr>
      <w:numPr>
        <w:numId w:val="13"/>
      </w:numPr>
    </w:pPr>
  </w:style>
  <w:style w:type="paragraph" w:customStyle="1" w:styleId="l-alfaliste4">
    <w:name w:val="l-alfaliste 4"/>
    <w:basedOn w:val="alfaliste4"/>
    <w:qFormat/>
    <w:rsid w:val="000762B7"/>
    <w:pPr>
      <w:numPr>
        <w:numId w:val="13"/>
      </w:numPr>
    </w:pPr>
  </w:style>
  <w:style w:type="paragraph" w:customStyle="1" w:styleId="l-alfaliste5">
    <w:name w:val="l-alfaliste 5"/>
    <w:basedOn w:val="alfaliste5"/>
    <w:qFormat/>
    <w:rsid w:val="000762B7"/>
    <w:pPr>
      <w:numPr>
        <w:numId w:val="13"/>
      </w:numPr>
    </w:pPr>
  </w:style>
  <w:style w:type="paragraph" w:customStyle="1" w:styleId="avsnitt-under-undertittel">
    <w:name w:val="avsnitt-under-undertittel"/>
    <w:basedOn w:val="Normal"/>
    <w:next w:val="Normal"/>
    <w:rsid w:val="000762B7"/>
    <w:pPr>
      <w:keepNext/>
      <w:keepLines/>
      <w:spacing w:before="360" w:line="240" w:lineRule="auto"/>
    </w:pPr>
    <w:rPr>
      <w:rFonts w:eastAsia="Batang"/>
      <w:i/>
      <w:spacing w:val="0"/>
      <w:szCs w:val="20"/>
    </w:rPr>
  </w:style>
  <w:style w:type="paragraph" w:customStyle="1" w:styleId="blokksit">
    <w:name w:val="blokksit"/>
    <w:basedOn w:val="Normal"/>
    <w:qFormat/>
    <w:rsid w:val="000762B7"/>
    <w:pPr>
      <w:spacing w:line="240" w:lineRule="auto"/>
      <w:ind w:left="397"/>
    </w:pPr>
    <w:rPr>
      <w:rFonts w:ascii="Times" w:hAnsi="Times"/>
      <w:spacing w:val="-2"/>
    </w:rPr>
  </w:style>
  <w:style w:type="paragraph" w:customStyle="1" w:styleId="l-paragraf">
    <w:name w:val="l-paragraf"/>
    <w:basedOn w:val="Normal"/>
    <w:next w:val="Normal"/>
    <w:rsid w:val="000762B7"/>
    <w:pPr>
      <w:spacing w:before="180" w:after="0"/>
    </w:pPr>
    <w:rPr>
      <w:rFonts w:ascii="Times" w:hAnsi="Times"/>
      <w:i/>
    </w:rPr>
  </w:style>
  <w:style w:type="paragraph" w:customStyle="1" w:styleId="l-ledd">
    <w:name w:val="l-ledd"/>
    <w:basedOn w:val="Normal"/>
    <w:qFormat/>
    <w:rsid w:val="000762B7"/>
    <w:pPr>
      <w:spacing w:after="0"/>
      <w:ind w:firstLine="397"/>
    </w:pPr>
    <w:rPr>
      <w:rFonts w:ascii="Times" w:hAnsi="Times"/>
    </w:rPr>
  </w:style>
  <w:style w:type="paragraph" w:customStyle="1" w:styleId="l-tit-endr-paragraf">
    <w:name w:val="l-tit-endr-paragraf"/>
    <w:basedOn w:val="Normal"/>
    <w:qFormat/>
    <w:rsid w:val="000762B7"/>
    <w:pPr>
      <w:keepNext/>
      <w:spacing w:before="240" w:after="0" w:line="240" w:lineRule="auto"/>
    </w:pPr>
    <w:rPr>
      <w:rFonts w:ascii="Times" w:hAnsi="Times"/>
      <w:noProof/>
      <w:lang w:val="nn-NO"/>
    </w:rPr>
  </w:style>
  <w:style w:type="paragraph" w:customStyle="1" w:styleId="tittel-ramme">
    <w:name w:val="tittel-ramme"/>
    <w:basedOn w:val="Normal"/>
    <w:next w:val="Normal"/>
    <w:rsid w:val="000762B7"/>
    <w:pPr>
      <w:keepNext/>
      <w:keepLines/>
      <w:numPr>
        <w:ilvl w:val="7"/>
        <w:numId w:val="20"/>
      </w:numPr>
      <w:spacing w:before="360" w:after="80"/>
      <w:jc w:val="center"/>
    </w:pPr>
    <w:rPr>
      <w:rFonts w:ascii="Arial" w:hAnsi="Arial"/>
      <w:b/>
    </w:rPr>
  </w:style>
  <w:style w:type="character" w:customStyle="1" w:styleId="BunntekstTegn">
    <w:name w:val="Bunntekst Tegn"/>
    <w:basedOn w:val="Standardskriftforavsnitt"/>
    <w:link w:val="Bunntekst"/>
    <w:rsid w:val="000762B7"/>
    <w:rPr>
      <w:rFonts w:ascii="Times New Roman" w:eastAsia="Times New Roman" w:hAnsi="Times New Roman"/>
      <w:spacing w:val="4"/>
      <w:sz w:val="20"/>
    </w:rPr>
  </w:style>
  <w:style w:type="character" w:customStyle="1" w:styleId="DatoTegn">
    <w:name w:val="Dato Tegn"/>
    <w:basedOn w:val="Standardskriftforavsnitt"/>
    <w:link w:val="Dato0"/>
    <w:rsid w:val="000762B7"/>
    <w:rPr>
      <w:rFonts w:ascii="Times New Roman" w:eastAsia="Times New Roman" w:hAnsi="Times New Roman"/>
      <w:spacing w:val="4"/>
      <w:sz w:val="24"/>
    </w:rPr>
  </w:style>
  <w:style w:type="character" w:styleId="Fotnotereferanse">
    <w:name w:val="footnote reference"/>
    <w:basedOn w:val="Standardskriftforavsnitt"/>
    <w:rsid w:val="000762B7"/>
    <w:rPr>
      <w:vertAlign w:val="superscript"/>
    </w:rPr>
  </w:style>
  <w:style w:type="character" w:customStyle="1" w:styleId="gjennomstreket">
    <w:name w:val="gjennomstreket"/>
    <w:uiPriority w:val="1"/>
    <w:rsid w:val="000762B7"/>
    <w:rPr>
      <w:strike/>
      <w:dstrike w:val="0"/>
    </w:rPr>
  </w:style>
  <w:style w:type="character" w:customStyle="1" w:styleId="halvfet">
    <w:name w:val="halvfet"/>
    <w:basedOn w:val="Standardskriftforavsnitt"/>
    <w:rsid w:val="000762B7"/>
    <w:rPr>
      <w:b/>
    </w:rPr>
  </w:style>
  <w:style w:type="character" w:styleId="Hyperkobling">
    <w:name w:val="Hyperlink"/>
    <w:basedOn w:val="Standardskriftforavsnitt"/>
    <w:uiPriority w:val="99"/>
    <w:unhideWhenUsed/>
    <w:rsid w:val="000762B7"/>
    <w:rPr>
      <w:color w:val="0000FF" w:themeColor="hyperlink"/>
      <w:u w:val="single"/>
    </w:rPr>
  </w:style>
  <w:style w:type="character" w:customStyle="1" w:styleId="kursiv">
    <w:name w:val="kursiv"/>
    <w:basedOn w:val="Standardskriftforavsnitt"/>
    <w:rsid w:val="000762B7"/>
    <w:rPr>
      <w:i/>
    </w:rPr>
  </w:style>
  <w:style w:type="character" w:customStyle="1" w:styleId="l-endring">
    <w:name w:val="l-endring"/>
    <w:basedOn w:val="Standardskriftforavsnitt"/>
    <w:rsid w:val="000762B7"/>
    <w:rPr>
      <w:i/>
    </w:rPr>
  </w:style>
  <w:style w:type="character" w:styleId="Sidetall">
    <w:name w:val="page number"/>
    <w:basedOn w:val="Standardskriftforavsnitt"/>
    <w:rsid w:val="000762B7"/>
  </w:style>
  <w:style w:type="character" w:styleId="Plassholdertekst">
    <w:name w:val="Placeholder Text"/>
    <w:basedOn w:val="Standardskriftforavsnitt"/>
    <w:uiPriority w:val="99"/>
    <w:rsid w:val="000762B7"/>
    <w:rPr>
      <w:color w:val="808080"/>
    </w:rPr>
  </w:style>
  <w:style w:type="character" w:customStyle="1" w:styleId="regular">
    <w:name w:val="regular"/>
    <w:basedOn w:val="Standardskriftforavsnitt"/>
    <w:uiPriority w:val="1"/>
    <w:qFormat/>
    <w:rsid w:val="000762B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0762B7"/>
    <w:rPr>
      <w:vertAlign w:val="superscript"/>
    </w:rPr>
  </w:style>
  <w:style w:type="character" w:customStyle="1" w:styleId="skrift-senket">
    <w:name w:val="skrift-senket"/>
    <w:basedOn w:val="Standardskriftforavsnitt"/>
    <w:rsid w:val="000762B7"/>
    <w:rPr>
      <w:vertAlign w:val="subscript"/>
    </w:rPr>
  </w:style>
  <w:style w:type="character" w:customStyle="1" w:styleId="SluttnotetekstTegn">
    <w:name w:val="Sluttnotetekst Tegn"/>
    <w:basedOn w:val="Standardskriftforavsnitt"/>
    <w:link w:val="Sluttnotetekst"/>
    <w:uiPriority w:val="99"/>
    <w:semiHidden/>
    <w:rsid w:val="000762B7"/>
    <w:rPr>
      <w:rFonts w:ascii="Times New Roman" w:eastAsia="Times New Roman" w:hAnsi="Times New Roman"/>
      <w:spacing w:val="4"/>
      <w:sz w:val="20"/>
      <w:szCs w:val="20"/>
    </w:rPr>
  </w:style>
  <w:style w:type="character" w:customStyle="1" w:styleId="sperret">
    <w:name w:val="sperret"/>
    <w:basedOn w:val="Standardskriftforavsnitt"/>
    <w:rsid w:val="000762B7"/>
    <w:rPr>
      <w:spacing w:val="30"/>
    </w:rPr>
  </w:style>
  <w:style w:type="character" w:customStyle="1" w:styleId="SterktsitatTegn">
    <w:name w:val="Sterkt sitat Tegn"/>
    <w:basedOn w:val="Standardskriftforavsnitt"/>
    <w:link w:val="Sterktsitat"/>
    <w:uiPriority w:val="30"/>
    <w:rsid w:val="000762B7"/>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0762B7"/>
    <w:rPr>
      <w:color w:val="0000FF"/>
    </w:rPr>
  </w:style>
  <w:style w:type="character" w:styleId="Sterk">
    <w:name w:val="Strong"/>
    <w:basedOn w:val="Standardskriftforavsnitt"/>
    <w:uiPriority w:val="22"/>
    <w:qFormat/>
    <w:rsid w:val="000762B7"/>
    <w:rPr>
      <w:b/>
      <w:bCs/>
    </w:rPr>
  </w:style>
  <w:style w:type="character" w:customStyle="1" w:styleId="TopptekstTegn">
    <w:name w:val="Topptekst Tegn"/>
    <w:basedOn w:val="Standardskriftforavsnitt"/>
    <w:link w:val="Topptekst"/>
    <w:rsid w:val="000762B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762B7"/>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0762B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62B7"/>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0762B7"/>
    <w:rPr>
      <w:rFonts w:ascii="Arial" w:eastAsia="Times New Roman" w:hAnsi="Arial"/>
      <w:i/>
      <w:spacing w:val="4"/>
    </w:rPr>
  </w:style>
  <w:style w:type="character" w:customStyle="1" w:styleId="Overskrift7Tegn">
    <w:name w:val="Overskrift 7 Tegn"/>
    <w:basedOn w:val="Standardskriftforavsnitt"/>
    <w:link w:val="Overskrift7"/>
    <w:rsid w:val="000762B7"/>
    <w:rPr>
      <w:rFonts w:ascii="Arial" w:eastAsia="Times New Roman" w:hAnsi="Arial"/>
      <w:spacing w:val="4"/>
      <w:sz w:val="24"/>
    </w:rPr>
  </w:style>
  <w:style w:type="character" w:customStyle="1" w:styleId="Overskrift8Tegn">
    <w:name w:val="Overskrift 8 Tegn"/>
    <w:basedOn w:val="Standardskriftforavsnitt"/>
    <w:link w:val="Overskrift8"/>
    <w:rsid w:val="000762B7"/>
    <w:rPr>
      <w:rFonts w:ascii="Arial" w:eastAsia="Times New Roman" w:hAnsi="Arial"/>
      <w:i/>
      <w:spacing w:val="4"/>
      <w:sz w:val="24"/>
    </w:rPr>
  </w:style>
  <w:style w:type="character" w:customStyle="1" w:styleId="Overskrift9Tegn">
    <w:name w:val="Overskrift 9 Tegn"/>
    <w:basedOn w:val="Standardskriftforavsnitt"/>
    <w:link w:val="Overskrift9"/>
    <w:rsid w:val="000762B7"/>
    <w:rPr>
      <w:rFonts w:ascii="Arial" w:eastAsia="Times New Roman" w:hAnsi="Arial"/>
      <w:i/>
      <w:spacing w:val="4"/>
      <w:sz w:val="18"/>
    </w:rPr>
  </w:style>
  <w:style w:type="table" w:customStyle="1" w:styleId="Tabell-VM">
    <w:name w:val="Tabell-VM"/>
    <w:basedOn w:val="Tabelltemaer"/>
    <w:uiPriority w:val="99"/>
    <w:qFormat/>
    <w:rsid w:val="000762B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0762B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762B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0762B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762B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0762B7"/>
    <w:pPr>
      <w:tabs>
        <w:tab w:val="center" w:pos="4153"/>
        <w:tab w:val="right" w:pos="8306"/>
      </w:tabs>
    </w:pPr>
    <w:rPr>
      <w:sz w:val="20"/>
    </w:rPr>
  </w:style>
  <w:style w:type="paragraph" w:styleId="INNH1">
    <w:name w:val="toc 1"/>
    <w:basedOn w:val="Normal"/>
    <w:next w:val="Normal"/>
    <w:rsid w:val="000762B7"/>
    <w:pPr>
      <w:tabs>
        <w:tab w:val="right" w:leader="dot" w:pos="8306"/>
      </w:tabs>
    </w:pPr>
    <w:rPr>
      <w:spacing w:val="0"/>
    </w:rPr>
  </w:style>
  <w:style w:type="paragraph" w:styleId="INNH2">
    <w:name w:val="toc 2"/>
    <w:basedOn w:val="Normal"/>
    <w:next w:val="Normal"/>
    <w:rsid w:val="000762B7"/>
    <w:pPr>
      <w:tabs>
        <w:tab w:val="right" w:leader="dot" w:pos="8306"/>
      </w:tabs>
      <w:ind w:left="200"/>
    </w:pPr>
    <w:rPr>
      <w:spacing w:val="0"/>
    </w:rPr>
  </w:style>
  <w:style w:type="paragraph" w:styleId="INNH3">
    <w:name w:val="toc 3"/>
    <w:basedOn w:val="Normal"/>
    <w:next w:val="Normal"/>
    <w:rsid w:val="000762B7"/>
    <w:pPr>
      <w:tabs>
        <w:tab w:val="right" w:leader="dot" w:pos="8306"/>
      </w:tabs>
      <w:ind w:left="400"/>
    </w:pPr>
    <w:rPr>
      <w:spacing w:val="0"/>
    </w:rPr>
  </w:style>
  <w:style w:type="paragraph" w:styleId="INNH4">
    <w:name w:val="toc 4"/>
    <w:basedOn w:val="Normal"/>
    <w:next w:val="Normal"/>
    <w:rsid w:val="000762B7"/>
    <w:pPr>
      <w:tabs>
        <w:tab w:val="right" w:leader="dot" w:pos="8306"/>
      </w:tabs>
      <w:ind w:left="600"/>
    </w:pPr>
    <w:rPr>
      <w:spacing w:val="0"/>
    </w:rPr>
  </w:style>
  <w:style w:type="paragraph" w:styleId="INNH5">
    <w:name w:val="toc 5"/>
    <w:basedOn w:val="Normal"/>
    <w:next w:val="Normal"/>
    <w:rsid w:val="000762B7"/>
    <w:pPr>
      <w:tabs>
        <w:tab w:val="right" w:leader="dot" w:pos="8306"/>
      </w:tabs>
      <w:ind w:left="800"/>
    </w:pPr>
    <w:rPr>
      <w:spacing w:val="0"/>
    </w:rPr>
  </w:style>
  <w:style w:type="character" w:styleId="Merknadsreferanse">
    <w:name w:val="annotation reference"/>
    <w:basedOn w:val="Standardskriftforavsnitt"/>
    <w:rsid w:val="000762B7"/>
    <w:rPr>
      <w:sz w:val="16"/>
    </w:rPr>
  </w:style>
  <w:style w:type="paragraph" w:styleId="Merknadstekst">
    <w:name w:val="annotation text"/>
    <w:basedOn w:val="Normal"/>
    <w:link w:val="MerknadstekstTegn"/>
    <w:rsid w:val="000762B7"/>
    <w:rPr>
      <w:spacing w:val="0"/>
      <w:sz w:val="20"/>
    </w:rPr>
  </w:style>
  <w:style w:type="character" w:customStyle="1" w:styleId="MerknadstekstTegn">
    <w:name w:val="Merknadstekst Tegn"/>
    <w:basedOn w:val="Standardskriftforavsnitt"/>
    <w:link w:val="Merknadstekst"/>
    <w:rsid w:val="000762B7"/>
    <w:rPr>
      <w:rFonts w:ascii="Times New Roman" w:eastAsia="Times New Roman" w:hAnsi="Times New Roman"/>
      <w:sz w:val="20"/>
    </w:rPr>
  </w:style>
  <w:style w:type="paragraph" w:styleId="Punktmerketliste">
    <w:name w:val="List Bullet"/>
    <w:basedOn w:val="Normal"/>
    <w:rsid w:val="000762B7"/>
    <w:pPr>
      <w:spacing w:after="0"/>
      <w:ind w:left="284" w:hanging="284"/>
    </w:pPr>
  </w:style>
  <w:style w:type="paragraph" w:styleId="Punktmerketliste2">
    <w:name w:val="List Bullet 2"/>
    <w:basedOn w:val="Normal"/>
    <w:rsid w:val="000762B7"/>
    <w:pPr>
      <w:spacing w:after="0"/>
      <w:ind w:left="568" w:hanging="284"/>
    </w:pPr>
  </w:style>
  <w:style w:type="paragraph" w:styleId="Punktmerketliste3">
    <w:name w:val="List Bullet 3"/>
    <w:basedOn w:val="Normal"/>
    <w:rsid w:val="000762B7"/>
    <w:pPr>
      <w:spacing w:after="0"/>
      <w:ind w:left="851" w:hanging="284"/>
    </w:pPr>
  </w:style>
  <w:style w:type="paragraph" w:styleId="Punktmerketliste4">
    <w:name w:val="List Bullet 4"/>
    <w:basedOn w:val="Normal"/>
    <w:rsid w:val="000762B7"/>
    <w:pPr>
      <w:spacing w:after="0"/>
      <w:ind w:left="1135" w:hanging="284"/>
    </w:pPr>
    <w:rPr>
      <w:spacing w:val="0"/>
    </w:rPr>
  </w:style>
  <w:style w:type="paragraph" w:styleId="Punktmerketliste5">
    <w:name w:val="List Bullet 5"/>
    <w:basedOn w:val="Normal"/>
    <w:rsid w:val="000762B7"/>
    <w:pPr>
      <w:spacing w:after="0"/>
      <w:ind w:left="1418" w:hanging="284"/>
    </w:pPr>
    <w:rPr>
      <w:spacing w:val="0"/>
    </w:rPr>
  </w:style>
  <w:style w:type="paragraph" w:styleId="Topptekst">
    <w:name w:val="header"/>
    <w:basedOn w:val="Normal"/>
    <w:link w:val="TopptekstTegn"/>
    <w:rsid w:val="000762B7"/>
    <w:pPr>
      <w:tabs>
        <w:tab w:val="center" w:pos="4536"/>
        <w:tab w:val="right" w:pos="9072"/>
      </w:tabs>
    </w:pPr>
    <w:rPr>
      <w:spacing w:val="0"/>
      <w:sz w:val="20"/>
    </w:rPr>
  </w:style>
  <w:style w:type="table" w:customStyle="1" w:styleId="StandardTabell">
    <w:name w:val="StandardTabell"/>
    <w:basedOn w:val="Vanligtabell"/>
    <w:uiPriority w:val="99"/>
    <w:qFormat/>
    <w:rsid w:val="000762B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762B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762B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762B7"/>
    <w:pPr>
      <w:spacing w:after="0" w:line="240" w:lineRule="auto"/>
      <w:ind w:left="240" w:hanging="240"/>
    </w:pPr>
  </w:style>
  <w:style w:type="paragraph" w:styleId="Indeks2">
    <w:name w:val="index 2"/>
    <w:basedOn w:val="Normal"/>
    <w:next w:val="Normal"/>
    <w:autoRedefine/>
    <w:uiPriority w:val="99"/>
    <w:semiHidden/>
    <w:unhideWhenUsed/>
    <w:rsid w:val="000762B7"/>
    <w:pPr>
      <w:spacing w:after="0" w:line="240" w:lineRule="auto"/>
      <w:ind w:left="480" w:hanging="240"/>
    </w:pPr>
  </w:style>
  <w:style w:type="paragraph" w:styleId="Indeks3">
    <w:name w:val="index 3"/>
    <w:basedOn w:val="Normal"/>
    <w:next w:val="Normal"/>
    <w:autoRedefine/>
    <w:uiPriority w:val="99"/>
    <w:semiHidden/>
    <w:unhideWhenUsed/>
    <w:rsid w:val="000762B7"/>
    <w:pPr>
      <w:spacing w:after="0" w:line="240" w:lineRule="auto"/>
      <w:ind w:left="720" w:hanging="240"/>
    </w:pPr>
  </w:style>
  <w:style w:type="paragraph" w:styleId="Indeks4">
    <w:name w:val="index 4"/>
    <w:basedOn w:val="Normal"/>
    <w:next w:val="Normal"/>
    <w:autoRedefine/>
    <w:uiPriority w:val="99"/>
    <w:semiHidden/>
    <w:unhideWhenUsed/>
    <w:rsid w:val="000762B7"/>
    <w:pPr>
      <w:spacing w:after="0" w:line="240" w:lineRule="auto"/>
      <w:ind w:left="960" w:hanging="240"/>
    </w:pPr>
  </w:style>
  <w:style w:type="paragraph" w:styleId="Indeks5">
    <w:name w:val="index 5"/>
    <w:basedOn w:val="Normal"/>
    <w:next w:val="Normal"/>
    <w:autoRedefine/>
    <w:uiPriority w:val="99"/>
    <w:semiHidden/>
    <w:unhideWhenUsed/>
    <w:rsid w:val="000762B7"/>
    <w:pPr>
      <w:spacing w:after="0" w:line="240" w:lineRule="auto"/>
      <w:ind w:left="1200" w:hanging="240"/>
    </w:pPr>
  </w:style>
  <w:style w:type="paragraph" w:styleId="Indeks6">
    <w:name w:val="index 6"/>
    <w:basedOn w:val="Normal"/>
    <w:next w:val="Normal"/>
    <w:autoRedefine/>
    <w:uiPriority w:val="99"/>
    <w:semiHidden/>
    <w:unhideWhenUsed/>
    <w:rsid w:val="000762B7"/>
    <w:pPr>
      <w:spacing w:after="0" w:line="240" w:lineRule="auto"/>
      <w:ind w:left="1440" w:hanging="240"/>
    </w:pPr>
  </w:style>
  <w:style w:type="paragraph" w:styleId="Indeks7">
    <w:name w:val="index 7"/>
    <w:basedOn w:val="Normal"/>
    <w:next w:val="Normal"/>
    <w:autoRedefine/>
    <w:uiPriority w:val="99"/>
    <w:semiHidden/>
    <w:unhideWhenUsed/>
    <w:rsid w:val="000762B7"/>
    <w:pPr>
      <w:spacing w:after="0" w:line="240" w:lineRule="auto"/>
      <w:ind w:left="1680" w:hanging="240"/>
    </w:pPr>
  </w:style>
  <w:style w:type="paragraph" w:styleId="Indeks8">
    <w:name w:val="index 8"/>
    <w:basedOn w:val="Normal"/>
    <w:next w:val="Normal"/>
    <w:autoRedefine/>
    <w:uiPriority w:val="99"/>
    <w:semiHidden/>
    <w:unhideWhenUsed/>
    <w:rsid w:val="000762B7"/>
    <w:pPr>
      <w:spacing w:after="0" w:line="240" w:lineRule="auto"/>
      <w:ind w:left="1920" w:hanging="240"/>
    </w:pPr>
  </w:style>
  <w:style w:type="paragraph" w:styleId="Indeks9">
    <w:name w:val="index 9"/>
    <w:basedOn w:val="Normal"/>
    <w:next w:val="Normal"/>
    <w:autoRedefine/>
    <w:uiPriority w:val="99"/>
    <w:semiHidden/>
    <w:unhideWhenUsed/>
    <w:rsid w:val="000762B7"/>
    <w:pPr>
      <w:spacing w:after="0" w:line="240" w:lineRule="auto"/>
      <w:ind w:left="2160" w:hanging="240"/>
    </w:pPr>
  </w:style>
  <w:style w:type="paragraph" w:styleId="INNH6">
    <w:name w:val="toc 6"/>
    <w:basedOn w:val="Normal"/>
    <w:next w:val="Normal"/>
    <w:autoRedefine/>
    <w:uiPriority w:val="39"/>
    <w:semiHidden/>
    <w:unhideWhenUsed/>
    <w:rsid w:val="000762B7"/>
    <w:pPr>
      <w:spacing w:after="100"/>
      <w:ind w:left="1200"/>
    </w:pPr>
  </w:style>
  <w:style w:type="paragraph" w:styleId="INNH7">
    <w:name w:val="toc 7"/>
    <w:basedOn w:val="Normal"/>
    <w:next w:val="Normal"/>
    <w:autoRedefine/>
    <w:uiPriority w:val="39"/>
    <w:semiHidden/>
    <w:unhideWhenUsed/>
    <w:rsid w:val="000762B7"/>
    <w:pPr>
      <w:spacing w:after="100"/>
      <w:ind w:left="1440"/>
    </w:pPr>
  </w:style>
  <w:style w:type="paragraph" w:styleId="INNH8">
    <w:name w:val="toc 8"/>
    <w:basedOn w:val="Normal"/>
    <w:next w:val="Normal"/>
    <w:autoRedefine/>
    <w:uiPriority w:val="39"/>
    <w:semiHidden/>
    <w:unhideWhenUsed/>
    <w:rsid w:val="000762B7"/>
    <w:pPr>
      <w:spacing w:after="100"/>
      <w:ind w:left="1680"/>
    </w:pPr>
  </w:style>
  <w:style w:type="paragraph" w:styleId="INNH9">
    <w:name w:val="toc 9"/>
    <w:basedOn w:val="Normal"/>
    <w:next w:val="Normal"/>
    <w:autoRedefine/>
    <w:uiPriority w:val="39"/>
    <w:semiHidden/>
    <w:unhideWhenUsed/>
    <w:rsid w:val="000762B7"/>
    <w:pPr>
      <w:spacing w:after="100"/>
      <w:ind w:left="1920"/>
    </w:pPr>
  </w:style>
  <w:style w:type="paragraph" w:styleId="Vanliginnrykk">
    <w:name w:val="Normal Indent"/>
    <w:basedOn w:val="Normal"/>
    <w:uiPriority w:val="99"/>
    <w:semiHidden/>
    <w:unhideWhenUsed/>
    <w:rsid w:val="000762B7"/>
    <w:pPr>
      <w:ind w:left="708"/>
    </w:pPr>
  </w:style>
  <w:style w:type="paragraph" w:styleId="Stikkordregisteroverskrift">
    <w:name w:val="index heading"/>
    <w:basedOn w:val="Normal"/>
    <w:next w:val="Indeks1"/>
    <w:uiPriority w:val="99"/>
    <w:semiHidden/>
    <w:unhideWhenUsed/>
    <w:rsid w:val="000762B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762B7"/>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0762B7"/>
    <w:pPr>
      <w:spacing w:after="0"/>
    </w:pPr>
  </w:style>
  <w:style w:type="paragraph" w:styleId="Konvoluttadresse">
    <w:name w:val="envelope address"/>
    <w:basedOn w:val="Normal"/>
    <w:uiPriority w:val="99"/>
    <w:semiHidden/>
    <w:unhideWhenUsed/>
    <w:rsid w:val="000762B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762B7"/>
  </w:style>
  <w:style w:type="character" w:styleId="Sluttnotereferanse">
    <w:name w:val="endnote reference"/>
    <w:basedOn w:val="Standardskriftforavsnitt"/>
    <w:uiPriority w:val="99"/>
    <w:semiHidden/>
    <w:unhideWhenUsed/>
    <w:rsid w:val="000762B7"/>
    <w:rPr>
      <w:vertAlign w:val="superscript"/>
    </w:rPr>
  </w:style>
  <w:style w:type="paragraph" w:styleId="Sluttnotetekst">
    <w:name w:val="endnote text"/>
    <w:basedOn w:val="Normal"/>
    <w:link w:val="SluttnotetekstTegn"/>
    <w:uiPriority w:val="99"/>
    <w:semiHidden/>
    <w:unhideWhenUsed/>
    <w:rsid w:val="000762B7"/>
    <w:pPr>
      <w:spacing w:after="0" w:line="240" w:lineRule="auto"/>
    </w:pPr>
    <w:rPr>
      <w:sz w:val="20"/>
      <w:szCs w:val="20"/>
    </w:rPr>
  </w:style>
  <w:style w:type="paragraph" w:styleId="Kildeliste">
    <w:name w:val="table of authorities"/>
    <w:basedOn w:val="Normal"/>
    <w:next w:val="Normal"/>
    <w:uiPriority w:val="99"/>
    <w:semiHidden/>
    <w:unhideWhenUsed/>
    <w:rsid w:val="000762B7"/>
    <w:pPr>
      <w:spacing w:after="0"/>
      <w:ind w:left="240" w:hanging="240"/>
    </w:pPr>
  </w:style>
  <w:style w:type="paragraph" w:styleId="Makrotekst">
    <w:name w:val="macro"/>
    <w:link w:val="MakrotekstTegn"/>
    <w:uiPriority w:val="99"/>
    <w:semiHidden/>
    <w:unhideWhenUsed/>
    <w:rsid w:val="000762B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762B7"/>
    <w:rPr>
      <w:rFonts w:ascii="Consolas" w:eastAsia="Times New Roman" w:hAnsi="Consolas"/>
      <w:spacing w:val="4"/>
    </w:rPr>
  </w:style>
  <w:style w:type="paragraph" w:styleId="Kildelisteoverskrift">
    <w:name w:val="toa heading"/>
    <w:basedOn w:val="Normal"/>
    <w:next w:val="Normal"/>
    <w:uiPriority w:val="99"/>
    <w:semiHidden/>
    <w:unhideWhenUsed/>
    <w:rsid w:val="000762B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762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0762B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0762B7"/>
    <w:pPr>
      <w:spacing w:after="0" w:line="240" w:lineRule="auto"/>
      <w:ind w:left="4252"/>
    </w:pPr>
  </w:style>
  <w:style w:type="character" w:customStyle="1" w:styleId="HilsenTegn">
    <w:name w:val="Hilsen Tegn"/>
    <w:basedOn w:val="Standardskriftforavsnitt"/>
    <w:link w:val="Hilsen"/>
    <w:uiPriority w:val="99"/>
    <w:semiHidden/>
    <w:rsid w:val="000762B7"/>
    <w:rPr>
      <w:rFonts w:ascii="Times New Roman" w:eastAsia="Times New Roman" w:hAnsi="Times New Roman"/>
      <w:spacing w:val="4"/>
      <w:sz w:val="24"/>
    </w:rPr>
  </w:style>
  <w:style w:type="paragraph" w:styleId="Underskrift">
    <w:name w:val="Signature"/>
    <w:basedOn w:val="Normal"/>
    <w:link w:val="UnderskriftTegn"/>
    <w:uiPriority w:val="99"/>
    <w:unhideWhenUsed/>
    <w:rsid w:val="000762B7"/>
    <w:pPr>
      <w:spacing w:after="0" w:line="240" w:lineRule="auto"/>
      <w:ind w:left="4252"/>
    </w:pPr>
  </w:style>
  <w:style w:type="paragraph" w:styleId="Liste-forts">
    <w:name w:val="List Continue"/>
    <w:basedOn w:val="Normal"/>
    <w:uiPriority w:val="99"/>
    <w:semiHidden/>
    <w:unhideWhenUsed/>
    <w:rsid w:val="000762B7"/>
    <w:pPr>
      <w:ind w:left="283"/>
      <w:contextualSpacing/>
    </w:pPr>
  </w:style>
  <w:style w:type="paragraph" w:styleId="Liste-forts2">
    <w:name w:val="List Continue 2"/>
    <w:basedOn w:val="Normal"/>
    <w:uiPriority w:val="99"/>
    <w:semiHidden/>
    <w:unhideWhenUsed/>
    <w:rsid w:val="000762B7"/>
    <w:pPr>
      <w:ind w:left="566"/>
      <w:contextualSpacing/>
    </w:pPr>
  </w:style>
  <w:style w:type="paragraph" w:styleId="Liste-forts3">
    <w:name w:val="List Continue 3"/>
    <w:basedOn w:val="Normal"/>
    <w:uiPriority w:val="99"/>
    <w:semiHidden/>
    <w:unhideWhenUsed/>
    <w:rsid w:val="000762B7"/>
    <w:pPr>
      <w:ind w:left="849"/>
      <w:contextualSpacing/>
    </w:pPr>
  </w:style>
  <w:style w:type="paragraph" w:styleId="Liste-forts4">
    <w:name w:val="List Continue 4"/>
    <w:basedOn w:val="Normal"/>
    <w:uiPriority w:val="99"/>
    <w:semiHidden/>
    <w:unhideWhenUsed/>
    <w:rsid w:val="000762B7"/>
    <w:pPr>
      <w:ind w:left="1132"/>
      <w:contextualSpacing/>
    </w:pPr>
  </w:style>
  <w:style w:type="paragraph" w:styleId="Liste-forts5">
    <w:name w:val="List Continue 5"/>
    <w:basedOn w:val="Normal"/>
    <w:uiPriority w:val="99"/>
    <w:semiHidden/>
    <w:unhideWhenUsed/>
    <w:rsid w:val="000762B7"/>
    <w:pPr>
      <w:ind w:left="1415"/>
      <w:contextualSpacing/>
    </w:pPr>
  </w:style>
  <w:style w:type="paragraph" w:styleId="Meldingshode">
    <w:name w:val="Message Header"/>
    <w:basedOn w:val="Normal"/>
    <w:link w:val="MeldingshodeTegn"/>
    <w:uiPriority w:val="99"/>
    <w:semiHidden/>
    <w:unhideWhenUsed/>
    <w:rsid w:val="000762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762B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762B7"/>
  </w:style>
  <w:style w:type="character" w:customStyle="1" w:styleId="InnledendehilsenTegn">
    <w:name w:val="Innledende hilsen Tegn"/>
    <w:basedOn w:val="Standardskriftforavsnitt"/>
    <w:link w:val="Innledendehilsen"/>
    <w:uiPriority w:val="99"/>
    <w:semiHidden/>
    <w:rsid w:val="000762B7"/>
    <w:rPr>
      <w:rFonts w:ascii="Times New Roman" w:eastAsia="Times New Roman" w:hAnsi="Times New Roman"/>
      <w:spacing w:val="4"/>
      <w:sz w:val="24"/>
    </w:rPr>
  </w:style>
  <w:style w:type="paragraph" w:styleId="Dato0">
    <w:name w:val="Date"/>
    <w:basedOn w:val="Normal"/>
    <w:next w:val="Normal"/>
    <w:link w:val="DatoTegn"/>
    <w:rsid w:val="000762B7"/>
  </w:style>
  <w:style w:type="paragraph" w:styleId="Notatoverskrift">
    <w:name w:val="Note Heading"/>
    <w:basedOn w:val="Normal"/>
    <w:next w:val="Normal"/>
    <w:link w:val="NotatoverskriftTegn"/>
    <w:uiPriority w:val="99"/>
    <w:semiHidden/>
    <w:unhideWhenUsed/>
    <w:rsid w:val="000762B7"/>
    <w:pPr>
      <w:spacing w:after="0" w:line="240" w:lineRule="auto"/>
    </w:pPr>
  </w:style>
  <w:style w:type="character" w:customStyle="1" w:styleId="NotatoverskriftTegn">
    <w:name w:val="Notatoverskrift Tegn"/>
    <w:basedOn w:val="Standardskriftforavsnitt"/>
    <w:link w:val="Notatoverskrift"/>
    <w:uiPriority w:val="99"/>
    <w:semiHidden/>
    <w:rsid w:val="000762B7"/>
    <w:rPr>
      <w:rFonts w:ascii="Times New Roman" w:eastAsia="Times New Roman" w:hAnsi="Times New Roman"/>
      <w:spacing w:val="4"/>
      <w:sz w:val="24"/>
    </w:rPr>
  </w:style>
  <w:style w:type="paragraph" w:styleId="Blokktekst">
    <w:name w:val="Block Text"/>
    <w:basedOn w:val="Normal"/>
    <w:uiPriority w:val="99"/>
    <w:semiHidden/>
    <w:unhideWhenUsed/>
    <w:rsid w:val="000762B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0762B7"/>
    <w:rPr>
      <w:color w:val="800080" w:themeColor="followedHyperlink"/>
      <w:u w:val="single"/>
    </w:rPr>
  </w:style>
  <w:style w:type="character" w:styleId="Utheving">
    <w:name w:val="Emphasis"/>
    <w:basedOn w:val="Standardskriftforavsnitt"/>
    <w:uiPriority w:val="20"/>
    <w:qFormat/>
    <w:rsid w:val="000762B7"/>
    <w:rPr>
      <w:i/>
      <w:iCs/>
    </w:rPr>
  </w:style>
  <w:style w:type="paragraph" w:styleId="Dokumentkart">
    <w:name w:val="Document Map"/>
    <w:basedOn w:val="Normal"/>
    <w:link w:val="DokumentkartTegn"/>
    <w:uiPriority w:val="99"/>
    <w:semiHidden/>
    <w:rsid w:val="000762B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762B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762B7"/>
    <w:rPr>
      <w:rFonts w:ascii="Courier New" w:hAnsi="Courier New" w:cs="Courier New"/>
      <w:sz w:val="20"/>
    </w:rPr>
  </w:style>
  <w:style w:type="character" w:customStyle="1" w:styleId="RentekstTegn">
    <w:name w:val="Ren tekst Tegn"/>
    <w:basedOn w:val="Standardskriftforavsnitt"/>
    <w:link w:val="Rentekst"/>
    <w:uiPriority w:val="99"/>
    <w:semiHidden/>
    <w:rsid w:val="000762B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762B7"/>
    <w:pPr>
      <w:spacing w:after="0" w:line="240" w:lineRule="auto"/>
    </w:pPr>
  </w:style>
  <w:style w:type="character" w:customStyle="1" w:styleId="E-postsignaturTegn">
    <w:name w:val="E-postsignatur Tegn"/>
    <w:basedOn w:val="Standardskriftforavsnitt"/>
    <w:link w:val="E-postsignatur"/>
    <w:uiPriority w:val="99"/>
    <w:semiHidden/>
    <w:rsid w:val="000762B7"/>
    <w:rPr>
      <w:rFonts w:ascii="Times New Roman" w:eastAsia="Times New Roman" w:hAnsi="Times New Roman"/>
      <w:spacing w:val="4"/>
      <w:sz w:val="24"/>
    </w:rPr>
  </w:style>
  <w:style w:type="paragraph" w:styleId="NormalWeb">
    <w:name w:val="Normal (Web)"/>
    <w:basedOn w:val="Normal"/>
    <w:uiPriority w:val="99"/>
    <w:semiHidden/>
    <w:unhideWhenUsed/>
    <w:rsid w:val="000762B7"/>
    <w:rPr>
      <w:szCs w:val="24"/>
    </w:rPr>
  </w:style>
  <w:style w:type="character" w:styleId="HTML-akronym">
    <w:name w:val="HTML Acronym"/>
    <w:basedOn w:val="Standardskriftforavsnitt"/>
    <w:uiPriority w:val="99"/>
    <w:semiHidden/>
    <w:unhideWhenUsed/>
    <w:rsid w:val="000762B7"/>
  </w:style>
  <w:style w:type="paragraph" w:styleId="HTML-adresse">
    <w:name w:val="HTML Address"/>
    <w:basedOn w:val="Normal"/>
    <w:link w:val="HTML-adresseTegn"/>
    <w:uiPriority w:val="99"/>
    <w:semiHidden/>
    <w:unhideWhenUsed/>
    <w:rsid w:val="000762B7"/>
    <w:pPr>
      <w:spacing w:after="0" w:line="240" w:lineRule="auto"/>
    </w:pPr>
    <w:rPr>
      <w:i/>
      <w:iCs/>
    </w:rPr>
  </w:style>
  <w:style w:type="character" w:customStyle="1" w:styleId="HTML-adresseTegn">
    <w:name w:val="HTML-adresse Tegn"/>
    <w:basedOn w:val="Standardskriftforavsnitt"/>
    <w:link w:val="HTML-adresse"/>
    <w:uiPriority w:val="99"/>
    <w:semiHidden/>
    <w:rsid w:val="000762B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762B7"/>
    <w:rPr>
      <w:i/>
      <w:iCs/>
    </w:rPr>
  </w:style>
  <w:style w:type="character" w:styleId="HTML-kode">
    <w:name w:val="HTML Code"/>
    <w:basedOn w:val="Standardskriftforavsnitt"/>
    <w:uiPriority w:val="99"/>
    <w:semiHidden/>
    <w:unhideWhenUsed/>
    <w:rsid w:val="000762B7"/>
    <w:rPr>
      <w:rFonts w:ascii="Consolas" w:hAnsi="Consolas"/>
      <w:sz w:val="20"/>
      <w:szCs w:val="20"/>
    </w:rPr>
  </w:style>
  <w:style w:type="character" w:styleId="HTML-definisjon">
    <w:name w:val="HTML Definition"/>
    <w:basedOn w:val="Standardskriftforavsnitt"/>
    <w:uiPriority w:val="99"/>
    <w:semiHidden/>
    <w:unhideWhenUsed/>
    <w:rsid w:val="000762B7"/>
    <w:rPr>
      <w:i/>
      <w:iCs/>
    </w:rPr>
  </w:style>
  <w:style w:type="character" w:styleId="HTML-tastatur">
    <w:name w:val="HTML Keyboard"/>
    <w:basedOn w:val="Standardskriftforavsnitt"/>
    <w:uiPriority w:val="99"/>
    <w:semiHidden/>
    <w:unhideWhenUsed/>
    <w:rsid w:val="000762B7"/>
    <w:rPr>
      <w:rFonts w:ascii="Consolas" w:hAnsi="Consolas"/>
      <w:sz w:val="20"/>
      <w:szCs w:val="20"/>
    </w:rPr>
  </w:style>
  <w:style w:type="paragraph" w:styleId="HTML-forhndsformatert">
    <w:name w:val="HTML Preformatted"/>
    <w:basedOn w:val="Normal"/>
    <w:link w:val="HTML-forhndsformatertTegn"/>
    <w:uiPriority w:val="99"/>
    <w:semiHidden/>
    <w:unhideWhenUsed/>
    <w:rsid w:val="000762B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762B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762B7"/>
    <w:rPr>
      <w:rFonts w:ascii="Consolas" w:hAnsi="Consolas"/>
      <w:sz w:val="24"/>
      <w:szCs w:val="24"/>
    </w:rPr>
  </w:style>
  <w:style w:type="character" w:styleId="HTML-skrivemaskin">
    <w:name w:val="HTML Typewriter"/>
    <w:basedOn w:val="Standardskriftforavsnitt"/>
    <w:uiPriority w:val="99"/>
    <w:semiHidden/>
    <w:unhideWhenUsed/>
    <w:rsid w:val="000762B7"/>
    <w:rPr>
      <w:rFonts w:ascii="Consolas" w:hAnsi="Consolas"/>
      <w:sz w:val="20"/>
      <w:szCs w:val="20"/>
    </w:rPr>
  </w:style>
  <w:style w:type="character" w:styleId="HTML-variabel">
    <w:name w:val="HTML Variable"/>
    <w:basedOn w:val="Standardskriftforavsnitt"/>
    <w:uiPriority w:val="99"/>
    <w:semiHidden/>
    <w:unhideWhenUsed/>
    <w:rsid w:val="000762B7"/>
    <w:rPr>
      <w:i/>
      <w:iCs/>
    </w:rPr>
  </w:style>
  <w:style w:type="paragraph" w:styleId="Kommentaremne">
    <w:name w:val="annotation subject"/>
    <w:basedOn w:val="Merknadstekst"/>
    <w:next w:val="Merknadstekst"/>
    <w:link w:val="KommentaremneTegn"/>
    <w:uiPriority w:val="99"/>
    <w:semiHidden/>
    <w:unhideWhenUsed/>
    <w:rsid w:val="000762B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762B7"/>
    <w:rPr>
      <w:rFonts w:ascii="Times New Roman" w:eastAsia="Times New Roman" w:hAnsi="Times New Roman"/>
      <w:b/>
      <w:bCs/>
      <w:spacing w:val="4"/>
      <w:sz w:val="20"/>
      <w:szCs w:val="20"/>
    </w:rPr>
  </w:style>
  <w:style w:type="table" w:styleId="Tabellrutenett">
    <w:name w:val="Table Grid"/>
    <w:basedOn w:val="Vanligtabell"/>
    <w:uiPriority w:val="59"/>
    <w:rsid w:val="000762B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762B7"/>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762B7"/>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0762B7"/>
    <w:rPr>
      <w:i/>
      <w:iCs/>
      <w:color w:val="808080" w:themeColor="text1" w:themeTint="7F"/>
    </w:rPr>
  </w:style>
  <w:style w:type="character" w:styleId="Sterkutheving">
    <w:name w:val="Intense Emphasis"/>
    <w:basedOn w:val="Standardskriftforavsnitt"/>
    <w:uiPriority w:val="21"/>
    <w:qFormat/>
    <w:rsid w:val="000762B7"/>
    <w:rPr>
      <w:b/>
      <w:bCs/>
      <w:i/>
      <w:iCs/>
      <w:color w:val="4F81BD" w:themeColor="accent1"/>
    </w:rPr>
  </w:style>
  <w:style w:type="character" w:styleId="Svakreferanse">
    <w:name w:val="Subtle Reference"/>
    <w:basedOn w:val="Standardskriftforavsnitt"/>
    <w:uiPriority w:val="31"/>
    <w:qFormat/>
    <w:rsid w:val="000762B7"/>
    <w:rPr>
      <w:smallCaps/>
      <w:color w:val="C0504D" w:themeColor="accent2"/>
      <w:u w:val="single"/>
    </w:rPr>
  </w:style>
  <w:style w:type="character" w:styleId="Sterkreferanse">
    <w:name w:val="Intense Reference"/>
    <w:basedOn w:val="Standardskriftforavsnitt"/>
    <w:uiPriority w:val="32"/>
    <w:qFormat/>
    <w:rsid w:val="000762B7"/>
    <w:rPr>
      <w:b/>
      <w:bCs/>
      <w:smallCaps/>
      <w:color w:val="C0504D" w:themeColor="accent2"/>
      <w:spacing w:val="5"/>
      <w:u w:val="single"/>
    </w:rPr>
  </w:style>
  <w:style w:type="character" w:styleId="Boktittel">
    <w:name w:val="Book Title"/>
    <w:basedOn w:val="Standardskriftforavsnitt"/>
    <w:uiPriority w:val="33"/>
    <w:qFormat/>
    <w:rsid w:val="000762B7"/>
    <w:rPr>
      <w:b/>
      <w:bCs/>
      <w:smallCaps/>
      <w:spacing w:val="5"/>
    </w:rPr>
  </w:style>
  <w:style w:type="paragraph" w:styleId="Bibliografi">
    <w:name w:val="Bibliography"/>
    <w:basedOn w:val="Normal"/>
    <w:next w:val="Normal"/>
    <w:uiPriority w:val="37"/>
    <w:semiHidden/>
    <w:unhideWhenUsed/>
    <w:rsid w:val="000762B7"/>
  </w:style>
  <w:style w:type="paragraph" w:styleId="Overskriftforinnholdsfortegnelse">
    <w:name w:val="TOC Heading"/>
    <w:basedOn w:val="Overskrift1"/>
    <w:next w:val="Normal"/>
    <w:uiPriority w:val="39"/>
    <w:semiHidden/>
    <w:unhideWhenUsed/>
    <w:qFormat/>
    <w:rsid w:val="000762B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0762B7"/>
    <w:pPr>
      <w:numPr>
        <w:numId w:val="4"/>
      </w:numPr>
    </w:pPr>
  </w:style>
  <w:style w:type="numbering" w:customStyle="1" w:styleId="NrListeStil">
    <w:name w:val="NrListeStil"/>
    <w:uiPriority w:val="99"/>
    <w:rsid w:val="000762B7"/>
    <w:pPr>
      <w:numPr>
        <w:numId w:val="5"/>
      </w:numPr>
    </w:pPr>
  </w:style>
  <w:style w:type="numbering" w:customStyle="1" w:styleId="RomListeStil">
    <w:name w:val="RomListeStil"/>
    <w:uiPriority w:val="99"/>
    <w:rsid w:val="000762B7"/>
    <w:pPr>
      <w:numPr>
        <w:numId w:val="6"/>
      </w:numPr>
    </w:pPr>
  </w:style>
  <w:style w:type="numbering" w:customStyle="1" w:styleId="StrekListeStil">
    <w:name w:val="StrekListeStil"/>
    <w:uiPriority w:val="99"/>
    <w:rsid w:val="000762B7"/>
    <w:pPr>
      <w:numPr>
        <w:numId w:val="7"/>
      </w:numPr>
    </w:pPr>
  </w:style>
  <w:style w:type="numbering" w:customStyle="1" w:styleId="OpplistingListeStil">
    <w:name w:val="OpplistingListeStil"/>
    <w:uiPriority w:val="99"/>
    <w:rsid w:val="000762B7"/>
    <w:pPr>
      <w:numPr>
        <w:numId w:val="8"/>
      </w:numPr>
    </w:pPr>
  </w:style>
  <w:style w:type="numbering" w:customStyle="1" w:styleId="l-NummerertListeStil">
    <w:name w:val="l-NummerertListeStil"/>
    <w:uiPriority w:val="99"/>
    <w:rsid w:val="000762B7"/>
    <w:pPr>
      <w:numPr>
        <w:numId w:val="9"/>
      </w:numPr>
    </w:pPr>
  </w:style>
  <w:style w:type="numbering" w:customStyle="1" w:styleId="l-AlfaListeStil">
    <w:name w:val="l-AlfaListeStil"/>
    <w:uiPriority w:val="99"/>
    <w:rsid w:val="000762B7"/>
    <w:pPr>
      <w:numPr>
        <w:numId w:val="10"/>
      </w:numPr>
    </w:pPr>
  </w:style>
  <w:style w:type="numbering" w:customStyle="1" w:styleId="OverskrifterListeStil">
    <w:name w:val="OverskrifterListeStil"/>
    <w:uiPriority w:val="99"/>
    <w:rsid w:val="000762B7"/>
    <w:pPr>
      <w:numPr>
        <w:numId w:val="11"/>
      </w:numPr>
    </w:pPr>
  </w:style>
  <w:style w:type="numbering" w:customStyle="1" w:styleId="l-ListeStilMal">
    <w:name w:val="l-ListeStilMal"/>
    <w:uiPriority w:val="99"/>
    <w:rsid w:val="000762B7"/>
    <w:pPr>
      <w:numPr>
        <w:numId w:val="12"/>
      </w:numPr>
    </w:pPr>
  </w:style>
  <w:style w:type="paragraph" w:styleId="Avsenderadresse">
    <w:name w:val="envelope return"/>
    <w:basedOn w:val="Normal"/>
    <w:uiPriority w:val="99"/>
    <w:semiHidden/>
    <w:unhideWhenUsed/>
    <w:rsid w:val="000762B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762B7"/>
  </w:style>
  <w:style w:type="character" w:customStyle="1" w:styleId="BrdtekstTegn">
    <w:name w:val="Brødtekst Tegn"/>
    <w:basedOn w:val="Standardskriftforavsnitt"/>
    <w:link w:val="Brdtekst"/>
    <w:semiHidden/>
    <w:rsid w:val="000762B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762B7"/>
    <w:pPr>
      <w:ind w:firstLine="360"/>
    </w:pPr>
  </w:style>
  <w:style w:type="character" w:customStyle="1" w:styleId="Brdtekst-frsteinnrykkTegn">
    <w:name w:val="Brødtekst - første innrykk Tegn"/>
    <w:basedOn w:val="BrdtekstTegn"/>
    <w:link w:val="Brdtekst-frsteinnrykk"/>
    <w:uiPriority w:val="99"/>
    <w:semiHidden/>
    <w:rsid w:val="000762B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762B7"/>
    <w:pPr>
      <w:ind w:left="283"/>
    </w:pPr>
  </w:style>
  <w:style w:type="character" w:customStyle="1" w:styleId="BrdtekstinnrykkTegn">
    <w:name w:val="Brødtekstinnrykk Tegn"/>
    <w:basedOn w:val="Standardskriftforavsnitt"/>
    <w:link w:val="Brdtekstinnrykk"/>
    <w:uiPriority w:val="99"/>
    <w:semiHidden/>
    <w:rsid w:val="000762B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762B7"/>
    <w:pPr>
      <w:ind w:left="360" w:firstLine="360"/>
    </w:pPr>
  </w:style>
  <w:style w:type="character" w:customStyle="1" w:styleId="Brdtekst-frsteinnrykk2Tegn">
    <w:name w:val="Brødtekst - første innrykk 2 Tegn"/>
    <w:basedOn w:val="BrdtekstinnrykkTegn"/>
    <w:link w:val="Brdtekst-frsteinnrykk2"/>
    <w:uiPriority w:val="99"/>
    <w:semiHidden/>
    <w:rsid w:val="000762B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762B7"/>
    <w:pPr>
      <w:spacing w:line="480" w:lineRule="auto"/>
    </w:pPr>
  </w:style>
  <w:style w:type="character" w:customStyle="1" w:styleId="Brdtekst2Tegn">
    <w:name w:val="Brødtekst 2 Tegn"/>
    <w:basedOn w:val="Standardskriftforavsnitt"/>
    <w:link w:val="Brdtekst2"/>
    <w:uiPriority w:val="99"/>
    <w:semiHidden/>
    <w:rsid w:val="000762B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762B7"/>
    <w:rPr>
      <w:sz w:val="16"/>
      <w:szCs w:val="16"/>
    </w:rPr>
  </w:style>
  <w:style w:type="character" w:customStyle="1" w:styleId="Brdtekst3Tegn">
    <w:name w:val="Brødtekst 3 Tegn"/>
    <w:basedOn w:val="Standardskriftforavsnitt"/>
    <w:link w:val="Brdtekst3"/>
    <w:uiPriority w:val="99"/>
    <w:semiHidden/>
    <w:rsid w:val="000762B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762B7"/>
    <w:pPr>
      <w:spacing w:line="480" w:lineRule="auto"/>
      <w:ind w:left="283"/>
    </w:pPr>
  </w:style>
  <w:style w:type="character" w:customStyle="1" w:styleId="Brdtekstinnrykk2Tegn">
    <w:name w:val="Brødtekstinnrykk 2 Tegn"/>
    <w:basedOn w:val="Standardskriftforavsnitt"/>
    <w:link w:val="Brdtekstinnrykk2"/>
    <w:uiPriority w:val="99"/>
    <w:semiHidden/>
    <w:rsid w:val="000762B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762B7"/>
    <w:pPr>
      <w:ind w:left="283"/>
    </w:pPr>
    <w:rPr>
      <w:sz w:val="16"/>
      <w:szCs w:val="16"/>
    </w:rPr>
  </w:style>
  <w:style w:type="character" w:customStyle="1" w:styleId="Brdtekstinnrykk3Tegn">
    <w:name w:val="Brødtekstinnrykk 3 Tegn"/>
    <w:basedOn w:val="Standardskriftforavsnitt"/>
    <w:link w:val="Brdtekstinnrykk3"/>
    <w:uiPriority w:val="99"/>
    <w:semiHidden/>
    <w:rsid w:val="000762B7"/>
    <w:rPr>
      <w:rFonts w:ascii="Times New Roman" w:eastAsia="Times New Roman" w:hAnsi="Times New Roman"/>
      <w:spacing w:val="4"/>
      <w:sz w:val="16"/>
      <w:szCs w:val="16"/>
    </w:rPr>
  </w:style>
  <w:style w:type="paragraph" w:customStyle="1" w:styleId="Sammendrag">
    <w:name w:val="Sammendrag"/>
    <w:basedOn w:val="Overskrift1"/>
    <w:qFormat/>
    <w:rsid w:val="000762B7"/>
    <w:pPr>
      <w:numPr>
        <w:numId w:val="0"/>
      </w:numPr>
    </w:pPr>
  </w:style>
  <w:style w:type="paragraph" w:customStyle="1" w:styleId="TrykkeriMerknad">
    <w:name w:val="TrykkeriMerknad"/>
    <w:basedOn w:val="Normal"/>
    <w:qFormat/>
    <w:rsid w:val="000762B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0762B7"/>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E81532"/>
    <w:rPr>
      <w:i/>
      <w:iCs/>
      <w:color w:val="000000" w:themeColor="text1"/>
    </w:rPr>
  </w:style>
  <w:style w:type="character" w:customStyle="1" w:styleId="SitatTegn1">
    <w:name w:val="Sitat Tegn1"/>
    <w:basedOn w:val="Standardskriftforavsnitt"/>
    <w:link w:val="Sitat"/>
    <w:uiPriority w:val="29"/>
    <w:rsid w:val="00E81532"/>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62B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0762B7"/>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762B7"/>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0762B7"/>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0762B7"/>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0762B7"/>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0762B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0762B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0762B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0762B7"/>
    <w:pPr>
      <w:numPr>
        <w:ilvl w:val="8"/>
        <w:numId w:val="2"/>
      </w:numPr>
      <w:spacing w:before="240" w:after="60"/>
      <w:outlineLvl w:val="8"/>
    </w:pPr>
    <w:rPr>
      <w:rFonts w:ascii="Arial" w:hAnsi="Arial"/>
      <w:i/>
      <w:sz w:val="18"/>
    </w:rPr>
  </w:style>
  <w:style w:type="character" w:default="1" w:styleId="Standardskriftforavsnitt">
    <w:name w:val="Default Paragraph Font"/>
    <w:uiPriority w:val="1"/>
    <w:unhideWhenUsed/>
    <w:rsid w:val="000762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762B7"/>
  </w:style>
  <w:style w:type="paragraph" w:customStyle="1" w:styleId="a-konge-tekst">
    <w:name w:val="a-konge-tekst"/>
    <w:basedOn w:val="Normal"/>
    <w:next w:val="Normal"/>
    <w:rsid w:val="000762B7"/>
    <w:pPr>
      <w:keepNext/>
      <w:keepLines/>
      <w:spacing w:before="240" w:after="240"/>
    </w:pPr>
  </w:style>
  <w:style w:type="paragraph" w:customStyle="1" w:styleId="a-konge-tit">
    <w:name w:val="a-konge-tit"/>
    <w:basedOn w:val="Normal"/>
    <w:next w:val="Normal"/>
    <w:rsid w:val="000762B7"/>
    <w:pPr>
      <w:keepNext/>
      <w:keepLines/>
      <w:spacing w:before="240"/>
      <w:jc w:val="center"/>
    </w:pPr>
    <w:rPr>
      <w:spacing w:val="30"/>
    </w:rPr>
  </w:style>
  <w:style w:type="paragraph" w:customStyle="1" w:styleId="a-tilraar-dep">
    <w:name w:val="a-tilraar-dep"/>
    <w:basedOn w:val="Normal"/>
    <w:next w:val="Normal"/>
    <w:rsid w:val="000762B7"/>
    <w:pPr>
      <w:keepNext/>
      <w:keepLines/>
      <w:spacing w:before="240" w:after="240"/>
    </w:pPr>
  </w:style>
  <w:style w:type="paragraph" w:customStyle="1" w:styleId="a-tilraar-tit">
    <w:name w:val="a-tilraar-tit"/>
    <w:basedOn w:val="Normal"/>
    <w:next w:val="Normal"/>
    <w:rsid w:val="000762B7"/>
    <w:pPr>
      <w:keepNext/>
      <w:keepLines/>
      <w:spacing w:before="240"/>
      <w:jc w:val="center"/>
    </w:pPr>
    <w:rPr>
      <w:spacing w:val="30"/>
    </w:rPr>
  </w:style>
  <w:style w:type="paragraph" w:customStyle="1" w:styleId="a-vedtak-del">
    <w:name w:val="a-vedtak-del"/>
    <w:basedOn w:val="Normal"/>
    <w:next w:val="Normal"/>
    <w:rsid w:val="000762B7"/>
    <w:pPr>
      <w:spacing w:before="240"/>
      <w:jc w:val="center"/>
    </w:pPr>
  </w:style>
  <w:style w:type="paragraph" w:customStyle="1" w:styleId="a-vedtak-tekst">
    <w:name w:val="a-vedtak-tekst"/>
    <w:basedOn w:val="Normal"/>
    <w:next w:val="Normal"/>
    <w:rsid w:val="000762B7"/>
    <w:pPr>
      <w:keepNext/>
      <w:jc w:val="center"/>
    </w:pPr>
  </w:style>
  <w:style w:type="paragraph" w:customStyle="1" w:styleId="opplisting">
    <w:name w:val="opplisting"/>
    <w:basedOn w:val="Normal"/>
    <w:rsid w:val="000762B7"/>
    <w:pPr>
      <w:spacing w:after="0"/>
    </w:pPr>
    <w:rPr>
      <w:rFonts w:ascii="Times" w:hAnsi="Times" w:cs="Times New Roman"/>
      <w:spacing w:val="0"/>
    </w:rPr>
  </w:style>
  <w:style w:type="paragraph" w:customStyle="1" w:styleId="a-vedtak-tit">
    <w:name w:val="a-vedtak-tit"/>
    <w:basedOn w:val="Normal"/>
    <w:next w:val="Normal"/>
    <w:rsid w:val="000762B7"/>
    <w:pPr>
      <w:keepNext/>
      <w:jc w:val="center"/>
    </w:pPr>
    <w:rPr>
      <w:b/>
      <w:sz w:val="28"/>
    </w:rPr>
  </w:style>
  <w:style w:type="paragraph" w:customStyle="1" w:styleId="ramme-noter">
    <w:name w:val="ramme-noter"/>
    <w:basedOn w:val="Normal"/>
    <w:next w:val="Normal"/>
    <w:rsid w:val="000762B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762B7"/>
    <w:pPr>
      <w:keepNext/>
      <w:keepLines/>
      <w:numPr>
        <w:ilvl w:val="6"/>
        <w:numId w:val="20"/>
      </w:numPr>
      <w:spacing w:before="240"/>
    </w:pPr>
    <w:rPr>
      <w:rFonts w:ascii="Arial" w:hAnsi="Arial"/>
    </w:rPr>
  </w:style>
  <w:style w:type="paragraph" w:customStyle="1" w:styleId="figur-tittel">
    <w:name w:val="figur-tittel"/>
    <w:basedOn w:val="Normal"/>
    <w:next w:val="Normal"/>
    <w:rsid w:val="000762B7"/>
    <w:pPr>
      <w:numPr>
        <w:ilvl w:val="5"/>
        <w:numId w:val="20"/>
      </w:numPr>
    </w:pPr>
    <w:rPr>
      <w:rFonts w:ascii="Arial" w:hAnsi="Arial"/>
    </w:rPr>
  </w:style>
  <w:style w:type="paragraph" w:customStyle="1" w:styleId="b-budkaptit">
    <w:name w:val="b-budkaptit"/>
    <w:basedOn w:val="Normal"/>
    <w:next w:val="Normal"/>
    <w:rsid w:val="000762B7"/>
    <w:pPr>
      <w:keepNext/>
      <w:keepLines/>
      <w:ind w:left="1021" w:hanging="1021"/>
    </w:pPr>
    <w:rPr>
      <w:b/>
      <w:spacing w:val="0"/>
    </w:rPr>
  </w:style>
  <w:style w:type="paragraph" w:customStyle="1" w:styleId="b-post">
    <w:name w:val="b-post"/>
    <w:basedOn w:val="Normal"/>
    <w:next w:val="Normal"/>
    <w:rsid w:val="000762B7"/>
    <w:pPr>
      <w:keepNext/>
      <w:keepLines/>
      <w:spacing w:before="360"/>
      <w:ind w:left="1021" w:hanging="1021"/>
    </w:pPr>
    <w:rPr>
      <w:i/>
      <w:spacing w:val="0"/>
    </w:rPr>
  </w:style>
  <w:style w:type="paragraph" w:customStyle="1" w:styleId="b-progkat">
    <w:name w:val="b-progkat"/>
    <w:basedOn w:val="Normal"/>
    <w:next w:val="Normal"/>
    <w:rsid w:val="000762B7"/>
    <w:pPr>
      <w:keepNext/>
      <w:keepLines/>
    </w:pPr>
    <w:rPr>
      <w:b/>
      <w:spacing w:val="0"/>
    </w:rPr>
  </w:style>
  <w:style w:type="paragraph" w:customStyle="1" w:styleId="b-progomr">
    <w:name w:val="b-progomr"/>
    <w:basedOn w:val="Normal"/>
    <w:next w:val="Normal"/>
    <w:rsid w:val="000762B7"/>
    <w:pPr>
      <w:keepNext/>
      <w:keepLines/>
      <w:spacing w:before="240"/>
    </w:pPr>
    <w:rPr>
      <w:b/>
      <w:spacing w:val="0"/>
    </w:rPr>
  </w:style>
  <w:style w:type="paragraph" w:customStyle="1" w:styleId="dato">
    <w:name w:val="dato"/>
    <w:basedOn w:val="Normal"/>
    <w:next w:val="Normal"/>
    <w:rsid w:val="000762B7"/>
  </w:style>
  <w:style w:type="paragraph" w:customStyle="1" w:styleId="Def">
    <w:name w:val="Def"/>
    <w:basedOn w:val="hengende-innrykk"/>
    <w:rsid w:val="000762B7"/>
    <w:pPr>
      <w:spacing w:line="240" w:lineRule="auto"/>
      <w:ind w:left="0" w:firstLine="0"/>
    </w:pPr>
    <w:rPr>
      <w:rFonts w:ascii="Times" w:eastAsia="Batang" w:hAnsi="Times"/>
      <w:spacing w:val="0"/>
      <w:szCs w:val="20"/>
    </w:rPr>
  </w:style>
  <w:style w:type="paragraph" w:customStyle="1" w:styleId="del-nr">
    <w:name w:val="del-nr"/>
    <w:basedOn w:val="Normal"/>
    <w:qFormat/>
    <w:rsid w:val="000762B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762B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762B7"/>
  </w:style>
  <w:style w:type="paragraph" w:customStyle="1" w:styleId="figur-noter">
    <w:name w:val="figur-noter"/>
    <w:basedOn w:val="Normal"/>
    <w:next w:val="Normal"/>
    <w:rsid w:val="000762B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762B7"/>
    <w:pPr>
      <w:spacing w:before="240"/>
      <w:jc w:val="center"/>
    </w:pPr>
  </w:style>
  <w:style w:type="paragraph" w:styleId="Fotnotetekst">
    <w:name w:val="footnote text"/>
    <w:basedOn w:val="Normal"/>
    <w:link w:val="FotnotetekstTegn"/>
    <w:rsid w:val="000762B7"/>
    <w:rPr>
      <w:sz w:val="20"/>
    </w:rPr>
  </w:style>
  <w:style w:type="character" w:customStyle="1" w:styleId="FotnotetekstTegn">
    <w:name w:val="Fotnotetekst Tegn"/>
    <w:basedOn w:val="Standardskriftforavsnitt"/>
    <w:link w:val="Fotnotetekst"/>
    <w:rsid w:val="000762B7"/>
    <w:rPr>
      <w:rFonts w:ascii="Times New Roman" w:eastAsia="Times New Roman" w:hAnsi="Times New Roman"/>
      <w:spacing w:val="4"/>
      <w:sz w:val="20"/>
    </w:rPr>
  </w:style>
  <w:style w:type="paragraph" w:customStyle="1" w:styleId="hengende-innrykk">
    <w:name w:val="hengende-innrykk"/>
    <w:basedOn w:val="Normal"/>
    <w:next w:val="Normal"/>
    <w:rsid w:val="000762B7"/>
    <w:pPr>
      <w:ind w:left="1418" w:hanging="1418"/>
    </w:pPr>
  </w:style>
  <w:style w:type="paragraph" w:customStyle="1" w:styleId="i-budkap-over">
    <w:name w:val="i-budkap-over"/>
    <w:basedOn w:val="Normal"/>
    <w:next w:val="Normal"/>
    <w:rsid w:val="000762B7"/>
    <w:pPr>
      <w:jc w:val="right"/>
    </w:pPr>
    <w:rPr>
      <w:rFonts w:ascii="Times" w:hAnsi="Times"/>
      <w:b/>
      <w:noProof/>
    </w:rPr>
  </w:style>
  <w:style w:type="paragraph" w:customStyle="1" w:styleId="i-dep">
    <w:name w:val="i-dep"/>
    <w:basedOn w:val="Normal"/>
    <w:next w:val="Normal"/>
    <w:rsid w:val="000762B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0762B7"/>
    <w:pPr>
      <w:keepNext/>
      <w:keepLines/>
      <w:spacing w:before="360"/>
      <w:jc w:val="center"/>
    </w:pPr>
    <w:rPr>
      <w:rFonts w:ascii="Times" w:hAnsi="Times"/>
      <w:b/>
      <w:noProof/>
      <w:sz w:val="28"/>
    </w:rPr>
  </w:style>
  <w:style w:type="paragraph" w:customStyle="1" w:styleId="i-saerskilt-vedl">
    <w:name w:val="i-saerskilt-vedl"/>
    <w:basedOn w:val="Normal"/>
    <w:next w:val="Normal"/>
    <w:rsid w:val="000762B7"/>
    <w:pPr>
      <w:ind w:left="1985" w:hanging="1985"/>
    </w:pPr>
    <w:rPr>
      <w:spacing w:val="0"/>
    </w:rPr>
  </w:style>
  <w:style w:type="paragraph" w:customStyle="1" w:styleId="i-statsrdato">
    <w:name w:val="i-statsr.dato"/>
    <w:basedOn w:val="Normal"/>
    <w:next w:val="Normal"/>
    <w:rsid w:val="000762B7"/>
    <w:pPr>
      <w:spacing w:after="0"/>
      <w:jc w:val="center"/>
    </w:pPr>
    <w:rPr>
      <w:rFonts w:ascii="Times" w:hAnsi="Times"/>
      <w:i/>
      <w:noProof/>
    </w:rPr>
  </w:style>
  <w:style w:type="paragraph" w:customStyle="1" w:styleId="i-termin">
    <w:name w:val="i-termin"/>
    <w:basedOn w:val="Normal"/>
    <w:next w:val="Normal"/>
    <w:rsid w:val="000762B7"/>
    <w:pPr>
      <w:spacing w:before="360"/>
      <w:jc w:val="center"/>
    </w:pPr>
    <w:rPr>
      <w:b/>
      <w:noProof/>
      <w:sz w:val="28"/>
    </w:rPr>
  </w:style>
  <w:style w:type="paragraph" w:customStyle="1" w:styleId="i-tit">
    <w:name w:val="i-tit"/>
    <w:basedOn w:val="Normal"/>
    <w:next w:val="i-statsrdato"/>
    <w:rsid w:val="000762B7"/>
    <w:pPr>
      <w:keepNext/>
      <w:keepLines/>
      <w:spacing w:before="360" w:after="240"/>
      <w:jc w:val="center"/>
    </w:pPr>
    <w:rPr>
      <w:rFonts w:ascii="Times" w:hAnsi="Times"/>
      <w:noProof/>
      <w:sz w:val="40"/>
    </w:rPr>
  </w:style>
  <w:style w:type="paragraph" w:customStyle="1" w:styleId="is-dep">
    <w:name w:val="is-dep"/>
    <w:basedOn w:val="i-dep"/>
    <w:qFormat/>
    <w:rsid w:val="000762B7"/>
  </w:style>
  <w:style w:type="paragraph" w:customStyle="1" w:styleId="Kilde">
    <w:name w:val="Kilde"/>
    <w:basedOn w:val="Normal"/>
    <w:next w:val="Normal"/>
    <w:rsid w:val="000762B7"/>
    <w:pPr>
      <w:spacing w:after="240"/>
    </w:pPr>
    <w:rPr>
      <w:sz w:val="20"/>
    </w:rPr>
  </w:style>
  <w:style w:type="paragraph" w:customStyle="1" w:styleId="l-avsnitt">
    <w:name w:val="l-avsnitt"/>
    <w:basedOn w:val="l-lovkap"/>
    <w:qFormat/>
    <w:rsid w:val="000762B7"/>
    <w:rPr>
      <w:lang w:val="nn-NO"/>
    </w:rPr>
  </w:style>
  <w:style w:type="paragraph" w:customStyle="1" w:styleId="l-lovdeltit">
    <w:name w:val="l-lovdeltit"/>
    <w:basedOn w:val="Normal"/>
    <w:next w:val="Normal"/>
    <w:rsid w:val="000762B7"/>
    <w:pPr>
      <w:keepNext/>
      <w:spacing w:before="120" w:after="60"/>
    </w:pPr>
    <w:rPr>
      <w:b/>
      <w:spacing w:val="0"/>
    </w:rPr>
  </w:style>
  <w:style w:type="paragraph" w:customStyle="1" w:styleId="l-lovkap">
    <w:name w:val="l-lovkap"/>
    <w:basedOn w:val="Normal"/>
    <w:next w:val="Normal"/>
    <w:rsid w:val="000762B7"/>
    <w:pPr>
      <w:keepNext/>
      <w:spacing w:before="240" w:after="40"/>
    </w:pPr>
    <w:rPr>
      <w:b/>
    </w:rPr>
  </w:style>
  <w:style w:type="paragraph" w:customStyle="1" w:styleId="l-lovtit">
    <w:name w:val="l-lovtit"/>
    <w:basedOn w:val="Normal"/>
    <w:next w:val="Normal"/>
    <w:rsid w:val="000762B7"/>
    <w:pPr>
      <w:keepNext/>
      <w:spacing w:before="120" w:after="60"/>
    </w:pPr>
    <w:rPr>
      <w:b/>
    </w:rPr>
  </w:style>
  <w:style w:type="paragraph" w:customStyle="1" w:styleId="l-punktum">
    <w:name w:val="l-punktum"/>
    <w:basedOn w:val="Normal"/>
    <w:qFormat/>
    <w:rsid w:val="000762B7"/>
    <w:pPr>
      <w:spacing w:after="0"/>
    </w:pPr>
  </w:style>
  <w:style w:type="paragraph" w:customStyle="1" w:styleId="l-tit-endr-avsnitt">
    <w:name w:val="l-tit-endr-avsnitt"/>
    <w:basedOn w:val="l-tit-endr-lovkap"/>
    <w:qFormat/>
    <w:rsid w:val="000762B7"/>
  </w:style>
  <w:style w:type="paragraph" w:customStyle="1" w:styleId="l-tit-endr-ledd">
    <w:name w:val="l-tit-endr-ledd"/>
    <w:basedOn w:val="Normal"/>
    <w:qFormat/>
    <w:rsid w:val="000762B7"/>
    <w:pPr>
      <w:keepNext/>
      <w:spacing w:before="240" w:after="0" w:line="240" w:lineRule="auto"/>
    </w:pPr>
    <w:rPr>
      <w:rFonts w:ascii="Times" w:hAnsi="Times"/>
      <w:noProof/>
      <w:lang w:val="nn-NO"/>
    </w:rPr>
  </w:style>
  <w:style w:type="paragraph" w:customStyle="1" w:styleId="l-tit-endr-lov">
    <w:name w:val="l-tit-endr-lov"/>
    <w:basedOn w:val="Normal"/>
    <w:qFormat/>
    <w:rsid w:val="000762B7"/>
    <w:pPr>
      <w:keepNext/>
      <w:spacing w:before="240" w:after="0" w:line="240" w:lineRule="auto"/>
    </w:pPr>
    <w:rPr>
      <w:rFonts w:ascii="Times" w:hAnsi="Times"/>
      <w:noProof/>
      <w:lang w:val="nn-NO"/>
    </w:rPr>
  </w:style>
  <w:style w:type="paragraph" w:customStyle="1" w:styleId="l-tit-endr-lovdel">
    <w:name w:val="l-tit-endr-lovdel"/>
    <w:basedOn w:val="Normal"/>
    <w:qFormat/>
    <w:rsid w:val="000762B7"/>
    <w:pPr>
      <w:keepNext/>
      <w:spacing w:before="240" w:after="0" w:line="240" w:lineRule="auto"/>
    </w:pPr>
    <w:rPr>
      <w:rFonts w:ascii="Times" w:hAnsi="Times"/>
      <w:noProof/>
      <w:lang w:val="nn-NO"/>
    </w:rPr>
  </w:style>
  <w:style w:type="paragraph" w:customStyle="1" w:styleId="l-tit-endr-lovkap">
    <w:name w:val="l-tit-endr-lovkap"/>
    <w:basedOn w:val="Normal"/>
    <w:qFormat/>
    <w:rsid w:val="000762B7"/>
    <w:pPr>
      <w:keepNext/>
      <w:spacing w:before="240" w:after="0" w:line="240" w:lineRule="auto"/>
    </w:pPr>
    <w:rPr>
      <w:rFonts w:ascii="Times" w:hAnsi="Times"/>
      <w:noProof/>
      <w:lang w:val="nn-NO"/>
    </w:rPr>
  </w:style>
  <w:style w:type="paragraph" w:customStyle="1" w:styleId="l-tit-endr-punktum">
    <w:name w:val="l-tit-endr-punktum"/>
    <w:basedOn w:val="l-tit-endr-ledd"/>
    <w:qFormat/>
    <w:rsid w:val="000762B7"/>
  </w:style>
  <w:style w:type="paragraph" w:styleId="Listeavsnitt">
    <w:name w:val="List Paragraph"/>
    <w:basedOn w:val="Normal"/>
    <w:uiPriority w:val="34"/>
    <w:qFormat/>
    <w:rsid w:val="000762B7"/>
    <w:pPr>
      <w:spacing w:before="60" w:after="0"/>
      <w:ind w:left="397"/>
    </w:pPr>
    <w:rPr>
      <w:spacing w:val="0"/>
    </w:rPr>
  </w:style>
  <w:style w:type="paragraph" w:customStyle="1" w:styleId="Listeavsnitt2">
    <w:name w:val="Listeavsnitt 2"/>
    <w:basedOn w:val="Normal"/>
    <w:qFormat/>
    <w:rsid w:val="000762B7"/>
    <w:pPr>
      <w:spacing w:before="60" w:after="0"/>
      <w:ind w:left="794"/>
    </w:pPr>
    <w:rPr>
      <w:spacing w:val="0"/>
    </w:rPr>
  </w:style>
  <w:style w:type="paragraph" w:customStyle="1" w:styleId="Listeavsnitt3">
    <w:name w:val="Listeavsnitt 3"/>
    <w:basedOn w:val="Normal"/>
    <w:qFormat/>
    <w:rsid w:val="000762B7"/>
    <w:pPr>
      <w:spacing w:before="60" w:after="0"/>
      <w:ind w:left="1191"/>
    </w:pPr>
    <w:rPr>
      <w:spacing w:val="0"/>
    </w:rPr>
  </w:style>
  <w:style w:type="paragraph" w:customStyle="1" w:styleId="Listeavsnitt4">
    <w:name w:val="Listeavsnitt 4"/>
    <w:basedOn w:val="Normal"/>
    <w:qFormat/>
    <w:rsid w:val="000762B7"/>
    <w:pPr>
      <w:spacing w:before="60" w:after="0"/>
      <w:ind w:left="1588"/>
    </w:pPr>
    <w:rPr>
      <w:spacing w:val="0"/>
    </w:rPr>
  </w:style>
  <w:style w:type="paragraph" w:customStyle="1" w:styleId="Listeavsnitt5">
    <w:name w:val="Listeavsnitt 5"/>
    <w:basedOn w:val="Normal"/>
    <w:qFormat/>
    <w:rsid w:val="000762B7"/>
    <w:pPr>
      <w:spacing w:before="60" w:after="0"/>
      <w:ind w:left="1985"/>
    </w:pPr>
    <w:rPr>
      <w:spacing w:val="0"/>
    </w:rPr>
  </w:style>
  <w:style w:type="paragraph" w:customStyle="1" w:styleId="Normalref">
    <w:name w:val="Normalref"/>
    <w:basedOn w:val="Normal"/>
    <w:qFormat/>
    <w:rsid w:val="000762B7"/>
    <w:pPr>
      <w:spacing w:after="0"/>
      <w:ind w:left="397" w:hanging="397"/>
    </w:pPr>
    <w:rPr>
      <w:spacing w:val="0"/>
    </w:rPr>
  </w:style>
  <w:style w:type="paragraph" w:customStyle="1" w:styleId="avsnitt-tittel">
    <w:name w:val="avsnitt-tittel"/>
    <w:basedOn w:val="Normal"/>
    <w:next w:val="Normal"/>
    <w:rsid w:val="000762B7"/>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0762B7"/>
    <w:rPr>
      <w:rFonts w:ascii="Arial" w:eastAsia="Times New Roman" w:hAnsi="Arial"/>
      <w:b/>
      <w:kern w:val="28"/>
      <w:sz w:val="32"/>
    </w:rPr>
  </w:style>
  <w:style w:type="paragraph" w:styleId="Undertittel">
    <w:name w:val="Subtitle"/>
    <w:basedOn w:val="Normal"/>
    <w:next w:val="Normal"/>
    <w:link w:val="UndertittelTegn"/>
    <w:qFormat/>
    <w:rsid w:val="000762B7"/>
    <w:pPr>
      <w:keepNext/>
      <w:keepLines/>
      <w:spacing w:before="360"/>
    </w:pPr>
    <w:rPr>
      <w:rFonts w:ascii="Arial" w:hAnsi="Arial"/>
      <w:b/>
      <w:sz w:val="28"/>
    </w:rPr>
  </w:style>
  <w:style w:type="character" w:customStyle="1" w:styleId="UndertittelTegn">
    <w:name w:val="Undertittel Tegn"/>
    <w:basedOn w:val="Standardskriftforavsnitt"/>
    <w:link w:val="Undertittel"/>
    <w:rsid w:val="000762B7"/>
    <w:rPr>
      <w:rFonts w:ascii="Arial" w:eastAsia="Times New Roman" w:hAnsi="Arial"/>
      <w:b/>
      <w:spacing w:val="4"/>
      <w:sz w:val="28"/>
    </w:rPr>
  </w:style>
  <w:style w:type="paragraph" w:customStyle="1" w:styleId="Petit">
    <w:name w:val="Petit"/>
    <w:basedOn w:val="Normal"/>
    <w:next w:val="Normal"/>
    <w:qFormat/>
    <w:rsid w:val="000762B7"/>
    <w:rPr>
      <w:spacing w:val="6"/>
      <w:sz w:val="19"/>
    </w:rPr>
  </w:style>
  <w:style w:type="paragraph" w:customStyle="1" w:styleId="Ramme-slutt">
    <w:name w:val="Ramme-slutt"/>
    <w:basedOn w:val="Normal"/>
    <w:autoRedefine/>
    <w:rsid w:val="000762B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0762B7"/>
  </w:style>
  <w:style w:type="paragraph" w:customStyle="1" w:styleId="tabell-noter">
    <w:name w:val="tabell-noter"/>
    <w:basedOn w:val="Normal"/>
    <w:next w:val="Normal"/>
    <w:rsid w:val="000762B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0762B7"/>
    <w:pPr>
      <w:spacing w:line="240" w:lineRule="auto"/>
    </w:pPr>
    <w:rPr>
      <w:rFonts w:ascii="Times" w:eastAsia="Batang" w:hAnsi="Times"/>
      <w:vanish/>
      <w:color w:val="008000"/>
      <w:spacing w:val="0"/>
      <w:szCs w:val="24"/>
    </w:rPr>
  </w:style>
  <w:style w:type="paragraph" w:customStyle="1" w:styleId="Term">
    <w:name w:val="Term"/>
    <w:basedOn w:val="hengende-innrykk"/>
    <w:rsid w:val="000762B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762B7"/>
    <w:pPr>
      <w:keepNext/>
      <w:keepLines/>
      <w:jc w:val="center"/>
    </w:pPr>
    <w:rPr>
      <w:rFonts w:ascii="Arial" w:hAnsi="Arial"/>
      <w:b/>
      <w:spacing w:val="0"/>
      <w:sz w:val="28"/>
    </w:rPr>
  </w:style>
  <w:style w:type="paragraph" w:customStyle="1" w:styleId="tittel-litteraturliste">
    <w:name w:val="tittel-litteraturliste"/>
    <w:basedOn w:val="Normal"/>
    <w:next w:val="Normal"/>
    <w:rsid w:val="000762B7"/>
    <w:pPr>
      <w:keepNext/>
      <w:keepLines/>
      <w:spacing w:before="360" w:after="240"/>
      <w:jc w:val="center"/>
    </w:pPr>
    <w:rPr>
      <w:rFonts w:ascii="Arial" w:hAnsi="Arial"/>
      <w:b/>
      <w:sz w:val="28"/>
    </w:rPr>
  </w:style>
  <w:style w:type="paragraph" w:customStyle="1" w:styleId="tittel-ordforkl">
    <w:name w:val="tittel-ordforkl"/>
    <w:basedOn w:val="Normal"/>
    <w:next w:val="Normal"/>
    <w:rsid w:val="000762B7"/>
    <w:pPr>
      <w:keepNext/>
      <w:keepLines/>
      <w:spacing w:before="360" w:after="240"/>
      <w:jc w:val="center"/>
    </w:pPr>
    <w:rPr>
      <w:rFonts w:ascii="Arial" w:hAnsi="Arial"/>
      <w:b/>
      <w:sz w:val="28"/>
    </w:rPr>
  </w:style>
  <w:style w:type="paragraph" w:customStyle="1" w:styleId="undervedl-nr">
    <w:name w:val="undervedl-nr"/>
    <w:basedOn w:val="vedlegg-nr"/>
    <w:next w:val="Normal"/>
    <w:rsid w:val="000762B7"/>
    <w:pPr>
      <w:numPr>
        <w:numId w:val="0"/>
      </w:numPr>
    </w:pPr>
    <w:rPr>
      <w:b w:val="0"/>
      <w:i/>
    </w:rPr>
  </w:style>
  <w:style w:type="paragraph" w:customStyle="1" w:styleId="Undervedl-tittel">
    <w:name w:val="Undervedl-tittel"/>
    <w:basedOn w:val="Normal"/>
    <w:next w:val="Normal"/>
    <w:rsid w:val="000762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762B7"/>
    <w:pPr>
      <w:numPr>
        <w:numId w:val="0"/>
      </w:numPr>
      <w:outlineLvl w:val="9"/>
    </w:pPr>
  </w:style>
  <w:style w:type="paragraph" w:customStyle="1" w:styleId="v-Overskrift2">
    <w:name w:val="v-Overskrift 2"/>
    <w:basedOn w:val="Overskrift2"/>
    <w:next w:val="Normal"/>
    <w:rsid w:val="000762B7"/>
    <w:pPr>
      <w:numPr>
        <w:ilvl w:val="0"/>
        <w:numId w:val="0"/>
      </w:numPr>
      <w:outlineLvl w:val="9"/>
    </w:pPr>
  </w:style>
  <w:style w:type="paragraph" w:customStyle="1" w:styleId="v-Overskrift3">
    <w:name w:val="v-Overskrift 3"/>
    <w:basedOn w:val="Overskrift3"/>
    <w:next w:val="Normal"/>
    <w:rsid w:val="000762B7"/>
    <w:pPr>
      <w:numPr>
        <w:ilvl w:val="0"/>
        <w:numId w:val="0"/>
      </w:numPr>
      <w:outlineLvl w:val="9"/>
    </w:pPr>
  </w:style>
  <w:style w:type="paragraph" w:customStyle="1" w:styleId="vedlegg-nr">
    <w:name w:val="vedlegg-nr"/>
    <w:basedOn w:val="Normal"/>
    <w:next w:val="Normal"/>
    <w:rsid w:val="000762B7"/>
    <w:pPr>
      <w:keepNext/>
      <w:keepLines/>
      <w:numPr>
        <w:numId w:val="3"/>
      </w:numPr>
      <w:ind w:left="357" w:hanging="357"/>
    </w:pPr>
    <w:rPr>
      <w:rFonts w:ascii="Arial" w:hAnsi="Arial"/>
      <w:b/>
      <w:u w:val="single"/>
    </w:rPr>
  </w:style>
  <w:style w:type="paragraph" w:customStyle="1" w:styleId="vedlegg-tit">
    <w:name w:val="vedlegg-tit"/>
    <w:basedOn w:val="Normal"/>
    <w:next w:val="Normal"/>
    <w:rsid w:val="000762B7"/>
    <w:pPr>
      <w:keepNext/>
      <w:keepLines/>
      <w:spacing w:before="360" w:after="80"/>
      <w:jc w:val="center"/>
    </w:pPr>
    <w:rPr>
      <w:rFonts w:ascii="Arial" w:hAnsi="Arial"/>
      <w:b/>
      <w:sz w:val="28"/>
    </w:rPr>
  </w:style>
  <w:style w:type="paragraph" w:customStyle="1" w:styleId="i-hode-tit">
    <w:name w:val="i-hode-tit"/>
    <w:basedOn w:val="Normal"/>
    <w:autoRedefine/>
    <w:qFormat/>
    <w:rsid w:val="000762B7"/>
    <w:pPr>
      <w:keepNext/>
      <w:keepLines/>
      <w:jc w:val="center"/>
    </w:pPr>
    <w:rPr>
      <w:rFonts w:eastAsia="Batang"/>
      <w:b/>
      <w:sz w:val="28"/>
    </w:rPr>
  </w:style>
  <w:style w:type="paragraph" w:customStyle="1" w:styleId="i-hode">
    <w:name w:val="i-hode"/>
    <w:basedOn w:val="Normal"/>
    <w:next w:val="Normal"/>
    <w:rsid w:val="000762B7"/>
    <w:pPr>
      <w:keepNext/>
      <w:keepLines/>
      <w:spacing w:before="720"/>
      <w:jc w:val="center"/>
    </w:pPr>
    <w:rPr>
      <w:rFonts w:ascii="Times" w:hAnsi="Times"/>
      <w:b/>
      <w:noProof/>
      <w:sz w:val="56"/>
    </w:rPr>
  </w:style>
  <w:style w:type="paragraph" w:customStyle="1" w:styleId="i-sesjon">
    <w:name w:val="i-sesjon"/>
    <w:basedOn w:val="Normal"/>
    <w:next w:val="Normal"/>
    <w:rsid w:val="000762B7"/>
    <w:pPr>
      <w:jc w:val="center"/>
    </w:pPr>
    <w:rPr>
      <w:rFonts w:ascii="Times" w:hAnsi="Times"/>
      <w:b/>
      <w:noProof/>
      <w:sz w:val="28"/>
    </w:rPr>
  </w:style>
  <w:style w:type="paragraph" w:customStyle="1" w:styleId="i-mtit">
    <w:name w:val="i-mtit"/>
    <w:basedOn w:val="Normal"/>
    <w:next w:val="Normal"/>
    <w:rsid w:val="000762B7"/>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0762B7"/>
    <w:rPr>
      <w:rFonts w:ascii="Arial" w:eastAsia="Times New Roman" w:hAnsi="Arial"/>
      <w:b/>
      <w:spacing w:val="4"/>
      <w:sz w:val="28"/>
    </w:rPr>
  </w:style>
  <w:style w:type="character" w:customStyle="1" w:styleId="Overskrift3Tegn">
    <w:name w:val="Overskrift 3 Tegn"/>
    <w:basedOn w:val="Standardskriftforavsnitt"/>
    <w:link w:val="Overskrift3"/>
    <w:rsid w:val="000762B7"/>
    <w:rPr>
      <w:rFonts w:ascii="Arial" w:eastAsia="Times New Roman" w:hAnsi="Arial"/>
      <w:b/>
      <w:sz w:val="24"/>
    </w:rPr>
  </w:style>
  <w:style w:type="character" w:customStyle="1" w:styleId="Overskrift4Tegn">
    <w:name w:val="Overskrift 4 Tegn"/>
    <w:basedOn w:val="Standardskriftforavsnitt"/>
    <w:link w:val="Overskrift4"/>
    <w:rsid w:val="000762B7"/>
    <w:rPr>
      <w:rFonts w:ascii="Arial" w:eastAsia="Times New Roman" w:hAnsi="Arial"/>
      <w:i/>
      <w:spacing w:val="4"/>
      <w:sz w:val="24"/>
    </w:rPr>
  </w:style>
  <w:style w:type="character" w:customStyle="1" w:styleId="Overskrift5Tegn">
    <w:name w:val="Overskrift 5 Tegn"/>
    <w:basedOn w:val="Standardskriftforavsnitt"/>
    <w:link w:val="Overskrift5"/>
    <w:rsid w:val="000762B7"/>
    <w:rPr>
      <w:rFonts w:ascii="Arial" w:eastAsia="Times New Roman" w:hAnsi="Arial"/>
      <w:i/>
      <w:sz w:val="24"/>
    </w:rPr>
  </w:style>
  <w:style w:type="paragraph" w:styleId="Liste">
    <w:name w:val="List"/>
    <w:basedOn w:val="Normal"/>
    <w:rsid w:val="000762B7"/>
    <w:pPr>
      <w:numPr>
        <w:numId w:val="7"/>
      </w:numPr>
      <w:spacing w:line="240" w:lineRule="auto"/>
      <w:contextualSpacing/>
    </w:pPr>
  </w:style>
  <w:style w:type="paragraph" w:styleId="Liste2">
    <w:name w:val="List 2"/>
    <w:basedOn w:val="Normal"/>
    <w:rsid w:val="000762B7"/>
    <w:pPr>
      <w:numPr>
        <w:ilvl w:val="1"/>
        <w:numId w:val="7"/>
      </w:numPr>
      <w:spacing w:after="0"/>
    </w:pPr>
  </w:style>
  <w:style w:type="paragraph" w:styleId="Liste3">
    <w:name w:val="List 3"/>
    <w:basedOn w:val="Normal"/>
    <w:rsid w:val="000762B7"/>
    <w:pPr>
      <w:numPr>
        <w:ilvl w:val="2"/>
        <w:numId w:val="7"/>
      </w:numPr>
      <w:spacing w:after="0"/>
    </w:pPr>
    <w:rPr>
      <w:spacing w:val="0"/>
    </w:rPr>
  </w:style>
  <w:style w:type="paragraph" w:styleId="Liste4">
    <w:name w:val="List 4"/>
    <w:basedOn w:val="Normal"/>
    <w:rsid w:val="000762B7"/>
    <w:pPr>
      <w:numPr>
        <w:ilvl w:val="3"/>
        <w:numId w:val="7"/>
      </w:numPr>
      <w:spacing w:after="0"/>
    </w:pPr>
    <w:rPr>
      <w:spacing w:val="0"/>
    </w:rPr>
  </w:style>
  <w:style w:type="paragraph" w:styleId="Liste5">
    <w:name w:val="List 5"/>
    <w:basedOn w:val="Normal"/>
    <w:rsid w:val="000762B7"/>
    <w:pPr>
      <w:numPr>
        <w:ilvl w:val="4"/>
        <w:numId w:val="7"/>
      </w:numPr>
      <w:spacing w:after="0"/>
    </w:pPr>
    <w:rPr>
      <w:spacing w:val="0"/>
    </w:rPr>
  </w:style>
  <w:style w:type="paragraph" w:styleId="Nummerertliste">
    <w:name w:val="List Number"/>
    <w:basedOn w:val="Normal"/>
    <w:rsid w:val="000762B7"/>
    <w:pPr>
      <w:numPr>
        <w:numId w:val="5"/>
      </w:numPr>
      <w:spacing w:after="0"/>
    </w:pPr>
    <w:rPr>
      <w:rFonts w:ascii="Times" w:eastAsia="Batang" w:hAnsi="Times"/>
      <w:spacing w:val="0"/>
      <w:szCs w:val="20"/>
    </w:rPr>
  </w:style>
  <w:style w:type="paragraph" w:styleId="Nummerertliste2">
    <w:name w:val="List Number 2"/>
    <w:basedOn w:val="Normal"/>
    <w:rsid w:val="000762B7"/>
    <w:pPr>
      <w:numPr>
        <w:ilvl w:val="1"/>
        <w:numId w:val="5"/>
      </w:numPr>
      <w:spacing w:after="0" w:line="240" w:lineRule="auto"/>
    </w:pPr>
    <w:rPr>
      <w:rFonts w:ascii="Times" w:eastAsia="Batang" w:hAnsi="Times"/>
      <w:spacing w:val="0"/>
      <w:szCs w:val="20"/>
    </w:rPr>
  </w:style>
  <w:style w:type="paragraph" w:styleId="Nummerertliste3">
    <w:name w:val="List Number 3"/>
    <w:basedOn w:val="Normal"/>
    <w:rsid w:val="000762B7"/>
    <w:pPr>
      <w:numPr>
        <w:ilvl w:val="2"/>
        <w:numId w:val="5"/>
      </w:numPr>
      <w:spacing w:after="0" w:line="240" w:lineRule="auto"/>
    </w:pPr>
    <w:rPr>
      <w:rFonts w:ascii="Times" w:eastAsia="Batang" w:hAnsi="Times"/>
      <w:spacing w:val="0"/>
      <w:szCs w:val="20"/>
    </w:rPr>
  </w:style>
  <w:style w:type="paragraph" w:styleId="Nummerertliste4">
    <w:name w:val="List Number 4"/>
    <w:basedOn w:val="Normal"/>
    <w:rsid w:val="000762B7"/>
    <w:pPr>
      <w:numPr>
        <w:ilvl w:val="3"/>
        <w:numId w:val="5"/>
      </w:numPr>
      <w:spacing w:after="0" w:line="240" w:lineRule="auto"/>
    </w:pPr>
    <w:rPr>
      <w:rFonts w:ascii="Times" w:eastAsia="Batang" w:hAnsi="Times"/>
      <w:spacing w:val="0"/>
      <w:szCs w:val="20"/>
    </w:rPr>
  </w:style>
  <w:style w:type="paragraph" w:styleId="Nummerertliste5">
    <w:name w:val="List Number 5"/>
    <w:basedOn w:val="Normal"/>
    <w:rsid w:val="000762B7"/>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0762B7"/>
    <w:pPr>
      <w:numPr>
        <w:numId w:val="15"/>
      </w:numPr>
      <w:tabs>
        <w:tab w:val="left" w:pos="397"/>
      </w:tabs>
      <w:ind w:left="397" w:hanging="397"/>
    </w:pPr>
  </w:style>
  <w:style w:type="paragraph" w:customStyle="1" w:styleId="Listebombe2">
    <w:name w:val="Liste bombe 2"/>
    <w:basedOn w:val="Liste2"/>
    <w:qFormat/>
    <w:rsid w:val="000762B7"/>
    <w:pPr>
      <w:numPr>
        <w:ilvl w:val="0"/>
        <w:numId w:val="16"/>
      </w:numPr>
      <w:ind w:left="794" w:hanging="397"/>
    </w:pPr>
  </w:style>
  <w:style w:type="paragraph" w:customStyle="1" w:styleId="Listebombe3">
    <w:name w:val="Liste bombe 3"/>
    <w:basedOn w:val="Liste3"/>
    <w:qFormat/>
    <w:rsid w:val="000762B7"/>
    <w:pPr>
      <w:numPr>
        <w:ilvl w:val="0"/>
        <w:numId w:val="17"/>
      </w:numPr>
      <w:ind w:left="1191" w:hanging="397"/>
    </w:pPr>
  </w:style>
  <w:style w:type="paragraph" w:customStyle="1" w:styleId="Listebombe4">
    <w:name w:val="Liste bombe 4"/>
    <w:basedOn w:val="Liste4"/>
    <w:qFormat/>
    <w:rsid w:val="000762B7"/>
    <w:pPr>
      <w:numPr>
        <w:ilvl w:val="0"/>
        <w:numId w:val="18"/>
      </w:numPr>
      <w:ind w:left="1588" w:hanging="397"/>
    </w:pPr>
  </w:style>
  <w:style w:type="paragraph" w:customStyle="1" w:styleId="Listebombe5">
    <w:name w:val="Liste bombe 5"/>
    <w:basedOn w:val="Liste5"/>
    <w:qFormat/>
    <w:rsid w:val="000762B7"/>
    <w:pPr>
      <w:numPr>
        <w:ilvl w:val="0"/>
        <w:numId w:val="19"/>
      </w:numPr>
      <w:ind w:left="1985" w:hanging="397"/>
    </w:pPr>
  </w:style>
  <w:style w:type="paragraph" w:customStyle="1" w:styleId="alfaliste">
    <w:name w:val="alfaliste"/>
    <w:basedOn w:val="Normal"/>
    <w:rsid w:val="000762B7"/>
    <w:pPr>
      <w:numPr>
        <w:numId w:val="4"/>
      </w:numPr>
      <w:spacing w:after="0"/>
    </w:pPr>
  </w:style>
  <w:style w:type="paragraph" w:customStyle="1" w:styleId="alfaliste2">
    <w:name w:val="alfaliste 2"/>
    <w:basedOn w:val="Liste2"/>
    <w:rsid w:val="000762B7"/>
    <w:pPr>
      <w:numPr>
        <w:numId w:val="4"/>
      </w:numPr>
    </w:pPr>
  </w:style>
  <w:style w:type="paragraph" w:customStyle="1" w:styleId="alfaliste3">
    <w:name w:val="alfaliste 3"/>
    <w:basedOn w:val="Normal"/>
    <w:rsid w:val="000762B7"/>
    <w:pPr>
      <w:numPr>
        <w:ilvl w:val="2"/>
        <w:numId w:val="4"/>
      </w:numPr>
      <w:spacing w:after="0"/>
    </w:pPr>
    <w:rPr>
      <w:spacing w:val="0"/>
    </w:rPr>
  </w:style>
  <w:style w:type="paragraph" w:customStyle="1" w:styleId="alfaliste4">
    <w:name w:val="alfaliste 4"/>
    <w:basedOn w:val="Normal"/>
    <w:rsid w:val="000762B7"/>
    <w:pPr>
      <w:numPr>
        <w:ilvl w:val="3"/>
        <w:numId w:val="4"/>
      </w:numPr>
      <w:spacing w:after="0"/>
    </w:pPr>
    <w:rPr>
      <w:spacing w:val="0"/>
    </w:rPr>
  </w:style>
  <w:style w:type="paragraph" w:customStyle="1" w:styleId="alfaliste5">
    <w:name w:val="alfaliste 5"/>
    <w:basedOn w:val="Normal"/>
    <w:rsid w:val="000762B7"/>
    <w:pPr>
      <w:numPr>
        <w:ilvl w:val="4"/>
        <w:numId w:val="4"/>
      </w:numPr>
      <w:spacing w:after="0"/>
    </w:pPr>
    <w:rPr>
      <w:rFonts w:cs="Times New Roman"/>
      <w:spacing w:val="0"/>
    </w:rPr>
  </w:style>
  <w:style w:type="paragraph" w:customStyle="1" w:styleId="romertallliste">
    <w:name w:val="romertall liste"/>
    <w:basedOn w:val="Normal"/>
    <w:rsid w:val="000762B7"/>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0762B7"/>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0762B7"/>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0762B7"/>
    <w:pPr>
      <w:numPr>
        <w:ilvl w:val="3"/>
        <w:numId w:val="14"/>
      </w:numPr>
      <w:spacing w:after="0" w:line="240" w:lineRule="auto"/>
    </w:pPr>
    <w:rPr>
      <w:rFonts w:ascii="Times" w:eastAsia="Batang" w:hAnsi="Times"/>
      <w:spacing w:val="0"/>
      <w:szCs w:val="20"/>
    </w:rPr>
  </w:style>
  <w:style w:type="paragraph" w:customStyle="1" w:styleId="romertallliste5">
    <w:name w:val="romertall liste 5"/>
    <w:basedOn w:val="Normal"/>
    <w:qFormat/>
    <w:rsid w:val="000762B7"/>
    <w:pPr>
      <w:numPr>
        <w:ilvl w:val="4"/>
        <w:numId w:val="14"/>
      </w:numPr>
      <w:spacing w:after="0"/>
    </w:pPr>
  </w:style>
  <w:style w:type="paragraph" w:customStyle="1" w:styleId="opplisting2">
    <w:name w:val="opplisting 2"/>
    <w:basedOn w:val="Normal"/>
    <w:qFormat/>
    <w:rsid w:val="000762B7"/>
    <w:pPr>
      <w:spacing w:after="0"/>
      <w:ind w:left="397"/>
    </w:pPr>
    <w:rPr>
      <w:spacing w:val="0"/>
      <w:lang w:val="en-US"/>
    </w:rPr>
  </w:style>
  <w:style w:type="paragraph" w:customStyle="1" w:styleId="opplisting3">
    <w:name w:val="opplisting 3"/>
    <w:basedOn w:val="Normal"/>
    <w:qFormat/>
    <w:rsid w:val="000762B7"/>
    <w:pPr>
      <w:spacing w:after="0"/>
      <w:ind w:left="794"/>
    </w:pPr>
    <w:rPr>
      <w:spacing w:val="0"/>
    </w:rPr>
  </w:style>
  <w:style w:type="paragraph" w:customStyle="1" w:styleId="opplisting4">
    <w:name w:val="opplisting 4"/>
    <w:basedOn w:val="Normal"/>
    <w:qFormat/>
    <w:rsid w:val="000762B7"/>
    <w:pPr>
      <w:spacing w:after="0"/>
      <w:ind w:left="1191"/>
    </w:pPr>
    <w:rPr>
      <w:spacing w:val="0"/>
    </w:rPr>
  </w:style>
  <w:style w:type="paragraph" w:customStyle="1" w:styleId="opplisting5">
    <w:name w:val="opplisting 5"/>
    <w:basedOn w:val="Normal"/>
    <w:qFormat/>
    <w:rsid w:val="000762B7"/>
    <w:pPr>
      <w:spacing w:after="0"/>
      <w:ind w:left="1588"/>
    </w:pPr>
    <w:rPr>
      <w:spacing w:val="0"/>
    </w:rPr>
  </w:style>
  <w:style w:type="paragraph" w:customStyle="1" w:styleId="friliste">
    <w:name w:val="friliste"/>
    <w:basedOn w:val="Normal"/>
    <w:qFormat/>
    <w:rsid w:val="000762B7"/>
    <w:pPr>
      <w:tabs>
        <w:tab w:val="left" w:pos="397"/>
      </w:tabs>
      <w:spacing w:after="0"/>
      <w:ind w:left="397" w:hanging="397"/>
    </w:pPr>
    <w:rPr>
      <w:spacing w:val="0"/>
    </w:rPr>
  </w:style>
  <w:style w:type="paragraph" w:customStyle="1" w:styleId="friliste2">
    <w:name w:val="friliste 2"/>
    <w:basedOn w:val="Normal"/>
    <w:qFormat/>
    <w:rsid w:val="000762B7"/>
    <w:pPr>
      <w:tabs>
        <w:tab w:val="left" w:pos="794"/>
      </w:tabs>
      <w:spacing w:after="0"/>
      <w:ind w:left="794" w:hanging="397"/>
    </w:pPr>
    <w:rPr>
      <w:spacing w:val="0"/>
    </w:rPr>
  </w:style>
  <w:style w:type="paragraph" w:customStyle="1" w:styleId="friliste3">
    <w:name w:val="friliste 3"/>
    <w:basedOn w:val="Normal"/>
    <w:qFormat/>
    <w:rsid w:val="000762B7"/>
    <w:pPr>
      <w:tabs>
        <w:tab w:val="left" w:pos="1191"/>
      </w:tabs>
      <w:spacing w:after="0"/>
      <w:ind w:left="1191" w:hanging="397"/>
    </w:pPr>
    <w:rPr>
      <w:spacing w:val="0"/>
    </w:rPr>
  </w:style>
  <w:style w:type="paragraph" w:customStyle="1" w:styleId="friliste4">
    <w:name w:val="friliste 4"/>
    <w:basedOn w:val="Normal"/>
    <w:qFormat/>
    <w:rsid w:val="000762B7"/>
    <w:pPr>
      <w:tabs>
        <w:tab w:val="left" w:pos="1588"/>
      </w:tabs>
      <w:spacing w:after="0"/>
      <w:ind w:left="1588" w:hanging="397"/>
    </w:pPr>
    <w:rPr>
      <w:spacing w:val="0"/>
    </w:rPr>
  </w:style>
  <w:style w:type="paragraph" w:customStyle="1" w:styleId="friliste5">
    <w:name w:val="friliste 5"/>
    <w:basedOn w:val="Normal"/>
    <w:qFormat/>
    <w:rsid w:val="000762B7"/>
    <w:pPr>
      <w:tabs>
        <w:tab w:val="left" w:pos="1985"/>
      </w:tabs>
      <w:spacing w:after="0"/>
      <w:ind w:left="1985" w:hanging="397"/>
    </w:pPr>
    <w:rPr>
      <w:spacing w:val="0"/>
    </w:rPr>
  </w:style>
  <w:style w:type="paragraph" w:customStyle="1" w:styleId="l-alfaliste">
    <w:name w:val="l-alfaliste"/>
    <w:basedOn w:val="alfaliste"/>
    <w:qFormat/>
    <w:rsid w:val="000762B7"/>
    <w:pPr>
      <w:numPr>
        <w:numId w:val="13"/>
      </w:numPr>
    </w:pPr>
    <w:rPr>
      <w:rFonts w:eastAsiaTheme="minorEastAsia"/>
    </w:rPr>
  </w:style>
  <w:style w:type="paragraph" w:customStyle="1" w:styleId="l-alfaliste2">
    <w:name w:val="l-alfaliste 2"/>
    <w:basedOn w:val="alfaliste2"/>
    <w:qFormat/>
    <w:rsid w:val="000762B7"/>
    <w:pPr>
      <w:numPr>
        <w:numId w:val="13"/>
      </w:numPr>
    </w:pPr>
  </w:style>
  <w:style w:type="paragraph" w:customStyle="1" w:styleId="avsnitt-undertittel">
    <w:name w:val="avsnitt-undertittel"/>
    <w:basedOn w:val="Normal"/>
    <w:next w:val="Normal"/>
    <w:rsid w:val="000762B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0762B7"/>
    <w:pPr>
      <w:numPr>
        <w:numId w:val="13"/>
      </w:numPr>
    </w:pPr>
  </w:style>
  <w:style w:type="paragraph" w:customStyle="1" w:styleId="l-alfaliste4">
    <w:name w:val="l-alfaliste 4"/>
    <w:basedOn w:val="alfaliste4"/>
    <w:qFormat/>
    <w:rsid w:val="000762B7"/>
    <w:pPr>
      <w:numPr>
        <w:numId w:val="13"/>
      </w:numPr>
    </w:pPr>
  </w:style>
  <w:style w:type="paragraph" w:customStyle="1" w:styleId="l-alfaliste5">
    <w:name w:val="l-alfaliste 5"/>
    <w:basedOn w:val="alfaliste5"/>
    <w:qFormat/>
    <w:rsid w:val="000762B7"/>
    <w:pPr>
      <w:numPr>
        <w:numId w:val="13"/>
      </w:numPr>
    </w:pPr>
  </w:style>
  <w:style w:type="paragraph" w:customStyle="1" w:styleId="avsnitt-under-undertittel">
    <w:name w:val="avsnitt-under-undertittel"/>
    <w:basedOn w:val="Normal"/>
    <w:next w:val="Normal"/>
    <w:rsid w:val="000762B7"/>
    <w:pPr>
      <w:keepNext/>
      <w:keepLines/>
      <w:spacing w:before="360" w:line="240" w:lineRule="auto"/>
    </w:pPr>
    <w:rPr>
      <w:rFonts w:eastAsia="Batang"/>
      <w:i/>
      <w:spacing w:val="0"/>
      <w:szCs w:val="20"/>
    </w:rPr>
  </w:style>
  <w:style w:type="paragraph" w:customStyle="1" w:styleId="blokksit">
    <w:name w:val="blokksit"/>
    <w:basedOn w:val="Normal"/>
    <w:qFormat/>
    <w:rsid w:val="000762B7"/>
    <w:pPr>
      <w:spacing w:line="240" w:lineRule="auto"/>
      <w:ind w:left="397"/>
    </w:pPr>
    <w:rPr>
      <w:rFonts w:ascii="Times" w:hAnsi="Times"/>
      <w:spacing w:val="-2"/>
    </w:rPr>
  </w:style>
  <w:style w:type="paragraph" w:customStyle="1" w:styleId="l-paragraf">
    <w:name w:val="l-paragraf"/>
    <w:basedOn w:val="Normal"/>
    <w:next w:val="Normal"/>
    <w:rsid w:val="000762B7"/>
    <w:pPr>
      <w:spacing w:before="180" w:after="0"/>
    </w:pPr>
    <w:rPr>
      <w:rFonts w:ascii="Times" w:hAnsi="Times"/>
      <w:i/>
    </w:rPr>
  </w:style>
  <w:style w:type="paragraph" w:customStyle="1" w:styleId="l-ledd">
    <w:name w:val="l-ledd"/>
    <w:basedOn w:val="Normal"/>
    <w:qFormat/>
    <w:rsid w:val="000762B7"/>
    <w:pPr>
      <w:spacing w:after="0"/>
      <w:ind w:firstLine="397"/>
    </w:pPr>
    <w:rPr>
      <w:rFonts w:ascii="Times" w:hAnsi="Times"/>
    </w:rPr>
  </w:style>
  <w:style w:type="paragraph" w:customStyle="1" w:styleId="l-tit-endr-paragraf">
    <w:name w:val="l-tit-endr-paragraf"/>
    <w:basedOn w:val="Normal"/>
    <w:qFormat/>
    <w:rsid w:val="000762B7"/>
    <w:pPr>
      <w:keepNext/>
      <w:spacing w:before="240" w:after="0" w:line="240" w:lineRule="auto"/>
    </w:pPr>
    <w:rPr>
      <w:rFonts w:ascii="Times" w:hAnsi="Times"/>
      <w:noProof/>
      <w:lang w:val="nn-NO"/>
    </w:rPr>
  </w:style>
  <w:style w:type="paragraph" w:customStyle="1" w:styleId="tittel-ramme">
    <w:name w:val="tittel-ramme"/>
    <w:basedOn w:val="Normal"/>
    <w:next w:val="Normal"/>
    <w:rsid w:val="000762B7"/>
    <w:pPr>
      <w:keepNext/>
      <w:keepLines/>
      <w:numPr>
        <w:ilvl w:val="7"/>
        <w:numId w:val="20"/>
      </w:numPr>
      <w:spacing w:before="360" w:after="80"/>
      <w:jc w:val="center"/>
    </w:pPr>
    <w:rPr>
      <w:rFonts w:ascii="Arial" w:hAnsi="Arial"/>
      <w:b/>
    </w:rPr>
  </w:style>
  <w:style w:type="character" w:customStyle="1" w:styleId="BunntekstTegn">
    <w:name w:val="Bunntekst Tegn"/>
    <w:basedOn w:val="Standardskriftforavsnitt"/>
    <w:link w:val="Bunntekst"/>
    <w:rsid w:val="000762B7"/>
    <w:rPr>
      <w:rFonts w:ascii="Times New Roman" w:eastAsia="Times New Roman" w:hAnsi="Times New Roman"/>
      <w:spacing w:val="4"/>
      <w:sz w:val="20"/>
    </w:rPr>
  </w:style>
  <w:style w:type="character" w:customStyle="1" w:styleId="DatoTegn">
    <w:name w:val="Dato Tegn"/>
    <w:basedOn w:val="Standardskriftforavsnitt"/>
    <w:link w:val="Dato0"/>
    <w:rsid w:val="000762B7"/>
    <w:rPr>
      <w:rFonts w:ascii="Times New Roman" w:eastAsia="Times New Roman" w:hAnsi="Times New Roman"/>
      <w:spacing w:val="4"/>
      <w:sz w:val="24"/>
    </w:rPr>
  </w:style>
  <w:style w:type="character" w:styleId="Fotnotereferanse">
    <w:name w:val="footnote reference"/>
    <w:basedOn w:val="Standardskriftforavsnitt"/>
    <w:rsid w:val="000762B7"/>
    <w:rPr>
      <w:vertAlign w:val="superscript"/>
    </w:rPr>
  </w:style>
  <w:style w:type="character" w:customStyle="1" w:styleId="gjennomstreket">
    <w:name w:val="gjennomstreket"/>
    <w:uiPriority w:val="1"/>
    <w:rsid w:val="000762B7"/>
    <w:rPr>
      <w:strike/>
      <w:dstrike w:val="0"/>
    </w:rPr>
  </w:style>
  <w:style w:type="character" w:customStyle="1" w:styleId="halvfet">
    <w:name w:val="halvfet"/>
    <w:basedOn w:val="Standardskriftforavsnitt"/>
    <w:rsid w:val="000762B7"/>
    <w:rPr>
      <w:b/>
    </w:rPr>
  </w:style>
  <w:style w:type="character" w:styleId="Hyperkobling">
    <w:name w:val="Hyperlink"/>
    <w:basedOn w:val="Standardskriftforavsnitt"/>
    <w:uiPriority w:val="99"/>
    <w:unhideWhenUsed/>
    <w:rsid w:val="000762B7"/>
    <w:rPr>
      <w:color w:val="0000FF" w:themeColor="hyperlink"/>
      <w:u w:val="single"/>
    </w:rPr>
  </w:style>
  <w:style w:type="character" w:customStyle="1" w:styleId="kursiv">
    <w:name w:val="kursiv"/>
    <w:basedOn w:val="Standardskriftforavsnitt"/>
    <w:rsid w:val="000762B7"/>
    <w:rPr>
      <w:i/>
    </w:rPr>
  </w:style>
  <w:style w:type="character" w:customStyle="1" w:styleId="l-endring">
    <w:name w:val="l-endring"/>
    <w:basedOn w:val="Standardskriftforavsnitt"/>
    <w:rsid w:val="000762B7"/>
    <w:rPr>
      <w:i/>
    </w:rPr>
  </w:style>
  <w:style w:type="character" w:styleId="Sidetall">
    <w:name w:val="page number"/>
    <w:basedOn w:val="Standardskriftforavsnitt"/>
    <w:rsid w:val="000762B7"/>
  </w:style>
  <w:style w:type="character" w:styleId="Plassholdertekst">
    <w:name w:val="Placeholder Text"/>
    <w:basedOn w:val="Standardskriftforavsnitt"/>
    <w:uiPriority w:val="99"/>
    <w:rsid w:val="000762B7"/>
    <w:rPr>
      <w:color w:val="808080"/>
    </w:rPr>
  </w:style>
  <w:style w:type="character" w:customStyle="1" w:styleId="regular">
    <w:name w:val="regular"/>
    <w:basedOn w:val="Standardskriftforavsnitt"/>
    <w:uiPriority w:val="1"/>
    <w:qFormat/>
    <w:rsid w:val="000762B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0762B7"/>
    <w:rPr>
      <w:vertAlign w:val="superscript"/>
    </w:rPr>
  </w:style>
  <w:style w:type="character" w:customStyle="1" w:styleId="skrift-senket">
    <w:name w:val="skrift-senket"/>
    <w:basedOn w:val="Standardskriftforavsnitt"/>
    <w:rsid w:val="000762B7"/>
    <w:rPr>
      <w:vertAlign w:val="subscript"/>
    </w:rPr>
  </w:style>
  <w:style w:type="character" w:customStyle="1" w:styleId="SluttnotetekstTegn">
    <w:name w:val="Sluttnotetekst Tegn"/>
    <w:basedOn w:val="Standardskriftforavsnitt"/>
    <w:link w:val="Sluttnotetekst"/>
    <w:uiPriority w:val="99"/>
    <w:semiHidden/>
    <w:rsid w:val="000762B7"/>
    <w:rPr>
      <w:rFonts w:ascii="Times New Roman" w:eastAsia="Times New Roman" w:hAnsi="Times New Roman"/>
      <w:spacing w:val="4"/>
      <w:sz w:val="20"/>
      <w:szCs w:val="20"/>
    </w:rPr>
  </w:style>
  <w:style w:type="character" w:customStyle="1" w:styleId="sperret">
    <w:name w:val="sperret"/>
    <w:basedOn w:val="Standardskriftforavsnitt"/>
    <w:rsid w:val="000762B7"/>
    <w:rPr>
      <w:spacing w:val="30"/>
    </w:rPr>
  </w:style>
  <w:style w:type="character" w:customStyle="1" w:styleId="SterktsitatTegn">
    <w:name w:val="Sterkt sitat Tegn"/>
    <w:basedOn w:val="Standardskriftforavsnitt"/>
    <w:link w:val="Sterktsitat"/>
    <w:uiPriority w:val="30"/>
    <w:rsid w:val="000762B7"/>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0762B7"/>
    <w:rPr>
      <w:color w:val="0000FF"/>
    </w:rPr>
  </w:style>
  <w:style w:type="character" w:styleId="Sterk">
    <w:name w:val="Strong"/>
    <w:basedOn w:val="Standardskriftforavsnitt"/>
    <w:uiPriority w:val="22"/>
    <w:qFormat/>
    <w:rsid w:val="000762B7"/>
    <w:rPr>
      <w:b/>
      <w:bCs/>
    </w:rPr>
  </w:style>
  <w:style w:type="character" w:customStyle="1" w:styleId="TopptekstTegn">
    <w:name w:val="Topptekst Tegn"/>
    <w:basedOn w:val="Standardskriftforavsnitt"/>
    <w:link w:val="Topptekst"/>
    <w:rsid w:val="000762B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762B7"/>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0762B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62B7"/>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0762B7"/>
    <w:rPr>
      <w:rFonts w:ascii="Arial" w:eastAsia="Times New Roman" w:hAnsi="Arial"/>
      <w:i/>
      <w:spacing w:val="4"/>
    </w:rPr>
  </w:style>
  <w:style w:type="character" w:customStyle="1" w:styleId="Overskrift7Tegn">
    <w:name w:val="Overskrift 7 Tegn"/>
    <w:basedOn w:val="Standardskriftforavsnitt"/>
    <w:link w:val="Overskrift7"/>
    <w:rsid w:val="000762B7"/>
    <w:rPr>
      <w:rFonts w:ascii="Arial" w:eastAsia="Times New Roman" w:hAnsi="Arial"/>
      <w:spacing w:val="4"/>
      <w:sz w:val="24"/>
    </w:rPr>
  </w:style>
  <w:style w:type="character" w:customStyle="1" w:styleId="Overskrift8Tegn">
    <w:name w:val="Overskrift 8 Tegn"/>
    <w:basedOn w:val="Standardskriftforavsnitt"/>
    <w:link w:val="Overskrift8"/>
    <w:rsid w:val="000762B7"/>
    <w:rPr>
      <w:rFonts w:ascii="Arial" w:eastAsia="Times New Roman" w:hAnsi="Arial"/>
      <w:i/>
      <w:spacing w:val="4"/>
      <w:sz w:val="24"/>
    </w:rPr>
  </w:style>
  <w:style w:type="character" w:customStyle="1" w:styleId="Overskrift9Tegn">
    <w:name w:val="Overskrift 9 Tegn"/>
    <w:basedOn w:val="Standardskriftforavsnitt"/>
    <w:link w:val="Overskrift9"/>
    <w:rsid w:val="000762B7"/>
    <w:rPr>
      <w:rFonts w:ascii="Arial" w:eastAsia="Times New Roman" w:hAnsi="Arial"/>
      <w:i/>
      <w:spacing w:val="4"/>
      <w:sz w:val="18"/>
    </w:rPr>
  </w:style>
  <w:style w:type="table" w:customStyle="1" w:styleId="Tabell-VM">
    <w:name w:val="Tabell-VM"/>
    <w:basedOn w:val="Tabelltemaer"/>
    <w:uiPriority w:val="99"/>
    <w:qFormat/>
    <w:rsid w:val="000762B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0762B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762B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0762B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762B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0762B7"/>
    <w:pPr>
      <w:tabs>
        <w:tab w:val="center" w:pos="4153"/>
        <w:tab w:val="right" w:pos="8306"/>
      </w:tabs>
    </w:pPr>
    <w:rPr>
      <w:sz w:val="20"/>
    </w:rPr>
  </w:style>
  <w:style w:type="paragraph" w:styleId="INNH1">
    <w:name w:val="toc 1"/>
    <w:basedOn w:val="Normal"/>
    <w:next w:val="Normal"/>
    <w:rsid w:val="000762B7"/>
    <w:pPr>
      <w:tabs>
        <w:tab w:val="right" w:leader="dot" w:pos="8306"/>
      </w:tabs>
    </w:pPr>
    <w:rPr>
      <w:spacing w:val="0"/>
    </w:rPr>
  </w:style>
  <w:style w:type="paragraph" w:styleId="INNH2">
    <w:name w:val="toc 2"/>
    <w:basedOn w:val="Normal"/>
    <w:next w:val="Normal"/>
    <w:rsid w:val="000762B7"/>
    <w:pPr>
      <w:tabs>
        <w:tab w:val="right" w:leader="dot" w:pos="8306"/>
      </w:tabs>
      <w:ind w:left="200"/>
    </w:pPr>
    <w:rPr>
      <w:spacing w:val="0"/>
    </w:rPr>
  </w:style>
  <w:style w:type="paragraph" w:styleId="INNH3">
    <w:name w:val="toc 3"/>
    <w:basedOn w:val="Normal"/>
    <w:next w:val="Normal"/>
    <w:rsid w:val="000762B7"/>
    <w:pPr>
      <w:tabs>
        <w:tab w:val="right" w:leader="dot" w:pos="8306"/>
      </w:tabs>
      <w:ind w:left="400"/>
    </w:pPr>
    <w:rPr>
      <w:spacing w:val="0"/>
    </w:rPr>
  </w:style>
  <w:style w:type="paragraph" w:styleId="INNH4">
    <w:name w:val="toc 4"/>
    <w:basedOn w:val="Normal"/>
    <w:next w:val="Normal"/>
    <w:rsid w:val="000762B7"/>
    <w:pPr>
      <w:tabs>
        <w:tab w:val="right" w:leader="dot" w:pos="8306"/>
      </w:tabs>
      <w:ind w:left="600"/>
    </w:pPr>
    <w:rPr>
      <w:spacing w:val="0"/>
    </w:rPr>
  </w:style>
  <w:style w:type="paragraph" w:styleId="INNH5">
    <w:name w:val="toc 5"/>
    <w:basedOn w:val="Normal"/>
    <w:next w:val="Normal"/>
    <w:rsid w:val="000762B7"/>
    <w:pPr>
      <w:tabs>
        <w:tab w:val="right" w:leader="dot" w:pos="8306"/>
      </w:tabs>
      <w:ind w:left="800"/>
    </w:pPr>
    <w:rPr>
      <w:spacing w:val="0"/>
    </w:rPr>
  </w:style>
  <w:style w:type="character" w:styleId="Merknadsreferanse">
    <w:name w:val="annotation reference"/>
    <w:basedOn w:val="Standardskriftforavsnitt"/>
    <w:rsid w:val="000762B7"/>
    <w:rPr>
      <w:sz w:val="16"/>
    </w:rPr>
  </w:style>
  <w:style w:type="paragraph" w:styleId="Merknadstekst">
    <w:name w:val="annotation text"/>
    <w:basedOn w:val="Normal"/>
    <w:link w:val="MerknadstekstTegn"/>
    <w:rsid w:val="000762B7"/>
    <w:rPr>
      <w:spacing w:val="0"/>
      <w:sz w:val="20"/>
    </w:rPr>
  </w:style>
  <w:style w:type="character" w:customStyle="1" w:styleId="MerknadstekstTegn">
    <w:name w:val="Merknadstekst Tegn"/>
    <w:basedOn w:val="Standardskriftforavsnitt"/>
    <w:link w:val="Merknadstekst"/>
    <w:rsid w:val="000762B7"/>
    <w:rPr>
      <w:rFonts w:ascii="Times New Roman" w:eastAsia="Times New Roman" w:hAnsi="Times New Roman"/>
      <w:sz w:val="20"/>
    </w:rPr>
  </w:style>
  <w:style w:type="paragraph" w:styleId="Punktmerketliste">
    <w:name w:val="List Bullet"/>
    <w:basedOn w:val="Normal"/>
    <w:rsid w:val="000762B7"/>
    <w:pPr>
      <w:spacing w:after="0"/>
      <w:ind w:left="284" w:hanging="284"/>
    </w:pPr>
  </w:style>
  <w:style w:type="paragraph" w:styleId="Punktmerketliste2">
    <w:name w:val="List Bullet 2"/>
    <w:basedOn w:val="Normal"/>
    <w:rsid w:val="000762B7"/>
    <w:pPr>
      <w:spacing w:after="0"/>
      <w:ind w:left="568" w:hanging="284"/>
    </w:pPr>
  </w:style>
  <w:style w:type="paragraph" w:styleId="Punktmerketliste3">
    <w:name w:val="List Bullet 3"/>
    <w:basedOn w:val="Normal"/>
    <w:rsid w:val="000762B7"/>
    <w:pPr>
      <w:spacing w:after="0"/>
      <w:ind w:left="851" w:hanging="284"/>
    </w:pPr>
  </w:style>
  <w:style w:type="paragraph" w:styleId="Punktmerketliste4">
    <w:name w:val="List Bullet 4"/>
    <w:basedOn w:val="Normal"/>
    <w:rsid w:val="000762B7"/>
    <w:pPr>
      <w:spacing w:after="0"/>
      <w:ind w:left="1135" w:hanging="284"/>
    </w:pPr>
    <w:rPr>
      <w:spacing w:val="0"/>
    </w:rPr>
  </w:style>
  <w:style w:type="paragraph" w:styleId="Punktmerketliste5">
    <w:name w:val="List Bullet 5"/>
    <w:basedOn w:val="Normal"/>
    <w:rsid w:val="000762B7"/>
    <w:pPr>
      <w:spacing w:after="0"/>
      <w:ind w:left="1418" w:hanging="284"/>
    </w:pPr>
    <w:rPr>
      <w:spacing w:val="0"/>
    </w:rPr>
  </w:style>
  <w:style w:type="paragraph" w:styleId="Topptekst">
    <w:name w:val="header"/>
    <w:basedOn w:val="Normal"/>
    <w:link w:val="TopptekstTegn"/>
    <w:rsid w:val="000762B7"/>
    <w:pPr>
      <w:tabs>
        <w:tab w:val="center" w:pos="4536"/>
        <w:tab w:val="right" w:pos="9072"/>
      </w:tabs>
    </w:pPr>
    <w:rPr>
      <w:spacing w:val="0"/>
      <w:sz w:val="20"/>
    </w:rPr>
  </w:style>
  <w:style w:type="table" w:customStyle="1" w:styleId="StandardTabell">
    <w:name w:val="StandardTabell"/>
    <w:basedOn w:val="Vanligtabell"/>
    <w:uiPriority w:val="99"/>
    <w:qFormat/>
    <w:rsid w:val="000762B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762B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762B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762B7"/>
    <w:pPr>
      <w:spacing w:after="0" w:line="240" w:lineRule="auto"/>
      <w:ind w:left="240" w:hanging="240"/>
    </w:pPr>
  </w:style>
  <w:style w:type="paragraph" w:styleId="Indeks2">
    <w:name w:val="index 2"/>
    <w:basedOn w:val="Normal"/>
    <w:next w:val="Normal"/>
    <w:autoRedefine/>
    <w:uiPriority w:val="99"/>
    <w:semiHidden/>
    <w:unhideWhenUsed/>
    <w:rsid w:val="000762B7"/>
    <w:pPr>
      <w:spacing w:after="0" w:line="240" w:lineRule="auto"/>
      <w:ind w:left="480" w:hanging="240"/>
    </w:pPr>
  </w:style>
  <w:style w:type="paragraph" w:styleId="Indeks3">
    <w:name w:val="index 3"/>
    <w:basedOn w:val="Normal"/>
    <w:next w:val="Normal"/>
    <w:autoRedefine/>
    <w:uiPriority w:val="99"/>
    <w:semiHidden/>
    <w:unhideWhenUsed/>
    <w:rsid w:val="000762B7"/>
    <w:pPr>
      <w:spacing w:after="0" w:line="240" w:lineRule="auto"/>
      <w:ind w:left="720" w:hanging="240"/>
    </w:pPr>
  </w:style>
  <w:style w:type="paragraph" w:styleId="Indeks4">
    <w:name w:val="index 4"/>
    <w:basedOn w:val="Normal"/>
    <w:next w:val="Normal"/>
    <w:autoRedefine/>
    <w:uiPriority w:val="99"/>
    <w:semiHidden/>
    <w:unhideWhenUsed/>
    <w:rsid w:val="000762B7"/>
    <w:pPr>
      <w:spacing w:after="0" w:line="240" w:lineRule="auto"/>
      <w:ind w:left="960" w:hanging="240"/>
    </w:pPr>
  </w:style>
  <w:style w:type="paragraph" w:styleId="Indeks5">
    <w:name w:val="index 5"/>
    <w:basedOn w:val="Normal"/>
    <w:next w:val="Normal"/>
    <w:autoRedefine/>
    <w:uiPriority w:val="99"/>
    <w:semiHidden/>
    <w:unhideWhenUsed/>
    <w:rsid w:val="000762B7"/>
    <w:pPr>
      <w:spacing w:after="0" w:line="240" w:lineRule="auto"/>
      <w:ind w:left="1200" w:hanging="240"/>
    </w:pPr>
  </w:style>
  <w:style w:type="paragraph" w:styleId="Indeks6">
    <w:name w:val="index 6"/>
    <w:basedOn w:val="Normal"/>
    <w:next w:val="Normal"/>
    <w:autoRedefine/>
    <w:uiPriority w:val="99"/>
    <w:semiHidden/>
    <w:unhideWhenUsed/>
    <w:rsid w:val="000762B7"/>
    <w:pPr>
      <w:spacing w:after="0" w:line="240" w:lineRule="auto"/>
      <w:ind w:left="1440" w:hanging="240"/>
    </w:pPr>
  </w:style>
  <w:style w:type="paragraph" w:styleId="Indeks7">
    <w:name w:val="index 7"/>
    <w:basedOn w:val="Normal"/>
    <w:next w:val="Normal"/>
    <w:autoRedefine/>
    <w:uiPriority w:val="99"/>
    <w:semiHidden/>
    <w:unhideWhenUsed/>
    <w:rsid w:val="000762B7"/>
    <w:pPr>
      <w:spacing w:after="0" w:line="240" w:lineRule="auto"/>
      <w:ind w:left="1680" w:hanging="240"/>
    </w:pPr>
  </w:style>
  <w:style w:type="paragraph" w:styleId="Indeks8">
    <w:name w:val="index 8"/>
    <w:basedOn w:val="Normal"/>
    <w:next w:val="Normal"/>
    <w:autoRedefine/>
    <w:uiPriority w:val="99"/>
    <w:semiHidden/>
    <w:unhideWhenUsed/>
    <w:rsid w:val="000762B7"/>
    <w:pPr>
      <w:spacing w:after="0" w:line="240" w:lineRule="auto"/>
      <w:ind w:left="1920" w:hanging="240"/>
    </w:pPr>
  </w:style>
  <w:style w:type="paragraph" w:styleId="Indeks9">
    <w:name w:val="index 9"/>
    <w:basedOn w:val="Normal"/>
    <w:next w:val="Normal"/>
    <w:autoRedefine/>
    <w:uiPriority w:val="99"/>
    <w:semiHidden/>
    <w:unhideWhenUsed/>
    <w:rsid w:val="000762B7"/>
    <w:pPr>
      <w:spacing w:after="0" w:line="240" w:lineRule="auto"/>
      <w:ind w:left="2160" w:hanging="240"/>
    </w:pPr>
  </w:style>
  <w:style w:type="paragraph" w:styleId="INNH6">
    <w:name w:val="toc 6"/>
    <w:basedOn w:val="Normal"/>
    <w:next w:val="Normal"/>
    <w:autoRedefine/>
    <w:uiPriority w:val="39"/>
    <w:semiHidden/>
    <w:unhideWhenUsed/>
    <w:rsid w:val="000762B7"/>
    <w:pPr>
      <w:spacing w:after="100"/>
      <w:ind w:left="1200"/>
    </w:pPr>
  </w:style>
  <w:style w:type="paragraph" w:styleId="INNH7">
    <w:name w:val="toc 7"/>
    <w:basedOn w:val="Normal"/>
    <w:next w:val="Normal"/>
    <w:autoRedefine/>
    <w:uiPriority w:val="39"/>
    <w:semiHidden/>
    <w:unhideWhenUsed/>
    <w:rsid w:val="000762B7"/>
    <w:pPr>
      <w:spacing w:after="100"/>
      <w:ind w:left="1440"/>
    </w:pPr>
  </w:style>
  <w:style w:type="paragraph" w:styleId="INNH8">
    <w:name w:val="toc 8"/>
    <w:basedOn w:val="Normal"/>
    <w:next w:val="Normal"/>
    <w:autoRedefine/>
    <w:uiPriority w:val="39"/>
    <w:semiHidden/>
    <w:unhideWhenUsed/>
    <w:rsid w:val="000762B7"/>
    <w:pPr>
      <w:spacing w:after="100"/>
      <w:ind w:left="1680"/>
    </w:pPr>
  </w:style>
  <w:style w:type="paragraph" w:styleId="INNH9">
    <w:name w:val="toc 9"/>
    <w:basedOn w:val="Normal"/>
    <w:next w:val="Normal"/>
    <w:autoRedefine/>
    <w:uiPriority w:val="39"/>
    <w:semiHidden/>
    <w:unhideWhenUsed/>
    <w:rsid w:val="000762B7"/>
    <w:pPr>
      <w:spacing w:after="100"/>
      <w:ind w:left="1920"/>
    </w:pPr>
  </w:style>
  <w:style w:type="paragraph" w:styleId="Vanliginnrykk">
    <w:name w:val="Normal Indent"/>
    <w:basedOn w:val="Normal"/>
    <w:uiPriority w:val="99"/>
    <w:semiHidden/>
    <w:unhideWhenUsed/>
    <w:rsid w:val="000762B7"/>
    <w:pPr>
      <w:ind w:left="708"/>
    </w:pPr>
  </w:style>
  <w:style w:type="paragraph" w:styleId="Stikkordregisteroverskrift">
    <w:name w:val="index heading"/>
    <w:basedOn w:val="Normal"/>
    <w:next w:val="Indeks1"/>
    <w:uiPriority w:val="99"/>
    <w:semiHidden/>
    <w:unhideWhenUsed/>
    <w:rsid w:val="000762B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762B7"/>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0762B7"/>
    <w:pPr>
      <w:spacing w:after="0"/>
    </w:pPr>
  </w:style>
  <w:style w:type="paragraph" w:styleId="Konvoluttadresse">
    <w:name w:val="envelope address"/>
    <w:basedOn w:val="Normal"/>
    <w:uiPriority w:val="99"/>
    <w:semiHidden/>
    <w:unhideWhenUsed/>
    <w:rsid w:val="000762B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762B7"/>
  </w:style>
  <w:style w:type="character" w:styleId="Sluttnotereferanse">
    <w:name w:val="endnote reference"/>
    <w:basedOn w:val="Standardskriftforavsnitt"/>
    <w:uiPriority w:val="99"/>
    <w:semiHidden/>
    <w:unhideWhenUsed/>
    <w:rsid w:val="000762B7"/>
    <w:rPr>
      <w:vertAlign w:val="superscript"/>
    </w:rPr>
  </w:style>
  <w:style w:type="paragraph" w:styleId="Sluttnotetekst">
    <w:name w:val="endnote text"/>
    <w:basedOn w:val="Normal"/>
    <w:link w:val="SluttnotetekstTegn"/>
    <w:uiPriority w:val="99"/>
    <w:semiHidden/>
    <w:unhideWhenUsed/>
    <w:rsid w:val="000762B7"/>
    <w:pPr>
      <w:spacing w:after="0" w:line="240" w:lineRule="auto"/>
    </w:pPr>
    <w:rPr>
      <w:sz w:val="20"/>
      <w:szCs w:val="20"/>
    </w:rPr>
  </w:style>
  <w:style w:type="paragraph" w:styleId="Kildeliste">
    <w:name w:val="table of authorities"/>
    <w:basedOn w:val="Normal"/>
    <w:next w:val="Normal"/>
    <w:uiPriority w:val="99"/>
    <w:semiHidden/>
    <w:unhideWhenUsed/>
    <w:rsid w:val="000762B7"/>
    <w:pPr>
      <w:spacing w:after="0"/>
      <w:ind w:left="240" w:hanging="240"/>
    </w:pPr>
  </w:style>
  <w:style w:type="paragraph" w:styleId="Makrotekst">
    <w:name w:val="macro"/>
    <w:link w:val="MakrotekstTegn"/>
    <w:uiPriority w:val="99"/>
    <w:semiHidden/>
    <w:unhideWhenUsed/>
    <w:rsid w:val="000762B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762B7"/>
    <w:rPr>
      <w:rFonts w:ascii="Consolas" w:eastAsia="Times New Roman" w:hAnsi="Consolas"/>
      <w:spacing w:val="4"/>
    </w:rPr>
  </w:style>
  <w:style w:type="paragraph" w:styleId="Kildelisteoverskrift">
    <w:name w:val="toa heading"/>
    <w:basedOn w:val="Normal"/>
    <w:next w:val="Normal"/>
    <w:uiPriority w:val="99"/>
    <w:semiHidden/>
    <w:unhideWhenUsed/>
    <w:rsid w:val="000762B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762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0762B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0762B7"/>
    <w:pPr>
      <w:spacing w:after="0" w:line="240" w:lineRule="auto"/>
      <w:ind w:left="4252"/>
    </w:pPr>
  </w:style>
  <w:style w:type="character" w:customStyle="1" w:styleId="HilsenTegn">
    <w:name w:val="Hilsen Tegn"/>
    <w:basedOn w:val="Standardskriftforavsnitt"/>
    <w:link w:val="Hilsen"/>
    <w:uiPriority w:val="99"/>
    <w:semiHidden/>
    <w:rsid w:val="000762B7"/>
    <w:rPr>
      <w:rFonts w:ascii="Times New Roman" w:eastAsia="Times New Roman" w:hAnsi="Times New Roman"/>
      <w:spacing w:val="4"/>
      <w:sz w:val="24"/>
    </w:rPr>
  </w:style>
  <w:style w:type="paragraph" w:styleId="Underskrift">
    <w:name w:val="Signature"/>
    <w:basedOn w:val="Normal"/>
    <w:link w:val="UnderskriftTegn"/>
    <w:uiPriority w:val="99"/>
    <w:unhideWhenUsed/>
    <w:rsid w:val="000762B7"/>
    <w:pPr>
      <w:spacing w:after="0" w:line="240" w:lineRule="auto"/>
      <w:ind w:left="4252"/>
    </w:pPr>
  </w:style>
  <w:style w:type="paragraph" w:styleId="Liste-forts">
    <w:name w:val="List Continue"/>
    <w:basedOn w:val="Normal"/>
    <w:uiPriority w:val="99"/>
    <w:semiHidden/>
    <w:unhideWhenUsed/>
    <w:rsid w:val="000762B7"/>
    <w:pPr>
      <w:ind w:left="283"/>
      <w:contextualSpacing/>
    </w:pPr>
  </w:style>
  <w:style w:type="paragraph" w:styleId="Liste-forts2">
    <w:name w:val="List Continue 2"/>
    <w:basedOn w:val="Normal"/>
    <w:uiPriority w:val="99"/>
    <w:semiHidden/>
    <w:unhideWhenUsed/>
    <w:rsid w:val="000762B7"/>
    <w:pPr>
      <w:ind w:left="566"/>
      <w:contextualSpacing/>
    </w:pPr>
  </w:style>
  <w:style w:type="paragraph" w:styleId="Liste-forts3">
    <w:name w:val="List Continue 3"/>
    <w:basedOn w:val="Normal"/>
    <w:uiPriority w:val="99"/>
    <w:semiHidden/>
    <w:unhideWhenUsed/>
    <w:rsid w:val="000762B7"/>
    <w:pPr>
      <w:ind w:left="849"/>
      <w:contextualSpacing/>
    </w:pPr>
  </w:style>
  <w:style w:type="paragraph" w:styleId="Liste-forts4">
    <w:name w:val="List Continue 4"/>
    <w:basedOn w:val="Normal"/>
    <w:uiPriority w:val="99"/>
    <w:semiHidden/>
    <w:unhideWhenUsed/>
    <w:rsid w:val="000762B7"/>
    <w:pPr>
      <w:ind w:left="1132"/>
      <w:contextualSpacing/>
    </w:pPr>
  </w:style>
  <w:style w:type="paragraph" w:styleId="Liste-forts5">
    <w:name w:val="List Continue 5"/>
    <w:basedOn w:val="Normal"/>
    <w:uiPriority w:val="99"/>
    <w:semiHidden/>
    <w:unhideWhenUsed/>
    <w:rsid w:val="000762B7"/>
    <w:pPr>
      <w:ind w:left="1415"/>
      <w:contextualSpacing/>
    </w:pPr>
  </w:style>
  <w:style w:type="paragraph" w:styleId="Meldingshode">
    <w:name w:val="Message Header"/>
    <w:basedOn w:val="Normal"/>
    <w:link w:val="MeldingshodeTegn"/>
    <w:uiPriority w:val="99"/>
    <w:semiHidden/>
    <w:unhideWhenUsed/>
    <w:rsid w:val="000762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762B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762B7"/>
  </w:style>
  <w:style w:type="character" w:customStyle="1" w:styleId="InnledendehilsenTegn">
    <w:name w:val="Innledende hilsen Tegn"/>
    <w:basedOn w:val="Standardskriftforavsnitt"/>
    <w:link w:val="Innledendehilsen"/>
    <w:uiPriority w:val="99"/>
    <w:semiHidden/>
    <w:rsid w:val="000762B7"/>
    <w:rPr>
      <w:rFonts w:ascii="Times New Roman" w:eastAsia="Times New Roman" w:hAnsi="Times New Roman"/>
      <w:spacing w:val="4"/>
      <w:sz w:val="24"/>
    </w:rPr>
  </w:style>
  <w:style w:type="paragraph" w:styleId="Dato0">
    <w:name w:val="Date"/>
    <w:basedOn w:val="Normal"/>
    <w:next w:val="Normal"/>
    <w:link w:val="DatoTegn"/>
    <w:rsid w:val="000762B7"/>
  </w:style>
  <w:style w:type="paragraph" w:styleId="Notatoverskrift">
    <w:name w:val="Note Heading"/>
    <w:basedOn w:val="Normal"/>
    <w:next w:val="Normal"/>
    <w:link w:val="NotatoverskriftTegn"/>
    <w:uiPriority w:val="99"/>
    <w:semiHidden/>
    <w:unhideWhenUsed/>
    <w:rsid w:val="000762B7"/>
    <w:pPr>
      <w:spacing w:after="0" w:line="240" w:lineRule="auto"/>
    </w:pPr>
  </w:style>
  <w:style w:type="character" w:customStyle="1" w:styleId="NotatoverskriftTegn">
    <w:name w:val="Notatoverskrift Tegn"/>
    <w:basedOn w:val="Standardskriftforavsnitt"/>
    <w:link w:val="Notatoverskrift"/>
    <w:uiPriority w:val="99"/>
    <w:semiHidden/>
    <w:rsid w:val="000762B7"/>
    <w:rPr>
      <w:rFonts w:ascii="Times New Roman" w:eastAsia="Times New Roman" w:hAnsi="Times New Roman"/>
      <w:spacing w:val="4"/>
      <w:sz w:val="24"/>
    </w:rPr>
  </w:style>
  <w:style w:type="paragraph" w:styleId="Blokktekst">
    <w:name w:val="Block Text"/>
    <w:basedOn w:val="Normal"/>
    <w:uiPriority w:val="99"/>
    <w:semiHidden/>
    <w:unhideWhenUsed/>
    <w:rsid w:val="000762B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0762B7"/>
    <w:rPr>
      <w:color w:val="800080" w:themeColor="followedHyperlink"/>
      <w:u w:val="single"/>
    </w:rPr>
  </w:style>
  <w:style w:type="character" w:styleId="Utheving">
    <w:name w:val="Emphasis"/>
    <w:basedOn w:val="Standardskriftforavsnitt"/>
    <w:uiPriority w:val="20"/>
    <w:qFormat/>
    <w:rsid w:val="000762B7"/>
    <w:rPr>
      <w:i/>
      <w:iCs/>
    </w:rPr>
  </w:style>
  <w:style w:type="paragraph" w:styleId="Dokumentkart">
    <w:name w:val="Document Map"/>
    <w:basedOn w:val="Normal"/>
    <w:link w:val="DokumentkartTegn"/>
    <w:uiPriority w:val="99"/>
    <w:semiHidden/>
    <w:rsid w:val="000762B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762B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762B7"/>
    <w:rPr>
      <w:rFonts w:ascii="Courier New" w:hAnsi="Courier New" w:cs="Courier New"/>
      <w:sz w:val="20"/>
    </w:rPr>
  </w:style>
  <w:style w:type="character" w:customStyle="1" w:styleId="RentekstTegn">
    <w:name w:val="Ren tekst Tegn"/>
    <w:basedOn w:val="Standardskriftforavsnitt"/>
    <w:link w:val="Rentekst"/>
    <w:uiPriority w:val="99"/>
    <w:semiHidden/>
    <w:rsid w:val="000762B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762B7"/>
    <w:pPr>
      <w:spacing w:after="0" w:line="240" w:lineRule="auto"/>
    </w:pPr>
  </w:style>
  <w:style w:type="character" w:customStyle="1" w:styleId="E-postsignaturTegn">
    <w:name w:val="E-postsignatur Tegn"/>
    <w:basedOn w:val="Standardskriftforavsnitt"/>
    <w:link w:val="E-postsignatur"/>
    <w:uiPriority w:val="99"/>
    <w:semiHidden/>
    <w:rsid w:val="000762B7"/>
    <w:rPr>
      <w:rFonts w:ascii="Times New Roman" w:eastAsia="Times New Roman" w:hAnsi="Times New Roman"/>
      <w:spacing w:val="4"/>
      <w:sz w:val="24"/>
    </w:rPr>
  </w:style>
  <w:style w:type="paragraph" w:styleId="NormalWeb">
    <w:name w:val="Normal (Web)"/>
    <w:basedOn w:val="Normal"/>
    <w:uiPriority w:val="99"/>
    <w:semiHidden/>
    <w:unhideWhenUsed/>
    <w:rsid w:val="000762B7"/>
    <w:rPr>
      <w:szCs w:val="24"/>
    </w:rPr>
  </w:style>
  <w:style w:type="character" w:styleId="HTML-akronym">
    <w:name w:val="HTML Acronym"/>
    <w:basedOn w:val="Standardskriftforavsnitt"/>
    <w:uiPriority w:val="99"/>
    <w:semiHidden/>
    <w:unhideWhenUsed/>
    <w:rsid w:val="000762B7"/>
  </w:style>
  <w:style w:type="paragraph" w:styleId="HTML-adresse">
    <w:name w:val="HTML Address"/>
    <w:basedOn w:val="Normal"/>
    <w:link w:val="HTML-adresseTegn"/>
    <w:uiPriority w:val="99"/>
    <w:semiHidden/>
    <w:unhideWhenUsed/>
    <w:rsid w:val="000762B7"/>
    <w:pPr>
      <w:spacing w:after="0" w:line="240" w:lineRule="auto"/>
    </w:pPr>
    <w:rPr>
      <w:i/>
      <w:iCs/>
    </w:rPr>
  </w:style>
  <w:style w:type="character" w:customStyle="1" w:styleId="HTML-adresseTegn">
    <w:name w:val="HTML-adresse Tegn"/>
    <w:basedOn w:val="Standardskriftforavsnitt"/>
    <w:link w:val="HTML-adresse"/>
    <w:uiPriority w:val="99"/>
    <w:semiHidden/>
    <w:rsid w:val="000762B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762B7"/>
    <w:rPr>
      <w:i/>
      <w:iCs/>
    </w:rPr>
  </w:style>
  <w:style w:type="character" w:styleId="HTML-kode">
    <w:name w:val="HTML Code"/>
    <w:basedOn w:val="Standardskriftforavsnitt"/>
    <w:uiPriority w:val="99"/>
    <w:semiHidden/>
    <w:unhideWhenUsed/>
    <w:rsid w:val="000762B7"/>
    <w:rPr>
      <w:rFonts w:ascii="Consolas" w:hAnsi="Consolas"/>
      <w:sz w:val="20"/>
      <w:szCs w:val="20"/>
    </w:rPr>
  </w:style>
  <w:style w:type="character" w:styleId="HTML-definisjon">
    <w:name w:val="HTML Definition"/>
    <w:basedOn w:val="Standardskriftforavsnitt"/>
    <w:uiPriority w:val="99"/>
    <w:semiHidden/>
    <w:unhideWhenUsed/>
    <w:rsid w:val="000762B7"/>
    <w:rPr>
      <w:i/>
      <w:iCs/>
    </w:rPr>
  </w:style>
  <w:style w:type="character" w:styleId="HTML-tastatur">
    <w:name w:val="HTML Keyboard"/>
    <w:basedOn w:val="Standardskriftforavsnitt"/>
    <w:uiPriority w:val="99"/>
    <w:semiHidden/>
    <w:unhideWhenUsed/>
    <w:rsid w:val="000762B7"/>
    <w:rPr>
      <w:rFonts w:ascii="Consolas" w:hAnsi="Consolas"/>
      <w:sz w:val="20"/>
      <w:szCs w:val="20"/>
    </w:rPr>
  </w:style>
  <w:style w:type="paragraph" w:styleId="HTML-forhndsformatert">
    <w:name w:val="HTML Preformatted"/>
    <w:basedOn w:val="Normal"/>
    <w:link w:val="HTML-forhndsformatertTegn"/>
    <w:uiPriority w:val="99"/>
    <w:semiHidden/>
    <w:unhideWhenUsed/>
    <w:rsid w:val="000762B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762B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762B7"/>
    <w:rPr>
      <w:rFonts w:ascii="Consolas" w:hAnsi="Consolas"/>
      <w:sz w:val="24"/>
      <w:szCs w:val="24"/>
    </w:rPr>
  </w:style>
  <w:style w:type="character" w:styleId="HTML-skrivemaskin">
    <w:name w:val="HTML Typewriter"/>
    <w:basedOn w:val="Standardskriftforavsnitt"/>
    <w:uiPriority w:val="99"/>
    <w:semiHidden/>
    <w:unhideWhenUsed/>
    <w:rsid w:val="000762B7"/>
    <w:rPr>
      <w:rFonts w:ascii="Consolas" w:hAnsi="Consolas"/>
      <w:sz w:val="20"/>
      <w:szCs w:val="20"/>
    </w:rPr>
  </w:style>
  <w:style w:type="character" w:styleId="HTML-variabel">
    <w:name w:val="HTML Variable"/>
    <w:basedOn w:val="Standardskriftforavsnitt"/>
    <w:uiPriority w:val="99"/>
    <w:semiHidden/>
    <w:unhideWhenUsed/>
    <w:rsid w:val="000762B7"/>
    <w:rPr>
      <w:i/>
      <w:iCs/>
    </w:rPr>
  </w:style>
  <w:style w:type="paragraph" w:styleId="Kommentaremne">
    <w:name w:val="annotation subject"/>
    <w:basedOn w:val="Merknadstekst"/>
    <w:next w:val="Merknadstekst"/>
    <w:link w:val="KommentaremneTegn"/>
    <w:uiPriority w:val="99"/>
    <w:semiHidden/>
    <w:unhideWhenUsed/>
    <w:rsid w:val="000762B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762B7"/>
    <w:rPr>
      <w:rFonts w:ascii="Times New Roman" w:eastAsia="Times New Roman" w:hAnsi="Times New Roman"/>
      <w:b/>
      <w:bCs/>
      <w:spacing w:val="4"/>
      <w:sz w:val="20"/>
      <w:szCs w:val="20"/>
    </w:rPr>
  </w:style>
  <w:style w:type="table" w:styleId="Tabellrutenett">
    <w:name w:val="Table Grid"/>
    <w:basedOn w:val="Vanligtabell"/>
    <w:uiPriority w:val="59"/>
    <w:rsid w:val="000762B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762B7"/>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762B7"/>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0762B7"/>
    <w:rPr>
      <w:i/>
      <w:iCs/>
      <w:color w:val="808080" w:themeColor="text1" w:themeTint="7F"/>
    </w:rPr>
  </w:style>
  <w:style w:type="character" w:styleId="Sterkutheving">
    <w:name w:val="Intense Emphasis"/>
    <w:basedOn w:val="Standardskriftforavsnitt"/>
    <w:uiPriority w:val="21"/>
    <w:qFormat/>
    <w:rsid w:val="000762B7"/>
    <w:rPr>
      <w:b/>
      <w:bCs/>
      <w:i/>
      <w:iCs/>
      <w:color w:val="4F81BD" w:themeColor="accent1"/>
    </w:rPr>
  </w:style>
  <w:style w:type="character" w:styleId="Svakreferanse">
    <w:name w:val="Subtle Reference"/>
    <w:basedOn w:val="Standardskriftforavsnitt"/>
    <w:uiPriority w:val="31"/>
    <w:qFormat/>
    <w:rsid w:val="000762B7"/>
    <w:rPr>
      <w:smallCaps/>
      <w:color w:val="C0504D" w:themeColor="accent2"/>
      <w:u w:val="single"/>
    </w:rPr>
  </w:style>
  <w:style w:type="character" w:styleId="Sterkreferanse">
    <w:name w:val="Intense Reference"/>
    <w:basedOn w:val="Standardskriftforavsnitt"/>
    <w:uiPriority w:val="32"/>
    <w:qFormat/>
    <w:rsid w:val="000762B7"/>
    <w:rPr>
      <w:b/>
      <w:bCs/>
      <w:smallCaps/>
      <w:color w:val="C0504D" w:themeColor="accent2"/>
      <w:spacing w:val="5"/>
      <w:u w:val="single"/>
    </w:rPr>
  </w:style>
  <w:style w:type="character" w:styleId="Boktittel">
    <w:name w:val="Book Title"/>
    <w:basedOn w:val="Standardskriftforavsnitt"/>
    <w:uiPriority w:val="33"/>
    <w:qFormat/>
    <w:rsid w:val="000762B7"/>
    <w:rPr>
      <w:b/>
      <w:bCs/>
      <w:smallCaps/>
      <w:spacing w:val="5"/>
    </w:rPr>
  </w:style>
  <w:style w:type="paragraph" w:styleId="Bibliografi">
    <w:name w:val="Bibliography"/>
    <w:basedOn w:val="Normal"/>
    <w:next w:val="Normal"/>
    <w:uiPriority w:val="37"/>
    <w:semiHidden/>
    <w:unhideWhenUsed/>
    <w:rsid w:val="000762B7"/>
  </w:style>
  <w:style w:type="paragraph" w:styleId="Overskriftforinnholdsfortegnelse">
    <w:name w:val="TOC Heading"/>
    <w:basedOn w:val="Overskrift1"/>
    <w:next w:val="Normal"/>
    <w:uiPriority w:val="39"/>
    <w:semiHidden/>
    <w:unhideWhenUsed/>
    <w:qFormat/>
    <w:rsid w:val="000762B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0762B7"/>
    <w:pPr>
      <w:numPr>
        <w:numId w:val="4"/>
      </w:numPr>
    </w:pPr>
  </w:style>
  <w:style w:type="numbering" w:customStyle="1" w:styleId="NrListeStil">
    <w:name w:val="NrListeStil"/>
    <w:uiPriority w:val="99"/>
    <w:rsid w:val="000762B7"/>
    <w:pPr>
      <w:numPr>
        <w:numId w:val="5"/>
      </w:numPr>
    </w:pPr>
  </w:style>
  <w:style w:type="numbering" w:customStyle="1" w:styleId="RomListeStil">
    <w:name w:val="RomListeStil"/>
    <w:uiPriority w:val="99"/>
    <w:rsid w:val="000762B7"/>
    <w:pPr>
      <w:numPr>
        <w:numId w:val="6"/>
      </w:numPr>
    </w:pPr>
  </w:style>
  <w:style w:type="numbering" w:customStyle="1" w:styleId="StrekListeStil">
    <w:name w:val="StrekListeStil"/>
    <w:uiPriority w:val="99"/>
    <w:rsid w:val="000762B7"/>
    <w:pPr>
      <w:numPr>
        <w:numId w:val="7"/>
      </w:numPr>
    </w:pPr>
  </w:style>
  <w:style w:type="numbering" w:customStyle="1" w:styleId="OpplistingListeStil">
    <w:name w:val="OpplistingListeStil"/>
    <w:uiPriority w:val="99"/>
    <w:rsid w:val="000762B7"/>
    <w:pPr>
      <w:numPr>
        <w:numId w:val="8"/>
      </w:numPr>
    </w:pPr>
  </w:style>
  <w:style w:type="numbering" w:customStyle="1" w:styleId="l-NummerertListeStil">
    <w:name w:val="l-NummerertListeStil"/>
    <w:uiPriority w:val="99"/>
    <w:rsid w:val="000762B7"/>
    <w:pPr>
      <w:numPr>
        <w:numId w:val="9"/>
      </w:numPr>
    </w:pPr>
  </w:style>
  <w:style w:type="numbering" w:customStyle="1" w:styleId="l-AlfaListeStil">
    <w:name w:val="l-AlfaListeStil"/>
    <w:uiPriority w:val="99"/>
    <w:rsid w:val="000762B7"/>
    <w:pPr>
      <w:numPr>
        <w:numId w:val="10"/>
      </w:numPr>
    </w:pPr>
  </w:style>
  <w:style w:type="numbering" w:customStyle="1" w:styleId="OverskrifterListeStil">
    <w:name w:val="OverskrifterListeStil"/>
    <w:uiPriority w:val="99"/>
    <w:rsid w:val="000762B7"/>
    <w:pPr>
      <w:numPr>
        <w:numId w:val="11"/>
      </w:numPr>
    </w:pPr>
  </w:style>
  <w:style w:type="numbering" w:customStyle="1" w:styleId="l-ListeStilMal">
    <w:name w:val="l-ListeStilMal"/>
    <w:uiPriority w:val="99"/>
    <w:rsid w:val="000762B7"/>
    <w:pPr>
      <w:numPr>
        <w:numId w:val="12"/>
      </w:numPr>
    </w:pPr>
  </w:style>
  <w:style w:type="paragraph" w:styleId="Avsenderadresse">
    <w:name w:val="envelope return"/>
    <w:basedOn w:val="Normal"/>
    <w:uiPriority w:val="99"/>
    <w:semiHidden/>
    <w:unhideWhenUsed/>
    <w:rsid w:val="000762B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762B7"/>
  </w:style>
  <w:style w:type="character" w:customStyle="1" w:styleId="BrdtekstTegn">
    <w:name w:val="Brødtekst Tegn"/>
    <w:basedOn w:val="Standardskriftforavsnitt"/>
    <w:link w:val="Brdtekst"/>
    <w:semiHidden/>
    <w:rsid w:val="000762B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762B7"/>
    <w:pPr>
      <w:ind w:firstLine="360"/>
    </w:pPr>
  </w:style>
  <w:style w:type="character" w:customStyle="1" w:styleId="Brdtekst-frsteinnrykkTegn">
    <w:name w:val="Brødtekst - første innrykk Tegn"/>
    <w:basedOn w:val="BrdtekstTegn"/>
    <w:link w:val="Brdtekst-frsteinnrykk"/>
    <w:uiPriority w:val="99"/>
    <w:semiHidden/>
    <w:rsid w:val="000762B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762B7"/>
    <w:pPr>
      <w:ind w:left="283"/>
    </w:pPr>
  </w:style>
  <w:style w:type="character" w:customStyle="1" w:styleId="BrdtekstinnrykkTegn">
    <w:name w:val="Brødtekstinnrykk Tegn"/>
    <w:basedOn w:val="Standardskriftforavsnitt"/>
    <w:link w:val="Brdtekstinnrykk"/>
    <w:uiPriority w:val="99"/>
    <w:semiHidden/>
    <w:rsid w:val="000762B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762B7"/>
    <w:pPr>
      <w:ind w:left="360" w:firstLine="360"/>
    </w:pPr>
  </w:style>
  <w:style w:type="character" w:customStyle="1" w:styleId="Brdtekst-frsteinnrykk2Tegn">
    <w:name w:val="Brødtekst - første innrykk 2 Tegn"/>
    <w:basedOn w:val="BrdtekstinnrykkTegn"/>
    <w:link w:val="Brdtekst-frsteinnrykk2"/>
    <w:uiPriority w:val="99"/>
    <w:semiHidden/>
    <w:rsid w:val="000762B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762B7"/>
    <w:pPr>
      <w:spacing w:line="480" w:lineRule="auto"/>
    </w:pPr>
  </w:style>
  <w:style w:type="character" w:customStyle="1" w:styleId="Brdtekst2Tegn">
    <w:name w:val="Brødtekst 2 Tegn"/>
    <w:basedOn w:val="Standardskriftforavsnitt"/>
    <w:link w:val="Brdtekst2"/>
    <w:uiPriority w:val="99"/>
    <w:semiHidden/>
    <w:rsid w:val="000762B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762B7"/>
    <w:rPr>
      <w:sz w:val="16"/>
      <w:szCs w:val="16"/>
    </w:rPr>
  </w:style>
  <w:style w:type="character" w:customStyle="1" w:styleId="Brdtekst3Tegn">
    <w:name w:val="Brødtekst 3 Tegn"/>
    <w:basedOn w:val="Standardskriftforavsnitt"/>
    <w:link w:val="Brdtekst3"/>
    <w:uiPriority w:val="99"/>
    <w:semiHidden/>
    <w:rsid w:val="000762B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762B7"/>
    <w:pPr>
      <w:spacing w:line="480" w:lineRule="auto"/>
      <w:ind w:left="283"/>
    </w:pPr>
  </w:style>
  <w:style w:type="character" w:customStyle="1" w:styleId="Brdtekstinnrykk2Tegn">
    <w:name w:val="Brødtekstinnrykk 2 Tegn"/>
    <w:basedOn w:val="Standardskriftforavsnitt"/>
    <w:link w:val="Brdtekstinnrykk2"/>
    <w:uiPriority w:val="99"/>
    <w:semiHidden/>
    <w:rsid w:val="000762B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762B7"/>
    <w:pPr>
      <w:ind w:left="283"/>
    </w:pPr>
    <w:rPr>
      <w:sz w:val="16"/>
      <w:szCs w:val="16"/>
    </w:rPr>
  </w:style>
  <w:style w:type="character" w:customStyle="1" w:styleId="Brdtekstinnrykk3Tegn">
    <w:name w:val="Brødtekstinnrykk 3 Tegn"/>
    <w:basedOn w:val="Standardskriftforavsnitt"/>
    <w:link w:val="Brdtekstinnrykk3"/>
    <w:uiPriority w:val="99"/>
    <w:semiHidden/>
    <w:rsid w:val="000762B7"/>
    <w:rPr>
      <w:rFonts w:ascii="Times New Roman" w:eastAsia="Times New Roman" w:hAnsi="Times New Roman"/>
      <w:spacing w:val="4"/>
      <w:sz w:val="16"/>
      <w:szCs w:val="16"/>
    </w:rPr>
  </w:style>
  <w:style w:type="paragraph" w:customStyle="1" w:styleId="Sammendrag">
    <w:name w:val="Sammendrag"/>
    <w:basedOn w:val="Overskrift1"/>
    <w:qFormat/>
    <w:rsid w:val="000762B7"/>
    <w:pPr>
      <w:numPr>
        <w:numId w:val="0"/>
      </w:numPr>
    </w:pPr>
  </w:style>
  <w:style w:type="paragraph" w:customStyle="1" w:styleId="TrykkeriMerknad">
    <w:name w:val="TrykkeriMerknad"/>
    <w:basedOn w:val="Normal"/>
    <w:qFormat/>
    <w:rsid w:val="000762B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0762B7"/>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E81532"/>
    <w:rPr>
      <w:i/>
      <w:iCs/>
      <w:color w:val="000000" w:themeColor="text1"/>
    </w:rPr>
  </w:style>
  <w:style w:type="character" w:customStyle="1" w:styleId="SitatTegn1">
    <w:name w:val="Sitat Tegn1"/>
    <w:basedOn w:val="Standardskriftforavsnitt"/>
    <w:link w:val="Sitat"/>
    <w:uiPriority w:val="29"/>
    <w:rsid w:val="00E81532"/>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7</TotalTime>
  <Pages>51</Pages>
  <Words>21839</Words>
  <Characters>132615</Characters>
  <Application>Microsoft Office Word</Application>
  <DocSecurity>0</DocSecurity>
  <Lines>1105</Lines>
  <Paragraphs>308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4</cp:revision>
  <dcterms:created xsi:type="dcterms:W3CDTF">2019-04-02T08:24:00Z</dcterms:created>
  <dcterms:modified xsi:type="dcterms:W3CDTF">2019-04-02T08:31:00Z</dcterms:modified>
</cp:coreProperties>
</file>