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BC0B4" w14:textId="77777777" w:rsidR="000326D4" w:rsidRPr="003D0F8D" w:rsidRDefault="000326D4" w:rsidP="000326D4">
      <w:pPr>
        <w:jc w:val="center"/>
        <w:rPr>
          <w:b/>
          <w:sz w:val="32"/>
          <w:szCs w:val="32"/>
        </w:rPr>
      </w:pPr>
      <w:bookmarkStart w:id="0" w:name="_Hlk76377647"/>
    </w:p>
    <w:p w14:paraId="768C904E" w14:textId="77777777" w:rsidR="000326D4" w:rsidRPr="003D0F8D" w:rsidRDefault="000326D4" w:rsidP="000326D4">
      <w:pPr>
        <w:jc w:val="center"/>
        <w:rPr>
          <w:b/>
          <w:sz w:val="32"/>
          <w:szCs w:val="32"/>
        </w:rPr>
      </w:pPr>
    </w:p>
    <w:p w14:paraId="0988F527" w14:textId="77777777" w:rsidR="000326D4" w:rsidRPr="003D0F8D" w:rsidRDefault="000326D4" w:rsidP="000326D4">
      <w:pPr>
        <w:jc w:val="center"/>
        <w:rPr>
          <w:b/>
          <w:sz w:val="32"/>
          <w:szCs w:val="32"/>
        </w:rPr>
      </w:pPr>
    </w:p>
    <w:p w14:paraId="66319389" w14:textId="77777777" w:rsidR="000326D4" w:rsidRPr="003D0F8D" w:rsidRDefault="000326D4" w:rsidP="000326D4">
      <w:pPr>
        <w:jc w:val="center"/>
        <w:rPr>
          <w:b/>
          <w:sz w:val="32"/>
          <w:szCs w:val="32"/>
        </w:rPr>
      </w:pPr>
    </w:p>
    <w:p w14:paraId="16F5DBB8" w14:textId="77777777" w:rsidR="000326D4" w:rsidRPr="003D0F8D" w:rsidRDefault="000326D4" w:rsidP="000326D4">
      <w:pPr>
        <w:jc w:val="center"/>
        <w:rPr>
          <w:b/>
          <w:sz w:val="32"/>
          <w:szCs w:val="32"/>
        </w:rPr>
      </w:pPr>
    </w:p>
    <w:p w14:paraId="70FAD95D" w14:textId="77777777" w:rsidR="000326D4" w:rsidRPr="003D0F8D" w:rsidRDefault="000326D4" w:rsidP="000326D4">
      <w:pPr>
        <w:jc w:val="center"/>
        <w:rPr>
          <w:b/>
          <w:sz w:val="32"/>
          <w:szCs w:val="32"/>
        </w:rPr>
      </w:pPr>
    </w:p>
    <w:p w14:paraId="6271B57A" w14:textId="77777777" w:rsidR="000326D4" w:rsidRPr="003D0F8D" w:rsidRDefault="000326D4" w:rsidP="000326D4">
      <w:pPr>
        <w:jc w:val="center"/>
        <w:rPr>
          <w:b/>
          <w:sz w:val="32"/>
          <w:szCs w:val="32"/>
        </w:rPr>
      </w:pPr>
    </w:p>
    <w:p w14:paraId="3F4BEA5A" w14:textId="77777777" w:rsidR="000326D4" w:rsidRPr="003D0F8D" w:rsidRDefault="000326D4" w:rsidP="000326D4">
      <w:pPr>
        <w:jc w:val="center"/>
        <w:rPr>
          <w:b/>
          <w:sz w:val="32"/>
          <w:szCs w:val="32"/>
        </w:rPr>
      </w:pPr>
    </w:p>
    <w:p w14:paraId="5E6A6126" w14:textId="182CDE9F" w:rsidR="000326D4" w:rsidRPr="003D0F8D" w:rsidRDefault="000326D4" w:rsidP="000326D4">
      <w:pPr>
        <w:jc w:val="center"/>
        <w:rPr>
          <w:b/>
          <w:sz w:val="32"/>
          <w:szCs w:val="32"/>
        </w:rPr>
      </w:pPr>
      <w:r w:rsidRPr="003D0F8D">
        <w:rPr>
          <w:b/>
          <w:sz w:val="32"/>
          <w:szCs w:val="32"/>
        </w:rPr>
        <w:t>ANNEX XIX</w:t>
      </w:r>
    </w:p>
    <w:p w14:paraId="321DE292" w14:textId="77777777" w:rsidR="000326D4" w:rsidRPr="003D0F8D" w:rsidRDefault="000326D4" w:rsidP="000326D4">
      <w:pPr>
        <w:jc w:val="center"/>
        <w:rPr>
          <w:sz w:val="28"/>
          <w:szCs w:val="28"/>
        </w:rPr>
      </w:pPr>
    </w:p>
    <w:p w14:paraId="3F89C6DE" w14:textId="77777777" w:rsidR="000326D4" w:rsidRPr="003D0F8D" w:rsidRDefault="000326D4" w:rsidP="000326D4">
      <w:pPr>
        <w:jc w:val="center"/>
        <w:rPr>
          <w:sz w:val="28"/>
          <w:szCs w:val="28"/>
        </w:rPr>
      </w:pPr>
    </w:p>
    <w:p w14:paraId="239F0599" w14:textId="1111BB42" w:rsidR="000326D4" w:rsidRPr="003D0F8D" w:rsidRDefault="00430B95" w:rsidP="000326D4">
      <w:pPr>
        <w:jc w:val="center"/>
        <w:rPr>
          <w:bCs/>
          <w:sz w:val="28"/>
          <w:szCs w:val="28"/>
        </w:rPr>
      </w:pPr>
      <w:r w:rsidRPr="003D0F8D">
        <w:rPr>
          <w:bCs/>
          <w:sz w:val="28"/>
          <w:szCs w:val="28"/>
        </w:rPr>
        <w:t>REFERRED TO IN ARTICLE 3.26 (CONTRACTUAL SERVICE SUPPLIERS AND INDEPENDENT PROFESSIONALS) OF SECTION 3.4 (ENTRY AND TEMPORARY STAY OF NATURAL PERSONS) OF CHAPTER 3 (SERVICES AND INVESTMENT)</w:t>
      </w:r>
    </w:p>
    <w:p w14:paraId="26A674FB" w14:textId="77777777" w:rsidR="000326D4" w:rsidRPr="003D0F8D" w:rsidRDefault="000326D4" w:rsidP="000326D4">
      <w:pPr>
        <w:jc w:val="center"/>
        <w:rPr>
          <w:bCs/>
          <w:sz w:val="28"/>
          <w:szCs w:val="28"/>
        </w:rPr>
      </w:pPr>
    </w:p>
    <w:p w14:paraId="5AE29613" w14:textId="77777777" w:rsidR="000326D4" w:rsidRPr="003D0F8D" w:rsidRDefault="000326D4" w:rsidP="000326D4">
      <w:pPr>
        <w:jc w:val="center"/>
        <w:rPr>
          <w:bCs/>
          <w:sz w:val="28"/>
          <w:szCs w:val="28"/>
        </w:rPr>
      </w:pPr>
    </w:p>
    <w:p w14:paraId="770E9FE4" w14:textId="77777777" w:rsidR="000326D4" w:rsidRPr="003D0F8D" w:rsidRDefault="000326D4" w:rsidP="000326D4">
      <w:pPr>
        <w:rPr>
          <w:bCs/>
          <w:szCs w:val="24"/>
        </w:rPr>
        <w:sectPr w:rsidR="000326D4" w:rsidRPr="003D0F8D" w:rsidSect="003D0F8D">
          <w:pgSz w:w="11906" w:h="16838" w:code="9"/>
          <w:pgMar w:top="1701" w:right="1644" w:bottom="1701" w:left="2211" w:header="709" w:footer="709" w:gutter="0"/>
          <w:cols w:space="708"/>
          <w:titlePg/>
          <w:docGrid w:linePitch="360"/>
        </w:sectPr>
      </w:pPr>
    </w:p>
    <w:bookmarkEnd w:id="0"/>
    <w:p w14:paraId="0567F909" w14:textId="4C8012E7" w:rsidR="00E124D2" w:rsidRPr="003D0F8D" w:rsidRDefault="00E124D2" w:rsidP="000326D4">
      <w:pPr>
        <w:pStyle w:val="Appendixnumberarabicreference"/>
      </w:pPr>
      <w:r w:rsidRPr="003D0F8D">
        <w:lastRenderedPageBreak/>
        <w:t xml:space="preserve">ANNEX </w:t>
      </w:r>
      <w:r w:rsidR="001269F0" w:rsidRPr="003D0F8D">
        <w:t>XIX</w:t>
      </w:r>
    </w:p>
    <w:p w14:paraId="4AF9AB49" w14:textId="68621264" w:rsidR="00E124D2" w:rsidRPr="003D0F8D" w:rsidRDefault="00E124D2" w:rsidP="000326D4">
      <w:pPr>
        <w:pStyle w:val="Appendixnumberarabicreference"/>
      </w:pPr>
      <w:r w:rsidRPr="003D0F8D">
        <w:t>Contractual Service Suppliers and Independent Professionals</w:t>
      </w:r>
    </w:p>
    <w:p w14:paraId="15686471" w14:textId="4A2A5C6B" w:rsidR="001269F0" w:rsidRPr="003D0F8D" w:rsidRDefault="001269F0" w:rsidP="000326D4">
      <w:pPr>
        <w:pStyle w:val="Appendixnumberarabicreference"/>
      </w:pPr>
      <w:r w:rsidRPr="003D0F8D">
        <w:t>referred to in article 3.26 (Contractual Service Suppliers and Independent Professionals)</w:t>
      </w:r>
      <w:r w:rsidR="00430B95" w:rsidRPr="003D0F8D">
        <w:t xml:space="preserve"> </w:t>
      </w:r>
      <w:r w:rsidR="00430B95" w:rsidRPr="003D0F8D">
        <w:rPr>
          <w:bCs/>
        </w:rPr>
        <w:t>OF SECTION 3.4 (ENTRY AND TEMPORARY STAY OF NATURAL PERSONS) OF CHAPTER 3 (SERVICES AND INVESTMENT)</w:t>
      </w:r>
    </w:p>
    <w:p w14:paraId="428839F8" w14:textId="28970537" w:rsidR="00E124D2" w:rsidRPr="003D0F8D" w:rsidRDefault="00E124D2" w:rsidP="000326D4">
      <w:pPr>
        <w:pStyle w:val="Appendixnumberarabicreference"/>
      </w:pPr>
      <w:r w:rsidRPr="003D0F8D">
        <w:t>Schedule of the United Kingdom</w:t>
      </w:r>
    </w:p>
    <w:p w14:paraId="3FD18F3F" w14:textId="18E8DA66" w:rsidR="00E124D2" w:rsidRPr="003D0F8D" w:rsidRDefault="00E124D2" w:rsidP="005058CA">
      <w:pPr>
        <w:pStyle w:val="FTAtextlistedparagraphs"/>
      </w:pPr>
      <w:r w:rsidRPr="003D0F8D">
        <w:t xml:space="preserve">The United Kingdom shall allow the supply of services in </w:t>
      </w:r>
      <w:r w:rsidR="00CF6E7F" w:rsidRPr="003D0F8D">
        <w:t>the United Kingdom</w:t>
      </w:r>
      <w:r w:rsidRPr="003D0F8D">
        <w:t xml:space="preserve"> by contractual service suppliers or independent professionals of the EEA</w:t>
      </w:r>
      <w:r w:rsidR="00A34747" w:rsidRPr="003D0F8D">
        <w:t xml:space="preserve"> </w:t>
      </w:r>
      <w:r w:rsidRPr="003D0F8D">
        <w:t xml:space="preserve">EFTA </w:t>
      </w:r>
      <w:r w:rsidR="00A34747" w:rsidRPr="003D0F8D">
        <w:t>S</w:t>
      </w:r>
      <w:r w:rsidRPr="003D0F8D">
        <w:t xml:space="preserve">tates through the presence of natural persons in accordance with Article </w:t>
      </w:r>
      <w:r w:rsidR="00A34747" w:rsidRPr="003D0F8D">
        <w:t>3.26</w:t>
      </w:r>
      <w:r w:rsidRPr="003D0F8D">
        <w:t xml:space="preserve"> (Contractual </w:t>
      </w:r>
      <w:r w:rsidR="00A34747" w:rsidRPr="003D0F8D">
        <w:t>S</w:t>
      </w:r>
      <w:r w:rsidRPr="003D0F8D">
        <w:t xml:space="preserve">ervice </w:t>
      </w:r>
      <w:r w:rsidR="00A34747" w:rsidRPr="003D0F8D">
        <w:t>S</w:t>
      </w:r>
      <w:r w:rsidRPr="003D0F8D">
        <w:t xml:space="preserve">uppliers and </w:t>
      </w:r>
      <w:r w:rsidR="00A34747" w:rsidRPr="003D0F8D">
        <w:t>I</w:t>
      </w:r>
      <w:r w:rsidRPr="003D0F8D">
        <w:t xml:space="preserve">ndependent </w:t>
      </w:r>
      <w:r w:rsidR="00A34747" w:rsidRPr="003D0F8D">
        <w:t>P</w:t>
      </w:r>
      <w:r w:rsidRPr="003D0F8D">
        <w:t xml:space="preserve">rofessionals) </w:t>
      </w:r>
      <w:r w:rsidR="00A34747" w:rsidRPr="003D0F8D">
        <w:t xml:space="preserve">of Section 3.4 </w:t>
      </w:r>
      <w:r w:rsidR="00430B95" w:rsidRPr="003D0F8D">
        <w:t xml:space="preserve">(Entry and Temporary Stay of Natural Persons) of Chapter 3 (Services and Investment) </w:t>
      </w:r>
      <w:r w:rsidRPr="003D0F8D">
        <w:t xml:space="preserve">for the sectors listed in this Schedule, subject to the relevant limitations listed in paragraph 13 of this </w:t>
      </w:r>
      <w:r w:rsidR="00627BE0" w:rsidRPr="003D0F8D">
        <w:t>Schedule</w:t>
      </w:r>
      <w:r w:rsidRPr="003D0F8D">
        <w:t>.</w:t>
      </w:r>
    </w:p>
    <w:p w14:paraId="424EB1C8" w14:textId="6EAB3B0B" w:rsidR="00E124D2" w:rsidRPr="003D0F8D" w:rsidRDefault="00E124D2" w:rsidP="005058CA">
      <w:pPr>
        <w:pStyle w:val="FTAtextlistedparagraphs"/>
      </w:pPr>
      <w:r w:rsidRPr="003D0F8D">
        <w:t xml:space="preserve">The list of reservations in paragraph 13 of this </w:t>
      </w:r>
      <w:r w:rsidR="00627BE0" w:rsidRPr="003D0F8D">
        <w:t xml:space="preserve">Schedule </w:t>
      </w:r>
      <w:r w:rsidRPr="003D0F8D">
        <w:t>is composed of the following elements:</w:t>
      </w:r>
    </w:p>
    <w:p w14:paraId="09A9BB55" w14:textId="43A9EAA3" w:rsidR="00E124D2" w:rsidRPr="003D0F8D" w:rsidRDefault="00E124D2" w:rsidP="005058CA">
      <w:pPr>
        <w:pStyle w:val="FTAtextlistedparagraphs"/>
        <w:numPr>
          <w:ilvl w:val="1"/>
          <w:numId w:val="4"/>
        </w:numPr>
      </w:pPr>
      <w:r w:rsidRPr="003D0F8D">
        <w:t>the first column indicating the sector or sub-sector for which the category of contractual service suppliers and independent professionals is liberalised; and</w:t>
      </w:r>
    </w:p>
    <w:p w14:paraId="263F213B" w14:textId="2666C1B2" w:rsidR="00E124D2" w:rsidRPr="003D0F8D" w:rsidRDefault="00E124D2" w:rsidP="005058CA">
      <w:pPr>
        <w:pStyle w:val="FTAtextlistedparagraphs"/>
        <w:numPr>
          <w:ilvl w:val="1"/>
          <w:numId w:val="4"/>
        </w:numPr>
      </w:pPr>
      <w:r w:rsidRPr="003D0F8D">
        <w:t>the second column describing the applicable limitations.</w:t>
      </w:r>
    </w:p>
    <w:p w14:paraId="6821B3A8" w14:textId="7C1BAACC" w:rsidR="00E124D2" w:rsidRPr="003D0F8D" w:rsidRDefault="00E124D2" w:rsidP="005058CA">
      <w:pPr>
        <w:pStyle w:val="FTAtextlistedparagraphs"/>
      </w:pPr>
      <w:r w:rsidRPr="003D0F8D">
        <w:t xml:space="preserve">In addition to the list of reservations in this Schedule, the United Kingdom may adopt or maintain any measures relating to qualification requirements, qualification procedures, technical standards, licensing requirements or licensing procedures that does not constitute a limitation within the meaning of Article </w:t>
      </w:r>
      <w:r w:rsidR="00FF66D3" w:rsidRPr="003D0F8D">
        <w:t>3</w:t>
      </w:r>
      <w:r w:rsidR="00A34747" w:rsidRPr="003D0F8D">
        <w:t>.26 (Contractual Service Suppliers and Independent Professionals) of Section 3.4</w:t>
      </w:r>
      <w:r w:rsidR="00430B95" w:rsidRPr="003D0F8D">
        <w:t xml:space="preserve"> (Entry and Temporary Stay of Natural Persons) of Chapter 3 (Services and Investment)</w:t>
      </w:r>
      <w:r w:rsidRPr="003D0F8D">
        <w:t>. These measures, which include requirements to obtain a licence, to obtain recognition of qualifications in regulated sectors or to pass specific examinations, such as language examinations, even if not listed in this Schedule, apply in any case to contractual service suppliers or independent professionals of the EEA</w:t>
      </w:r>
      <w:r w:rsidR="00A34747" w:rsidRPr="003D0F8D">
        <w:t xml:space="preserve"> </w:t>
      </w:r>
      <w:r w:rsidRPr="003D0F8D">
        <w:t xml:space="preserve">EFTA </w:t>
      </w:r>
      <w:r w:rsidR="00A34747" w:rsidRPr="003D0F8D">
        <w:t>S</w:t>
      </w:r>
      <w:r w:rsidRPr="003D0F8D">
        <w:t>tates.</w:t>
      </w:r>
    </w:p>
    <w:p w14:paraId="514A89F8" w14:textId="5F917E6C" w:rsidR="00E124D2" w:rsidRPr="003D0F8D" w:rsidRDefault="00E124D2" w:rsidP="005058CA">
      <w:pPr>
        <w:pStyle w:val="FTAtextlistedparagraphs"/>
      </w:pPr>
      <w:r w:rsidRPr="003D0F8D">
        <w:t xml:space="preserve">The United Kingdom does not undertake any commitment for contractual service suppliers and independent professionals in economic activities which are not listed. </w:t>
      </w:r>
    </w:p>
    <w:p w14:paraId="7E609D7D" w14:textId="5AB1E2B7" w:rsidR="00E124D2" w:rsidRPr="003D0F8D" w:rsidRDefault="00E124D2" w:rsidP="005058CA">
      <w:pPr>
        <w:pStyle w:val="FTAtextlistedparagraphs"/>
      </w:pPr>
      <w:r w:rsidRPr="003D0F8D">
        <w:lastRenderedPageBreak/>
        <w:t xml:space="preserve">Commitments for contractual service suppliers and independent professionals do not apply in cases where the intent or effect of the entry and temporary stay is to interfere with, or otherwise affect the outcome of any labour or management dispute or negotiation, or the employment of any natural person who is involved in that dispute. </w:t>
      </w:r>
    </w:p>
    <w:p w14:paraId="59ECE6E8" w14:textId="04477B49" w:rsidR="00E124D2" w:rsidRPr="003D0F8D" w:rsidRDefault="00E124D2" w:rsidP="005058CA">
      <w:pPr>
        <w:pStyle w:val="FTAtextlistedparagraphs"/>
      </w:pPr>
      <w:r w:rsidRPr="003D0F8D">
        <w:t xml:space="preserve">The following abbreviations are used in the list of reservations below: </w:t>
      </w:r>
    </w:p>
    <w:p w14:paraId="26DFDB9A" w14:textId="385E87F9" w:rsidR="00E124D2" w:rsidRPr="003D0F8D" w:rsidRDefault="00E124D2" w:rsidP="00FF66D3">
      <w:pPr>
        <w:pStyle w:val="FTAtextlistedparagraphs"/>
        <w:numPr>
          <w:ilvl w:val="0"/>
          <w:numId w:val="0"/>
        </w:numPr>
        <w:ind w:left="1304"/>
      </w:pPr>
      <w:r w:rsidRPr="003D0F8D">
        <w:t>CSS   Contractual service suppliers</w:t>
      </w:r>
    </w:p>
    <w:p w14:paraId="7B03B073" w14:textId="055D7E0F" w:rsidR="00E124D2" w:rsidRPr="003D0F8D" w:rsidRDefault="00E124D2" w:rsidP="00FF66D3">
      <w:pPr>
        <w:pStyle w:val="FTAtextlistedparagraphs"/>
        <w:numPr>
          <w:ilvl w:val="0"/>
          <w:numId w:val="0"/>
        </w:numPr>
        <w:ind w:left="1304"/>
      </w:pPr>
      <w:r w:rsidRPr="003D0F8D">
        <w:t xml:space="preserve">IP   Independent professionals </w:t>
      </w:r>
    </w:p>
    <w:p w14:paraId="0EB70587" w14:textId="4F4AB313" w:rsidR="00E124D2" w:rsidRPr="003D0F8D" w:rsidRDefault="00E124D2" w:rsidP="00AF1383">
      <w:pPr>
        <w:pStyle w:val="FTAAnnexTabletitle"/>
      </w:pPr>
      <w:r w:rsidRPr="003D0F8D">
        <w:t>Contractual service suppliers</w:t>
      </w:r>
    </w:p>
    <w:p w14:paraId="1E5BB1F6" w14:textId="0E03AAE1" w:rsidR="00E124D2" w:rsidRPr="003D0F8D" w:rsidRDefault="00E124D2" w:rsidP="005058CA">
      <w:pPr>
        <w:pStyle w:val="FTAtextlistedparagraphs"/>
      </w:pPr>
      <w:r w:rsidRPr="003D0F8D">
        <w:t xml:space="preserve">Subject to the conditions in paragraph 8 and the list of reservations in paragraph 13 of this </w:t>
      </w:r>
      <w:r w:rsidR="00D76AC3" w:rsidRPr="003D0F8D">
        <w:t>Schedule</w:t>
      </w:r>
      <w:r w:rsidRPr="003D0F8D">
        <w:t xml:space="preserve">, the United Kingdom makes commitments in accordance with </w:t>
      </w:r>
      <w:r w:rsidR="00FF66D3" w:rsidRPr="003D0F8D">
        <w:t>Article 3.26 (Contractual Service Suppliers and Independent Professionals) of Section 3.4</w:t>
      </w:r>
      <w:r w:rsidR="00430B95" w:rsidRPr="003D0F8D">
        <w:t xml:space="preserve"> (Entry and Temporary Stay of Natural Persons) of Chapter 3 (Services and Investment) </w:t>
      </w:r>
      <w:r w:rsidRPr="003D0F8D">
        <w:t xml:space="preserve">with respect to the category of contractual service suppliers in the following sectors or sub-sectors: </w:t>
      </w:r>
    </w:p>
    <w:p w14:paraId="73D50C6D" w14:textId="30D503C3" w:rsidR="005058CA" w:rsidRPr="003D0F8D" w:rsidRDefault="00E124D2" w:rsidP="005058CA">
      <w:pPr>
        <w:pStyle w:val="FTAtextlistedparagraphs"/>
        <w:numPr>
          <w:ilvl w:val="1"/>
          <w:numId w:val="4"/>
        </w:numPr>
      </w:pPr>
      <w:r w:rsidRPr="003D0F8D">
        <w:t xml:space="preserve">legal advisory services in respect of public international law and foreign </w:t>
      </w:r>
      <w:proofErr w:type="gramStart"/>
      <w:r w:rsidRPr="003D0F8D">
        <w:t>law;</w:t>
      </w:r>
      <w:proofErr w:type="gramEnd"/>
      <w:r w:rsidRPr="003D0F8D">
        <w:t> </w:t>
      </w:r>
    </w:p>
    <w:p w14:paraId="48C8DF10" w14:textId="2975DBF9" w:rsidR="005058CA" w:rsidRPr="003D0F8D" w:rsidRDefault="00E124D2" w:rsidP="005058CA">
      <w:pPr>
        <w:pStyle w:val="FTAtextlistedparagraphs"/>
        <w:numPr>
          <w:ilvl w:val="1"/>
          <w:numId w:val="4"/>
        </w:numPr>
      </w:pPr>
      <w:r w:rsidRPr="003D0F8D">
        <w:t>accounting and bookkeeping </w:t>
      </w:r>
      <w:proofErr w:type="gramStart"/>
      <w:r w:rsidRPr="003D0F8D">
        <w:t>services;</w:t>
      </w:r>
      <w:proofErr w:type="gramEnd"/>
    </w:p>
    <w:p w14:paraId="605DA79D" w14:textId="75C538D4" w:rsidR="005058CA" w:rsidRPr="003D0F8D" w:rsidRDefault="00E124D2" w:rsidP="005058CA">
      <w:pPr>
        <w:pStyle w:val="FTAtextlistedparagraphs"/>
        <w:numPr>
          <w:ilvl w:val="1"/>
          <w:numId w:val="4"/>
        </w:numPr>
      </w:pPr>
      <w:r w:rsidRPr="003D0F8D">
        <w:t>taxation advisory </w:t>
      </w:r>
      <w:proofErr w:type="gramStart"/>
      <w:r w:rsidRPr="003D0F8D">
        <w:t>services;</w:t>
      </w:r>
      <w:proofErr w:type="gramEnd"/>
      <w:r w:rsidRPr="003D0F8D">
        <w:t xml:space="preserve"> </w:t>
      </w:r>
    </w:p>
    <w:p w14:paraId="434CCA4B" w14:textId="02FDB8EF" w:rsidR="005058CA" w:rsidRPr="003D0F8D" w:rsidRDefault="00E124D2" w:rsidP="005058CA">
      <w:pPr>
        <w:pStyle w:val="FTAtextlistedparagraphs"/>
        <w:numPr>
          <w:ilvl w:val="1"/>
          <w:numId w:val="4"/>
        </w:numPr>
      </w:pPr>
      <w:r w:rsidRPr="003D0F8D">
        <w:t>architectural services and urban planning and landscape architectural </w:t>
      </w:r>
      <w:proofErr w:type="gramStart"/>
      <w:r w:rsidRPr="003D0F8D">
        <w:t>services;</w:t>
      </w:r>
      <w:proofErr w:type="gramEnd"/>
      <w:r w:rsidRPr="003D0F8D">
        <w:t>  </w:t>
      </w:r>
    </w:p>
    <w:p w14:paraId="030AF4B6" w14:textId="11673436" w:rsidR="005058CA" w:rsidRPr="003D0F8D" w:rsidRDefault="00E124D2" w:rsidP="005058CA">
      <w:pPr>
        <w:pStyle w:val="FTAtextlistedparagraphs"/>
        <w:numPr>
          <w:ilvl w:val="1"/>
          <w:numId w:val="4"/>
        </w:numPr>
      </w:pPr>
      <w:r w:rsidRPr="003D0F8D">
        <w:t>engineering services and integrated engineering </w:t>
      </w:r>
      <w:proofErr w:type="gramStart"/>
      <w:r w:rsidRPr="003D0F8D">
        <w:t>services;</w:t>
      </w:r>
      <w:proofErr w:type="gramEnd"/>
      <w:r w:rsidRPr="003D0F8D">
        <w:t> </w:t>
      </w:r>
    </w:p>
    <w:p w14:paraId="0E442AE2" w14:textId="048636D2" w:rsidR="005058CA" w:rsidRPr="003D0F8D" w:rsidRDefault="00E124D2" w:rsidP="005058CA">
      <w:pPr>
        <w:pStyle w:val="FTAtextlistedparagraphs"/>
        <w:numPr>
          <w:ilvl w:val="1"/>
          <w:numId w:val="4"/>
        </w:numPr>
      </w:pPr>
      <w:r w:rsidRPr="003D0F8D">
        <w:t xml:space="preserve">computer and related </w:t>
      </w:r>
      <w:proofErr w:type="gramStart"/>
      <w:r w:rsidRPr="003D0F8D">
        <w:t>services;</w:t>
      </w:r>
      <w:proofErr w:type="gramEnd"/>
    </w:p>
    <w:p w14:paraId="62347A17" w14:textId="5249DD9A" w:rsidR="005058CA" w:rsidRPr="003D0F8D" w:rsidRDefault="00E124D2" w:rsidP="005058CA">
      <w:pPr>
        <w:pStyle w:val="FTAtextlistedparagraphs"/>
        <w:numPr>
          <w:ilvl w:val="1"/>
          <w:numId w:val="4"/>
        </w:numPr>
      </w:pPr>
      <w:r w:rsidRPr="003D0F8D">
        <w:t xml:space="preserve">research and development </w:t>
      </w:r>
      <w:proofErr w:type="gramStart"/>
      <w:r w:rsidRPr="003D0F8D">
        <w:t>services;</w:t>
      </w:r>
      <w:proofErr w:type="gramEnd"/>
      <w:r w:rsidRPr="003D0F8D">
        <w:t xml:space="preserve"> </w:t>
      </w:r>
    </w:p>
    <w:p w14:paraId="2D855653" w14:textId="386D3A1D" w:rsidR="005058CA" w:rsidRPr="003D0F8D" w:rsidRDefault="00E124D2" w:rsidP="005058CA">
      <w:pPr>
        <w:pStyle w:val="FTAtextlistedparagraphs"/>
        <w:numPr>
          <w:ilvl w:val="1"/>
          <w:numId w:val="4"/>
        </w:numPr>
      </w:pPr>
      <w:r w:rsidRPr="003D0F8D">
        <w:t xml:space="preserve">advertising </w:t>
      </w:r>
      <w:proofErr w:type="gramStart"/>
      <w:r w:rsidRPr="003D0F8D">
        <w:t>services;</w:t>
      </w:r>
      <w:proofErr w:type="gramEnd"/>
      <w:r w:rsidRPr="003D0F8D">
        <w:t xml:space="preserve"> </w:t>
      </w:r>
    </w:p>
    <w:p w14:paraId="2FA94FED" w14:textId="1EAB27EE" w:rsidR="005058CA" w:rsidRPr="003D0F8D" w:rsidRDefault="00E124D2" w:rsidP="005058CA">
      <w:pPr>
        <w:pStyle w:val="FTAtextlistedparagraphs"/>
        <w:numPr>
          <w:ilvl w:val="1"/>
          <w:numId w:val="4"/>
        </w:numPr>
      </w:pPr>
      <w:r w:rsidRPr="003D0F8D">
        <w:t>market research and opinion polling </w:t>
      </w:r>
      <w:proofErr w:type="gramStart"/>
      <w:r w:rsidRPr="003D0F8D">
        <w:t>services;</w:t>
      </w:r>
      <w:proofErr w:type="gramEnd"/>
      <w:r w:rsidRPr="003D0F8D">
        <w:t> </w:t>
      </w:r>
    </w:p>
    <w:p w14:paraId="41374BA4" w14:textId="286B2FDE" w:rsidR="005058CA" w:rsidRPr="003D0F8D" w:rsidRDefault="00E124D2" w:rsidP="005058CA">
      <w:pPr>
        <w:pStyle w:val="FTAtextlistedparagraphs"/>
        <w:numPr>
          <w:ilvl w:val="1"/>
          <w:numId w:val="4"/>
        </w:numPr>
      </w:pPr>
      <w:r w:rsidRPr="003D0F8D">
        <w:t>management consulting </w:t>
      </w:r>
      <w:proofErr w:type="gramStart"/>
      <w:r w:rsidRPr="003D0F8D">
        <w:t>services;</w:t>
      </w:r>
      <w:proofErr w:type="gramEnd"/>
      <w:r w:rsidRPr="003D0F8D">
        <w:t>  </w:t>
      </w:r>
    </w:p>
    <w:p w14:paraId="628F6763" w14:textId="38E8A132" w:rsidR="005058CA" w:rsidRPr="003D0F8D" w:rsidRDefault="00E124D2" w:rsidP="005058CA">
      <w:pPr>
        <w:pStyle w:val="FTAtextlistedparagraphs"/>
        <w:numPr>
          <w:ilvl w:val="1"/>
          <w:numId w:val="4"/>
        </w:numPr>
      </w:pPr>
      <w:r w:rsidRPr="003D0F8D">
        <w:t>services related to management </w:t>
      </w:r>
      <w:proofErr w:type="gramStart"/>
      <w:r w:rsidRPr="003D0F8D">
        <w:t>consulting;</w:t>
      </w:r>
      <w:proofErr w:type="gramEnd"/>
      <w:r w:rsidRPr="003D0F8D">
        <w:t> </w:t>
      </w:r>
    </w:p>
    <w:p w14:paraId="448C2494" w14:textId="5B40BA92" w:rsidR="005058CA" w:rsidRPr="003D0F8D" w:rsidRDefault="00E124D2" w:rsidP="005058CA">
      <w:pPr>
        <w:pStyle w:val="FTAtextlistedparagraphs"/>
        <w:numPr>
          <w:ilvl w:val="1"/>
          <w:numId w:val="4"/>
        </w:numPr>
      </w:pPr>
      <w:r w:rsidRPr="003D0F8D">
        <w:t>technical testing and analysis </w:t>
      </w:r>
      <w:proofErr w:type="gramStart"/>
      <w:r w:rsidRPr="003D0F8D">
        <w:t>services;</w:t>
      </w:r>
      <w:proofErr w:type="gramEnd"/>
      <w:r w:rsidRPr="003D0F8D">
        <w:t> </w:t>
      </w:r>
    </w:p>
    <w:p w14:paraId="5AEEC7DC" w14:textId="3CA554B2" w:rsidR="005058CA" w:rsidRPr="003D0F8D" w:rsidRDefault="00E124D2" w:rsidP="005058CA">
      <w:pPr>
        <w:pStyle w:val="FTAtextlistedparagraphs"/>
        <w:numPr>
          <w:ilvl w:val="1"/>
          <w:numId w:val="4"/>
        </w:numPr>
      </w:pPr>
      <w:r w:rsidRPr="003D0F8D">
        <w:t>related scientific and technical consulting </w:t>
      </w:r>
      <w:proofErr w:type="gramStart"/>
      <w:r w:rsidRPr="003D0F8D">
        <w:t>services;</w:t>
      </w:r>
      <w:proofErr w:type="gramEnd"/>
      <w:r w:rsidRPr="003D0F8D">
        <w:t> </w:t>
      </w:r>
    </w:p>
    <w:p w14:paraId="178943C6" w14:textId="19F09E94" w:rsidR="005058CA" w:rsidRPr="003D0F8D" w:rsidRDefault="00E124D2" w:rsidP="005058CA">
      <w:pPr>
        <w:pStyle w:val="FTAtextlistedparagraphs"/>
        <w:numPr>
          <w:ilvl w:val="1"/>
          <w:numId w:val="4"/>
        </w:numPr>
      </w:pPr>
      <w:proofErr w:type="gramStart"/>
      <w:r w:rsidRPr="003D0F8D">
        <w:lastRenderedPageBreak/>
        <w:t>mining;</w:t>
      </w:r>
      <w:proofErr w:type="gramEnd"/>
    </w:p>
    <w:p w14:paraId="507C72A4" w14:textId="1E74E6AA" w:rsidR="005058CA" w:rsidRPr="003D0F8D" w:rsidRDefault="00E124D2" w:rsidP="005058CA">
      <w:pPr>
        <w:pStyle w:val="FTAtextlistedparagraphs"/>
        <w:numPr>
          <w:ilvl w:val="1"/>
          <w:numId w:val="4"/>
        </w:numPr>
      </w:pPr>
      <w:r w:rsidRPr="003D0F8D">
        <w:t>maintenance and repair of </w:t>
      </w:r>
      <w:proofErr w:type="gramStart"/>
      <w:r w:rsidRPr="003D0F8D">
        <w:t>vessels;</w:t>
      </w:r>
      <w:proofErr w:type="gramEnd"/>
      <w:r w:rsidRPr="003D0F8D">
        <w:t> </w:t>
      </w:r>
    </w:p>
    <w:p w14:paraId="22ACBC99" w14:textId="160473CD" w:rsidR="005058CA" w:rsidRPr="003D0F8D" w:rsidRDefault="00E124D2" w:rsidP="005058CA">
      <w:pPr>
        <w:pStyle w:val="FTAtextlistedparagraphs"/>
        <w:numPr>
          <w:ilvl w:val="1"/>
          <w:numId w:val="4"/>
        </w:numPr>
      </w:pPr>
      <w:r w:rsidRPr="003D0F8D">
        <w:t>maintenance and repair of rail transport </w:t>
      </w:r>
      <w:proofErr w:type="gramStart"/>
      <w:r w:rsidRPr="003D0F8D">
        <w:t>equipment;</w:t>
      </w:r>
      <w:proofErr w:type="gramEnd"/>
      <w:r w:rsidRPr="003D0F8D">
        <w:t xml:space="preserve"> </w:t>
      </w:r>
    </w:p>
    <w:p w14:paraId="38AD5094" w14:textId="7D74EEF0" w:rsidR="005058CA" w:rsidRPr="003D0F8D" w:rsidRDefault="00E124D2" w:rsidP="005058CA">
      <w:pPr>
        <w:pStyle w:val="FTAtextlistedparagraphs"/>
        <w:numPr>
          <w:ilvl w:val="1"/>
          <w:numId w:val="4"/>
        </w:numPr>
      </w:pPr>
      <w:r w:rsidRPr="003D0F8D">
        <w:t>maintenance and repair of motor vehicles, motorcycles, snowmobiles and road transport </w:t>
      </w:r>
      <w:proofErr w:type="gramStart"/>
      <w:r w:rsidRPr="003D0F8D">
        <w:t>equipment;</w:t>
      </w:r>
      <w:proofErr w:type="gramEnd"/>
      <w:r w:rsidRPr="003D0F8D">
        <w:t> </w:t>
      </w:r>
    </w:p>
    <w:p w14:paraId="276FAB48" w14:textId="69A65995" w:rsidR="005058CA" w:rsidRPr="003D0F8D" w:rsidRDefault="00E124D2" w:rsidP="005058CA">
      <w:pPr>
        <w:pStyle w:val="FTAtextlistedparagraphs"/>
        <w:numPr>
          <w:ilvl w:val="1"/>
          <w:numId w:val="4"/>
        </w:numPr>
      </w:pPr>
      <w:r w:rsidRPr="003D0F8D">
        <w:t>maintenance and repair of aircrafts and parts </w:t>
      </w:r>
      <w:proofErr w:type="gramStart"/>
      <w:r w:rsidRPr="003D0F8D">
        <w:t>thereof;</w:t>
      </w:r>
      <w:proofErr w:type="gramEnd"/>
    </w:p>
    <w:p w14:paraId="2655954D" w14:textId="340474A3" w:rsidR="005058CA" w:rsidRPr="003D0F8D" w:rsidRDefault="00E124D2" w:rsidP="005058CA">
      <w:pPr>
        <w:pStyle w:val="FTAtextlistedparagraphs"/>
        <w:numPr>
          <w:ilvl w:val="1"/>
          <w:numId w:val="4"/>
        </w:numPr>
      </w:pPr>
      <w:r w:rsidRPr="003D0F8D">
        <w:t>maintenance and repair of metal products, of (non-office) machinery, of (non-transport and non-office) equipment and of personal and household </w:t>
      </w:r>
      <w:proofErr w:type="gramStart"/>
      <w:r w:rsidRPr="003D0F8D">
        <w:t>goods;</w:t>
      </w:r>
      <w:proofErr w:type="gramEnd"/>
      <w:r w:rsidRPr="003D0F8D">
        <w:t> </w:t>
      </w:r>
    </w:p>
    <w:p w14:paraId="6CF0EA2F" w14:textId="439E9F89" w:rsidR="005058CA" w:rsidRPr="003D0F8D" w:rsidRDefault="00E124D2" w:rsidP="005058CA">
      <w:pPr>
        <w:pStyle w:val="FTAtextlistedparagraphs"/>
        <w:numPr>
          <w:ilvl w:val="1"/>
          <w:numId w:val="4"/>
        </w:numPr>
      </w:pPr>
      <w:r w:rsidRPr="003D0F8D">
        <w:t>translation and interpretation </w:t>
      </w:r>
      <w:proofErr w:type="gramStart"/>
      <w:r w:rsidRPr="003D0F8D">
        <w:t>services;</w:t>
      </w:r>
      <w:proofErr w:type="gramEnd"/>
      <w:r w:rsidRPr="003D0F8D">
        <w:t xml:space="preserve">  </w:t>
      </w:r>
    </w:p>
    <w:p w14:paraId="620BD5F1" w14:textId="3BE1EC54" w:rsidR="005058CA" w:rsidRPr="003D0F8D" w:rsidRDefault="00E124D2" w:rsidP="005058CA">
      <w:pPr>
        <w:pStyle w:val="FTAtextlistedparagraphs"/>
        <w:numPr>
          <w:ilvl w:val="1"/>
          <w:numId w:val="4"/>
        </w:numPr>
      </w:pPr>
      <w:r w:rsidRPr="003D0F8D">
        <w:t>telecommunication </w:t>
      </w:r>
      <w:proofErr w:type="gramStart"/>
      <w:r w:rsidRPr="003D0F8D">
        <w:t>services;</w:t>
      </w:r>
      <w:proofErr w:type="gramEnd"/>
      <w:r w:rsidRPr="003D0F8D">
        <w:t> </w:t>
      </w:r>
    </w:p>
    <w:p w14:paraId="3AF927E6" w14:textId="2B8F3DB3" w:rsidR="005058CA" w:rsidRPr="003D0F8D" w:rsidRDefault="00E124D2" w:rsidP="005058CA">
      <w:pPr>
        <w:pStyle w:val="FTAtextlistedparagraphs"/>
        <w:numPr>
          <w:ilvl w:val="1"/>
          <w:numId w:val="4"/>
        </w:numPr>
      </w:pPr>
      <w:r w:rsidRPr="003D0F8D">
        <w:t xml:space="preserve">postal and courier </w:t>
      </w:r>
      <w:proofErr w:type="gramStart"/>
      <w:r w:rsidRPr="003D0F8D">
        <w:t>services;</w:t>
      </w:r>
      <w:proofErr w:type="gramEnd"/>
      <w:r w:rsidRPr="003D0F8D">
        <w:t> </w:t>
      </w:r>
    </w:p>
    <w:p w14:paraId="27F01A22" w14:textId="398CE6B5" w:rsidR="005058CA" w:rsidRPr="003D0F8D" w:rsidRDefault="00E124D2" w:rsidP="005058CA">
      <w:pPr>
        <w:pStyle w:val="FTAtextlistedparagraphs"/>
        <w:numPr>
          <w:ilvl w:val="1"/>
          <w:numId w:val="4"/>
        </w:numPr>
      </w:pPr>
      <w:r w:rsidRPr="003D0F8D">
        <w:t xml:space="preserve">site investigation </w:t>
      </w:r>
      <w:proofErr w:type="gramStart"/>
      <w:r w:rsidRPr="003D0F8D">
        <w:t>work;</w:t>
      </w:r>
      <w:proofErr w:type="gramEnd"/>
    </w:p>
    <w:p w14:paraId="106C1A4F" w14:textId="4518556B" w:rsidR="005058CA" w:rsidRPr="003D0F8D" w:rsidRDefault="00E124D2" w:rsidP="005058CA">
      <w:pPr>
        <w:pStyle w:val="FTAtextlistedparagraphs"/>
        <w:numPr>
          <w:ilvl w:val="1"/>
          <w:numId w:val="4"/>
        </w:numPr>
      </w:pPr>
      <w:r w:rsidRPr="003D0F8D">
        <w:t xml:space="preserve">environmental </w:t>
      </w:r>
      <w:proofErr w:type="gramStart"/>
      <w:r w:rsidRPr="003D0F8D">
        <w:t>services;</w:t>
      </w:r>
      <w:proofErr w:type="gramEnd"/>
      <w:r w:rsidRPr="003D0F8D">
        <w:t>  </w:t>
      </w:r>
    </w:p>
    <w:p w14:paraId="06128A5D" w14:textId="300F7C74" w:rsidR="005058CA" w:rsidRPr="003D0F8D" w:rsidRDefault="00E124D2" w:rsidP="005058CA">
      <w:pPr>
        <w:pStyle w:val="FTAtextlistedparagraphs"/>
        <w:numPr>
          <w:ilvl w:val="1"/>
          <w:numId w:val="4"/>
        </w:numPr>
      </w:pPr>
      <w:r w:rsidRPr="003D0F8D">
        <w:t xml:space="preserve">insurance and insurance related services advisory and consulting </w:t>
      </w:r>
      <w:proofErr w:type="gramStart"/>
      <w:r w:rsidRPr="003D0F8D">
        <w:t>services;</w:t>
      </w:r>
      <w:proofErr w:type="gramEnd"/>
      <w:r w:rsidRPr="003D0F8D">
        <w:t>  </w:t>
      </w:r>
    </w:p>
    <w:p w14:paraId="29CE037A" w14:textId="385F5405" w:rsidR="005058CA" w:rsidRPr="003D0F8D" w:rsidRDefault="00E124D2" w:rsidP="005058CA">
      <w:pPr>
        <w:pStyle w:val="FTAtextlistedparagraphs"/>
        <w:numPr>
          <w:ilvl w:val="1"/>
          <w:numId w:val="4"/>
        </w:numPr>
      </w:pPr>
      <w:r w:rsidRPr="003D0F8D">
        <w:t xml:space="preserve">other financial services advisory and consulting </w:t>
      </w:r>
      <w:proofErr w:type="gramStart"/>
      <w:r w:rsidRPr="003D0F8D">
        <w:t>services;</w:t>
      </w:r>
      <w:proofErr w:type="gramEnd"/>
      <w:r w:rsidRPr="003D0F8D">
        <w:t>  </w:t>
      </w:r>
    </w:p>
    <w:p w14:paraId="6BEDC7D5" w14:textId="28BE105D" w:rsidR="005058CA" w:rsidRPr="003D0F8D" w:rsidRDefault="00E124D2" w:rsidP="005058CA">
      <w:pPr>
        <w:pStyle w:val="FTAtextlistedparagraphs"/>
        <w:numPr>
          <w:ilvl w:val="1"/>
          <w:numId w:val="4"/>
        </w:numPr>
      </w:pPr>
      <w:r w:rsidRPr="003D0F8D">
        <w:t xml:space="preserve">transport advisory and consulting </w:t>
      </w:r>
      <w:proofErr w:type="gramStart"/>
      <w:r w:rsidRPr="003D0F8D">
        <w:t>services;</w:t>
      </w:r>
      <w:proofErr w:type="gramEnd"/>
      <w:r w:rsidRPr="003D0F8D">
        <w:t>  </w:t>
      </w:r>
    </w:p>
    <w:p w14:paraId="6D08FEAD" w14:textId="0D108F12" w:rsidR="005058CA" w:rsidRPr="003D0F8D" w:rsidRDefault="00E124D2" w:rsidP="005058CA">
      <w:pPr>
        <w:pStyle w:val="FTAtextlistedparagraphs"/>
        <w:numPr>
          <w:ilvl w:val="1"/>
          <w:numId w:val="4"/>
        </w:numPr>
      </w:pPr>
      <w:r w:rsidRPr="003D0F8D">
        <w:t xml:space="preserve">travel agencies and tour operators' </w:t>
      </w:r>
      <w:proofErr w:type="gramStart"/>
      <w:r w:rsidRPr="003D0F8D">
        <w:t>services;</w:t>
      </w:r>
      <w:proofErr w:type="gramEnd"/>
      <w:r w:rsidRPr="003D0F8D">
        <w:t>  </w:t>
      </w:r>
    </w:p>
    <w:p w14:paraId="6B3D5BA4" w14:textId="54400E4B" w:rsidR="005058CA" w:rsidRPr="003D0F8D" w:rsidRDefault="00E124D2" w:rsidP="005058CA">
      <w:pPr>
        <w:pStyle w:val="FTAtextlistedparagraphs"/>
        <w:numPr>
          <w:ilvl w:val="1"/>
          <w:numId w:val="4"/>
        </w:numPr>
      </w:pPr>
      <w:r w:rsidRPr="003D0F8D">
        <w:t>tourist guides</w:t>
      </w:r>
      <w:r w:rsidR="00430B95" w:rsidRPr="003D0F8D">
        <w:t>’</w:t>
      </w:r>
      <w:r w:rsidRPr="003D0F8D">
        <w:t xml:space="preserve"> services; and </w:t>
      </w:r>
    </w:p>
    <w:p w14:paraId="487A881A" w14:textId="35350702" w:rsidR="00E124D2" w:rsidRPr="003D0F8D" w:rsidRDefault="00E124D2" w:rsidP="005058CA">
      <w:pPr>
        <w:pStyle w:val="FTAtextlistedparagraphs"/>
        <w:numPr>
          <w:ilvl w:val="1"/>
          <w:numId w:val="4"/>
        </w:numPr>
      </w:pPr>
      <w:r w:rsidRPr="003D0F8D">
        <w:t>manufacturing advisory and consulting services. </w:t>
      </w:r>
    </w:p>
    <w:p w14:paraId="437FE90E" w14:textId="0979D81C" w:rsidR="00E124D2" w:rsidRPr="003D0F8D" w:rsidRDefault="00E124D2" w:rsidP="005058CA">
      <w:pPr>
        <w:pStyle w:val="FTAtextlistedparagraphs"/>
      </w:pPr>
      <w:r w:rsidRPr="003D0F8D">
        <w:t>The contractual service suppliers shall comply with the following conditions:</w:t>
      </w:r>
    </w:p>
    <w:p w14:paraId="6A680E83" w14:textId="5E7C98EE" w:rsidR="00E124D2" w:rsidRPr="003D0F8D" w:rsidRDefault="00E124D2" w:rsidP="005058CA">
      <w:pPr>
        <w:pStyle w:val="FTAtextlistedparagraphs"/>
        <w:numPr>
          <w:ilvl w:val="1"/>
          <w:numId w:val="4"/>
        </w:numPr>
      </w:pPr>
      <w:r w:rsidRPr="003D0F8D">
        <w:t xml:space="preserve">the natural persons are engaged in the supply of a service on a temporary basis as employees of legal person which has obtained a service contract not exceeding 12 </w:t>
      </w:r>
      <w:proofErr w:type="gramStart"/>
      <w:r w:rsidRPr="003D0F8D">
        <w:t>months;</w:t>
      </w:r>
      <w:proofErr w:type="gramEnd"/>
      <w:r w:rsidRPr="003D0F8D">
        <w:t xml:space="preserve"> </w:t>
      </w:r>
    </w:p>
    <w:p w14:paraId="1C344C98" w14:textId="4827106C" w:rsidR="00E124D2" w:rsidRPr="003D0F8D" w:rsidRDefault="00E124D2" w:rsidP="005058CA">
      <w:pPr>
        <w:pStyle w:val="FTAtextlistedparagraphs"/>
        <w:numPr>
          <w:ilvl w:val="1"/>
          <w:numId w:val="4"/>
        </w:numPr>
      </w:pPr>
      <w:r w:rsidRPr="003D0F8D">
        <w:t xml:space="preserve">the natural persons entering the United Kingdom have been offering such services as employees of the legal person supplying the services for at least the year immediately preceding the date of the submission of an application for entry into the United Kingdom and possess, at the date of submission of an application for entry into the United </w:t>
      </w:r>
      <w:r w:rsidRPr="003D0F8D">
        <w:lastRenderedPageBreak/>
        <w:t>Kingdom at least three years’ professional experience</w:t>
      </w:r>
      <w:r w:rsidRPr="003D0F8D">
        <w:rPr>
          <w:rStyle w:val="FootnoteReference"/>
        </w:rPr>
        <w:footnoteReference w:id="2"/>
      </w:r>
      <w:r w:rsidRPr="003D0F8D">
        <w:t xml:space="preserve"> in the sector of activity which is the subject of the contract; </w:t>
      </w:r>
    </w:p>
    <w:p w14:paraId="349C8AEF" w14:textId="0C46702A" w:rsidR="00E124D2" w:rsidRPr="003D0F8D" w:rsidRDefault="00E124D2" w:rsidP="005058CA">
      <w:pPr>
        <w:pStyle w:val="FTAtextlistedparagraphs"/>
        <w:numPr>
          <w:ilvl w:val="1"/>
          <w:numId w:val="4"/>
        </w:numPr>
      </w:pPr>
      <w:r w:rsidRPr="003D0F8D">
        <w:t xml:space="preserve">the natural persons entering the United Kingdom shall possess: </w:t>
      </w:r>
    </w:p>
    <w:p w14:paraId="0B956A89" w14:textId="17486E83" w:rsidR="00E124D2" w:rsidRPr="003D0F8D" w:rsidRDefault="00E124D2" w:rsidP="005058CA">
      <w:pPr>
        <w:pStyle w:val="FTAtextlistedparagraphs"/>
        <w:numPr>
          <w:ilvl w:val="2"/>
          <w:numId w:val="4"/>
        </w:numPr>
      </w:pPr>
      <w:r w:rsidRPr="003D0F8D">
        <w:t>a university degree or a qualification demonstrating knowledge of an equivalent level</w:t>
      </w:r>
      <w:r w:rsidR="007334B9" w:rsidRPr="003D0F8D">
        <w:rPr>
          <w:rStyle w:val="FootnoteReference"/>
        </w:rPr>
        <w:footnoteReference w:id="3"/>
      </w:r>
      <w:r w:rsidRPr="003D0F8D">
        <w:t xml:space="preserve">; and </w:t>
      </w:r>
    </w:p>
    <w:p w14:paraId="65C445CB" w14:textId="7FB4D66B" w:rsidR="00E124D2" w:rsidRPr="003D0F8D" w:rsidRDefault="00E124D2" w:rsidP="005058CA">
      <w:pPr>
        <w:pStyle w:val="FTAtextlistedparagraphs"/>
        <w:numPr>
          <w:ilvl w:val="2"/>
          <w:numId w:val="4"/>
        </w:numPr>
      </w:pPr>
      <w:r w:rsidRPr="003D0F8D">
        <w:t xml:space="preserve">the professional qualifications legally required to exercise that activity in the United </w:t>
      </w:r>
      <w:proofErr w:type="gramStart"/>
      <w:r w:rsidRPr="003D0F8D">
        <w:t>Kingdom;</w:t>
      </w:r>
      <w:proofErr w:type="gramEnd"/>
    </w:p>
    <w:p w14:paraId="32BC60C8" w14:textId="1815CD79" w:rsidR="00E124D2" w:rsidRPr="003D0F8D" w:rsidRDefault="00E124D2" w:rsidP="005058CA">
      <w:pPr>
        <w:pStyle w:val="FTAtextlistedparagraphs"/>
        <w:numPr>
          <w:ilvl w:val="1"/>
          <w:numId w:val="4"/>
        </w:numPr>
      </w:pPr>
      <w:r w:rsidRPr="003D0F8D">
        <w:t xml:space="preserve">the natural person does not receive remuneration for the provision of services in the United Kingdom other than the remuneration paid by the </w:t>
      </w:r>
      <w:r w:rsidR="005B038D" w:rsidRPr="003D0F8D">
        <w:t xml:space="preserve">legal person </w:t>
      </w:r>
      <w:r w:rsidRPr="003D0F8D">
        <w:t xml:space="preserve">employing the natural </w:t>
      </w:r>
      <w:proofErr w:type="gramStart"/>
      <w:r w:rsidRPr="003D0F8D">
        <w:t>person;</w:t>
      </w:r>
      <w:proofErr w:type="gramEnd"/>
      <w:r w:rsidRPr="003D0F8D">
        <w:t xml:space="preserve"> </w:t>
      </w:r>
    </w:p>
    <w:p w14:paraId="5B685D6A" w14:textId="3177C084" w:rsidR="00E124D2" w:rsidRPr="003D0F8D" w:rsidRDefault="00E124D2" w:rsidP="005058CA">
      <w:pPr>
        <w:pStyle w:val="FTAtextlistedparagraphs"/>
        <w:numPr>
          <w:ilvl w:val="1"/>
          <w:numId w:val="4"/>
        </w:numPr>
      </w:pPr>
      <w:r w:rsidRPr="003D0F8D">
        <w:t xml:space="preserve">the access accorded relates only to the service activity which is the subject of the contract and does not confer entitlement to exercise the professional title of the United Kingdom where the service is provided; and </w:t>
      </w:r>
    </w:p>
    <w:p w14:paraId="6E87E7EE" w14:textId="7F799211" w:rsidR="00E124D2" w:rsidRPr="003D0F8D" w:rsidRDefault="00E124D2" w:rsidP="005058CA">
      <w:pPr>
        <w:pStyle w:val="FTAtextlistedparagraphs"/>
        <w:numPr>
          <w:ilvl w:val="1"/>
          <w:numId w:val="4"/>
        </w:numPr>
      </w:pPr>
      <w:r w:rsidRPr="003D0F8D">
        <w:t xml:space="preserve">the number of persons covered by the service contract shall not be larger than necessary to fulfil the contract, as it may be </w:t>
      </w:r>
      <w:r w:rsidR="007334B9" w:rsidRPr="003D0F8D">
        <w:t xml:space="preserve">required </w:t>
      </w:r>
      <w:r w:rsidRPr="003D0F8D">
        <w:t>by the law</w:t>
      </w:r>
      <w:r w:rsidR="007334B9" w:rsidRPr="003D0F8D">
        <w:t xml:space="preserve"> </w:t>
      </w:r>
      <w:r w:rsidRPr="003D0F8D">
        <w:t xml:space="preserve">or other legal requirements of the United Kingdom. </w:t>
      </w:r>
    </w:p>
    <w:p w14:paraId="2B35B92E" w14:textId="38BB0186" w:rsidR="00E124D2" w:rsidRPr="003D0F8D" w:rsidRDefault="00E124D2" w:rsidP="005058CA">
      <w:pPr>
        <w:pStyle w:val="FTAtextlistedparagraphs"/>
      </w:pPr>
      <w:r w:rsidRPr="003D0F8D">
        <w:t xml:space="preserve">The permissible length of stay of contractual service suppliers is for a cumulative period of not more than six months in any 12-month period or for the duration of the contract, whichever is less. </w:t>
      </w:r>
    </w:p>
    <w:p w14:paraId="7B8A8DCF" w14:textId="57D2ABE1" w:rsidR="00E124D2" w:rsidRPr="003D0F8D" w:rsidRDefault="00E124D2" w:rsidP="00AF1383">
      <w:pPr>
        <w:pStyle w:val="FTAAnnexTabletitle"/>
      </w:pPr>
      <w:r w:rsidRPr="003D0F8D">
        <w:t>Independent professionals</w:t>
      </w:r>
    </w:p>
    <w:p w14:paraId="7D07E633" w14:textId="7943FD28" w:rsidR="00E124D2" w:rsidRPr="003D0F8D" w:rsidRDefault="00E124D2" w:rsidP="005058CA">
      <w:pPr>
        <w:pStyle w:val="FTAtextlistedparagraphs"/>
      </w:pPr>
      <w:r w:rsidRPr="003D0F8D">
        <w:t>Subject to the conditions in paragraph 11 and the list of reservations in paragraph 13</w:t>
      </w:r>
      <w:r w:rsidR="007334B9" w:rsidRPr="003D0F8D">
        <w:t xml:space="preserve"> of this Schedule</w:t>
      </w:r>
      <w:r w:rsidRPr="003D0F8D">
        <w:t xml:space="preserve">, the United Kingdom makes commitments in accordance with Article </w:t>
      </w:r>
      <w:r w:rsidR="00FF66D3" w:rsidRPr="003D0F8D">
        <w:t>3.26 (Contractual Service Suppliers and Independent Professionals) of Section 3.4</w:t>
      </w:r>
      <w:r w:rsidR="00430B95" w:rsidRPr="003D0F8D">
        <w:t xml:space="preserve"> (Entry and Temporary Stay of Natural Persons) of Chapter 3 (Services and Investment)</w:t>
      </w:r>
      <w:r w:rsidRPr="003D0F8D">
        <w:t xml:space="preserve"> with respect to the category of independent professionals in the following sectors or sub-sectors: </w:t>
      </w:r>
    </w:p>
    <w:p w14:paraId="1BBA24FE" w14:textId="3B58E1AE" w:rsidR="00E124D2" w:rsidRPr="003D0F8D" w:rsidRDefault="00E124D2" w:rsidP="005058CA">
      <w:pPr>
        <w:pStyle w:val="FTAtextlistedparagraphs"/>
        <w:numPr>
          <w:ilvl w:val="1"/>
          <w:numId w:val="4"/>
        </w:numPr>
      </w:pPr>
      <w:r w:rsidRPr="003D0F8D">
        <w:t xml:space="preserve">legal advisory services in respect of public international law and foreign </w:t>
      </w:r>
      <w:proofErr w:type="gramStart"/>
      <w:r w:rsidRPr="003D0F8D">
        <w:t>law;</w:t>
      </w:r>
      <w:proofErr w:type="gramEnd"/>
      <w:r w:rsidRPr="003D0F8D">
        <w:t xml:space="preserve"> </w:t>
      </w:r>
    </w:p>
    <w:p w14:paraId="137D4FF8" w14:textId="3CC016EB" w:rsidR="00E124D2" w:rsidRPr="003D0F8D" w:rsidRDefault="00E124D2" w:rsidP="005058CA">
      <w:pPr>
        <w:pStyle w:val="FTAtextlistedparagraphs"/>
        <w:numPr>
          <w:ilvl w:val="1"/>
          <w:numId w:val="4"/>
        </w:numPr>
      </w:pPr>
      <w:r w:rsidRPr="003D0F8D">
        <w:rPr>
          <w:lang w:val="en-US"/>
        </w:rPr>
        <w:lastRenderedPageBreak/>
        <w:t>architectural services and urban planning and landscape architectural </w:t>
      </w:r>
      <w:proofErr w:type="gramStart"/>
      <w:r w:rsidRPr="003D0F8D">
        <w:rPr>
          <w:lang w:val="en-US"/>
        </w:rPr>
        <w:t>services;</w:t>
      </w:r>
      <w:proofErr w:type="gramEnd"/>
      <w:r w:rsidRPr="003D0F8D">
        <w:rPr>
          <w:lang w:val="en-US"/>
        </w:rPr>
        <w:t> </w:t>
      </w:r>
    </w:p>
    <w:p w14:paraId="24766634" w14:textId="21024DA3" w:rsidR="00E124D2" w:rsidRPr="003D0F8D" w:rsidRDefault="00E124D2" w:rsidP="005058CA">
      <w:pPr>
        <w:pStyle w:val="FTAtextlistedparagraphs"/>
        <w:numPr>
          <w:ilvl w:val="1"/>
          <w:numId w:val="4"/>
        </w:numPr>
        <w:rPr>
          <w:lang w:val="en-US"/>
        </w:rPr>
      </w:pPr>
      <w:r w:rsidRPr="003D0F8D">
        <w:rPr>
          <w:lang w:val="en-US"/>
        </w:rPr>
        <w:t>engineering services and integrated engineering </w:t>
      </w:r>
      <w:proofErr w:type="gramStart"/>
      <w:r w:rsidRPr="003D0F8D">
        <w:rPr>
          <w:lang w:val="en-US"/>
        </w:rPr>
        <w:t>services;</w:t>
      </w:r>
      <w:proofErr w:type="gramEnd"/>
      <w:r w:rsidRPr="003D0F8D">
        <w:rPr>
          <w:lang w:val="en-US"/>
        </w:rPr>
        <w:t> </w:t>
      </w:r>
    </w:p>
    <w:p w14:paraId="25A0A8FB" w14:textId="5A5D030B" w:rsidR="00E124D2" w:rsidRPr="003D0F8D" w:rsidRDefault="00E124D2" w:rsidP="005058CA">
      <w:pPr>
        <w:pStyle w:val="FTAtextlistedparagraphs"/>
        <w:numPr>
          <w:ilvl w:val="1"/>
          <w:numId w:val="4"/>
        </w:numPr>
      </w:pPr>
      <w:r w:rsidRPr="003D0F8D">
        <w:rPr>
          <w:lang w:val="en-US"/>
        </w:rPr>
        <w:t>computer and related </w:t>
      </w:r>
      <w:proofErr w:type="gramStart"/>
      <w:r w:rsidRPr="003D0F8D">
        <w:rPr>
          <w:lang w:val="en-US"/>
        </w:rPr>
        <w:t>services;</w:t>
      </w:r>
      <w:proofErr w:type="gramEnd"/>
      <w:r w:rsidRPr="003D0F8D">
        <w:rPr>
          <w:lang w:val="en-US"/>
        </w:rPr>
        <w:t> </w:t>
      </w:r>
    </w:p>
    <w:p w14:paraId="741FD590" w14:textId="52778AFE" w:rsidR="00E124D2" w:rsidRPr="003D0F8D" w:rsidRDefault="00E124D2" w:rsidP="005058CA">
      <w:pPr>
        <w:pStyle w:val="FTAtextlistedparagraphs"/>
        <w:numPr>
          <w:ilvl w:val="1"/>
          <w:numId w:val="4"/>
        </w:numPr>
      </w:pPr>
      <w:r w:rsidRPr="003D0F8D">
        <w:rPr>
          <w:lang w:val="en-US"/>
        </w:rPr>
        <w:t>research and development </w:t>
      </w:r>
      <w:proofErr w:type="gramStart"/>
      <w:r w:rsidRPr="003D0F8D">
        <w:rPr>
          <w:lang w:val="en-US"/>
        </w:rPr>
        <w:t>services;</w:t>
      </w:r>
      <w:proofErr w:type="gramEnd"/>
      <w:r w:rsidRPr="003D0F8D">
        <w:rPr>
          <w:lang w:val="en-US"/>
        </w:rPr>
        <w:t> </w:t>
      </w:r>
    </w:p>
    <w:p w14:paraId="2F832ABD" w14:textId="216793CF" w:rsidR="00E124D2" w:rsidRPr="003D0F8D" w:rsidRDefault="00E124D2" w:rsidP="005058CA">
      <w:pPr>
        <w:pStyle w:val="FTAtextlistedparagraphs"/>
        <w:numPr>
          <w:ilvl w:val="1"/>
          <w:numId w:val="4"/>
        </w:numPr>
      </w:pPr>
      <w:r w:rsidRPr="003D0F8D">
        <w:rPr>
          <w:lang w:val="en-US"/>
        </w:rPr>
        <w:t>market research and opinion polling </w:t>
      </w:r>
      <w:proofErr w:type="gramStart"/>
      <w:r w:rsidRPr="003D0F8D">
        <w:rPr>
          <w:lang w:val="en-US"/>
        </w:rPr>
        <w:t>services;</w:t>
      </w:r>
      <w:proofErr w:type="gramEnd"/>
      <w:r w:rsidRPr="003D0F8D">
        <w:rPr>
          <w:lang w:val="en-US"/>
        </w:rPr>
        <w:t> </w:t>
      </w:r>
    </w:p>
    <w:p w14:paraId="0CACB7EE" w14:textId="332CAF3C" w:rsidR="00E124D2" w:rsidRPr="003D0F8D" w:rsidRDefault="00E124D2" w:rsidP="005058CA">
      <w:pPr>
        <w:pStyle w:val="FTAtextlistedparagraphs"/>
        <w:numPr>
          <w:ilvl w:val="1"/>
          <w:numId w:val="4"/>
        </w:numPr>
      </w:pPr>
      <w:r w:rsidRPr="003D0F8D">
        <w:rPr>
          <w:lang w:val="en-US"/>
        </w:rPr>
        <w:t>management consulting </w:t>
      </w:r>
      <w:proofErr w:type="gramStart"/>
      <w:r w:rsidRPr="003D0F8D">
        <w:rPr>
          <w:lang w:val="en-US"/>
        </w:rPr>
        <w:t>services;</w:t>
      </w:r>
      <w:proofErr w:type="gramEnd"/>
      <w:r w:rsidRPr="003D0F8D">
        <w:rPr>
          <w:lang w:val="en-US"/>
        </w:rPr>
        <w:t> </w:t>
      </w:r>
    </w:p>
    <w:p w14:paraId="296C9F2E" w14:textId="0889DFA0" w:rsidR="00E124D2" w:rsidRPr="003D0F8D" w:rsidRDefault="00E124D2" w:rsidP="005058CA">
      <w:pPr>
        <w:pStyle w:val="FTAtextlistedparagraphs"/>
        <w:numPr>
          <w:ilvl w:val="1"/>
          <w:numId w:val="4"/>
        </w:numPr>
      </w:pPr>
      <w:r w:rsidRPr="003D0F8D">
        <w:rPr>
          <w:lang w:val="en-US"/>
        </w:rPr>
        <w:t>services related to management </w:t>
      </w:r>
      <w:proofErr w:type="gramStart"/>
      <w:r w:rsidRPr="003D0F8D">
        <w:rPr>
          <w:lang w:val="en-US"/>
        </w:rPr>
        <w:t>consulting;</w:t>
      </w:r>
      <w:proofErr w:type="gramEnd"/>
      <w:r w:rsidRPr="003D0F8D">
        <w:rPr>
          <w:lang w:val="en-US"/>
        </w:rPr>
        <w:t> </w:t>
      </w:r>
    </w:p>
    <w:p w14:paraId="35D50AED" w14:textId="2DE6A403" w:rsidR="00E124D2" w:rsidRPr="003D0F8D" w:rsidRDefault="00E124D2" w:rsidP="005058CA">
      <w:pPr>
        <w:pStyle w:val="FTAtextlistedparagraphs"/>
        <w:numPr>
          <w:ilvl w:val="1"/>
          <w:numId w:val="4"/>
        </w:numPr>
        <w:rPr>
          <w:lang w:val="en-US"/>
        </w:rPr>
      </w:pPr>
      <w:proofErr w:type="gramStart"/>
      <w:r w:rsidRPr="003D0F8D">
        <w:rPr>
          <w:lang w:val="en-US"/>
        </w:rPr>
        <w:t>mining;</w:t>
      </w:r>
      <w:proofErr w:type="gramEnd"/>
      <w:r w:rsidRPr="003D0F8D">
        <w:rPr>
          <w:lang w:val="en-US"/>
        </w:rPr>
        <w:t> </w:t>
      </w:r>
    </w:p>
    <w:p w14:paraId="28FE70FA" w14:textId="7EED5FD0" w:rsidR="00E124D2" w:rsidRPr="003D0F8D" w:rsidRDefault="00E124D2" w:rsidP="005058CA">
      <w:pPr>
        <w:pStyle w:val="FTAtextlistedparagraphs"/>
        <w:numPr>
          <w:ilvl w:val="1"/>
          <w:numId w:val="4"/>
        </w:numPr>
      </w:pPr>
      <w:r w:rsidRPr="003D0F8D">
        <w:rPr>
          <w:lang w:val="en-US"/>
        </w:rPr>
        <w:t>translation and interpretation </w:t>
      </w:r>
      <w:proofErr w:type="gramStart"/>
      <w:r w:rsidRPr="003D0F8D">
        <w:rPr>
          <w:lang w:val="en-US"/>
        </w:rPr>
        <w:t>services;</w:t>
      </w:r>
      <w:proofErr w:type="gramEnd"/>
      <w:r w:rsidRPr="003D0F8D">
        <w:rPr>
          <w:lang w:val="en-US"/>
        </w:rPr>
        <w:t> </w:t>
      </w:r>
    </w:p>
    <w:p w14:paraId="0BB7D119" w14:textId="5F595731" w:rsidR="00E124D2" w:rsidRPr="003D0F8D" w:rsidRDefault="00E124D2" w:rsidP="005058CA">
      <w:pPr>
        <w:pStyle w:val="FTAtextlistedparagraphs"/>
        <w:numPr>
          <w:ilvl w:val="1"/>
          <w:numId w:val="4"/>
        </w:numPr>
      </w:pPr>
      <w:r w:rsidRPr="003D0F8D">
        <w:rPr>
          <w:lang w:val="en-US"/>
        </w:rPr>
        <w:t>telecommunication </w:t>
      </w:r>
      <w:proofErr w:type="gramStart"/>
      <w:r w:rsidRPr="003D0F8D">
        <w:rPr>
          <w:lang w:val="en-US"/>
        </w:rPr>
        <w:t>services;</w:t>
      </w:r>
      <w:proofErr w:type="gramEnd"/>
      <w:r w:rsidRPr="003D0F8D">
        <w:t> </w:t>
      </w:r>
    </w:p>
    <w:p w14:paraId="3888240B" w14:textId="17EDFBE2" w:rsidR="00E124D2" w:rsidRPr="003D0F8D" w:rsidRDefault="00E124D2" w:rsidP="005058CA">
      <w:pPr>
        <w:pStyle w:val="FTAtextlistedparagraphs"/>
        <w:numPr>
          <w:ilvl w:val="1"/>
          <w:numId w:val="4"/>
        </w:numPr>
      </w:pPr>
      <w:r w:rsidRPr="003D0F8D">
        <w:rPr>
          <w:lang w:val="en-US"/>
        </w:rPr>
        <w:t>postal and courier </w:t>
      </w:r>
      <w:proofErr w:type="gramStart"/>
      <w:r w:rsidRPr="003D0F8D">
        <w:rPr>
          <w:lang w:val="en-US"/>
        </w:rPr>
        <w:t>services;</w:t>
      </w:r>
      <w:proofErr w:type="gramEnd"/>
      <w:r w:rsidRPr="003D0F8D">
        <w:rPr>
          <w:lang w:val="en-US"/>
        </w:rPr>
        <w:t> </w:t>
      </w:r>
    </w:p>
    <w:p w14:paraId="58BD5F29" w14:textId="608B2AEE" w:rsidR="00E124D2" w:rsidRPr="003D0F8D" w:rsidRDefault="00E124D2" w:rsidP="005058CA">
      <w:pPr>
        <w:pStyle w:val="FTAtextlistedparagraphs"/>
        <w:numPr>
          <w:ilvl w:val="1"/>
          <w:numId w:val="4"/>
        </w:numPr>
        <w:rPr>
          <w:lang w:val="en-US"/>
        </w:rPr>
      </w:pPr>
      <w:r w:rsidRPr="003D0F8D">
        <w:rPr>
          <w:lang w:val="en-US"/>
        </w:rPr>
        <w:t>insurance related services advisory and consulting </w:t>
      </w:r>
      <w:proofErr w:type="gramStart"/>
      <w:r w:rsidRPr="003D0F8D">
        <w:rPr>
          <w:lang w:val="en-US"/>
        </w:rPr>
        <w:t>services;</w:t>
      </w:r>
      <w:proofErr w:type="gramEnd"/>
      <w:r w:rsidRPr="003D0F8D">
        <w:rPr>
          <w:lang w:val="en-US"/>
        </w:rPr>
        <w:t xml:space="preserve"> </w:t>
      </w:r>
    </w:p>
    <w:p w14:paraId="2347906C" w14:textId="0B4B5589" w:rsidR="00E124D2" w:rsidRPr="003D0F8D" w:rsidRDefault="00E124D2" w:rsidP="005058CA">
      <w:pPr>
        <w:pStyle w:val="FTAtextlistedparagraphs"/>
        <w:numPr>
          <w:ilvl w:val="1"/>
          <w:numId w:val="4"/>
        </w:numPr>
      </w:pPr>
      <w:r w:rsidRPr="003D0F8D">
        <w:rPr>
          <w:lang w:val="en-US"/>
        </w:rPr>
        <w:t>other financial services advisory and consulting </w:t>
      </w:r>
      <w:proofErr w:type="gramStart"/>
      <w:r w:rsidRPr="003D0F8D">
        <w:rPr>
          <w:lang w:val="en-US"/>
        </w:rPr>
        <w:t>services;</w:t>
      </w:r>
      <w:proofErr w:type="gramEnd"/>
      <w:r w:rsidRPr="003D0F8D">
        <w:rPr>
          <w:lang w:val="en-US"/>
        </w:rPr>
        <w:t> </w:t>
      </w:r>
    </w:p>
    <w:p w14:paraId="3A6C96DA" w14:textId="2E97B37B" w:rsidR="00E124D2" w:rsidRPr="003D0F8D" w:rsidRDefault="00E124D2" w:rsidP="005058CA">
      <w:pPr>
        <w:pStyle w:val="FTAtextlistedparagraphs"/>
        <w:numPr>
          <w:ilvl w:val="1"/>
          <w:numId w:val="4"/>
        </w:numPr>
      </w:pPr>
      <w:r w:rsidRPr="003D0F8D">
        <w:rPr>
          <w:lang w:val="en-US"/>
        </w:rPr>
        <w:t>transport advisory and consulting services; and </w:t>
      </w:r>
    </w:p>
    <w:p w14:paraId="32326C79" w14:textId="54A62135" w:rsidR="00E124D2" w:rsidRPr="003D0F8D" w:rsidRDefault="00E124D2" w:rsidP="005058CA">
      <w:pPr>
        <w:pStyle w:val="FTAtextlistedparagraphs"/>
        <w:numPr>
          <w:ilvl w:val="1"/>
          <w:numId w:val="4"/>
        </w:numPr>
        <w:rPr>
          <w:lang w:val="en-US"/>
        </w:rPr>
      </w:pPr>
      <w:r w:rsidRPr="003D0F8D">
        <w:rPr>
          <w:lang w:val="en-US"/>
        </w:rPr>
        <w:t xml:space="preserve">manufacturing advisory and consulting services. </w:t>
      </w:r>
    </w:p>
    <w:p w14:paraId="46E7546F" w14:textId="134E1C1D" w:rsidR="00E124D2" w:rsidRPr="003D0F8D" w:rsidRDefault="00E124D2" w:rsidP="005058CA">
      <w:pPr>
        <w:pStyle w:val="FTAtextlistedparagraphs"/>
        <w:rPr>
          <w:lang w:val="en-US"/>
        </w:rPr>
      </w:pPr>
      <w:r w:rsidRPr="003D0F8D">
        <w:rPr>
          <w:lang w:val="en-US"/>
        </w:rPr>
        <w:t xml:space="preserve">The independent professionals shall comply with the following conditions: </w:t>
      </w:r>
    </w:p>
    <w:p w14:paraId="781AC2CD" w14:textId="23DA100B" w:rsidR="00E124D2" w:rsidRPr="003D0F8D" w:rsidRDefault="00E124D2" w:rsidP="005058CA">
      <w:pPr>
        <w:pStyle w:val="FTAtextlistedparagraphs"/>
        <w:numPr>
          <w:ilvl w:val="1"/>
          <w:numId w:val="4"/>
        </w:numPr>
        <w:rPr>
          <w:lang w:val="en-US"/>
        </w:rPr>
      </w:pPr>
      <w:r w:rsidRPr="003D0F8D">
        <w:rPr>
          <w:lang w:val="en-US"/>
        </w:rPr>
        <w:t xml:space="preserve">the natural persons are engaged in the supply of a service on a temporary basis as self-employed persons established in the EEAEFTA </w:t>
      </w:r>
      <w:r w:rsidR="00FF66D3" w:rsidRPr="003D0F8D">
        <w:rPr>
          <w:lang w:val="en-US"/>
        </w:rPr>
        <w:t>S</w:t>
      </w:r>
      <w:r w:rsidRPr="003D0F8D">
        <w:rPr>
          <w:lang w:val="en-US"/>
        </w:rPr>
        <w:t xml:space="preserve">tates and have obtained a service contract for a period not exceeding 12 </w:t>
      </w:r>
      <w:proofErr w:type="gramStart"/>
      <w:r w:rsidRPr="003D0F8D">
        <w:rPr>
          <w:lang w:val="en-US"/>
        </w:rPr>
        <w:t>months;</w:t>
      </w:r>
      <w:proofErr w:type="gramEnd"/>
      <w:r w:rsidRPr="003D0F8D">
        <w:rPr>
          <w:lang w:val="en-US"/>
        </w:rPr>
        <w:t xml:space="preserve"> </w:t>
      </w:r>
    </w:p>
    <w:p w14:paraId="453E5574" w14:textId="2B97DB1D" w:rsidR="00E124D2" w:rsidRPr="003D0F8D" w:rsidRDefault="00E124D2" w:rsidP="005058CA">
      <w:pPr>
        <w:pStyle w:val="FTAtextlistedparagraphs"/>
        <w:numPr>
          <w:ilvl w:val="1"/>
          <w:numId w:val="4"/>
        </w:numPr>
        <w:rPr>
          <w:lang w:val="en-US"/>
        </w:rPr>
      </w:pPr>
      <w:r w:rsidRPr="003D0F8D">
        <w:rPr>
          <w:lang w:val="en-US"/>
        </w:rPr>
        <w:t>the natural persons entering the United Kingdom possess, at the date of submission of an application for entry into the United Kingdom</w:t>
      </w:r>
      <w:r w:rsidR="007334B9" w:rsidRPr="003D0F8D">
        <w:rPr>
          <w:lang w:val="en-US"/>
        </w:rPr>
        <w:t>,</w:t>
      </w:r>
      <w:r w:rsidRPr="003D0F8D">
        <w:rPr>
          <w:lang w:val="en-US"/>
        </w:rPr>
        <w:t xml:space="preserve"> at least six years’ professional experience in the sector of activity which is the subject of the </w:t>
      </w:r>
      <w:proofErr w:type="gramStart"/>
      <w:r w:rsidRPr="003D0F8D">
        <w:rPr>
          <w:lang w:val="en-US"/>
        </w:rPr>
        <w:t>contract;</w:t>
      </w:r>
      <w:proofErr w:type="gramEnd"/>
      <w:r w:rsidRPr="003D0F8D">
        <w:rPr>
          <w:lang w:val="en-US"/>
        </w:rPr>
        <w:t xml:space="preserve"> </w:t>
      </w:r>
    </w:p>
    <w:p w14:paraId="413128E1" w14:textId="3C3E59F6" w:rsidR="00E124D2" w:rsidRPr="003D0F8D" w:rsidRDefault="00E124D2" w:rsidP="005058CA">
      <w:pPr>
        <w:pStyle w:val="FTAtextlistedparagraphs"/>
        <w:numPr>
          <w:ilvl w:val="1"/>
          <w:numId w:val="4"/>
        </w:numPr>
        <w:rPr>
          <w:lang w:val="en-US"/>
        </w:rPr>
      </w:pPr>
      <w:r w:rsidRPr="003D0F8D">
        <w:rPr>
          <w:lang w:val="en-US"/>
        </w:rPr>
        <w:t xml:space="preserve">the natural persons entering the United Kingdom </w:t>
      </w:r>
      <w:proofErr w:type="gramStart"/>
      <w:r w:rsidRPr="003D0F8D">
        <w:rPr>
          <w:lang w:val="en-US"/>
        </w:rPr>
        <w:t>possess</w:t>
      </w:r>
      <w:r w:rsidR="00430B95" w:rsidRPr="003D0F8D">
        <w:rPr>
          <w:lang w:val="en-US"/>
        </w:rPr>
        <w:t>;</w:t>
      </w:r>
      <w:proofErr w:type="gramEnd"/>
      <w:r w:rsidRPr="003D0F8D">
        <w:rPr>
          <w:lang w:val="en-US"/>
        </w:rPr>
        <w:t xml:space="preserve"> </w:t>
      </w:r>
    </w:p>
    <w:p w14:paraId="370770B0" w14:textId="6B53995E" w:rsidR="00E124D2" w:rsidRPr="003D0F8D" w:rsidRDefault="00E124D2" w:rsidP="005058CA">
      <w:pPr>
        <w:pStyle w:val="FTAtextlistedparagraphs"/>
        <w:numPr>
          <w:ilvl w:val="2"/>
          <w:numId w:val="4"/>
        </w:numPr>
        <w:rPr>
          <w:lang w:val="en-US"/>
        </w:rPr>
      </w:pPr>
      <w:r w:rsidRPr="003D0F8D">
        <w:rPr>
          <w:lang w:val="en-US"/>
        </w:rPr>
        <w:lastRenderedPageBreak/>
        <w:t>a university degree or a qualification demonstrating knowledge of an equivalent level;</w:t>
      </w:r>
      <w:r w:rsidRPr="003D0F8D">
        <w:rPr>
          <w:rStyle w:val="FootnoteReference"/>
          <w:lang w:val="en-US"/>
        </w:rPr>
        <w:footnoteReference w:id="4"/>
      </w:r>
      <w:r w:rsidRPr="003D0F8D">
        <w:rPr>
          <w:lang w:val="en-US"/>
        </w:rPr>
        <w:t xml:space="preserve"> and</w:t>
      </w:r>
    </w:p>
    <w:p w14:paraId="0CAC7160" w14:textId="012F8DE8" w:rsidR="00E124D2" w:rsidRPr="003D0F8D" w:rsidRDefault="00E124D2" w:rsidP="005058CA">
      <w:pPr>
        <w:pStyle w:val="FTAtextlistedparagraphs"/>
        <w:numPr>
          <w:ilvl w:val="2"/>
          <w:numId w:val="4"/>
        </w:numPr>
        <w:rPr>
          <w:lang w:val="en-US"/>
        </w:rPr>
      </w:pPr>
      <w:r w:rsidRPr="003D0F8D">
        <w:rPr>
          <w:lang w:val="en-US"/>
        </w:rPr>
        <w:t xml:space="preserve">the professional qualifications legally required to exercise that activity in the United Kingdom; and </w:t>
      </w:r>
    </w:p>
    <w:p w14:paraId="0ADBE750" w14:textId="1A1FDDC6" w:rsidR="00E124D2" w:rsidRPr="003D0F8D" w:rsidRDefault="00E124D2" w:rsidP="005058CA">
      <w:pPr>
        <w:pStyle w:val="FTAtextlistedparagraphs"/>
        <w:numPr>
          <w:ilvl w:val="1"/>
          <w:numId w:val="4"/>
        </w:numPr>
        <w:rPr>
          <w:lang w:val="en-US"/>
        </w:rPr>
      </w:pPr>
      <w:r w:rsidRPr="003D0F8D">
        <w:rPr>
          <w:lang w:val="en-US"/>
        </w:rPr>
        <w:t>the access accorded relates only to the service activity which is the subject of the contract and does not confer entitlement to exercise the professional title of the United Kingdom.</w:t>
      </w:r>
    </w:p>
    <w:p w14:paraId="541F8951" w14:textId="705EB757" w:rsidR="00E124D2" w:rsidRPr="003D0F8D" w:rsidRDefault="00E124D2" w:rsidP="005058CA">
      <w:pPr>
        <w:pStyle w:val="FTAtextlistedparagraphs"/>
        <w:rPr>
          <w:lang w:val="en-US"/>
        </w:rPr>
      </w:pPr>
      <w:r w:rsidRPr="003D0F8D">
        <w:rPr>
          <w:lang w:val="en-US"/>
        </w:rPr>
        <w:t xml:space="preserve">The permissible length of stay of independent professionals is for a cumulative period of not more than six months in any 12-month period or for the duration of the contract, whichever is less. </w:t>
      </w:r>
    </w:p>
    <w:p w14:paraId="333059B8" w14:textId="5569ED35" w:rsidR="00E124D2" w:rsidRPr="003D0F8D" w:rsidRDefault="00E124D2" w:rsidP="005058CA">
      <w:pPr>
        <w:pStyle w:val="FTAtextlistedparagraphs"/>
        <w:rPr>
          <w:lang w:val="en-US"/>
        </w:rPr>
      </w:pPr>
      <w:r w:rsidRPr="003D0F8D">
        <w:rPr>
          <w:lang w:val="en-US"/>
        </w:rPr>
        <w:t>The United Kingdom lists the following reservations referred to in paragraph 1</w:t>
      </w:r>
      <w:r w:rsidR="00430B95" w:rsidRPr="003D0F8D">
        <w:rPr>
          <w:lang w:val="en-US"/>
        </w:rPr>
        <w:t xml:space="preserve"> of this Schedule</w:t>
      </w:r>
      <w:r w:rsidRPr="003D0F8D">
        <w:rPr>
          <w:lang w:val="en-US"/>
        </w:rPr>
        <w:t xml:space="preserve">: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3844"/>
      </w:tblGrid>
      <w:tr w:rsidR="003D0F8D" w:rsidRPr="003D0F8D" w14:paraId="23180C7E" w14:textId="77777777" w:rsidTr="00547391">
        <w:trPr>
          <w:cantSplit/>
          <w:tblHeader/>
        </w:trPr>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EEB7F1" w14:textId="77777777" w:rsidR="00E124D2" w:rsidRPr="003D0F8D" w:rsidRDefault="00E124D2">
            <w:pPr>
              <w:spacing w:line="256" w:lineRule="auto"/>
              <w:textAlignment w:val="baseline"/>
              <w:rPr>
                <w:rFonts w:ascii="Segoe UI" w:hAnsi="Segoe UI" w:cs="Segoe UI"/>
              </w:rPr>
            </w:pPr>
            <w:r w:rsidRPr="003D0F8D">
              <w:rPr>
                <w:lang w:val="en-US"/>
              </w:rPr>
              <w:t>Sector or sub-sector </w:t>
            </w:r>
            <w:r w:rsidRPr="003D0F8D">
              <w:t> </w:t>
            </w:r>
          </w:p>
        </w:tc>
        <w:tc>
          <w:tcPr>
            <w:tcW w:w="3844" w:type="dxa"/>
            <w:tcBorders>
              <w:top w:val="single" w:sz="6" w:space="0" w:color="000000" w:themeColor="text1"/>
              <w:left w:val="nil"/>
              <w:bottom w:val="single" w:sz="6" w:space="0" w:color="000000" w:themeColor="text1"/>
              <w:right w:val="single" w:sz="6" w:space="0" w:color="000000" w:themeColor="text1"/>
            </w:tcBorders>
            <w:hideMark/>
          </w:tcPr>
          <w:p w14:paraId="4113790F" w14:textId="77777777" w:rsidR="00E124D2" w:rsidRPr="003D0F8D" w:rsidRDefault="00E124D2">
            <w:pPr>
              <w:spacing w:line="256" w:lineRule="auto"/>
              <w:textAlignment w:val="baseline"/>
              <w:rPr>
                <w:rFonts w:ascii="Segoe UI" w:hAnsi="Segoe UI" w:cs="Segoe UI"/>
              </w:rPr>
            </w:pPr>
            <w:r w:rsidRPr="003D0F8D">
              <w:rPr>
                <w:lang w:val="en-US"/>
              </w:rPr>
              <w:t>Description of reservations </w:t>
            </w:r>
            <w:r w:rsidRPr="003D0F8D">
              <w:t> </w:t>
            </w:r>
          </w:p>
        </w:tc>
      </w:tr>
      <w:tr w:rsidR="003D0F8D" w:rsidRPr="003D0F8D" w14:paraId="26C720E5"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6CA401A8" w14:textId="77777777" w:rsidR="00E124D2" w:rsidRPr="003D0F8D" w:rsidRDefault="00E124D2">
            <w:pPr>
              <w:spacing w:line="256" w:lineRule="auto"/>
              <w:textAlignment w:val="baseline"/>
              <w:rPr>
                <w:rFonts w:ascii="Segoe UI" w:hAnsi="Segoe UI" w:cs="Segoe UI"/>
              </w:rPr>
            </w:pPr>
            <w:r w:rsidRPr="003D0F8D">
              <w:rPr>
                <w:lang w:val="en-US"/>
              </w:rPr>
              <w:t>Legal advisory services in respect of public international law and foreign law</w:t>
            </w:r>
            <w:r w:rsidRPr="003D0F8D">
              <w:t> </w:t>
            </w:r>
            <w:r w:rsidRPr="003D0F8D">
              <w:rPr>
                <w:lang w:val="en-US"/>
              </w:rPr>
              <w:t>(part of CPC 861)</w:t>
            </w:r>
            <w:r w:rsidRPr="003D0F8D">
              <w:t> </w:t>
            </w:r>
          </w:p>
        </w:tc>
        <w:tc>
          <w:tcPr>
            <w:tcW w:w="3844" w:type="dxa"/>
            <w:tcBorders>
              <w:top w:val="nil"/>
              <w:left w:val="nil"/>
              <w:bottom w:val="single" w:sz="6" w:space="0" w:color="000000" w:themeColor="text1"/>
              <w:right w:val="single" w:sz="6" w:space="0" w:color="000000" w:themeColor="text1"/>
            </w:tcBorders>
            <w:hideMark/>
          </w:tcPr>
          <w:p w14:paraId="6AE07999"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40A5CE41"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33E66E34" w14:textId="77777777" w:rsidR="00E124D2" w:rsidRPr="003D0F8D" w:rsidRDefault="00E124D2">
            <w:pPr>
              <w:spacing w:line="256" w:lineRule="auto"/>
              <w:textAlignment w:val="baseline"/>
              <w:rPr>
                <w:rFonts w:ascii="Segoe UI" w:hAnsi="Segoe UI" w:cs="Segoe UI"/>
              </w:rPr>
            </w:pPr>
            <w:r w:rsidRPr="003D0F8D">
              <w:t> </w:t>
            </w:r>
          </w:p>
          <w:p w14:paraId="2A1E8B85" w14:textId="77777777" w:rsidR="00E124D2" w:rsidRPr="003D0F8D" w:rsidRDefault="00E124D2" w:rsidP="00547391">
            <w:pPr>
              <w:spacing w:line="256" w:lineRule="auto"/>
              <w:ind w:right="-11"/>
              <w:textAlignment w:val="baseline"/>
            </w:pPr>
            <w:r w:rsidRPr="003D0F8D">
              <w:rPr>
                <w:b/>
                <w:bCs/>
                <w:lang w:val="en-US"/>
              </w:rPr>
              <w:t>IP:</w:t>
            </w:r>
            <w:r w:rsidRPr="003D0F8D">
              <w:t> </w:t>
            </w:r>
          </w:p>
          <w:p w14:paraId="70DB43DB"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2AC6722D"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4045C03E" w14:textId="77777777" w:rsidR="00E124D2" w:rsidRPr="003D0F8D" w:rsidRDefault="00E124D2">
            <w:pPr>
              <w:spacing w:line="256" w:lineRule="auto"/>
              <w:textAlignment w:val="baseline"/>
              <w:rPr>
                <w:rFonts w:ascii="Segoe UI" w:hAnsi="Segoe UI" w:cs="Segoe UI"/>
              </w:rPr>
            </w:pPr>
            <w:r w:rsidRPr="003D0F8D">
              <w:rPr>
                <w:lang w:val="en-US"/>
              </w:rPr>
              <w:t>Accounting and bookkeeping services</w:t>
            </w:r>
            <w:r w:rsidRPr="003D0F8D">
              <w:t> </w:t>
            </w:r>
          </w:p>
          <w:p w14:paraId="4EECD633" w14:textId="77777777" w:rsidR="00E124D2" w:rsidRPr="003D0F8D" w:rsidRDefault="00E124D2">
            <w:pPr>
              <w:spacing w:line="256" w:lineRule="auto"/>
              <w:textAlignment w:val="baseline"/>
              <w:rPr>
                <w:rFonts w:ascii="Segoe UI" w:hAnsi="Segoe UI" w:cs="Segoe UI"/>
              </w:rPr>
            </w:pPr>
            <w:r w:rsidRPr="003D0F8D">
              <w:rPr>
                <w:lang w:val="en-US"/>
              </w:rPr>
              <w:t>(CPC 86212 other than ‘auditing services’, 86213, 86219 and 86220)</w:t>
            </w:r>
            <w:r w:rsidRPr="003D0F8D">
              <w:t> </w:t>
            </w:r>
          </w:p>
        </w:tc>
        <w:tc>
          <w:tcPr>
            <w:tcW w:w="3844" w:type="dxa"/>
            <w:tcBorders>
              <w:top w:val="nil"/>
              <w:left w:val="nil"/>
              <w:bottom w:val="single" w:sz="6" w:space="0" w:color="000000" w:themeColor="text1"/>
              <w:right w:val="single" w:sz="6" w:space="0" w:color="000000" w:themeColor="text1"/>
            </w:tcBorders>
          </w:tcPr>
          <w:p w14:paraId="6EE24DE6"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7AD3558E"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r w:rsidRPr="003D0F8D">
              <w:t> </w:t>
            </w:r>
          </w:p>
          <w:p w14:paraId="18862319" w14:textId="77777777" w:rsidR="00E124D2" w:rsidRPr="003D0F8D" w:rsidRDefault="00E124D2">
            <w:pPr>
              <w:spacing w:line="256" w:lineRule="auto"/>
              <w:textAlignment w:val="baseline"/>
              <w:rPr>
                <w:b/>
                <w:bCs/>
                <w:lang w:val="en-US"/>
              </w:rPr>
            </w:pPr>
          </w:p>
          <w:p w14:paraId="6CFD28F5" w14:textId="77777777" w:rsidR="00E124D2" w:rsidRPr="003D0F8D" w:rsidRDefault="00E124D2">
            <w:pPr>
              <w:spacing w:line="256" w:lineRule="auto"/>
              <w:textAlignment w:val="baseline"/>
            </w:pPr>
            <w:r w:rsidRPr="003D0F8D">
              <w:rPr>
                <w:b/>
                <w:bCs/>
                <w:lang w:val="en-US"/>
              </w:rPr>
              <w:t>IP:</w:t>
            </w:r>
            <w:r w:rsidRPr="003D0F8D">
              <w:t> </w:t>
            </w:r>
          </w:p>
          <w:p w14:paraId="471925A8"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Unbound.</w:t>
            </w:r>
            <w:r w:rsidRPr="003D0F8D">
              <w:rPr>
                <w:rFonts w:ascii="Segoe UI" w:hAnsi="Segoe UI" w:cs="Segoe UI"/>
                <w:lang w:val="en-US"/>
              </w:rPr>
              <w:t xml:space="preserve"> </w:t>
            </w:r>
          </w:p>
        </w:tc>
      </w:tr>
      <w:tr w:rsidR="003D0F8D" w:rsidRPr="003D0F8D" w14:paraId="6754E76E"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1A170184" w14:textId="77777777" w:rsidR="00E124D2" w:rsidRPr="003D0F8D" w:rsidRDefault="00E124D2">
            <w:pPr>
              <w:spacing w:line="256" w:lineRule="auto"/>
              <w:textAlignment w:val="baseline"/>
              <w:rPr>
                <w:rFonts w:ascii="Segoe UI" w:hAnsi="Segoe UI" w:cs="Segoe UI"/>
              </w:rPr>
            </w:pPr>
            <w:r w:rsidRPr="003D0F8D">
              <w:rPr>
                <w:lang w:val="en-US"/>
              </w:rPr>
              <w:lastRenderedPageBreak/>
              <w:t>Taxation advisory services</w:t>
            </w:r>
            <w:r w:rsidRPr="003D0F8D">
              <w:t> </w:t>
            </w:r>
            <w:r w:rsidRPr="003D0F8D">
              <w:rPr>
                <w:lang w:val="en-US"/>
              </w:rPr>
              <w:t>(CPC 863)</w:t>
            </w:r>
            <w:r w:rsidRPr="003D0F8D">
              <w:rPr>
                <w:rStyle w:val="FootnoteReference"/>
                <w:lang w:val="en-US"/>
              </w:rPr>
              <w:footnoteReference w:id="5"/>
            </w:r>
          </w:p>
        </w:tc>
        <w:tc>
          <w:tcPr>
            <w:tcW w:w="3844" w:type="dxa"/>
            <w:tcBorders>
              <w:top w:val="nil"/>
              <w:left w:val="nil"/>
              <w:bottom w:val="single" w:sz="6" w:space="0" w:color="000000" w:themeColor="text1"/>
              <w:right w:val="single" w:sz="6" w:space="0" w:color="000000" w:themeColor="text1"/>
            </w:tcBorders>
            <w:hideMark/>
          </w:tcPr>
          <w:p w14:paraId="7FA1DE45"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7FD8FB8B"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4236F4B7" w14:textId="77777777" w:rsidR="00E124D2" w:rsidRPr="003D0F8D" w:rsidRDefault="00E124D2">
            <w:pPr>
              <w:spacing w:line="256" w:lineRule="auto"/>
              <w:textAlignment w:val="baseline"/>
              <w:rPr>
                <w:rFonts w:ascii="Segoe UI" w:hAnsi="Segoe UI" w:cs="Segoe UI"/>
              </w:rPr>
            </w:pPr>
            <w:r w:rsidRPr="003D0F8D">
              <w:t> </w:t>
            </w:r>
          </w:p>
          <w:p w14:paraId="5156D5A3" w14:textId="77777777" w:rsidR="00E124D2" w:rsidRPr="003D0F8D" w:rsidRDefault="00E124D2">
            <w:pPr>
              <w:spacing w:line="256" w:lineRule="auto"/>
              <w:textAlignment w:val="baseline"/>
            </w:pPr>
            <w:r w:rsidRPr="003D0F8D">
              <w:rPr>
                <w:b/>
                <w:bCs/>
                <w:lang w:val="en-US"/>
              </w:rPr>
              <w:t>IP:</w:t>
            </w:r>
            <w:r w:rsidRPr="003D0F8D">
              <w:t> </w:t>
            </w:r>
          </w:p>
          <w:p w14:paraId="0B4EC129"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Unbound.</w:t>
            </w:r>
          </w:p>
        </w:tc>
      </w:tr>
      <w:tr w:rsidR="003D0F8D" w:rsidRPr="003D0F8D" w14:paraId="6F559BE8"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F3F673D" w14:textId="77777777" w:rsidR="00E124D2" w:rsidRPr="003D0F8D" w:rsidRDefault="00E124D2">
            <w:pPr>
              <w:spacing w:line="256" w:lineRule="auto"/>
              <w:textAlignment w:val="baseline"/>
              <w:rPr>
                <w:lang w:val="en-US"/>
              </w:rPr>
            </w:pPr>
            <w:r w:rsidRPr="003D0F8D">
              <w:rPr>
                <w:lang w:val="en-US"/>
              </w:rPr>
              <w:t>Architectural services and Urban planning and landscape architectural services (CPC 8671 and 8674) </w:t>
            </w:r>
          </w:p>
        </w:tc>
        <w:tc>
          <w:tcPr>
            <w:tcW w:w="3844" w:type="dxa"/>
            <w:tcBorders>
              <w:top w:val="nil"/>
              <w:left w:val="nil"/>
              <w:bottom w:val="single" w:sz="6" w:space="0" w:color="000000" w:themeColor="text1"/>
              <w:right w:val="single" w:sz="6" w:space="0" w:color="000000" w:themeColor="text1"/>
            </w:tcBorders>
            <w:hideMark/>
          </w:tcPr>
          <w:p w14:paraId="7E6867CC"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0662F8BF"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1DED5FC7" w14:textId="77777777" w:rsidR="00E124D2" w:rsidRPr="003D0F8D" w:rsidRDefault="00E124D2">
            <w:pPr>
              <w:spacing w:line="256" w:lineRule="auto"/>
              <w:textAlignment w:val="baseline"/>
              <w:rPr>
                <w:rFonts w:ascii="Segoe UI" w:hAnsi="Segoe UI" w:cs="Segoe UI"/>
              </w:rPr>
            </w:pPr>
            <w:r w:rsidRPr="003D0F8D">
              <w:t> </w:t>
            </w:r>
          </w:p>
          <w:p w14:paraId="36800519" w14:textId="77777777" w:rsidR="00E124D2" w:rsidRPr="003D0F8D" w:rsidRDefault="00E124D2">
            <w:pPr>
              <w:spacing w:line="256" w:lineRule="auto"/>
              <w:textAlignment w:val="baseline"/>
            </w:pPr>
            <w:r w:rsidRPr="003D0F8D">
              <w:rPr>
                <w:b/>
                <w:bCs/>
                <w:lang w:val="en-US"/>
              </w:rPr>
              <w:t>IP:</w:t>
            </w:r>
            <w:r w:rsidRPr="003D0F8D">
              <w:t> </w:t>
            </w:r>
          </w:p>
          <w:p w14:paraId="68506593" w14:textId="77777777" w:rsidR="00E124D2" w:rsidRPr="003D0F8D" w:rsidRDefault="00E124D2">
            <w:pPr>
              <w:spacing w:line="256" w:lineRule="auto"/>
              <w:textAlignment w:val="baseline"/>
              <w:rPr>
                <w:lang w:val="en-US"/>
              </w:rPr>
            </w:pPr>
            <w:r w:rsidRPr="003D0F8D">
              <w:rPr>
                <w:shd w:val="clear" w:color="auto" w:fill="FFFFFF"/>
                <w:lang w:val="en-US"/>
              </w:rPr>
              <w:t>None.</w:t>
            </w:r>
            <w:r w:rsidRPr="003D0F8D">
              <w:rPr>
                <w:lang w:val="en-US"/>
              </w:rPr>
              <w:t xml:space="preserve"> </w:t>
            </w:r>
          </w:p>
        </w:tc>
      </w:tr>
      <w:tr w:rsidR="003D0F8D" w:rsidRPr="003D0F8D" w14:paraId="7AABFE3D"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424AF583" w14:textId="77777777" w:rsidR="00E124D2" w:rsidRPr="003D0F8D" w:rsidRDefault="00E124D2">
            <w:pPr>
              <w:spacing w:line="256" w:lineRule="auto"/>
              <w:textAlignment w:val="baseline"/>
              <w:rPr>
                <w:lang w:val="en-US"/>
              </w:rPr>
            </w:pPr>
            <w:r w:rsidRPr="003D0F8D">
              <w:rPr>
                <w:lang w:val="en-US"/>
              </w:rPr>
              <w:t>Engineering services and Integrated engineering services (CPC 8672 and 8673) </w:t>
            </w:r>
          </w:p>
        </w:tc>
        <w:tc>
          <w:tcPr>
            <w:tcW w:w="3844" w:type="dxa"/>
            <w:tcBorders>
              <w:top w:val="nil"/>
              <w:left w:val="nil"/>
              <w:bottom w:val="single" w:sz="6" w:space="0" w:color="000000" w:themeColor="text1"/>
              <w:right w:val="single" w:sz="6" w:space="0" w:color="000000" w:themeColor="text1"/>
            </w:tcBorders>
            <w:hideMark/>
          </w:tcPr>
          <w:p w14:paraId="50B98186"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77AAD0D6"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6F1A95CE" w14:textId="77777777" w:rsidR="00E124D2" w:rsidRPr="003D0F8D" w:rsidRDefault="00E124D2">
            <w:pPr>
              <w:spacing w:line="256" w:lineRule="auto"/>
              <w:textAlignment w:val="baseline"/>
              <w:rPr>
                <w:rFonts w:ascii="Segoe UI" w:hAnsi="Segoe UI" w:cs="Segoe UI"/>
              </w:rPr>
            </w:pPr>
            <w:r w:rsidRPr="003D0F8D">
              <w:t> </w:t>
            </w:r>
          </w:p>
          <w:p w14:paraId="69F1E79C" w14:textId="77777777" w:rsidR="00E124D2" w:rsidRPr="003D0F8D" w:rsidRDefault="00E124D2">
            <w:pPr>
              <w:spacing w:line="256" w:lineRule="auto"/>
              <w:textAlignment w:val="baseline"/>
            </w:pPr>
            <w:r w:rsidRPr="003D0F8D">
              <w:rPr>
                <w:b/>
                <w:bCs/>
                <w:lang w:val="en-US"/>
              </w:rPr>
              <w:t>IP:</w:t>
            </w:r>
            <w:r w:rsidRPr="003D0F8D">
              <w:t> </w:t>
            </w:r>
          </w:p>
          <w:p w14:paraId="004F3B8B"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5ECB3D50"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3455396" w14:textId="77777777" w:rsidR="00E124D2" w:rsidRPr="003D0F8D" w:rsidRDefault="00E124D2">
            <w:pPr>
              <w:spacing w:line="256" w:lineRule="auto"/>
              <w:textAlignment w:val="baseline"/>
              <w:rPr>
                <w:lang w:val="en-US"/>
              </w:rPr>
            </w:pPr>
            <w:r w:rsidRPr="003D0F8D">
              <w:rPr>
                <w:lang w:val="en-US"/>
              </w:rPr>
              <w:t>Computer and related services (CPC 84) </w:t>
            </w:r>
          </w:p>
        </w:tc>
        <w:tc>
          <w:tcPr>
            <w:tcW w:w="3844" w:type="dxa"/>
            <w:tcBorders>
              <w:top w:val="nil"/>
              <w:left w:val="nil"/>
              <w:bottom w:val="single" w:sz="6" w:space="0" w:color="000000" w:themeColor="text1"/>
              <w:right w:val="single" w:sz="6" w:space="0" w:color="000000" w:themeColor="text1"/>
            </w:tcBorders>
            <w:hideMark/>
          </w:tcPr>
          <w:p w14:paraId="05A4793D"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11CBC12D"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50BE8EAC" w14:textId="77777777" w:rsidR="00E124D2" w:rsidRPr="003D0F8D" w:rsidRDefault="00E124D2">
            <w:pPr>
              <w:spacing w:line="256" w:lineRule="auto"/>
              <w:textAlignment w:val="baseline"/>
              <w:rPr>
                <w:rFonts w:ascii="Segoe UI" w:hAnsi="Segoe UI" w:cs="Segoe UI"/>
              </w:rPr>
            </w:pPr>
            <w:r w:rsidRPr="003D0F8D">
              <w:t> </w:t>
            </w:r>
          </w:p>
          <w:p w14:paraId="39744695" w14:textId="77777777" w:rsidR="00E124D2" w:rsidRPr="003D0F8D" w:rsidRDefault="00E124D2">
            <w:pPr>
              <w:spacing w:line="256" w:lineRule="auto"/>
              <w:textAlignment w:val="baseline"/>
            </w:pPr>
            <w:r w:rsidRPr="003D0F8D">
              <w:rPr>
                <w:b/>
                <w:bCs/>
                <w:lang w:val="en-US"/>
              </w:rPr>
              <w:t>IP:</w:t>
            </w:r>
            <w:r w:rsidRPr="003D0F8D">
              <w:t> </w:t>
            </w:r>
          </w:p>
          <w:p w14:paraId="3CC4A3C3"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0DACE538"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5FC1F39" w14:textId="77777777" w:rsidR="00E124D2" w:rsidRPr="003D0F8D" w:rsidRDefault="00E124D2">
            <w:pPr>
              <w:spacing w:line="256" w:lineRule="auto"/>
              <w:textAlignment w:val="baseline"/>
              <w:rPr>
                <w:lang w:val="en-US"/>
              </w:rPr>
            </w:pPr>
            <w:r w:rsidRPr="003D0F8D">
              <w:rPr>
                <w:lang w:val="en-US"/>
              </w:rPr>
              <w:lastRenderedPageBreak/>
              <w:t>Research and development services </w:t>
            </w:r>
          </w:p>
          <w:p w14:paraId="24469C89" w14:textId="77777777" w:rsidR="00E124D2" w:rsidRPr="003D0F8D" w:rsidRDefault="00E124D2">
            <w:pPr>
              <w:spacing w:line="256" w:lineRule="auto"/>
              <w:textAlignment w:val="baseline"/>
              <w:rPr>
                <w:lang w:val="en-US"/>
              </w:rPr>
            </w:pPr>
            <w:r w:rsidRPr="003D0F8D">
              <w:rPr>
                <w:lang w:val="en-US"/>
              </w:rPr>
              <w:t xml:space="preserve">(CPC 851, 852 excluding </w:t>
            </w:r>
            <w:proofErr w:type="gramStart"/>
            <w:r w:rsidRPr="003D0F8D">
              <w:rPr>
                <w:lang w:val="en-US"/>
              </w:rPr>
              <w:t>psychologists</w:t>
            </w:r>
            <w:proofErr w:type="gramEnd"/>
            <w:r w:rsidRPr="003D0F8D">
              <w:rPr>
                <w:lang w:val="en-US"/>
              </w:rPr>
              <w:t xml:space="preserve"> services,</w:t>
            </w:r>
            <w:r w:rsidRPr="003D0F8D">
              <w:rPr>
                <w:rStyle w:val="FootnoteReference"/>
                <w:lang w:val="en-US"/>
              </w:rPr>
              <w:footnoteReference w:id="6"/>
            </w:r>
            <w:r w:rsidRPr="003D0F8D">
              <w:rPr>
                <w:lang w:val="en-US"/>
              </w:rPr>
              <w:t xml:space="preserve"> and 853) </w:t>
            </w:r>
          </w:p>
        </w:tc>
        <w:tc>
          <w:tcPr>
            <w:tcW w:w="3844" w:type="dxa"/>
            <w:tcBorders>
              <w:top w:val="nil"/>
              <w:left w:val="nil"/>
              <w:bottom w:val="single" w:sz="6" w:space="0" w:color="000000" w:themeColor="text1"/>
              <w:right w:val="single" w:sz="6" w:space="0" w:color="000000" w:themeColor="text1"/>
            </w:tcBorders>
            <w:hideMark/>
          </w:tcPr>
          <w:p w14:paraId="43EFEA8B"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605A7DE"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0205D388" w14:textId="77777777" w:rsidR="00E124D2" w:rsidRPr="003D0F8D" w:rsidRDefault="00E124D2">
            <w:pPr>
              <w:spacing w:line="256" w:lineRule="auto"/>
              <w:textAlignment w:val="baseline"/>
              <w:rPr>
                <w:rFonts w:ascii="Segoe UI" w:hAnsi="Segoe UI" w:cs="Segoe UI"/>
              </w:rPr>
            </w:pPr>
            <w:r w:rsidRPr="003D0F8D">
              <w:t> </w:t>
            </w:r>
          </w:p>
          <w:p w14:paraId="3490C0C1" w14:textId="77777777" w:rsidR="00E124D2" w:rsidRPr="003D0F8D" w:rsidRDefault="00E124D2">
            <w:pPr>
              <w:spacing w:line="256" w:lineRule="auto"/>
              <w:textAlignment w:val="baseline"/>
            </w:pPr>
            <w:r w:rsidRPr="003D0F8D">
              <w:rPr>
                <w:b/>
                <w:bCs/>
                <w:lang w:val="en-US"/>
              </w:rPr>
              <w:t>IP:</w:t>
            </w:r>
            <w:r w:rsidRPr="003D0F8D">
              <w:t> </w:t>
            </w:r>
          </w:p>
          <w:p w14:paraId="303F765F"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35298C53"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CE24C7E" w14:textId="77777777" w:rsidR="00E124D2" w:rsidRPr="003D0F8D" w:rsidRDefault="00E124D2">
            <w:pPr>
              <w:spacing w:line="256" w:lineRule="auto"/>
              <w:textAlignment w:val="baseline"/>
              <w:rPr>
                <w:lang w:val="en-US"/>
              </w:rPr>
            </w:pPr>
            <w:r w:rsidRPr="003D0F8D">
              <w:rPr>
                <w:lang w:val="en-US"/>
              </w:rPr>
              <w:t>Advertising services (CPC 871) </w:t>
            </w:r>
          </w:p>
        </w:tc>
        <w:tc>
          <w:tcPr>
            <w:tcW w:w="3844" w:type="dxa"/>
            <w:tcBorders>
              <w:top w:val="nil"/>
              <w:left w:val="nil"/>
              <w:bottom w:val="single" w:sz="6" w:space="0" w:color="000000" w:themeColor="text1"/>
              <w:right w:val="single" w:sz="6" w:space="0" w:color="000000" w:themeColor="text1"/>
            </w:tcBorders>
            <w:hideMark/>
          </w:tcPr>
          <w:p w14:paraId="509D4BA0"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3D6B0866"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4E2E11A3" w14:textId="77777777" w:rsidR="00E124D2" w:rsidRPr="003D0F8D" w:rsidRDefault="00E124D2">
            <w:pPr>
              <w:spacing w:line="256" w:lineRule="auto"/>
              <w:textAlignment w:val="baseline"/>
              <w:rPr>
                <w:rFonts w:ascii="Segoe UI" w:hAnsi="Segoe UI" w:cs="Segoe UI"/>
              </w:rPr>
            </w:pPr>
            <w:r w:rsidRPr="003D0F8D">
              <w:t> </w:t>
            </w:r>
          </w:p>
          <w:p w14:paraId="58677939" w14:textId="77777777" w:rsidR="00E124D2" w:rsidRPr="003D0F8D" w:rsidRDefault="00E124D2">
            <w:pPr>
              <w:spacing w:line="256" w:lineRule="auto"/>
              <w:textAlignment w:val="baseline"/>
            </w:pPr>
            <w:r w:rsidRPr="003D0F8D">
              <w:rPr>
                <w:b/>
                <w:bCs/>
                <w:lang w:val="en-US"/>
              </w:rPr>
              <w:t>IP:</w:t>
            </w:r>
            <w:r w:rsidRPr="003D0F8D">
              <w:t> </w:t>
            </w:r>
          </w:p>
          <w:p w14:paraId="14A265D6" w14:textId="77777777" w:rsidR="00E124D2" w:rsidRPr="003D0F8D" w:rsidRDefault="00E124D2">
            <w:pPr>
              <w:spacing w:line="256" w:lineRule="auto"/>
              <w:textAlignment w:val="baseline"/>
              <w:rPr>
                <w:lang w:val="en-US"/>
              </w:rPr>
            </w:pPr>
            <w:r w:rsidRPr="003D0F8D">
              <w:rPr>
                <w:shd w:val="clear" w:color="auto" w:fill="FFFFFF"/>
                <w:lang w:val="en-US"/>
              </w:rPr>
              <w:t>Unbound.</w:t>
            </w:r>
          </w:p>
        </w:tc>
      </w:tr>
      <w:tr w:rsidR="003D0F8D" w:rsidRPr="003D0F8D" w14:paraId="14E54C30"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15F90DDE" w14:textId="77777777" w:rsidR="00E124D2" w:rsidRPr="003D0F8D" w:rsidRDefault="00E124D2">
            <w:pPr>
              <w:spacing w:line="256" w:lineRule="auto"/>
              <w:textAlignment w:val="baseline"/>
            </w:pPr>
            <w:r w:rsidRPr="003D0F8D">
              <w:rPr>
                <w:lang w:val="en-US"/>
              </w:rPr>
              <w:t>Market research and</w:t>
            </w:r>
            <w:r w:rsidRPr="003D0F8D">
              <w:t> </w:t>
            </w:r>
            <w:r w:rsidRPr="003D0F8D">
              <w:rPr>
                <w:lang w:val="en-US"/>
              </w:rPr>
              <w:t>opinion polling services (CPC 864)</w:t>
            </w:r>
            <w:r w:rsidRPr="003D0F8D">
              <w:t> </w:t>
            </w:r>
          </w:p>
        </w:tc>
        <w:tc>
          <w:tcPr>
            <w:tcW w:w="3844" w:type="dxa"/>
            <w:tcBorders>
              <w:top w:val="nil"/>
              <w:left w:val="nil"/>
              <w:bottom w:val="single" w:sz="6" w:space="0" w:color="000000" w:themeColor="text1"/>
              <w:right w:val="single" w:sz="6" w:space="0" w:color="000000" w:themeColor="text1"/>
            </w:tcBorders>
            <w:hideMark/>
          </w:tcPr>
          <w:p w14:paraId="0E95BC97"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2170B683"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7C168844" w14:textId="77777777" w:rsidR="00E124D2" w:rsidRPr="003D0F8D" w:rsidRDefault="00E124D2">
            <w:pPr>
              <w:spacing w:line="256" w:lineRule="auto"/>
              <w:textAlignment w:val="baseline"/>
              <w:rPr>
                <w:rFonts w:ascii="Segoe UI" w:hAnsi="Segoe UI" w:cs="Segoe UI"/>
              </w:rPr>
            </w:pPr>
            <w:r w:rsidRPr="003D0F8D">
              <w:t> </w:t>
            </w:r>
          </w:p>
          <w:p w14:paraId="0776A041" w14:textId="77777777" w:rsidR="00E124D2" w:rsidRPr="003D0F8D" w:rsidRDefault="00E124D2">
            <w:pPr>
              <w:spacing w:line="256" w:lineRule="auto"/>
              <w:textAlignment w:val="baseline"/>
            </w:pPr>
            <w:r w:rsidRPr="003D0F8D">
              <w:rPr>
                <w:b/>
                <w:bCs/>
                <w:lang w:val="en-US"/>
              </w:rPr>
              <w:t>IP:</w:t>
            </w:r>
            <w:r w:rsidRPr="003D0F8D">
              <w:t> </w:t>
            </w:r>
          </w:p>
          <w:p w14:paraId="6CEE815A"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784CCA36"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BA895E5" w14:textId="77777777" w:rsidR="00E124D2" w:rsidRPr="003D0F8D" w:rsidRDefault="00E124D2">
            <w:pPr>
              <w:spacing w:line="256" w:lineRule="auto"/>
              <w:textAlignment w:val="baseline"/>
            </w:pPr>
            <w:r w:rsidRPr="003D0F8D">
              <w:rPr>
                <w:lang w:val="en-US"/>
              </w:rPr>
              <w:t>Management</w:t>
            </w:r>
            <w:r w:rsidRPr="003D0F8D">
              <w:t> </w:t>
            </w:r>
            <w:r w:rsidRPr="003D0F8D">
              <w:rPr>
                <w:lang w:val="en-US"/>
              </w:rPr>
              <w:t>consulting services</w:t>
            </w:r>
            <w:r w:rsidRPr="003D0F8D">
              <w:t> </w:t>
            </w:r>
            <w:r w:rsidRPr="003D0F8D">
              <w:rPr>
                <w:lang w:val="en-US"/>
              </w:rPr>
              <w:t>(CPC 865)</w:t>
            </w:r>
          </w:p>
        </w:tc>
        <w:tc>
          <w:tcPr>
            <w:tcW w:w="3844" w:type="dxa"/>
            <w:tcBorders>
              <w:top w:val="nil"/>
              <w:left w:val="nil"/>
              <w:bottom w:val="single" w:sz="6" w:space="0" w:color="000000" w:themeColor="text1"/>
              <w:right w:val="single" w:sz="6" w:space="0" w:color="000000" w:themeColor="text1"/>
            </w:tcBorders>
            <w:hideMark/>
          </w:tcPr>
          <w:p w14:paraId="4D8B3E78"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71E857FC"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798448F1" w14:textId="77777777" w:rsidR="00E124D2" w:rsidRPr="003D0F8D" w:rsidRDefault="00E124D2">
            <w:pPr>
              <w:spacing w:line="256" w:lineRule="auto"/>
              <w:textAlignment w:val="baseline"/>
              <w:rPr>
                <w:rFonts w:ascii="Segoe UI" w:hAnsi="Segoe UI" w:cs="Segoe UI"/>
              </w:rPr>
            </w:pPr>
            <w:r w:rsidRPr="003D0F8D">
              <w:t> </w:t>
            </w:r>
          </w:p>
          <w:p w14:paraId="62EF430E" w14:textId="77777777" w:rsidR="00E124D2" w:rsidRPr="003D0F8D" w:rsidRDefault="00E124D2">
            <w:pPr>
              <w:spacing w:line="256" w:lineRule="auto"/>
              <w:textAlignment w:val="baseline"/>
            </w:pPr>
            <w:r w:rsidRPr="003D0F8D">
              <w:rPr>
                <w:b/>
                <w:bCs/>
                <w:lang w:val="en-US"/>
              </w:rPr>
              <w:t>IP:</w:t>
            </w:r>
            <w:r w:rsidRPr="003D0F8D">
              <w:t> </w:t>
            </w:r>
          </w:p>
          <w:p w14:paraId="0FEC5385" w14:textId="77777777" w:rsidR="00E124D2" w:rsidRPr="003D0F8D" w:rsidRDefault="00E124D2">
            <w:pPr>
              <w:spacing w:line="256" w:lineRule="auto"/>
              <w:textAlignment w:val="baseline"/>
            </w:pPr>
            <w:r w:rsidRPr="003D0F8D">
              <w:rPr>
                <w:shd w:val="clear" w:color="auto" w:fill="FFFFFF"/>
                <w:lang w:val="en-US"/>
              </w:rPr>
              <w:t>None.</w:t>
            </w:r>
          </w:p>
        </w:tc>
      </w:tr>
      <w:tr w:rsidR="003D0F8D" w:rsidRPr="003D0F8D" w14:paraId="1B89CD66"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4F682F6" w14:textId="77777777" w:rsidR="00E124D2" w:rsidRPr="003D0F8D" w:rsidRDefault="00E124D2">
            <w:pPr>
              <w:spacing w:line="256" w:lineRule="auto"/>
              <w:textAlignment w:val="baseline"/>
            </w:pPr>
            <w:r w:rsidRPr="003D0F8D">
              <w:rPr>
                <w:lang w:val="en-US"/>
              </w:rPr>
              <w:t>Services related to</w:t>
            </w:r>
            <w:r w:rsidRPr="003D0F8D">
              <w:t> </w:t>
            </w:r>
            <w:r w:rsidRPr="003D0F8D">
              <w:rPr>
                <w:lang w:val="en-US"/>
              </w:rPr>
              <w:t>management consulting (CPC 866)</w:t>
            </w:r>
            <w:r w:rsidRPr="003D0F8D">
              <w:t> </w:t>
            </w:r>
          </w:p>
        </w:tc>
        <w:tc>
          <w:tcPr>
            <w:tcW w:w="3844" w:type="dxa"/>
            <w:tcBorders>
              <w:top w:val="nil"/>
              <w:left w:val="nil"/>
              <w:bottom w:val="single" w:sz="6" w:space="0" w:color="000000" w:themeColor="text1"/>
              <w:right w:val="single" w:sz="6" w:space="0" w:color="000000" w:themeColor="text1"/>
            </w:tcBorders>
            <w:hideMark/>
          </w:tcPr>
          <w:p w14:paraId="700AEF41"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E899349"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2EE44F55" w14:textId="77777777" w:rsidR="00E124D2" w:rsidRPr="003D0F8D" w:rsidRDefault="00E124D2">
            <w:pPr>
              <w:spacing w:line="256" w:lineRule="auto"/>
              <w:textAlignment w:val="baseline"/>
              <w:rPr>
                <w:rFonts w:ascii="Segoe UI" w:hAnsi="Segoe UI" w:cs="Segoe UI"/>
              </w:rPr>
            </w:pPr>
            <w:r w:rsidRPr="003D0F8D">
              <w:t> </w:t>
            </w:r>
          </w:p>
          <w:p w14:paraId="07C43471" w14:textId="77777777" w:rsidR="00E124D2" w:rsidRPr="003D0F8D" w:rsidRDefault="00E124D2">
            <w:pPr>
              <w:spacing w:line="256" w:lineRule="auto"/>
              <w:textAlignment w:val="baseline"/>
            </w:pPr>
            <w:r w:rsidRPr="003D0F8D">
              <w:rPr>
                <w:b/>
                <w:bCs/>
                <w:lang w:val="en-US"/>
              </w:rPr>
              <w:t>IP:</w:t>
            </w:r>
            <w:r w:rsidRPr="003D0F8D">
              <w:t> </w:t>
            </w:r>
          </w:p>
          <w:p w14:paraId="0D1C8E3F" w14:textId="77777777" w:rsidR="00E124D2" w:rsidRPr="003D0F8D" w:rsidRDefault="00E124D2">
            <w:pPr>
              <w:spacing w:line="256" w:lineRule="auto"/>
              <w:textAlignment w:val="baseline"/>
            </w:pPr>
            <w:r w:rsidRPr="003D0F8D">
              <w:rPr>
                <w:shd w:val="clear" w:color="auto" w:fill="FFFFFF"/>
                <w:lang w:val="en-US"/>
              </w:rPr>
              <w:t xml:space="preserve">None. </w:t>
            </w:r>
          </w:p>
        </w:tc>
      </w:tr>
      <w:tr w:rsidR="003D0F8D" w:rsidRPr="003D0F8D" w14:paraId="29CCBC81"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1099729D" w14:textId="77777777" w:rsidR="00E124D2" w:rsidRPr="003D0F8D" w:rsidRDefault="00E124D2">
            <w:pPr>
              <w:spacing w:line="256" w:lineRule="auto"/>
              <w:textAlignment w:val="baseline"/>
            </w:pPr>
            <w:r w:rsidRPr="003D0F8D">
              <w:rPr>
                <w:lang w:val="en-US"/>
              </w:rPr>
              <w:lastRenderedPageBreak/>
              <w:t>Technical testing and</w:t>
            </w:r>
            <w:r w:rsidRPr="003D0F8D">
              <w:t> </w:t>
            </w:r>
            <w:r w:rsidRPr="003D0F8D">
              <w:rPr>
                <w:lang w:val="en-US"/>
              </w:rPr>
              <w:t>analysis services</w:t>
            </w:r>
            <w:r w:rsidRPr="003D0F8D">
              <w:t> </w:t>
            </w:r>
            <w:r w:rsidRPr="003D0F8D">
              <w:rPr>
                <w:lang w:val="en-US"/>
              </w:rPr>
              <w:t>(CPC 8676)</w:t>
            </w:r>
            <w:r w:rsidRPr="003D0F8D">
              <w:t> </w:t>
            </w:r>
          </w:p>
        </w:tc>
        <w:tc>
          <w:tcPr>
            <w:tcW w:w="3844" w:type="dxa"/>
            <w:tcBorders>
              <w:top w:val="nil"/>
              <w:left w:val="nil"/>
              <w:bottom w:val="single" w:sz="6" w:space="0" w:color="000000" w:themeColor="text1"/>
              <w:right w:val="single" w:sz="6" w:space="0" w:color="000000" w:themeColor="text1"/>
            </w:tcBorders>
            <w:hideMark/>
          </w:tcPr>
          <w:p w14:paraId="69CE991F"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35D51AEC"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4B768F59" w14:textId="77777777" w:rsidR="00E124D2" w:rsidRPr="003D0F8D" w:rsidRDefault="00E124D2">
            <w:pPr>
              <w:spacing w:line="256" w:lineRule="auto"/>
              <w:textAlignment w:val="baseline"/>
              <w:rPr>
                <w:rFonts w:ascii="Segoe UI" w:hAnsi="Segoe UI" w:cs="Segoe UI"/>
              </w:rPr>
            </w:pPr>
            <w:r w:rsidRPr="003D0F8D">
              <w:t> </w:t>
            </w:r>
          </w:p>
          <w:p w14:paraId="1E662B57" w14:textId="77777777" w:rsidR="00E124D2" w:rsidRPr="003D0F8D" w:rsidRDefault="00E124D2">
            <w:pPr>
              <w:spacing w:line="256" w:lineRule="auto"/>
              <w:textAlignment w:val="baseline"/>
            </w:pPr>
            <w:r w:rsidRPr="003D0F8D">
              <w:rPr>
                <w:b/>
                <w:bCs/>
                <w:lang w:val="en-US"/>
              </w:rPr>
              <w:t>IP:</w:t>
            </w:r>
            <w:r w:rsidRPr="003D0F8D">
              <w:t> </w:t>
            </w:r>
          </w:p>
          <w:p w14:paraId="5099728F" w14:textId="77777777" w:rsidR="00E124D2" w:rsidRPr="003D0F8D" w:rsidRDefault="00E124D2">
            <w:pPr>
              <w:spacing w:line="256" w:lineRule="auto"/>
              <w:textAlignment w:val="baseline"/>
              <w:rPr>
                <w:lang w:val="en-US"/>
              </w:rPr>
            </w:pPr>
            <w:r w:rsidRPr="003D0F8D">
              <w:rPr>
                <w:shd w:val="clear" w:color="auto" w:fill="FFFFFF"/>
                <w:lang w:val="en-US"/>
              </w:rPr>
              <w:t>Unbound.</w:t>
            </w:r>
          </w:p>
        </w:tc>
      </w:tr>
      <w:tr w:rsidR="003D0F8D" w:rsidRPr="003D0F8D" w14:paraId="10EC6B3A"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2E687190" w14:textId="77777777" w:rsidR="00E124D2" w:rsidRPr="003D0F8D" w:rsidRDefault="00E124D2">
            <w:pPr>
              <w:spacing w:line="256" w:lineRule="auto"/>
              <w:textAlignment w:val="baseline"/>
            </w:pPr>
            <w:r w:rsidRPr="003D0F8D">
              <w:rPr>
                <w:lang w:val="en-US"/>
              </w:rPr>
              <w:t>Related scientific and</w:t>
            </w:r>
            <w:r w:rsidRPr="003D0F8D">
              <w:t> </w:t>
            </w:r>
            <w:r w:rsidRPr="003D0F8D">
              <w:rPr>
                <w:lang w:val="en-US"/>
              </w:rPr>
              <w:t>technical consulting services</w:t>
            </w:r>
            <w:r w:rsidRPr="003D0F8D">
              <w:t> </w:t>
            </w:r>
            <w:r w:rsidRPr="003D0F8D">
              <w:rPr>
                <w:lang w:val="en-US"/>
              </w:rPr>
              <w:t>(CPC 8675)</w:t>
            </w:r>
            <w:r w:rsidRPr="003D0F8D">
              <w:t> </w:t>
            </w:r>
          </w:p>
        </w:tc>
        <w:tc>
          <w:tcPr>
            <w:tcW w:w="3844" w:type="dxa"/>
            <w:tcBorders>
              <w:top w:val="nil"/>
              <w:left w:val="nil"/>
              <w:bottom w:val="single" w:sz="6" w:space="0" w:color="000000" w:themeColor="text1"/>
              <w:right w:val="single" w:sz="6" w:space="0" w:color="000000" w:themeColor="text1"/>
            </w:tcBorders>
            <w:hideMark/>
          </w:tcPr>
          <w:p w14:paraId="77D96CD6"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B31518A"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5E120874" w14:textId="77777777" w:rsidR="00E124D2" w:rsidRPr="003D0F8D" w:rsidRDefault="00E124D2">
            <w:pPr>
              <w:spacing w:line="256" w:lineRule="auto"/>
              <w:textAlignment w:val="baseline"/>
              <w:rPr>
                <w:rFonts w:ascii="Segoe UI" w:hAnsi="Segoe UI" w:cs="Segoe UI"/>
              </w:rPr>
            </w:pPr>
            <w:r w:rsidRPr="003D0F8D">
              <w:t> </w:t>
            </w:r>
          </w:p>
          <w:p w14:paraId="74DB2494" w14:textId="77777777" w:rsidR="00E124D2" w:rsidRPr="003D0F8D" w:rsidRDefault="00E124D2">
            <w:pPr>
              <w:spacing w:line="256" w:lineRule="auto"/>
              <w:textAlignment w:val="baseline"/>
            </w:pPr>
            <w:r w:rsidRPr="003D0F8D">
              <w:rPr>
                <w:b/>
                <w:bCs/>
                <w:lang w:val="en-US"/>
              </w:rPr>
              <w:t>IP:</w:t>
            </w:r>
            <w:r w:rsidRPr="003D0F8D">
              <w:t> </w:t>
            </w:r>
          </w:p>
          <w:p w14:paraId="161724D3" w14:textId="77777777" w:rsidR="00E124D2" w:rsidRPr="003D0F8D" w:rsidRDefault="00E124D2">
            <w:pPr>
              <w:spacing w:line="256" w:lineRule="auto"/>
              <w:textAlignment w:val="baseline"/>
            </w:pPr>
            <w:r w:rsidRPr="003D0F8D">
              <w:rPr>
                <w:shd w:val="clear" w:color="auto" w:fill="FFFFFF"/>
                <w:lang w:val="en-US"/>
              </w:rPr>
              <w:t>Unbound.</w:t>
            </w:r>
          </w:p>
        </w:tc>
      </w:tr>
      <w:tr w:rsidR="003D0F8D" w:rsidRPr="003D0F8D" w14:paraId="68C915C6"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58DA48DD" w14:textId="77777777" w:rsidR="00E124D2" w:rsidRPr="003D0F8D" w:rsidRDefault="00E124D2">
            <w:pPr>
              <w:spacing w:line="256" w:lineRule="auto"/>
              <w:textAlignment w:val="baseline"/>
            </w:pPr>
            <w:r w:rsidRPr="003D0F8D">
              <w:rPr>
                <w:lang w:val="en-US"/>
              </w:rPr>
              <w:t>Mining (CPC 883,</w:t>
            </w:r>
            <w:r w:rsidRPr="003D0F8D">
              <w:t> </w:t>
            </w:r>
            <w:r w:rsidRPr="003D0F8D">
              <w:rPr>
                <w:lang w:val="en-US"/>
              </w:rPr>
              <w:t>advisory and consulting services only)</w:t>
            </w:r>
            <w:r w:rsidRPr="003D0F8D">
              <w:t> </w:t>
            </w:r>
          </w:p>
        </w:tc>
        <w:tc>
          <w:tcPr>
            <w:tcW w:w="3844" w:type="dxa"/>
            <w:tcBorders>
              <w:top w:val="nil"/>
              <w:left w:val="nil"/>
              <w:bottom w:val="single" w:sz="6" w:space="0" w:color="000000" w:themeColor="text1"/>
              <w:right w:val="single" w:sz="6" w:space="0" w:color="000000" w:themeColor="text1"/>
            </w:tcBorders>
            <w:hideMark/>
          </w:tcPr>
          <w:p w14:paraId="492A3A59"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740D5008"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3DC42BBB" w14:textId="77777777" w:rsidR="00E124D2" w:rsidRPr="003D0F8D" w:rsidRDefault="00E124D2">
            <w:pPr>
              <w:spacing w:line="256" w:lineRule="auto"/>
              <w:textAlignment w:val="baseline"/>
              <w:rPr>
                <w:rFonts w:ascii="Segoe UI" w:hAnsi="Segoe UI" w:cs="Segoe UI"/>
              </w:rPr>
            </w:pPr>
            <w:r w:rsidRPr="003D0F8D">
              <w:t> </w:t>
            </w:r>
          </w:p>
          <w:p w14:paraId="29CE8345" w14:textId="77777777" w:rsidR="00E124D2" w:rsidRPr="003D0F8D" w:rsidRDefault="00E124D2">
            <w:pPr>
              <w:spacing w:line="256" w:lineRule="auto"/>
              <w:textAlignment w:val="baseline"/>
            </w:pPr>
            <w:r w:rsidRPr="003D0F8D">
              <w:rPr>
                <w:b/>
                <w:bCs/>
                <w:lang w:val="en-US"/>
              </w:rPr>
              <w:t>IP:</w:t>
            </w:r>
            <w:r w:rsidRPr="003D0F8D">
              <w:t> </w:t>
            </w:r>
          </w:p>
          <w:p w14:paraId="728EBBD7" w14:textId="77777777" w:rsidR="00E124D2" w:rsidRPr="003D0F8D" w:rsidRDefault="00E124D2">
            <w:pPr>
              <w:spacing w:line="256" w:lineRule="auto"/>
              <w:textAlignment w:val="baseline"/>
            </w:pPr>
            <w:r w:rsidRPr="003D0F8D">
              <w:rPr>
                <w:shd w:val="clear" w:color="auto" w:fill="FFFFFF"/>
                <w:lang w:val="en-US"/>
              </w:rPr>
              <w:t>None.</w:t>
            </w:r>
          </w:p>
        </w:tc>
      </w:tr>
      <w:tr w:rsidR="003D0F8D" w:rsidRPr="003D0F8D" w14:paraId="4F53C56A"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055531B6" w14:textId="77777777" w:rsidR="00E124D2" w:rsidRPr="003D0F8D" w:rsidRDefault="00E124D2">
            <w:pPr>
              <w:spacing w:line="256" w:lineRule="auto"/>
              <w:textAlignment w:val="baseline"/>
            </w:pPr>
            <w:r w:rsidRPr="003D0F8D">
              <w:rPr>
                <w:lang w:val="en-US"/>
              </w:rPr>
              <w:t>Maintenance and repair</w:t>
            </w:r>
            <w:r w:rsidRPr="003D0F8D">
              <w:t> </w:t>
            </w:r>
            <w:r w:rsidRPr="003D0F8D">
              <w:rPr>
                <w:lang w:val="en-US"/>
              </w:rPr>
              <w:t>of vessels</w:t>
            </w:r>
            <w:r w:rsidRPr="003D0F8D">
              <w:t> </w:t>
            </w:r>
          </w:p>
          <w:p w14:paraId="3060D25C" w14:textId="77777777" w:rsidR="00E124D2" w:rsidRPr="003D0F8D" w:rsidRDefault="00E124D2">
            <w:pPr>
              <w:spacing w:line="256" w:lineRule="auto"/>
              <w:textAlignment w:val="baseline"/>
            </w:pPr>
            <w:r w:rsidRPr="003D0F8D">
              <w:rPr>
                <w:lang w:val="en-US"/>
              </w:rPr>
              <w:t>(part of CPC 8868)</w:t>
            </w:r>
            <w:r w:rsidRPr="003D0F8D">
              <w:t> </w:t>
            </w:r>
          </w:p>
        </w:tc>
        <w:tc>
          <w:tcPr>
            <w:tcW w:w="3844" w:type="dxa"/>
            <w:tcBorders>
              <w:top w:val="nil"/>
              <w:left w:val="nil"/>
              <w:bottom w:val="single" w:sz="6" w:space="0" w:color="000000" w:themeColor="text1"/>
              <w:right w:val="single" w:sz="6" w:space="0" w:color="000000" w:themeColor="text1"/>
            </w:tcBorders>
            <w:hideMark/>
          </w:tcPr>
          <w:p w14:paraId="0D72D297"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0905A30E" w14:textId="77777777" w:rsidR="00E124D2" w:rsidRPr="003D0F8D" w:rsidRDefault="00E124D2">
            <w:pPr>
              <w:spacing w:line="256" w:lineRule="auto"/>
              <w:textAlignment w:val="baseline"/>
              <w:rPr>
                <w:rFonts w:ascii="Segoe UI" w:hAnsi="Segoe UI" w:cs="Segoe UI"/>
              </w:rPr>
            </w:pPr>
            <w:r w:rsidRPr="003D0F8D">
              <w:t>None.</w:t>
            </w:r>
          </w:p>
          <w:p w14:paraId="384D0C67" w14:textId="77777777" w:rsidR="00E124D2" w:rsidRPr="003D0F8D" w:rsidRDefault="00E124D2">
            <w:pPr>
              <w:spacing w:line="256" w:lineRule="auto"/>
              <w:textAlignment w:val="baseline"/>
              <w:rPr>
                <w:rFonts w:ascii="Segoe UI" w:hAnsi="Segoe UI" w:cs="Segoe UI"/>
              </w:rPr>
            </w:pPr>
            <w:r w:rsidRPr="003D0F8D">
              <w:t> </w:t>
            </w:r>
          </w:p>
          <w:p w14:paraId="7EE1ADB8" w14:textId="77777777" w:rsidR="00E124D2" w:rsidRPr="003D0F8D" w:rsidRDefault="00E124D2">
            <w:pPr>
              <w:spacing w:line="256" w:lineRule="auto"/>
              <w:textAlignment w:val="baseline"/>
            </w:pPr>
            <w:r w:rsidRPr="003D0F8D">
              <w:rPr>
                <w:b/>
                <w:bCs/>
                <w:lang w:val="en-US"/>
              </w:rPr>
              <w:t>IP:</w:t>
            </w:r>
            <w:r w:rsidRPr="003D0F8D">
              <w:t> </w:t>
            </w:r>
          </w:p>
          <w:p w14:paraId="32D27809" w14:textId="77777777" w:rsidR="00E124D2" w:rsidRPr="003D0F8D" w:rsidRDefault="00E124D2">
            <w:pPr>
              <w:spacing w:line="256" w:lineRule="auto"/>
              <w:textAlignment w:val="baseline"/>
            </w:pPr>
            <w:r w:rsidRPr="003D0F8D">
              <w:rPr>
                <w:shd w:val="clear" w:color="auto" w:fill="FFFFFF"/>
                <w:lang w:val="en-US"/>
              </w:rPr>
              <w:t>Unbound.</w:t>
            </w:r>
          </w:p>
        </w:tc>
      </w:tr>
      <w:tr w:rsidR="003D0F8D" w:rsidRPr="003D0F8D" w14:paraId="4A44FF67"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548F422B" w14:textId="7FA63F7F" w:rsidR="00E124D2" w:rsidRPr="003D0F8D" w:rsidRDefault="00E124D2">
            <w:pPr>
              <w:spacing w:line="256" w:lineRule="auto"/>
              <w:textAlignment w:val="baseline"/>
            </w:pPr>
            <w:r w:rsidRPr="003D0F8D">
              <w:rPr>
                <w:lang w:val="en-US"/>
              </w:rPr>
              <w:t>Maintenance and repair</w:t>
            </w:r>
            <w:r w:rsidRPr="003D0F8D">
              <w:t> </w:t>
            </w:r>
            <w:r w:rsidRPr="003D0F8D">
              <w:rPr>
                <w:lang w:val="en-US"/>
              </w:rPr>
              <w:t>of rail transport</w:t>
            </w:r>
            <w:r w:rsidRPr="003D0F8D">
              <w:t> </w:t>
            </w:r>
            <w:r w:rsidRPr="003D0F8D">
              <w:rPr>
                <w:lang w:val="en-US"/>
              </w:rPr>
              <w:t>equipment</w:t>
            </w:r>
            <w:r w:rsidRPr="003D0F8D">
              <w:t> </w:t>
            </w:r>
            <w:r w:rsidRPr="003D0F8D">
              <w:rPr>
                <w:lang w:val="en-US"/>
              </w:rPr>
              <w:t>(part of CPC 8868)</w:t>
            </w:r>
            <w:r w:rsidRPr="003D0F8D">
              <w:t> </w:t>
            </w:r>
          </w:p>
        </w:tc>
        <w:tc>
          <w:tcPr>
            <w:tcW w:w="3844" w:type="dxa"/>
            <w:tcBorders>
              <w:top w:val="nil"/>
              <w:left w:val="nil"/>
              <w:bottom w:val="single" w:sz="6" w:space="0" w:color="000000" w:themeColor="text1"/>
              <w:right w:val="single" w:sz="6" w:space="0" w:color="000000" w:themeColor="text1"/>
            </w:tcBorders>
            <w:hideMark/>
          </w:tcPr>
          <w:p w14:paraId="16EA43BD"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34357484"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01C3B10B" w14:textId="77777777" w:rsidR="00E124D2" w:rsidRPr="003D0F8D" w:rsidRDefault="00E124D2">
            <w:pPr>
              <w:spacing w:line="256" w:lineRule="auto"/>
              <w:textAlignment w:val="baseline"/>
              <w:rPr>
                <w:rFonts w:ascii="Segoe UI" w:hAnsi="Segoe UI" w:cs="Segoe UI"/>
              </w:rPr>
            </w:pPr>
            <w:r w:rsidRPr="003D0F8D">
              <w:t> </w:t>
            </w:r>
          </w:p>
          <w:p w14:paraId="4B6B923E" w14:textId="77777777" w:rsidR="00E124D2" w:rsidRPr="003D0F8D" w:rsidRDefault="00E124D2">
            <w:pPr>
              <w:spacing w:line="256" w:lineRule="auto"/>
              <w:textAlignment w:val="baseline"/>
            </w:pPr>
            <w:r w:rsidRPr="003D0F8D">
              <w:rPr>
                <w:b/>
                <w:bCs/>
                <w:lang w:val="en-US"/>
              </w:rPr>
              <w:t>IP:</w:t>
            </w:r>
            <w:r w:rsidRPr="003D0F8D">
              <w:t> </w:t>
            </w:r>
          </w:p>
          <w:p w14:paraId="78D6248C" w14:textId="77777777" w:rsidR="00E124D2" w:rsidRPr="003D0F8D" w:rsidRDefault="00E124D2">
            <w:pPr>
              <w:spacing w:line="256" w:lineRule="auto"/>
              <w:textAlignment w:val="baseline"/>
              <w:rPr>
                <w:lang w:val="en-US"/>
              </w:rPr>
            </w:pPr>
            <w:r w:rsidRPr="003D0F8D">
              <w:rPr>
                <w:shd w:val="clear" w:color="auto" w:fill="FFFFFF"/>
                <w:lang w:val="en-US"/>
              </w:rPr>
              <w:t>Unbound</w:t>
            </w:r>
            <w:r w:rsidRPr="003D0F8D">
              <w:rPr>
                <w:lang w:val="en-US"/>
              </w:rPr>
              <w:t>.</w:t>
            </w:r>
          </w:p>
        </w:tc>
      </w:tr>
      <w:tr w:rsidR="003D0F8D" w:rsidRPr="003D0F8D" w14:paraId="47067B96"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27A57D08" w14:textId="27DEF29C" w:rsidR="00E124D2" w:rsidRPr="003D0F8D" w:rsidRDefault="00E124D2">
            <w:pPr>
              <w:spacing w:line="256" w:lineRule="auto"/>
              <w:textAlignment w:val="baseline"/>
            </w:pPr>
            <w:r w:rsidRPr="003D0F8D">
              <w:rPr>
                <w:lang w:val="en-US"/>
              </w:rPr>
              <w:lastRenderedPageBreak/>
              <w:t>Maintenance and repair</w:t>
            </w:r>
            <w:r w:rsidRPr="003D0F8D">
              <w:t> </w:t>
            </w:r>
            <w:r w:rsidRPr="003D0F8D">
              <w:rPr>
                <w:lang w:val="en-US"/>
              </w:rPr>
              <w:t>of motor vehicles,</w:t>
            </w:r>
            <w:r w:rsidRPr="003D0F8D">
              <w:t> </w:t>
            </w:r>
            <w:r w:rsidRPr="003D0F8D">
              <w:rPr>
                <w:lang w:val="en-US"/>
              </w:rPr>
              <w:t>motorcycles,</w:t>
            </w:r>
            <w:r w:rsidRPr="003D0F8D">
              <w:t> </w:t>
            </w:r>
            <w:proofErr w:type="gramStart"/>
            <w:r w:rsidRPr="003D0F8D">
              <w:rPr>
                <w:lang w:val="en-US"/>
              </w:rPr>
              <w:t>snowmobiles</w:t>
            </w:r>
            <w:proofErr w:type="gramEnd"/>
            <w:r w:rsidRPr="003D0F8D">
              <w:rPr>
                <w:lang w:val="en-US"/>
              </w:rPr>
              <w:t xml:space="preserve"> and road</w:t>
            </w:r>
            <w:r w:rsidRPr="003D0F8D">
              <w:t> </w:t>
            </w:r>
            <w:r w:rsidRPr="003D0F8D">
              <w:rPr>
                <w:lang w:val="en-US"/>
              </w:rPr>
              <w:t>transport equipment</w:t>
            </w:r>
            <w:r w:rsidRPr="003D0F8D">
              <w:t> </w:t>
            </w:r>
            <w:r w:rsidRPr="003D0F8D">
              <w:rPr>
                <w:lang w:val="en-US"/>
              </w:rPr>
              <w:t>(CPC 6112, 6122, part</w:t>
            </w:r>
            <w:r w:rsidRPr="003D0F8D">
              <w:t> </w:t>
            </w:r>
            <w:r w:rsidRPr="003D0F8D">
              <w:rPr>
                <w:lang w:val="en-US"/>
              </w:rPr>
              <w:t>of 8867 and part of</w:t>
            </w:r>
            <w:r w:rsidRPr="003D0F8D">
              <w:t> </w:t>
            </w:r>
            <w:r w:rsidRPr="003D0F8D">
              <w:rPr>
                <w:lang w:val="en-US"/>
              </w:rPr>
              <w:t>8868)</w:t>
            </w:r>
            <w:r w:rsidRPr="003D0F8D">
              <w:t> </w:t>
            </w:r>
          </w:p>
        </w:tc>
        <w:tc>
          <w:tcPr>
            <w:tcW w:w="3844" w:type="dxa"/>
            <w:tcBorders>
              <w:top w:val="nil"/>
              <w:left w:val="nil"/>
              <w:bottom w:val="single" w:sz="6" w:space="0" w:color="000000" w:themeColor="text1"/>
              <w:right w:val="single" w:sz="6" w:space="0" w:color="000000" w:themeColor="text1"/>
            </w:tcBorders>
            <w:hideMark/>
          </w:tcPr>
          <w:p w14:paraId="12BA6052"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130DD70C" w14:textId="77777777" w:rsidR="00E124D2" w:rsidRPr="003D0F8D" w:rsidRDefault="00E124D2">
            <w:pPr>
              <w:spacing w:line="256" w:lineRule="auto"/>
              <w:textAlignment w:val="baseline"/>
              <w:rPr>
                <w:rFonts w:ascii="Segoe UI" w:hAnsi="Segoe UI" w:cs="Segoe UI"/>
              </w:rPr>
            </w:pPr>
            <w:r w:rsidRPr="003D0F8D">
              <w:t>None.</w:t>
            </w:r>
          </w:p>
          <w:p w14:paraId="14FFB61D" w14:textId="77777777" w:rsidR="00E124D2" w:rsidRPr="003D0F8D" w:rsidRDefault="00E124D2">
            <w:pPr>
              <w:spacing w:line="256" w:lineRule="auto"/>
              <w:textAlignment w:val="baseline"/>
              <w:rPr>
                <w:rFonts w:ascii="Segoe UI" w:hAnsi="Segoe UI" w:cs="Segoe UI"/>
              </w:rPr>
            </w:pPr>
            <w:r w:rsidRPr="003D0F8D">
              <w:t> </w:t>
            </w:r>
          </w:p>
          <w:p w14:paraId="30FA2657" w14:textId="77777777" w:rsidR="00E124D2" w:rsidRPr="003D0F8D" w:rsidRDefault="00E124D2">
            <w:pPr>
              <w:spacing w:line="256" w:lineRule="auto"/>
              <w:textAlignment w:val="baseline"/>
            </w:pPr>
            <w:r w:rsidRPr="003D0F8D">
              <w:rPr>
                <w:b/>
                <w:bCs/>
                <w:lang w:val="en-US"/>
              </w:rPr>
              <w:t>IP:</w:t>
            </w:r>
            <w:r w:rsidRPr="003D0F8D">
              <w:t> </w:t>
            </w:r>
          </w:p>
          <w:p w14:paraId="079DAD1A" w14:textId="77777777" w:rsidR="00E124D2" w:rsidRPr="003D0F8D" w:rsidRDefault="00E124D2">
            <w:pPr>
              <w:spacing w:line="256" w:lineRule="auto"/>
              <w:textAlignment w:val="baseline"/>
            </w:pPr>
            <w:r w:rsidRPr="003D0F8D">
              <w:rPr>
                <w:shd w:val="clear" w:color="auto" w:fill="FFFFFF"/>
                <w:lang w:val="en-US"/>
              </w:rPr>
              <w:t>Unbound.</w:t>
            </w:r>
          </w:p>
        </w:tc>
      </w:tr>
      <w:tr w:rsidR="003D0F8D" w:rsidRPr="003D0F8D" w14:paraId="7F1355C3"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088E9712" w14:textId="2F0E0DBC" w:rsidR="00E124D2" w:rsidRPr="003D0F8D" w:rsidRDefault="00E124D2">
            <w:pPr>
              <w:spacing w:line="256" w:lineRule="auto"/>
              <w:textAlignment w:val="baseline"/>
            </w:pPr>
            <w:r w:rsidRPr="003D0F8D">
              <w:rPr>
                <w:lang w:val="en-US"/>
              </w:rPr>
              <w:t>Maintenance and repair</w:t>
            </w:r>
            <w:r w:rsidRPr="003D0F8D">
              <w:t> </w:t>
            </w:r>
            <w:r w:rsidRPr="003D0F8D">
              <w:rPr>
                <w:lang w:val="en-US"/>
              </w:rPr>
              <w:t>of aircraft and parts</w:t>
            </w:r>
            <w:r w:rsidRPr="003D0F8D">
              <w:t> </w:t>
            </w:r>
            <w:r w:rsidRPr="003D0F8D">
              <w:rPr>
                <w:lang w:val="en-US"/>
              </w:rPr>
              <w:t>thereof</w:t>
            </w:r>
            <w:r w:rsidRPr="003D0F8D">
              <w:t> </w:t>
            </w:r>
            <w:r w:rsidRPr="003D0F8D">
              <w:rPr>
                <w:lang w:val="en-US"/>
              </w:rPr>
              <w:t>(part of CPC 8868)</w:t>
            </w:r>
            <w:r w:rsidRPr="003D0F8D">
              <w:t> </w:t>
            </w:r>
          </w:p>
        </w:tc>
        <w:tc>
          <w:tcPr>
            <w:tcW w:w="3844" w:type="dxa"/>
            <w:tcBorders>
              <w:top w:val="nil"/>
              <w:left w:val="nil"/>
              <w:bottom w:val="single" w:sz="6" w:space="0" w:color="000000" w:themeColor="text1"/>
              <w:right w:val="single" w:sz="6" w:space="0" w:color="000000" w:themeColor="text1"/>
            </w:tcBorders>
            <w:hideMark/>
          </w:tcPr>
          <w:p w14:paraId="61463F5D"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5EF9CAF8" w14:textId="77777777" w:rsidR="00E124D2" w:rsidRPr="003D0F8D" w:rsidRDefault="00E124D2">
            <w:pPr>
              <w:spacing w:line="256" w:lineRule="auto"/>
              <w:textAlignment w:val="baseline"/>
              <w:rPr>
                <w:rFonts w:ascii="Segoe UI" w:hAnsi="Segoe UI" w:cs="Segoe UI"/>
              </w:rPr>
            </w:pPr>
            <w:r w:rsidRPr="003D0F8D">
              <w:t>None.</w:t>
            </w:r>
          </w:p>
          <w:p w14:paraId="2FEC736C" w14:textId="77777777" w:rsidR="00E124D2" w:rsidRPr="003D0F8D" w:rsidRDefault="00E124D2">
            <w:pPr>
              <w:spacing w:line="256" w:lineRule="auto"/>
              <w:textAlignment w:val="baseline"/>
              <w:rPr>
                <w:rFonts w:ascii="Segoe UI" w:hAnsi="Segoe UI" w:cs="Segoe UI"/>
              </w:rPr>
            </w:pPr>
            <w:r w:rsidRPr="003D0F8D">
              <w:t> </w:t>
            </w:r>
          </w:p>
          <w:p w14:paraId="1D14BC38" w14:textId="77777777" w:rsidR="00E124D2" w:rsidRPr="003D0F8D" w:rsidRDefault="00E124D2">
            <w:pPr>
              <w:spacing w:line="256" w:lineRule="auto"/>
              <w:textAlignment w:val="baseline"/>
            </w:pPr>
            <w:r w:rsidRPr="003D0F8D">
              <w:rPr>
                <w:b/>
                <w:bCs/>
                <w:lang w:val="en-US"/>
              </w:rPr>
              <w:t>IP:</w:t>
            </w:r>
            <w:r w:rsidRPr="003D0F8D">
              <w:t> </w:t>
            </w:r>
          </w:p>
          <w:p w14:paraId="3F857CD9" w14:textId="77777777" w:rsidR="00E124D2" w:rsidRPr="003D0F8D" w:rsidRDefault="00E124D2">
            <w:pPr>
              <w:spacing w:line="256" w:lineRule="auto"/>
              <w:textAlignment w:val="baseline"/>
            </w:pPr>
            <w:r w:rsidRPr="003D0F8D">
              <w:rPr>
                <w:shd w:val="clear" w:color="auto" w:fill="FFFFFF"/>
                <w:lang w:val="en-US"/>
              </w:rPr>
              <w:t>Unbound</w:t>
            </w:r>
            <w:r w:rsidRPr="003D0F8D">
              <w:rPr>
                <w:lang w:val="en-US"/>
              </w:rPr>
              <w:t>.</w:t>
            </w:r>
          </w:p>
        </w:tc>
      </w:tr>
      <w:tr w:rsidR="003D0F8D" w:rsidRPr="003D0F8D" w14:paraId="20C3CEE1"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23CE1E3D" w14:textId="77777777" w:rsidR="00E124D2" w:rsidRPr="003D0F8D" w:rsidRDefault="00E124D2">
            <w:pPr>
              <w:spacing w:line="256" w:lineRule="auto"/>
              <w:textAlignment w:val="baseline"/>
              <w:rPr>
                <w:lang w:val="en-US"/>
              </w:rPr>
            </w:pPr>
            <w:r w:rsidRPr="003D0F8D">
              <w:rPr>
                <w:lang w:val="en-US"/>
              </w:rPr>
              <w:t>Maintenance and repair of metal products, of (non-office) machinery, of (</w:t>
            </w:r>
            <w:proofErr w:type="spellStart"/>
            <w:r w:rsidRPr="003D0F8D">
              <w:rPr>
                <w:lang w:val="en-US"/>
              </w:rPr>
              <w:t>non transport</w:t>
            </w:r>
            <w:proofErr w:type="spellEnd"/>
            <w:r w:rsidRPr="003D0F8D">
              <w:rPr>
                <w:lang w:val="en-US"/>
              </w:rPr>
              <w:t> and non-office) equipment and of personal and household goods</w:t>
            </w:r>
            <w:r w:rsidRPr="003D0F8D">
              <w:rPr>
                <w:rStyle w:val="FootnoteReference"/>
                <w:lang w:val="en-US"/>
              </w:rPr>
              <w:footnoteReference w:id="7"/>
            </w:r>
            <w:r w:rsidRPr="003D0F8D">
              <w:rPr>
                <w:lang w:val="en-US"/>
              </w:rPr>
              <w:t> (CPC 633, 7545, 8861, 8862, 8864, 8865 and 8866) </w:t>
            </w:r>
          </w:p>
        </w:tc>
        <w:tc>
          <w:tcPr>
            <w:tcW w:w="3844" w:type="dxa"/>
            <w:tcBorders>
              <w:top w:val="nil"/>
              <w:left w:val="nil"/>
              <w:bottom w:val="single" w:sz="6" w:space="0" w:color="000000" w:themeColor="text1"/>
              <w:right w:val="single" w:sz="6" w:space="0" w:color="000000" w:themeColor="text1"/>
            </w:tcBorders>
            <w:hideMark/>
          </w:tcPr>
          <w:p w14:paraId="356AE280"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0802842" w14:textId="77777777" w:rsidR="00E124D2" w:rsidRPr="003D0F8D" w:rsidRDefault="00E124D2">
            <w:pPr>
              <w:spacing w:line="256" w:lineRule="auto"/>
              <w:textAlignment w:val="baseline"/>
              <w:rPr>
                <w:rFonts w:ascii="Segoe UI" w:hAnsi="Segoe UI" w:cs="Segoe UI"/>
              </w:rPr>
            </w:pPr>
            <w:r w:rsidRPr="003D0F8D">
              <w:t>None.</w:t>
            </w:r>
          </w:p>
          <w:p w14:paraId="2F954B10" w14:textId="77777777" w:rsidR="00E124D2" w:rsidRPr="003D0F8D" w:rsidRDefault="00E124D2">
            <w:pPr>
              <w:spacing w:line="256" w:lineRule="auto"/>
              <w:textAlignment w:val="baseline"/>
              <w:rPr>
                <w:rFonts w:ascii="Segoe UI" w:hAnsi="Segoe UI" w:cs="Segoe UI"/>
              </w:rPr>
            </w:pPr>
            <w:r w:rsidRPr="003D0F8D">
              <w:t> </w:t>
            </w:r>
          </w:p>
          <w:p w14:paraId="0D6D6B8C" w14:textId="77777777" w:rsidR="00E124D2" w:rsidRPr="003D0F8D" w:rsidRDefault="00E124D2">
            <w:pPr>
              <w:spacing w:line="256" w:lineRule="auto"/>
              <w:textAlignment w:val="baseline"/>
            </w:pPr>
            <w:r w:rsidRPr="003D0F8D">
              <w:rPr>
                <w:b/>
                <w:bCs/>
                <w:lang w:val="en-US"/>
              </w:rPr>
              <w:t>IP:</w:t>
            </w:r>
            <w:r w:rsidRPr="003D0F8D">
              <w:t> </w:t>
            </w:r>
          </w:p>
          <w:p w14:paraId="39C39F52" w14:textId="77777777" w:rsidR="00E124D2" w:rsidRPr="003D0F8D" w:rsidRDefault="00E124D2">
            <w:pPr>
              <w:spacing w:line="256" w:lineRule="auto"/>
              <w:textAlignment w:val="baseline"/>
              <w:rPr>
                <w:lang w:val="en-US"/>
              </w:rPr>
            </w:pPr>
            <w:r w:rsidRPr="003D0F8D">
              <w:rPr>
                <w:shd w:val="clear" w:color="auto" w:fill="FFFFFF"/>
                <w:lang w:val="en-US"/>
              </w:rPr>
              <w:t>Unbound.</w:t>
            </w:r>
          </w:p>
        </w:tc>
      </w:tr>
      <w:tr w:rsidR="003D0F8D" w:rsidRPr="003D0F8D" w14:paraId="2544A6FE"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12E44929" w14:textId="77777777" w:rsidR="00E124D2" w:rsidRPr="003D0F8D" w:rsidRDefault="00E124D2">
            <w:pPr>
              <w:spacing w:line="256" w:lineRule="auto"/>
              <w:textAlignment w:val="baseline"/>
              <w:rPr>
                <w:lang w:val="en-US"/>
              </w:rPr>
            </w:pPr>
            <w:r w:rsidRPr="003D0F8D">
              <w:rPr>
                <w:lang w:val="en-US"/>
              </w:rPr>
              <w:t>Translation and interpretation services (CPC 87905, excluding official or certified activities) </w:t>
            </w:r>
          </w:p>
        </w:tc>
        <w:tc>
          <w:tcPr>
            <w:tcW w:w="3844" w:type="dxa"/>
            <w:tcBorders>
              <w:top w:val="nil"/>
              <w:left w:val="nil"/>
              <w:bottom w:val="single" w:sz="6" w:space="0" w:color="000000" w:themeColor="text1"/>
              <w:right w:val="single" w:sz="6" w:space="0" w:color="000000" w:themeColor="text1"/>
            </w:tcBorders>
            <w:hideMark/>
          </w:tcPr>
          <w:p w14:paraId="5AD75EF1"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13623479"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3983AF2B" w14:textId="77777777" w:rsidR="00E124D2" w:rsidRPr="003D0F8D" w:rsidRDefault="00E124D2">
            <w:pPr>
              <w:spacing w:line="256" w:lineRule="auto"/>
              <w:textAlignment w:val="baseline"/>
              <w:rPr>
                <w:rFonts w:ascii="Segoe UI" w:hAnsi="Segoe UI" w:cs="Segoe UI"/>
              </w:rPr>
            </w:pPr>
            <w:r w:rsidRPr="003D0F8D">
              <w:t> </w:t>
            </w:r>
          </w:p>
          <w:p w14:paraId="0BE3DAB8" w14:textId="77777777" w:rsidR="00E124D2" w:rsidRPr="003D0F8D" w:rsidRDefault="00E124D2">
            <w:pPr>
              <w:spacing w:line="256" w:lineRule="auto"/>
              <w:textAlignment w:val="baseline"/>
            </w:pPr>
            <w:r w:rsidRPr="003D0F8D">
              <w:rPr>
                <w:b/>
                <w:bCs/>
                <w:lang w:val="en-US"/>
              </w:rPr>
              <w:t>IP:</w:t>
            </w:r>
            <w:r w:rsidRPr="003D0F8D">
              <w:t> </w:t>
            </w:r>
          </w:p>
          <w:p w14:paraId="3F4A6D01" w14:textId="77777777" w:rsidR="00E124D2" w:rsidRPr="003D0F8D" w:rsidRDefault="00E124D2">
            <w:pPr>
              <w:spacing w:line="256" w:lineRule="auto"/>
              <w:textAlignment w:val="baseline"/>
              <w:rPr>
                <w:lang w:val="en-US"/>
              </w:rPr>
            </w:pPr>
            <w:r w:rsidRPr="003D0F8D">
              <w:t>None.</w:t>
            </w:r>
          </w:p>
        </w:tc>
      </w:tr>
      <w:tr w:rsidR="003D0F8D" w:rsidRPr="003D0F8D" w14:paraId="751C1485"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55C719C4" w14:textId="77777777" w:rsidR="00E124D2" w:rsidRPr="003D0F8D" w:rsidRDefault="00E124D2">
            <w:pPr>
              <w:spacing w:line="256" w:lineRule="auto"/>
              <w:textAlignment w:val="baseline"/>
              <w:rPr>
                <w:lang w:val="en-US"/>
              </w:rPr>
            </w:pPr>
            <w:r w:rsidRPr="003D0F8D">
              <w:rPr>
                <w:lang w:val="en-US"/>
              </w:rPr>
              <w:lastRenderedPageBreak/>
              <w:t>Telecommunication services (CPC 7544, advisory and consulting services only) </w:t>
            </w:r>
          </w:p>
        </w:tc>
        <w:tc>
          <w:tcPr>
            <w:tcW w:w="3844" w:type="dxa"/>
            <w:tcBorders>
              <w:top w:val="nil"/>
              <w:left w:val="nil"/>
              <w:bottom w:val="single" w:sz="6" w:space="0" w:color="000000" w:themeColor="text1"/>
              <w:right w:val="single" w:sz="6" w:space="0" w:color="000000" w:themeColor="text1"/>
            </w:tcBorders>
            <w:hideMark/>
          </w:tcPr>
          <w:p w14:paraId="52345695"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3CEA7EED"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0B141A0D" w14:textId="77777777" w:rsidR="00E124D2" w:rsidRPr="003D0F8D" w:rsidRDefault="00E124D2">
            <w:pPr>
              <w:spacing w:line="256" w:lineRule="auto"/>
              <w:textAlignment w:val="baseline"/>
              <w:rPr>
                <w:rFonts w:ascii="Segoe UI" w:hAnsi="Segoe UI" w:cs="Segoe UI"/>
              </w:rPr>
            </w:pPr>
            <w:r w:rsidRPr="003D0F8D">
              <w:t> </w:t>
            </w:r>
          </w:p>
          <w:p w14:paraId="1D3810EF" w14:textId="77777777" w:rsidR="00E124D2" w:rsidRPr="003D0F8D" w:rsidRDefault="00E124D2">
            <w:pPr>
              <w:spacing w:line="256" w:lineRule="auto"/>
              <w:textAlignment w:val="baseline"/>
            </w:pPr>
            <w:r w:rsidRPr="003D0F8D">
              <w:rPr>
                <w:b/>
                <w:bCs/>
                <w:lang w:val="en-US"/>
              </w:rPr>
              <w:t>IP:</w:t>
            </w:r>
            <w:r w:rsidRPr="003D0F8D">
              <w:t> </w:t>
            </w:r>
          </w:p>
          <w:p w14:paraId="0AEE5ABF"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0507D6C7"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514C28ED" w14:textId="77777777" w:rsidR="00E124D2" w:rsidRPr="003D0F8D" w:rsidRDefault="00E124D2">
            <w:pPr>
              <w:spacing w:line="256" w:lineRule="auto"/>
              <w:textAlignment w:val="baseline"/>
              <w:rPr>
                <w:lang w:val="en-US"/>
              </w:rPr>
            </w:pPr>
            <w:r w:rsidRPr="003D0F8D">
              <w:rPr>
                <w:lang w:val="en-US"/>
              </w:rPr>
              <w:t>Postal and courier services (CPC 751, advisory and consulting services only) </w:t>
            </w:r>
          </w:p>
        </w:tc>
        <w:tc>
          <w:tcPr>
            <w:tcW w:w="3844" w:type="dxa"/>
            <w:tcBorders>
              <w:top w:val="nil"/>
              <w:left w:val="nil"/>
              <w:bottom w:val="single" w:sz="6" w:space="0" w:color="000000" w:themeColor="text1"/>
              <w:right w:val="single" w:sz="6" w:space="0" w:color="000000" w:themeColor="text1"/>
            </w:tcBorders>
            <w:hideMark/>
          </w:tcPr>
          <w:p w14:paraId="71CAFA9D"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12FD562B"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1BDF7049" w14:textId="77777777" w:rsidR="00E124D2" w:rsidRPr="003D0F8D" w:rsidRDefault="00E124D2">
            <w:pPr>
              <w:spacing w:line="256" w:lineRule="auto"/>
              <w:textAlignment w:val="baseline"/>
              <w:rPr>
                <w:rFonts w:ascii="Segoe UI" w:hAnsi="Segoe UI" w:cs="Segoe UI"/>
              </w:rPr>
            </w:pPr>
            <w:r w:rsidRPr="003D0F8D">
              <w:t> </w:t>
            </w:r>
          </w:p>
          <w:p w14:paraId="65E370FE" w14:textId="77777777" w:rsidR="00E124D2" w:rsidRPr="003D0F8D" w:rsidRDefault="00E124D2">
            <w:pPr>
              <w:spacing w:line="256" w:lineRule="auto"/>
              <w:textAlignment w:val="baseline"/>
            </w:pPr>
            <w:r w:rsidRPr="003D0F8D">
              <w:rPr>
                <w:b/>
                <w:bCs/>
                <w:lang w:val="en-US"/>
              </w:rPr>
              <w:t>IP:</w:t>
            </w:r>
            <w:r w:rsidRPr="003D0F8D">
              <w:t> </w:t>
            </w:r>
          </w:p>
          <w:p w14:paraId="61729D42"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7F78DC2B"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18C7560E" w14:textId="77777777" w:rsidR="00E124D2" w:rsidRPr="003D0F8D" w:rsidRDefault="00E124D2">
            <w:pPr>
              <w:spacing w:line="256" w:lineRule="auto"/>
              <w:textAlignment w:val="baseline"/>
              <w:rPr>
                <w:lang w:val="en-US"/>
              </w:rPr>
            </w:pPr>
            <w:r w:rsidRPr="003D0F8D">
              <w:rPr>
                <w:lang w:val="en-US"/>
              </w:rPr>
              <w:t>Site investigation work (CPC 5111) </w:t>
            </w:r>
          </w:p>
        </w:tc>
        <w:tc>
          <w:tcPr>
            <w:tcW w:w="3844" w:type="dxa"/>
            <w:tcBorders>
              <w:top w:val="nil"/>
              <w:left w:val="nil"/>
              <w:bottom w:val="single" w:sz="6" w:space="0" w:color="000000" w:themeColor="text1"/>
              <w:right w:val="single" w:sz="6" w:space="0" w:color="000000" w:themeColor="text1"/>
            </w:tcBorders>
            <w:hideMark/>
          </w:tcPr>
          <w:p w14:paraId="323D0EAF"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B6920DE"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3B1EE7EC" w14:textId="77777777" w:rsidR="00E124D2" w:rsidRPr="003D0F8D" w:rsidRDefault="00E124D2">
            <w:pPr>
              <w:spacing w:line="256" w:lineRule="auto"/>
              <w:textAlignment w:val="baseline"/>
              <w:rPr>
                <w:rFonts w:ascii="Segoe UI" w:hAnsi="Segoe UI" w:cs="Segoe UI"/>
              </w:rPr>
            </w:pPr>
            <w:r w:rsidRPr="003D0F8D">
              <w:t> </w:t>
            </w:r>
          </w:p>
          <w:p w14:paraId="2BB42B91" w14:textId="77777777" w:rsidR="00E124D2" w:rsidRPr="003D0F8D" w:rsidRDefault="00E124D2">
            <w:pPr>
              <w:spacing w:line="256" w:lineRule="auto"/>
              <w:textAlignment w:val="baseline"/>
            </w:pPr>
            <w:r w:rsidRPr="003D0F8D">
              <w:rPr>
                <w:b/>
                <w:bCs/>
                <w:lang w:val="en-US"/>
              </w:rPr>
              <w:t>IP:</w:t>
            </w:r>
            <w:r w:rsidRPr="003D0F8D">
              <w:t> </w:t>
            </w:r>
          </w:p>
          <w:p w14:paraId="39F8238E" w14:textId="77777777" w:rsidR="00E124D2" w:rsidRPr="003D0F8D" w:rsidRDefault="00E124D2">
            <w:pPr>
              <w:spacing w:line="256" w:lineRule="auto"/>
              <w:textAlignment w:val="baseline"/>
              <w:rPr>
                <w:lang w:val="en-US"/>
              </w:rPr>
            </w:pPr>
            <w:r w:rsidRPr="003D0F8D">
              <w:rPr>
                <w:shd w:val="clear" w:color="auto" w:fill="FFFFFF"/>
                <w:lang w:val="en-US"/>
              </w:rPr>
              <w:t>Unbound.</w:t>
            </w:r>
          </w:p>
        </w:tc>
      </w:tr>
      <w:tr w:rsidR="003D0F8D" w:rsidRPr="003D0F8D" w14:paraId="6E335780"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5AA358CD" w14:textId="77777777" w:rsidR="00E124D2" w:rsidRPr="003D0F8D" w:rsidRDefault="00E124D2">
            <w:pPr>
              <w:spacing w:line="256" w:lineRule="auto"/>
              <w:textAlignment w:val="baseline"/>
              <w:rPr>
                <w:lang w:val="en-US"/>
              </w:rPr>
            </w:pPr>
            <w:r w:rsidRPr="003D0F8D">
              <w:rPr>
                <w:lang w:val="en-US"/>
              </w:rPr>
              <w:t xml:space="preserve">Environmental services </w:t>
            </w:r>
            <w:r w:rsidRPr="003D0F8D">
              <w:rPr>
                <w:sz w:val="23"/>
                <w:szCs w:val="23"/>
              </w:rPr>
              <w:t xml:space="preserve">(CPC 9401, 9402, 9403, 9404, part of 94060, 9405, part of 9406 and 9409) </w:t>
            </w:r>
          </w:p>
        </w:tc>
        <w:tc>
          <w:tcPr>
            <w:tcW w:w="3844" w:type="dxa"/>
            <w:tcBorders>
              <w:top w:val="nil"/>
              <w:left w:val="nil"/>
              <w:bottom w:val="single" w:sz="6" w:space="0" w:color="000000" w:themeColor="text1"/>
              <w:right w:val="single" w:sz="6" w:space="0" w:color="000000" w:themeColor="text1"/>
            </w:tcBorders>
            <w:hideMark/>
          </w:tcPr>
          <w:p w14:paraId="4792A1FD"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5F5D47DE"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189AEB23" w14:textId="77777777" w:rsidR="00E124D2" w:rsidRPr="003D0F8D" w:rsidRDefault="00E124D2">
            <w:pPr>
              <w:spacing w:line="256" w:lineRule="auto"/>
              <w:textAlignment w:val="baseline"/>
              <w:rPr>
                <w:rFonts w:ascii="Segoe UI" w:hAnsi="Segoe UI" w:cs="Segoe UI"/>
              </w:rPr>
            </w:pPr>
            <w:r w:rsidRPr="003D0F8D">
              <w:t> </w:t>
            </w:r>
          </w:p>
          <w:p w14:paraId="0A3B6F3E" w14:textId="77777777" w:rsidR="00E124D2" w:rsidRPr="003D0F8D" w:rsidRDefault="00E124D2">
            <w:pPr>
              <w:spacing w:line="256" w:lineRule="auto"/>
              <w:textAlignment w:val="baseline"/>
            </w:pPr>
            <w:r w:rsidRPr="003D0F8D">
              <w:rPr>
                <w:b/>
                <w:bCs/>
                <w:lang w:val="en-US"/>
              </w:rPr>
              <w:t>IP:</w:t>
            </w:r>
            <w:r w:rsidRPr="003D0F8D">
              <w:t> </w:t>
            </w:r>
          </w:p>
          <w:p w14:paraId="2527429D" w14:textId="77777777" w:rsidR="00E124D2" w:rsidRPr="003D0F8D" w:rsidRDefault="00E124D2">
            <w:pPr>
              <w:spacing w:line="256" w:lineRule="auto"/>
              <w:textAlignment w:val="baseline"/>
              <w:rPr>
                <w:lang w:val="en-US"/>
              </w:rPr>
            </w:pPr>
            <w:r w:rsidRPr="003D0F8D">
              <w:rPr>
                <w:shd w:val="clear" w:color="auto" w:fill="FFFFFF"/>
                <w:lang w:val="en-US"/>
              </w:rPr>
              <w:t>Unbound.</w:t>
            </w:r>
          </w:p>
        </w:tc>
      </w:tr>
      <w:tr w:rsidR="003D0F8D" w:rsidRPr="003D0F8D" w14:paraId="121D090B"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42B0BADE" w14:textId="77777777" w:rsidR="00E124D2" w:rsidRPr="003D0F8D" w:rsidRDefault="00E124D2">
            <w:pPr>
              <w:spacing w:line="256" w:lineRule="auto"/>
              <w:textAlignment w:val="baseline"/>
              <w:rPr>
                <w:lang w:val="en-US"/>
              </w:rPr>
            </w:pPr>
            <w:r w:rsidRPr="003D0F8D">
              <w:rPr>
                <w:lang w:val="en-US"/>
              </w:rPr>
              <w:t>Insurance and insurance related services (advisory and consulting services only)</w:t>
            </w:r>
          </w:p>
        </w:tc>
        <w:tc>
          <w:tcPr>
            <w:tcW w:w="3844" w:type="dxa"/>
            <w:tcBorders>
              <w:top w:val="nil"/>
              <w:left w:val="nil"/>
              <w:bottom w:val="single" w:sz="6" w:space="0" w:color="000000" w:themeColor="text1"/>
              <w:right w:val="single" w:sz="6" w:space="0" w:color="000000" w:themeColor="text1"/>
            </w:tcBorders>
            <w:hideMark/>
          </w:tcPr>
          <w:p w14:paraId="10FDA9BF"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E65C8B8"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51D22DDC" w14:textId="77777777" w:rsidR="00E124D2" w:rsidRPr="003D0F8D" w:rsidRDefault="00E124D2">
            <w:pPr>
              <w:spacing w:line="256" w:lineRule="auto"/>
              <w:textAlignment w:val="baseline"/>
              <w:rPr>
                <w:rFonts w:ascii="Segoe UI" w:hAnsi="Segoe UI" w:cs="Segoe UI"/>
              </w:rPr>
            </w:pPr>
            <w:r w:rsidRPr="003D0F8D">
              <w:t> </w:t>
            </w:r>
          </w:p>
          <w:p w14:paraId="073623DF" w14:textId="77777777" w:rsidR="00E124D2" w:rsidRPr="003D0F8D" w:rsidRDefault="00E124D2">
            <w:pPr>
              <w:spacing w:line="256" w:lineRule="auto"/>
              <w:textAlignment w:val="baseline"/>
            </w:pPr>
            <w:r w:rsidRPr="003D0F8D">
              <w:rPr>
                <w:b/>
                <w:bCs/>
                <w:lang w:val="en-US"/>
              </w:rPr>
              <w:t>IP:</w:t>
            </w:r>
            <w:r w:rsidRPr="003D0F8D">
              <w:t> </w:t>
            </w:r>
          </w:p>
          <w:p w14:paraId="430AD869"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5785A9B9"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7EF096C0" w14:textId="77777777" w:rsidR="00E124D2" w:rsidRPr="003D0F8D" w:rsidRDefault="00E124D2">
            <w:pPr>
              <w:spacing w:line="256" w:lineRule="auto"/>
              <w:textAlignment w:val="baseline"/>
              <w:rPr>
                <w:lang w:val="en-US"/>
              </w:rPr>
            </w:pPr>
            <w:r w:rsidRPr="003D0F8D">
              <w:rPr>
                <w:lang w:val="en-US"/>
              </w:rPr>
              <w:lastRenderedPageBreak/>
              <w:t xml:space="preserve">Other financial services (advisory and consulting services only) </w:t>
            </w:r>
          </w:p>
        </w:tc>
        <w:tc>
          <w:tcPr>
            <w:tcW w:w="3844" w:type="dxa"/>
            <w:tcBorders>
              <w:top w:val="nil"/>
              <w:left w:val="nil"/>
              <w:bottom w:val="single" w:sz="6" w:space="0" w:color="000000" w:themeColor="text1"/>
              <w:right w:val="single" w:sz="6" w:space="0" w:color="000000" w:themeColor="text1"/>
            </w:tcBorders>
            <w:hideMark/>
          </w:tcPr>
          <w:p w14:paraId="6ED446F2"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60B2B436" w14:textId="77777777" w:rsidR="00E124D2" w:rsidRPr="003D0F8D" w:rsidRDefault="00E124D2">
            <w:pPr>
              <w:spacing w:line="256" w:lineRule="auto"/>
              <w:textAlignment w:val="baseline"/>
              <w:rPr>
                <w:rFonts w:ascii="Segoe UI" w:hAnsi="Segoe UI" w:cs="Segoe UI"/>
              </w:rPr>
            </w:pPr>
            <w:r w:rsidRPr="003D0F8D">
              <w:rPr>
                <w:shd w:val="clear" w:color="auto" w:fill="FFFFFF"/>
                <w:lang w:val="en-US"/>
              </w:rPr>
              <w:t>None.</w:t>
            </w:r>
          </w:p>
          <w:p w14:paraId="42B87706" w14:textId="77777777" w:rsidR="00E124D2" w:rsidRPr="003D0F8D" w:rsidRDefault="00E124D2">
            <w:pPr>
              <w:spacing w:line="256" w:lineRule="auto"/>
              <w:textAlignment w:val="baseline"/>
              <w:rPr>
                <w:rFonts w:ascii="Segoe UI" w:hAnsi="Segoe UI" w:cs="Segoe UI"/>
              </w:rPr>
            </w:pPr>
            <w:r w:rsidRPr="003D0F8D">
              <w:t> </w:t>
            </w:r>
          </w:p>
          <w:p w14:paraId="39BB013D" w14:textId="77777777" w:rsidR="00E124D2" w:rsidRPr="003D0F8D" w:rsidRDefault="00E124D2">
            <w:pPr>
              <w:spacing w:line="256" w:lineRule="auto"/>
              <w:textAlignment w:val="baseline"/>
            </w:pPr>
            <w:r w:rsidRPr="003D0F8D">
              <w:rPr>
                <w:b/>
                <w:bCs/>
                <w:lang w:val="en-US"/>
              </w:rPr>
              <w:t>IP:</w:t>
            </w:r>
            <w:r w:rsidRPr="003D0F8D">
              <w:t> </w:t>
            </w:r>
          </w:p>
          <w:p w14:paraId="562B55C1"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1F42E3AC"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3DCD0B87" w14:textId="77777777" w:rsidR="00E124D2" w:rsidRPr="003D0F8D" w:rsidRDefault="00E124D2">
            <w:pPr>
              <w:spacing w:line="256" w:lineRule="auto"/>
              <w:textAlignment w:val="baseline"/>
              <w:rPr>
                <w:lang w:val="en-US"/>
              </w:rPr>
            </w:pPr>
            <w:r w:rsidRPr="003D0F8D">
              <w:rPr>
                <w:lang w:val="en-US"/>
              </w:rPr>
              <w:t>Transport (CPC 71, 72, 73, and 74, advisory and consulting services only) </w:t>
            </w:r>
          </w:p>
        </w:tc>
        <w:tc>
          <w:tcPr>
            <w:tcW w:w="3844" w:type="dxa"/>
            <w:tcBorders>
              <w:top w:val="nil"/>
              <w:left w:val="nil"/>
              <w:bottom w:val="single" w:sz="6" w:space="0" w:color="000000" w:themeColor="text1"/>
              <w:right w:val="single" w:sz="6" w:space="0" w:color="000000" w:themeColor="text1"/>
            </w:tcBorders>
            <w:hideMark/>
          </w:tcPr>
          <w:p w14:paraId="7E401467"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7B5BB5DD"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085CE8A2" w14:textId="77777777" w:rsidR="00E124D2" w:rsidRPr="003D0F8D" w:rsidRDefault="00E124D2">
            <w:pPr>
              <w:spacing w:line="256" w:lineRule="auto"/>
              <w:textAlignment w:val="baseline"/>
              <w:rPr>
                <w:rFonts w:ascii="Segoe UI" w:hAnsi="Segoe UI" w:cs="Segoe UI"/>
              </w:rPr>
            </w:pPr>
            <w:r w:rsidRPr="003D0F8D">
              <w:t> </w:t>
            </w:r>
          </w:p>
          <w:p w14:paraId="6F554060" w14:textId="77777777" w:rsidR="00E124D2" w:rsidRPr="003D0F8D" w:rsidRDefault="00E124D2">
            <w:pPr>
              <w:spacing w:line="256" w:lineRule="auto"/>
              <w:textAlignment w:val="baseline"/>
            </w:pPr>
            <w:r w:rsidRPr="003D0F8D">
              <w:rPr>
                <w:b/>
                <w:bCs/>
                <w:lang w:val="en-US"/>
              </w:rPr>
              <w:t>IP:</w:t>
            </w:r>
            <w:r w:rsidRPr="003D0F8D">
              <w:t> </w:t>
            </w:r>
          </w:p>
          <w:p w14:paraId="3493A58D" w14:textId="77777777" w:rsidR="00E124D2" w:rsidRPr="003D0F8D" w:rsidRDefault="00E124D2">
            <w:pPr>
              <w:spacing w:line="256" w:lineRule="auto"/>
              <w:textAlignment w:val="baseline"/>
              <w:rPr>
                <w:lang w:val="en-US"/>
              </w:rPr>
            </w:pPr>
            <w:r w:rsidRPr="003D0F8D">
              <w:rPr>
                <w:shd w:val="clear" w:color="auto" w:fill="FFFFFF"/>
                <w:lang w:val="en-US"/>
              </w:rPr>
              <w:t>None.</w:t>
            </w:r>
          </w:p>
        </w:tc>
      </w:tr>
      <w:tr w:rsidR="003D0F8D" w:rsidRPr="003D0F8D" w14:paraId="526AD354"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642501F8" w14:textId="77777777" w:rsidR="00E124D2" w:rsidRPr="003D0F8D" w:rsidRDefault="00E124D2">
            <w:pPr>
              <w:spacing w:line="256" w:lineRule="auto"/>
              <w:textAlignment w:val="baseline"/>
              <w:rPr>
                <w:lang w:val="en-US"/>
              </w:rPr>
            </w:pPr>
            <w:r w:rsidRPr="003D0F8D">
              <w:rPr>
                <w:lang w:val="en-US"/>
              </w:rPr>
              <w:t xml:space="preserve">Travel agencies and tour </w:t>
            </w:r>
            <w:proofErr w:type="gramStart"/>
            <w:r w:rsidRPr="003D0F8D">
              <w:rPr>
                <w:lang w:val="en-US"/>
              </w:rPr>
              <w:t>operators</w:t>
            </w:r>
            <w:proofErr w:type="gramEnd"/>
            <w:r w:rsidRPr="003D0F8D">
              <w:rPr>
                <w:lang w:val="en-US"/>
              </w:rPr>
              <w:t xml:space="preserve"> services (including tour managers</w:t>
            </w:r>
            <w:r w:rsidRPr="003D0F8D">
              <w:rPr>
                <w:rStyle w:val="FootnoteReference"/>
                <w:lang w:val="en-US"/>
              </w:rPr>
              <w:footnoteReference w:id="8"/>
            </w:r>
            <w:r w:rsidRPr="003D0F8D">
              <w:rPr>
                <w:lang w:val="en-US"/>
              </w:rPr>
              <w:t>) (CPC 7471) </w:t>
            </w:r>
          </w:p>
        </w:tc>
        <w:tc>
          <w:tcPr>
            <w:tcW w:w="3844" w:type="dxa"/>
            <w:tcBorders>
              <w:top w:val="nil"/>
              <w:left w:val="nil"/>
              <w:bottom w:val="single" w:sz="6" w:space="0" w:color="000000" w:themeColor="text1"/>
              <w:right w:val="single" w:sz="6" w:space="0" w:color="000000" w:themeColor="text1"/>
            </w:tcBorders>
            <w:hideMark/>
          </w:tcPr>
          <w:p w14:paraId="7AC961AE"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1AB54135" w14:textId="77777777" w:rsidR="00E124D2" w:rsidRPr="003D0F8D" w:rsidRDefault="00E124D2">
            <w:pPr>
              <w:spacing w:line="256" w:lineRule="auto"/>
              <w:textAlignment w:val="baseline"/>
              <w:rPr>
                <w:rFonts w:ascii="Segoe UI" w:hAnsi="Segoe UI" w:cs="Segoe UI"/>
              </w:rPr>
            </w:pPr>
            <w:r w:rsidRPr="003D0F8D">
              <w:t>None.</w:t>
            </w:r>
          </w:p>
          <w:p w14:paraId="36933E6F" w14:textId="77777777" w:rsidR="00E124D2" w:rsidRPr="003D0F8D" w:rsidRDefault="00E124D2">
            <w:pPr>
              <w:spacing w:line="256" w:lineRule="auto"/>
              <w:textAlignment w:val="baseline"/>
              <w:rPr>
                <w:rFonts w:ascii="Segoe UI" w:hAnsi="Segoe UI" w:cs="Segoe UI"/>
              </w:rPr>
            </w:pPr>
            <w:r w:rsidRPr="003D0F8D">
              <w:t> </w:t>
            </w:r>
          </w:p>
          <w:p w14:paraId="49CEFA4C" w14:textId="77777777" w:rsidR="00E124D2" w:rsidRPr="003D0F8D" w:rsidRDefault="00E124D2">
            <w:pPr>
              <w:spacing w:line="256" w:lineRule="auto"/>
              <w:textAlignment w:val="baseline"/>
            </w:pPr>
            <w:r w:rsidRPr="003D0F8D">
              <w:rPr>
                <w:b/>
                <w:bCs/>
                <w:lang w:val="en-US"/>
              </w:rPr>
              <w:t>IP:</w:t>
            </w:r>
            <w:r w:rsidRPr="003D0F8D">
              <w:t> </w:t>
            </w:r>
          </w:p>
          <w:p w14:paraId="24650483" w14:textId="77777777" w:rsidR="00E124D2" w:rsidRPr="003D0F8D" w:rsidRDefault="00E124D2">
            <w:pPr>
              <w:spacing w:line="256" w:lineRule="auto"/>
              <w:textAlignment w:val="baseline"/>
              <w:rPr>
                <w:lang w:val="en-US"/>
              </w:rPr>
            </w:pPr>
            <w:r w:rsidRPr="003D0F8D">
              <w:rPr>
                <w:shd w:val="clear" w:color="auto" w:fill="FFFFFF"/>
                <w:lang w:val="en-US"/>
              </w:rPr>
              <w:t>Unbound.</w:t>
            </w:r>
          </w:p>
        </w:tc>
      </w:tr>
      <w:tr w:rsidR="003D0F8D" w:rsidRPr="003D0F8D" w14:paraId="7DA27543"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673A3121" w14:textId="6786D445" w:rsidR="00E124D2" w:rsidRPr="003D0F8D" w:rsidRDefault="00E124D2">
            <w:pPr>
              <w:spacing w:line="256" w:lineRule="auto"/>
              <w:textAlignment w:val="baseline"/>
              <w:rPr>
                <w:lang w:val="en-US"/>
              </w:rPr>
            </w:pPr>
            <w:r w:rsidRPr="003D0F8D">
              <w:rPr>
                <w:lang w:val="en-US"/>
              </w:rPr>
              <w:t>Tourist guides</w:t>
            </w:r>
            <w:r w:rsidR="00430B95" w:rsidRPr="003D0F8D">
              <w:rPr>
                <w:lang w:val="en-US"/>
              </w:rPr>
              <w:t>’</w:t>
            </w:r>
            <w:r w:rsidRPr="003D0F8D">
              <w:rPr>
                <w:lang w:val="en-US"/>
              </w:rPr>
              <w:t xml:space="preserve"> services (CPC 7472) </w:t>
            </w:r>
          </w:p>
        </w:tc>
        <w:tc>
          <w:tcPr>
            <w:tcW w:w="3844" w:type="dxa"/>
            <w:tcBorders>
              <w:top w:val="nil"/>
              <w:left w:val="nil"/>
              <w:bottom w:val="single" w:sz="6" w:space="0" w:color="000000" w:themeColor="text1"/>
              <w:right w:val="single" w:sz="6" w:space="0" w:color="000000" w:themeColor="text1"/>
            </w:tcBorders>
            <w:hideMark/>
          </w:tcPr>
          <w:p w14:paraId="3E7BA33E"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28325CB7" w14:textId="77777777" w:rsidR="00E124D2" w:rsidRPr="003D0F8D" w:rsidRDefault="00E124D2">
            <w:pPr>
              <w:spacing w:line="256" w:lineRule="auto"/>
              <w:textAlignment w:val="baseline"/>
              <w:rPr>
                <w:rFonts w:ascii="Segoe UI" w:hAnsi="Segoe UI" w:cs="Segoe UI"/>
              </w:rPr>
            </w:pPr>
            <w:r w:rsidRPr="003D0F8D">
              <w:t>None.</w:t>
            </w:r>
          </w:p>
          <w:p w14:paraId="2F1B8E21" w14:textId="77777777" w:rsidR="00E124D2" w:rsidRPr="003D0F8D" w:rsidRDefault="00E124D2">
            <w:pPr>
              <w:spacing w:line="256" w:lineRule="auto"/>
              <w:textAlignment w:val="baseline"/>
              <w:rPr>
                <w:rFonts w:ascii="Segoe UI" w:hAnsi="Segoe UI" w:cs="Segoe UI"/>
              </w:rPr>
            </w:pPr>
            <w:r w:rsidRPr="003D0F8D">
              <w:t> </w:t>
            </w:r>
          </w:p>
          <w:p w14:paraId="4F2863ED" w14:textId="77777777" w:rsidR="00E124D2" w:rsidRPr="003D0F8D" w:rsidRDefault="00E124D2">
            <w:pPr>
              <w:spacing w:line="256" w:lineRule="auto"/>
              <w:textAlignment w:val="baseline"/>
            </w:pPr>
            <w:r w:rsidRPr="003D0F8D">
              <w:rPr>
                <w:b/>
                <w:bCs/>
                <w:lang w:val="en-US"/>
              </w:rPr>
              <w:t>IP:</w:t>
            </w:r>
            <w:r w:rsidRPr="003D0F8D">
              <w:t> </w:t>
            </w:r>
          </w:p>
          <w:p w14:paraId="5B8E5011" w14:textId="77777777" w:rsidR="00E124D2" w:rsidRPr="003D0F8D" w:rsidRDefault="00E124D2">
            <w:pPr>
              <w:spacing w:line="256" w:lineRule="auto"/>
              <w:textAlignment w:val="baseline"/>
              <w:rPr>
                <w:lang w:val="en-US"/>
              </w:rPr>
            </w:pPr>
            <w:r w:rsidRPr="003D0F8D">
              <w:rPr>
                <w:shd w:val="clear" w:color="auto" w:fill="FFFFFF"/>
                <w:lang w:val="en-US"/>
              </w:rPr>
              <w:t>Unbound</w:t>
            </w:r>
            <w:r w:rsidRPr="003D0F8D">
              <w:rPr>
                <w:lang w:val="en-US"/>
              </w:rPr>
              <w:t>.</w:t>
            </w:r>
          </w:p>
        </w:tc>
      </w:tr>
      <w:tr w:rsidR="00E124D2" w:rsidRPr="003D0F8D" w14:paraId="02125682" w14:textId="77777777" w:rsidTr="00547391">
        <w:trPr>
          <w:cantSplit/>
        </w:trPr>
        <w:tc>
          <w:tcPr>
            <w:tcW w:w="4528" w:type="dxa"/>
            <w:tcBorders>
              <w:top w:val="nil"/>
              <w:left w:val="single" w:sz="6" w:space="0" w:color="000000" w:themeColor="text1"/>
              <w:bottom w:val="single" w:sz="6" w:space="0" w:color="000000" w:themeColor="text1"/>
              <w:right w:val="single" w:sz="6" w:space="0" w:color="000000" w:themeColor="text1"/>
            </w:tcBorders>
            <w:hideMark/>
          </w:tcPr>
          <w:p w14:paraId="5C798A6B" w14:textId="77777777" w:rsidR="00E124D2" w:rsidRPr="003D0F8D" w:rsidRDefault="00E124D2">
            <w:pPr>
              <w:spacing w:line="256" w:lineRule="auto"/>
              <w:textAlignment w:val="baseline"/>
              <w:rPr>
                <w:lang w:val="en-US"/>
              </w:rPr>
            </w:pPr>
            <w:r w:rsidRPr="003D0F8D">
              <w:rPr>
                <w:lang w:val="en-US"/>
              </w:rPr>
              <w:lastRenderedPageBreak/>
              <w:t>Manufacturing (CPC 884, and 885, advisory and consulting services only) </w:t>
            </w:r>
          </w:p>
        </w:tc>
        <w:tc>
          <w:tcPr>
            <w:tcW w:w="3844" w:type="dxa"/>
            <w:tcBorders>
              <w:top w:val="nil"/>
              <w:left w:val="nil"/>
              <w:bottom w:val="single" w:sz="6" w:space="0" w:color="000000" w:themeColor="text1"/>
              <w:right w:val="single" w:sz="6" w:space="0" w:color="000000" w:themeColor="text1"/>
            </w:tcBorders>
            <w:hideMark/>
          </w:tcPr>
          <w:p w14:paraId="3DC0071C" w14:textId="77777777" w:rsidR="00E124D2" w:rsidRPr="003D0F8D" w:rsidRDefault="00E124D2">
            <w:pPr>
              <w:spacing w:line="256" w:lineRule="auto"/>
              <w:textAlignment w:val="baseline"/>
            </w:pPr>
            <w:r w:rsidRPr="003D0F8D">
              <w:rPr>
                <w:b/>
                <w:bCs/>
                <w:lang w:val="en-US"/>
              </w:rPr>
              <w:t>CSS</w:t>
            </w:r>
            <w:r w:rsidRPr="003D0F8D">
              <w:rPr>
                <w:lang w:val="en-US"/>
              </w:rPr>
              <w:t>:</w:t>
            </w:r>
            <w:r w:rsidRPr="003D0F8D">
              <w:t> </w:t>
            </w:r>
          </w:p>
          <w:p w14:paraId="0ADD87A7" w14:textId="77777777" w:rsidR="00E124D2" w:rsidRPr="003D0F8D" w:rsidRDefault="00E124D2">
            <w:pPr>
              <w:spacing w:line="256" w:lineRule="auto"/>
              <w:textAlignment w:val="baseline"/>
              <w:rPr>
                <w:shd w:val="clear" w:color="auto" w:fill="FFFFFF"/>
                <w:lang w:val="en-US"/>
              </w:rPr>
            </w:pPr>
            <w:r w:rsidRPr="003D0F8D">
              <w:rPr>
                <w:shd w:val="clear" w:color="auto" w:fill="FFFFFF"/>
                <w:lang w:val="en-US"/>
              </w:rPr>
              <w:t>None.</w:t>
            </w:r>
          </w:p>
          <w:p w14:paraId="6FA9DA45" w14:textId="77777777" w:rsidR="00E124D2" w:rsidRPr="003D0F8D" w:rsidRDefault="00E124D2">
            <w:pPr>
              <w:spacing w:line="256" w:lineRule="auto"/>
              <w:textAlignment w:val="baseline"/>
              <w:rPr>
                <w:rFonts w:ascii="Segoe UI" w:hAnsi="Segoe UI" w:cs="Segoe UI"/>
              </w:rPr>
            </w:pPr>
            <w:r w:rsidRPr="003D0F8D">
              <w:t> </w:t>
            </w:r>
          </w:p>
          <w:p w14:paraId="622789A4" w14:textId="77777777" w:rsidR="00E124D2" w:rsidRPr="003D0F8D" w:rsidRDefault="00E124D2">
            <w:pPr>
              <w:spacing w:line="256" w:lineRule="auto"/>
              <w:textAlignment w:val="baseline"/>
            </w:pPr>
            <w:r w:rsidRPr="003D0F8D">
              <w:rPr>
                <w:b/>
                <w:bCs/>
                <w:lang w:val="en-US"/>
              </w:rPr>
              <w:t>IP:</w:t>
            </w:r>
            <w:r w:rsidRPr="003D0F8D">
              <w:t> </w:t>
            </w:r>
          </w:p>
          <w:p w14:paraId="21D84D18" w14:textId="77777777" w:rsidR="00E124D2" w:rsidRPr="003D0F8D" w:rsidRDefault="00E124D2">
            <w:pPr>
              <w:spacing w:line="256" w:lineRule="auto"/>
              <w:textAlignment w:val="baseline"/>
              <w:rPr>
                <w:lang w:val="en-US"/>
              </w:rPr>
            </w:pPr>
            <w:r w:rsidRPr="003D0F8D">
              <w:rPr>
                <w:shd w:val="clear" w:color="auto" w:fill="FFFFFF"/>
                <w:lang w:val="en-US"/>
              </w:rPr>
              <w:t>None.</w:t>
            </w:r>
          </w:p>
        </w:tc>
      </w:tr>
    </w:tbl>
    <w:p w14:paraId="40F2FEA3" w14:textId="417D777B" w:rsidR="00E124D2" w:rsidRPr="003D0F8D" w:rsidRDefault="00E124D2">
      <w:pPr>
        <w:spacing w:after="160" w:line="259" w:lineRule="auto"/>
      </w:pPr>
    </w:p>
    <w:p w14:paraId="2A4734CE" w14:textId="3A8A5473" w:rsidR="00430B95" w:rsidRPr="003D0F8D" w:rsidRDefault="00430B95">
      <w:pPr>
        <w:spacing w:after="160" w:line="259" w:lineRule="auto"/>
      </w:pPr>
      <w:r w:rsidRPr="003D0F8D">
        <w:br w:type="page"/>
      </w:r>
    </w:p>
    <w:p w14:paraId="57815B3F" w14:textId="3C097A5B" w:rsidR="00E124D2" w:rsidRPr="003D0F8D" w:rsidRDefault="00E124D2" w:rsidP="00430B95">
      <w:pPr>
        <w:pStyle w:val="AnnexSectiontitle"/>
      </w:pPr>
      <w:r w:rsidRPr="003D0F8D">
        <w:lastRenderedPageBreak/>
        <w:t xml:space="preserve">Schedule of Iceland, </w:t>
      </w:r>
      <w:proofErr w:type="gramStart"/>
      <w:r w:rsidRPr="003D0F8D">
        <w:t>Liechtenstein</w:t>
      </w:r>
      <w:proofErr w:type="gramEnd"/>
      <w:r w:rsidRPr="003D0F8D">
        <w:t xml:space="preserve"> and Norway</w:t>
      </w:r>
    </w:p>
    <w:p w14:paraId="5E94DCDB" w14:textId="4402E1C2" w:rsidR="00E124D2" w:rsidRPr="003D0F8D" w:rsidRDefault="00E124D2" w:rsidP="00282D92">
      <w:pPr>
        <w:pStyle w:val="FTAtextlistedparagraphs"/>
        <w:numPr>
          <w:ilvl w:val="0"/>
          <w:numId w:val="5"/>
        </w:numPr>
      </w:pPr>
      <w:r w:rsidRPr="003D0F8D">
        <w:t xml:space="preserve">Iceland, Liechtenstein and Norway shall allow the supply of services in their respective territories by contractual service suppliers or independent professionals of the United Kingdom through the presence of natural persons in accordance with Article </w:t>
      </w:r>
      <w:r w:rsidR="00FF66D3" w:rsidRPr="003D0F8D">
        <w:t>3.26 (Contractual Service Suppliers and Independent Professionals) of Section 3.4</w:t>
      </w:r>
      <w:r w:rsidR="00430B95" w:rsidRPr="003D0F8D">
        <w:t xml:space="preserve"> (Entry and Temporary Stay of Natural Persons) of Chapter 3 (Services and Investment)</w:t>
      </w:r>
      <w:r w:rsidRPr="003D0F8D">
        <w:t xml:space="preserve"> for the sectors listed in this Schedule.</w:t>
      </w:r>
    </w:p>
    <w:p w14:paraId="12E88D1F" w14:textId="60B258A2" w:rsidR="00E124D2" w:rsidRPr="003D0F8D" w:rsidRDefault="00E124D2" w:rsidP="00282D92">
      <w:pPr>
        <w:pStyle w:val="FTAtextlistedparagraphs"/>
        <w:numPr>
          <w:ilvl w:val="0"/>
          <w:numId w:val="5"/>
        </w:numPr>
      </w:pPr>
      <w:r w:rsidRPr="003D0F8D">
        <w:t xml:space="preserve">In addition to the list of reservations in this Schedule, Iceland, Liechtenstein and Norway may adopt or maintain any measure relating to qualification requirements, qualification procedures, technical standards, licensing requirements or licensing procedures that does not constitute a limitation within the meaning of Article </w:t>
      </w:r>
      <w:r w:rsidR="00FF66D3" w:rsidRPr="003D0F8D">
        <w:t>3.26 (Contractual Service Suppliers and Independent Professionals) of Section 3.4</w:t>
      </w:r>
      <w:r w:rsidR="00430B95" w:rsidRPr="003D0F8D">
        <w:t xml:space="preserve"> (Entry and Temporary Stay of Natural Persons) of Chapter 3 (Services and Investment)</w:t>
      </w:r>
      <w:r w:rsidRPr="003D0F8D">
        <w:t>. These measures, which include requirements for a person to obtain a licence, to obtain recognition of qualifications in regulated sectors or to pass specific examinations, such as language examinations, even if not listed in this Schedule, apply in any case to contractual service suppliers or independent professionals of the United Kingdom.</w:t>
      </w:r>
    </w:p>
    <w:p w14:paraId="40B14043" w14:textId="31D1AF52" w:rsidR="00E124D2" w:rsidRPr="003D0F8D" w:rsidRDefault="00E124D2" w:rsidP="00282D92">
      <w:pPr>
        <w:pStyle w:val="FTAtextlistedparagraphs"/>
        <w:numPr>
          <w:ilvl w:val="0"/>
          <w:numId w:val="5"/>
        </w:numPr>
      </w:pPr>
      <w:r w:rsidRPr="003D0F8D">
        <w:t xml:space="preserve">Commitments for contractual service suppliers and independent professionals do not apply in cases where the intent or effect of the entry and temporary stay is to interfere with, or otherwise affect the outcome of any labour or management dispute or negotiation, or the employment of any natural person who is involved in that dispute. </w:t>
      </w:r>
    </w:p>
    <w:p w14:paraId="3E93D6CC" w14:textId="6CDE105C" w:rsidR="00E124D2" w:rsidRPr="003D0F8D" w:rsidRDefault="00E124D2" w:rsidP="00282D92">
      <w:pPr>
        <w:pStyle w:val="FTAtextlistedparagraphs"/>
        <w:numPr>
          <w:ilvl w:val="0"/>
          <w:numId w:val="5"/>
        </w:numPr>
      </w:pPr>
      <w:r w:rsidRPr="003D0F8D">
        <w:t xml:space="preserve">The following abbreviations are used in the list below: </w:t>
      </w:r>
    </w:p>
    <w:p w14:paraId="5EAA8CC6" w14:textId="2D595771" w:rsidR="00E124D2" w:rsidRPr="003D0F8D" w:rsidRDefault="00E124D2" w:rsidP="00FF66D3">
      <w:pPr>
        <w:pStyle w:val="FTAtextlistedparagraphs"/>
        <w:numPr>
          <w:ilvl w:val="0"/>
          <w:numId w:val="0"/>
        </w:numPr>
        <w:ind w:left="1304"/>
      </w:pPr>
      <w:r w:rsidRPr="003D0F8D">
        <w:t>CSS: Contractual service suppliers</w:t>
      </w:r>
    </w:p>
    <w:p w14:paraId="051E90A7" w14:textId="1E269009" w:rsidR="00E124D2" w:rsidRPr="003D0F8D" w:rsidRDefault="00E124D2" w:rsidP="00FF66D3">
      <w:pPr>
        <w:pStyle w:val="FTAtextlistedparagraphs"/>
        <w:numPr>
          <w:ilvl w:val="0"/>
          <w:numId w:val="0"/>
        </w:numPr>
        <w:ind w:left="1304"/>
      </w:pPr>
      <w:r w:rsidRPr="003D0F8D">
        <w:t xml:space="preserve">IP: Independent professionals </w:t>
      </w:r>
    </w:p>
    <w:p w14:paraId="15D788F2" w14:textId="535895D7" w:rsidR="00E124D2" w:rsidRPr="003D0F8D" w:rsidRDefault="00E124D2" w:rsidP="00AF1383">
      <w:pPr>
        <w:pStyle w:val="FTAAnnexTabletitle"/>
      </w:pPr>
      <w:r w:rsidRPr="003D0F8D">
        <w:t>Contractual service suppliers</w:t>
      </w:r>
    </w:p>
    <w:p w14:paraId="7F119269" w14:textId="0EBF2530" w:rsidR="00E124D2" w:rsidRPr="003D0F8D" w:rsidRDefault="00E124D2" w:rsidP="00282D92">
      <w:pPr>
        <w:pStyle w:val="FTAtextlistedparagraphs"/>
        <w:numPr>
          <w:ilvl w:val="0"/>
          <w:numId w:val="5"/>
        </w:numPr>
      </w:pPr>
      <w:r w:rsidRPr="003D0F8D">
        <w:t>Subject to the conditions in paragraph 6</w:t>
      </w:r>
      <w:r w:rsidR="001602DB" w:rsidRPr="003D0F8D">
        <w:t xml:space="preserve"> of this Schedule</w:t>
      </w:r>
      <w:r w:rsidRPr="003D0F8D">
        <w:t xml:space="preserve">, Iceland, Liechtenstein and Norway make commitments in accordance with Article </w:t>
      </w:r>
      <w:r w:rsidR="00FF66D3" w:rsidRPr="003D0F8D">
        <w:t>3.26 (Contractual Service Suppliers and Independent Professionals) of Section 3.4</w:t>
      </w:r>
      <w:r w:rsidR="00430B95" w:rsidRPr="003D0F8D">
        <w:t xml:space="preserve"> (Entry and Temporary Stay of Natural Persons) of Chapter 3 (Services and Investment)</w:t>
      </w:r>
      <w:r w:rsidRPr="003D0F8D">
        <w:t xml:space="preserve"> with respect to the category of contractual service suppliers for all services sectors. </w:t>
      </w:r>
    </w:p>
    <w:p w14:paraId="63FB26B2" w14:textId="678DB225" w:rsidR="00E124D2" w:rsidRPr="003D0F8D" w:rsidRDefault="00E124D2" w:rsidP="00282D92">
      <w:pPr>
        <w:pStyle w:val="FTAtextlistedparagraphs"/>
        <w:numPr>
          <w:ilvl w:val="0"/>
          <w:numId w:val="5"/>
        </w:numPr>
      </w:pPr>
      <w:r w:rsidRPr="003D0F8D">
        <w:t>The contractual service suppliers shall comply with the following conditions:</w:t>
      </w:r>
    </w:p>
    <w:p w14:paraId="09FE19E8" w14:textId="1D440474" w:rsidR="005058CA" w:rsidRPr="003D0F8D" w:rsidRDefault="00E124D2" w:rsidP="00282D92">
      <w:pPr>
        <w:pStyle w:val="FTAtextlistedparagraphs"/>
        <w:numPr>
          <w:ilvl w:val="1"/>
          <w:numId w:val="5"/>
        </w:numPr>
        <w:rPr>
          <w:rFonts w:eastAsia="SimSun"/>
          <w:lang w:val="en-NZ"/>
        </w:rPr>
      </w:pPr>
      <w:r w:rsidRPr="003D0F8D">
        <w:rPr>
          <w:rFonts w:eastAsia="SimSun"/>
          <w:lang w:val="en-NZ" w:eastAsia="en-US"/>
        </w:rPr>
        <w:lastRenderedPageBreak/>
        <w:t>In respect of Iceland</w:t>
      </w:r>
      <w:r w:rsidR="00FF66D3" w:rsidRPr="003D0F8D">
        <w:rPr>
          <w:rFonts w:eastAsia="SimSun"/>
          <w:lang w:val="en-NZ" w:eastAsia="en-US"/>
        </w:rPr>
        <w:t>:</w:t>
      </w:r>
    </w:p>
    <w:p w14:paraId="4C7E0278" w14:textId="52A7CB86" w:rsidR="005058CA" w:rsidRPr="003D0F8D" w:rsidRDefault="00E124D2" w:rsidP="00282D92">
      <w:pPr>
        <w:pStyle w:val="FTAtextlistedparagraphs"/>
        <w:numPr>
          <w:ilvl w:val="0"/>
          <w:numId w:val="0"/>
        </w:numPr>
        <w:ind w:left="1304"/>
        <w:rPr>
          <w:rFonts w:eastAsia="SimSun"/>
          <w:lang w:val="en-NZ"/>
        </w:rPr>
      </w:pPr>
      <w:r w:rsidRPr="003D0F8D">
        <w:rPr>
          <w:rFonts w:eastAsia="SimSun"/>
          <w:lang w:val="en-NZ"/>
        </w:rPr>
        <w:t xml:space="preserve">Residence and work permit required. Permitted length of stay is up to </w:t>
      </w:r>
      <w:r w:rsidR="00430B95" w:rsidRPr="003D0F8D">
        <w:rPr>
          <w:rFonts w:eastAsia="SimSun"/>
          <w:lang w:val="en-NZ"/>
        </w:rPr>
        <w:t>six</w:t>
      </w:r>
      <w:r w:rsidRPr="003D0F8D">
        <w:rPr>
          <w:rFonts w:eastAsia="SimSun"/>
          <w:lang w:val="en-NZ"/>
        </w:rPr>
        <w:t xml:space="preserve"> months.</w:t>
      </w:r>
      <w:r w:rsidRPr="003D0F8D">
        <w:rPr>
          <w:rFonts w:eastAsia="SimSun"/>
          <w:b/>
          <w:bCs/>
          <w:lang w:val="en-NZ"/>
        </w:rPr>
        <w:t xml:space="preserve"> </w:t>
      </w:r>
      <w:r w:rsidRPr="003D0F8D">
        <w:rPr>
          <w:rFonts w:eastAsia="SimSun"/>
          <w:lang w:val="en-NZ"/>
        </w:rPr>
        <w:t>No economic needs test</w:t>
      </w:r>
      <w:r w:rsidR="0077743E" w:rsidRPr="003D0F8D">
        <w:rPr>
          <w:rFonts w:eastAsia="SimSun"/>
          <w:lang w:val="en-NZ"/>
        </w:rPr>
        <w:t xml:space="preserve"> required</w:t>
      </w:r>
      <w:r w:rsidRPr="003D0F8D">
        <w:rPr>
          <w:rFonts w:eastAsia="SimSun"/>
          <w:lang w:val="en-NZ"/>
        </w:rPr>
        <w:t>.</w:t>
      </w:r>
    </w:p>
    <w:p w14:paraId="1B2CFC2E" w14:textId="161F3953" w:rsidR="005058CA" w:rsidRPr="003D0F8D" w:rsidRDefault="00E124D2" w:rsidP="00282D92">
      <w:pPr>
        <w:pStyle w:val="FTAtextlistedparagraphs"/>
        <w:numPr>
          <w:ilvl w:val="0"/>
          <w:numId w:val="0"/>
        </w:numPr>
        <w:ind w:left="1304"/>
        <w:rPr>
          <w:rFonts w:eastAsia="SimSun"/>
          <w:lang w:val="en-NZ"/>
        </w:rPr>
      </w:pPr>
      <w:r w:rsidRPr="003D0F8D">
        <w:t>The natural person providing the service on behalf of the service supplier must have speciali</w:t>
      </w:r>
      <w:r w:rsidR="0077743E" w:rsidRPr="003D0F8D">
        <w:t>s</w:t>
      </w:r>
      <w:r w:rsidRPr="003D0F8D">
        <w:t>ed skills or qualifications of direct relevance to the service activity necessary to fulfil the contract.</w:t>
      </w:r>
    </w:p>
    <w:p w14:paraId="2D58488A" w14:textId="2180E693" w:rsidR="005058CA" w:rsidRPr="003D0F8D" w:rsidRDefault="00E124D2" w:rsidP="00282D92">
      <w:pPr>
        <w:pStyle w:val="FTAtextlistedparagraphs"/>
        <w:numPr>
          <w:ilvl w:val="0"/>
          <w:numId w:val="0"/>
        </w:numPr>
        <w:ind w:left="1304"/>
        <w:rPr>
          <w:rFonts w:eastAsiaTheme="minorHAnsi"/>
        </w:rPr>
      </w:pPr>
      <w:r w:rsidRPr="003D0F8D">
        <w:t xml:space="preserve">The natural person does not receive remuneration for the provision of services in Iceland other than the remuneration paid by the enterprise employing the natural person. </w:t>
      </w:r>
      <w:r w:rsidRPr="003D0F8D">
        <w:rPr>
          <w:rFonts w:eastAsia="SimSun"/>
          <w:lang w:val="en-NZ" w:eastAsia="en-US"/>
        </w:rPr>
        <w:t>The commitment relates only to the services activity which is the subject of the contract. It does not entitle</w:t>
      </w:r>
      <w:r w:rsidR="00AF65B9" w:rsidRPr="003D0F8D">
        <w:rPr>
          <w:rFonts w:eastAsia="SimSun"/>
          <w:lang w:val="en-NZ" w:eastAsia="en-US"/>
        </w:rPr>
        <w:t xml:space="preserve"> the natural person</w:t>
      </w:r>
      <w:r w:rsidRPr="003D0F8D">
        <w:rPr>
          <w:rFonts w:eastAsia="SimSun"/>
          <w:lang w:val="en-NZ" w:eastAsia="en-US"/>
        </w:rPr>
        <w:t xml:space="preserve"> to exercise the profession as such. </w:t>
      </w:r>
    </w:p>
    <w:p w14:paraId="2E8E47FB" w14:textId="6E4D7A43" w:rsidR="00E124D2" w:rsidRPr="003D0F8D" w:rsidRDefault="00E124D2" w:rsidP="00282D92">
      <w:pPr>
        <w:pStyle w:val="FTAtextlistedparagraphs"/>
        <w:numPr>
          <w:ilvl w:val="0"/>
          <w:numId w:val="0"/>
        </w:numPr>
        <w:ind w:left="1304"/>
        <w:rPr>
          <w:rFonts w:eastAsia="SimSun"/>
          <w:lang w:val="en-NZ" w:eastAsia="en-US"/>
        </w:rPr>
      </w:pPr>
      <w:r w:rsidRPr="003D0F8D">
        <w:t>All other requirements regarding entry, stay, wages, working conditions and social security benefits shall continue to apply.</w:t>
      </w:r>
    </w:p>
    <w:p w14:paraId="068A8744" w14:textId="72D9BED0" w:rsidR="00E124D2" w:rsidRPr="003D0F8D" w:rsidRDefault="00E124D2" w:rsidP="00282D92">
      <w:pPr>
        <w:pStyle w:val="FTAtextlistedparagraphs"/>
        <w:numPr>
          <w:ilvl w:val="1"/>
          <w:numId w:val="5"/>
        </w:numPr>
        <w:rPr>
          <w:rFonts w:eastAsia="SimSun"/>
          <w:lang w:val="en-NZ"/>
        </w:rPr>
      </w:pPr>
      <w:r w:rsidRPr="003D0F8D">
        <w:rPr>
          <w:rFonts w:eastAsia="SimSun"/>
          <w:lang w:val="en-NZ" w:eastAsia="en-US"/>
        </w:rPr>
        <w:t>In respect of Liechtenstein:</w:t>
      </w:r>
    </w:p>
    <w:p w14:paraId="7BB3D1F9" w14:textId="71C4809C" w:rsidR="00E124D2" w:rsidRPr="003D0F8D" w:rsidRDefault="00E124D2" w:rsidP="00282D92">
      <w:pPr>
        <w:pStyle w:val="FTAtextlistedparagraphs"/>
        <w:numPr>
          <w:ilvl w:val="0"/>
          <w:numId w:val="0"/>
        </w:numPr>
        <w:ind w:left="1304"/>
        <w:rPr>
          <w:rFonts w:eastAsia="SimSun"/>
          <w:lang w:val="en-NZ"/>
        </w:rPr>
      </w:pPr>
      <w:r w:rsidRPr="003D0F8D">
        <w:rPr>
          <w:rFonts w:eastAsia="SimSun"/>
          <w:lang w:val="en-NZ" w:eastAsia="en-US"/>
        </w:rPr>
        <w:t xml:space="preserve">The natural person does not receive remuneration for the provision of services in Liechtenstein other than the remuneration paid by the enterprise employing the natural person. </w:t>
      </w:r>
    </w:p>
    <w:p w14:paraId="422B8C59" w14:textId="67273605" w:rsidR="00E124D2" w:rsidRPr="003D0F8D" w:rsidRDefault="00E124D2" w:rsidP="00282D92">
      <w:pPr>
        <w:pStyle w:val="FTAtextlistedparagraphs"/>
        <w:numPr>
          <w:ilvl w:val="0"/>
          <w:numId w:val="0"/>
        </w:numPr>
        <w:ind w:left="1304"/>
        <w:rPr>
          <w:rFonts w:eastAsia="SimSun"/>
          <w:lang w:val="en-NZ"/>
        </w:rPr>
      </w:pPr>
      <w:r w:rsidRPr="003D0F8D">
        <w:rPr>
          <w:rFonts w:eastAsia="SimSun"/>
          <w:lang w:eastAsia="en-US"/>
        </w:rPr>
        <w:t xml:space="preserve">The competent authorities of Liechtenstein may recognise the necessary equivalence of the qualification and authorisation of the United Kingdom subject to reciprocity. The access accorded relates only to the service activity which is the subject of the contract and does not confer </w:t>
      </w:r>
      <w:r w:rsidR="001D0DC7" w:rsidRPr="003D0F8D">
        <w:rPr>
          <w:rFonts w:eastAsia="SimSun"/>
          <w:lang w:eastAsia="en-US"/>
        </w:rPr>
        <w:t xml:space="preserve">an </w:t>
      </w:r>
      <w:r w:rsidRPr="003D0F8D">
        <w:rPr>
          <w:rFonts w:eastAsia="SimSun"/>
          <w:lang w:eastAsia="en-US"/>
        </w:rPr>
        <w:t>entitlement to exercise the professional title of Liechtenstein.</w:t>
      </w:r>
    </w:p>
    <w:p w14:paraId="67744C70" w14:textId="64670140" w:rsidR="00E124D2" w:rsidRPr="003D0F8D" w:rsidRDefault="00E124D2" w:rsidP="00282D92">
      <w:pPr>
        <w:pStyle w:val="FTAtextlistedparagraphs"/>
        <w:numPr>
          <w:ilvl w:val="0"/>
          <w:numId w:val="0"/>
        </w:numPr>
        <w:ind w:left="1304"/>
        <w:rPr>
          <w:rFonts w:eastAsiaTheme="minorHAnsi"/>
          <w:szCs w:val="22"/>
        </w:rPr>
      </w:pPr>
      <w:r w:rsidRPr="003D0F8D">
        <w:rPr>
          <w:szCs w:val="22"/>
          <w:lang w:eastAsia="en-US"/>
        </w:rPr>
        <w:t xml:space="preserve">The supply of a cross-border service is subject to notification. The notification must be submitted to the </w:t>
      </w:r>
      <w:r w:rsidR="00F65689" w:rsidRPr="003D0F8D">
        <w:rPr>
          <w:szCs w:val="22"/>
          <w:lang w:eastAsia="en-US"/>
        </w:rPr>
        <w:t xml:space="preserve">Migration </w:t>
      </w:r>
      <w:r w:rsidRPr="003D0F8D">
        <w:rPr>
          <w:szCs w:val="22"/>
          <w:lang w:eastAsia="en-US"/>
        </w:rPr>
        <w:t xml:space="preserve">and Passport Office at the latest two working days before </w:t>
      </w:r>
      <w:r w:rsidRPr="003D0F8D">
        <w:rPr>
          <w:lang w:eastAsia="en-US"/>
        </w:rPr>
        <w:t xml:space="preserve">the service is supplied. This requirement applies in addition to </w:t>
      </w:r>
      <w:r w:rsidRPr="003D0F8D">
        <w:rPr>
          <w:rFonts w:eastAsia="PMingLiU"/>
          <w:lang w:val="en-US" w:eastAsia="en-US"/>
        </w:rPr>
        <w:t xml:space="preserve">the need for a license </w:t>
      </w:r>
      <w:r w:rsidRPr="003D0F8D">
        <w:rPr>
          <w:lang w:eastAsia="en-US"/>
        </w:rPr>
        <w:t>to carry out an economic activity in Liechtenstein to be granted by the competent</w:t>
      </w:r>
      <w:r w:rsidRPr="003D0F8D">
        <w:rPr>
          <w:szCs w:val="22"/>
          <w:lang w:eastAsia="en-US"/>
        </w:rPr>
        <w:t xml:space="preserve"> authorities. In order to ensure compliance with all requirements regarding work and social security measures, the employer of the CSS has to notify the </w:t>
      </w:r>
      <w:r w:rsidR="00F65689" w:rsidRPr="003D0F8D">
        <w:rPr>
          <w:szCs w:val="22"/>
          <w:lang w:eastAsia="en-US"/>
        </w:rPr>
        <w:t>competent authority</w:t>
      </w:r>
      <w:r w:rsidRPr="003D0F8D">
        <w:rPr>
          <w:szCs w:val="22"/>
          <w:lang w:eastAsia="en-US"/>
        </w:rPr>
        <w:t xml:space="preserve"> at the latest nine </w:t>
      </w:r>
      <w:r w:rsidR="00AC6985" w:rsidRPr="003D0F8D">
        <w:rPr>
          <w:szCs w:val="22"/>
          <w:lang w:eastAsia="en-US"/>
        </w:rPr>
        <w:t xml:space="preserve">working </w:t>
      </w:r>
      <w:r w:rsidRPr="003D0F8D">
        <w:rPr>
          <w:szCs w:val="22"/>
          <w:lang w:eastAsia="en-US"/>
        </w:rPr>
        <w:t>days before the supply of the service in accordance with the Posted Workers Act.</w:t>
      </w:r>
    </w:p>
    <w:p w14:paraId="2598F000" w14:textId="0532F3C9" w:rsidR="00E124D2" w:rsidRPr="003D0F8D" w:rsidRDefault="00E124D2" w:rsidP="00282D92">
      <w:pPr>
        <w:pStyle w:val="FTAtextlistedparagraphs"/>
        <w:numPr>
          <w:ilvl w:val="0"/>
          <w:numId w:val="0"/>
        </w:numPr>
        <w:ind w:left="1304"/>
        <w:rPr>
          <w:rFonts w:eastAsia="SimSun"/>
        </w:rPr>
      </w:pPr>
      <w:r w:rsidRPr="003D0F8D">
        <w:rPr>
          <w:rFonts w:eastAsia="SimSun"/>
          <w:lang w:eastAsia="en-US"/>
        </w:rPr>
        <w:t xml:space="preserve">Work and social security measures referred to in Article </w:t>
      </w:r>
      <w:r w:rsidR="00FF66D3" w:rsidRPr="003D0F8D">
        <w:rPr>
          <w:rFonts w:eastAsia="SimSun"/>
          <w:lang w:eastAsia="en-US"/>
        </w:rPr>
        <w:t>3.19</w:t>
      </w:r>
      <w:r w:rsidRPr="003D0F8D">
        <w:rPr>
          <w:rFonts w:eastAsia="SimSun"/>
          <w:lang w:eastAsia="en-US"/>
        </w:rPr>
        <w:t xml:space="preserve"> </w:t>
      </w:r>
      <w:r w:rsidR="00FF66D3" w:rsidRPr="003D0F8D">
        <w:rPr>
          <w:rFonts w:eastAsia="SimSun"/>
          <w:lang w:eastAsia="en-US"/>
        </w:rPr>
        <w:t>(</w:t>
      </w:r>
      <w:r w:rsidRPr="003D0F8D">
        <w:rPr>
          <w:rFonts w:eastAsia="SimSun"/>
          <w:lang w:eastAsia="en-US"/>
        </w:rPr>
        <w:t xml:space="preserve">General </w:t>
      </w:r>
      <w:r w:rsidR="00FF66D3" w:rsidRPr="003D0F8D">
        <w:rPr>
          <w:rFonts w:eastAsia="SimSun"/>
          <w:lang w:eastAsia="en-US"/>
        </w:rPr>
        <w:t>P</w:t>
      </w:r>
      <w:r w:rsidRPr="003D0F8D">
        <w:rPr>
          <w:rFonts w:eastAsia="SimSun"/>
          <w:lang w:eastAsia="en-US"/>
        </w:rPr>
        <w:t xml:space="preserve">rovisions and </w:t>
      </w:r>
      <w:r w:rsidR="00FF66D3" w:rsidRPr="003D0F8D">
        <w:rPr>
          <w:rFonts w:eastAsia="SimSun"/>
          <w:lang w:eastAsia="en-US"/>
        </w:rPr>
        <w:t>S</w:t>
      </w:r>
      <w:r w:rsidRPr="003D0F8D">
        <w:rPr>
          <w:rFonts w:eastAsia="SimSun"/>
          <w:lang w:eastAsia="en-US"/>
        </w:rPr>
        <w:t>cope</w:t>
      </w:r>
      <w:r w:rsidR="0012551A" w:rsidRPr="003D0F8D">
        <w:rPr>
          <w:rFonts w:eastAsia="SimSun"/>
          <w:lang w:eastAsia="en-US"/>
        </w:rPr>
        <w:t>)</w:t>
      </w:r>
      <w:r w:rsidR="00FF66D3" w:rsidRPr="003D0F8D">
        <w:rPr>
          <w:rFonts w:eastAsia="SimSun"/>
          <w:lang w:eastAsia="en-US"/>
        </w:rPr>
        <w:t xml:space="preserve"> of Section 3.4</w:t>
      </w:r>
      <w:r w:rsidR="00430B95" w:rsidRPr="003D0F8D">
        <w:rPr>
          <w:rFonts w:eastAsia="SimSun"/>
          <w:lang w:eastAsia="en-US"/>
        </w:rPr>
        <w:t xml:space="preserve"> </w:t>
      </w:r>
      <w:r w:rsidR="00430B95" w:rsidRPr="003D0F8D">
        <w:t>(Entry and Temporary Stay of Natural Persons) of Chapter 3 (Services and Investment)</w:t>
      </w:r>
      <w:r w:rsidRPr="003D0F8D">
        <w:rPr>
          <w:rFonts w:eastAsia="SimSun"/>
          <w:lang w:eastAsia="en-US"/>
        </w:rPr>
        <w:t xml:space="preserve"> means measures prevailing in the sector and the place of activity in Liechtenstein provided by its law and collective agreements (with respect to remuneration, working hours, etc.).</w:t>
      </w:r>
    </w:p>
    <w:p w14:paraId="53CB605D" w14:textId="015501E4" w:rsidR="00E124D2" w:rsidRPr="003D0F8D" w:rsidRDefault="00E124D2" w:rsidP="00282D92">
      <w:pPr>
        <w:pStyle w:val="FTAtextlistedparagraphs"/>
        <w:numPr>
          <w:ilvl w:val="0"/>
          <w:numId w:val="0"/>
        </w:numPr>
        <w:ind w:left="1304"/>
        <w:rPr>
          <w:rFonts w:eastAsia="SimSun"/>
          <w:lang w:val="en-NZ"/>
        </w:rPr>
      </w:pPr>
      <w:r w:rsidRPr="003D0F8D">
        <w:rPr>
          <w:rFonts w:eastAsia="SimSun"/>
          <w:lang w:eastAsia="en-US"/>
        </w:rPr>
        <w:lastRenderedPageBreak/>
        <w:t>The permissible length of stay of CSS is for a cumulative period of not more than eight days within any 90 day</w:t>
      </w:r>
      <w:r w:rsidR="005F0471" w:rsidRPr="003D0F8D">
        <w:rPr>
          <w:rFonts w:eastAsia="SimSun"/>
          <w:lang w:eastAsia="en-US"/>
        </w:rPr>
        <w:t>-</w:t>
      </w:r>
      <w:r w:rsidRPr="003D0F8D">
        <w:rPr>
          <w:rFonts w:eastAsia="SimSun"/>
          <w:lang w:eastAsia="en-US"/>
        </w:rPr>
        <w:t>period, with possible renewals of the same length of stay after such periods.</w:t>
      </w:r>
    </w:p>
    <w:p w14:paraId="63C53D46" w14:textId="77777777" w:rsidR="005058CA" w:rsidRPr="003D0F8D" w:rsidRDefault="00E124D2" w:rsidP="00282D92">
      <w:pPr>
        <w:pStyle w:val="FTAtextlistedparagraphs"/>
        <w:numPr>
          <w:ilvl w:val="1"/>
          <w:numId w:val="5"/>
        </w:numPr>
        <w:rPr>
          <w:rFonts w:eastAsia="SimSun"/>
          <w:lang w:val="en-NZ"/>
        </w:rPr>
      </w:pPr>
      <w:r w:rsidRPr="003D0F8D">
        <w:t>In respect of Norway:</w:t>
      </w:r>
    </w:p>
    <w:p w14:paraId="7D2107CB" w14:textId="7DB5B2F6" w:rsidR="005058CA" w:rsidRPr="003D0F8D" w:rsidRDefault="00E124D2" w:rsidP="00282D92">
      <w:pPr>
        <w:pStyle w:val="FTAtextlistedparagraphs"/>
        <w:numPr>
          <w:ilvl w:val="0"/>
          <w:numId w:val="0"/>
        </w:numPr>
        <w:ind w:left="1304"/>
        <w:rPr>
          <w:rFonts w:eastAsia="SimSun"/>
          <w:lang w:val="en-NZ"/>
        </w:rPr>
      </w:pPr>
      <w:r w:rsidRPr="003D0F8D">
        <w:t xml:space="preserve">The natural person does not receive remuneration for the provision of services in Norway other than the remuneration paid by the enterprise employing the natural person. </w:t>
      </w:r>
      <w:r w:rsidRPr="003D0F8D">
        <w:rPr>
          <w:rFonts w:eastAsia="SimSun"/>
          <w:lang w:val="en-NZ" w:eastAsia="en-US"/>
        </w:rPr>
        <w:t xml:space="preserve">The commitment relates only to the services activity which is the subject of the contract. It does not entitle </w:t>
      </w:r>
      <w:r w:rsidR="003351BF" w:rsidRPr="003D0F8D">
        <w:rPr>
          <w:rFonts w:eastAsia="SimSun"/>
          <w:lang w:val="en-NZ" w:eastAsia="en-US"/>
        </w:rPr>
        <w:t xml:space="preserve">the natural person </w:t>
      </w:r>
      <w:r w:rsidRPr="003D0F8D">
        <w:rPr>
          <w:rFonts w:eastAsia="SimSun"/>
          <w:lang w:val="en-NZ" w:eastAsia="en-US"/>
        </w:rPr>
        <w:t>to exercise the profession as such. Residence permit is required.</w:t>
      </w:r>
      <w:r w:rsidRPr="003D0F8D">
        <w:rPr>
          <w:lang w:val="en-NZ"/>
        </w:rPr>
        <w:t xml:space="preserve"> N</w:t>
      </w:r>
      <w:r w:rsidRPr="003D0F8D">
        <w:t>o economic needs test.</w:t>
      </w:r>
    </w:p>
    <w:p w14:paraId="37C7E980" w14:textId="4CE73053" w:rsidR="005058CA" w:rsidRPr="003D0F8D" w:rsidRDefault="00E124D2" w:rsidP="00282D92">
      <w:pPr>
        <w:pStyle w:val="FTAtextlistedparagraphs"/>
        <w:numPr>
          <w:ilvl w:val="0"/>
          <w:numId w:val="0"/>
        </w:numPr>
        <w:ind w:left="1304"/>
        <w:rPr>
          <w:rFonts w:eastAsia="SimSun"/>
          <w:lang w:val="en-NZ"/>
        </w:rPr>
      </w:pPr>
      <w:r w:rsidRPr="003D0F8D">
        <w:rPr>
          <w:rFonts w:eastAsia="SimSun"/>
          <w:lang w:val="en-NZ" w:eastAsia="en-US"/>
        </w:rPr>
        <w:t xml:space="preserve">The natural person entering Norway as </w:t>
      </w:r>
      <w:r w:rsidR="00F45EF0" w:rsidRPr="003D0F8D">
        <w:rPr>
          <w:rFonts w:eastAsia="SimSun"/>
          <w:lang w:val="en-NZ" w:eastAsia="en-US"/>
        </w:rPr>
        <w:t xml:space="preserve">a </w:t>
      </w:r>
      <w:r w:rsidRPr="003D0F8D">
        <w:rPr>
          <w:rFonts w:eastAsia="SimSun"/>
          <w:lang w:val="en-NZ" w:eastAsia="en-US"/>
        </w:rPr>
        <w:t>CSS must be considered to be a higher-level skilled worker or to possess special qualifications, usually obtained through higher education.</w:t>
      </w:r>
    </w:p>
    <w:p w14:paraId="38D05A0A" w14:textId="5F536791" w:rsidR="005058CA" w:rsidRPr="003D0F8D" w:rsidRDefault="00E124D2" w:rsidP="00282D92">
      <w:pPr>
        <w:pStyle w:val="FTAtextlistedparagraphs"/>
        <w:numPr>
          <w:ilvl w:val="0"/>
          <w:numId w:val="0"/>
        </w:numPr>
        <w:ind w:left="1304"/>
        <w:rPr>
          <w:rFonts w:eastAsia="SimSun"/>
          <w:lang w:val="en-NZ"/>
        </w:rPr>
      </w:pPr>
      <w:r w:rsidRPr="003D0F8D">
        <w:rPr>
          <w:rFonts w:eastAsia="SimSun"/>
          <w:lang w:val="en-NZ" w:eastAsia="en-US"/>
        </w:rPr>
        <w:t>The competence of the natural person must be deemed necessary for the recipient of the service. If it is apparent that there will be a permanent need for such labour, or</w:t>
      </w:r>
      <w:r w:rsidR="00D80933" w:rsidRPr="003D0F8D">
        <w:rPr>
          <w:rFonts w:eastAsia="SimSun"/>
          <w:lang w:val="en-NZ" w:eastAsia="en-US"/>
        </w:rPr>
        <w:t>,</w:t>
      </w:r>
      <w:r w:rsidRPr="003D0F8D">
        <w:rPr>
          <w:rFonts w:eastAsia="SimSun"/>
          <w:lang w:val="en-NZ" w:eastAsia="en-US"/>
        </w:rPr>
        <w:t xml:space="preserve"> if during the last six months</w:t>
      </w:r>
      <w:r w:rsidR="00D80933" w:rsidRPr="003D0F8D">
        <w:rPr>
          <w:rFonts w:eastAsia="SimSun"/>
          <w:lang w:val="en-NZ" w:eastAsia="en-US"/>
        </w:rPr>
        <w:t>,</w:t>
      </w:r>
      <w:r w:rsidRPr="003D0F8D">
        <w:rPr>
          <w:rFonts w:eastAsia="SimSun"/>
          <w:lang w:val="en-NZ" w:eastAsia="en-US"/>
        </w:rPr>
        <w:t xml:space="preserve"> a permit has been issued for the performance of the same kind of work for the same recipient of the service, a permit shall not be granted. </w:t>
      </w:r>
    </w:p>
    <w:p w14:paraId="45C841D3" w14:textId="7BB93A93" w:rsidR="00E124D2" w:rsidRPr="003D0F8D" w:rsidRDefault="00E124D2" w:rsidP="00282D92">
      <w:pPr>
        <w:pStyle w:val="FTAtextlistedparagraphs"/>
        <w:numPr>
          <w:ilvl w:val="0"/>
          <w:numId w:val="0"/>
        </w:numPr>
        <w:ind w:left="1304"/>
      </w:pPr>
      <w:r w:rsidRPr="003D0F8D">
        <w:t xml:space="preserve">The permissible length of stay of contractual service suppliers is for a cumulative period of not more than </w:t>
      </w:r>
      <w:r w:rsidR="00D80933" w:rsidRPr="003D0F8D">
        <w:t xml:space="preserve">six </w:t>
      </w:r>
      <w:r w:rsidRPr="003D0F8D">
        <w:t xml:space="preserve">months in any </w:t>
      </w:r>
      <w:r w:rsidR="00D80933" w:rsidRPr="003D0F8D">
        <w:t>12</w:t>
      </w:r>
      <w:r w:rsidRPr="003D0F8D">
        <w:t>-month period or for the duration of the contract, whichever is less.</w:t>
      </w:r>
    </w:p>
    <w:p w14:paraId="339D5EFA" w14:textId="36EF730A" w:rsidR="00E124D2" w:rsidRPr="003D0F8D" w:rsidRDefault="00E124D2" w:rsidP="00AF1383">
      <w:pPr>
        <w:pStyle w:val="FTAAnnexTabletitle"/>
      </w:pPr>
      <w:r w:rsidRPr="003D0F8D">
        <w:t>Independent professionals</w:t>
      </w:r>
    </w:p>
    <w:p w14:paraId="4B19C4E0" w14:textId="45314AD5" w:rsidR="00E124D2" w:rsidRPr="003D0F8D" w:rsidRDefault="00E124D2" w:rsidP="00282D92">
      <w:pPr>
        <w:pStyle w:val="FTAtextlistedparagraphs"/>
        <w:numPr>
          <w:ilvl w:val="0"/>
          <w:numId w:val="5"/>
        </w:numPr>
      </w:pPr>
      <w:r w:rsidRPr="003D0F8D">
        <w:t>Subject to the conditions in paragraph 8</w:t>
      </w:r>
      <w:r w:rsidR="00430B95" w:rsidRPr="003D0F8D">
        <w:t xml:space="preserve"> of this Schedule</w:t>
      </w:r>
      <w:r w:rsidRPr="003D0F8D">
        <w:t xml:space="preserve">, Iceland, Liechtenstein and Norway make commitments in accordance with Article </w:t>
      </w:r>
      <w:r w:rsidR="00FF66D3" w:rsidRPr="003D0F8D">
        <w:t>3.26 (Contractual Service Suppliers and Independent Professionals) of Section 3.4</w:t>
      </w:r>
      <w:r w:rsidR="00430B95" w:rsidRPr="003D0F8D">
        <w:t xml:space="preserve"> (Entry and Temporary Stay of Natural Persons) of Chapter 3 (Services and Investment)</w:t>
      </w:r>
      <w:r w:rsidR="00FF66D3" w:rsidRPr="003D0F8D" w:rsidDel="00FF66D3">
        <w:t xml:space="preserve"> </w:t>
      </w:r>
      <w:r w:rsidRPr="003D0F8D">
        <w:t xml:space="preserve">with respect to the category of independent professionals in all services sectors: </w:t>
      </w:r>
    </w:p>
    <w:p w14:paraId="36A2B219" w14:textId="636E0052" w:rsidR="00E124D2" w:rsidRPr="003D0F8D" w:rsidRDefault="00E124D2" w:rsidP="00282D92">
      <w:pPr>
        <w:pStyle w:val="FTAtextlistedparagraphs"/>
        <w:numPr>
          <w:ilvl w:val="0"/>
          <w:numId w:val="5"/>
        </w:numPr>
      </w:pPr>
      <w:r w:rsidRPr="003D0F8D">
        <w:t>The independent professionals shall comply with the following conditions:</w:t>
      </w:r>
    </w:p>
    <w:p w14:paraId="48DD8A3A" w14:textId="033E831B" w:rsidR="005058CA" w:rsidRPr="003D0F8D" w:rsidRDefault="00E124D2" w:rsidP="0071663D">
      <w:pPr>
        <w:pStyle w:val="FTAtextlistedparagraphs"/>
        <w:numPr>
          <w:ilvl w:val="1"/>
          <w:numId w:val="5"/>
        </w:numPr>
      </w:pPr>
      <w:r w:rsidRPr="003D0F8D">
        <w:t xml:space="preserve">In respect of </w:t>
      </w:r>
      <w:r w:rsidR="00FF66D3" w:rsidRPr="003D0F8D">
        <w:t>Iceland:</w:t>
      </w:r>
    </w:p>
    <w:p w14:paraId="32910E66" w14:textId="0A37C50D" w:rsidR="005058CA" w:rsidRPr="003D0F8D" w:rsidRDefault="00E124D2" w:rsidP="0071663D">
      <w:pPr>
        <w:pStyle w:val="FTAtextlistedparagraphs"/>
        <w:numPr>
          <w:ilvl w:val="0"/>
          <w:numId w:val="0"/>
        </w:numPr>
        <w:ind w:left="1304"/>
        <w:rPr>
          <w:rFonts w:eastAsiaTheme="minorHAnsi"/>
        </w:rPr>
      </w:pPr>
      <w:r w:rsidRPr="003D0F8D">
        <w:rPr>
          <w:rFonts w:eastAsia="SimSun"/>
          <w:lang w:val="en-NZ"/>
        </w:rPr>
        <w:t xml:space="preserve">Residence and work permit required. Permitted length of stay is up to </w:t>
      </w:r>
      <w:r w:rsidR="00430B95" w:rsidRPr="003D0F8D">
        <w:rPr>
          <w:rFonts w:eastAsia="SimSun"/>
          <w:lang w:val="en-NZ"/>
        </w:rPr>
        <w:t>six</w:t>
      </w:r>
      <w:r w:rsidRPr="003D0F8D">
        <w:rPr>
          <w:rFonts w:eastAsia="SimSun"/>
          <w:lang w:val="en-NZ"/>
        </w:rPr>
        <w:t xml:space="preserve"> months.</w:t>
      </w:r>
      <w:r w:rsidRPr="003D0F8D">
        <w:rPr>
          <w:rFonts w:eastAsia="SimSun"/>
          <w:b/>
          <w:bCs/>
          <w:lang w:val="en-NZ"/>
        </w:rPr>
        <w:t xml:space="preserve"> </w:t>
      </w:r>
      <w:r w:rsidRPr="003D0F8D">
        <w:rPr>
          <w:rFonts w:eastAsia="SimSun"/>
          <w:lang w:val="en-NZ"/>
        </w:rPr>
        <w:t>No economic needs test</w:t>
      </w:r>
      <w:r w:rsidR="005477BF" w:rsidRPr="003D0F8D">
        <w:rPr>
          <w:rFonts w:eastAsia="SimSun"/>
          <w:lang w:val="en-NZ"/>
        </w:rPr>
        <w:t xml:space="preserve"> required</w:t>
      </w:r>
      <w:r w:rsidRPr="003D0F8D">
        <w:rPr>
          <w:rFonts w:eastAsia="SimSun"/>
          <w:lang w:val="en-NZ"/>
        </w:rPr>
        <w:t>.</w:t>
      </w:r>
    </w:p>
    <w:p w14:paraId="2D94E8EE" w14:textId="596D618F" w:rsidR="005058CA" w:rsidRPr="003D0F8D" w:rsidRDefault="00E124D2" w:rsidP="0071663D">
      <w:pPr>
        <w:pStyle w:val="FTAtextlistedparagraphs"/>
        <w:numPr>
          <w:ilvl w:val="0"/>
          <w:numId w:val="0"/>
        </w:numPr>
        <w:ind w:left="1304"/>
        <w:rPr>
          <w:rFonts w:eastAsia="SimSun"/>
          <w:lang w:val="en-NZ"/>
        </w:rPr>
      </w:pPr>
      <w:r w:rsidRPr="003D0F8D">
        <w:t>The natural person providing the service must have speciali</w:t>
      </w:r>
      <w:r w:rsidR="00490083" w:rsidRPr="003D0F8D">
        <w:t>s</w:t>
      </w:r>
      <w:r w:rsidRPr="003D0F8D">
        <w:t>ed skills or qualifications of direct relevance to the service activity necessary to fulfil the contract.</w:t>
      </w:r>
    </w:p>
    <w:p w14:paraId="4520EF53" w14:textId="2EBF7BC4" w:rsidR="005058CA" w:rsidRPr="003D0F8D" w:rsidRDefault="00E124D2" w:rsidP="0071663D">
      <w:pPr>
        <w:pStyle w:val="FTAtextlistedparagraphs"/>
        <w:numPr>
          <w:ilvl w:val="0"/>
          <w:numId w:val="0"/>
        </w:numPr>
        <w:ind w:left="1304"/>
        <w:rPr>
          <w:rFonts w:eastAsiaTheme="minorHAnsi"/>
        </w:rPr>
      </w:pPr>
      <w:r w:rsidRPr="003D0F8D">
        <w:lastRenderedPageBreak/>
        <w:t xml:space="preserve">The natural person does not receive remuneration for the provision of services in Iceland other than the remuneration paid by the enterprise employing the natural person. </w:t>
      </w:r>
      <w:r w:rsidRPr="003D0F8D">
        <w:rPr>
          <w:rFonts w:eastAsia="SimSun"/>
          <w:lang w:val="en-NZ" w:eastAsia="en-US"/>
        </w:rPr>
        <w:t xml:space="preserve">The commitment relates only to the services activity which is the subject of the contract. It does not entitle </w:t>
      </w:r>
      <w:r w:rsidR="00AC1FBC" w:rsidRPr="003D0F8D">
        <w:rPr>
          <w:rFonts w:eastAsia="SimSun"/>
          <w:lang w:val="en-NZ" w:eastAsia="en-US"/>
        </w:rPr>
        <w:t xml:space="preserve">the natural person </w:t>
      </w:r>
      <w:r w:rsidRPr="003D0F8D">
        <w:rPr>
          <w:rFonts w:eastAsia="SimSun"/>
          <w:lang w:val="en-NZ" w:eastAsia="en-US"/>
        </w:rPr>
        <w:t xml:space="preserve">to exercise the profession as such. </w:t>
      </w:r>
    </w:p>
    <w:p w14:paraId="1A5083F1" w14:textId="5EAD9B05" w:rsidR="00E124D2" w:rsidRPr="003D0F8D" w:rsidRDefault="00E124D2" w:rsidP="0071663D">
      <w:pPr>
        <w:pStyle w:val="FTAtextlistedparagraphs"/>
        <w:numPr>
          <w:ilvl w:val="0"/>
          <w:numId w:val="0"/>
        </w:numPr>
        <w:ind w:left="1304"/>
        <w:rPr>
          <w:rFonts w:eastAsia="SimSun"/>
          <w:lang w:val="en-NZ"/>
        </w:rPr>
      </w:pPr>
      <w:r w:rsidRPr="003D0F8D">
        <w:t>All other requirements regarding entry, stay, wages, working conditions and social security benefits shall continue to apply.</w:t>
      </w:r>
    </w:p>
    <w:p w14:paraId="10F18F66" w14:textId="08BE5426" w:rsidR="00E124D2" w:rsidRPr="003D0F8D" w:rsidRDefault="00E124D2" w:rsidP="0071663D">
      <w:pPr>
        <w:pStyle w:val="FTAtextlistedparagraphs"/>
        <w:numPr>
          <w:ilvl w:val="1"/>
          <w:numId w:val="5"/>
        </w:numPr>
        <w:rPr>
          <w:rFonts w:eastAsia="SimSun"/>
          <w:lang w:val="en-NZ"/>
        </w:rPr>
      </w:pPr>
      <w:r w:rsidRPr="003D0F8D">
        <w:t>In respect of Liechtenstein:</w:t>
      </w:r>
    </w:p>
    <w:p w14:paraId="74797D56" w14:textId="54449067" w:rsidR="00E124D2" w:rsidRPr="003D0F8D" w:rsidRDefault="00E124D2" w:rsidP="0071663D">
      <w:pPr>
        <w:pStyle w:val="FTAtextlistedparagraphs"/>
        <w:numPr>
          <w:ilvl w:val="0"/>
          <w:numId w:val="0"/>
        </w:numPr>
        <w:ind w:left="1304"/>
        <w:rPr>
          <w:rFonts w:eastAsia="SimSun"/>
          <w:lang w:val="en-NZ"/>
        </w:rPr>
      </w:pPr>
      <w:r w:rsidRPr="003D0F8D">
        <w:rPr>
          <w:rFonts w:eastAsia="SimSun"/>
          <w:lang w:eastAsia="en-US"/>
        </w:rPr>
        <w:t>The IP shall possess the professional qualification to exercise an activity within the scope of the authorisation from the United Kingdom where this is required pursuant to the law or other legal requirements of Liechtenstein. The competent authorities of Liechtenstein may recognise the necessary equivalence of the qualification and United Kingdom authorisation of the IP subject to reciprocity. The access accorded relates only to the service activity which is the subject of the contract and does not confer entitlement to exercise the professional title of Liechtenstein.</w:t>
      </w:r>
    </w:p>
    <w:p w14:paraId="33C0D921" w14:textId="65649702" w:rsidR="00E124D2" w:rsidRPr="003D0F8D" w:rsidRDefault="00E124D2" w:rsidP="0071663D">
      <w:pPr>
        <w:pStyle w:val="FTAtextlistedparagraphs"/>
        <w:numPr>
          <w:ilvl w:val="0"/>
          <w:numId w:val="0"/>
        </w:numPr>
        <w:ind w:left="1304"/>
        <w:rPr>
          <w:rFonts w:eastAsia="SimSun"/>
        </w:rPr>
      </w:pPr>
      <w:r w:rsidRPr="003D0F8D">
        <w:rPr>
          <w:rFonts w:eastAsia="SimSun"/>
          <w:lang w:eastAsia="en-US"/>
        </w:rPr>
        <w:t xml:space="preserve">The supply of a cross-border service is subject to notification. The notification must be submitted to the </w:t>
      </w:r>
      <w:r w:rsidR="00EC0A26" w:rsidRPr="003D0F8D">
        <w:rPr>
          <w:rFonts w:eastAsia="SimSun"/>
          <w:lang w:eastAsia="en-US"/>
        </w:rPr>
        <w:t xml:space="preserve">Migration </w:t>
      </w:r>
      <w:r w:rsidRPr="003D0F8D">
        <w:rPr>
          <w:rFonts w:eastAsia="SimSun"/>
          <w:lang w:eastAsia="en-US"/>
        </w:rPr>
        <w:t xml:space="preserve">and Passport Office at the latest two working days before the service is supplied. This requirement applies in addition to </w:t>
      </w:r>
      <w:r w:rsidRPr="003D0F8D">
        <w:rPr>
          <w:rFonts w:eastAsia="SimSun"/>
          <w:lang w:val="en-US" w:eastAsia="en-US"/>
        </w:rPr>
        <w:t xml:space="preserve">the need for a license </w:t>
      </w:r>
      <w:r w:rsidRPr="003D0F8D">
        <w:rPr>
          <w:rFonts w:eastAsia="SimSun"/>
          <w:lang w:eastAsia="en-US"/>
        </w:rPr>
        <w:t xml:space="preserve">to carry out an economic activity in Liechtenstein to be granted by the competent authorities. </w:t>
      </w:r>
    </w:p>
    <w:p w14:paraId="7CC6C94F" w14:textId="723BD813" w:rsidR="00E124D2" w:rsidRPr="003D0F8D" w:rsidRDefault="00E124D2" w:rsidP="0071663D">
      <w:pPr>
        <w:pStyle w:val="FTAtextlistedparagraphs"/>
        <w:numPr>
          <w:ilvl w:val="0"/>
          <w:numId w:val="0"/>
        </w:numPr>
        <w:ind w:left="1304"/>
        <w:rPr>
          <w:rFonts w:eastAsia="SimSun"/>
        </w:rPr>
      </w:pPr>
      <w:r w:rsidRPr="003D0F8D">
        <w:rPr>
          <w:rFonts w:eastAsia="SimSun"/>
          <w:lang w:eastAsia="en-US"/>
        </w:rPr>
        <w:t xml:space="preserve">Work and social security measures referred to in Article </w:t>
      </w:r>
      <w:r w:rsidR="00FF66D3" w:rsidRPr="003D0F8D">
        <w:rPr>
          <w:rFonts w:eastAsia="SimSun"/>
          <w:lang w:eastAsia="en-US"/>
        </w:rPr>
        <w:t>3.19</w:t>
      </w:r>
      <w:r w:rsidRPr="003D0F8D">
        <w:rPr>
          <w:rFonts w:eastAsia="SimSun"/>
          <w:lang w:eastAsia="en-US"/>
        </w:rPr>
        <w:t xml:space="preserve"> </w:t>
      </w:r>
      <w:r w:rsidR="00FF66D3" w:rsidRPr="003D0F8D">
        <w:rPr>
          <w:rFonts w:eastAsia="SimSun"/>
          <w:lang w:eastAsia="en-US"/>
        </w:rPr>
        <w:t>(</w:t>
      </w:r>
      <w:r w:rsidRPr="003D0F8D">
        <w:rPr>
          <w:rFonts w:eastAsia="SimSun"/>
          <w:lang w:eastAsia="en-US"/>
        </w:rPr>
        <w:t xml:space="preserve">General </w:t>
      </w:r>
      <w:r w:rsidR="00FF66D3" w:rsidRPr="003D0F8D">
        <w:rPr>
          <w:rFonts w:eastAsia="SimSun"/>
          <w:lang w:eastAsia="en-US"/>
        </w:rPr>
        <w:t>P</w:t>
      </w:r>
      <w:r w:rsidRPr="003D0F8D">
        <w:rPr>
          <w:rFonts w:eastAsia="SimSun"/>
          <w:lang w:eastAsia="en-US"/>
        </w:rPr>
        <w:t xml:space="preserve">rovisions and </w:t>
      </w:r>
      <w:r w:rsidR="00FF66D3" w:rsidRPr="003D0F8D">
        <w:rPr>
          <w:rFonts w:eastAsia="SimSun"/>
          <w:lang w:eastAsia="en-US"/>
        </w:rPr>
        <w:t>S</w:t>
      </w:r>
      <w:r w:rsidRPr="003D0F8D">
        <w:rPr>
          <w:rFonts w:eastAsia="SimSun"/>
          <w:lang w:eastAsia="en-US"/>
        </w:rPr>
        <w:t>cope</w:t>
      </w:r>
      <w:r w:rsidR="00FF66D3" w:rsidRPr="003D0F8D">
        <w:rPr>
          <w:rFonts w:eastAsia="SimSun"/>
          <w:lang w:eastAsia="en-US"/>
        </w:rPr>
        <w:t>) of Section 3.4</w:t>
      </w:r>
      <w:r w:rsidR="00430B95" w:rsidRPr="003D0F8D">
        <w:rPr>
          <w:rFonts w:eastAsia="SimSun"/>
          <w:lang w:eastAsia="en-US"/>
        </w:rPr>
        <w:t xml:space="preserve"> </w:t>
      </w:r>
      <w:r w:rsidR="00430B95" w:rsidRPr="003D0F8D">
        <w:t>(Entry and Temporary Stay of Natural Persons) of Chapter 3 (Services and Investment)</w:t>
      </w:r>
      <w:r w:rsidRPr="003D0F8D">
        <w:rPr>
          <w:rFonts w:eastAsia="SimSun"/>
          <w:lang w:eastAsia="en-US"/>
        </w:rPr>
        <w:t xml:space="preserve"> means measures prevailing in the sector and the place of activity in Liechtenstein provided by its law and collective agreements (with respect to remuneration, working hours, etc.).</w:t>
      </w:r>
    </w:p>
    <w:p w14:paraId="5152E29E" w14:textId="0F3BE804" w:rsidR="00E124D2" w:rsidRPr="003D0F8D" w:rsidRDefault="00E124D2" w:rsidP="0071663D">
      <w:pPr>
        <w:pStyle w:val="FTAtextlistedparagraphs"/>
        <w:numPr>
          <w:ilvl w:val="0"/>
          <w:numId w:val="0"/>
        </w:numPr>
        <w:ind w:left="1304"/>
        <w:rPr>
          <w:rFonts w:eastAsia="SimSun"/>
          <w:lang w:val="en-NZ"/>
        </w:rPr>
      </w:pPr>
      <w:r w:rsidRPr="003D0F8D">
        <w:rPr>
          <w:rFonts w:eastAsia="SimSun"/>
          <w:lang w:eastAsia="en-US"/>
        </w:rPr>
        <w:t>The permissible length of stay of IP is for a cumulative period of not more than eight days within any 90</w:t>
      </w:r>
      <w:r w:rsidR="00C715AF" w:rsidRPr="003D0F8D">
        <w:rPr>
          <w:rFonts w:eastAsia="SimSun"/>
          <w:lang w:eastAsia="en-US"/>
        </w:rPr>
        <w:t>-</w:t>
      </w:r>
      <w:r w:rsidRPr="003D0F8D">
        <w:rPr>
          <w:rFonts w:eastAsia="SimSun"/>
          <w:lang w:eastAsia="en-US"/>
        </w:rPr>
        <w:t>day period, with possible renewals of the same length of stay after such periods.</w:t>
      </w:r>
    </w:p>
    <w:p w14:paraId="49A94447" w14:textId="77777777" w:rsidR="005058CA" w:rsidRPr="003D0F8D" w:rsidRDefault="00E124D2" w:rsidP="0071663D">
      <w:pPr>
        <w:pStyle w:val="FTAtextlistedparagraphs"/>
        <w:numPr>
          <w:ilvl w:val="1"/>
          <w:numId w:val="5"/>
        </w:numPr>
        <w:rPr>
          <w:rFonts w:eastAsia="SimSun"/>
          <w:lang w:val="en-NZ"/>
        </w:rPr>
      </w:pPr>
      <w:r w:rsidRPr="003D0F8D">
        <w:t>In respect of Norway:</w:t>
      </w:r>
    </w:p>
    <w:p w14:paraId="29862E05" w14:textId="6B90B05B" w:rsidR="005058CA" w:rsidRPr="003D0F8D" w:rsidRDefault="00E124D2" w:rsidP="0071663D">
      <w:pPr>
        <w:pStyle w:val="FTAtextlistedparagraphs"/>
        <w:numPr>
          <w:ilvl w:val="0"/>
          <w:numId w:val="0"/>
        </w:numPr>
        <w:ind w:left="1304"/>
        <w:rPr>
          <w:rFonts w:eastAsia="SimSun"/>
          <w:lang w:val="en-NZ"/>
        </w:rPr>
      </w:pPr>
      <w:r w:rsidRPr="003D0F8D">
        <w:t xml:space="preserve">The natural person does not receive remuneration for the provision of services in Norway other than the remuneration paid by the enterprise employing the natural person. </w:t>
      </w:r>
      <w:r w:rsidRPr="003D0F8D">
        <w:rPr>
          <w:rFonts w:eastAsia="SimSun"/>
          <w:lang w:val="en-NZ" w:eastAsia="en-US"/>
        </w:rPr>
        <w:t xml:space="preserve">The commitment relates only to the services activity which is the subject of the contract. It does not entitle </w:t>
      </w:r>
      <w:r w:rsidR="008902C3" w:rsidRPr="003D0F8D">
        <w:rPr>
          <w:rFonts w:eastAsia="SimSun"/>
          <w:lang w:val="en-NZ" w:eastAsia="en-US"/>
        </w:rPr>
        <w:t xml:space="preserve">the natural person </w:t>
      </w:r>
      <w:r w:rsidRPr="003D0F8D">
        <w:rPr>
          <w:rFonts w:eastAsia="SimSun"/>
          <w:lang w:val="en-NZ" w:eastAsia="en-US"/>
        </w:rPr>
        <w:t>to exercise the profession as such. Residence permit is required.</w:t>
      </w:r>
    </w:p>
    <w:p w14:paraId="04FA3518" w14:textId="08268AD8" w:rsidR="005058CA" w:rsidRPr="003D0F8D" w:rsidRDefault="00E124D2" w:rsidP="0071663D">
      <w:pPr>
        <w:pStyle w:val="FTAtextlistedparagraphs"/>
        <w:numPr>
          <w:ilvl w:val="0"/>
          <w:numId w:val="0"/>
        </w:numPr>
        <w:ind w:left="1304"/>
        <w:rPr>
          <w:rFonts w:eastAsia="SimSun"/>
          <w:lang w:val="en-NZ"/>
        </w:rPr>
      </w:pPr>
      <w:r w:rsidRPr="003D0F8D">
        <w:rPr>
          <w:rFonts w:eastAsia="SimSun"/>
          <w:lang w:val="en-NZ" w:eastAsia="en-US"/>
        </w:rPr>
        <w:lastRenderedPageBreak/>
        <w:t>The natural person must be considered to be a higher-level skilled worker or to possess special qualifications, usually obtained through higher education.</w:t>
      </w:r>
    </w:p>
    <w:p w14:paraId="1201795A" w14:textId="6121DAFF" w:rsidR="005058CA" w:rsidRPr="003D0F8D" w:rsidRDefault="00E124D2" w:rsidP="0071663D">
      <w:pPr>
        <w:pStyle w:val="FTAtextlistedparagraphs"/>
        <w:numPr>
          <w:ilvl w:val="0"/>
          <w:numId w:val="0"/>
        </w:numPr>
        <w:ind w:left="1304"/>
        <w:rPr>
          <w:rFonts w:eastAsia="SimSun"/>
          <w:lang w:val="en-NZ"/>
        </w:rPr>
      </w:pPr>
      <w:r w:rsidRPr="003D0F8D">
        <w:rPr>
          <w:rFonts w:eastAsia="SimSun"/>
          <w:lang w:val="en-NZ" w:eastAsia="en-US"/>
        </w:rPr>
        <w:t>The competence of the natural person must be deemed necessary for the recipient of the service. If it is apparent that there will be a permanent need for such labour, or if during the last six months</w:t>
      </w:r>
      <w:r w:rsidR="005D230D" w:rsidRPr="003D0F8D">
        <w:rPr>
          <w:rFonts w:eastAsia="SimSun"/>
          <w:lang w:val="en-NZ" w:eastAsia="en-US"/>
        </w:rPr>
        <w:t>,</w:t>
      </w:r>
      <w:r w:rsidRPr="003D0F8D">
        <w:rPr>
          <w:rFonts w:eastAsia="SimSun"/>
          <w:lang w:val="en-NZ" w:eastAsia="en-US"/>
        </w:rPr>
        <w:t xml:space="preserve"> a permit has been issued for the performance of the same kind of work for the same recipient of the service, a permit shall not be granted. </w:t>
      </w:r>
    </w:p>
    <w:p w14:paraId="66F47DF0" w14:textId="09350F35" w:rsidR="00E124D2" w:rsidRPr="003D0F8D" w:rsidRDefault="00E124D2" w:rsidP="009041DA">
      <w:pPr>
        <w:pStyle w:val="FTAtextlistedparagraphs"/>
        <w:numPr>
          <w:ilvl w:val="0"/>
          <w:numId w:val="0"/>
        </w:numPr>
        <w:spacing w:after="0"/>
        <w:ind w:left="1304"/>
      </w:pPr>
      <w:r w:rsidRPr="003D0F8D">
        <w:t xml:space="preserve">The permissible length of stay of independent professionals is for a cumulative period of not more than </w:t>
      </w:r>
      <w:r w:rsidR="005D230D" w:rsidRPr="003D0F8D">
        <w:t>six</w:t>
      </w:r>
      <w:r w:rsidRPr="003D0F8D">
        <w:t xml:space="preserve"> months</w:t>
      </w:r>
      <w:r w:rsidRPr="003D0F8D">
        <w:rPr>
          <w:b/>
          <w:bCs/>
        </w:rPr>
        <w:t xml:space="preserve"> </w:t>
      </w:r>
      <w:r w:rsidRPr="003D0F8D">
        <w:t xml:space="preserve">in any </w:t>
      </w:r>
      <w:r w:rsidR="005D230D" w:rsidRPr="003D0F8D">
        <w:t>12</w:t>
      </w:r>
      <w:r w:rsidRPr="003D0F8D">
        <w:t>-month period or for the duration of the contract, whichever is less</w:t>
      </w:r>
      <w:r w:rsidR="005D230D" w:rsidRPr="003D0F8D">
        <w:t>.</w:t>
      </w:r>
    </w:p>
    <w:p w14:paraId="53951CF9" w14:textId="1A85698E" w:rsidR="009041DA" w:rsidRPr="003D0F8D" w:rsidRDefault="009041DA" w:rsidP="009041DA">
      <w:pPr>
        <w:pStyle w:val="FTAtextlistedparagraphs"/>
        <w:numPr>
          <w:ilvl w:val="0"/>
          <w:numId w:val="0"/>
        </w:numPr>
        <w:spacing w:after="0"/>
        <w:ind w:left="1304"/>
      </w:pPr>
    </w:p>
    <w:p w14:paraId="0B2F320C" w14:textId="5294274C" w:rsidR="009041DA" w:rsidRPr="003D0F8D" w:rsidRDefault="009041DA" w:rsidP="009041DA">
      <w:pPr>
        <w:pStyle w:val="FTAtextlistedparagraphs"/>
        <w:numPr>
          <w:ilvl w:val="0"/>
          <w:numId w:val="0"/>
        </w:numPr>
        <w:spacing w:after="0"/>
        <w:ind w:left="1304"/>
        <w:jc w:val="center"/>
        <w:rPr>
          <w:rFonts w:eastAsia="SimSun"/>
          <w:lang w:val="en-NZ"/>
        </w:rPr>
      </w:pPr>
      <w:r w:rsidRPr="003D0F8D">
        <w:rPr>
          <w:rFonts w:eastAsia="SimSun"/>
          <w:lang w:val="en-NZ"/>
        </w:rPr>
        <w:t>________________</w:t>
      </w:r>
    </w:p>
    <w:sectPr w:rsidR="009041DA" w:rsidRPr="003D0F8D" w:rsidSect="003D0F8D">
      <w:headerReference w:type="even" r:id="rId10"/>
      <w:headerReference w:type="default" r:id="rId11"/>
      <w:footerReference w:type="even" r:id="rId12"/>
      <w:footerReference w:type="default" r:id="rId13"/>
      <w:headerReference w:type="first" r:id="rId14"/>
      <w:footerReference w:type="first" r:id="rId15"/>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A29FA" w14:textId="77777777" w:rsidR="00BA1182" w:rsidRDefault="00BA1182" w:rsidP="00E124D2">
      <w:r>
        <w:separator/>
      </w:r>
    </w:p>
  </w:endnote>
  <w:endnote w:type="continuationSeparator" w:id="0">
    <w:p w14:paraId="152EF512" w14:textId="77777777" w:rsidR="00BA1182" w:rsidRDefault="00BA1182" w:rsidP="00E124D2">
      <w:r>
        <w:continuationSeparator/>
      </w:r>
    </w:p>
  </w:endnote>
  <w:endnote w:type="continuationNotice" w:id="1">
    <w:p w14:paraId="531DF861" w14:textId="77777777" w:rsidR="00BA1182" w:rsidRDefault="00BA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E98F" w14:textId="77777777" w:rsidR="009041DA" w:rsidRDefault="00904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736933"/>
      <w:docPartObj>
        <w:docPartGallery w:val="Page Numbers (Bottom of Page)"/>
        <w:docPartUnique/>
      </w:docPartObj>
    </w:sdtPr>
    <w:sdtEndPr>
      <w:rPr>
        <w:noProof/>
      </w:rPr>
    </w:sdtEndPr>
    <w:sdtContent>
      <w:p w14:paraId="6B5B3351" w14:textId="576D9A41" w:rsidR="009041DA" w:rsidRDefault="00904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F53C7" w14:textId="77777777" w:rsidR="009041DA" w:rsidRDefault="00904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92843"/>
      <w:docPartObj>
        <w:docPartGallery w:val="Page Numbers (Bottom of Page)"/>
        <w:docPartUnique/>
      </w:docPartObj>
    </w:sdtPr>
    <w:sdtEndPr>
      <w:rPr>
        <w:noProof/>
      </w:rPr>
    </w:sdtEndPr>
    <w:sdtContent>
      <w:p w14:paraId="3E739BAE" w14:textId="47116CCD" w:rsidR="003D0F8D" w:rsidRDefault="003D0F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6B505" w14:textId="77777777" w:rsidR="009041DA" w:rsidRDefault="00904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CC72A" w14:textId="77777777" w:rsidR="00BA1182" w:rsidRDefault="00BA1182" w:rsidP="00E124D2">
      <w:r>
        <w:separator/>
      </w:r>
    </w:p>
  </w:footnote>
  <w:footnote w:type="continuationSeparator" w:id="0">
    <w:p w14:paraId="2C186208" w14:textId="77777777" w:rsidR="00BA1182" w:rsidRDefault="00BA1182" w:rsidP="00E124D2">
      <w:r>
        <w:continuationSeparator/>
      </w:r>
    </w:p>
  </w:footnote>
  <w:footnote w:type="continuationNotice" w:id="1">
    <w:p w14:paraId="41E9C64D" w14:textId="77777777" w:rsidR="00BA1182" w:rsidRDefault="00BA1182">
      <w:pPr>
        <w:spacing w:after="0" w:line="240" w:lineRule="auto"/>
      </w:pPr>
    </w:p>
  </w:footnote>
  <w:footnote w:id="2">
    <w:p w14:paraId="148D62F7" w14:textId="187E366F" w:rsidR="00E124D2" w:rsidRDefault="00E124D2" w:rsidP="00282D92">
      <w:pPr>
        <w:pStyle w:val="footnoteFTA"/>
      </w:pPr>
      <w:r>
        <w:rPr>
          <w:rStyle w:val="FootnoteReference"/>
          <w:sz w:val="18"/>
          <w:szCs w:val="18"/>
        </w:rPr>
        <w:footnoteRef/>
      </w:r>
      <w:r>
        <w:t xml:space="preserve"> </w:t>
      </w:r>
      <w:r w:rsidR="00282D92">
        <w:tab/>
      </w:r>
      <w:r>
        <w:t>Professional experience shall be obtained after having reached the age of majority.</w:t>
      </w:r>
    </w:p>
  </w:footnote>
  <w:footnote w:id="3">
    <w:p w14:paraId="3305E425" w14:textId="2393CB1C" w:rsidR="007334B9" w:rsidRDefault="007334B9" w:rsidP="007334B9">
      <w:pPr>
        <w:pStyle w:val="footnoteFTA"/>
      </w:pPr>
      <w:r>
        <w:rPr>
          <w:rStyle w:val="FootnoteReference"/>
          <w:sz w:val="18"/>
          <w:szCs w:val="18"/>
        </w:rPr>
        <w:footnoteRef/>
      </w:r>
      <w:r>
        <w:t xml:space="preserve"> </w:t>
      </w:r>
      <w:r>
        <w:tab/>
        <w:t>Where the degree or qualification has not been obtained in the United Kingdom, the United Kingdom may evaluate whether this is equivalent to a university degree required in the United Kingdom.</w:t>
      </w:r>
    </w:p>
  </w:footnote>
  <w:footnote w:id="4">
    <w:p w14:paraId="00AA1B6C" w14:textId="633E2293" w:rsidR="00E124D2" w:rsidRDefault="00E124D2" w:rsidP="00282D92">
      <w:pPr>
        <w:pStyle w:val="footnoteFTA"/>
      </w:pPr>
      <w:r>
        <w:rPr>
          <w:rStyle w:val="FootnoteReference"/>
          <w:sz w:val="18"/>
          <w:szCs w:val="18"/>
        </w:rPr>
        <w:footnoteRef/>
      </w:r>
      <w:r>
        <w:t xml:space="preserve"> </w:t>
      </w:r>
      <w:r w:rsidR="00282D92">
        <w:tab/>
      </w:r>
      <w:r>
        <w:t xml:space="preserve">Where the degree or qualification has not been obtained in the United Kingdom, the United Kingdom may evaluate whether this is equivalent to a university degree required in </w:t>
      </w:r>
      <w:r w:rsidR="00DC1F62">
        <w:t>the United Kingdom</w:t>
      </w:r>
      <w:r>
        <w:t>.</w:t>
      </w:r>
    </w:p>
  </w:footnote>
  <w:footnote w:id="5">
    <w:p w14:paraId="18EAB90E" w14:textId="3774D78E" w:rsidR="00E124D2" w:rsidRDefault="00E124D2" w:rsidP="00282D92">
      <w:pPr>
        <w:pStyle w:val="footnoteFTA"/>
      </w:pPr>
      <w:r>
        <w:rPr>
          <w:rStyle w:val="FootnoteReference"/>
          <w:sz w:val="18"/>
          <w:szCs w:val="18"/>
        </w:rPr>
        <w:footnoteRef/>
      </w:r>
      <w:r>
        <w:t xml:space="preserve"> </w:t>
      </w:r>
      <w:r w:rsidR="00282D92">
        <w:tab/>
      </w:r>
      <w:r>
        <w:t>Taxation advisory services does not include legal advisory and legal representational services on tax matters, which are under legal advisory services in respect of public international law and foreign law.</w:t>
      </w:r>
    </w:p>
  </w:footnote>
  <w:footnote w:id="6">
    <w:p w14:paraId="7FCA181D" w14:textId="03E06035" w:rsidR="00E124D2" w:rsidRDefault="00E124D2" w:rsidP="00282D92">
      <w:pPr>
        <w:pStyle w:val="footnoteFTA"/>
      </w:pPr>
      <w:r>
        <w:rPr>
          <w:rStyle w:val="FootnoteReference"/>
          <w:sz w:val="18"/>
          <w:szCs w:val="18"/>
        </w:rPr>
        <w:footnoteRef/>
      </w:r>
      <w:r>
        <w:t xml:space="preserve"> </w:t>
      </w:r>
      <w:r w:rsidR="00282D92">
        <w:tab/>
      </w:r>
      <w:r>
        <w:t xml:space="preserve">Part of CPC 85201, which is under medical and dental services. </w:t>
      </w:r>
    </w:p>
  </w:footnote>
  <w:footnote w:id="7">
    <w:p w14:paraId="070C0790" w14:textId="51D78182" w:rsidR="00E124D2" w:rsidRDefault="00E124D2" w:rsidP="00282D92">
      <w:pPr>
        <w:pStyle w:val="footnoteFTA"/>
      </w:pPr>
      <w:r>
        <w:rPr>
          <w:rStyle w:val="FootnoteReference"/>
          <w:sz w:val="18"/>
          <w:szCs w:val="18"/>
        </w:rPr>
        <w:footnoteRef/>
      </w:r>
      <w:r>
        <w:t xml:space="preserve"> </w:t>
      </w:r>
      <w:r w:rsidR="00282D92">
        <w:tab/>
      </w:r>
      <w:r>
        <w:t xml:space="preserve">Maintenance and repair services of office machinery and equipment including computers (CPC 845) are under computer services. </w:t>
      </w:r>
    </w:p>
  </w:footnote>
  <w:footnote w:id="8">
    <w:p w14:paraId="738AD449" w14:textId="5390312A" w:rsidR="00E124D2" w:rsidRDefault="00E124D2" w:rsidP="00282D92">
      <w:pPr>
        <w:pStyle w:val="footnoteFTA"/>
      </w:pPr>
      <w:r>
        <w:rPr>
          <w:rStyle w:val="FootnoteReference"/>
          <w:sz w:val="18"/>
          <w:szCs w:val="18"/>
        </w:rPr>
        <w:footnoteRef/>
      </w:r>
      <w:r>
        <w:t xml:space="preserve"> </w:t>
      </w:r>
      <w:r w:rsidR="00282D92">
        <w:tab/>
      </w:r>
      <w:r>
        <w:t xml:space="preserve">Services suppliers whose function is to accompany a tour group of a minimum of 10 natural persons, without acting as guides in specific locations.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E518" w14:textId="77777777" w:rsidR="009041DA" w:rsidRDefault="00904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1F99" w14:textId="77777777" w:rsidR="009041DA" w:rsidRDefault="00904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6A09A" w14:textId="77777777" w:rsidR="009041DA" w:rsidRDefault="00904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2" w15:restartNumberingAfterBreak="0">
    <w:nsid w:val="2BE2303F"/>
    <w:multiLevelType w:val="hybridMultilevel"/>
    <w:tmpl w:val="3C585FF8"/>
    <w:lvl w:ilvl="0" w:tplc="B692B182">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3"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47A41619"/>
    <w:multiLevelType w:val="hybridMultilevel"/>
    <w:tmpl w:val="E022FF24"/>
    <w:lvl w:ilvl="0" w:tplc="A38A5226">
      <w:start w:val="1"/>
      <w:numFmt w:val="lowerLetter"/>
      <w:lvlText w:val="(%1)"/>
      <w:lvlJc w:val="left"/>
      <w:pPr>
        <w:ind w:left="734" w:hanging="450"/>
      </w:pPr>
      <w:rPr>
        <w:rFonts w:eastAsia="Times New Roman"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 w15:restartNumberingAfterBreak="0">
    <w:nsid w:val="7D1854EF"/>
    <w:multiLevelType w:val="hybridMultilevel"/>
    <w:tmpl w:val="30E09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4D2"/>
    <w:rsid w:val="00024A98"/>
    <w:rsid w:val="0003101A"/>
    <w:rsid w:val="000326D4"/>
    <w:rsid w:val="0004461B"/>
    <w:rsid w:val="0008662E"/>
    <w:rsid w:val="000A35E8"/>
    <w:rsid w:val="000A54BC"/>
    <w:rsid w:val="000C4CE0"/>
    <w:rsid w:val="0012551A"/>
    <w:rsid w:val="001269F0"/>
    <w:rsid w:val="00147E4A"/>
    <w:rsid w:val="00155EEF"/>
    <w:rsid w:val="001602DB"/>
    <w:rsid w:val="00186533"/>
    <w:rsid w:val="00197977"/>
    <w:rsid w:val="001A30B2"/>
    <w:rsid w:val="001A7733"/>
    <w:rsid w:val="001A79F5"/>
    <w:rsid w:val="001C544D"/>
    <w:rsid w:val="001C7CCB"/>
    <w:rsid w:val="001D0DC7"/>
    <w:rsid w:val="001D72EB"/>
    <w:rsid w:val="001E1DC5"/>
    <w:rsid w:val="00212CB2"/>
    <w:rsid w:val="002159F6"/>
    <w:rsid w:val="0022104C"/>
    <w:rsid w:val="00223203"/>
    <w:rsid w:val="00251073"/>
    <w:rsid w:val="00256112"/>
    <w:rsid w:val="00262226"/>
    <w:rsid w:val="00264790"/>
    <w:rsid w:val="002813AA"/>
    <w:rsid w:val="00282D92"/>
    <w:rsid w:val="0029222B"/>
    <w:rsid w:val="002B152A"/>
    <w:rsid w:val="002C1672"/>
    <w:rsid w:val="002D2057"/>
    <w:rsid w:val="002D75AB"/>
    <w:rsid w:val="00301544"/>
    <w:rsid w:val="003032BA"/>
    <w:rsid w:val="003351BF"/>
    <w:rsid w:val="0035119B"/>
    <w:rsid w:val="00377102"/>
    <w:rsid w:val="003841BD"/>
    <w:rsid w:val="003A2BA3"/>
    <w:rsid w:val="003A3174"/>
    <w:rsid w:val="003B1C2A"/>
    <w:rsid w:val="003C616B"/>
    <w:rsid w:val="003D0F8D"/>
    <w:rsid w:val="003F6EAD"/>
    <w:rsid w:val="00430B95"/>
    <w:rsid w:val="00430E15"/>
    <w:rsid w:val="004312B0"/>
    <w:rsid w:val="0046003A"/>
    <w:rsid w:val="004646B0"/>
    <w:rsid w:val="004746CA"/>
    <w:rsid w:val="004865BD"/>
    <w:rsid w:val="00490083"/>
    <w:rsid w:val="004A384C"/>
    <w:rsid w:val="004B41C8"/>
    <w:rsid w:val="004D192F"/>
    <w:rsid w:val="004F3E44"/>
    <w:rsid w:val="004F572E"/>
    <w:rsid w:val="004F7594"/>
    <w:rsid w:val="005058CA"/>
    <w:rsid w:val="005138DD"/>
    <w:rsid w:val="0052452C"/>
    <w:rsid w:val="005315BE"/>
    <w:rsid w:val="0054191F"/>
    <w:rsid w:val="00547391"/>
    <w:rsid w:val="005477BF"/>
    <w:rsid w:val="00587F02"/>
    <w:rsid w:val="005B038D"/>
    <w:rsid w:val="005B73ED"/>
    <w:rsid w:val="005C629C"/>
    <w:rsid w:val="005D230D"/>
    <w:rsid w:val="005F0471"/>
    <w:rsid w:val="005F1FD5"/>
    <w:rsid w:val="005F3E28"/>
    <w:rsid w:val="005F6289"/>
    <w:rsid w:val="006028E2"/>
    <w:rsid w:val="00622B1F"/>
    <w:rsid w:val="006238E9"/>
    <w:rsid w:val="00627BE0"/>
    <w:rsid w:val="00647C19"/>
    <w:rsid w:val="0065492A"/>
    <w:rsid w:val="006754C4"/>
    <w:rsid w:val="00682DFE"/>
    <w:rsid w:val="0069620D"/>
    <w:rsid w:val="006C7DA3"/>
    <w:rsid w:val="006E7873"/>
    <w:rsid w:val="006F270C"/>
    <w:rsid w:val="00704BC0"/>
    <w:rsid w:val="00705BE7"/>
    <w:rsid w:val="0071663D"/>
    <w:rsid w:val="0071758A"/>
    <w:rsid w:val="007334B9"/>
    <w:rsid w:val="007460E7"/>
    <w:rsid w:val="0075468E"/>
    <w:rsid w:val="00761D6E"/>
    <w:rsid w:val="0077743E"/>
    <w:rsid w:val="007826D6"/>
    <w:rsid w:val="007A0BA9"/>
    <w:rsid w:val="007D488B"/>
    <w:rsid w:val="007F1889"/>
    <w:rsid w:val="007F7C0F"/>
    <w:rsid w:val="007F7F48"/>
    <w:rsid w:val="008202FA"/>
    <w:rsid w:val="008544BF"/>
    <w:rsid w:val="00861FB9"/>
    <w:rsid w:val="008902C3"/>
    <w:rsid w:val="008A0EA9"/>
    <w:rsid w:val="008C209F"/>
    <w:rsid w:val="008C5608"/>
    <w:rsid w:val="008E7E7B"/>
    <w:rsid w:val="008F1E89"/>
    <w:rsid w:val="008F6E3C"/>
    <w:rsid w:val="009041DA"/>
    <w:rsid w:val="0091670A"/>
    <w:rsid w:val="00916D4F"/>
    <w:rsid w:val="00935AC5"/>
    <w:rsid w:val="00970F2F"/>
    <w:rsid w:val="00986F98"/>
    <w:rsid w:val="009C36F2"/>
    <w:rsid w:val="009C4F72"/>
    <w:rsid w:val="009C7D4D"/>
    <w:rsid w:val="009D2234"/>
    <w:rsid w:val="009D2E7B"/>
    <w:rsid w:val="00A05B29"/>
    <w:rsid w:val="00A06043"/>
    <w:rsid w:val="00A07C03"/>
    <w:rsid w:val="00A1599E"/>
    <w:rsid w:val="00A34747"/>
    <w:rsid w:val="00A65949"/>
    <w:rsid w:val="00A75C82"/>
    <w:rsid w:val="00A82BA9"/>
    <w:rsid w:val="00A979EC"/>
    <w:rsid w:val="00AB157B"/>
    <w:rsid w:val="00AC0112"/>
    <w:rsid w:val="00AC1FBC"/>
    <w:rsid w:val="00AC6985"/>
    <w:rsid w:val="00AC7421"/>
    <w:rsid w:val="00AD079F"/>
    <w:rsid w:val="00AD3871"/>
    <w:rsid w:val="00AF1383"/>
    <w:rsid w:val="00AF39A6"/>
    <w:rsid w:val="00AF65B9"/>
    <w:rsid w:val="00AF7EFC"/>
    <w:rsid w:val="00B557EF"/>
    <w:rsid w:val="00B80F6B"/>
    <w:rsid w:val="00B82243"/>
    <w:rsid w:val="00BA0957"/>
    <w:rsid w:val="00BA1182"/>
    <w:rsid w:val="00BB2AC2"/>
    <w:rsid w:val="00BB6A23"/>
    <w:rsid w:val="00BE61A1"/>
    <w:rsid w:val="00BF6290"/>
    <w:rsid w:val="00BF6E90"/>
    <w:rsid w:val="00C11069"/>
    <w:rsid w:val="00C46DE1"/>
    <w:rsid w:val="00C4748A"/>
    <w:rsid w:val="00C715AF"/>
    <w:rsid w:val="00CE6187"/>
    <w:rsid w:val="00CF6E7F"/>
    <w:rsid w:val="00D11061"/>
    <w:rsid w:val="00D22D5E"/>
    <w:rsid w:val="00D412F6"/>
    <w:rsid w:val="00D5396C"/>
    <w:rsid w:val="00D543C7"/>
    <w:rsid w:val="00D55020"/>
    <w:rsid w:val="00D76AC3"/>
    <w:rsid w:val="00D80933"/>
    <w:rsid w:val="00D959C4"/>
    <w:rsid w:val="00DA36D7"/>
    <w:rsid w:val="00DC1F62"/>
    <w:rsid w:val="00DF1F96"/>
    <w:rsid w:val="00E124D2"/>
    <w:rsid w:val="00E1400B"/>
    <w:rsid w:val="00E22A30"/>
    <w:rsid w:val="00E23121"/>
    <w:rsid w:val="00E249A1"/>
    <w:rsid w:val="00E40A68"/>
    <w:rsid w:val="00E52F07"/>
    <w:rsid w:val="00E73B27"/>
    <w:rsid w:val="00E74CE0"/>
    <w:rsid w:val="00EB62EE"/>
    <w:rsid w:val="00EB79B3"/>
    <w:rsid w:val="00EC0A26"/>
    <w:rsid w:val="00EC0E62"/>
    <w:rsid w:val="00EE1972"/>
    <w:rsid w:val="00EF22A5"/>
    <w:rsid w:val="00EF7B06"/>
    <w:rsid w:val="00F122E1"/>
    <w:rsid w:val="00F45EF0"/>
    <w:rsid w:val="00F61FA7"/>
    <w:rsid w:val="00F65689"/>
    <w:rsid w:val="00F827C0"/>
    <w:rsid w:val="00F94A69"/>
    <w:rsid w:val="00FA4772"/>
    <w:rsid w:val="00FB1BFA"/>
    <w:rsid w:val="00FB1E7F"/>
    <w:rsid w:val="00FB2AAB"/>
    <w:rsid w:val="00FB7660"/>
    <w:rsid w:val="00FC1645"/>
    <w:rsid w:val="00FF66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CEDD0"/>
  <w15:docId w15:val="{287C893A-847F-44F9-A3CB-5C397FB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CA"/>
    <w:pPr>
      <w:spacing w:after="180" w:line="260" w:lineRule="atLeast"/>
    </w:pPr>
    <w:rPr>
      <w:rFonts w:ascii="Times New Roman" w:hAnsi="Times New Roman" w:cs="Times New Roman"/>
      <w:sz w:val="24"/>
      <w:szCs w:val="16"/>
      <w:lang w:val="en-GB"/>
    </w:rPr>
  </w:style>
  <w:style w:type="paragraph" w:styleId="Heading1">
    <w:name w:val="heading 1"/>
    <w:basedOn w:val="Normal"/>
    <w:next w:val="Normal"/>
    <w:link w:val="Heading1Char"/>
    <w:uiPriority w:val="9"/>
    <w:rsid w:val="005058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05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8C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058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5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8CA"/>
    <w:rPr>
      <w:rFonts w:ascii="Times New Roman" w:hAnsi="Times New Roman" w:cs="Times New Roman"/>
      <w:sz w:val="20"/>
      <w:szCs w:val="20"/>
      <w:lang w:val="en-GB"/>
    </w:rPr>
  </w:style>
  <w:style w:type="character" w:styleId="FootnoteReference">
    <w:name w:val="footnote reference"/>
    <w:basedOn w:val="DefaultParagraphFont"/>
    <w:link w:val="CharChar6CharCharCharCharCharChar"/>
    <w:uiPriority w:val="99"/>
    <w:unhideWhenUsed/>
    <w:rsid w:val="005058CA"/>
    <w:rPr>
      <w:vertAlign w:val="superscript"/>
    </w:rPr>
  </w:style>
  <w:style w:type="paragraph" w:customStyle="1" w:styleId="CharChar6CharCharCharCharCharChar">
    <w:name w:val="Char Char6 Char Char Char Char Char Char"/>
    <w:aliases w:val="Char6 Char Char Char Char Char Char Char"/>
    <w:basedOn w:val="Normal"/>
    <w:link w:val="FootnoteReference"/>
    <w:uiPriority w:val="99"/>
    <w:rsid w:val="00E124D2"/>
    <w:pPr>
      <w:spacing w:line="360" w:lineRule="auto"/>
      <w:jc w:val="center"/>
    </w:pPr>
    <w:rPr>
      <w:rFonts w:ascii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505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CA"/>
    <w:rPr>
      <w:rFonts w:ascii="Segoe UI" w:hAnsi="Segoe UI" w:cs="Segoe UI"/>
      <w:sz w:val="18"/>
      <w:szCs w:val="18"/>
      <w:lang w:val="en-GB"/>
    </w:rPr>
  </w:style>
  <w:style w:type="paragraph" w:styleId="ListParagraph">
    <w:name w:val="List Paragraph"/>
    <w:aliases w:val="List Paragraph3,No Spacing1,Párrafo de lista,Recommendatio,List Paragraph11,L,Dot pt,List Paragraph Char Char Char,Indicator Text,Numbered Para 1,List Paragraph1,Bullet 1,Bullet Points,MAIN CONTENT,F5 List Paragraph,List Paragraph12,2"/>
    <w:basedOn w:val="Normal"/>
    <w:link w:val="ListParagraphChar"/>
    <w:uiPriority w:val="34"/>
    <w:qFormat/>
    <w:rsid w:val="00E124D2"/>
    <w:pPr>
      <w:ind w:left="720"/>
      <w:contextualSpacing/>
    </w:pPr>
  </w:style>
  <w:style w:type="character" w:customStyle="1" w:styleId="ListParagraphChar">
    <w:name w:val="List Paragraph Char"/>
    <w:aliases w:val="List Paragraph3 Char,No Spacing1 Char,Párrafo de lista Char,Recommendatio Char,List Paragraph11 Char,L Char,Dot pt Char,List Paragraph Char Char Char Char,Indicator Text Char,Numbered Para 1 Char,List Paragraph1 Char,Bullet 1 Char"/>
    <w:basedOn w:val="DefaultParagraphFont"/>
    <w:link w:val="ListParagraph"/>
    <w:uiPriority w:val="34"/>
    <w:locked/>
    <w:rsid w:val="00E124D2"/>
    <w:rPr>
      <w:rFonts w:ascii="Times New Roman" w:eastAsia="Times New Roman" w:hAnsi="Times New Roman" w:cs="Times New Roman"/>
      <w:sz w:val="24"/>
      <w:szCs w:val="24"/>
      <w:lang w:val="en-GB" w:eastAsia="en-GB"/>
    </w:rPr>
  </w:style>
  <w:style w:type="paragraph" w:customStyle="1" w:styleId="ANNEXIRomanREFTITLE">
    <w:name w:val="ANNEX I  (Roman)+ REF + TITLE"/>
    <w:basedOn w:val="Normal"/>
    <w:link w:val="ANNEXIRomanREFTITLEChar"/>
    <w:autoRedefine/>
    <w:qFormat/>
    <w:rsid w:val="005058CA"/>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5058CA"/>
    <w:rPr>
      <w:rFonts w:ascii="Times New Roman" w:hAnsi="Times New Roman" w:cs="Times New Roman"/>
      <w:sz w:val="24"/>
      <w:szCs w:val="16"/>
      <w:u w:val="single"/>
      <w:lang w:val="en-GB"/>
    </w:rPr>
  </w:style>
  <w:style w:type="paragraph" w:customStyle="1" w:styleId="AnnexSectiontitle">
    <w:name w:val="Annex Section title"/>
    <w:rsid w:val="005058CA"/>
    <w:pPr>
      <w:spacing w:before="240" w:after="400"/>
      <w:jc w:val="center"/>
    </w:pPr>
    <w:rPr>
      <w:rFonts w:ascii="Times New Roman Bold" w:hAnsi="Times New Roman Bold" w:cs="Times New Roman"/>
      <w:b/>
      <w:bCs/>
      <w:caps/>
      <w:sz w:val="24"/>
      <w:szCs w:val="16"/>
      <w:lang w:val="en-GB"/>
    </w:rPr>
  </w:style>
  <w:style w:type="paragraph" w:customStyle="1" w:styleId="ANNEXSECTIONNUMBERRoman">
    <w:name w:val="ANNEX SECTION NUMBER (Roman)"/>
    <w:basedOn w:val="AnnexSectiontitle"/>
    <w:autoRedefine/>
    <w:qFormat/>
    <w:rsid w:val="005058CA"/>
    <w:pPr>
      <w:spacing w:after="240" w:line="240" w:lineRule="auto"/>
    </w:pPr>
  </w:style>
  <w:style w:type="character" w:customStyle="1" w:styleId="Heading2Char">
    <w:name w:val="Heading 2 Char"/>
    <w:basedOn w:val="DefaultParagraphFont"/>
    <w:link w:val="Heading2"/>
    <w:uiPriority w:val="9"/>
    <w:semiHidden/>
    <w:rsid w:val="005058CA"/>
    <w:rPr>
      <w:rFonts w:asciiTheme="majorHAnsi" w:eastAsiaTheme="majorEastAsia" w:hAnsiTheme="majorHAnsi" w:cstheme="majorBidi"/>
      <w:color w:val="2F5496" w:themeColor="accent1" w:themeShade="BF"/>
      <w:sz w:val="26"/>
      <w:szCs w:val="26"/>
      <w:lang w:val="en-GB"/>
    </w:rPr>
  </w:style>
  <w:style w:type="paragraph" w:customStyle="1" w:styleId="ArticlenumberArabic">
    <w:name w:val="Article number (Arabic)"/>
    <w:basedOn w:val="Heading2"/>
    <w:link w:val="ArticlenumberArabicChar"/>
    <w:autoRedefine/>
    <w:qFormat/>
    <w:rsid w:val="005058CA"/>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5058CA"/>
    <w:rPr>
      <w:rFonts w:ascii="Times New Roman" w:eastAsia="Times New Roman" w:hAnsi="Times New Roman" w:cstheme="majorBidi"/>
      <w:smallCaps/>
      <w:sz w:val="24"/>
      <w:szCs w:val="26"/>
      <w:lang w:val="en-GB" w:eastAsia="es-ES"/>
    </w:rPr>
  </w:style>
  <w:style w:type="paragraph" w:customStyle="1" w:styleId="AppendixArticlenumberarabic">
    <w:name w:val="Appendix Article number (arabic)"/>
    <w:basedOn w:val="ArticlenumberArabic"/>
    <w:next w:val="Normal"/>
    <w:autoRedefine/>
    <w:qFormat/>
    <w:rsid w:val="005058CA"/>
  </w:style>
  <w:style w:type="paragraph" w:customStyle="1" w:styleId="Appendixnumberarabicreference">
    <w:name w:val="Appendix number (arabic) &amp; reference"/>
    <w:basedOn w:val="Normal"/>
    <w:autoRedefine/>
    <w:qFormat/>
    <w:rsid w:val="000326D4"/>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5058CA"/>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5058CA"/>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5058CA"/>
    <w:rPr>
      <w:rFonts w:ascii="Times New Roman" w:eastAsia="Times New Roman" w:hAnsi="Times New Roman" w:cstheme="majorBidi"/>
      <w:b/>
      <w:i/>
      <w:sz w:val="24"/>
      <w:szCs w:val="26"/>
      <w:lang w:val="en-GB" w:eastAsia="es-ES"/>
    </w:rPr>
  </w:style>
  <w:style w:type="paragraph" w:customStyle="1" w:styleId="CoverpageAnnexIRoman">
    <w:name w:val="Cover page Annex I (Roman)"/>
    <w:basedOn w:val="Normal"/>
    <w:autoRedefine/>
    <w:qFormat/>
    <w:rsid w:val="005058CA"/>
    <w:pPr>
      <w:spacing w:before="240" w:after="420"/>
      <w:jc w:val="center"/>
    </w:pPr>
    <w:rPr>
      <w:rFonts w:ascii="Times New Roman Bold" w:hAnsi="Times New Roman Bold"/>
      <w:b/>
      <w:bCs/>
      <w:caps/>
      <w:sz w:val="32"/>
      <w:szCs w:val="20"/>
    </w:rPr>
  </w:style>
  <w:style w:type="character" w:customStyle="1" w:styleId="Heading1Char">
    <w:name w:val="Heading 1 Char"/>
    <w:basedOn w:val="DefaultParagraphFont"/>
    <w:link w:val="Heading1"/>
    <w:uiPriority w:val="9"/>
    <w:rsid w:val="005058CA"/>
    <w:rPr>
      <w:rFonts w:asciiTheme="majorHAnsi" w:eastAsiaTheme="majorEastAsia" w:hAnsiTheme="majorHAnsi" w:cstheme="majorBidi"/>
      <w:color w:val="2F5496" w:themeColor="accent1" w:themeShade="BF"/>
      <w:sz w:val="32"/>
      <w:szCs w:val="32"/>
      <w:lang w:val="en-GB"/>
    </w:rPr>
  </w:style>
  <w:style w:type="paragraph" w:customStyle="1" w:styleId="MainagreementchapternoArabictitle">
    <w:name w:val="Main agreement chapter no (Arabic) + title"/>
    <w:basedOn w:val="Heading1"/>
    <w:link w:val="MainagreementchapternoArabictitleChar"/>
    <w:autoRedefine/>
    <w:qFormat/>
    <w:rsid w:val="005058CA"/>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5058CA"/>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5058CA"/>
    <w:rPr>
      <w:b w:val="0"/>
      <w:sz w:val="28"/>
    </w:rPr>
  </w:style>
  <w:style w:type="character" w:customStyle="1" w:styleId="CoverpageannexreftitleChar">
    <w:name w:val="Cover page annex ref + title Char"/>
    <w:basedOn w:val="MainagreementchapternoArabictitleChar"/>
    <w:link w:val="Coverpageannexreftitle"/>
    <w:rsid w:val="005058CA"/>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505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8CA"/>
    <w:rPr>
      <w:rFonts w:ascii="Times New Roman" w:hAnsi="Times New Roman" w:cs="Times New Roman"/>
      <w:sz w:val="24"/>
      <w:szCs w:val="16"/>
      <w:lang w:val="en-GB"/>
    </w:rPr>
  </w:style>
  <w:style w:type="paragraph" w:customStyle="1" w:styleId="footnoteFTA">
    <w:name w:val="footnote FTA"/>
    <w:basedOn w:val="Normal"/>
    <w:link w:val="footnoteFTAChar"/>
    <w:autoRedefine/>
    <w:qFormat/>
    <w:rsid w:val="00282D92"/>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282D92"/>
    <w:rPr>
      <w:rFonts w:ascii="Times New Roman" w:eastAsia="Batang" w:hAnsi="Times New Roman"/>
      <w:sz w:val="20"/>
      <w:szCs w:val="20"/>
      <w:lang w:val="en-GB" w:eastAsia="zh-TW"/>
    </w:rPr>
  </w:style>
  <w:style w:type="paragraph" w:customStyle="1" w:styleId="FTAAnnexTabletitle">
    <w:name w:val="FTA Annex Table title"/>
    <w:basedOn w:val="Normal"/>
    <w:autoRedefine/>
    <w:qFormat/>
    <w:rsid w:val="00AF1383"/>
    <w:pPr>
      <w:spacing w:before="480" w:after="420"/>
      <w:jc w:val="center"/>
    </w:pPr>
    <w:rPr>
      <w:u w:val="single"/>
    </w:rPr>
  </w:style>
  <w:style w:type="paragraph" w:customStyle="1" w:styleId="FTAAppendixArticleTitle">
    <w:name w:val="FTA Appendix Article Title"/>
    <w:basedOn w:val="Normal"/>
    <w:next w:val="Normal"/>
    <w:autoRedefine/>
    <w:qFormat/>
    <w:rsid w:val="005058CA"/>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5058CA"/>
    <w:rPr>
      <w:sz w:val="28"/>
    </w:rPr>
  </w:style>
  <w:style w:type="character" w:customStyle="1" w:styleId="FTAPreambletitleChar">
    <w:name w:val="FTA Preamble title Char"/>
    <w:basedOn w:val="MainagreementchapternoArabictitleChar"/>
    <w:link w:val="FTAPreambletitle"/>
    <w:rsid w:val="005058CA"/>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5058CA"/>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5058CA"/>
    <w:rPr>
      <w:rFonts w:ascii="Times New Roman" w:eastAsia="Batang" w:hAnsi="Times New Roman" w:cs="Times New Roman"/>
      <w:sz w:val="24"/>
      <w:szCs w:val="24"/>
      <w:u w:color="000000"/>
      <w:lang w:val="en-GB" w:eastAsia="zh-TW"/>
    </w:rPr>
  </w:style>
  <w:style w:type="numbering" w:customStyle="1" w:styleId="FTAtextlist">
    <w:name w:val="FTA text list"/>
    <w:uiPriority w:val="99"/>
    <w:rsid w:val="005058CA"/>
    <w:pPr>
      <w:numPr>
        <w:numId w:val="3"/>
      </w:numPr>
    </w:pPr>
  </w:style>
  <w:style w:type="paragraph" w:customStyle="1" w:styleId="FTAtextlistedparagraphs">
    <w:name w:val="FTA text listed (paragraphs)"/>
    <w:basedOn w:val="FTAtext"/>
    <w:qFormat/>
    <w:rsid w:val="005058CA"/>
    <w:pPr>
      <w:numPr>
        <w:numId w:val="4"/>
      </w:numPr>
    </w:pPr>
  </w:style>
  <w:style w:type="paragraph" w:customStyle="1" w:styleId="FTAtitle">
    <w:name w:val="FTA title"/>
    <w:basedOn w:val="Heading1"/>
    <w:link w:val="FTAtitleChar"/>
    <w:qFormat/>
    <w:rsid w:val="005058CA"/>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5058CA"/>
    <w:rPr>
      <w:rFonts w:ascii="Times New Roman" w:eastAsia="Times New Roman" w:hAnsi="Times New Roman" w:cstheme="majorBidi"/>
      <w:caps/>
      <w:sz w:val="44"/>
      <w:szCs w:val="26"/>
      <w:lang w:val="en-GB" w:eastAsia="es-ES"/>
    </w:rPr>
  </w:style>
  <w:style w:type="paragraph" w:styleId="Header">
    <w:name w:val="header"/>
    <w:basedOn w:val="Normal"/>
    <w:link w:val="HeaderChar"/>
    <w:unhideWhenUsed/>
    <w:rsid w:val="005058CA"/>
    <w:pPr>
      <w:tabs>
        <w:tab w:val="center" w:pos="4513"/>
        <w:tab w:val="right" w:pos="9026"/>
      </w:tabs>
      <w:spacing w:after="0" w:line="240" w:lineRule="auto"/>
    </w:pPr>
  </w:style>
  <w:style w:type="character" w:customStyle="1" w:styleId="HeaderChar">
    <w:name w:val="Header Char"/>
    <w:basedOn w:val="DefaultParagraphFont"/>
    <w:link w:val="Header"/>
    <w:rsid w:val="005058CA"/>
    <w:rPr>
      <w:rFonts w:ascii="Times New Roman" w:hAnsi="Times New Roman" w:cs="Times New Roman"/>
      <w:sz w:val="24"/>
      <w:szCs w:val="16"/>
      <w:lang w:val="en-GB"/>
    </w:rPr>
  </w:style>
  <w:style w:type="character" w:customStyle="1" w:styleId="Heading3Char">
    <w:name w:val="Heading 3 Char"/>
    <w:basedOn w:val="DefaultParagraphFont"/>
    <w:link w:val="Heading3"/>
    <w:uiPriority w:val="9"/>
    <w:semiHidden/>
    <w:rsid w:val="005058CA"/>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5058CA"/>
    <w:rPr>
      <w:rFonts w:asciiTheme="majorHAnsi" w:eastAsiaTheme="majorEastAsia" w:hAnsiTheme="majorHAnsi" w:cstheme="majorBidi"/>
      <w:i/>
      <w:iCs/>
      <w:color w:val="2F5496" w:themeColor="accent1" w:themeShade="BF"/>
      <w:sz w:val="24"/>
      <w:szCs w:val="16"/>
      <w:lang w:val="en-GB"/>
    </w:rPr>
  </w:style>
  <w:style w:type="character" w:styleId="CommentReference">
    <w:name w:val="annotation reference"/>
    <w:basedOn w:val="DefaultParagraphFont"/>
    <w:uiPriority w:val="99"/>
    <w:semiHidden/>
    <w:unhideWhenUsed/>
    <w:rsid w:val="00282D92"/>
    <w:rPr>
      <w:sz w:val="16"/>
      <w:szCs w:val="16"/>
    </w:rPr>
  </w:style>
  <w:style w:type="paragraph" w:styleId="CommentText">
    <w:name w:val="annotation text"/>
    <w:basedOn w:val="Normal"/>
    <w:link w:val="CommentTextChar"/>
    <w:uiPriority w:val="99"/>
    <w:semiHidden/>
    <w:unhideWhenUsed/>
    <w:rsid w:val="00282D92"/>
    <w:pPr>
      <w:spacing w:line="240" w:lineRule="auto"/>
    </w:pPr>
    <w:rPr>
      <w:sz w:val="20"/>
      <w:szCs w:val="20"/>
    </w:rPr>
  </w:style>
  <w:style w:type="character" w:customStyle="1" w:styleId="CommentTextChar">
    <w:name w:val="Comment Text Char"/>
    <w:basedOn w:val="DefaultParagraphFont"/>
    <w:link w:val="CommentText"/>
    <w:uiPriority w:val="99"/>
    <w:semiHidden/>
    <w:rsid w:val="00282D9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82D92"/>
    <w:rPr>
      <w:b/>
      <w:bCs/>
    </w:rPr>
  </w:style>
  <w:style w:type="character" w:customStyle="1" w:styleId="CommentSubjectChar">
    <w:name w:val="Comment Subject Char"/>
    <w:basedOn w:val="CommentTextChar"/>
    <w:link w:val="CommentSubject"/>
    <w:uiPriority w:val="99"/>
    <w:semiHidden/>
    <w:rsid w:val="00282D92"/>
    <w:rPr>
      <w:rFonts w:ascii="Times New Roman" w:hAnsi="Times New Roman" w:cs="Times New Roman"/>
      <w:b/>
      <w:bCs/>
      <w:sz w:val="20"/>
      <w:szCs w:val="20"/>
      <w:lang w:val="en-GB"/>
    </w:rPr>
  </w:style>
  <w:style w:type="paragraph" w:customStyle="1" w:styleId="FTAAnnexnumber">
    <w:name w:val="FTA Annex number"/>
    <w:basedOn w:val="Normal"/>
    <w:autoRedefine/>
    <w:qFormat/>
    <w:rsid w:val="0071663D"/>
    <w:pPr>
      <w:spacing w:before="240" w:after="420"/>
      <w:jc w:val="center"/>
    </w:pPr>
    <w:rPr>
      <w:rFonts w:ascii="Times New Roman Bold" w:hAnsi="Times New Roman Bold"/>
      <w:b/>
      <w:bCs/>
      <w:caps/>
      <w:sz w:val="32"/>
      <w:szCs w:val="20"/>
    </w:rPr>
  </w:style>
  <w:style w:type="paragraph" w:styleId="Revision">
    <w:name w:val="Revision"/>
    <w:hidden/>
    <w:uiPriority w:val="99"/>
    <w:semiHidden/>
    <w:rsid w:val="0012551A"/>
    <w:pPr>
      <w:spacing w:after="0" w:line="240" w:lineRule="auto"/>
    </w:pPr>
    <w:rPr>
      <w:rFonts w:ascii="Times New Roman" w:hAnsi="Times New Roman" w:cs="Times New Roman"/>
      <w:sz w:val="24"/>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027393">
      <w:bodyDiv w:val="1"/>
      <w:marLeft w:val="0"/>
      <w:marRight w:val="0"/>
      <w:marTop w:val="0"/>
      <w:marBottom w:val="0"/>
      <w:divBdr>
        <w:top w:val="none" w:sz="0" w:space="0" w:color="auto"/>
        <w:left w:val="none" w:sz="0" w:space="0" w:color="auto"/>
        <w:bottom w:val="none" w:sz="0" w:space="0" w:color="auto"/>
        <w:right w:val="none" w:sz="0" w:space="0" w:color="auto"/>
      </w:divBdr>
    </w:div>
    <w:div w:id="1156452251">
      <w:bodyDiv w:val="1"/>
      <w:marLeft w:val="0"/>
      <w:marRight w:val="0"/>
      <w:marTop w:val="0"/>
      <w:marBottom w:val="0"/>
      <w:divBdr>
        <w:top w:val="none" w:sz="0" w:space="0" w:color="auto"/>
        <w:left w:val="none" w:sz="0" w:space="0" w:color="auto"/>
        <w:bottom w:val="none" w:sz="0" w:space="0" w:color="auto"/>
        <w:right w:val="none" w:sz="0" w:space="0" w:color="auto"/>
      </w:divBdr>
    </w:div>
    <w:div w:id="170081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Marangoni, Vivian (Trade)</DisplayName>
        <AccountId>5075</AccountId>
        <AccountType/>
      </UserInfo>
    </SharedWithUsers>
  </documentManagement>
</p:properties>
</file>

<file path=customXml/itemProps1.xml><?xml version="1.0" encoding="utf-8"?>
<ds:datastoreItem xmlns:ds="http://schemas.openxmlformats.org/officeDocument/2006/customXml" ds:itemID="{3275B29B-EC24-4E3A-A66D-661D5A02C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22BDB-787B-4A8B-8510-CE7B0D84F28A}">
  <ds:schemaRefs>
    <ds:schemaRef ds:uri="http://schemas.microsoft.com/sharepoint/v3/contenttype/forms"/>
  </ds:schemaRefs>
</ds:datastoreItem>
</file>

<file path=customXml/itemProps3.xml><?xml version="1.0" encoding="utf-8"?>
<ds:datastoreItem xmlns:ds="http://schemas.openxmlformats.org/officeDocument/2006/customXml" ds:itemID="{985D5B8B-1711-4ED7-87DA-D90380CD3F0C}">
  <ds:schemaRefs>
    <ds:schemaRef ds:uri="http://schemas.microsoft.com/office/2006/metadata/properties"/>
    <ds:schemaRef ds:uri="http://schemas.microsoft.com/office/infopath/2007/PartnerControls"/>
    <ds:schemaRef ds:uri="261998c6-a2c6-4e90-bc21-906d4b2f7e1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5</ap:TotalTime>
  <ap:Pages>20</ap:Pages>
  <ap:Words>3278</ap:Words>
  <ap:Characters>18685</ap:Characters>
  <ap:Application>Microsoft Office Word</ap:Application>
  <ap:DocSecurity>0</ap:DocSecurity>
  <ap:Lines>155</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LLV</ap:Company>
  <ap:LinksUpToDate>false</ap:LinksUpToDate>
  <ap:CharactersWithSpaces>21920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EFTA</dc:creator>
  <cp:lastModifiedBy>EFTA</cp:lastModifiedBy>
  <cp:revision>18</cp:revision>
  <cp:lastPrinted>2021-07-06T14:29:00Z</cp:lastPrinted>
  <dcterms:created xsi:type="dcterms:W3CDTF">2021-06-29T09:12:00Z</dcterms:created>
  <dcterms:modified xsi:type="dcterms:W3CDTF">2021-07-06T14:34:00Z</dcterms:modified>
</cp:coreProperties>
</file>