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6E3B8" w14:textId="77777777" w:rsidR="005A11F9" w:rsidRDefault="005A11F9" w:rsidP="005A11F9">
      <w:pPr>
        <w:jc w:val="center"/>
        <w:rPr>
          <w:b/>
          <w:sz w:val="32"/>
          <w:szCs w:val="32"/>
        </w:rPr>
      </w:pPr>
      <w:bookmarkStart w:id="0" w:name="_Hlk76377647"/>
    </w:p>
    <w:p w14:paraId="696AF7C3" w14:textId="77777777" w:rsidR="005A11F9" w:rsidRDefault="005A11F9" w:rsidP="005A11F9">
      <w:pPr>
        <w:jc w:val="center"/>
        <w:rPr>
          <w:b/>
          <w:sz w:val="32"/>
          <w:szCs w:val="32"/>
        </w:rPr>
      </w:pPr>
    </w:p>
    <w:p w14:paraId="47AFDF96" w14:textId="77777777" w:rsidR="005A11F9" w:rsidRDefault="005A11F9" w:rsidP="005A11F9">
      <w:pPr>
        <w:jc w:val="center"/>
        <w:rPr>
          <w:b/>
          <w:sz w:val="32"/>
          <w:szCs w:val="32"/>
        </w:rPr>
      </w:pPr>
    </w:p>
    <w:p w14:paraId="41215EF9" w14:textId="77777777" w:rsidR="005A11F9" w:rsidRDefault="005A11F9" w:rsidP="005A11F9">
      <w:pPr>
        <w:jc w:val="center"/>
        <w:rPr>
          <w:b/>
          <w:sz w:val="32"/>
          <w:szCs w:val="32"/>
        </w:rPr>
      </w:pPr>
    </w:p>
    <w:p w14:paraId="38455C5C" w14:textId="77777777" w:rsidR="005A11F9" w:rsidRDefault="005A11F9" w:rsidP="005A11F9">
      <w:pPr>
        <w:jc w:val="center"/>
        <w:rPr>
          <w:b/>
          <w:sz w:val="32"/>
          <w:szCs w:val="32"/>
        </w:rPr>
      </w:pPr>
    </w:p>
    <w:p w14:paraId="57F51075" w14:textId="77777777" w:rsidR="005A11F9" w:rsidRDefault="005A11F9" w:rsidP="005A11F9">
      <w:pPr>
        <w:jc w:val="center"/>
        <w:rPr>
          <w:b/>
          <w:sz w:val="32"/>
          <w:szCs w:val="32"/>
        </w:rPr>
      </w:pPr>
    </w:p>
    <w:p w14:paraId="6F854CF1" w14:textId="77777777" w:rsidR="005A11F9" w:rsidRDefault="005A11F9" w:rsidP="005A11F9">
      <w:pPr>
        <w:jc w:val="center"/>
        <w:rPr>
          <w:b/>
          <w:sz w:val="32"/>
          <w:szCs w:val="32"/>
        </w:rPr>
      </w:pPr>
    </w:p>
    <w:p w14:paraId="67E59DBA" w14:textId="77777777" w:rsidR="005A11F9" w:rsidRDefault="005A11F9" w:rsidP="005A11F9">
      <w:pPr>
        <w:jc w:val="center"/>
        <w:rPr>
          <w:b/>
          <w:sz w:val="32"/>
          <w:szCs w:val="32"/>
        </w:rPr>
      </w:pPr>
    </w:p>
    <w:p w14:paraId="6EE0E33A" w14:textId="5979D484" w:rsidR="005A11F9" w:rsidRPr="00AB6E9F" w:rsidRDefault="005A11F9" w:rsidP="005A11F9">
      <w:pPr>
        <w:jc w:val="center"/>
        <w:rPr>
          <w:b/>
          <w:sz w:val="32"/>
          <w:szCs w:val="32"/>
        </w:rPr>
      </w:pPr>
      <w:r w:rsidRPr="00AB6E9F">
        <w:rPr>
          <w:b/>
          <w:sz w:val="32"/>
          <w:szCs w:val="32"/>
        </w:rPr>
        <w:t xml:space="preserve">ANNEX </w:t>
      </w:r>
      <w:r>
        <w:rPr>
          <w:b/>
          <w:sz w:val="32"/>
          <w:szCs w:val="32"/>
        </w:rPr>
        <w:t>XXI</w:t>
      </w:r>
    </w:p>
    <w:p w14:paraId="447A0F2C" w14:textId="77777777" w:rsidR="005A11F9" w:rsidRPr="00AB6E9F" w:rsidRDefault="005A11F9" w:rsidP="005A11F9">
      <w:pPr>
        <w:jc w:val="center"/>
        <w:rPr>
          <w:sz w:val="28"/>
          <w:szCs w:val="28"/>
        </w:rPr>
      </w:pPr>
    </w:p>
    <w:p w14:paraId="19A4E26E" w14:textId="77777777" w:rsidR="005A11F9" w:rsidRPr="00AB6E9F" w:rsidRDefault="005A11F9" w:rsidP="005A11F9">
      <w:pPr>
        <w:jc w:val="center"/>
        <w:rPr>
          <w:sz w:val="28"/>
          <w:szCs w:val="28"/>
        </w:rPr>
      </w:pPr>
    </w:p>
    <w:p w14:paraId="658F4876" w14:textId="5CB6FB02" w:rsidR="005A11F9" w:rsidRPr="005A11F9" w:rsidRDefault="005A11F9" w:rsidP="005A11F9">
      <w:pPr>
        <w:jc w:val="center"/>
        <w:rPr>
          <w:bCs/>
          <w:sz w:val="28"/>
          <w:szCs w:val="28"/>
        </w:rPr>
      </w:pPr>
      <w:r w:rsidRPr="005A11F9">
        <w:rPr>
          <w:bCs/>
          <w:sz w:val="28"/>
          <w:szCs w:val="28"/>
        </w:rPr>
        <w:t>REFERRED TO IN ARTICLES 6.1 (SCOPE AND COVERAGE), 6.4 (ELECTRONIC PUBLICATION OF PROCUREMENT NOTICES) AND 6.10 (FACILITATING PARTICIPATION OF SMALL AND MEDIUM-SIZED ENTERPRISES (SMES</w:t>
      </w:r>
      <w:r w:rsidR="000A44C0" w:rsidRPr="007343E8">
        <w:rPr>
          <w:bCs/>
          <w:sz w:val="28"/>
          <w:szCs w:val="28"/>
        </w:rPr>
        <w:t>)</w:t>
      </w:r>
      <w:r w:rsidR="000A44C0" w:rsidRPr="007343E8">
        <w:t xml:space="preserve"> </w:t>
      </w:r>
      <w:r w:rsidR="000A44C0" w:rsidRPr="007343E8">
        <w:rPr>
          <w:sz w:val="28"/>
          <w:szCs w:val="28"/>
        </w:rPr>
        <w:t>OF CHAPTER 6 (GOVERNMENT PROCUREMENT)</w:t>
      </w:r>
    </w:p>
    <w:p w14:paraId="44DBC10A" w14:textId="77777777" w:rsidR="005A11F9" w:rsidRDefault="005A11F9" w:rsidP="005A11F9">
      <w:pPr>
        <w:jc w:val="center"/>
        <w:rPr>
          <w:bCs/>
          <w:sz w:val="28"/>
          <w:szCs w:val="28"/>
        </w:rPr>
      </w:pPr>
    </w:p>
    <w:p w14:paraId="53AC5F6A" w14:textId="4649A7E8" w:rsidR="005A11F9" w:rsidRPr="00636A7C" w:rsidRDefault="005A11F9" w:rsidP="006F73B8">
      <w:pPr>
        <w:spacing w:after="0"/>
        <w:rPr>
          <w:szCs w:val="24"/>
          <w:lang w:eastAsia="zh-TW"/>
        </w:rPr>
      </w:pPr>
    </w:p>
    <w:p w14:paraId="16D53BAE" w14:textId="77777777" w:rsidR="005A11F9" w:rsidRDefault="005A11F9" w:rsidP="005A11F9">
      <w:pPr>
        <w:rPr>
          <w:bCs/>
          <w:szCs w:val="24"/>
        </w:rPr>
        <w:sectPr w:rsidR="005A11F9" w:rsidSect="00AD5D64">
          <w:type w:val="continuous"/>
          <w:pgSz w:w="11906" w:h="16838"/>
          <w:pgMar w:top="1701" w:right="1644" w:bottom="1701" w:left="2211" w:header="708" w:footer="708" w:gutter="0"/>
          <w:cols w:space="708"/>
          <w:titlePg/>
          <w:docGrid w:linePitch="360"/>
        </w:sectPr>
      </w:pPr>
    </w:p>
    <w:bookmarkEnd w:id="0"/>
    <w:p w14:paraId="16BC07E2" w14:textId="52DF3CCA" w:rsidR="003152BC" w:rsidRPr="00635587" w:rsidRDefault="00E54E2E" w:rsidP="005A11F9">
      <w:pPr>
        <w:pStyle w:val="ANNEXSECTIONNUMBERRoman"/>
      </w:pPr>
      <w:r w:rsidRPr="00C250B9">
        <w:rPr>
          <w:rFonts w:ascii="Times New Roman" w:hAnsi="Times New Roman"/>
          <w:b w:val="0"/>
          <w:bCs w:val="0"/>
          <w:u w:val="single"/>
        </w:rPr>
        <w:lastRenderedPageBreak/>
        <w:t>ANNEX</w:t>
      </w:r>
      <w:r w:rsidR="00C250B9">
        <w:rPr>
          <w:rFonts w:ascii="Times New Roman" w:hAnsi="Times New Roman"/>
          <w:b w:val="0"/>
          <w:bCs w:val="0"/>
          <w:u w:val="single"/>
        </w:rPr>
        <w:t xml:space="preserve"> XXI</w:t>
      </w:r>
    </w:p>
    <w:p w14:paraId="5B2BDB14" w14:textId="424D6449" w:rsidR="007B33D6" w:rsidRPr="00C250B9" w:rsidRDefault="00E54E2E" w:rsidP="00C250B9">
      <w:pPr>
        <w:pStyle w:val="ANNEXSECTIONNUMBERRoman"/>
        <w:rPr>
          <w:rFonts w:ascii="Times New Roman" w:hAnsi="Times New Roman"/>
          <w:b w:val="0"/>
          <w:bCs w:val="0"/>
          <w:u w:val="single"/>
        </w:rPr>
      </w:pPr>
      <w:r w:rsidRPr="00C250B9">
        <w:rPr>
          <w:rFonts w:ascii="Times New Roman" w:hAnsi="Times New Roman"/>
          <w:b w:val="0"/>
          <w:bCs w:val="0"/>
          <w:u w:val="single"/>
        </w:rPr>
        <w:t>GOVERNMENT PROCUREMENT</w:t>
      </w:r>
    </w:p>
    <w:p w14:paraId="3F5FD995" w14:textId="72C8672C" w:rsidR="00E54E2E" w:rsidRPr="00C250B9" w:rsidRDefault="00E54E2E" w:rsidP="00C250B9">
      <w:pPr>
        <w:pStyle w:val="ANNEXSECTIONNUMBERRoman"/>
        <w:rPr>
          <w:rFonts w:ascii="Times New Roman" w:hAnsi="Times New Roman"/>
          <w:b w:val="0"/>
          <w:bCs w:val="0"/>
          <w:u w:val="single"/>
        </w:rPr>
      </w:pPr>
      <w:r w:rsidRPr="00C250B9">
        <w:rPr>
          <w:rFonts w:ascii="Times New Roman" w:hAnsi="Times New Roman"/>
          <w:b w:val="0"/>
          <w:bCs w:val="0"/>
          <w:u w:val="single"/>
        </w:rPr>
        <w:t xml:space="preserve">REFERRED TO IN </w:t>
      </w:r>
      <w:r w:rsidR="00C250B9">
        <w:rPr>
          <w:rFonts w:ascii="Times New Roman" w:hAnsi="Times New Roman"/>
          <w:b w:val="0"/>
          <w:bCs w:val="0"/>
          <w:u w:val="single"/>
        </w:rPr>
        <w:t>articles 6.1 (scope and coverage), 6.4 (</w:t>
      </w:r>
      <w:r w:rsidR="00C250B9" w:rsidRPr="00C250B9">
        <w:rPr>
          <w:rFonts w:ascii="Times New Roman" w:hAnsi="Times New Roman"/>
          <w:b w:val="0"/>
          <w:bCs w:val="0"/>
          <w:u w:val="single"/>
        </w:rPr>
        <w:t>Electronic Publication of Procurement Notices</w:t>
      </w:r>
      <w:r w:rsidR="00C250B9">
        <w:rPr>
          <w:rFonts w:ascii="Times New Roman" w:hAnsi="Times New Roman"/>
          <w:b w:val="0"/>
          <w:bCs w:val="0"/>
          <w:u w:val="single"/>
        </w:rPr>
        <w:t>) AND 6.10 (</w:t>
      </w:r>
      <w:r w:rsidR="00C250B9" w:rsidRPr="00C250B9">
        <w:rPr>
          <w:rFonts w:ascii="Times New Roman" w:hAnsi="Times New Roman"/>
          <w:b w:val="0"/>
          <w:bCs w:val="0"/>
          <w:u w:val="single"/>
        </w:rPr>
        <w:t xml:space="preserve">Facilitating Participation of Small and Medium-Sized </w:t>
      </w:r>
      <w:r w:rsidR="00C250B9" w:rsidRPr="000A44C0">
        <w:rPr>
          <w:rFonts w:ascii="Times New Roman" w:hAnsi="Times New Roman"/>
          <w:b w:val="0"/>
          <w:bCs w:val="0"/>
          <w:u w:val="single"/>
        </w:rPr>
        <w:t xml:space="preserve">Enterprises (SMES) </w:t>
      </w:r>
      <w:r w:rsidR="000A44C0" w:rsidRPr="007343E8">
        <w:rPr>
          <w:rFonts w:ascii="Times New Roman" w:hAnsi="Times New Roman"/>
          <w:b w:val="0"/>
          <w:bCs w:val="0"/>
          <w:u w:val="single"/>
        </w:rPr>
        <w:t>of chapter 6 (government procurement)</w:t>
      </w:r>
    </w:p>
    <w:p w14:paraId="4F2150D5" w14:textId="33591B11" w:rsidR="003152BC" w:rsidRDefault="003152BC" w:rsidP="00635587">
      <w:pPr>
        <w:spacing w:after="0" w:line="240" w:lineRule="auto"/>
      </w:pPr>
    </w:p>
    <w:p w14:paraId="7C701DC9" w14:textId="77777777" w:rsidR="00635587" w:rsidRPr="00635587" w:rsidRDefault="00635587" w:rsidP="00635587">
      <w:pPr>
        <w:spacing w:after="0" w:line="240" w:lineRule="auto"/>
      </w:pPr>
    </w:p>
    <w:p w14:paraId="1D7F7222" w14:textId="22C0C29B" w:rsidR="00F86F42" w:rsidRDefault="00F86F42" w:rsidP="000871E1">
      <w:pPr>
        <w:numPr>
          <w:ilvl w:val="0"/>
          <w:numId w:val="49"/>
        </w:numPr>
        <w:spacing w:after="0"/>
        <w:ind w:left="2127" w:hanging="2127"/>
        <w:rPr>
          <w:lang w:eastAsia="zh-TW"/>
        </w:rPr>
      </w:pPr>
      <w:r>
        <w:rPr>
          <w:lang w:eastAsia="zh-TW"/>
        </w:rPr>
        <w:t>RELEVANT PROVISIONS OF THE WTO GOVERNMENT PROCUREMENT AGREEMENT</w:t>
      </w:r>
    </w:p>
    <w:p w14:paraId="57F6878E" w14:textId="77777777" w:rsidR="00D37DB5" w:rsidRDefault="00D37DB5" w:rsidP="00D37DB5">
      <w:pPr>
        <w:spacing w:after="0"/>
        <w:ind w:left="2127" w:hanging="2127"/>
        <w:rPr>
          <w:lang w:eastAsia="zh-TW"/>
        </w:rPr>
      </w:pPr>
    </w:p>
    <w:p w14:paraId="3D70C94A" w14:textId="27BB24DC" w:rsidR="00F86F42" w:rsidRDefault="00F86F42" w:rsidP="000871E1">
      <w:pPr>
        <w:numPr>
          <w:ilvl w:val="0"/>
          <w:numId w:val="49"/>
        </w:numPr>
        <w:spacing w:after="0"/>
        <w:ind w:left="2127" w:hanging="2127"/>
        <w:rPr>
          <w:lang w:eastAsia="zh-TW"/>
        </w:rPr>
      </w:pPr>
      <w:r>
        <w:rPr>
          <w:lang w:eastAsia="zh-TW"/>
        </w:rPr>
        <w:t>MARKET ACCESS COMMITMENTS</w:t>
      </w:r>
      <w:r w:rsidR="00E62DB2">
        <w:rPr>
          <w:lang w:eastAsia="zh-TW"/>
        </w:rPr>
        <w:t xml:space="preserve"> BEYOND GPA</w:t>
      </w:r>
    </w:p>
    <w:p w14:paraId="5181D055" w14:textId="77777777" w:rsidR="00D37DB5" w:rsidRDefault="00D37DB5" w:rsidP="00D37DB5">
      <w:pPr>
        <w:spacing w:after="0"/>
        <w:ind w:left="2127" w:hanging="2127"/>
        <w:rPr>
          <w:lang w:eastAsia="zh-TW"/>
        </w:rPr>
      </w:pPr>
    </w:p>
    <w:p w14:paraId="1EBC41DE" w14:textId="4DD26700" w:rsidR="00C05804" w:rsidRDefault="009D5A60" w:rsidP="000871E1">
      <w:pPr>
        <w:numPr>
          <w:ilvl w:val="0"/>
          <w:numId w:val="49"/>
        </w:numPr>
        <w:spacing w:after="0"/>
        <w:ind w:left="2127" w:hanging="2127"/>
        <w:rPr>
          <w:lang w:eastAsia="zh-TW"/>
        </w:rPr>
      </w:pPr>
      <w:r w:rsidRPr="00E54E2E">
        <w:rPr>
          <w:lang w:eastAsia="zh-TW"/>
        </w:rPr>
        <w:t>MEANS OF PUBLICATION</w:t>
      </w:r>
    </w:p>
    <w:p w14:paraId="1BC65806" w14:textId="77777777" w:rsidR="00D37DB5" w:rsidRDefault="00D37DB5" w:rsidP="00D37DB5">
      <w:pPr>
        <w:spacing w:after="0"/>
        <w:rPr>
          <w:lang w:eastAsia="zh-TW"/>
        </w:rPr>
      </w:pPr>
    </w:p>
    <w:p w14:paraId="6A0D110D" w14:textId="69EC8D2D" w:rsidR="00C05804" w:rsidRDefault="009D5A60" w:rsidP="000871E1">
      <w:pPr>
        <w:numPr>
          <w:ilvl w:val="0"/>
          <w:numId w:val="49"/>
        </w:numPr>
        <w:spacing w:after="0"/>
        <w:ind w:left="2127" w:hanging="2127"/>
        <w:rPr>
          <w:lang w:eastAsia="zh-TW"/>
        </w:rPr>
      </w:pPr>
      <w:r>
        <w:rPr>
          <w:lang w:eastAsia="zh-TW"/>
        </w:rPr>
        <w:t>CONTACT POINTS</w:t>
      </w:r>
    </w:p>
    <w:p w14:paraId="32F0DB61" w14:textId="77777777" w:rsidR="00D37DB5" w:rsidRDefault="00D37DB5" w:rsidP="00D37DB5">
      <w:pPr>
        <w:spacing w:after="0"/>
        <w:rPr>
          <w:lang w:eastAsia="zh-TW"/>
        </w:rPr>
      </w:pPr>
    </w:p>
    <w:p w14:paraId="39B069F2" w14:textId="77777777" w:rsidR="001A31DC" w:rsidRDefault="00095535" w:rsidP="000871E1">
      <w:pPr>
        <w:numPr>
          <w:ilvl w:val="0"/>
          <w:numId w:val="49"/>
        </w:numPr>
        <w:spacing w:after="0"/>
        <w:ind w:left="2127" w:hanging="2127"/>
      </w:pPr>
      <w:r>
        <w:rPr>
          <w:lang w:eastAsia="zh-TW"/>
        </w:rPr>
        <w:t>VALUE OF THRESHOLDS</w:t>
      </w:r>
    </w:p>
    <w:p w14:paraId="2BD52BFB" w14:textId="77777777" w:rsidR="001A31DC" w:rsidRDefault="001A31DC" w:rsidP="001A31DC">
      <w:pPr>
        <w:pStyle w:val="ListParagraph"/>
        <w:sectPr w:rsidR="001A31DC" w:rsidSect="00AD5D64">
          <w:headerReference w:type="even" r:id="rId11"/>
          <w:headerReference w:type="default" r:id="rId12"/>
          <w:footerReference w:type="even" r:id="rId13"/>
          <w:footerReference w:type="default" r:id="rId14"/>
          <w:headerReference w:type="first" r:id="rId15"/>
          <w:footerReference w:type="first" r:id="rId16"/>
          <w:pgSz w:w="11907" w:h="16840" w:code="9"/>
          <w:pgMar w:top="1701" w:right="1644" w:bottom="1701" w:left="2211" w:header="720" w:footer="720" w:gutter="0"/>
          <w:pgNumType w:start="1"/>
          <w:cols w:space="720"/>
          <w:noEndnote/>
          <w:titlePg/>
          <w:docGrid w:linePitch="326"/>
        </w:sectPr>
      </w:pPr>
    </w:p>
    <w:p w14:paraId="2776CAD7" w14:textId="75A0ECFC" w:rsidR="007B33D6" w:rsidRDefault="009971BB" w:rsidP="001A31DC">
      <w:pPr>
        <w:pStyle w:val="Appendixnumberarabicreference"/>
      </w:pPr>
      <w:r w:rsidRPr="006754FC">
        <w:lastRenderedPageBreak/>
        <w:t>APPENDIX 1</w:t>
      </w:r>
      <w:r w:rsidR="00B6213A" w:rsidRPr="006754FC">
        <w:t xml:space="preserve"> </w:t>
      </w:r>
    </w:p>
    <w:p w14:paraId="5ABC0AEB" w14:textId="508AB9C3" w:rsidR="007B33D6" w:rsidRDefault="003152BC" w:rsidP="003128E3">
      <w:pPr>
        <w:pStyle w:val="Appendixnumberarabicreference"/>
        <w:rPr>
          <w:lang w:eastAsia="zh-TW"/>
        </w:rPr>
      </w:pPr>
      <w:r>
        <w:rPr>
          <w:lang w:eastAsia="zh-TW"/>
        </w:rPr>
        <w:t xml:space="preserve">to </w:t>
      </w:r>
      <w:r w:rsidR="00B6213A" w:rsidRPr="006754FC">
        <w:rPr>
          <w:lang w:eastAsia="zh-TW"/>
        </w:rPr>
        <w:t>ANNEX</w:t>
      </w:r>
      <w:r w:rsidR="00C250B9">
        <w:rPr>
          <w:lang w:eastAsia="zh-TW"/>
        </w:rPr>
        <w:t xml:space="preserve"> xxi</w:t>
      </w:r>
      <w:r w:rsidR="00B6213A" w:rsidRPr="006754FC">
        <w:rPr>
          <w:lang w:eastAsia="zh-TW"/>
        </w:rPr>
        <w:t xml:space="preserve"> </w:t>
      </w:r>
      <w:r>
        <w:rPr>
          <w:lang w:eastAsia="zh-TW"/>
        </w:rPr>
        <w:t>(</w:t>
      </w:r>
      <w:r w:rsidR="00B6213A" w:rsidRPr="006754FC">
        <w:rPr>
          <w:lang w:eastAsia="zh-TW"/>
        </w:rPr>
        <w:t>GOVERNMENT PROCUREMENT</w:t>
      </w:r>
      <w:r>
        <w:rPr>
          <w:lang w:eastAsia="zh-TW"/>
        </w:rPr>
        <w:t>)</w:t>
      </w:r>
      <w:r w:rsidR="0086094B" w:rsidRPr="006754FC">
        <w:rPr>
          <w:lang w:eastAsia="zh-TW"/>
        </w:rPr>
        <w:t xml:space="preserve"> </w:t>
      </w:r>
    </w:p>
    <w:p w14:paraId="1E6972EB" w14:textId="7AFBB561" w:rsidR="00F86F42" w:rsidRPr="007B33D6" w:rsidRDefault="0086094B" w:rsidP="00ED71F4">
      <w:pPr>
        <w:pStyle w:val="Appendixtabletitle"/>
        <w:rPr>
          <w:lang w:eastAsia="zh-TW"/>
        </w:rPr>
      </w:pPr>
      <w:r w:rsidRPr="006754FC">
        <w:rPr>
          <w:lang w:eastAsia="zh-TW"/>
        </w:rPr>
        <w:t xml:space="preserve">RELEVANT PROVISIONS OF THE WTO GOVERNMENT PROCUREMENT </w:t>
      </w:r>
      <w:r w:rsidRPr="00C409A9">
        <w:t>AGREEMENT</w:t>
      </w:r>
    </w:p>
    <w:p w14:paraId="5FA5AF79" w14:textId="051F5545" w:rsidR="00B6213A" w:rsidRPr="00B6213A" w:rsidRDefault="00B6213A" w:rsidP="0084549F">
      <w:pPr>
        <w:pStyle w:val="FTAtext"/>
      </w:pPr>
      <w:r w:rsidRPr="0084549F">
        <w:t>T</w:t>
      </w:r>
      <w:r w:rsidR="0086094B" w:rsidRPr="0084549F">
        <w:t xml:space="preserve">he following provisions of the </w:t>
      </w:r>
      <w:r w:rsidR="00005C8B" w:rsidRPr="0084549F">
        <w:t>WTO Revised Agreement on Government</w:t>
      </w:r>
      <w:r w:rsidR="00005C8B">
        <w:t xml:space="preserve"> Procurement (2012) </w:t>
      </w:r>
      <w:r w:rsidR="00490D2F">
        <w:t>(</w:t>
      </w:r>
      <w:r w:rsidR="0086094B" w:rsidRPr="00B6213A">
        <w:t>GPA</w:t>
      </w:r>
      <w:r w:rsidR="00490D2F">
        <w:t>)</w:t>
      </w:r>
      <w:r w:rsidR="0086094B" w:rsidRPr="00B6213A">
        <w:t xml:space="preserve"> </w:t>
      </w:r>
      <w:r w:rsidRPr="00B6213A">
        <w:t xml:space="preserve">are hereby incorporated into Chapter </w:t>
      </w:r>
      <w:r w:rsidR="003152BC">
        <w:t>6 (</w:t>
      </w:r>
      <w:r w:rsidRPr="00B6213A">
        <w:t>Government P</w:t>
      </w:r>
      <w:r w:rsidR="009971BB">
        <w:t>r</w:t>
      </w:r>
      <w:r w:rsidRPr="00B6213A">
        <w:t>ocurement</w:t>
      </w:r>
      <w:r w:rsidR="003152BC">
        <w:t>)</w:t>
      </w:r>
      <w:r w:rsidRPr="00B6213A">
        <w:t xml:space="preserve"> of this Agreement: </w:t>
      </w:r>
    </w:p>
    <w:p w14:paraId="729D0CA8" w14:textId="2551D386" w:rsidR="0086094B" w:rsidRDefault="0086094B" w:rsidP="00D24E00">
      <w:pPr>
        <w:pStyle w:val="FTAtext"/>
        <w:ind w:firstLine="0"/>
      </w:pPr>
      <w:r w:rsidRPr="00B6213A">
        <w:t xml:space="preserve">Articles I </w:t>
      </w:r>
      <w:r w:rsidR="00796467">
        <w:t>–</w:t>
      </w:r>
      <w:r w:rsidRPr="00B6213A">
        <w:t xml:space="preserve"> I</w:t>
      </w:r>
      <w:r w:rsidR="00796467">
        <w:t>II, I</w:t>
      </w:r>
      <w:r w:rsidRPr="00B6213A">
        <w:t>V</w:t>
      </w:r>
      <w:r w:rsidR="00796467">
        <w:t>.1.a, IV.2 to IV.7</w:t>
      </w:r>
      <w:r w:rsidRPr="00B6213A">
        <w:t>, VI - XV, XVI.1 - XVI.3, XVII</w:t>
      </w:r>
      <w:r w:rsidR="00796467">
        <w:t xml:space="preserve"> and </w:t>
      </w:r>
      <w:r w:rsidRPr="00B6213A">
        <w:t>XVIII including their subsequent binding amendments.</w:t>
      </w:r>
    </w:p>
    <w:p w14:paraId="0457452C" w14:textId="77777777" w:rsidR="007C7B8B" w:rsidRDefault="007C7B8B">
      <w:pPr>
        <w:rPr>
          <w:rFonts w:eastAsia="Batang"/>
          <w:szCs w:val="24"/>
          <w:lang w:eastAsia="zh-TW"/>
        </w:rPr>
        <w:sectPr w:rsidR="007C7B8B" w:rsidSect="00AD5D64">
          <w:footerReference w:type="default" r:id="rId17"/>
          <w:pgSz w:w="11907" w:h="16840" w:code="9"/>
          <w:pgMar w:top="1701" w:right="1644" w:bottom="1701" w:left="2211" w:header="720" w:footer="720" w:gutter="0"/>
          <w:pgNumType w:start="1"/>
          <w:cols w:space="720"/>
          <w:noEndnote/>
          <w:titlePg/>
          <w:docGrid w:linePitch="326"/>
        </w:sectPr>
      </w:pPr>
    </w:p>
    <w:p w14:paraId="631D5A4F" w14:textId="77777777" w:rsidR="007B33D6" w:rsidRDefault="009971BB" w:rsidP="003128E3">
      <w:pPr>
        <w:pStyle w:val="Appendixnumberarabicreference"/>
        <w:rPr>
          <w:lang w:val="en-US"/>
        </w:rPr>
      </w:pPr>
      <w:r>
        <w:rPr>
          <w:lang w:val="en-US"/>
        </w:rPr>
        <w:lastRenderedPageBreak/>
        <w:t>appendix 2</w:t>
      </w:r>
      <w:r w:rsidR="00B6213A" w:rsidRPr="00E54E2E">
        <w:rPr>
          <w:lang w:val="en-US"/>
        </w:rPr>
        <w:t xml:space="preserve"> </w:t>
      </w:r>
    </w:p>
    <w:p w14:paraId="24CF6287" w14:textId="1B34DA11" w:rsidR="00B6213A" w:rsidRPr="00E54E2E" w:rsidRDefault="00B6213A" w:rsidP="003128E3">
      <w:pPr>
        <w:pStyle w:val="Appendixnumberarabicreference"/>
        <w:rPr>
          <w:lang w:val="en-US" w:eastAsia="es-ES"/>
        </w:rPr>
      </w:pPr>
      <w:r w:rsidRPr="00E54E2E">
        <w:rPr>
          <w:lang w:val="en-US" w:eastAsia="es-ES"/>
        </w:rPr>
        <w:t xml:space="preserve">TO ANNEX </w:t>
      </w:r>
      <w:r w:rsidR="00C250B9">
        <w:rPr>
          <w:lang w:val="en-US" w:eastAsia="es-ES"/>
        </w:rPr>
        <w:t xml:space="preserve">xxi </w:t>
      </w:r>
      <w:r w:rsidR="003152BC">
        <w:rPr>
          <w:lang w:val="en-US" w:eastAsia="es-ES"/>
        </w:rPr>
        <w:t>(</w:t>
      </w:r>
      <w:r w:rsidRPr="00E54E2E">
        <w:rPr>
          <w:lang w:val="en-US" w:eastAsia="es-ES"/>
        </w:rPr>
        <w:t>GOVERNMENT PROCUREMENT</w:t>
      </w:r>
      <w:r w:rsidR="003152BC">
        <w:rPr>
          <w:lang w:val="en-US" w:eastAsia="es-ES"/>
        </w:rPr>
        <w:t>)</w:t>
      </w:r>
    </w:p>
    <w:p w14:paraId="1D8A033A" w14:textId="6AE65D1D" w:rsidR="0086094B" w:rsidRPr="007B33D6" w:rsidRDefault="00B6213A" w:rsidP="00ED71F4">
      <w:pPr>
        <w:pStyle w:val="Appendixtabletitle"/>
        <w:rPr>
          <w:lang w:val="en-US" w:eastAsia="es-ES"/>
        </w:rPr>
      </w:pPr>
      <w:r>
        <w:rPr>
          <w:lang w:val="en-US" w:eastAsia="es-ES"/>
        </w:rPr>
        <w:t>MARKET ACCESS COMMITMENTS</w:t>
      </w:r>
      <w:r w:rsidR="00B61A43">
        <w:rPr>
          <w:lang w:val="en-US" w:eastAsia="es-ES"/>
        </w:rPr>
        <w:t xml:space="preserve"> beyond the GPA</w:t>
      </w:r>
    </w:p>
    <w:p w14:paraId="7EBFEF9C" w14:textId="24582D95" w:rsidR="004303E7" w:rsidRDefault="00A41A27" w:rsidP="004303E7">
      <w:pPr>
        <w:pStyle w:val="FTAtext"/>
        <w:sectPr w:rsidR="004303E7" w:rsidSect="00AD5D64">
          <w:pgSz w:w="11907" w:h="16840" w:code="9"/>
          <w:pgMar w:top="1701" w:right="1644" w:bottom="1701" w:left="2211" w:header="720" w:footer="720" w:gutter="0"/>
          <w:pgNumType w:start="1"/>
          <w:cols w:space="720"/>
          <w:noEndnote/>
          <w:titlePg/>
          <w:docGrid w:linePitch="326"/>
        </w:sectPr>
      </w:pPr>
      <w:r w:rsidRPr="00A41A27">
        <w:t>For</w:t>
      </w:r>
      <w:r w:rsidRPr="00A41A27">
        <w:rPr>
          <w:spacing w:val="22"/>
        </w:rPr>
        <w:t xml:space="preserve"> </w:t>
      </w:r>
      <w:r w:rsidRPr="00A41A27">
        <w:t>the</w:t>
      </w:r>
      <w:r w:rsidRPr="00A41A27">
        <w:rPr>
          <w:spacing w:val="22"/>
        </w:rPr>
        <w:t xml:space="preserve"> </w:t>
      </w:r>
      <w:r w:rsidRPr="00A41A27">
        <w:t>purposes</w:t>
      </w:r>
      <w:r w:rsidRPr="00A41A27">
        <w:rPr>
          <w:spacing w:val="21"/>
        </w:rPr>
        <w:t xml:space="preserve"> </w:t>
      </w:r>
      <w:r w:rsidRPr="00A41A27">
        <w:t>of</w:t>
      </w:r>
      <w:r w:rsidRPr="00A41A27">
        <w:rPr>
          <w:spacing w:val="22"/>
        </w:rPr>
        <w:t xml:space="preserve"> </w:t>
      </w:r>
      <w:r w:rsidRPr="00A41A27">
        <w:t>this</w:t>
      </w:r>
      <w:r w:rsidRPr="00A41A27">
        <w:rPr>
          <w:spacing w:val="20"/>
        </w:rPr>
        <w:t xml:space="preserve"> </w:t>
      </w:r>
      <w:r w:rsidR="003207F4">
        <w:t>Appendix</w:t>
      </w:r>
      <w:r w:rsidRPr="00A41A27">
        <w:t>,</w:t>
      </w:r>
      <w:r w:rsidRPr="00A41A27">
        <w:rPr>
          <w:spacing w:val="24"/>
        </w:rPr>
        <w:t xml:space="preserve"> </w:t>
      </w:r>
      <w:r w:rsidRPr="00A41A27">
        <w:rPr>
          <w:rFonts w:eastAsia="Calibri"/>
        </w:rPr>
        <w:t>“CPC”</w:t>
      </w:r>
      <w:r w:rsidRPr="00A41A27">
        <w:rPr>
          <w:rFonts w:eastAsia="Calibri"/>
          <w:spacing w:val="21"/>
        </w:rPr>
        <w:t xml:space="preserve"> </w:t>
      </w:r>
      <w:r w:rsidRPr="00A41A27">
        <w:rPr>
          <w:rFonts w:eastAsia="Calibri"/>
        </w:rPr>
        <w:t>means</w:t>
      </w:r>
      <w:r w:rsidRPr="00A41A27">
        <w:rPr>
          <w:rFonts w:eastAsia="Calibri"/>
          <w:spacing w:val="20"/>
        </w:rPr>
        <w:t xml:space="preserve"> </w:t>
      </w:r>
      <w:r w:rsidRPr="00A41A27">
        <w:rPr>
          <w:rFonts w:eastAsia="Calibri"/>
        </w:rPr>
        <w:t>the</w:t>
      </w:r>
      <w:r w:rsidRPr="00A41A27">
        <w:rPr>
          <w:rFonts w:eastAsia="Calibri"/>
          <w:spacing w:val="23"/>
        </w:rPr>
        <w:t xml:space="preserve"> </w:t>
      </w:r>
      <w:r w:rsidRPr="00A41A27">
        <w:rPr>
          <w:rFonts w:eastAsia="Calibri"/>
        </w:rPr>
        <w:t>Provisional</w:t>
      </w:r>
      <w:r w:rsidRPr="00A41A27">
        <w:rPr>
          <w:rFonts w:eastAsia="Calibri"/>
          <w:spacing w:val="22"/>
        </w:rPr>
        <w:t xml:space="preserve"> </w:t>
      </w:r>
      <w:r w:rsidRPr="00A41A27">
        <w:rPr>
          <w:rFonts w:eastAsia="Calibri"/>
        </w:rPr>
        <w:t>Central</w:t>
      </w:r>
      <w:r w:rsidRPr="00A41A27">
        <w:rPr>
          <w:rFonts w:eastAsia="Calibri"/>
          <w:spacing w:val="22"/>
        </w:rPr>
        <w:t xml:space="preserve"> </w:t>
      </w:r>
      <w:r w:rsidRPr="00A41A27">
        <w:rPr>
          <w:rFonts w:eastAsia="Calibri"/>
        </w:rPr>
        <w:t>P</w:t>
      </w:r>
      <w:r w:rsidRPr="00A41A27">
        <w:t>roduct</w:t>
      </w:r>
      <w:r w:rsidRPr="00A41A27">
        <w:rPr>
          <w:spacing w:val="23"/>
        </w:rPr>
        <w:t xml:space="preserve"> </w:t>
      </w:r>
      <w:r w:rsidRPr="00A41A27">
        <w:t>Classification</w:t>
      </w:r>
      <w:r w:rsidRPr="00A41A27">
        <w:rPr>
          <w:spacing w:val="51"/>
        </w:rPr>
        <w:t xml:space="preserve"> </w:t>
      </w:r>
      <w:r w:rsidRPr="00A41A27">
        <w:t>(Statistical</w:t>
      </w:r>
      <w:r w:rsidRPr="00A41A27">
        <w:rPr>
          <w:spacing w:val="9"/>
        </w:rPr>
        <w:t xml:space="preserve"> </w:t>
      </w:r>
      <w:r w:rsidRPr="00A41A27">
        <w:t>Papers,</w:t>
      </w:r>
      <w:r w:rsidRPr="00A41A27">
        <w:rPr>
          <w:spacing w:val="10"/>
        </w:rPr>
        <w:t xml:space="preserve"> </w:t>
      </w:r>
      <w:r w:rsidRPr="00A41A27">
        <w:t>Series</w:t>
      </w:r>
      <w:r w:rsidRPr="00A41A27">
        <w:rPr>
          <w:spacing w:val="8"/>
        </w:rPr>
        <w:t xml:space="preserve"> </w:t>
      </w:r>
      <w:r w:rsidRPr="00A41A27">
        <w:t>M</w:t>
      </w:r>
      <w:r w:rsidRPr="00A41A27">
        <w:rPr>
          <w:spacing w:val="11"/>
        </w:rPr>
        <w:t xml:space="preserve"> </w:t>
      </w:r>
      <w:r w:rsidRPr="00A41A27">
        <w:t>No.</w:t>
      </w:r>
      <w:r w:rsidRPr="00A41A27">
        <w:rPr>
          <w:spacing w:val="10"/>
        </w:rPr>
        <w:t xml:space="preserve"> </w:t>
      </w:r>
      <w:r w:rsidRPr="00A41A27">
        <w:t>77,</w:t>
      </w:r>
      <w:r w:rsidRPr="00A41A27">
        <w:rPr>
          <w:spacing w:val="10"/>
        </w:rPr>
        <w:t xml:space="preserve"> </w:t>
      </w:r>
      <w:r w:rsidRPr="00A41A27">
        <w:t>Department</w:t>
      </w:r>
      <w:r w:rsidRPr="00A41A27">
        <w:rPr>
          <w:spacing w:val="8"/>
        </w:rPr>
        <w:t xml:space="preserve"> </w:t>
      </w:r>
      <w:r w:rsidRPr="00A41A27">
        <w:t>of</w:t>
      </w:r>
      <w:r w:rsidRPr="00A41A27">
        <w:rPr>
          <w:spacing w:val="10"/>
        </w:rPr>
        <w:t xml:space="preserve"> </w:t>
      </w:r>
      <w:r w:rsidRPr="00A41A27">
        <w:t>International</w:t>
      </w:r>
      <w:r w:rsidRPr="00A41A27">
        <w:rPr>
          <w:spacing w:val="10"/>
        </w:rPr>
        <w:t xml:space="preserve"> </w:t>
      </w:r>
      <w:r w:rsidRPr="00A41A27">
        <w:t>Economic</w:t>
      </w:r>
      <w:r w:rsidRPr="00A41A27">
        <w:rPr>
          <w:spacing w:val="8"/>
        </w:rPr>
        <w:t xml:space="preserve"> </w:t>
      </w:r>
      <w:r w:rsidRPr="00A41A27">
        <w:t>and</w:t>
      </w:r>
      <w:r w:rsidRPr="00A41A27">
        <w:rPr>
          <w:spacing w:val="10"/>
        </w:rPr>
        <w:t xml:space="preserve"> </w:t>
      </w:r>
      <w:r w:rsidRPr="00A41A27">
        <w:t>Social</w:t>
      </w:r>
      <w:r w:rsidRPr="00A41A27">
        <w:rPr>
          <w:spacing w:val="10"/>
        </w:rPr>
        <w:t xml:space="preserve"> </w:t>
      </w:r>
      <w:r w:rsidRPr="00A41A27">
        <w:t>Affairs,</w:t>
      </w:r>
      <w:r w:rsidRPr="00A41A27">
        <w:rPr>
          <w:spacing w:val="69"/>
        </w:rPr>
        <w:t xml:space="preserve"> </w:t>
      </w:r>
      <w:r w:rsidRPr="00A41A27">
        <w:t>Statistical Office</w:t>
      </w:r>
      <w:r w:rsidRPr="00A41A27">
        <w:rPr>
          <w:spacing w:val="-2"/>
        </w:rPr>
        <w:t xml:space="preserve"> </w:t>
      </w:r>
      <w:r w:rsidRPr="00A41A27">
        <w:t>of</w:t>
      </w:r>
      <w:r w:rsidRPr="00A41A27">
        <w:rPr>
          <w:spacing w:val="-3"/>
        </w:rPr>
        <w:t xml:space="preserve"> </w:t>
      </w:r>
      <w:r w:rsidRPr="00A41A27">
        <w:t>the</w:t>
      </w:r>
      <w:r w:rsidRPr="00A41A27">
        <w:rPr>
          <w:spacing w:val="-2"/>
        </w:rPr>
        <w:t xml:space="preserve"> </w:t>
      </w:r>
      <w:r w:rsidRPr="00A41A27">
        <w:t>United Nations, New</w:t>
      </w:r>
      <w:r w:rsidRPr="00A41A27">
        <w:rPr>
          <w:spacing w:val="1"/>
        </w:rPr>
        <w:t xml:space="preserve"> </w:t>
      </w:r>
      <w:r w:rsidRPr="00A41A27">
        <w:t>York,</w:t>
      </w:r>
      <w:r w:rsidRPr="00A41A27">
        <w:rPr>
          <w:spacing w:val="-3"/>
        </w:rPr>
        <w:t xml:space="preserve"> </w:t>
      </w:r>
      <w:r w:rsidRPr="00A41A27">
        <w:t>1991).</w:t>
      </w:r>
    </w:p>
    <w:p w14:paraId="6B170725" w14:textId="484E4BD4" w:rsidR="00E54E2E" w:rsidRPr="00673452" w:rsidRDefault="00E54E2E" w:rsidP="00ED71F4">
      <w:pPr>
        <w:pStyle w:val="Appendixtabletitle"/>
      </w:pPr>
      <w:r w:rsidRPr="00673452">
        <w:lastRenderedPageBreak/>
        <w:t xml:space="preserve">PART A: </w:t>
      </w:r>
      <w:r w:rsidR="007B33D6">
        <w:t>U</w:t>
      </w:r>
      <w:r w:rsidR="00800403" w:rsidRPr="00673452">
        <w:t xml:space="preserve">nited </w:t>
      </w:r>
      <w:r w:rsidR="007B33D6">
        <w:t>K</w:t>
      </w:r>
      <w:r w:rsidR="00800403" w:rsidRPr="00673452">
        <w:t>ingdom</w:t>
      </w:r>
    </w:p>
    <w:p w14:paraId="7AA28A65" w14:textId="4BC34401" w:rsidR="00155580" w:rsidRPr="00D96D72" w:rsidRDefault="00155580" w:rsidP="0084549F">
      <w:pPr>
        <w:pStyle w:val="FTAtext"/>
      </w:pPr>
      <w:r w:rsidRPr="00D96D72">
        <w:t>In</w:t>
      </w:r>
      <w:r w:rsidRPr="00D96D72">
        <w:rPr>
          <w:spacing w:val="16"/>
        </w:rPr>
        <w:t xml:space="preserve"> </w:t>
      </w:r>
      <w:r w:rsidRPr="00D96D72">
        <w:t>accordance</w:t>
      </w:r>
      <w:r w:rsidRPr="00D96D72">
        <w:rPr>
          <w:spacing w:val="15"/>
        </w:rPr>
        <w:t xml:space="preserve"> </w:t>
      </w:r>
      <w:r w:rsidRPr="00D96D72">
        <w:t>with</w:t>
      </w:r>
      <w:r w:rsidRPr="00D96D72">
        <w:rPr>
          <w:spacing w:val="17"/>
        </w:rPr>
        <w:t xml:space="preserve"> </w:t>
      </w:r>
      <w:r w:rsidRPr="00D96D72">
        <w:t>Article</w:t>
      </w:r>
      <w:r w:rsidR="003152BC">
        <w:t xml:space="preserve"> 6.1</w:t>
      </w:r>
      <w:r w:rsidRPr="00D96D72">
        <w:t xml:space="preserve"> </w:t>
      </w:r>
      <w:r w:rsidR="003152BC">
        <w:t>(</w:t>
      </w:r>
      <w:r w:rsidRPr="00D96D72">
        <w:t>Scope and Coverage</w:t>
      </w:r>
      <w:r w:rsidR="003152BC">
        <w:t>)</w:t>
      </w:r>
      <w:r w:rsidRPr="00D96D72">
        <w:t>,</w:t>
      </w:r>
      <w:r w:rsidRPr="00D96D72">
        <w:rPr>
          <w:spacing w:val="17"/>
        </w:rPr>
        <w:t xml:space="preserve"> </w:t>
      </w:r>
      <w:r w:rsidR="000A44C0">
        <w:rPr>
          <w:spacing w:val="17"/>
        </w:rPr>
        <w:t xml:space="preserve">of </w:t>
      </w:r>
      <w:r w:rsidRPr="00D96D72">
        <w:t>Chapter</w:t>
      </w:r>
      <w:r w:rsidRPr="00D96D72">
        <w:rPr>
          <w:spacing w:val="16"/>
        </w:rPr>
        <w:t xml:space="preserve"> </w:t>
      </w:r>
      <w:r w:rsidR="003152BC">
        <w:rPr>
          <w:spacing w:val="16"/>
        </w:rPr>
        <w:t xml:space="preserve">6 </w:t>
      </w:r>
      <w:r w:rsidR="003152BC">
        <w:t>(</w:t>
      </w:r>
      <w:r w:rsidRPr="00D96D72">
        <w:t>Government</w:t>
      </w:r>
      <w:r w:rsidRPr="00D96D72">
        <w:rPr>
          <w:spacing w:val="14"/>
        </w:rPr>
        <w:t xml:space="preserve"> </w:t>
      </w:r>
      <w:r w:rsidRPr="00D96D72">
        <w:t>Procurement</w:t>
      </w:r>
      <w:r w:rsidR="003152BC">
        <w:t>)</w:t>
      </w:r>
      <w:r w:rsidR="000A44C0">
        <w:t>, that Chapter</w:t>
      </w:r>
      <w:r w:rsidRPr="00D96D72">
        <w:rPr>
          <w:spacing w:val="17"/>
        </w:rPr>
        <w:t xml:space="preserve"> </w:t>
      </w:r>
      <w:r w:rsidRPr="00D96D72">
        <w:t>applies,</w:t>
      </w:r>
      <w:r w:rsidRPr="00D96D72">
        <w:rPr>
          <w:spacing w:val="29"/>
        </w:rPr>
        <w:t xml:space="preserve"> </w:t>
      </w:r>
      <w:r w:rsidRPr="00D96D72">
        <w:rPr>
          <w:spacing w:val="-2"/>
        </w:rPr>
        <w:t>in</w:t>
      </w:r>
      <w:r w:rsidRPr="00D96D72">
        <w:rPr>
          <w:spacing w:val="28"/>
        </w:rPr>
        <w:t xml:space="preserve"> </w:t>
      </w:r>
      <w:r w:rsidRPr="00D96D72">
        <w:t>addition</w:t>
      </w:r>
      <w:r w:rsidRPr="00D96D72">
        <w:rPr>
          <w:spacing w:val="28"/>
        </w:rPr>
        <w:t xml:space="preserve"> </w:t>
      </w:r>
      <w:r w:rsidRPr="00D96D72">
        <w:t>to</w:t>
      </w:r>
      <w:r w:rsidRPr="00D96D72">
        <w:rPr>
          <w:spacing w:val="30"/>
        </w:rPr>
        <w:t xml:space="preserve"> </w:t>
      </w:r>
      <w:r w:rsidRPr="00D96D72">
        <w:t>the</w:t>
      </w:r>
      <w:r w:rsidRPr="00D96D72">
        <w:rPr>
          <w:spacing w:val="30"/>
        </w:rPr>
        <w:t xml:space="preserve"> </w:t>
      </w:r>
      <w:r w:rsidRPr="00D96D72">
        <w:t>procurement</w:t>
      </w:r>
      <w:r w:rsidRPr="00D96D72">
        <w:rPr>
          <w:spacing w:val="29"/>
        </w:rPr>
        <w:t xml:space="preserve"> </w:t>
      </w:r>
      <w:r w:rsidRPr="00D96D72">
        <w:rPr>
          <w:spacing w:val="-2"/>
        </w:rPr>
        <w:t>covered</w:t>
      </w:r>
      <w:r w:rsidRPr="00D96D72">
        <w:rPr>
          <w:spacing w:val="28"/>
        </w:rPr>
        <w:t xml:space="preserve"> </w:t>
      </w:r>
      <w:r w:rsidRPr="00D96D72">
        <w:t>by</w:t>
      </w:r>
      <w:r w:rsidRPr="00D96D72">
        <w:rPr>
          <w:spacing w:val="30"/>
        </w:rPr>
        <w:t xml:space="preserve"> </w:t>
      </w:r>
      <w:r w:rsidRPr="00D96D72">
        <w:t>Article</w:t>
      </w:r>
      <w:r w:rsidRPr="00D96D72">
        <w:rPr>
          <w:spacing w:val="30"/>
        </w:rPr>
        <w:t xml:space="preserve"> </w:t>
      </w:r>
      <w:r w:rsidRPr="00D96D72">
        <w:t>II</w:t>
      </w:r>
      <w:r w:rsidRPr="00D96D72">
        <w:rPr>
          <w:spacing w:val="26"/>
        </w:rPr>
        <w:t xml:space="preserve"> </w:t>
      </w:r>
      <w:r w:rsidRPr="00D96D72">
        <w:t>of</w:t>
      </w:r>
      <w:r w:rsidRPr="00D96D72">
        <w:rPr>
          <w:spacing w:val="28"/>
        </w:rPr>
        <w:t xml:space="preserve"> </w:t>
      </w:r>
      <w:r w:rsidRPr="00D96D72">
        <w:t>the</w:t>
      </w:r>
      <w:r w:rsidRPr="00D96D72">
        <w:rPr>
          <w:spacing w:val="29"/>
        </w:rPr>
        <w:t xml:space="preserve"> </w:t>
      </w:r>
      <w:r w:rsidRPr="00D96D72">
        <w:t>GPA,</w:t>
      </w:r>
      <w:r w:rsidRPr="00D96D72">
        <w:rPr>
          <w:spacing w:val="28"/>
        </w:rPr>
        <w:t xml:space="preserve"> </w:t>
      </w:r>
      <w:r w:rsidRPr="00D96D72">
        <w:t>to</w:t>
      </w:r>
      <w:r w:rsidRPr="00D96D72">
        <w:rPr>
          <w:spacing w:val="29"/>
        </w:rPr>
        <w:t xml:space="preserve"> </w:t>
      </w:r>
      <w:r w:rsidRPr="00D96D72">
        <w:t>the</w:t>
      </w:r>
      <w:r w:rsidRPr="00D96D72">
        <w:rPr>
          <w:spacing w:val="69"/>
        </w:rPr>
        <w:t xml:space="preserve"> </w:t>
      </w:r>
      <w:r w:rsidRPr="00D96D72">
        <w:t>procurement</w:t>
      </w:r>
      <w:r w:rsidRPr="00D96D72">
        <w:rPr>
          <w:spacing w:val="-3"/>
        </w:rPr>
        <w:t xml:space="preserve"> </w:t>
      </w:r>
      <w:r w:rsidRPr="00D96D72">
        <w:t>covered by</w:t>
      </w:r>
      <w:r w:rsidRPr="00D96D72">
        <w:rPr>
          <w:spacing w:val="-2"/>
        </w:rPr>
        <w:t xml:space="preserve"> </w:t>
      </w:r>
      <w:r w:rsidRPr="00D96D72">
        <w:t>this Appendix.</w:t>
      </w:r>
    </w:p>
    <w:p w14:paraId="48A4444B" w14:textId="390824A4" w:rsidR="00155580" w:rsidRPr="00C63FD6" w:rsidRDefault="00155580" w:rsidP="00D24E00">
      <w:pPr>
        <w:pStyle w:val="FTAtext"/>
        <w:ind w:firstLine="0"/>
      </w:pPr>
      <w:r w:rsidRPr="00D96D72">
        <w:t>The</w:t>
      </w:r>
      <w:r w:rsidRPr="00D96D72">
        <w:rPr>
          <w:spacing w:val="33"/>
        </w:rPr>
        <w:t xml:space="preserve"> </w:t>
      </w:r>
      <w:r w:rsidRPr="00D96D72">
        <w:t>Notes</w:t>
      </w:r>
      <w:r w:rsidRPr="00D96D72">
        <w:rPr>
          <w:spacing w:val="31"/>
        </w:rPr>
        <w:t xml:space="preserve"> </w:t>
      </w:r>
      <w:r w:rsidRPr="00D96D72">
        <w:t>in</w:t>
      </w:r>
      <w:r w:rsidRPr="00D96D72">
        <w:rPr>
          <w:spacing w:val="33"/>
        </w:rPr>
        <w:t xml:space="preserve"> </w:t>
      </w:r>
      <w:r w:rsidRPr="00D96D72">
        <w:t>Annexes</w:t>
      </w:r>
      <w:r w:rsidRPr="00D96D72">
        <w:rPr>
          <w:spacing w:val="31"/>
        </w:rPr>
        <w:t xml:space="preserve"> </w:t>
      </w:r>
      <w:r w:rsidRPr="00D96D72">
        <w:t>1</w:t>
      </w:r>
      <w:r w:rsidRPr="00D96D72">
        <w:rPr>
          <w:spacing w:val="32"/>
        </w:rPr>
        <w:t xml:space="preserve"> </w:t>
      </w:r>
      <w:r w:rsidRPr="00D96D72">
        <w:t>to</w:t>
      </w:r>
      <w:r w:rsidRPr="00D96D72">
        <w:rPr>
          <w:spacing w:val="33"/>
        </w:rPr>
        <w:t xml:space="preserve"> </w:t>
      </w:r>
      <w:r w:rsidRPr="00D96D72">
        <w:t>7</w:t>
      </w:r>
      <w:r w:rsidRPr="00D96D72">
        <w:rPr>
          <w:spacing w:val="32"/>
        </w:rPr>
        <w:t xml:space="preserve"> </w:t>
      </w:r>
      <w:r w:rsidRPr="00D96D72">
        <w:t>of</w:t>
      </w:r>
      <w:r w:rsidRPr="00D96D72">
        <w:rPr>
          <w:spacing w:val="33"/>
        </w:rPr>
        <w:t xml:space="preserve"> </w:t>
      </w:r>
      <w:r w:rsidRPr="00D96D72">
        <w:rPr>
          <w:spacing w:val="-2"/>
        </w:rPr>
        <w:t>the United Kingdom</w:t>
      </w:r>
      <w:r w:rsidR="00005C8B">
        <w:rPr>
          <w:spacing w:val="-2"/>
        </w:rPr>
        <w:t>’s</w:t>
      </w:r>
      <w:r w:rsidRPr="00D96D72">
        <w:rPr>
          <w:spacing w:val="33"/>
        </w:rPr>
        <w:t xml:space="preserve"> </w:t>
      </w:r>
      <w:r w:rsidRPr="00D96D72">
        <w:t>Appendix</w:t>
      </w:r>
      <w:r w:rsidRPr="00D96D72">
        <w:rPr>
          <w:spacing w:val="34"/>
        </w:rPr>
        <w:t xml:space="preserve"> </w:t>
      </w:r>
      <w:r w:rsidRPr="00D96D72">
        <w:t>I</w:t>
      </w:r>
      <w:r w:rsidRPr="00D96D72">
        <w:rPr>
          <w:spacing w:val="31"/>
        </w:rPr>
        <w:t xml:space="preserve"> </w:t>
      </w:r>
      <w:r w:rsidRPr="00D96D72">
        <w:t>to</w:t>
      </w:r>
      <w:r w:rsidRPr="00D96D72">
        <w:rPr>
          <w:spacing w:val="32"/>
        </w:rPr>
        <w:t xml:space="preserve"> </w:t>
      </w:r>
      <w:r w:rsidRPr="00D96D72">
        <w:t>the</w:t>
      </w:r>
      <w:r w:rsidRPr="00D96D72">
        <w:rPr>
          <w:spacing w:val="32"/>
        </w:rPr>
        <w:t xml:space="preserve"> </w:t>
      </w:r>
      <w:r w:rsidRPr="00D96D72">
        <w:t>GPA</w:t>
      </w:r>
      <w:r w:rsidRPr="00D96D72">
        <w:rPr>
          <w:spacing w:val="33"/>
        </w:rPr>
        <w:t xml:space="preserve"> </w:t>
      </w:r>
      <w:r w:rsidRPr="00D96D72">
        <w:t>also</w:t>
      </w:r>
      <w:r w:rsidRPr="00D96D72">
        <w:rPr>
          <w:spacing w:val="34"/>
        </w:rPr>
        <w:t xml:space="preserve"> </w:t>
      </w:r>
      <w:r w:rsidRPr="00D96D72">
        <w:t>apply</w:t>
      </w:r>
      <w:r w:rsidRPr="00D96D72">
        <w:rPr>
          <w:spacing w:val="35"/>
        </w:rPr>
        <w:t xml:space="preserve"> </w:t>
      </w:r>
      <w:r w:rsidRPr="00D96D72">
        <w:t>to</w:t>
      </w:r>
      <w:r w:rsidRPr="00D96D72">
        <w:rPr>
          <w:spacing w:val="33"/>
        </w:rPr>
        <w:t xml:space="preserve"> </w:t>
      </w:r>
      <w:r w:rsidRPr="00D96D72">
        <w:t>the</w:t>
      </w:r>
      <w:r w:rsidRPr="00D96D72">
        <w:rPr>
          <w:spacing w:val="37"/>
        </w:rPr>
        <w:t xml:space="preserve"> </w:t>
      </w:r>
      <w:r w:rsidRPr="00D96D72">
        <w:t>procurement</w:t>
      </w:r>
      <w:r w:rsidRPr="00D96D72">
        <w:rPr>
          <w:spacing w:val="-2"/>
        </w:rPr>
        <w:t xml:space="preserve"> </w:t>
      </w:r>
      <w:r w:rsidRPr="00D96D72">
        <w:t>covered by</w:t>
      </w:r>
      <w:r w:rsidRPr="00D96D72">
        <w:rPr>
          <w:spacing w:val="-2"/>
        </w:rPr>
        <w:t xml:space="preserve"> </w:t>
      </w:r>
      <w:r w:rsidRPr="00D96D72">
        <w:t>this Appendix, unless</w:t>
      </w:r>
      <w:r w:rsidRPr="00D96D72">
        <w:rPr>
          <w:spacing w:val="-3"/>
        </w:rPr>
        <w:t xml:space="preserve"> </w:t>
      </w:r>
      <w:r w:rsidRPr="00D96D72">
        <w:t>otherwise</w:t>
      </w:r>
      <w:r w:rsidRPr="00D96D72">
        <w:rPr>
          <w:spacing w:val="1"/>
        </w:rPr>
        <w:t xml:space="preserve"> </w:t>
      </w:r>
      <w:r w:rsidRPr="00D96D72">
        <w:t>provided for</w:t>
      </w:r>
      <w:r w:rsidRPr="00D96D72">
        <w:rPr>
          <w:spacing w:val="-3"/>
        </w:rPr>
        <w:t xml:space="preserve"> </w:t>
      </w:r>
      <w:r w:rsidRPr="00D96D72">
        <w:t>in this Appendix.</w:t>
      </w:r>
    </w:p>
    <w:p w14:paraId="60DCD7F9" w14:textId="77777777" w:rsidR="00155580" w:rsidRPr="00D96D72" w:rsidRDefault="00155580" w:rsidP="0084549F">
      <w:pPr>
        <w:pStyle w:val="FTAtext"/>
        <w:rPr>
          <w:rFonts w:eastAsia="Calibri"/>
        </w:rPr>
      </w:pPr>
      <w:r w:rsidRPr="00D96D72">
        <w:t>Procurement covered by this Appendix</w:t>
      </w:r>
    </w:p>
    <w:p w14:paraId="6FD86457" w14:textId="71D260C0" w:rsidR="00155580" w:rsidRPr="00526AFE" w:rsidRDefault="00155580" w:rsidP="0084549F">
      <w:pPr>
        <w:pStyle w:val="FTAtextlistedparagraphs"/>
        <w:rPr>
          <w:b/>
          <w:bCs/>
        </w:rPr>
      </w:pPr>
      <w:r w:rsidRPr="00526AFE">
        <w:rPr>
          <w:b/>
          <w:bCs/>
        </w:rPr>
        <w:t>Additional procuring</w:t>
      </w:r>
      <w:r w:rsidRPr="00526AFE">
        <w:rPr>
          <w:b/>
          <w:bCs/>
          <w:spacing w:val="-3"/>
        </w:rPr>
        <w:t xml:space="preserve"> </w:t>
      </w:r>
      <w:r w:rsidRPr="00526AFE">
        <w:rPr>
          <w:b/>
          <w:bCs/>
        </w:rPr>
        <w:t>entities</w:t>
      </w:r>
    </w:p>
    <w:p w14:paraId="5B8E45E7" w14:textId="08726C5E" w:rsidR="00155580" w:rsidRPr="00D96D72" w:rsidRDefault="00155580" w:rsidP="00526AFE">
      <w:pPr>
        <w:pStyle w:val="FTAtextlistedparagraphs"/>
        <w:numPr>
          <w:ilvl w:val="0"/>
          <w:numId w:val="0"/>
        </w:numPr>
        <w:ind w:left="709"/>
      </w:pPr>
      <w:r w:rsidRPr="00D96D72">
        <w:t>Procurement of</w:t>
      </w:r>
      <w:r w:rsidRPr="00D96D72">
        <w:rPr>
          <w:spacing w:val="2"/>
        </w:rPr>
        <w:t xml:space="preserve"> </w:t>
      </w:r>
      <w:r w:rsidRPr="00D96D72">
        <w:t>goods</w:t>
      </w:r>
      <w:r w:rsidRPr="00D96D72">
        <w:rPr>
          <w:spacing w:val="2"/>
        </w:rPr>
        <w:t xml:space="preserve"> </w:t>
      </w:r>
      <w:r w:rsidRPr="00D96D72">
        <w:t>and</w:t>
      </w:r>
      <w:r w:rsidRPr="00D96D72">
        <w:rPr>
          <w:spacing w:val="2"/>
        </w:rPr>
        <w:t xml:space="preserve"> </w:t>
      </w:r>
      <w:r w:rsidRPr="00D96D72">
        <w:t>services</w:t>
      </w:r>
      <w:r w:rsidRPr="00D96D72">
        <w:rPr>
          <w:spacing w:val="3"/>
        </w:rPr>
        <w:t xml:space="preserve"> </w:t>
      </w:r>
      <w:r w:rsidRPr="00D96D72">
        <w:t>as</w:t>
      </w:r>
      <w:r w:rsidRPr="00D96D72">
        <w:rPr>
          <w:spacing w:val="2"/>
        </w:rPr>
        <w:t xml:space="preserve"> </w:t>
      </w:r>
      <w:r w:rsidRPr="00D96D72">
        <w:t>set</w:t>
      </w:r>
      <w:r w:rsidRPr="00D96D72">
        <w:rPr>
          <w:spacing w:val="3"/>
        </w:rPr>
        <w:t xml:space="preserve"> </w:t>
      </w:r>
      <w:r w:rsidRPr="00D96D72">
        <w:t>out</w:t>
      </w:r>
      <w:r w:rsidRPr="00D96D72">
        <w:rPr>
          <w:spacing w:val="3"/>
        </w:rPr>
        <w:t xml:space="preserve"> </w:t>
      </w:r>
      <w:r w:rsidRPr="00D96D72">
        <w:t>in</w:t>
      </w:r>
      <w:r w:rsidRPr="00D96D72">
        <w:rPr>
          <w:spacing w:val="1"/>
        </w:rPr>
        <w:t xml:space="preserve"> </w:t>
      </w:r>
      <w:r w:rsidRPr="00D96D72">
        <w:t>Annexes</w:t>
      </w:r>
      <w:r w:rsidRPr="00D96D72">
        <w:rPr>
          <w:spacing w:val="2"/>
        </w:rPr>
        <w:t xml:space="preserve"> </w:t>
      </w:r>
      <w:r w:rsidRPr="00D96D72">
        <w:t>4</w:t>
      </w:r>
      <w:r w:rsidRPr="00D96D72">
        <w:rPr>
          <w:spacing w:val="3"/>
        </w:rPr>
        <w:t xml:space="preserve"> </w:t>
      </w:r>
      <w:r w:rsidRPr="00D96D72">
        <w:t>to</w:t>
      </w:r>
      <w:r w:rsidRPr="00D96D72">
        <w:rPr>
          <w:spacing w:val="1"/>
        </w:rPr>
        <w:t xml:space="preserve"> </w:t>
      </w:r>
      <w:r w:rsidRPr="00D96D72">
        <w:t>6</w:t>
      </w:r>
      <w:r w:rsidRPr="00D96D72">
        <w:rPr>
          <w:spacing w:val="3"/>
        </w:rPr>
        <w:t xml:space="preserve"> </w:t>
      </w:r>
      <w:r w:rsidRPr="00D96D72">
        <w:t>of</w:t>
      </w:r>
      <w:r w:rsidRPr="00D96D72">
        <w:rPr>
          <w:spacing w:val="2"/>
        </w:rPr>
        <w:t xml:space="preserve"> </w:t>
      </w:r>
      <w:r>
        <w:t>t</w:t>
      </w:r>
      <w:r w:rsidRPr="00D96D72">
        <w:t>he United Kingdom’s</w:t>
      </w:r>
      <w:r w:rsidRPr="00D96D72">
        <w:rPr>
          <w:spacing w:val="2"/>
        </w:rPr>
        <w:t xml:space="preserve"> </w:t>
      </w:r>
      <w:r w:rsidRPr="00D96D72">
        <w:t>Appendix I</w:t>
      </w:r>
      <w:r w:rsidRPr="00D96D72">
        <w:rPr>
          <w:spacing w:val="51"/>
        </w:rPr>
        <w:t xml:space="preserve"> </w:t>
      </w:r>
      <w:r w:rsidRPr="00D96D72">
        <w:t>to</w:t>
      </w:r>
      <w:r w:rsidRPr="00D96D72">
        <w:rPr>
          <w:spacing w:val="2"/>
        </w:rPr>
        <w:t xml:space="preserve"> </w:t>
      </w:r>
      <w:r w:rsidRPr="00D96D72">
        <w:t>the</w:t>
      </w:r>
      <w:r w:rsidRPr="00D96D72">
        <w:rPr>
          <w:spacing w:val="2"/>
        </w:rPr>
        <w:t xml:space="preserve"> </w:t>
      </w:r>
      <w:r w:rsidRPr="00D96D72">
        <w:t>GPA,</w:t>
      </w:r>
      <w:r w:rsidRPr="00D96D72">
        <w:rPr>
          <w:spacing w:val="1"/>
        </w:rPr>
        <w:t xml:space="preserve"> </w:t>
      </w:r>
      <w:r w:rsidRPr="00D96D72">
        <w:t>and in paragraph</w:t>
      </w:r>
      <w:r w:rsidRPr="00D96D72">
        <w:rPr>
          <w:spacing w:val="49"/>
        </w:rPr>
        <w:t xml:space="preserve"> </w:t>
      </w:r>
      <w:r w:rsidRPr="00D96D72">
        <w:t>2</w:t>
      </w:r>
      <w:r w:rsidR="00D03494">
        <w:t xml:space="preserve"> (Additional Services)</w:t>
      </w:r>
      <w:r w:rsidRPr="00D96D72">
        <w:rPr>
          <w:spacing w:val="1"/>
        </w:rPr>
        <w:t xml:space="preserve"> </w:t>
      </w:r>
      <w:r w:rsidRPr="00D96D72">
        <w:t>of</w:t>
      </w:r>
      <w:r w:rsidRPr="00D96D72">
        <w:rPr>
          <w:spacing w:val="48"/>
        </w:rPr>
        <w:t xml:space="preserve"> </w:t>
      </w:r>
      <w:r w:rsidRPr="00D96D72">
        <w:t>this</w:t>
      </w:r>
      <w:r w:rsidRPr="00D96D72">
        <w:rPr>
          <w:spacing w:val="1"/>
        </w:rPr>
        <w:t xml:space="preserve"> </w:t>
      </w:r>
      <w:r w:rsidR="00D03494">
        <w:rPr>
          <w:spacing w:val="1"/>
        </w:rPr>
        <w:t>Part</w:t>
      </w:r>
      <w:r w:rsidR="00005C8B">
        <w:rPr>
          <w:spacing w:val="1"/>
        </w:rPr>
        <w:t xml:space="preserve"> A</w:t>
      </w:r>
      <w:r w:rsidRPr="00D96D72">
        <w:t>,</w:t>
      </w:r>
      <w:r w:rsidRPr="00D96D72">
        <w:rPr>
          <w:spacing w:val="1"/>
        </w:rPr>
        <w:t xml:space="preserve"> </w:t>
      </w:r>
      <w:r w:rsidRPr="00D96D72">
        <w:t>by</w:t>
      </w:r>
      <w:r w:rsidRPr="00D96D72">
        <w:rPr>
          <w:spacing w:val="2"/>
        </w:rPr>
        <w:t xml:space="preserve"> </w:t>
      </w:r>
      <w:r w:rsidRPr="00D96D72">
        <w:t>the</w:t>
      </w:r>
      <w:r w:rsidRPr="00D96D72">
        <w:rPr>
          <w:spacing w:val="1"/>
        </w:rPr>
        <w:t xml:space="preserve"> </w:t>
      </w:r>
      <w:r w:rsidRPr="00D96D72">
        <w:t>following</w:t>
      </w:r>
      <w:r w:rsidRPr="00D96D72">
        <w:rPr>
          <w:spacing w:val="49"/>
        </w:rPr>
        <w:t xml:space="preserve"> </w:t>
      </w:r>
      <w:r w:rsidRPr="00D96D72">
        <w:t>procuring entities:</w:t>
      </w:r>
    </w:p>
    <w:p w14:paraId="72911447" w14:textId="168643A8" w:rsidR="00155580" w:rsidRPr="007B33D6" w:rsidRDefault="0B571D6A" w:rsidP="003454A1">
      <w:pPr>
        <w:pStyle w:val="FTAtextlistedparagraphs"/>
        <w:numPr>
          <w:ilvl w:val="1"/>
          <w:numId w:val="5"/>
        </w:numPr>
      </w:pPr>
      <w:r w:rsidRPr="00D96D72">
        <w:t>all</w:t>
      </w:r>
      <w:r w:rsidRPr="00D96D72">
        <w:rPr>
          <w:spacing w:val="21"/>
        </w:rPr>
        <w:t xml:space="preserve"> </w:t>
      </w:r>
      <w:r w:rsidRPr="00D96D72">
        <w:t>contracting</w:t>
      </w:r>
      <w:r w:rsidRPr="00D96D72">
        <w:rPr>
          <w:spacing w:val="21"/>
        </w:rPr>
        <w:t xml:space="preserve"> </w:t>
      </w:r>
      <w:r w:rsidRPr="00D96D72">
        <w:t>entities</w:t>
      </w:r>
      <w:r w:rsidRPr="00D96D72">
        <w:rPr>
          <w:spacing w:val="20"/>
        </w:rPr>
        <w:t xml:space="preserve"> </w:t>
      </w:r>
      <w:r w:rsidRPr="00D96D72">
        <w:t>whose</w:t>
      </w:r>
      <w:r w:rsidRPr="00D96D72">
        <w:rPr>
          <w:spacing w:val="20"/>
        </w:rPr>
        <w:t xml:space="preserve"> </w:t>
      </w:r>
      <w:r w:rsidRPr="00D96D72">
        <w:t>procurement</w:t>
      </w:r>
      <w:r w:rsidRPr="00D96D72">
        <w:rPr>
          <w:spacing w:val="21"/>
        </w:rPr>
        <w:t xml:space="preserve"> </w:t>
      </w:r>
      <w:r w:rsidRPr="00D96D72">
        <w:t>is</w:t>
      </w:r>
      <w:r w:rsidRPr="00D96D72">
        <w:rPr>
          <w:spacing w:val="19"/>
        </w:rPr>
        <w:t xml:space="preserve"> </w:t>
      </w:r>
      <w:r w:rsidRPr="00D96D72">
        <w:t>covered</w:t>
      </w:r>
      <w:r w:rsidRPr="00D96D72">
        <w:rPr>
          <w:spacing w:val="21"/>
        </w:rPr>
        <w:t xml:space="preserve"> </w:t>
      </w:r>
      <w:r w:rsidRPr="00D96D72">
        <w:t>by the Utilities Contracts Regulation 2016 and the Utilities Contracts (Scotland) Regulations 2016 which are contracting authorities</w:t>
      </w:r>
      <w:r w:rsidRPr="00D96D72">
        <w:rPr>
          <w:spacing w:val="22"/>
        </w:rPr>
        <w:t xml:space="preserve"> </w:t>
      </w:r>
      <w:r w:rsidRPr="00D96D72">
        <w:t>(e.g.</w:t>
      </w:r>
      <w:r w:rsidRPr="00D96D72">
        <w:rPr>
          <w:spacing w:val="19"/>
        </w:rPr>
        <w:t xml:space="preserve"> </w:t>
      </w:r>
      <w:r w:rsidRPr="00D96D72">
        <w:t>those</w:t>
      </w:r>
      <w:r w:rsidRPr="00D96D72">
        <w:rPr>
          <w:spacing w:val="20"/>
        </w:rPr>
        <w:t xml:space="preserve"> </w:t>
      </w:r>
      <w:r w:rsidRPr="00D96D72">
        <w:t>covered</w:t>
      </w:r>
      <w:r w:rsidRPr="00D96D72">
        <w:rPr>
          <w:spacing w:val="19"/>
        </w:rPr>
        <w:t xml:space="preserve"> </w:t>
      </w:r>
      <w:r w:rsidRPr="00D96D72">
        <w:t>under</w:t>
      </w:r>
      <w:r w:rsidRPr="00D96D72">
        <w:rPr>
          <w:spacing w:val="19"/>
        </w:rPr>
        <w:t xml:space="preserve"> </w:t>
      </w:r>
      <w:r w:rsidRPr="00D96D72">
        <w:t>Annex</w:t>
      </w:r>
      <w:r w:rsidRPr="00D96D72">
        <w:rPr>
          <w:spacing w:val="20"/>
        </w:rPr>
        <w:t xml:space="preserve"> </w:t>
      </w:r>
      <w:r w:rsidRPr="00D96D72">
        <w:t>1</w:t>
      </w:r>
      <w:r w:rsidRPr="00D96D72">
        <w:rPr>
          <w:spacing w:val="20"/>
        </w:rPr>
        <w:t xml:space="preserve"> </w:t>
      </w:r>
      <w:r w:rsidRPr="00D96D72">
        <w:t>and</w:t>
      </w:r>
      <w:r w:rsidRPr="00D96D72">
        <w:rPr>
          <w:spacing w:val="18"/>
        </w:rPr>
        <w:t xml:space="preserve"> </w:t>
      </w:r>
      <w:r w:rsidRPr="00D96D72">
        <w:t>Annex</w:t>
      </w:r>
      <w:r w:rsidRPr="00D96D72">
        <w:rPr>
          <w:spacing w:val="20"/>
        </w:rPr>
        <w:t xml:space="preserve"> </w:t>
      </w:r>
      <w:r w:rsidRPr="00D96D72">
        <w:t>2</w:t>
      </w:r>
      <w:r w:rsidRPr="00D96D72">
        <w:rPr>
          <w:spacing w:val="20"/>
        </w:rPr>
        <w:t xml:space="preserve"> </w:t>
      </w:r>
      <w:r w:rsidRPr="00D96D72">
        <w:t>to</w:t>
      </w:r>
      <w:r w:rsidRPr="00D96D72">
        <w:rPr>
          <w:spacing w:val="21"/>
        </w:rPr>
        <w:t xml:space="preserve"> </w:t>
      </w:r>
      <w:r w:rsidRPr="00D96D72">
        <w:t>Appendix</w:t>
      </w:r>
      <w:r w:rsidRPr="00D96D72">
        <w:rPr>
          <w:spacing w:val="19"/>
        </w:rPr>
        <w:t xml:space="preserve"> </w:t>
      </w:r>
      <w:r w:rsidRPr="00D96D72">
        <w:t>I</w:t>
      </w:r>
      <w:r w:rsidRPr="00D96D72">
        <w:rPr>
          <w:spacing w:val="19"/>
        </w:rPr>
        <w:t xml:space="preserve"> </w:t>
      </w:r>
      <w:r w:rsidRPr="00D96D72">
        <w:t>to</w:t>
      </w:r>
      <w:r w:rsidRPr="00D96D72">
        <w:rPr>
          <w:spacing w:val="21"/>
        </w:rPr>
        <w:t xml:space="preserve"> </w:t>
      </w:r>
      <w:r w:rsidRPr="00D96D72">
        <w:t>the</w:t>
      </w:r>
      <w:r w:rsidR="002C6862">
        <w:rPr>
          <w:spacing w:val="81"/>
        </w:rPr>
        <w:t xml:space="preserve"> </w:t>
      </w:r>
      <w:r w:rsidRPr="00D96D72">
        <w:t>GPA)</w:t>
      </w:r>
      <w:r w:rsidRPr="00D96D72">
        <w:rPr>
          <w:spacing w:val="-4"/>
        </w:rPr>
        <w:t xml:space="preserve"> </w:t>
      </w:r>
      <w:r w:rsidRPr="00D96D72">
        <w:t>or public undertakings</w:t>
      </w:r>
      <w:r w:rsidRPr="000850AF">
        <w:t xml:space="preserve"> (see Note</w:t>
      </w:r>
      <w:r>
        <w:t>s</w:t>
      </w:r>
      <w:r w:rsidRPr="000850AF">
        <w:t xml:space="preserve"> to paragraph 1</w:t>
      </w:r>
      <w:r w:rsidR="00005C8B">
        <w:t xml:space="preserve"> (Additional procuring entities)</w:t>
      </w:r>
      <w:r w:rsidRPr="000850AF">
        <w:t>)</w:t>
      </w:r>
      <w:r w:rsidRPr="00D96D72">
        <w:rPr>
          <w:spacing w:val="17"/>
          <w:position w:val="10"/>
        </w:rPr>
        <w:t xml:space="preserve"> </w:t>
      </w:r>
      <w:r w:rsidRPr="00D96D72">
        <w:t>and which have as</w:t>
      </w:r>
      <w:r w:rsidRPr="00D96D72">
        <w:rPr>
          <w:spacing w:val="-3"/>
        </w:rPr>
        <w:t xml:space="preserve"> </w:t>
      </w:r>
      <w:r w:rsidRPr="00D96D72">
        <w:t>one</w:t>
      </w:r>
      <w:r w:rsidRPr="00D96D72">
        <w:rPr>
          <w:spacing w:val="-3"/>
        </w:rPr>
        <w:t xml:space="preserve"> </w:t>
      </w:r>
      <w:r w:rsidRPr="00D96D72">
        <w:t>of</w:t>
      </w:r>
      <w:r w:rsidRPr="00D96D72">
        <w:rPr>
          <w:spacing w:val="-2"/>
        </w:rPr>
        <w:t xml:space="preserve"> </w:t>
      </w:r>
      <w:r w:rsidRPr="00D96D72">
        <w:t>their activities</w:t>
      </w:r>
    </w:p>
    <w:p w14:paraId="6E468ECC" w14:textId="28B3FBE3" w:rsidR="00155580" w:rsidRPr="007B33D6" w:rsidRDefault="00155580" w:rsidP="003454A1">
      <w:pPr>
        <w:pStyle w:val="FTAtextlistedparagraphs"/>
        <w:numPr>
          <w:ilvl w:val="2"/>
          <w:numId w:val="5"/>
        </w:numPr>
      </w:pPr>
      <w:r w:rsidRPr="00D96D72">
        <w:t>the</w:t>
      </w:r>
      <w:r w:rsidRPr="00D96D72">
        <w:rPr>
          <w:spacing w:val="40"/>
        </w:rPr>
        <w:t xml:space="preserve"> </w:t>
      </w:r>
      <w:r w:rsidRPr="00D96D72">
        <w:t>provision</w:t>
      </w:r>
      <w:r w:rsidRPr="00D96D72">
        <w:rPr>
          <w:spacing w:val="40"/>
        </w:rPr>
        <w:t xml:space="preserve"> </w:t>
      </w:r>
      <w:r w:rsidRPr="00D96D72">
        <w:rPr>
          <w:spacing w:val="1"/>
        </w:rPr>
        <w:t>or</w:t>
      </w:r>
      <w:r w:rsidRPr="00D96D72">
        <w:rPr>
          <w:spacing w:val="41"/>
        </w:rPr>
        <w:t xml:space="preserve"> </w:t>
      </w:r>
      <w:r w:rsidRPr="00D96D72">
        <w:t>operation</w:t>
      </w:r>
      <w:r w:rsidRPr="00D96D72">
        <w:rPr>
          <w:spacing w:val="39"/>
        </w:rPr>
        <w:t xml:space="preserve"> </w:t>
      </w:r>
      <w:r w:rsidRPr="00D96D72">
        <w:t>of</w:t>
      </w:r>
      <w:r w:rsidRPr="00D96D72">
        <w:rPr>
          <w:spacing w:val="41"/>
        </w:rPr>
        <w:t xml:space="preserve"> </w:t>
      </w:r>
      <w:r w:rsidRPr="00D96D72">
        <w:t>fixed</w:t>
      </w:r>
      <w:r w:rsidRPr="00D96D72">
        <w:rPr>
          <w:spacing w:val="41"/>
        </w:rPr>
        <w:t xml:space="preserve"> </w:t>
      </w:r>
      <w:r w:rsidRPr="00D96D72">
        <w:t>networks</w:t>
      </w:r>
      <w:r w:rsidRPr="00D96D72">
        <w:rPr>
          <w:spacing w:val="41"/>
        </w:rPr>
        <w:t xml:space="preserve"> </w:t>
      </w:r>
      <w:r w:rsidRPr="00D96D72">
        <w:t>intended</w:t>
      </w:r>
      <w:r w:rsidRPr="00D96D72">
        <w:rPr>
          <w:spacing w:val="40"/>
        </w:rPr>
        <w:t xml:space="preserve"> </w:t>
      </w:r>
      <w:r w:rsidRPr="00D96D72">
        <w:t>to</w:t>
      </w:r>
      <w:r w:rsidRPr="00D96D72">
        <w:rPr>
          <w:spacing w:val="43"/>
        </w:rPr>
        <w:t xml:space="preserve"> </w:t>
      </w:r>
      <w:r w:rsidRPr="00D96D72">
        <w:t>provide</w:t>
      </w:r>
      <w:r w:rsidRPr="00D96D72">
        <w:rPr>
          <w:spacing w:val="42"/>
        </w:rPr>
        <w:t xml:space="preserve"> </w:t>
      </w:r>
      <w:r w:rsidRPr="00D96D72">
        <w:t>a</w:t>
      </w:r>
      <w:r w:rsidRPr="00D96D72">
        <w:rPr>
          <w:spacing w:val="40"/>
        </w:rPr>
        <w:t xml:space="preserve"> </w:t>
      </w:r>
      <w:r w:rsidRPr="00D96D72">
        <w:t>service</w:t>
      </w:r>
      <w:r w:rsidRPr="00D96D72">
        <w:rPr>
          <w:spacing w:val="39"/>
        </w:rPr>
        <w:t xml:space="preserve"> </w:t>
      </w:r>
      <w:r w:rsidRPr="00D96D72">
        <w:t>to</w:t>
      </w:r>
      <w:r w:rsidRPr="00D96D72">
        <w:rPr>
          <w:spacing w:val="43"/>
        </w:rPr>
        <w:t xml:space="preserve"> </w:t>
      </w:r>
      <w:r w:rsidRPr="00D96D72">
        <w:t>the</w:t>
      </w:r>
      <w:r w:rsidRPr="00D96D72">
        <w:rPr>
          <w:spacing w:val="49"/>
        </w:rPr>
        <w:t xml:space="preserve"> </w:t>
      </w:r>
      <w:r w:rsidRPr="00D96D72">
        <w:t>public</w:t>
      </w:r>
      <w:r w:rsidRPr="00D96D72">
        <w:rPr>
          <w:spacing w:val="24"/>
        </w:rPr>
        <w:t xml:space="preserve"> </w:t>
      </w:r>
      <w:r w:rsidRPr="00D96D72">
        <w:t>in</w:t>
      </w:r>
      <w:r w:rsidRPr="00D96D72">
        <w:rPr>
          <w:spacing w:val="23"/>
        </w:rPr>
        <w:t xml:space="preserve"> </w:t>
      </w:r>
      <w:r w:rsidRPr="00D96D72">
        <w:t>connection</w:t>
      </w:r>
      <w:r w:rsidRPr="00D96D72">
        <w:rPr>
          <w:spacing w:val="23"/>
        </w:rPr>
        <w:t xml:space="preserve"> </w:t>
      </w:r>
      <w:r w:rsidRPr="00D96D72">
        <w:t>with</w:t>
      </w:r>
      <w:r w:rsidRPr="00D96D72">
        <w:rPr>
          <w:spacing w:val="21"/>
        </w:rPr>
        <w:t xml:space="preserve"> </w:t>
      </w:r>
      <w:r w:rsidRPr="00D96D72">
        <w:t>the</w:t>
      </w:r>
      <w:r w:rsidRPr="00D96D72">
        <w:rPr>
          <w:spacing w:val="24"/>
        </w:rPr>
        <w:t xml:space="preserve"> </w:t>
      </w:r>
      <w:r w:rsidRPr="00D96D72">
        <w:t>production,</w:t>
      </w:r>
      <w:r w:rsidRPr="00D96D72">
        <w:rPr>
          <w:spacing w:val="24"/>
        </w:rPr>
        <w:t xml:space="preserve"> </w:t>
      </w:r>
      <w:r w:rsidRPr="00D96D72">
        <w:t>transport</w:t>
      </w:r>
      <w:r w:rsidRPr="00D96D72">
        <w:rPr>
          <w:spacing w:val="22"/>
        </w:rPr>
        <w:t xml:space="preserve"> </w:t>
      </w:r>
      <w:r w:rsidRPr="00D96D72">
        <w:t>or</w:t>
      </w:r>
      <w:r w:rsidRPr="00D96D72">
        <w:rPr>
          <w:spacing w:val="24"/>
        </w:rPr>
        <w:t xml:space="preserve"> </w:t>
      </w:r>
      <w:r w:rsidRPr="00D96D72">
        <w:t>distribution</w:t>
      </w:r>
      <w:r w:rsidRPr="00D96D72">
        <w:rPr>
          <w:spacing w:val="23"/>
        </w:rPr>
        <w:t xml:space="preserve"> </w:t>
      </w:r>
      <w:r w:rsidRPr="00D96D72">
        <w:t>of</w:t>
      </w:r>
      <w:r w:rsidRPr="00D96D72">
        <w:rPr>
          <w:spacing w:val="24"/>
        </w:rPr>
        <w:t xml:space="preserve"> </w:t>
      </w:r>
      <w:r w:rsidRPr="00D96D72">
        <w:t>gas</w:t>
      </w:r>
      <w:r w:rsidRPr="00D96D72">
        <w:rPr>
          <w:spacing w:val="22"/>
        </w:rPr>
        <w:t xml:space="preserve"> </w:t>
      </w:r>
      <w:r w:rsidRPr="00D96D72">
        <w:t>or</w:t>
      </w:r>
      <w:r w:rsidRPr="00D96D72">
        <w:rPr>
          <w:spacing w:val="24"/>
        </w:rPr>
        <w:t xml:space="preserve"> </w:t>
      </w:r>
      <w:r w:rsidRPr="00D96D72">
        <w:t>heat</w:t>
      </w:r>
      <w:r w:rsidRPr="00D96D72">
        <w:rPr>
          <w:spacing w:val="24"/>
        </w:rPr>
        <w:t xml:space="preserve"> </w:t>
      </w:r>
      <w:r w:rsidRPr="00D96D72">
        <w:t>or</w:t>
      </w:r>
      <w:r w:rsidRPr="00D96D72">
        <w:rPr>
          <w:spacing w:val="59"/>
        </w:rPr>
        <w:t xml:space="preserve"> </w:t>
      </w:r>
      <w:r w:rsidRPr="00D96D72">
        <w:t>the supply</w:t>
      </w:r>
      <w:r w:rsidRPr="00D96D72">
        <w:rPr>
          <w:spacing w:val="-2"/>
        </w:rPr>
        <w:t xml:space="preserve"> </w:t>
      </w:r>
      <w:r w:rsidRPr="00D96D72">
        <w:t>of gas</w:t>
      </w:r>
      <w:r w:rsidRPr="00D96D72">
        <w:rPr>
          <w:spacing w:val="-3"/>
        </w:rPr>
        <w:t xml:space="preserve"> </w:t>
      </w:r>
      <w:r w:rsidRPr="00D96D72">
        <w:t>or heat</w:t>
      </w:r>
      <w:r w:rsidRPr="00D96D72">
        <w:rPr>
          <w:spacing w:val="-2"/>
        </w:rPr>
        <w:t xml:space="preserve"> </w:t>
      </w:r>
      <w:r w:rsidRPr="00D96D72">
        <w:t>to such networks</w:t>
      </w:r>
      <w:r w:rsidR="00CE3236">
        <w:t>;</w:t>
      </w:r>
      <w:r w:rsidRPr="00D96D72">
        <w:rPr>
          <w:spacing w:val="-2"/>
        </w:rPr>
        <w:t xml:space="preserve"> </w:t>
      </w:r>
      <w:r w:rsidRPr="00D96D72">
        <w:t>or</w:t>
      </w:r>
    </w:p>
    <w:p w14:paraId="0F80FAA3" w14:textId="25F32816" w:rsidR="00155580" w:rsidRPr="007B33D6" w:rsidRDefault="00155580" w:rsidP="003454A1">
      <w:pPr>
        <w:pStyle w:val="FTAtextlistedparagraphs"/>
        <w:numPr>
          <w:ilvl w:val="2"/>
          <w:numId w:val="5"/>
        </w:numPr>
      </w:pPr>
      <w:r w:rsidRPr="177C1A3D">
        <w:t>any combination between such activity and those referred to in Annex 3 to Appendix 1 to the GPA;</w:t>
      </w:r>
    </w:p>
    <w:p w14:paraId="67E94310" w14:textId="47766189" w:rsidR="00155580" w:rsidRPr="007B33D6" w:rsidRDefault="0B571D6A" w:rsidP="003454A1">
      <w:pPr>
        <w:pStyle w:val="FTAtextlistedparagraphs"/>
        <w:numPr>
          <w:ilvl w:val="1"/>
          <w:numId w:val="5"/>
        </w:numPr>
      </w:pPr>
      <w:r w:rsidRPr="7B1BE8A8">
        <w:t xml:space="preserve">privately-owned procuring entities that have as one of their activities any of those referred to in </w:t>
      </w:r>
      <w:r w:rsidR="000A44C0">
        <w:t>subparagraph</w:t>
      </w:r>
      <w:r w:rsidR="000A44C0" w:rsidRPr="7B1BE8A8">
        <w:t xml:space="preserve"> </w:t>
      </w:r>
      <w:r w:rsidRPr="7B1BE8A8">
        <w:t xml:space="preserve">(a) of this paragraph, in paragraph 1 of Annex 3 to Appendix I to the GPA, or any combination thereof and operate on the basis of special or exclusive rights granted by a competent authority of the United Kingdom; </w:t>
      </w:r>
    </w:p>
    <w:p w14:paraId="7ABEA2B6" w14:textId="77777777" w:rsidR="00155580" w:rsidRPr="00D96D72" w:rsidRDefault="00155580" w:rsidP="00526AFE">
      <w:pPr>
        <w:pStyle w:val="FTAtextlistedparagraphs"/>
        <w:numPr>
          <w:ilvl w:val="0"/>
          <w:numId w:val="0"/>
        </w:numPr>
        <w:ind w:left="709"/>
      </w:pPr>
      <w:proofErr w:type="gramStart"/>
      <w:r w:rsidRPr="00D96D72">
        <w:t>with regard</w:t>
      </w:r>
      <w:r w:rsidRPr="00D96D72">
        <w:rPr>
          <w:spacing w:val="-3"/>
        </w:rPr>
        <w:t xml:space="preserve"> </w:t>
      </w:r>
      <w:r w:rsidRPr="00D96D72">
        <w:t>to</w:t>
      </w:r>
      <w:proofErr w:type="gramEnd"/>
      <w:r w:rsidRPr="00D96D72">
        <w:t xml:space="preserve"> procurement</w:t>
      </w:r>
      <w:r w:rsidRPr="00D96D72">
        <w:rPr>
          <w:spacing w:val="1"/>
        </w:rPr>
        <w:t xml:space="preserve"> </w:t>
      </w:r>
      <w:r w:rsidRPr="00D96D72">
        <w:t>equal to or above the</w:t>
      </w:r>
      <w:r w:rsidRPr="00D96D72">
        <w:rPr>
          <w:spacing w:val="-3"/>
        </w:rPr>
        <w:t xml:space="preserve"> </w:t>
      </w:r>
      <w:r w:rsidRPr="00D96D72">
        <w:t>following</w:t>
      </w:r>
      <w:r w:rsidRPr="00D96D72">
        <w:rPr>
          <w:spacing w:val="-2"/>
        </w:rPr>
        <w:t xml:space="preserve"> </w:t>
      </w:r>
      <w:r w:rsidRPr="00D96D72">
        <w:t>thresholds:</w:t>
      </w:r>
    </w:p>
    <w:p w14:paraId="6E93B977" w14:textId="6C04E374" w:rsidR="00155580" w:rsidRPr="00D96D72" w:rsidRDefault="00155580" w:rsidP="003454A1">
      <w:pPr>
        <w:pStyle w:val="FTAtext"/>
        <w:numPr>
          <w:ilvl w:val="0"/>
          <w:numId w:val="6"/>
        </w:numPr>
      </w:pPr>
      <w:r w:rsidRPr="00D96D72">
        <w:t>400,000</w:t>
      </w:r>
      <w:r w:rsidRPr="00D96D72">
        <w:rPr>
          <w:spacing w:val="-2"/>
        </w:rPr>
        <w:t xml:space="preserve"> </w:t>
      </w:r>
      <w:r w:rsidRPr="00D96D72">
        <w:t>SDR</w:t>
      </w:r>
      <w:r w:rsidRPr="00D96D72">
        <w:rPr>
          <w:spacing w:val="-3"/>
        </w:rPr>
        <w:t xml:space="preserve"> </w:t>
      </w:r>
      <w:r w:rsidRPr="00D96D72">
        <w:t>for</w:t>
      </w:r>
      <w:r w:rsidRPr="00D96D72">
        <w:rPr>
          <w:spacing w:val="-3"/>
        </w:rPr>
        <w:t xml:space="preserve"> </w:t>
      </w:r>
      <w:r w:rsidRPr="00D96D72">
        <w:t>procurement of</w:t>
      </w:r>
      <w:r w:rsidRPr="00D96D72">
        <w:rPr>
          <w:spacing w:val="-3"/>
        </w:rPr>
        <w:t xml:space="preserve"> </w:t>
      </w:r>
      <w:r w:rsidRPr="00D96D72">
        <w:t>goods and</w:t>
      </w:r>
      <w:r w:rsidRPr="00D96D72">
        <w:rPr>
          <w:spacing w:val="-2"/>
        </w:rPr>
        <w:t xml:space="preserve"> </w:t>
      </w:r>
      <w:r w:rsidRPr="00D96D72">
        <w:t>services</w:t>
      </w:r>
      <w:r w:rsidR="00CE3236">
        <w:t>;</w:t>
      </w:r>
      <w:r w:rsidR="000A44C0">
        <w:t xml:space="preserve"> and</w:t>
      </w:r>
    </w:p>
    <w:p w14:paraId="6E5B3A48" w14:textId="34476FE3" w:rsidR="00155580" w:rsidRDefault="00155580" w:rsidP="003454A1">
      <w:pPr>
        <w:pStyle w:val="FTAtext"/>
        <w:numPr>
          <w:ilvl w:val="0"/>
          <w:numId w:val="6"/>
        </w:numPr>
      </w:pPr>
      <w:r w:rsidRPr="00D96D72">
        <w:t>5,000,000</w:t>
      </w:r>
      <w:r w:rsidRPr="00D96D72">
        <w:rPr>
          <w:spacing w:val="2"/>
        </w:rPr>
        <w:t xml:space="preserve"> </w:t>
      </w:r>
      <w:r w:rsidRPr="00D96D72">
        <w:t>SDR</w:t>
      </w:r>
      <w:r w:rsidRPr="00D96D72">
        <w:rPr>
          <w:spacing w:val="1"/>
        </w:rPr>
        <w:t xml:space="preserve"> </w:t>
      </w:r>
      <w:r w:rsidRPr="00D96D72">
        <w:t>for procurement of</w:t>
      </w:r>
      <w:r w:rsidRPr="00D96D72">
        <w:rPr>
          <w:spacing w:val="-3"/>
        </w:rPr>
        <w:t xml:space="preserve"> </w:t>
      </w:r>
      <w:r w:rsidRPr="00D96D72">
        <w:t>construction services (CPC</w:t>
      </w:r>
      <w:r w:rsidRPr="00D96D72">
        <w:rPr>
          <w:spacing w:val="-2"/>
        </w:rPr>
        <w:t xml:space="preserve"> </w:t>
      </w:r>
      <w:r w:rsidRPr="00D96D72">
        <w:t>51).</w:t>
      </w:r>
    </w:p>
    <w:p w14:paraId="3CD7BF83" w14:textId="35B3260B" w:rsidR="00155580" w:rsidRPr="00C63FD6" w:rsidRDefault="006A166E" w:rsidP="0084549F">
      <w:pPr>
        <w:pStyle w:val="FTAtext"/>
      </w:pPr>
      <w:r>
        <w:tab/>
      </w:r>
      <w:r w:rsidR="00155580" w:rsidRPr="00C63FD6">
        <w:t xml:space="preserve">Notes to paragraph 1: </w:t>
      </w:r>
    </w:p>
    <w:p w14:paraId="55C4FCF1" w14:textId="05F251B7" w:rsidR="00155580" w:rsidRPr="00647251" w:rsidRDefault="00155580" w:rsidP="003454A1">
      <w:pPr>
        <w:pStyle w:val="FTAtextlistedparagraphs"/>
        <w:numPr>
          <w:ilvl w:val="1"/>
          <w:numId w:val="34"/>
        </w:numPr>
        <w:rPr>
          <w:szCs w:val="16"/>
        </w:rPr>
      </w:pPr>
      <w:bookmarkStart w:id="1" w:name="_Hlk72863132"/>
      <w:r w:rsidRPr="00C63FD6">
        <w:t xml:space="preserve">According to the Utilities Contracts Regulations 2016, a </w:t>
      </w:r>
      <w:r w:rsidR="00CE3236">
        <w:t>“</w:t>
      </w:r>
      <w:r w:rsidRPr="00C63FD6">
        <w:t>public undertaking</w:t>
      </w:r>
      <w:r w:rsidR="00CE3236">
        <w:t>”</w:t>
      </w:r>
      <w:r w:rsidRPr="00C63FD6">
        <w:t xml:space="preserve"> means any undertaking over which contracting </w:t>
      </w:r>
      <w:r w:rsidRPr="00C63FD6">
        <w:lastRenderedPageBreak/>
        <w:t xml:space="preserve">authorities may exercise directly or indirectly a dominant influence by virtue of: </w:t>
      </w:r>
    </w:p>
    <w:p w14:paraId="0E6CF527" w14:textId="0DD031E8" w:rsidR="00155580" w:rsidRPr="00C63FD6" w:rsidRDefault="00155580" w:rsidP="003454A1">
      <w:pPr>
        <w:pStyle w:val="FTAtextlistedparagraphs"/>
        <w:numPr>
          <w:ilvl w:val="2"/>
          <w:numId w:val="5"/>
        </w:numPr>
      </w:pPr>
      <w:r w:rsidRPr="00C63FD6">
        <w:t xml:space="preserve">their ownership of that undertaking; </w:t>
      </w:r>
    </w:p>
    <w:p w14:paraId="4255E314" w14:textId="4B213784" w:rsidR="00155580" w:rsidRPr="00C63FD6" w:rsidRDefault="00155580" w:rsidP="003454A1">
      <w:pPr>
        <w:pStyle w:val="FTAtextlistedparagraphs"/>
        <w:numPr>
          <w:ilvl w:val="2"/>
          <w:numId w:val="5"/>
        </w:numPr>
      </w:pPr>
      <w:r w:rsidRPr="00C63FD6">
        <w:t xml:space="preserve">their financial participation in that undertaking; or </w:t>
      </w:r>
    </w:p>
    <w:p w14:paraId="25583A39" w14:textId="2C766C0D" w:rsidR="00155580" w:rsidRPr="00C701B9" w:rsidRDefault="00155580" w:rsidP="003454A1">
      <w:pPr>
        <w:pStyle w:val="FTAtextlistedparagraphs"/>
        <w:numPr>
          <w:ilvl w:val="2"/>
          <w:numId w:val="5"/>
        </w:numPr>
        <w:rPr>
          <w:szCs w:val="16"/>
        </w:rPr>
      </w:pPr>
      <w:r w:rsidRPr="00C63FD6">
        <w:t>the rules which govern that undertaking</w:t>
      </w:r>
      <w:bookmarkEnd w:id="1"/>
      <w:r w:rsidRPr="00C63FD6">
        <w:t xml:space="preserve">. </w:t>
      </w:r>
    </w:p>
    <w:p w14:paraId="5610D5FC" w14:textId="6FE2E85A" w:rsidR="00155580" w:rsidRPr="00C701B9" w:rsidRDefault="00155580" w:rsidP="003454A1">
      <w:pPr>
        <w:pStyle w:val="FTAtextlistedparagraphs"/>
        <w:numPr>
          <w:ilvl w:val="1"/>
          <w:numId w:val="23"/>
        </w:numPr>
        <w:rPr>
          <w:szCs w:val="16"/>
        </w:rPr>
      </w:pPr>
      <w:r w:rsidRPr="00C63FD6">
        <w:t xml:space="preserve">According to the Utilities Contracts (Scotland) Regulations 2016, a </w:t>
      </w:r>
      <w:r w:rsidR="00CE3236">
        <w:t>“</w:t>
      </w:r>
      <w:r w:rsidRPr="00C63FD6">
        <w:t>public undertaking</w:t>
      </w:r>
      <w:r w:rsidR="00CE3236">
        <w:t>”</w:t>
      </w:r>
      <w:r w:rsidRPr="00C63FD6">
        <w:t xml:space="preserve"> means a person over which one or more contracting authorities </w:t>
      </w:r>
      <w:proofErr w:type="gramStart"/>
      <w:r w:rsidRPr="00C63FD6">
        <w:t>are able to</w:t>
      </w:r>
      <w:proofErr w:type="gramEnd"/>
      <w:r w:rsidRPr="00C63FD6">
        <w:t xml:space="preserve"> exercise, directly or indirectly, a dominant influence by virtue of one or more of the following: </w:t>
      </w:r>
    </w:p>
    <w:p w14:paraId="6BBDA834" w14:textId="7DFDD059" w:rsidR="00155580" w:rsidRPr="00C63FD6" w:rsidRDefault="00155580" w:rsidP="003454A1">
      <w:pPr>
        <w:pStyle w:val="FTAtextlistedparagraphs"/>
        <w:numPr>
          <w:ilvl w:val="2"/>
          <w:numId w:val="5"/>
        </w:numPr>
      </w:pPr>
      <w:r w:rsidRPr="00C63FD6">
        <w:t xml:space="preserve">their ownership of that person; </w:t>
      </w:r>
    </w:p>
    <w:p w14:paraId="65EABF03" w14:textId="5995ACD0" w:rsidR="00155580" w:rsidRPr="00C63FD6" w:rsidRDefault="00155580" w:rsidP="003454A1">
      <w:pPr>
        <w:pStyle w:val="FTAtextlistedparagraphs"/>
        <w:numPr>
          <w:ilvl w:val="2"/>
          <w:numId w:val="5"/>
        </w:numPr>
      </w:pPr>
      <w:r w:rsidRPr="00C63FD6">
        <w:t xml:space="preserve">their financial participation in that person; </w:t>
      </w:r>
      <w:r w:rsidR="00CE3236">
        <w:t>or</w:t>
      </w:r>
    </w:p>
    <w:p w14:paraId="3E4107E4" w14:textId="3B87180F" w:rsidR="00155580" w:rsidRPr="00C701B9" w:rsidRDefault="00155580" w:rsidP="003454A1">
      <w:pPr>
        <w:pStyle w:val="FTAtextlistedparagraphs"/>
        <w:numPr>
          <w:ilvl w:val="2"/>
          <w:numId w:val="5"/>
        </w:numPr>
        <w:rPr>
          <w:szCs w:val="16"/>
        </w:rPr>
      </w:pPr>
      <w:r w:rsidRPr="00C63FD6">
        <w:t xml:space="preserve">the rights accorded to them by the rules which govern that person. </w:t>
      </w:r>
    </w:p>
    <w:p w14:paraId="11E9E659" w14:textId="657960D3" w:rsidR="00155580" w:rsidRPr="00C701B9" w:rsidRDefault="00155580" w:rsidP="003454A1">
      <w:pPr>
        <w:pStyle w:val="FTAtextlistedparagraphs"/>
        <w:numPr>
          <w:ilvl w:val="1"/>
          <w:numId w:val="23"/>
        </w:numPr>
        <w:rPr>
          <w:szCs w:val="16"/>
        </w:rPr>
      </w:pPr>
      <w:r w:rsidRPr="00C63FD6">
        <w:t xml:space="preserve">According to both the Utilities Contracts Regulations 2016 and the Utilities Contracts (Scotland) Regulations 2016, a dominant influence on the part of contracting authorities is presumed in any of the following cases in which those authorities, directly or indirectly: </w:t>
      </w:r>
    </w:p>
    <w:p w14:paraId="5536A272" w14:textId="6EF8B04A" w:rsidR="00155580" w:rsidRPr="00C63FD6" w:rsidRDefault="00155580" w:rsidP="003454A1">
      <w:pPr>
        <w:pStyle w:val="FTAtextlistedparagraphs"/>
        <w:numPr>
          <w:ilvl w:val="2"/>
          <w:numId w:val="5"/>
        </w:numPr>
      </w:pPr>
      <w:r w:rsidRPr="00C63FD6">
        <w:t>hold the majority of the undertaking</w:t>
      </w:r>
      <w:r w:rsidR="00824443">
        <w:t>’</w:t>
      </w:r>
      <w:r w:rsidRPr="00C63FD6">
        <w:t xml:space="preserve">s subscribed </w:t>
      </w:r>
      <w:proofErr w:type="gramStart"/>
      <w:r w:rsidRPr="00C63FD6">
        <w:t>capital;</w:t>
      </w:r>
      <w:proofErr w:type="gramEnd"/>
      <w:r w:rsidRPr="00C63FD6">
        <w:t xml:space="preserve"> </w:t>
      </w:r>
    </w:p>
    <w:p w14:paraId="2C02DF82" w14:textId="3F047E26" w:rsidR="00155580" w:rsidRPr="00C63FD6" w:rsidRDefault="00155580" w:rsidP="003454A1">
      <w:pPr>
        <w:pStyle w:val="FTAtextlistedparagraphs"/>
        <w:numPr>
          <w:ilvl w:val="2"/>
          <w:numId w:val="5"/>
        </w:numPr>
      </w:pPr>
      <w:r w:rsidRPr="00C63FD6">
        <w:t xml:space="preserve">control </w:t>
      </w:r>
      <w:proofErr w:type="gramStart"/>
      <w:r w:rsidRPr="00C63FD6">
        <w:t>the majority of</w:t>
      </w:r>
      <w:proofErr w:type="gramEnd"/>
      <w:r w:rsidRPr="00C63FD6">
        <w:t xml:space="preserve"> the votes attaching to shares issued by the undertaking; </w:t>
      </w:r>
      <w:r w:rsidR="00CE3236">
        <w:t>or</w:t>
      </w:r>
    </w:p>
    <w:p w14:paraId="05454DE1" w14:textId="559000CA" w:rsidR="00155580" w:rsidRDefault="0B571D6A" w:rsidP="003454A1">
      <w:pPr>
        <w:pStyle w:val="FTAtextlistedparagraphs"/>
        <w:numPr>
          <w:ilvl w:val="2"/>
          <w:numId w:val="5"/>
        </w:numPr>
      </w:pPr>
      <w:r w:rsidRPr="3213CB02">
        <w:t>can appoint more than half of the undertaking</w:t>
      </w:r>
      <w:r w:rsidR="00824443">
        <w:t>’</w:t>
      </w:r>
      <w:r w:rsidRPr="3213CB02">
        <w:t xml:space="preserve">s administrative, management or supervisory body. </w:t>
      </w:r>
    </w:p>
    <w:p w14:paraId="3ECDA05B" w14:textId="77EBCEF7" w:rsidR="00155580" w:rsidRDefault="5FF3D6BA" w:rsidP="003454A1">
      <w:pPr>
        <w:pStyle w:val="FTAtextlistedparagraphs"/>
        <w:numPr>
          <w:ilvl w:val="1"/>
          <w:numId w:val="23"/>
        </w:numPr>
      </w:pPr>
      <w:r w:rsidRPr="00E06FDB">
        <w:t xml:space="preserve">“Special </w:t>
      </w:r>
      <w:r w:rsidR="00760E4E" w:rsidRPr="00E06FDB">
        <w:t>or</w:t>
      </w:r>
      <w:r w:rsidRPr="00E06FDB">
        <w:t xml:space="preserve"> </w:t>
      </w:r>
      <w:r w:rsidR="00760E4E" w:rsidRPr="00E06FDB">
        <w:t>e</w:t>
      </w:r>
      <w:r w:rsidRPr="00E06FDB">
        <w:t xml:space="preserve">xclusive </w:t>
      </w:r>
      <w:r w:rsidR="00760E4E" w:rsidRPr="00E06FDB">
        <w:t>r</w:t>
      </w:r>
      <w:r w:rsidRPr="00E06FDB">
        <w:t xml:space="preserve">ights” are as defined in </w:t>
      </w:r>
      <w:r w:rsidR="2A1DAD9A" w:rsidRPr="00E06FDB">
        <w:t>regulation</w:t>
      </w:r>
      <w:r w:rsidRPr="00E06FDB">
        <w:t xml:space="preserve"> 5 of </w:t>
      </w:r>
      <w:r w:rsidR="0426040B" w:rsidRPr="00E06FDB">
        <w:t xml:space="preserve">the </w:t>
      </w:r>
      <w:r w:rsidRPr="00E06FDB">
        <w:t xml:space="preserve">Utilities Contracts Regulations 2016 and </w:t>
      </w:r>
      <w:r w:rsidR="0426040B" w:rsidRPr="00E06FDB">
        <w:t>regulation 4</w:t>
      </w:r>
      <w:r w:rsidRPr="00E06FDB">
        <w:t xml:space="preserve"> of the Utilities Contracts (Scotland) </w:t>
      </w:r>
      <w:r w:rsidR="0426040B" w:rsidRPr="00E06FDB">
        <w:t>Regulations 2016</w:t>
      </w:r>
      <w:r w:rsidRPr="00E06FDB">
        <w:t>.</w:t>
      </w:r>
    </w:p>
    <w:p w14:paraId="56D81C4C" w14:textId="77777777" w:rsidR="00123F8D" w:rsidRPr="00123F8D" w:rsidRDefault="00123F8D" w:rsidP="003454A1">
      <w:pPr>
        <w:pStyle w:val="FTAtextlistedparagraphs"/>
        <w:numPr>
          <w:ilvl w:val="1"/>
          <w:numId w:val="23"/>
        </w:numPr>
        <w:rPr>
          <w:rFonts w:asciiTheme="minorHAnsi" w:hAnsiTheme="minorHAnsi" w:cstheme="minorBidi"/>
          <w:szCs w:val="22"/>
          <w:lang w:val="en-US"/>
        </w:rPr>
      </w:pPr>
      <w:r w:rsidRPr="00E0211B">
        <w:t xml:space="preserve">The supply of gas or heat to networks which provide a service to the public by a procuring entity other than a contracting authority shall not be considered as an activity within the meaning of this </w:t>
      </w:r>
      <w:r>
        <w:t>Appendix</w:t>
      </w:r>
      <w:r w:rsidRPr="00E0211B">
        <w:t xml:space="preserve"> where: </w:t>
      </w:r>
    </w:p>
    <w:p w14:paraId="3BC28373" w14:textId="77777777" w:rsidR="00123F8D" w:rsidRPr="00C701B9" w:rsidRDefault="00123F8D" w:rsidP="003454A1">
      <w:pPr>
        <w:pStyle w:val="FTAtextlistedparagraphs"/>
        <w:numPr>
          <w:ilvl w:val="2"/>
          <w:numId w:val="5"/>
        </w:numPr>
      </w:pPr>
      <w:r w:rsidRPr="0067125D">
        <w:t xml:space="preserve">the production of gas or heat by that contracting entity is the unavoidable consequence of carrying out an activity other than those referred to in paragraphs (a) to (e) of </w:t>
      </w:r>
      <w:r>
        <w:t>United Kingdom</w:t>
      </w:r>
      <w:r w:rsidRPr="0067125D">
        <w:t>’s Appendix I to the GPA</w:t>
      </w:r>
      <w:r w:rsidRPr="0067125D">
        <w:rPr>
          <w:spacing w:val="-1"/>
        </w:rPr>
        <w:t>;</w:t>
      </w:r>
      <w:r w:rsidRPr="0067125D">
        <w:rPr>
          <w:spacing w:val="-2"/>
        </w:rPr>
        <w:t xml:space="preserve"> </w:t>
      </w:r>
      <w:r w:rsidRPr="0067125D">
        <w:rPr>
          <w:spacing w:val="-1"/>
        </w:rPr>
        <w:t>and</w:t>
      </w:r>
    </w:p>
    <w:p w14:paraId="10A8C097" w14:textId="2DF03F6C" w:rsidR="00C701B9" w:rsidRPr="00C409A9" w:rsidRDefault="00123F8D" w:rsidP="003454A1">
      <w:pPr>
        <w:pStyle w:val="FTAtextlistedparagraphs"/>
        <w:numPr>
          <w:ilvl w:val="2"/>
          <w:numId w:val="5"/>
        </w:numPr>
      </w:pPr>
      <w:r w:rsidRPr="0067125D">
        <w:t xml:space="preserve">the supply to the public network is aimed only at the economic exploitation of such production and amounts to not more than </w:t>
      </w:r>
      <w:r w:rsidRPr="0067125D">
        <w:lastRenderedPageBreak/>
        <w:t xml:space="preserve">20 % of the entity’s turnover </w:t>
      </w:r>
      <w:proofErr w:type="gramStart"/>
      <w:r w:rsidRPr="0067125D">
        <w:t>on the basis of</w:t>
      </w:r>
      <w:proofErr w:type="gramEnd"/>
      <w:r w:rsidRPr="0067125D">
        <w:t xml:space="preserve"> the average for the preceding three years, including the current year</w:t>
      </w:r>
      <w:r w:rsidRPr="0067125D">
        <w:rPr>
          <w:spacing w:val="-1"/>
        </w:rPr>
        <w:t>.</w:t>
      </w:r>
    </w:p>
    <w:p w14:paraId="61756D77" w14:textId="5818515D" w:rsidR="00155580" w:rsidRPr="00C32699" w:rsidRDefault="00155580" w:rsidP="003454A1">
      <w:pPr>
        <w:pStyle w:val="FTAtextlistedparagraphs"/>
        <w:numPr>
          <w:ilvl w:val="0"/>
          <w:numId w:val="31"/>
        </w:numPr>
        <w:rPr>
          <w:b/>
          <w:bCs/>
        </w:rPr>
      </w:pPr>
      <w:r w:rsidRPr="00C32699">
        <w:rPr>
          <w:b/>
          <w:bCs/>
        </w:rPr>
        <w:t>Additional services</w:t>
      </w:r>
    </w:p>
    <w:p w14:paraId="70F55D0C" w14:textId="420996DE" w:rsidR="00155580" w:rsidRPr="006A3C5F" w:rsidRDefault="00155580" w:rsidP="00C32699">
      <w:pPr>
        <w:pStyle w:val="FTAtextlistedparagraphs"/>
        <w:numPr>
          <w:ilvl w:val="0"/>
          <w:numId w:val="0"/>
        </w:numPr>
        <w:ind w:left="709"/>
      </w:pPr>
      <w:r w:rsidRPr="006A3C5F">
        <w:t>Procurement</w:t>
      </w:r>
      <w:r w:rsidRPr="006A3C5F">
        <w:rPr>
          <w:spacing w:val="47"/>
        </w:rPr>
        <w:t xml:space="preserve"> </w:t>
      </w:r>
      <w:r w:rsidRPr="006A3C5F">
        <w:t>of</w:t>
      </w:r>
      <w:r w:rsidRPr="006A3C5F">
        <w:rPr>
          <w:spacing w:val="48"/>
        </w:rPr>
        <w:t xml:space="preserve"> </w:t>
      </w:r>
      <w:r w:rsidRPr="006A3C5F">
        <w:t>the</w:t>
      </w:r>
      <w:r w:rsidRPr="006A3C5F">
        <w:rPr>
          <w:spacing w:val="48"/>
        </w:rPr>
        <w:t xml:space="preserve"> </w:t>
      </w:r>
      <w:r w:rsidRPr="006A3C5F">
        <w:t>following</w:t>
      </w:r>
      <w:r w:rsidRPr="006A3C5F">
        <w:rPr>
          <w:spacing w:val="46"/>
        </w:rPr>
        <w:t xml:space="preserve"> </w:t>
      </w:r>
      <w:r w:rsidRPr="006A3C5F">
        <w:t>services,</w:t>
      </w:r>
      <w:r w:rsidRPr="006A3C5F">
        <w:rPr>
          <w:spacing w:val="48"/>
        </w:rPr>
        <w:t xml:space="preserve"> </w:t>
      </w:r>
      <w:r w:rsidRPr="006A3C5F">
        <w:t>in</w:t>
      </w:r>
      <w:r w:rsidRPr="006A3C5F">
        <w:rPr>
          <w:spacing w:val="47"/>
        </w:rPr>
        <w:t xml:space="preserve"> </w:t>
      </w:r>
      <w:r w:rsidRPr="006A3C5F">
        <w:t>addition</w:t>
      </w:r>
      <w:r w:rsidRPr="006A3C5F">
        <w:rPr>
          <w:spacing w:val="48"/>
        </w:rPr>
        <w:t xml:space="preserve"> </w:t>
      </w:r>
      <w:r w:rsidRPr="006A3C5F">
        <w:t>to the</w:t>
      </w:r>
      <w:r w:rsidRPr="006A3C5F">
        <w:rPr>
          <w:spacing w:val="47"/>
        </w:rPr>
        <w:t xml:space="preserve"> </w:t>
      </w:r>
      <w:r w:rsidRPr="006A3C5F">
        <w:t>services</w:t>
      </w:r>
      <w:r w:rsidRPr="006A3C5F">
        <w:rPr>
          <w:spacing w:val="49"/>
        </w:rPr>
        <w:t xml:space="preserve"> </w:t>
      </w:r>
      <w:r w:rsidRPr="006A3C5F">
        <w:t>listed</w:t>
      </w:r>
      <w:r w:rsidRPr="006A3C5F">
        <w:rPr>
          <w:spacing w:val="48"/>
        </w:rPr>
        <w:t xml:space="preserve"> </w:t>
      </w:r>
      <w:r w:rsidRPr="006A3C5F">
        <w:t>under</w:t>
      </w:r>
      <w:r w:rsidRPr="006A3C5F">
        <w:rPr>
          <w:spacing w:val="47"/>
        </w:rPr>
        <w:t xml:space="preserve"> </w:t>
      </w:r>
      <w:r w:rsidRPr="006A3C5F">
        <w:t>Annex</w:t>
      </w:r>
      <w:r w:rsidRPr="006A3C5F">
        <w:rPr>
          <w:spacing w:val="49"/>
        </w:rPr>
        <w:t xml:space="preserve"> </w:t>
      </w:r>
      <w:r w:rsidRPr="006A3C5F">
        <w:t>5</w:t>
      </w:r>
      <w:r w:rsidRPr="006A3C5F">
        <w:rPr>
          <w:spacing w:val="49"/>
        </w:rPr>
        <w:t xml:space="preserve"> </w:t>
      </w:r>
      <w:r w:rsidRPr="006A3C5F">
        <w:t>of</w:t>
      </w:r>
      <w:r w:rsidRPr="006A3C5F">
        <w:rPr>
          <w:spacing w:val="48"/>
        </w:rPr>
        <w:t xml:space="preserve"> </w:t>
      </w:r>
      <w:r>
        <w:t>the United Kingdom</w:t>
      </w:r>
      <w:r w:rsidR="00005C8B">
        <w:t>’s</w:t>
      </w:r>
      <w:r>
        <w:t xml:space="preserve"> </w:t>
      </w:r>
      <w:r w:rsidRPr="006A3C5F">
        <w:t>Appendix I to</w:t>
      </w:r>
      <w:r w:rsidRPr="006A3C5F">
        <w:rPr>
          <w:spacing w:val="1"/>
        </w:rPr>
        <w:t xml:space="preserve"> </w:t>
      </w:r>
      <w:r w:rsidRPr="006A3C5F">
        <w:t>the GPA, for entities covered under Annexes</w:t>
      </w:r>
      <w:r w:rsidRPr="006A3C5F">
        <w:rPr>
          <w:spacing w:val="-2"/>
        </w:rPr>
        <w:t xml:space="preserve"> </w:t>
      </w:r>
      <w:r w:rsidRPr="006A3C5F">
        <w:t>1 to</w:t>
      </w:r>
      <w:r w:rsidRPr="006A3C5F">
        <w:rPr>
          <w:spacing w:val="1"/>
        </w:rPr>
        <w:t xml:space="preserve"> </w:t>
      </w:r>
      <w:r w:rsidRPr="006A3C5F">
        <w:t>3</w:t>
      </w:r>
      <w:r w:rsidRPr="006A3C5F">
        <w:rPr>
          <w:spacing w:val="1"/>
        </w:rPr>
        <w:t xml:space="preserve"> </w:t>
      </w:r>
      <w:r w:rsidRPr="006A3C5F">
        <w:t>of</w:t>
      </w:r>
      <w:r w:rsidRPr="006A3C5F">
        <w:rPr>
          <w:spacing w:val="-2"/>
        </w:rPr>
        <w:t xml:space="preserve"> </w:t>
      </w:r>
      <w:r>
        <w:t>the United Kingdom</w:t>
      </w:r>
      <w:r w:rsidR="00005C8B">
        <w:t>’</w:t>
      </w:r>
      <w:r>
        <w:t xml:space="preserve">s </w:t>
      </w:r>
      <w:r w:rsidRPr="006A3C5F">
        <w:t>Appendix I</w:t>
      </w:r>
      <w:r w:rsidRPr="006A3C5F">
        <w:rPr>
          <w:spacing w:val="-2"/>
        </w:rPr>
        <w:t xml:space="preserve"> </w:t>
      </w:r>
      <w:r w:rsidRPr="006A3C5F">
        <w:t>to the</w:t>
      </w:r>
      <w:r w:rsidRPr="006A3C5F">
        <w:rPr>
          <w:spacing w:val="-2"/>
        </w:rPr>
        <w:t xml:space="preserve"> </w:t>
      </w:r>
      <w:r w:rsidRPr="006A3C5F">
        <w:t>GPA</w:t>
      </w:r>
      <w:r w:rsidRPr="006A3C5F">
        <w:rPr>
          <w:spacing w:val="-3"/>
        </w:rPr>
        <w:t xml:space="preserve"> </w:t>
      </w:r>
      <w:r w:rsidRPr="006A3C5F">
        <w:t>or under paragraph</w:t>
      </w:r>
      <w:r w:rsidRPr="006A3C5F">
        <w:rPr>
          <w:spacing w:val="-3"/>
        </w:rPr>
        <w:t xml:space="preserve"> </w:t>
      </w:r>
      <w:r w:rsidRPr="006A3C5F">
        <w:t>1</w:t>
      </w:r>
      <w:r w:rsidR="00D03494">
        <w:t xml:space="preserve"> (</w:t>
      </w:r>
      <w:r w:rsidR="00D03494" w:rsidRPr="00903280">
        <w:t>Additional procuring</w:t>
      </w:r>
      <w:r w:rsidR="00D03494" w:rsidRPr="00903280">
        <w:rPr>
          <w:spacing w:val="-3"/>
        </w:rPr>
        <w:t xml:space="preserve"> </w:t>
      </w:r>
      <w:r w:rsidR="00D03494" w:rsidRPr="00903280">
        <w:t>entities</w:t>
      </w:r>
      <w:r w:rsidR="00D03494">
        <w:t>)</w:t>
      </w:r>
      <w:r w:rsidRPr="006A3C5F">
        <w:rPr>
          <w:spacing w:val="-2"/>
        </w:rPr>
        <w:t xml:space="preserve"> </w:t>
      </w:r>
      <w:r w:rsidRPr="006A3C5F">
        <w:t xml:space="preserve">of this </w:t>
      </w:r>
      <w:r w:rsidR="00D03494">
        <w:t>Part</w:t>
      </w:r>
      <w:r w:rsidR="001F0189">
        <w:t xml:space="preserve"> A</w:t>
      </w:r>
      <w:r w:rsidRPr="006A3C5F">
        <w:t>:</w:t>
      </w:r>
    </w:p>
    <w:p w14:paraId="0FFF8801" w14:textId="77777777" w:rsidR="00155580" w:rsidRPr="006A3C5F" w:rsidRDefault="00155580" w:rsidP="001A101E">
      <w:pPr>
        <w:pStyle w:val="FTAtextlistedparagraphs"/>
        <w:numPr>
          <w:ilvl w:val="1"/>
          <w:numId w:val="43"/>
        </w:numPr>
      </w:pPr>
      <w:r w:rsidRPr="006A3C5F">
        <w:t>Hotel</w:t>
      </w:r>
      <w:r w:rsidRPr="00071B6C">
        <w:t xml:space="preserve"> and </w:t>
      </w:r>
      <w:r>
        <w:t xml:space="preserve">other lodging </w:t>
      </w:r>
      <w:r w:rsidRPr="00071B6C">
        <w:t>services</w:t>
      </w:r>
      <w:r w:rsidRPr="006A3C5F">
        <w:t xml:space="preserve"> </w:t>
      </w:r>
      <w:r w:rsidRPr="00071B6C">
        <w:t>(CPC 641);</w:t>
      </w:r>
    </w:p>
    <w:p w14:paraId="59113E8A" w14:textId="77777777" w:rsidR="00155580" w:rsidRPr="006A3C5F" w:rsidRDefault="00155580" w:rsidP="001A101E">
      <w:pPr>
        <w:pStyle w:val="FTAtextlistedparagraphs"/>
        <w:numPr>
          <w:ilvl w:val="1"/>
          <w:numId w:val="43"/>
        </w:numPr>
      </w:pPr>
      <w:r w:rsidRPr="006A3C5F">
        <w:t>Food</w:t>
      </w:r>
      <w:r w:rsidRPr="00071B6C">
        <w:t xml:space="preserve"> serving services (CPC 642);</w:t>
      </w:r>
    </w:p>
    <w:p w14:paraId="05992C79" w14:textId="77777777" w:rsidR="00155580" w:rsidRDefault="00155580" w:rsidP="001A101E">
      <w:pPr>
        <w:pStyle w:val="FTAtextlistedparagraphs"/>
        <w:numPr>
          <w:ilvl w:val="1"/>
          <w:numId w:val="43"/>
        </w:numPr>
      </w:pPr>
      <w:r w:rsidRPr="009615DF">
        <w:t>Beverage</w:t>
      </w:r>
      <w:r w:rsidRPr="006A3C5F">
        <w:t xml:space="preserve"> </w:t>
      </w:r>
      <w:r w:rsidRPr="009615DF">
        <w:t>serving services (CPC 643);</w:t>
      </w:r>
    </w:p>
    <w:p w14:paraId="604BC67E" w14:textId="08AACD8C" w:rsidR="00155580" w:rsidRPr="006A3C5F" w:rsidRDefault="00155580" w:rsidP="001A101E">
      <w:pPr>
        <w:pStyle w:val="FTAtextlistedparagraphs"/>
        <w:numPr>
          <w:ilvl w:val="1"/>
          <w:numId w:val="43"/>
        </w:numPr>
      </w:pPr>
      <w:r>
        <w:t xml:space="preserve">Postal and </w:t>
      </w:r>
      <w:r w:rsidR="000A44C0">
        <w:t>c</w:t>
      </w:r>
      <w:r>
        <w:t>ourier Services (CPC 751);</w:t>
      </w:r>
    </w:p>
    <w:p w14:paraId="560AB3E0" w14:textId="77777777" w:rsidR="00155580" w:rsidRPr="006A3C5F" w:rsidRDefault="00155580" w:rsidP="001A101E">
      <w:pPr>
        <w:pStyle w:val="FTAtextlistedparagraphs"/>
        <w:numPr>
          <w:ilvl w:val="1"/>
          <w:numId w:val="43"/>
        </w:numPr>
      </w:pPr>
      <w:r w:rsidRPr="009615DF">
        <w:t>Telecommunication related services</w:t>
      </w:r>
      <w:r w:rsidRPr="006A3C5F">
        <w:t xml:space="preserve"> </w:t>
      </w:r>
      <w:r w:rsidRPr="009615DF">
        <w:t>(CPC 754);</w:t>
      </w:r>
    </w:p>
    <w:p w14:paraId="73A38BFD" w14:textId="77777777" w:rsidR="00155580" w:rsidRDefault="00155580" w:rsidP="001A101E">
      <w:pPr>
        <w:pStyle w:val="FTAtextlistedparagraphs"/>
        <w:numPr>
          <w:ilvl w:val="1"/>
          <w:numId w:val="43"/>
        </w:numPr>
      </w:pPr>
      <w:r w:rsidRPr="006A3C5F">
        <w:t xml:space="preserve">Real </w:t>
      </w:r>
      <w:r w:rsidRPr="009615DF">
        <w:t>estate</w:t>
      </w:r>
      <w:r w:rsidRPr="006A3C5F">
        <w:t xml:space="preserve"> </w:t>
      </w:r>
      <w:r w:rsidRPr="009615DF">
        <w:t xml:space="preserve">services </w:t>
      </w:r>
      <w:r w:rsidRPr="006A3C5F">
        <w:t>on</w:t>
      </w:r>
      <w:r w:rsidRPr="009615DF">
        <w:t xml:space="preserve"> </w:t>
      </w:r>
      <w:r w:rsidRPr="006A3C5F">
        <w:t xml:space="preserve">a </w:t>
      </w:r>
      <w:r w:rsidRPr="009615DF">
        <w:t>fee</w:t>
      </w:r>
      <w:r w:rsidRPr="006A3C5F">
        <w:t xml:space="preserve"> </w:t>
      </w:r>
      <w:r w:rsidRPr="009615DF">
        <w:t>or contract basis</w:t>
      </w:r>
      <w:r w:rsidRPr="006A3C5F">
        <w:t xml:space="preserve"> </w:t>
      </w:r>
      <w:r w:rsidRPr="009615DF">
        <w:t>(CPC 8220);</w:t>
      </w:r>
    </w:p>
    <w:p w14:paraId="643E4D2A" w14:textId="534CE101" w:rsidR="00155580" w:rsidRDefault="00155580" w:rsidP="001A101E">
      <w:pPr>
        <w:pStyle w:val="FTAtextlistedparagraphs"/>
        <w:numPr>
          <w:ilvl w:val="1"/>
          <w:numId w:val="43"/>
        </w:numPr>
      </w:pPr>
      <w:r>
        <w:t xml:space="preserve">Legal </w:t>
      </w:r>
      <w:r w:rsidR="000A44C0">
        <w:t>s</w:t>
      </w:r>
      <w:r>
        <w:t>ervices (CPC 861) (see</w:t>
      </w:r>
      <w:r w:rsidR="00526828">
        <w:t xml:space="preserve"> </w:t>
      </w:r>
      <w:r w:rsidR="000A44C0">
        <w:t>subparagraph (b)</w:t>
      </w:r>
      <w:r w:rsidR="00526828">
        <w:t xml:space="preserve"> in</w:t>
      </w:r>
      <w:r>
        <w:t xml:space="preserve"> </w:t>
      </w:r>
      <w:r w:rsidR="00D03494">
        <w:rPr>
          <w:lang w:val="en-US"/>
        </w:rPr>
        <w:t>N</w:t>
      </w:r>
      <w:r w:rsidR="00526828" w:rsidRPr="00FC12A4">
        <w:rPr>
          <w:lang w:val="en-US"/>
        </w:rPr>
        <w:t xml:space="preserve">otes </w:t>
      </w:r>
      <w:r w:rsidR="00526828">
        <w:rPr>
          <w:lang w:val="en-US"/>
        </w:rPr>
        <w:t>to</w:t>
      </w:r>
      <w:r w:rsidR="00D03494">
        <w:rPr>
          <w:lang w:val="en-US"/>
        </w:rPr>
        <w:t xml:space="preserve"> this</w:t>
      </w:r>
      <w:r w:rsidR="00526828">
        <w:rPr>
          <w:lang w:val="en-US"/>
        </w:rPr>
        <w:t xml:space="preserve"> paragraph</w:t>
      </w:r>
      <w:r>
        <w:t>)</w:t>
      </w:r>
      <w:r w:rsidR="00EC355B">
        <w:t>;</w:t>
      </w:r>
    </w:p>
    <w:p w14:paraId="45231F98" w14:textId="5D90F96B" w:rsidR="00155580" w:rsidRDefault="00155580" w:rsidP="001A101E">
      <w:pPr>
        <w:pStyle w:val="FTAtextlistedparagraphs"/>
        <w:numPr>
          <w:ilvl w:val="1"/>
          <w:numId w:val="43"/>
        </w:numPr>
      </w:pPr>
      <w:r>
        <w:t>Taxation Services (CPC 863)</w:t>
      </w:r>
      <w:r w:rsidR="00EC355B">
        <w:t>;</w:t>
      </w:r>
    </w:p>
    <w:p w14:paraId="6F7FF42A" w14:textId="671610BD" w:rsidR="00155580" w:rsidRDefault="00155580" w:rsidP="001A101E">
      <w:pPr>
        <w:pStyle w:val="FTAtextlistedparagraphs"/>
        <w:numPr>
          <w:ilvl w:val="1"/>
          <w:numId w:val="43"/>
        </w:numPr>
      </w:pPr>
      <w:r>
        <w:t xml:space="preserve">Investigation and </w:t>
      </w:r>
      <w:r w:rsidR="000A44C0">
        <w:t>s</w:t>
      </w:r>
      <w:r>
        <w:t xml:space="preserve">ecurity </w:t>
      </w:r>
      <w:r w:rsidR="000A44C0">
        <w:t>s</w:t>
      </w:r>
      <w:r>
        <w:t>ervices (CPC 873);</w:t>
      </w:r>
    </w:p>
    <w:p w14:paraId="1AC6E952" w14:textId="548D1719" w:rsidR="00155580" w:rsidRPr="006A3C5F" w:rsidRDefault="00155580" w:rsidP="001A101E">
      <w:pPr>
        <w:pStyle w:val="FTAtextlistedparagraphs"/>
        <w:numPr>
          <w:ilvl w:val="1"/>
          <w:numId w:val="43"/>
        </w:numPr>
      </w:pPr>
      <w:r>
        <w:t xml:space="preserve">Photographic </w:t>
      </w:r>
      <w:r w:rsidR="000A44C0">
        <w:t>s</w:t>
      </w:r>
      <w:r>
        <w:t>ervices (CPC 875);</w:t>
      </w:r>
    </w:p>
    <w:p w14:paraId="5BF19E38" w14:textId="77777777" w:rsidR="00155580" w:rsidRPr="006A3C5F" w:rsidRDefault="00155580" w:rsidP="001A101E">
      <w:pPr>
        <w:pStyle w:val="FTAtextlistedparagraphs"/>
        <w:numPr>
          <w:ilvl w:val="1"/>
          <w:numId w:val="43"/>
        </w:numPr>
      </w:pPr>
      <w:r w:rsidRPr="009615DF">
        <w:t>Other</w:t>
      </w:r>
      <w:r w:rsidRPr="006A3C5F">
        <w:t xml:space="preserve"> </w:t>
      </w:r>
      <w:r w:rsidRPr="009615DF">
        <w:t>business services</w:t>
      </w:r>
      <w:r w:rsidRPr="006A3C5F">
        <w:t xml:space="preserve"> </w:t>
      </w:r>
      <w:r w:rsidRPr="009615DF">
        <w:t>(CPC</w:t>
      </w:r>
      <w:r w:rsidRPr="006A3C5F">
        <w:t xml:space="preserve"> </w:t>
      </w:r>
      <w:r w:rsidRPr="009615DF">
        <w:t>879);</w:t>
      </w:r>
    </w:p>
    <w:p w14:paraId="5F4FA35B" w14:textId="105CB107" w:rsidR="00155580" w:rsidRDefault="00155580" w:rsidP="001A101E">
      <w:pPr>
        <w:pStyle w:val="FTAtextlistedparagraphs"/>
        <w:numPr>
          <w:ilvl w:val="1"/>
          <w:numId w:val="43"/>
        </w:numPr>
      </w:pPr>
      <w:r>
        <w:t>Services incidental to mining (CPC 883)</w:t>
      </w:r>
      <w:r w:rsidR="00CE3236">
        <w:t>;</w:t>
      </w:r>
    </w:p>
    <w:p w14:paraId="0D3AD22C" w14:textId="1DBD6BFB" w:rsidR="00155580" w:rsidRDefault="00155580" w:rsidP="001A101E">
      <w:pPr>
        <w:pStyle w:val="FTAtextlistedparagraphs"/>
        <w:numPr>
          <w:ilvl w:val="1"/>
          <w:numId w:val="43"/>
        </w:numPr>
      </w:pPr>
      <w:r>
        <w:t>Services incidental to the manufacture of metal products, machinery and equipment (CPC 885</w:t>
      </w:r>
      <w:proofErr w:type="gramStart"/>
      <w:r>
        <w:t>)</w:t>
      </w:r>
      <w:r w:rsidR="00EC355B">
        <w:t>;</w:t>
      </w:r>
      <w:proofErr w:type="gramEnd"/>
    </w:p>
    <w:p w14:paraId="249D9BFB" w14:textId="77777777" w:rsidR="00155580" w:rsidRDefault="00155580" w:rsidP="001A101E">
      <w:pPr>
        <w:pStyle w:val="FTAtextlistedparagraphs"/>
        <w:numPr>
          <w:ilvl w:val="1"/>
          <w:numId w:val="43"/>
        </w:numPr>
      </w:pPr>
      <w:r>
        <w:t>Repair services incidental to metal products, machinery and equipment (CPC 886</w:t>
      </w:r>
      <w:proofErr w:type="gramStart"/>
      <w:r>
        <w:t>);</w:t>
      </w:r>
      <w:proofErr w:type="gramEnd"/>
    </w:p>
    <w:p w14:paraId="4D75B64A" w14:textId="06E43FC6" w:rsidR="00155580" w:rsidRDefault="00155580" w:rsidP="001A101E">
      <w:pPr>
        <w:pStyle w:val="FTAtextlistedparagraphs"/>
        <w:numPr>
          <w:ilvl w:val="1"/>
          <w:numId w:val="43"/>
        </w:numPr>
      </w:pPr>
      <w:r>
        <w:t>Services incidental to energy distribution (CPC 887)</w:t>
      </w:r>
      <w:r w:rsidR="00EC355B">
        <w:t>;</w:t>
      </w:r>
    </w:p>
    <w:p w14:paraId="37DF0103" w14:textId="7D6F3C42" w:rsidR="00155580" w:rsidRPr="00634B18" w:rsidRDefault="00155580" w:rsidP="001A101E">
      <w:pPr>
        <w:pStyle w:val="FTAtextlistedparagraphs"/>
        <w:numPr>
          <w:ilvl w:val="1"/>
          <w:numId w:val="43"/>
        </w:numPr>
      </w:pPr>
      <w:r>
        <w:t>Administrative services of the government (CPC 9127,91136)</w:t>
      </w:r>
      <w:r w:rsidR="00EC355B">
        <w:t>;</w:t>
      </w:r>
    </w:p>
    <w:p w14:paraId="0136988D" w14:textId="74F7E583" w:rsidR="00155580" w:rsidRDefault="00155580" w:rsidP="001A101E">
      <w:pPr>
        <w:pStyle w:val="FTAtextlistedparagraphs"/>
        <w:numPr>
          <w:ilvl w:val="1"/>
          <w:numId w:val="43"/>
        </w:numPr>
      </w:pPr>
      <w:r w:rsidRPr="009615DF">
        <w:t>Education services</w:t>
      </w:r>
      <w:r w:rsidRPr="006A3C5F">
        <w:t xml:space="preserve"> </w:t>
      </w:r>
      <w:r w:rsidRPr="009615DF">
        <w:t>(CPC</w:t>
      </w:r>
      <w:r w:rsidRPr="006A3C5F">
        <w:t xml:space="preserve"> </w:t>
      </w:r>
      <w:r w:rsidRPr="009615DF">
        <w:t>92)</w:t>
      </w:r>
      <w:r w:rsidR="00EC355B">
        <w:t>;</w:t>
      </w:r>
      <w:r w:rsidR="000A44C0">
        <w:t xml:space="preserve"> and</w:t>
      </w:r>
    </w:p>
    <w:p w14:paraId="2686FF23" w14:textId="4F00164F" w:rsidR="00155580" w:rsidRDefault="00155580" w:rsidP="001A101E">
      <w:pPr>
        <w:pStyle w:val="FTAtextlistedparagraphs"/>
        <w:numPr>
          <w:ilvl w:val="1"/>
          <w:numId w:val="43"/>
        </w:numPr>
      </w:pPr>
      <w:r>
        <w:t xml:space="preserve">Recreational, </w:t>
      </w:r>
      <w:proofErr w:type="gramStart"/>
      <w:r>
        <w:t>cultural</w:t>
      </w:r>
      <w:proofErr w:type="gramEnd"/>
      <w:r>
        <w:t xml:space="preserve"> and sporting services (CPC 96 except 9611, 9613)</w:t>
      </w:r>
      <w:r w:rsidR="00CE3236">
        <w:t>.</w:t>
      </w:r>
    </w:p>
    <w:p w14:paraId="4B01D9B5" w14:textId="34C73CE7" w:rsidR="00155580" w:rsidRPr="00FC12A4" w:rsidRDefault="006A166E" w:rsidP="00D24E00">
      <w:pPr>
        <w:pStyle w:val="FTAtext"/>
        <w:ind w:firstLine="0"/>
        <w:rPr>
          <w:lang w:val="en-US"/>
        </w:rPr>
      </w:pPr>
      <w:r>
        <w:rPr>
          <w:lang w:val="en-US"/>
        </w:rPr>
        <w:tab/>
      </w:r>
      <w:r w:rsidR="00155580" w:rsidRPr="00FC12A4">
        <w:rPr>
          <w:lang w:val="en-US"/>
        </w:rPr>
        <w:t xml:space="preserve">Notes </w:t>
      </w:r>
      <w:r w:rsidR="00155580">
        <w:rPr>
          <w:lang w:val="en-US"/>
        </w:rPr>
        <w:t>to paragraph 2:</w:t>
      </w:r>
    </w:p>
    <w:p w14:paraId="2109DA8C" w14:textId="3BE08ED3" w:rsidR="00155580" w:rsidRPr="00C701B9" w:rsidRDefault="00155580" w:rsidP="003454A1">
      <w:pPr>
        <w:numPr>
          <w:ilvl w:val="1"/>
          <w:numId w:val="2"/>
        </w:numPr>
        <w:jc w:val="both"/>
        <w:rPr>
          <w:lang w:val="en-US"/>
        </w:rPr>
      </w:pPr>
      <w:r w:rsidRPr="00C701B9">
        <w:rPr>
          <w:lang w:val="en-US"/>
        </w:rPr>
        <w:lastRenderedPageBreak/>
        <w:t>Hotel and other lodging services (CPC 641), food serving services (CPC 642), beverage serving services (CPC 643), postal and courier services (CPC 751), legal services (CPC 861), investigation and security services (CPC 873), administrative services of the government (CPC 9127, 91136), education services (CPC 92)</w:t>
      </w:r>
      <w:r w:rsidR="00123F8D">
        <w:rPr>
          <w:lang w:val="en-US"/>
        </w:rPr>
        <w:t>, and recreational, cultural and sporting services (CPC</w:t>
      </w:r>
      <w:r w:rsidR="00123F8D" w:rsidRPr="00123F8D">
        <w:t xml:space="preserve"> </w:t>
      </w:r>
      <w:r w:rsidR="00123F8D" w:rsidRPr="00123F8D">
        <w:rPr>
          <w:lang w:val="en-US"/>
        </w:rPr>
        <w:tab/>
        <w:t>96311 to 96332</w:t>
      </w:r>
      <w:r w:rsidR="00123F8D">
        <w:rPr>
          <w:lang w:val="en-US"/>
        </w:rPr>
        <w:t xml:space="preserve">, and </w:t>
      </w:r>
      <w:r w:rsidR="00123F8D" w:rsidRPr="00123F8D">
        <w:rPr>
          <w:lang w:val="en-US"/>
        </w:rPr>
        <w:t>96411 to 96419</w:t>
      </w:r>
      <w:r w:rsidR="00123F8D">
        <w:rPr>
          <w:lang w:val="en-US"/>
        </w:rPr>
        <w:t>)</w:t>
      </w:r>
      <w:r w:rsidRPr="00C701B9">
        <w:rPr>
          <w:lang w:val="en-US"/>
        </w:rPr>
        <w:t xml:space="preserve"> contracts are included under the national treatment regime for the suppliers, including service providers, of Iceland, Liechtenstein and Norway provided that their value equals or exceeds GBP 663,540 when they are awarded by procuring entities covered under Annexes 1 and 2 of the United Kingdom to Appendix I to the GPA and that their value equals or exceeds GBP 884,720 when they are awarded by procuring entities covered under Annex 3 of the United Kingdom to Appendix I to the GPA or by procuring entities covered by paragraph 1 </w:t>
      </w:r>
      <w:r w:rsidR="001F0189">
        <w:rPr>
          <w:lang w:val="en-US"/>
        </w:rPr>
        <w:t xml:space="preserve">(Additional procuring entities) </w:t>
      </w:r>
      <w:r w:rsidRPr="00C701B9">
        <w:rPr>
          <w:lang w:val="en-US"/>
        </w:rPr>
        <w:t xml:space="preserve">of this </w:t>
      </w:r>
      <w:r w:rsidR="00D03494">
        <w:rPr>
          <w:lang w:val="en-US"/>
        </w:rPr>
        <w:t>Part</w:t>
      </w:r>
      <w:r w:rsidR="001F0189">
        <w:rPr>
          <w:lang w:val="en-US"/>
        </w:rPr>
        <w:t xml:space="preserve"> A</w:t>
      </w:r>
      <w:r w:rsidRPr="00C701B9">
        <w:rPr>
          <w:lang w:val="en-US"/>
        </w:rPr>
        <w:t>.</w:t>
      </w:r>
    </w:p>
    <w:p w14:paraId="545663B6" w14:textId="33D06BCA" w:rsidR="00155580" w:rsidRPr="00C701B9" w:rsidRDefault="00155580" w:rsidP="003454A1">
      <w:pPr>
        <w:pStyle w:val="FTAtextlistedparagraphs"/>
        <w:numPr>
          <w:ilvl w:val="1"/>
          <w:numId w:val="23"/>
        </w:numPr>
      </w:pPr>
      <w:r>
        <w:t>The following legal services (CPC 861) are not covered:</w:t>
      </w:r>
    </w:p>
    <w:p w14:paraId="4D51783F" w14:textId="46093539" w:rsidR="00155580" w:rsidRPr="00C701B9" w:rsidRDefault="00155580" w:rsidP="003454A1">
      <w:pPr>
        <w:pStyle w:val="FTAtextlistedparagraphs"/>
        <w:numPr>
          <w:ilvl w:val="2"/>
          <w:numId w:val="5"/>
        </w:numPr>
      </w:pPr>
      <w:r>
        <w:t>legal representation of a client by a lawyer</w:t>
      </w:r>
      <w:r w:rsidR="000A44C0">
        <w:t xml:space="preserve"> in</w:t>
      </w:r>
      <w:r>
        <w:t>:</w:t>
      </w:r>
    </w:p>
    <w:p w14:paraId="263C8F2E" w14:textId="30D40F2B" w:rsidR="00155580" w:rsidRPr="00C701B9" w:rsidRDefault="00155580" w:rsidP="003454A1">
      <w:pPr>
        <w:pStyle w:val="FTAtextlistedparagraphs"/>
        <w:numPr>
          <w:ilvl w:val="4"/>
          <w:numId w:val="35"/>
        </w:numPr>
        <w:tabs>
          <w:tab w:val="clear" w:pos="1360"/>
        </w:tabs>
        <w:ind w:left="2835" w:hanging="708"/>
      </w:pPr>
      <w:r>
        <w:t>an arbitration or conciliation held in the United Kingdom, another country or before an international arbitration or conciliation instance</w:t>
      </w:r>
      <w:r w:rsidR="00CE3236">
        <w:t>;</w:t>
      </w:r>
      <w:r>
        <w:t xml:space="preserve"> or</w:t>
      </w:r>
    </w:p>
    <w:p w14:paraId="49C6F53C" w14:textId="39D2CD22" w:rsidR="00155580" w:rsidRPr="00C701B9" w:rsidRDefault="00155580" w:rsidP="003454A1">
      <w:pPr>
        <w:pStyle w:val="FTAtextlistedparagraphs"/>
        <w:numPr>
          <w:ilvl w:val="4"/>
          <w:numId w:val="35"/>
        </w:numPr>
        <w:tabs>
          <w:tab w:val="clear" w:pos="1360"/>
        </w:tabs>
        <w:ind w:left="2835" w:hanging="708"/>
      </w:pPr>
      <w:r>
        <w:t xml:space="preserve">judicial proceedings before the courts, tribunals or public authorities of the United Kingdom, another country or before international courts, tribunals or </w:t>
      </w:r>
      <w:proofErr w:type="gramStart"/>
      <w:r>
        <w:t>institutions;</w:t>
      </w:r>
      <w:proofErr w:type="gramEnd"/>
    </w:p>
    <w:p w14:paraId="497209C5" w14:textId="1BA9B6F7" w:rsidR="00155580" w:rsidRPr="00C701B9" w:rsidRDefault="00155580" w:rsidP="003454A1">
      <w:pPr>
        <w:pStyle w:val="FTAtextlistedparagraphs"/>
        <w:numPr>
          <w:ilvl w:val="2"/>
          <w:numId w:val="5"/>
        </w:numPr>
      </w:pPr>
      <w:r>
        <w:t xml:space="preserve">legal advice given </w:t>
      </w:r>
    </w:p>
    <w:p w14:paraId="53E6112E" w14:textId="6182ACD1" w:rsidR="00155580" w:rsidRPr="00C701B9" w:rsidRDefault="00155580" w:rsidP="003454A1">
      <w:pPr>
        <w:pStyle w:val="FTAtextlistedparagraphs"/>
        <w:numPr>
          <w:ilvl w:val="2"/>
          <w:numId w:val="36"/>
        </w:numPr>
        <w:tabs>
          <w:tab w:val="clear" w:pos="2126"/>
        </w:tabs>
        <w:ind w:left="2835"/>
      </w:pPr>
      <w:r w:rsidRPr="0073064C">
        <w:t xml:space="preserve">in preparation of any of the proceedings referred to in </w:t>
      </w:r>
      <w:r w:rsidR="00811954">
        <w:t>sub</w:t>
      </w:r>
      <w:r w:rsidRPr="0073064C">
        <w:t xml:space="preserve">paragraph </w:t>
      </w:r>
      <w:r w:rsidR="00811954">
        <w:t>(a)</w:t>
      </w:r>
      <w:r w:rsidR="00CE3236">
        <w:t>;</w:t>
      </w:r>
      <w:r w:rsidRPr="0073064C">
        <w:t xml:space="preserve"> or</w:t>
      </w:r>
    </w:p>
    <w:p w14:paraId="48E60F91" w14:textId="69B067E2" w:rsidR="00155580" w:rsidRPr="00C701B9" w:rsidRDefault="00155580" w:rsidP="003454A1">
      <w:pPr>
        <w:pStyle w:val="FTAtextlistedparagraphs"/>
        <w:numPr>
          <w:ilvl w:val="2"/>
          <w:numId w:val="36"/>
        </w:numPr>
        <w:tabs>
          <w:tab w:val="clear" w:pos="2126"/>
        </w:tabs>
        <w:ind w:left="2835"/>
      </w:pPr>
      <w:r>
        <w:t>where there is a tangible indication and high probability that the matter to which the advice relates will become the subject of such proceedings</w:t>
      </w:r>
      <w:r w:rsidR="00A106A7">
        <w:t>,</w:t>
      </w:r>
    </w:p>
    <w:p w14:paraId="5FADA101" w14:textId="51482C9B" w:rsidR="00155580" w:rsidRDefault="006A166E" w:rsidP="0043120A">
      <w:pPr>
        <w:pStyle w:val="FTAtextlistedparagraphs"/>
        <w:numPr>
          <w:ilvl w:val="0"/>
          <w:numId w:val="0"/>
        </w:numPr>
        <w:ind w:left="709"/>
      </w:pPr>
      <w:r>
        <w:tab/>
      </w:r>
      <w:r>
        <w:tab/>
      </w:r>
      <w:r w:rsidR="00155580">
        <w:t>provided that the advice is given by a lawyer;</w:t>
      </w:r>
    </w:p>
    <w:p w14:paraId="4AE146DB" w14:textId="1049806C" w:rsidR="00155580" w:rsidRPr="00C701B9" w:rsidRDefault="00155580" w:rsidP="003454A1">
      <w:pPr>
        <w:pStyle w:val="FTAtextlistedparagraphs"/>
        <w:numPr>
          <w:ilvl w:val="2"/>
          <w:numId w:val="5"/>
        </w:numPr>
      </w:pPr>
      <w:r>
        <w:t>document certification and authentication services which must be provided by notaries;</w:t>
      </w:r>
    </w:p>
    <w:p w14:paraId="17FF2B97" w14:textId="4E03F721" w:rsidR="00155580" w:rsidRPr="00C701B9" w:rsidRDefault="00155580" w:rsidP="003454A1">
      <w:pPr>
        <w:pStyle w:val="FTAtextlistedparagraphs"/>
        <w:numPr>
          <w:ilvl w:val="2"/>
          <w:numId w:val="5"/>
        </w:numPr>
      </w:pPr>
      <w:r>
        <w:t>legal services provided by trustees or appointed guardians or other legal services the providers of which are designated by a court or tribunal in the United Kingdom or are designated by law to carry out specific tasks under the supervision of such tribunals or courts;</w:t>
      </w:r>
      <w:r w:rsidR="000A44C0">
        <w:t xml:space="preserve"> or</w:t>
      </w:r>
    </w:p>
    <w:p w14:paraId="07A97116" w14:textId="58E669F1" w:rsidR="00155580" w:rsidRPr="00C701B9" w:rsidRDefault="00155580" w:rsidP="003454A1">
      <w:pPr>
        <w:pStyle w:val="FTAtextlistedparagraphs"/>
        <w:numPr>
          <w:ilvl w:val="2"/>
          <w:numId w:val="5"/>
        </w:numPr>
        <w:rPr>
          <w:rFonts w:eastAsiaTheme="minorHAnsi"/>
          <w:lang w:eastAsia="en-US"/>
        </w:rPr>
      </w:pPr>
      <w:r>
        <w:lastRenderedPageBreak/>
        <w:t>other legal services which in the United Kingdom are connected, even occasionally, with the exercise of official authority.</w:t>
      </w:r>
    </w:p>
    <w:p w14:paraId="6D2D02FA" w14:textId="29436177" w:rsidR="00123F8D" w:rsidRPr="00123F8D" w:rsidRDefault="00123F8D" w:rsidP="003454A1">
      <w:pPr>
        <w:pStyle w:val="FTAtextlistedparagraphs"/>
        <w:numPr>
          <w:ilvl w:val="1"/>
          <w:numId w:val="23"/>
        </w:numPr>
      </w:pPr>
      <w:r w:rsidRPr="002A1ED8">
        <w:t xml:space="preserve">Procurement of any of the services covered under this paragraph </w:t>
      </w:r>
      <w:r w:rsidR="001F0189" w:rsidRPr="002A1ED8">
        <w:t xml:space="preserve">by procuring entities covered under this Agreement </w:t>
      </w:r>
      <w:r w:rsidRPr="002A1ED8">
        <w:t xml:space="preserve">is a covered procurement </w:t>
      </w:r>
      <w:r w:rsidR="001F0189">
        <w:t>with</w:t>
      </w:r>
      <w:r w:rsidR="001F0189" w:rsidRPr="002A1ED8">
        <w:t xml:space="preserve"> </w:t>
      </w:r>
      <w:r w:rsidRPr="002A1ED8">
        <w:t xml:space="preserve">regard </w:t>
      </w:r>
      <w:r w:rsidR="001F0189">
        <w:t>to</w:t>
      </w:r>
      <w:r w:rsidRPr="002A1ED8">
        <w:t xml:space="preserve"> a particular Party</w:t>
      </w:r>
      <w:r w:rsidR="00FC6E93">
        <w:t>’</w:t>
      </w:r>
      <w:r w:rsidRPr="002A1ED8">
        <w:t xml:space="preserve">s service </w:t>
      </w:r>
      <w:r w:rsidR="001F0189" w:rsidRPr="002A1ED8">
        <w:t xml:space="preserve">provider </w:t>
      </w:r>
      <w:r w:rsidRPr="002A1ED8">
        <w:t>only to the extent that such Party has covered that service</w:t>
      </w:r>
      <w:r w:rsidR="001F0189">
        <w:t xml:space="preserve"> under this Appendix (including that Party’s coverage of services under Article II of the GPA)</w:t>
      </w:r>
      <w:r w:rsidRPr="002A1ED8">
        <w:t>.</w:t>
      </w:r>
    </w:p>
    <w:p w14:paraId="4A70DB3F" w14:textId="4F5EE6C4" w:rsidR="00155580" w:rsidRPr="00A4708D" w:rsidRDefault="00155580" w:rsidP="003454A1">
      <w:pPr>
        <w:pStyle w:val="FTAtextlistedparagraphs"/>
        <w:numPr>
          <w:ilvl w:val="1"/>
          <w:numId w:val="23"/>
        </w:numPr>
      </w:pPr>
      <w:r w:rsidRPr="00A4708D">
        <w:t>Article</w:t>
      </w:r>
      <w:r w:rsidR="006768F1" w:rsidRPr="00A4708D">
        <w:t xml:space="preserve"> 6.1</w:t>
      </w:r>
      <w:r w:rsidRPr="00A4708D">
        <w:t xml:space="preserve"> </w:t>
      </w:r>
      <w:r w:rsidR="006768F1" w:rsidRPr="00A4708D">
        <w:t>(</w:t>
      </w:r>
      <w:r w:rsidRPr="00A4708D">
        <w:t>Scope and Coverage</w:t>
      </w:r>
      <w:r w:rsidR="006768F1" w:rsidRPr="00A4708D">
        <w:t>)</w:t>
      </w:r>
      <w:r w:rsidRPr="00A4708D">
        <w:t xml:space="preserve">, </w:t>
      </w:r>
      <w:r w:rsidR="000A44C0">
        <w:t xml:space="preserve">of </w:t>
      </w:r>
      <w:r w:rsidRPr="00A4708D">
        <w:t xml:space="preserve">Chapter </w:t>
      </w:r>
      <w:r w:rsidR="006768F1" w:rsidRPr="00A4708D">
        <w:t>6 (</w:t>
      </w:r>
      <w:r w:rsidRPr="00A4708D">
        <w:t>Government Procurement</w:t>
      </w:r>
      <w:r w:rsidR="006768F1" w:rsidRPr="00A4708D">
        <w:t>)</w:t>
      </w:r>
      <w:r w:rsidRPr="00A4708D">
        <w:t xml:space="preserve"> </w:t>
      </w:r>
      <w:r w:rsidR="000A44C0">
        <w:t xml:space="preserve">that Chapter </w:t>
      </w:r>
      <w:r w:rsidRPr="00A4708D">
        <w:t xml:space="preserve">and this Appendix do not cover procurement of the following services: </w:t>
      </w:r>
    </w:p>
    <w:p w14:paraId="6997111A" w14:textId="37DB0C24" w:rsidR="00155580" w:rsidRPr="00C63FD6" w:rsidRDefault="00155580" w:rsidP="003454A1">
      <w:pPr>
        <w:pStyle w:val="FTAtextlistedparagraphs"/>
        <w:numPr>
          <w:ilvl w:val="2"/>
          <w:numId w:val="5"/>
        </w:numPr>
      </w:pPr>
      <w:r w:rsidRPr="00C63FD6">
        <w:t>Human health services (CPC 931);</w:t>
      </w:r>
    </w:p>
    <w:p w14:paraId="10817B34" w14:textId="5E5A94B5" w:rsidR="00155580" w:rsidRPr="00C63FD6" w:rsidRDefault="00155580" w:rsidP="003454A1">
      <w:pPr>
        <w:pStyle w:val="FTAtextlistedparagraphs"/>
        <w:numPr>
          <w:ilvl w:val="2"/>
          <w:numId w:val="5"/>
        </w:numPr>
      </w:pPr>
      <w:r w:rsidRPr="00C63FD6">
        <w:t xml:space="preserve">Administrative healthcare services (CPC 91122); and </w:t>
      </w:r>
    </w:p>
    <w:p w14:paraId="50B32A0F" w14:textId="6AEEBFDD" w:rsidR="00155580" w:rsidRPr="00C701B9" w:rsidRDefault="00155580" w:rsidP="003454A1">
      <w:pPr>
        <w:pStyle w:val="FTAtextlistedparagraphs"/>
        <w:numPr>
          <w:ilvl w:val="2"/>
          <w:numId w:val="5"/>
        </w:numPr>
        <w:rPr>
          <w:rFonts w:eastAsiaTheme="minorHAnsi"/>
          <w:lang w:eastAsia="en-US"/>
        </w:rPr>
      </w:pPr>
      <w:r w:rsidRPr="00C63FD6">
        <w:t>Supply services of nursing personnel and supply services of medical personnel (CPC 87206 and CPC 87209).</w:t>
      </w:r>
    </w:p>
    <w:p w14:paraId="04615E70" w14:textId="593D7D5C" w:rsidR="00155580" w:rsidRPr="00EC23EE" w:rsidRDefault="00155580" w:rsidP="003454A1">
      <w:pPr>
        <w:pStyle w:val="FTAtextlistedparagraphs"/>
        <w:numPr>
          <w:ilvl w:val="0"/>
          <w:numId w:val="7"/>
        </w:numPr>
        <w:rPr>
          <w:b/>
          <w:bCs/>
        </w:rPr>
      </w:pPr>
      <w:r w:rsidRPr="00EC23EE">
        <w:rPr>
          <w:b/>
          <w:bCs/>
        </w:rPr>
        <w:t>Concession contracts</w:t>
      </w:r>
    </w:p>
    <w:p w14:paraId="4C6E3B62" w14:textId="6B65EFFD" w:rsidR="00155580" w:rsidRDefault="00155580" w:rsidP="003454A1">
      <w:pPr>
        <w:numPr>
          <w:ilvl w:val="1"/>
          <w:numId w:val="1"/>
        </w:numPr>
        <w:ind w:left="1418" w:hanging="737"/>
        <w:jc w:val="both"/>
      </w:pPr>
      <w:r w:rsidRPr="00094C15">
        <w:t>Services concessions contracts, when awarded by Annex 1 and 2 entities of the United Kingdom</w:t>
      </w:r>
      <w:r w:rsidR="00CF4480">
        <w:t>’s</w:t>
      </w:r>
      <w:r w:rsidRPr="00094C15">
        <w:t xml:space="preserve"> Appendix I to the GPA, for the procurement of services as set out in Annex 5 of the United Kingdom’s Appendix I to the GPA and in paragraph 2 </w:t>
      </w:r>
      <w:r w:rsidR="00875050">
        <w:t>(Addit</w:t>
      </w:r>
      <w:r w:rsidR="00FF7D55">
        <w:t>i</w:t>
      </w:r>
      <w:r w:rsidR="00875050">
        <w:t xml:space="preserve">onal services) </w:t>
      </w:r>
      <w:r w:rsidRPr="00094C15">
        <w:t xml:space="preserve">of this </w:t>
      </w:r>
      <w:r w:rsidR="00875050">
        <w:t>Part</w:t>
      </w:r>
      <w:r w:rsidR="00CF4480">
        <w:t xml:space="preserve"> A</w:t>
      </w:r>
      <w:r w:rsidRPr="00094C15">
        <w:t>, are included under the national treatment regime for the suppliers, including service providers, of Iceland, Liechtenstein and Norway, provided that their value equals or exceeds 5,000,000 SDR.</w:t>
      </w:r>
    </w:p>
    <w:p w14:paraId="489C32BA" w14:textId="40B4BBEA" w:rsidR="00123F8D" w:rsidRPr="00C701B9" w:rsidRDefault="00123F8D" w:rsidP="003454A1">
      <w:pPr>
        <w:numPr>
          <w:ilvl w:val="1"/>
          <w:numId w:val="1"/>
        </w:numPr>
        <w:ind w:left="1418" w:hanging="737"/>
        <w:jc w:val="both"/>
      </w:pPr>
      <w:r w:rsidRPr="00123F8D">
        <w:t>For greater certainty, works concessions contracts are covered in and on the basis set out in Annex 6 of the United Kingdom</w:t>
      </w:r>
      <w:r w:rsidR="00824443">
        <w:t>’</w:t>
      </w:r>
      <w:r w:rsidRPr="00123F8D">
        <w:t>s Appendix I to the GPA</w:t>
      </w:r>
      <w:r w:rsidR="00CE3236">
        <w:t>.</w:t>
      </w:r>
    </w:p>
    <w:p w14:paraId="742DF19B" w14:textId="58E422F4" w:rsidR="00155580" w:rsidRPr="00C701B9" w:rsidRDefault="006A166E" w:rsidP="00D37DB5">
      <w:r>
        <w:tab/>
      </w:r>
      <w:r w:rsidR="00155580" w:rsidRPr="00094C15">
        <w:t>Notes to paragraph 3:</w:t>
      </w:r>
    </w:p>
    <w:p w14:paraId="6D79F8D2" w14:textId="7099D559" w:rsidR="00E54E2E" w:rsidRDefault="00155580" w:rsidP="003454A1">
      <w:pPr>
        <w:pStyle w:val="FTAtextlistedparagraphs"/>
        <w:numPr>
          <w:ilvl w:val="1"/>
          <w:numId w:val="8"/>
        </w:numPr>
      </w:pPr>
      <w:r w:rsidRPr="00094C15">
        <w:t xml:space="preserve">Paragraph 3 </w:t>
      </w:r>
      <w:r w:rsidR="00875050">
        <w:t xml:space="preserve">(Concession contracts) </w:t>
      </w:r>
      <w:r w:rsidRPr="00094C15">
        <w:t xml:space="preserve">of this </w:t>
      </w:r>
      <w:r w:rsidR="00875050">
        <w:t>Part</w:t>
      </w:r>
      <w:r w:rsidR="00CF4480">
        <w:t xml:space="preserve"> A</w:t>
      </w:r>
      <w:r w:rsidRPr="00094C15">
        <w:t xml:space="preserve"> applies to the extent procurement of service</w:t>
      </w:r>
      <w:r w:rsidR="00ED2CD8">
        <w:t>s</w:t>
      </w:r>
      <w:r w:rsidRPr="00094C15">
        <w:t xml:space="preserve"> concessions contracts </w:t>
      </w:r>
      <w:r w:rsidR="00C45D34">
        <w:t>as described in paragraph 3</w:t>
      </w:r>
      <w:r w:rsidR="00875050">
        <w:t xml:space="preserve"> (Concession contracts)</w:t>
      </w:r>
      <w:r w:rsidR="00C45D34">
        <w:t xml:space="preserve"> </w:t>
      </w:r>
      <w:r w:rsidRPr="00094C15">
        <w:t>are covered under the Concession Contracts Regulations 2016 and the Concession Contracts (Scotland) Regulations 2016.</w:t>
      </w:r>
    </w:p>
    <w:p w14:paraId="705B0A5E" w14:textId="77517FDE" w:rsidR="00B2061D" w:rsidRDefault="00B2061D">
      <w:pPr>
        <w:spacing w:after="160" w:line="259" w:lineRule="auto"/>
        <w:rPr>
          <w:rFonts w:ascii="Times New Roman Bold" w:hAnsi="Times New Roman Bold"/>
          <w:b/>
          <w:bCs/>
          <w:caps/>
          <w:lang w:val="en-US" w:eastAsia="es-ES"/>
        </w:rPr>
      </w:pPr>
      <w:r>
        <w:rPr>
          <w:lang w:val="en-US" w:eastAsia="es-ES"/>
        </w:rPr>
        <w:br w:type="page"/>
      </w:r>
    </w:p>
    <w:p w14:paraId="7B4B7D28" w14:textId="6FA9A5EA" w:rsidR="00E54E2E" w:rsidRPr="00673452" w:rsidRDefault="00E54E2E" w:rsidP="00ED71F4">
      <w:pPr>
        <w:pStyle w:val="Appendixtabletitle"/>
        <w:rPr>
          <w:lang w:val="en-US" w:eastAsia="es-ES"/>
        </w:rPr>
      </w:pPr>
      <w:r w:rsidRPr="00673452">
        <w:rPr>
          <w:lang w:val="en-US" w:eastAsia="es-ES"/>
        </w:rPr>
        <w:lastRenderedPageBreak/>
        <w:t xml:space="preserve">PART B: </w:t>
      </w:r>
      <w:r w:rsidR="003F4354" w:rsidRPr="00673452">
        <w:rPr>
          <w:lang w:val="en-US" w:eastAsia="es-ES"/>
        </w:rPr>
        <w:t xml:space="preserve">EEA </w:t>
      </w:r>
      <w:r w:rsidRPr="00673452">
        <w:rPr>
          <w:lang w:val="en-US" w:eastAsia="es-ES"/>
        </w:rPr>
        <w:t>EFTA STATES</w:t>
      </w:r>
    </w:p>
    <w:p w14:paraId="5FF04EC5" w14:textId="1E162490" w:rsidR="00A41A27" w:rsidRPr="00B2061D" w:rsidRDefault="00A41A27" w:rsidP="0084549F">
      <w:pPr>
        <w:pStyle w:val="FTAtext"/>
      </w:pPr>
      <w:r w:rsidRPr="00B2061D">
        <w:t>In accordance with Article</w:t>
      </w:r>
      <w:r w:rsidR="00060A2B" w:rsidRPr="00B2061D">
        <w:t xml:space="preserve"> </w:t>
      </w:r>
      <w:r w:rsidR="003152BC" w:rsidRPr="00B2061D">
        <w:t>6.1 (</w:t>
      </w:r>
      <w:r w:rsidR="00060A2B" w:rsidRPr="00B2061D">
        <w:t>Scope and Coverage</w:t>
      </w:r>
      <w:r w:rsidR="003152BC" w:rsidRPr="00B2061D">
        <w:t>)</w:t>
      </w:r>
      <w:r w:rsidR="00771DC3">
        <w:t xml:space="preserve"> </w:t>
      </w:r>
      <w:r w:rsidR="000A44C0">
        <w:t>of</w:t>
      </w:r>
      <w:r w:rsidRPr="00B2061D">
        <w:t xml:space="preserve"> </w:t>
      </w:r>
      <w:r w:rsidR="00060A2B" w:rsidRPr="00B2061D">
        <w:t>Chapter</w:t>
      </w:r>
      <w:r w:rsidR="003152BC" w:rsidRPr="00B2061D">
        <w:t xml:space="preserve"> 6</w:t>
      </w:r>
      <w:r w:rsidRPr="00B2061D">
        <w:t xml:space="preserve"> </w:t>
      </w:r>
      <w:r w:rsidR="003152BC" w:rsidRPr="00B2061D">
        <w:t>(</w:t>
      </w:r>
      <w:r w:rsidR="00060A2B" w:rsidRPr="00B2061D">
        <w:t>Government</w:t>
      </w:r>
      <w:r w:rsidRPr="00B2061D">
        <w:t xml:space="preserve"> P</w:t>
      </w:r>
      <w:r w:rsidR="00060A2B" w:rsidRPr="00B2061D">
        <w:t>rocurement</w:t>
      </w:r>
      <w:r w:rsidR="003152BC" w:rsidRPr="00B2061D">
        <w:t>)</w:t>
      </w:r>
      <w:r w:rsidRPr="00B2061D">
        <w:t xml:space="preserve"> </w:t>
      </w:r>
      <w:r w:rsidR="000A44C0">
        <w:t xml:space="preserve">that Chapter </w:t>
      </w:r>
      <w:r w:rsidRPr="00B2061D">
        <w:t xml:space="preserve">applies, in addition to the procurement covered by Article II of the GPA, to the procurement covered by this </w:t>
      </w:r>
      <w:r w:rsidR="00060A2B" w:rsidRPr="00B2061D">
        <w:t>Appendix</w:t>
      </w:r>
      <w:r w:rsidRPr="00B2061D">
        <w:t>.</w:t>
      </w:r>
    </w:p>
    <w:p w14:paraId="6628760A" w14:textId="79FB43E8" w:rsidR="003625D9" w:rsidRPr="00C701B9" w:rsidRDefault="00A41A27" w:rsidP="00A43DD7">
      <w:pPr>
        <w:pStyle w:val="FTAtext"/>
        <w:ind w:firstLine="0"/>
      </w:pPr>
      <w:r w:rsidRPr="006A3C5F">
        <w:t>The</w:t>
      </w:r>
      <w:r w:rsidRPr="006A3C5F">
        <w:rPr>
          <w:spacing w:val="33"/>
        </w:rPr>
        <w:t xml:space="preserve"> </w:t>
      </w:r>
      <w:r w:rsidRPr="006A3C5F">
        <w:t>Notes</w:t>
      </w:r>
      <w:r w:rsidRPr="006A3C5F">
        <w:rPr>
          <w:spacing w:val="31"/>
        </w:rPr>
        <w:t xml:space="preserve"> </w:t>
      </w:r>
      <w:r w:rsidRPr="006A3C5F">
        <w:t>in</w:t>
      </w:r>
      <w:r w:rsidRPr="006A3C5F">
        <w:rPr>
          <w:spacing w:val="33"/>
        </w:rPr>
        <w:t xml:space="preserve"> </w:t>
      </w:r>
      <w:r w:rsidRPr="006A3C5F">
        <w:t>Annexes</w:t>
      </w:r>
      <w:r w:rsidRPr="006A3C5F">
        <w:rPr>
          <w:spacing w:val="31"/>
        </w:rPr>
        <w:t xml:space="preserve"> </w:t>
      </w:r>
      <w:r w:rsidRPr="006A3C5F">
        <w:t>1</w:t>
      </w:r>
      <w:r w:rsidRPr="006A3C5F">
        <w:rPr>
          <w:spacing w:val="32"/>
        </w:rPr>
        <w:t xml:space="preserve"> </w:t>
      </w:r>
      <w:r w:rsidRPr="006A3C5F">
        <w:t>to</w:t>
      </w:r>
      <w:r w:rsidRPr="006A3C5F">
        <w:rPr>
          <w:spacing w:val="33"/>
        </w:rPr>
        <w:t xml:space="preserve"> </w:t>
      </w:r>
      <w:r w:rsidRPr="006A3C5F">
        <w:t>7</w:t>
      </w:r>
      <w:r w:rsidRPr="006A3C5F">
        <w:rPr>
          <w:spacing w:val="32"/>
        </w:rPr>
        <w:t xml:space="preserve"> </w:t>
      </w:r>
      <w:r w:rsidRPr="006A3C5F">
        <w:t>of</w:t>
      </w:r>
      <w:r w:rsidRPr="006A3C5F">
        <w:rPr>
          <w:spacing w:val="33"/>
        </w:rPr>
        <w:t xml:space="preserve"> </w:t>
      </w:r>
      <w:r w:rsidR="000F1C51" w:rsidRPr="006A3C5F">
        <w:rPr>
          <w:spacing w:val="-2"/>
        </w:rPr>
        <w:t>Iceland, Liechtenstein and Norway</w:t>
      </w:r>
      <w:r w:rsidR="00CF4480">
        <w:rPr>
          <w:spacing w:val="-2"/>
        </w:rPr>
        <w:t>’s</w:t>
      </w:r>
      <w:r w:rsidRPr="006A3C5F">
        <w:rPr>
          <w:spacing w:val="31"/>
        </w:rPr>
        <w:t xml:space="preserve"> </w:t>
      </w:r>
      <w:r w:rsidRPr="006A3C5F">
        <w:t>Appendix</w:t>
      </w:r>
      <w:r w:rsidRPr="006A3C5F">
        <w:rPr>
          <w:spacing w:val="34"/>
        </w:rPr>
        <w:t xml:space="preserve"> </w:t>
      </w:r>
      <w:r w:rsidRPr="006A3C5F">
        <w:t>I</w:t>
      </w:r>
      <w:r w:rsidRPr="006A3C5F">
        <w:rPr>
          <w:spacing w:val="31"/>
        </w:rPr>
        <w:t xml:space="preserve"> </w:t>
      </w:r>
      <w:r w:rsidRPr="006A3C5F">
        <w:t>to</w:t>
      </w:r>
      <w:r w:rsidRPr="006A3C5F">
        <w:rPr>
          <w:spacing w:val="32"/>
        </w:rPr>
        <w:t xml:space="preserve"> </w:t>
      </w:r>
      <w:r w:rsidRPr="006A3C5F">
        <w:t>the</w:t>
      </w:r>
      <w:r w:rsidRPr="006A3C5F">
        <w:rPr>
          <w:spacing w:val="32"/>
        </w:rPr>
        <w:t xml:space="preserve"> </w:t>
      </w:r>
      <w:r w:rsidRPr="006A3C5F">
        <w:t>GPA</w:t>
      </w:r>
      <w:r w:rsidRPr="006A3C5F">
        <w:rPr>
          <w:spacing w:val="33"/>
        </w:rPr>
        <w:t xml:space="preserve"> </w:t>
      </w:r>
      <w:r w:rsidRPr="006A3C5F">
        <w:t>also</w:t>
      </w:r>
      <w:r w:rsidRPr="006A3C5F">
        <w:rPr>
          <w:spacing w:val="34"/>
        </w:rPr>
        <w:t xml:space="preserve"> </w:t>
      </w:r>
      <w:r w:rsidRPr="006A3C5F">
        <w:t>apply</w:t>
      </w:r>
      <w:r w:rsidRPr="006A3C5F">
        <w:rPr>
          <w:spacing w:val="35"/>
        </w:rPr>
        <w:t xml:space="preserve"> </w:t>
      </w:r>
      <w:r w:rsidRPr="006A3C5F">
        <w:t>to</w:t>
      </w:r>
      <w:r w:rsidRPr="006A3C5F">
        <w:rPr>
          <w:spacing w:val="33"/>
        </w:rPr>
        <w:t xml:space="preserve"> </w:t>
      </w:r>
      <w:r w:rsidRPr="006A3C5F">
        <w:t>the</w:t>
      </w:r>
      <w:r w:rsidRPr="006A3C5F">
        <w:rPr>
          <w:spacing w:val="37"/>
        </w:rPr>
        <w:t xml:space="preserve"> </w:t>
      </w:r>
      <w:r w:rsidRPr="006A3C5F">
        <w:t>procurement</w:t>
      </w:r>
      <w:r w:rsidRPr="006A3C5F">
        <w:rPr>
          <w:spacing w:val="-2"/>
        </w:rPr>
        <w:t xml:space="preserve"> </w:t>
      </w:r>
      <w:r w:rsidRPr="006A3C5F">
        <w:t>covered by</w:t>
      </w:r>
      <w:r w:rsidRPr="006A3C5F">
        <w:rPr>
          <w:spacing w:val="-2"/>
        </w:rPr>
        <w:t xml:space="preserve"> </w:t>
      </w:r>
      <w:r w:rsidRPr="006A3C5F">
        <w:t xml:space="preserve">this </w:t>
      </w:r>
      <w:r w:rsidR="000F1C51" w:rsidRPr="006A3C5F">
        <w:t>Appendix</w:t>
      </w:r>
      <w:r w:rsidRPr="006A3C5F">
        <w:t>, unless</w:t>
      </w:r>
      <w:r w:rsidRPr="006A3C5F">
        <w:rPr>
          <w:spacing w:val="-3"/>
        </w:rPr>
        <w:t xml:space="preserve"> </w:t>
      </w:r>
      <w:r w:rsidRPr="006A3C5F">
        <w:t>otherwise</w:t>
      </w:r>
      <w:r w:rsidRPr="006A3C5F">
        <w:rPr>
          <w:spacing w:val="1"/>
        </w:rPr>
        <w:t xml:space="preserve"> </w:t>
      </w:r>
      <w:r w:rsidRPr="006A3C5F">
        <w:t>provided for</w:t>
      </w:r>
      <w:r w:rsidRPr="006A3C5F">
        <w:rPr>
          <w:spacing w:val="-3"/>
        </w:rPr>
        <w:t xml:space="preserve"> </w:t>
      </w:r>
      <w:r w:rsidRPr="006A3C5F">
        <w:t xml:space="preserve">in this </w:t>
      </w:r>
      <w:r w:rsidR="000F1C51" w:rsidRPr="006A3C5F">
        <w:t>Appendix</w:t>
      </w:r>
      <w:r w:rsidRPr="006A3C5F">
        <w:t>.</w:t>
      </w:r>
    </w:p>
    <w:p w14:paraId="19D20A69" w14:textId="59AD83C9" w:rsidR="00E83C47" w:rsidRPr="008722D0" w:rsidRDefault="00E83C47" w:rsidP="003454A1">
      <w:pPr>
        <w:pStyle w:val="Appendixtabletitle"/>
        <w:numPr>
          <w:ilvl w:val="0"/>
          <w:numId w:val="28"/>
        </w:numPr>
        <w:ind w:hanging="720"/>
        <w:jc w:val="left"/>
      </w:pPr>
      <w:r w:rsidRPr="008722D0">
        <w:t>Iceland</w:t>
      </w:r>
    </w:p>
    <w:p w14:paraId="2B375EB1" w14:textId="646BE345" w:rsidR="00E83C47" w:rsidRPr="008722D0" w:rsidRDefault="00E83C47" w:rsidP="00AB2AF7">
      <w:pPr>
        <w:pStyle w:val="FTAtext"/>
        <w:ind w:firstLine="0"/>
        <w:rPr>
          <w:rFonts w:eastAsia="Calibri"/>
        </w:rPr>
      </w:pPr>
      <w:r w:rsidRPr="008722D0">
        <w:t>Procurement covered by this Appendix</w:t>
      </w:r>
    </w:p>
    <w:p w14:paraId="412B8880" w14:textId="430322CE" w:rsidR="00E83C47" w:rsidRPr="00EC23EE" w:rsidRDefault="00E83C47" w:rsidP="003454A1">
      <w:pPr>
        <w:pStyle w:val="FTAtextlistedparagraphs"/>
        <w:numPr>
          <w:ilvl w:val="0"/>
          <w:numId w:val="9"/>
        </w:numPr>
        <w:rPr>
          <w:b/>
          <w:bCs/>
        </w:rPr>
      </w:pPr>
      <w:r w:rsidRPr="00EC23EE">
        <w:rPr>
          <w:b/>
          <w:bCs/>
        </w:rPr>
        <w:t>Additional procuring</w:t>
      </w:r>
      <w:r w:rsidRPr="00EC23EE">
        <w:rPr>
          <w:b/>
          <w:bCs/>
          <w:spacing w:val="-3"/>
        </w:rPr>
        <w:t xml:space="preserve"> </w:t>
      </w:r>
      <w:r w:rsidRPr="00EC23EE">
        <w:rPr>
          <w:b/>
          <w:bCs/>
        </w:rPr>
        <w:t>entities</w:t>
      </w:r>
    </w:p>
    <w:p w14:paraId="3E207450" w14:textId="5270827C" w:rsidR="00E83C47" w:rsidRPr="006A3C5F" w:rsidRDefault="00E83C47" w:rsidP="006645A8">
      <w:pPr>
        <w:pStyle w:val="FTAtextlistedparagraphs"/>
        <w:numPr>
          <w:ilvl w:val="0"/>
          <w:numId w:val="0"/>
        </w:numPr>
        <w:ind w:left="709"/>
      </w:pPr>
      <w:r w:rsidRPr="006A3C5F">
        <w:t>Procurement of</w:t>
      </w:r>
      <w:r w:rsidRPr="00C701B9">
        <w:rPr>
          <w:spacing w:val="2"/>
        </w:rPr>
        <w:t xml:space="preserve"> </w:t>
      </w:r>
      <w:r w:rsidRPr="006A3C5F">
        <w:t>goods</w:t>
      </w:r>
      <w:r w:rsidRPr="00C701B9">
        <w:rPr>
          <w:spacing w:val="2"/>
        </w:rPr>
        <w:t xml:space="preserve"> </w:t>
      </w:r>
      <w:r w:rsidRPr="006A3C5F">
        <w:t>and</w:t>
      </w:r>
      <w:r w:rsidRPr="00C701B9">
        <w:rPr>
          <w:spacing w:val="2"/>
        </w:rPr>
        <w:t xml:space="preserve"> </w:t>
      </w:r>
      <w:r w:rsidRPr="006A3C5F">
        <w:t>services</w:t>
      </w:r>
      <w:r w:rsidRPr="00C701B9">
        <w:rPr>
          <w:spacing w:val="3"/>
        </w:rPr>
        <w:t xml:space="preserve"> </w:t>
      </w:r>
      <w:r w:rsidRPr="006A3C5F">
        <w:t>as</w:t>
      </w:r>
      <w:r w:rsidRPr="00C701B9">
        <w:rPr>
          <w:spacing w:val="2"/>
        </w:rPr>
        <w:t xml:space="preserve"> </w:t>
      </w:r>
      <w:r w:rsidRPr="006A3C5F">
        <w:t>set</w:t>
      </w:r>
      <w:r w:rsidRPr="00C701B9">
        <w:rPr>
          <w:spacing w:val="3"/>
        </w:rPr>
        <w:t xml:space="preserve"> </w:t>
      </w:r>
      <w:r w:rsidRPr="006A3C5F">
        <w:t>out</w:t>
      </w:r>
      <w:r w:rsidRPr="00C701B9">
        <w:rPr>
          <w:spacing w:val="3"/>
        </w:rPr>
        <w:t xml:space="preserve"> </w:t>
      </w:r>
      <w:r w:rsidRPr="006A3C5F">
        <w:t>in</w:t>
      </w:r>
      <w:r w:rsidRPr="00C701B9">
        <w:rPr>
          <w:spacing w:val="1"/>
        </w:rPr>
        <w:t xml:space="preserve"> </w:t>
      </w:r>
      <w:r w:rsidRPr="006A3C5F">
        <w:t>Annexes</w:t>
      </w:r>
      <w:r w:rsidRPr="00C701B9">
        <w:rPr>
          <w:spacing w:val="2"/>
        </w:rPr>
        <w:t xml:space="preserve"> </w:t>
      </w:r>
      <w:r w:rsidRPr="006A3C5F">
        <w:t>4</w:t>
      </w:r>
      <w:r w:rsidRPr="00C701B9">
        <w:rPr>
          <w:spacing w:val="3"/>
        </w:rPr>
        <w:t xml:space="preserve"> </w:t>
      </w:r>
      <w:r w:rsidRPr="006A3C5F">
        <w:t>to</w:t>
      </w:r>
      <w:r w:rsidRPr="00C701B9">
        <w:rPr>
          <w:spacing w:val="1"/>
        </w:rPr>
        <w:t xml:space="preserve"> </w:t>
      </w:r>
      <w:r w:rsidRPr="006A3C5F">
        <w:t>6</w:t>
      </w:r>
      <w:r w:rsidRPr="00C701B9">
        <w:rPr>
          <w:spacing w:val="3"/>
        </w:rPr>
        <w:t xml:space="preserve"> </w:t>
      </w:r>
      <w:r w:rsidRPr="006A3C5F">
        <w:t>of</w:t>
      </w:r>
      <w:r w:rsidRPr="00C701B9">
        <w:rPr>
          <w:spacing w:val="2"/>
        </w:rPr>
        <w:t xml:space="preserve"> </w:t>
      </w:r>
      <w:r>
        <w:t>I</w:t>
      </w:r>
      <w:r w:rsidR="00155436">
        <w:t>celand</w:t>
      </w:r>
      <w:r w:rsidRPr="00C701B9">
        <w:rPr>
          <w:spacing w:val="2"/>
        </w:rPr>
        <w:t xml:space="preserve"> </w:t>
      </w:r>
      <w:r w:rsidRPr="006A3C5F">
        <w:t>to</w:t>
      </w:r>
      <w:r w:rsidRPr="00C701B9">
        <w:rPr>
          <w:spacing w:val="4"/>
        </w:rPr>
        <w:t xml:space="preserve"> </w:t>
      </w:r>
      <w:r w:rsidRPr="006A3C5F">
        <w:t>Appendix I</w:t>
      </w:r>
      <w:r w:rsidRPr="00C701B9">
        <w:rPr>
          <w:spacing w:val="51"/>
        </w:rPr>
        <w:t xml:space="preserve"> </w:t>
      </w:r>
      <w:r w:rsidRPr="006A3C5F">
        <w:t>to</w:t>
      </w:r>
      <w:r w:rsidRPr="00C701B9">
        <w:rPr>
          <w:spacing w:val="2"/>
        </w:rPr>
        <w:t xml:space="preserve"> </w:t>
      </w:r>
      <w:r w:rsidRPr="006A3C5F">
        <w:t>the</w:t>
      </w:r>
      <w:r w:rsidRPr="00C701B9">
        <w:rPr>
          <w:spacing w:val="2"/>
        </w:rPr>
        <w:t xml:space="preserve"> </w:t>
      </w:r>
      <w:r w:rsidRPr="006A3C5F">
        <w:t>GPA,</w:t>
      </w:r>
      <w:r w:rsidRPr="00C701B9">
        <w:rPr>
          <w:spacing w:val="1"/>
        </w:rPr>
        <w:t xml:space="preserve"> </w:t>
      </w:r>
      <w:r w:rsidRPr="006A3C5F">
        <w:t>and in paragraph</w:t>
      </w:r>
      <w:r w:rsidRPr="00C701B9">
        <w:rPr>
          <w:spacing w:val="49"/>
        </w:rPr>
        <w:t xml:space="preserve"> </w:t>
      </w:r>
      <w:r w:rsidRPr="006A3C5F">
        <w:t>2</w:t>
      </w:r>
      <w:r w:rsidRPr="00C701B9">
        <w:rPr>
          <w:spacing w:val="1"/>
        </w:rPr>
        <w:t xml:space="preserve"> </w:t>
      </w:r>
      <w:r w:rsidR="00875050">
        <w:rPr>
          <w:spacing w:val="1"/>
        </w:rPr>
        <w:t xml:space="preserve">(Additional services) </w:t>
      </w:r>
      <w:r w:rsidRPr="006A3C5F">
        <w:t>of</w:t>
      </w:r>
      <w:r w:rsidRPr="00C701B9">
        <w:rPr>
          <w:spacing w:val="48"/>
        </w:rPr>
        <w:t xml:space="preserve"> </w:t>
      </w:r>
      <w:r w:rsidRPr="006A3C5F">
        <w:t>this</w:t>
      </w:r>
      <w:r w:rsidR="0032490D" w:rsidRPr="00C701B9">
        <w:rPr>
          <w:spacing w:val="1"/>
        </w:rPr>
        <w:t xml:space="preserve"> </w:t>
      </w:r>
      <w:r w:rsidR="00CF4480">
        <w:rPr>
          <w:spacing w:val="1"/>
        </w:rPr>
        <w:t>Section A of Part B</w:t>
      </w:r>
      <w:r w:rsidRPr="006A3C5F">
        <w:t>,</w:t>
      </w:r>
      <w:r w:rsidRPr="00C701B9">
        <w:rPr>
          <w:spacing w:val="1"/>
        </w:rPr>
        <w:t xml:space="preserve"> </w:t>
      </w:r>
      <w:r w:rsidRPr="006A3C5F">
        <w:t>by</w:t>
      </w:r>
      <w:r w:rsidRPr="00C701B9">
        <w:rPr>
          <w:spacing w:val="2"/>
        </w:rPr>
        <w:t xml:space="preserve"> </w:t>
      </w:r>
      <w:r w:rsidRPr="006A3C5F">
        <w:t>the</w:t>
      </w:r>
      <w:r w:rsidRPr="00C701B9">
        <w:rPr>
          <w:spacing w:val="1"/>
        </w:rPr>
        <w:t xml:space="preserve"> </w:t>
      </w:r>
      <w:r w:rsidRPr="006A3C5F">
        <w:t>following</w:t>
      </w:r>
      <w:r w:rsidRPr="00C701B9">
        <w:rPr>
          <w:spacing w:val="49"/>
        </w:rPr>
        <w:t xml:space="preserve"> </w:t>
      </w:r>
      <w:r w:rsidRPr="006A3C5F">
        <w:t>procuring entities:</w:t>
      </w:r>
    </w:p>
    <w:p w14:paraId="68B9E863" w14:textId="63D1CA7F" w:rsidR="00E83C47" w:rsidRPr="00171131" w:rsidRDefault="049C7ED1" w:rsidP="003454A1">
      <w:pPr>
        <w:pStyle w:val="FTAtextlistedparagraphs"/>
        <w:numPr>
          <w:ilvl w:val="1"/>
          <w:numId w:val="5"/>
        </w:numPr>
      </w:pPr>
      <w:r w:rsidRPr="00171131">
        <w:t>all contracting entities whose procurement is covered by the EU utilities directive which are contracting authorities (e.g. those covered under Annex 1 and Annex 2 to Appendix I to the GPA) or public undertakings and which have as one of their activities</w:t>
      </w:r>
      <w:r w:rsidR="00C1263B">
        <w:t>;</w:t>
      </w:r>
    </w:p>
    <w:p w14:paraId="23B55D06" w14:textId="414AB8B2" w:rsidR="00E83C47" w:rsidRPr="00171131" w:rsidRDefault="00E83C47" w:rsidP="00771DC3">
      <w:pPr>
        <w:pStyle w:val="FTAtextlistedparagraphs"/>
        <w:numPr>
          <w:ilvl w:val="2"/>
          <w:numId w:val="5"/>
        </w:numPr>
      </w:pPr>
      <w:r w:rsidRPr="00171131">
        <w:t>the provision or operation of fixed networks intended to provide a service to the public in connection with the production, transport or distribution of gas or heat or the supply of gas or heat to such networks</w:t>
      </w:r>
      <w:r w:rsidR="00C1263B">
        <w:t>;</w:t>
      </w:r>
      <w:r w:rsidRPr="00171131">
        <w:t xml:space="preserve"> or</w:t>
      </w:r>
    </w:p>
    <w:p w14:paraId="38077B9D" w14:textId="490EC210" w:rsidR="00CF4480" w:rsidRPr="00171131" w:rsidRDefault="00E83C47" w:rsidP="00771DC3">
      <w:pPr>
        <w:pStyle w:val="FTAtextlistedparagraphs"/>
        <w:numPr>
          <w:ilvl w:val="2"/>
          <w:numId w:val="5"/>
        </w:numPr>
      </w:pPr>
      <w:r w:rsidRPr="00171131">
        <w:t>any combination between such activity and those referred to in Annex 3 to Appendix I to the GPA;</w:t>
      </w:r>
      <w:r w:rsidR="000A44C0">
        <w:t xml:space="preserve"> and</w:t>
      </w:r>
    </w:p>
    <w:p w14:paraId="70605995" w14:textId="48C983ED" w:rsidR="00B44DAE" w:rsidRPr="00C701B9" w:rsidRDefault="049C7ED1" w:rsidP="003454A1">
      <w:pPr>
        <w:pStyle w:val="FTAtextlistedparagraphs"/>
        <w:numPr>
          <w:ilvl w:val="1"/>
          <w:numId w:val="5"/>
        </w:numPr>
      </w:pPr>
      <w:r w:rsidRPr="006A3C5F">
        <w:t>privately-owned</w:t>
      </w:r>
      <w:r w:rsidRPr="00CF4480">
        <w:rPr>
          <w:spacing w:val="7"/>
        </w:rPr>
        <w:t xml:space="preserve"> </w:t>
      </w:r>
      <w:r w:rsidRPr="006A3C5F">
        <w:t>procuring</w:t>
      </w:r>
      <w:r w:rsidRPr="00CF4480">
        <w:rPr>
          <w:spacing w:val="4"/>
        </w:rPr>
        <w:t xml:space="preserve"> </w:t>
      </w:r>
      <w:r w:rsidRPr="006A3C5F">
        <w:t>entities</w:t>
      </w:r>
      <w:r w:rsidRPr="00CF4480">
        <w:rPr>
          <w:spacing w:val="5"/>
        </w:rPr>
        <w:t xml:space="preserve"> </w:t>
      </w:r>
      <w:r w:rsidRPr="006A3C5F">
        <w:t>that</w:t>
      </w:r>
      <w:r w:rsidRPr="00CF4480">
        <w:rPr>
          <w:spacing w:val="7"/>
        </w:rPr>
        <w:t xml:space="preserve"> </w:t>
      </w:r>
      <w:r w:rsidRPr="006A3C5F">
        <w:t>have</w:t>
      </w:r>
      <w:r w:rsidRPr="00CF4480">
        <w:rPr>
          <w:spacing w:val="5"/>
        </w:rPr>
        <w:t xml:space="preserve"> </w:t>
      </w:r>
      <w:r w:rsidRPr="006A3C5F">
        <w:t>as</w:t>
      </w:r>
      <w:r w:rsidRPr="00CF4480">
        <w:rPr>
          <w:spacing w:val="5"/>
        </w:rPr>
        <w:t xml:space="preserve"> </w:t>
      </w:r>
      <w:r w:rsidRPr="006A3C5F">
        <w:t>one</w:t>
      </w:r>
      <w:r w:rsidRPr="00CF4480">
        <w:rPr>
          <w:spacing w:val="5"/>
        </w:rPr>
        <w:t xml:space="preserve"> </w:t>
      </w:r>
      <w:r w:rsidRPr="006A3C5F">
        <w:t>of</w:t>
      </w:r>
      <w:r w:rsidRPr="00CF4480">
        <w:rPr>
          <w:spacing w:val="7"/>
        </w:rPr>
        <w:t xml:space="preserve"> </w:t>
      </w:r>
      <w:r w:rsidRPr="006A3C5F">
        <w:t>their</w:t>
      </w:r>
      <w:r w:rsidRPr="00CF4480">
        <w:rPr>
          <w:spacing w:val="7"/>
        </w:rPr>
        <w:t xml:space="preserve"> </w:t>
      </w:r>
      <w:r w:rsidRPr="006A3C5F">
        <w:t>activities</w:t>
      </w:r>
      <w:r w:rsidRPr="00CF4480">
        <w:rPr>
          <w:spacing w:val="8"/>
        </w:rPr>
        <w:t xml:space="preserve"> </w:t>
      </w:r>
      <w:r w:rsidRPr="00CF4480">
        <w:rPr>
          <w:spacing w:val="-2"/>
        </w:rPr>
        <w:t>any</w:t>
      </w:r>
      <w:r w:rsidRPr="00CF4480">
        <w:rPr>
          <w:spacing w:val="6"/>
        </w:rPr>
        <w:t xml:space="preserve"> </w:t>
      </w:r>
      <w:r w:rsidRPr="006A3C5F">
        <w:t>of</w:t>
      </w:r>
      <w:r w:rsidRPr="00CF4480">
        <w:rPr>
          <w:spacing w:val="7"/>
        </w:rPr>
        <w:t xml:space="preserve"> </w:t>
      </w:r>
      <w:r w:rsidRPr="00CF4480">
        <w:rPr>
          <w:spacing w:val="-2"/>
        </w:rPr>
        <w:t>those</w:t>
      </w:r>
      <w:r w:rsidRPr="00CF4480">
        <w:rPr>
          <w:spacing w:val="8"/>
        </w:rPr>
        <w:t xml:space="preserve"> </w:t>
      </w:r>
      <w:r w:rsidRPr="006A3C5F">
        <w:t>referred</w:t>
      </w:r>
      <w:r w:rsidRPr="00CF4480">
        <w:rPr>
          <w:spacing w:val="6"/>
        </w:rPr>
        <w:t xml:space="preserve"> </w:t>
      </w:r>
      <w:r w:rsidRPr="006A3C5F">
        <w:t>to</w:t>
      </w:r>
      <w:r w:rsidRPr="00CF4480">
        <w:rPr>
          <w:spacing w:val="59"/>
        </w:rPr>
        <w:t xml:space="preserve"> </w:t>
      </w:r>
      <w:r w:rsidRPr="006A3C5F">
        <w:t>in</w:t>
      </w:r>
      <w:r w:rsidRPr="00CF4480">
        <w:rPr>
          <w:spacing w:val="2"/>
        </w:rPr>
        <w:t xml:space="preserve"> </w:t>
      </w:r>
      <w:r w:rsidR="000A44C0">
        <w:t>subparagraph</w:t>
      </w:r>
      <w:r w:rsidR="000A44C0" w:rsidRPr="00CF4480">
        <w:rPr>
          <w:spacing w:val="3"/>
        </w:rPr>
        <w:t xml:space="preserve"> </w:t>
      </w:r>
      <w:r w:rsidRPr="006A3C5F">
        <w:t>(a)</w:t>
      </w:r>
      <w:r w:rsidRPr="00CF4480">
        <w:rPr>
          <w:spacing w:val="4"/>
        </w:rPr>
        <w:t xml:space="preserve"> </w:t>
      </w:r>
      <w:r w:rsidRPr="006A3C5F">
        <w:t>of</w:t>
      </w:r>
      <w:r w:rsidRPr="00CF4480">
        <w:rPr>
          <w:spacing w:val="5"/>
        </w:rPr>
        <w:t xml:space="preserve"> </w:t>
      </w:r>
      <w:r w:rsidRPr="006A3C5F">
        <w:t>this</w:t>
      </w:r>
      <w:r w:rsidRPr="00CF4480">
        <w:rPr>
          <w:spacing w:val="3"/>
        </w:rPr>
        <w:t xml:space="preserve"> </w:t>
      </w:r>
      <w:r w:rsidRPr="006A3C5F">
        <w:t>paragraph,</w:t>
      </w:r>
      <w:r w:rsidRPr="00CF4480">
        <w:rPr>
          <w:spacing w:val="3"/>
        </w:rPr>
        <w:t xml:space="preserve"> </w:t>
      </w:r>
      <w:r w:rsidRPr="006A3C5F">
        <w:t>in</w:t>
      </w:r>
      <w:r w:rsidRPr="00CF4480">
        <w:rPr>
          <w:spacing w:val="2"/>
        </w:rPr>
        <w:t xml:space="preserve"> </w:t>
      </w:r>
      <w:r w:rsidR="000A44C0">
        <w:t>subparagraph</w:t>
      </w:r>
      <w:r w:rsidR="000A44C0" w:rsidRPr="00CF4480">
        <w:rPr>
          <w:spacing w:val="3"/>
        </w:rPr>
        <w:t xml:space="preserve"> </w:t>
      </w:r>
      <w:r w:rsidRPr="006A3C5F">
        <w:t>1</w:t>
      </w:r>
      <w:r w:rsidRPr="00CF4480">
        <w:rPr>
          <w:spacing w:val="4"/>
        </w:rPr>
        <w:t xml:space="preserve"> </w:t>
      </w:r>
      <w:r w:rsidRPr="006A3C5F">
        <w:t>of</w:t>
      </w:r>
      <w:r w:rsidRPr="00CF4480">
        <w:rPr>
          <w:spacing w:val="3"/>
        </w:rPr>
        <w:t xml:space="preserve"> </w:t>
      </w:r>
      <w:r w:rsidRPr="006A3C5F">
        <w:t>Annex</w:t>
      </w:r>
      <w:r w:rsidRPr="00CF4480">
        <w:rPr>
          <w:spacing w:val="3"/>
        </w:rPr>
        <w:t xml:space="preserve"> </w:t>
      </w:r>
      <w:r w:rsidRPr="006A3C5F">
        <w:t>3</w:t>
      </w:r>
      <w:r w:rsidRPr="00CF4480">
        <w:rPr>
          <w:spacing w:val="4"/>
        </w:rPr>
        <w:t xml:space="preserve"> </w:t>
      </w:r>
      <w:r w:rsidRPr="006A3C5F">
        <w:t>to</w:t>
      </w:r>
      <w:r w:rsidRPr="00CF4480">
        <w:rPr>
          <w:spacing w:val="4"/>
        </w:rPr>
        <w:t xml:space="preserve"> </w:t>
      </w:r>
      <w:r w:rsidRPr="006A3C5F">
        <w:t>Appendix</w:t>
      </w:r>
      <w:r w:rsidRPr="00CF4480">
        <w:rPr>
          <w:spacing w:val="3"/>
        </w:rPr>
        <w:t xml:space="preserve"> </w:t>
      </w:r>
      <w:r w:rsidRPr="006A3C5F">
        <w:t>I</w:t>
      </w:r>
      <w:r w:rsidRPr="00CF4480">
        <w:rPr>
          <w:spacing w:val="3"/>
        </w:rPr>
        <w:t xml:space="preserve"> </w:t>
      </w:r>
      <w:r w:rsidRPr="006A3C5F">
        <w:t>to</w:t>
      </w:r>
      <w:r w:rsidRPr="00CF4480">
        <w:rPr>
          <w:spacing w:val="4"/>
        </w:rPr>
        <w:t xml:space="preserve"> </w:t>
      </w:r>
      <w:r w:rsidRPr="006A3C5F">
        <w:t>the</w:t>
      </w:r>
      <w:r w:rsidRPr="00CF4480">
        <w:rPr>
          <w:spacing w:val="1"/>
        </w:rPr>
        <w:t xml:space="preserve"> </w:t>
      </w:r>
      <w:r w:rsidRPr="006A3C5F">
        <w:t>GPA,</w:t>
      </w:r>
      <w:r w:rsidRPr="00CF4480">
        <w:rPr>
          <w:spacing w:val="2"/>
        </w:rPr>
        <w:t xml:space="preserve"> </w:t>
      </w:r>
      <w:r w:rsidRPr="006A3C5F">
        <w:t>or</w:t>
      </w:r>
      <w:r w:rsidRPr="00CF4480">
        <w:rPr>
          <w:spacing w:val="3"/>
        </w:rPr>
        <w:t xml:space="preserve"> </w:t>
      </w:r>
      <w:r w:rsidRPr="00CF4480">
        <w:rPr>
          <w:spacing w:val="-2"/>
        </w:rPr>
        <w:t>any</w:t>
      </w:r>
      <w:r w:rsidRPr="00CF4480">
        <w:rPr>
          <w:spacing w:val="41"/>
        </w:rPr>
        <w:t xml:space="preserve"> </w:t>
      </w:r>
      <w:r w:rsidRPr="006A3C5F">
        <w:t>combination</w:t>
      </w:r>
      <w:r w:rsidRPr="00CF4480">
        <w:rPr>
          <w:spacing w:val="42"/>
        </w:rPr>
        <w:t xml:space="preserve"> </w:t>
      </w:r>
      <w:r w:rsidRPr="006A3C5F">
        <w:t>thereof</w:t>
      </w:r>
      <w:r w:rsidRPr="00CF4480">
        <w:rPr>
          <w:spacing w:val="43"/>
        </w:rPr>
        <w:t xml:space="preserve"> </w:t>
      </w:r>
      <w:r w:rsidRPr="006A3C5F">
        <w:t>and</w:t>
      </w:r>
      <w:r w:rsidRPr="00CF4480">
        <w:rPr>
          <w:spacing w:val="43"/>
        </w:rPr>
        <w:t xml:space="preserve"> </w:t>
      </w:r>
      <w:r w:rsidRPr="006A3C5F">
        <w:t>operate</w:t>
      </w:r>
      <w:r w:rsidRPr="00CF4480">
        <w:rPr>
          <w:spacing w:val="43"/>
        </w:rPr>
        <w:t xml:space="preserve"> </w:t>
      </w:r>
      <w:r w:rsidRPr="006A3C5F">
        <w:t>on</w:t>
      </w:r>
      <w:r w:rsidRPr="00CF4480">
        <w:rPr>
          <w:spacing w:val="43"/>
        </w:rPr>
        <w:t xml:space="preserve"> </w:t>
      </w:r>
      <w:r w:rsidRPr="006A3C5F">
        <w:t>the</w:t>
      </w:r>
      <w:r w:rsidRPr="00CF4480">
        <w:rPr>
          <w:spacing w:val="44"/>
        </w:rPr>
        <w:t xml:space="preserve"> </w:t>
      </w:r>
      <w:r w:rsidRPr="006A3C5F">
        <w:t>basis</w:t>
      </w:r>
      <w:r w:rsidRPr="00CF4480">
        <w:rPr>
          <w:spacing w:val="43"/>
        </w:rPr>
        <w:t xml:space="preserve"> </w:t>
      </w:r>
      <w:r w:rsidRPr="006A3C5F">
        <w:t>of</w:t>
      </w:r>
      <w:r w:rsidRPr="00CF4480">
        <w:rPr>
          <w:spacing w:val="42"/>
        </w:rPr>
        <w:t xml:space="preserve"> </w:t>
      </w:r>
      <w:r w:rsidRPr="006A3C5F">
        <w:t>special</w:t>
      </w:r>
      <w:r w:rsidRPr="00CF4480">
        <w:rPr>
          <w:spacing w:val="43"/>
        </w:rPr>
        <w:t xml:space="preserve"> </w:t>
      </w:r>
      <w:r w:rsidRPr="006A3C5F">
        <w:t>or</w:t>
      </w:r>
      <w:r w:rsidRPr="00CF4480">
        <w:rPr>
          <w:spacing w:val="43"/>
        </w:rPr>
        <w:t xml:space="preserve"> </w:t>
      </w:r>
      <w:r w:rsidRPr="006A3C5F">
        <w:t>exclusive</w:t>
      </w:r>
      <w:r w:rsidRPr="00CF4480">
        <w:rPr>
          <w:spacing w:val="43"/>
        </w:rPr>
        <w:t xml:space="preserve"> </w:t>
      </w:r>
      <w:r w:rsidRPr="006A3C5F">
        <w:t>rights</w:t>
      </w:r>
      <w:r w:rsidRPr="00CF4480">
        <w:rPr>
          <w:spacing w:val="44"/>
        </w:rPr>
        <w:t xml:space="preserve"> </w:t>
      </w:r>
      <w:r w:rsidRPr="006A3C5F">
        <w:t>granted</w:t>
      </w:r>
      <w:r w:rsidRPr="00CF4480">
        <w:rPr>
          <w:spacing w:val="43"/>
        </w:rPr>
        <w:t xml:space="preserve"> </w:t>
      </w:r>
      <w:r w:rsidRPr="006A3C5F">
        <w:t>by</w:t>
      </w:r>
      <w:r w:rsidRPr="00CF4480">
        <w:rPr>
          <w:spacing w:val="44"/>
        </w:rPr>
        <w:t xml:space="preserve"> </w:t>
      </w:r>
      <w:r w:rsidRPr="006A3C5F">
        <w:t>a</w:t>
      </w:r>
      <w:r w:rsidRPr="00CF4480">
        <w:rPr>
          <w:spacing w:val="83"/>
        </w:rPr>
        <w:t xml:space="preserve"> </w:t>
      </w:r>
      <w:r w:rsidRPr="006A3C5F">
        <w:t>competent authority</w:t>
      </w:r>
      <w:r w:rsidRPr="00CF4480">
        <w:rPr>
          <w:spacing w:val="-2"/>
        </w:rPr>
        <w:t xml:space="preserve"> </w:t>
      </w:r>
      <w:r w:rsidRPr="006A3C5F">
        <w:t>of</w:t>
      </w:r>
      <w:r w:rsidRPr="00CF4480">
        <w:rPr>
          <w:spacing w:val="-3"/>
        </w:rPr>
        <w:t xml:space="preserve"> </w:t>
      </w:r>
      <w:r>
        <w:t>I</w:t>
      </w:r>
      <w:r w:rsidR="4ED97AE9">
        <w:t>celand</w:t>
      </w:r>
      <w:r w:rsidR="00C1263B">
        <w:t>;</w:t>
      </w:r>
    </w:p>
    <w:p w14:paraId="1D50ACAA" w14:textId="77777777" w:rsidR="00E83C47" w:rsidRPr="006A3C5F" w:rsidRDefault="00E83C47" w:rsidP="006645A8">
      <w:pPr>
        <w:pStyle w:val="FTAtextlistedparagraphs"/>
        <w:numPr>
          <w:ilvl w:val="0"/>
          <w:numId w:val="0"/>
        </w:numPr>
        <w:ind w:left="709"/>
      </w:pPr>
      <w:proofErr w:type="gramStart"/>
      <w:r w:rsidRPr="006A3C5F">
        <w:t>with regard</w:t>
      </w:r>
      <w:r w:rsidRPr="006A3C5F">
        <w:rPr>
          <w:spacing w:val="-3"/>
        </w:rPr>
        <w:t xml:space="preserve"> </w:t>
      </w:r>
      <w:r w:rsidRPr="006A3C5F">
        <w:t>to</w:t>
      </w:r>
      <w:proofErr w:type="gramEnd"/>
      <w:r w:rsidRPr="006A3C5F">
        <w:t xml:space="preserve"> procurement</w:t>
      </w:r>
      <w:r w:rsidRPr="006A3C5F">
        <w:rPr>
          <w:spacing w:val="1"/>
        </w:rPr>
        <w:t xml:space="preserve"> </w:t>
      </w:r>
      <w:r w:rsidRPr="006A3C5F">
        <w:t>equal to or above the</w:t>
      </w:r>
      <w:r w:rsidRPr="006A3C5F">
        <w:rPr>
          <w:spacing w:val="-3"/>
        </w:rPr>
        <w:t xml:space="preserve"> </w:t>
      </w:r>
      <w:r w:rsidRPr="006A3C5F">
        <w:t>following</w:t>
      </w:r>
      <w:r w:rsidRPr="006A3C5F">
        <w:rPr>
          <w:spacing w:val="-2"/>
        </w:rPr>
        <w:t xml:space="preserve"> </w:t>
      </w:r>
      <w:r w:rsidRPr="006A3C5F">
        <w:t>thresholds:</w:t>
      </w:r>
    </w:p>
    <w:p w14:paraId="42DE7B4E" w14:textId="37C786FC" w:rsidR="00BC5B46" w:rsidRPr="006A3C5F" w:rsidRDefault="00E83C47" w:rsidP="003454A1">
      <w:pPr>
        <w:pStyle w:val="FTAtext"/>
        <w:numPr>
          <w:ilvl w:val="0"/>
          <w:numId w:val="10"/>
        </w:numPr>
      </w:pPr>
      <w:r w:rsidRPr="006A3C5F">
        <w:t>400,000</w:t>
      </w:r>
      <w:r w:rsidRPr="00BC5B46">
        <w:rPr>
          <w:spacing w:val="-2"/>
        </w:rPr>
        <w:t xml:space="preserve"> </w:t>
      </w:r>
      <w:r w:rsidRPr="006A3C5F">
        <w:t>SDR</w:t>
      </w:r>
      <w:r w:rsidRPr="00BC5B46">
        <w:rPr>
          <w:spacing w:val="-3"/>
        </w:rPr>
        <w:t xml:space="preserve"> </w:t>
      </w:r>
      <w:r w:rsidRPr="006A3C5F">
        <w:t>for</w:t>
      </w:r>
      <w:r w:rsidRPr="00BC5B46">
        <w:rPr>
          <w:spacing w:val="-3"/>
        </w:rPr>
        <w:t xml:space="preserve"> </w:t>
      </w:r>
      <w:r w:rsidRPr="006A3C5F">
        <w:t>procurement of</w:t>
      </w:r>
      <w:r w:rsidRPr="00BC5B46">
        <w:rPr>
          <w:spacing w:val="-3"/>
        </w:rPr>
        <w:t xml:space="preserve"> </w:t>
      </w:r>
      <w:r w:rsidRPr="006A3C5F">
        <w:t>goods and</w:t>
      </w:r>
      <w:r w:rsidRPr="00BC5B46">
        <w:rPr>
          <w:spacing w:val="-2"/>
        </w:rPr>
        <w:t xml:space="preserve"> </w:t>
      </w:r>
      <w:r w:rsidRPr="006A3C5F">
        <w:t>services</w:t>
      </w:r>
      <w:r w:rsidR="00C1263B">
        <w:t>;</w:t>
      </w:r>
      <w:r w:rsidR="000A44C0">
        <w:t xml:space="preserve"> and</w:t>
      </w:r>
    </w:p>
    <w:p w14:paraId="089369BA" w14:textId="265937E9" w:rsidR="00D1341D" w:rsidRDefault="00E83C47" w:rsidP="003454A1">
      <w:pPr>
        <w:pStyle w:val="FTAtext"/>
        <w:numPr>
          <w:ilvl w:val="0"/>
          <w:numId w:val="10"/>
        </w:numPr>
      </w:pPr>
      <w:r w:rsidRPr="006A3C5F">
        <w:t>5,000,000</w:t>
      </w:r>
      <w:r w:rsidRPr="00BC5B46">
        <w:rPr>
          <w:spacing w:val="2"/>
        </w:rPr>
        <w:t xml:space="preserve"> </w:t>
      </w:r>
      <w:r w:rsidRPr="006A3C5F">
        <w:t>SDR</w:t>
      </w:r>
      <w:r w:rsidRPr="00BC5B46">
        <w:rPr>
          <w:spacing w:val="1"/>
        </w:rPr>
        <w:t xml:space="preserve"> </w:t>
      </w:r>
      <w:r w:rsidRPr="006A3C5F">
        <w:t>for procurement of</w:t>
      </w:r>
      <w:r w:rsidRPr="00BC5B46">
        <w:rPr>
          <w:spacing w:val="-3"/>
        </w:rPr>
        <w:t xml:space="preserve"> </w:t>
      </w:r>
      <w:r w:rsidRPr="006A3C5F">
        <w:t>construction services (CPC</w:t>
      </w:r>
      <w:r w:rsidRPr="00BC5B46">
        <w:rPr>
          <w:spacing w:val="-2"/>
        </w:rPr>
        <w:t xml:space="preserve"> </w:t>
      </w:r>
      <w:r w:rsidRPr="006A3C5F">
        <w:t>51).</w:t>
      </w:r>
    </w:p>
    <w:p w14:paraId="7E5434F1" w14:textId="431DD304" w:rsidR="00D1341D" w:rsidRDefault="006A166E" w:rsidP="0084549F">
      <w:pPr>
        <w:pStyle w:val="FTAtext"/>
      </w:pPr>
      <w:r>
        <w:tab/>
      </w:r>
      <w:r w:rsidR="00D1341D">
        <w:t>Notes to paragraph 1:</w:t>
      </w:r>
    </w:p>
    <w:p w14:paraId="7F800FFC" w14:textId="66C4D069" w:rsidR="00D1341D" w:rsidRDefault="00D1341D" w:rsidP="003454A1">
      <w:pPr>
        <w:pStyle w:val="FTAtextlistedparagraphs"/>
        <w:numPr>
          <w:ilvl w:val="1"/>
          <w:numId w:val="11"/>
        </w:numPr>
      </w:pPr>
      <w:r>
        <w:t xml:space="preserve">According to the EEA utilities directive, a public undertaking is any undertaking over which the contracting authorities may exercise </w:t>
      </w:r>
      <w:r>
        <w:lastRenderedPageBreak/>
        <w:t>directly or indirectly a dominant influence by virtue of their ownership of it, their financial participation therein, or the rules which govern it. A dominant influence on the part of the contracting authorities shall be presumed when these authorities, directly or indirectly, in relation to an undertaking:</w:t>
      </w:r>
    </w:p>
    <w:p w14:paraId="6EF24249" w14:textId="3D142891" w:rsidR="00D1341D" w:rsidRDefault="00D1341D" w:rsidP="003454A1">
      <w:pPr>
        <w:pStyle w:val="FTAtextlistedparagraphs"/>
        <w:numPr>
          <w:ilvl w:val="2"/>
          <w:numId w:val="5"/>
        </w:numPr>
      </w:pPr>
      <w:r>
        <w:t>hold the majority of the undertaking</w:t>
      </w:r>
      <w:r w:rsidR="00824443">
        <w:t>’</w:t>
      </w:r>
      <w:r>
        <w:t xml:space="preserve">s subscribed </w:t>
      </w:r>
      <w:proofErr w:type="gramStart"/>
      <w:r>
        <w:t>capital</w:t>
      </w:r>
      <w:r w:rsidR="00C1263B">
        <w:t>;</w:t>
      </w:r>
      <w:proofErr w:type="gramEnd"/>
    </w:p>
    <w:p w14:paraId="5EE5E194" w14:textId="496516BF" w:rsidR="00D1341D" w:rsidRDefault="00D1341D" w:rsidP="003454A1">
      <w:pPr>
        <w:pStyle w:val="FTAtextlistedparagraphs"/>
        <w:numPr>
          <w:ilvl w:val="2"/>
          <w:numId w:val="5"/>
        </w:numPr>
      </w:pPr>
      <w:r>
        <w:t xml:space="preserve">control </w:t>
      </w:r>
      <w:proofErr w:type="gramStart"/>
      <w:r>
        <w:t>the majority of</w:t>
      </w:r>
      <w:proofErr w:type="gramEnd"/>
      <w:r>
        <w:t xml:space="preserve"> the votes attaching to shares issued by the undertaking</w:t>
      </w:r>
      <w:r w:rsidR="00C1263B">
        <w:t>:</w:t>
      </w:r>
      <w:r>
        <w:t xml:space="preserve"> or</w:t>
      </w:r>
    </w:p>
    <w:p w14:paraId="340BDCBC" w14:textId="46266F95" w:rsidR="00D1341D" w:rsidRDefault="00D1341D" w:rsidP="003454A1">
      <w:pPr>
        <w:pStyle w:val="FTAtextlistedparagraphs"/>
        <w:numPr>
          <w:ilvl w:val="2"/>
          <w:numId w:val="5"/>
        </w:numPr>
      </w:pPr>
      <w:r>
        <w:t>can appoint more than half of the undertaking</w:t>
      </w:r>
      <w:r w:rsidR="00824443">
        <w:t>’</w:t>
      </w:r>
      <w:r>
        <w:t>s administrative, management or supervisory body.</w:t>
      </w:r>
    </w:p>
    <w:p w14:paraId="461FD656" w14:textId="7645CA90" w:rsidR="00D1341D" w:rsidRDefault="00D1341D" w:rsidP="003454A1">
      <w:pPr>
        <w:pStyle w:val="FTAtextlistedparagraphs"/>
        <w:numPr>
          <w:ilvl w:val="1"/>
          <w:numId w:val="23"/>
        </w:numPr>
      </w:pPr>
      <w:r>
        <w:t xml:space="preserve">“Special and exclusive rights” are as defined in Article 4 of </w:t>
      </w:r>
      <w:r w:rsidR="003152BC" w:rsidRPr="003F5AFD">
        <w:t>Directive 2014/25/EU of the European Parliament and of the Council of 26 February 2014 on procurement by entities operating in the water, energy, transport and postal services sectors and repealing Directive 2004/17/EC</w:t>
      </w:r>
      <w:r>
        <w:t xml:space="preserve">. </w:t>
      </w:r>
    </w:p>
    <w:p w14:paraId="4E6E8A5E" w14:textId="327758FE" w:rsidR="00D1341D" w:rsidRDefault="00D1341D" w:rsidP="003454A1">
      <w:pPr>
        <w:pStyle w:val="FTAtextlistedparagraphs"/>
        <w:numPr>
          <w:ilvl w:val="1"/>
          <w:numId w:val="23"/>
        </w:numPr>
      </w:pPr>
      <w:r>
        <w:t>The supply, by a procuring entity other than a contracting authority, of gas or heat to fixed networks which provide a service to the public shall not be considered to be a relevant activity within the meaning of this Appendix where all of the following conditions are met:</w:t>
      </w:r>
    </w:p>
    <w:p w14:paraId="01BF0BEC" w14:textId="6B6E61B4" w:rsidR="00D1341D" w:rsidRDefault="00D1341D" w:rsidP="003454A1">
      <w:pPr>
        <w:pStyle w:val="FTAtextlistedparagraphs"/>
        <w:numPr>
          <w:ilvl w:val="2"/>
          <w:numId w:val="5"/>
        </w:numPr>
      </w:pPr>
      <w:r>
        <w:t>the production of gas or heat by that contracting entity is the unavoidable consequence of carrying out an activity other than those referred to in paragraphs (a) to (e) of Iceland’s Appendix I to the GPA; and</w:t>
      </w:r>
    </w:p>
    <w:p w14:paraId="47C29FB7" w14:textId="121B0C1D" w:rsidR="00D1341D" w:rsidRDefault="00D1341D" w:rsidP="003454A1">
      <w:pPr>
        <w:pStyle w:val="FTAtextlistedparagraphs"/>
        <w:numPr>
          <w:ilvl w:val="2"/>
          <w:numId w:val="5"/>
        </w:numPr>
      </w:pPr>
      <w:r>
        <w:t xml:space="preserve">the supply to the public network is aimed only at the economic exploitation of such production and amounts to not more than 20 % of the entity’s turnover </w:t>
      </w:r>
      <w:proofErr w:type="gramStart"/>
      <w:r>
        <w:t>on the basis of</w:t>
      </w:r>
      <w:proofErr w:type="gramEnd"/>
      <w:r>
        <w:t xml:space="preserve"> the average for the preceding three years, including the current year.</w:t>
      </w:r>
    </w:p>
    <w:p w14:paraId="2E778357" w14:textId="3E586FE5" w:rsidR="00B44DAE" w:rsidRPr="00EC23EE" w:rsidRDefault="00E83C47" w:rsidP="003454A1">
      <w:pPr>
        <w:pStyle w:val="FTAtextlistedparagraphs"/>
        <w:numPr>
          <w:ilvl w:val="0"/>
          <w:numId w:val="32"/>
        </w:numPr>
        <w:rPr>
          <w:b/>
          <w:bCs/>
        </w:rPr>
      </w:pPr>
      <w:r w:rsidRPr="00EC23EE">
        <w:rPr>
          <w:b/>
          <w:bCs/>
        </w:rPr>
        <w:t>Additional services</w:t>
      </w:r>
    </w:p>
    <w:p w14:paraId="3774469D" w14:textId="558EDF34" w:rsidR="00E83C47" w:rsidRPr="006A3C5F" w:rsidRDefault="00E83C47" w:rsidP="00836A4F">
      <w:pPr>
        <w:pStyle w:val="FTAtextlistedparagraphs"/>
        <w:numPr>
          <w:ilvl w:val="0"/>
          <w:numId w:val="0"/>
        </w:numPr>
        <w:ind w:left="709"/>
      </w:pPr>
      <w:r w:rsidRPr="006A3C5F">
        <w:t>Procurement</w:t>
      </w:r>
      <w:r w:rsidRPr="006A3C5F">
        <w:rPr>
          <w:spacing w:val="47"/>
        </w:rPr>
        <w:t xml:space="preserve"> </w:t>
      </w:r>
      <w:r w:rsidRPr="006A3C5F">
        <w:t>of</w:t>
      </w:r>
      <w:r w:rsidRPr="006A3C5F">
        <w:rPr>
          <w:spacing w:val="48"/>
        </w:rPr>
        <w:t xml:space="preserve"> </w:t>
      </w:r>
      <w:r w:rsidRPr="006A3C5F">
        <w:t>the</w:t>
      </w:r>
      <w:r w:rsidRPr="006A3C5F">
        <w:rPr>
          <w:spacing w:val="48"/>
        </w:rPr>
        <w:t xml:space="preserve"> </w:t>
      </w:r>
      <w:r w:rsidRPr="006A3C5F">
        <w:t>following</w:t>
      </w:r>
      <w:r w:rsidRPr="006A3C5F">
        <w:rPr>
          <w:spacing w:val="46"/>
        </w:rPr>
        <w:t xml:space="preserve"> </w:t>
      </w:r>
      <w:r w:rsidRPr="006A3C5F">
        <w:t>services,</w:t>
      </w:r>
      <w:r w:rsidRPr="006A3C5F">
        <w:rPr>
          <w:spacing w:val="48"/>
        </w:rPr>
        <w:t xml:space="preserve"> </w:t>
      </w:r>
      <w:r w:rsidRPr="006A3C5F">
        <w:t>in</w:t>
      </w:r>
      <w:r w:rsidRPr="006A3C5F">
        <w:rPr>
          <w:spacing w:val="47"/>
        </w:rPr>
        <w:t xml:space="preserve"> </w:t>
      </w:r>
      <w:r w:rsidRPr="006A3C5F">
        <w:t>addition</w:t>
      </w:r>
      <w:r w:rsidRPr="006A3C5F">
        <w:rPr>
          <w:spacing w:val="48"/>
        </w:rPr>
        <w:t xml:space="preserve"> </w:t>
      </w:r>
      <w:r w:rsidRPr="006A3C5F">
        <w:t>to the</w:t>
      </w:r>
      <w:r w:rsidRPr="006A3C5F">
        <w:rPr>
          <w:spacing w:val="47"/>
        </w:rPr>
        <w:t xml:space="preserve"> </w:t>
      </w:r>
      <w:r w:rsidRPr="006A3C5F">
        <w:t>services</w:t>
      </w:r>
      <w:r w:rsidRPr="006A3C5F">
        <w:rPr>
          <w:spacing w:val="49"/>
        </w:rPr>
        <w:t xml:space="preserve"> </w:t>
      </w:r>
      <w:r w:rsidRPr="006A3C5F">
        <w:t>listed</w:t>
      </w:r>
      <w:r w:rsidRPr="006A3C5F">
        <w:rPr>
          <w:spacing w:val="48"/>
        </w:rPr>
        <w:t xml:space="preserve"> </w:t>
      </w:r>
      <w:r w:rsidRPr="006A3C5F">
        <w:t>under</w:t>
      </w:r>
      <w:r w:rsidRPr="006A3C5F">
        <w:rPr>
          <w:spacing w:val="47"/>
        </w:rPr>
        <w:t xml:space="preserve"> </w:t>
      </w:r>
      <w:r w:rsidRPr="006A3C5F">
        <w:t>Annex</w:t>
      </w:r>
      <w:r w:rsidRPr="006A3C5F">
        <w:rPr>
          <w:spacing w:val="49"/>
        </w:rPr>
        <w:t xml:space="preserve"> </w:t>
      </w:r>
      <w:r w:rsidRPr="006A3C5F">
        <w:t>5</w:t>
      </w:r>
      <w:r w:rsidRPr="006A3C5F">
        <w:rPr>
          <w:spacing w:val="49"/>
        </w:rPr>
        <w:t xml:space="preserve"> </w:t>
      </w:r>
      <w:r w:rsidRPr="006A3C5F">
        <w:t>of</w:t>
      </w:r>
      <w:r w:rsidRPr="006A3C5F">
        <w:rPr>
          <w:spacing w:val="48"/>
        </w:rPr>
        <w:t xml:space="preserve"> </w:t>
      </w:r>
      <w:r>
        <w:t>I</w:t>
      </w:r>
      <w:r w:rsidR="00155436">
        <w:t>celand</w:t>
      </w:r>
      <w:r w:rsidR="00CF4480">
        <w:t>’</w:t>
      </w:r>
      <w:r w:rsidR="00EB19F2">
        <w:t>s</w:t>
      </w:r>
      <w:r w:rsidR="00CF4480">
        <w:t xml:space="preserve"> </w:t>
      </w:r>
      <w:r w:rsidRPr="006A3C5F">
        <w:t>Appendix I to</w:t>
      </w:r>
      <w:r w:rsidRPr="006A3C5F">
        <w:rPr>
          <w:spacing w:val="1"/>
        </w:rPr>
        <w:t xml:space="preserve"> </w:t>
      </w:r>
      <w:r w:rsidRPr="006A3C5F">
        <w:t>the GPA, for entities covered under Annexes</w:t>
      </w:r>
      <w:r w:rsidRPr="006A3C5F">
        <w:rPr>
          <w:spacing w:val="-2"/>
        </w:rPr>
        <w:t xml:space="preserve"> </w:t>
      </w:r>
      <w:r w:rsidRPr="006A3C5F">
        <w:t>1 to</w:t>
      </w:r>
      <w:r w:rsidRPr="006A3C5F">
        <w:rPr>
          <w:spacing w:val="1"/>
        </w:rPr>
        <w:t xml:space="preserve"> </w:t>
      </w:r>
      <w:r w:rsidRPr="006A3C5F">
        <w:t>3</w:t>
      </w:r>
      <w:r w:rsidRPr="006A3C5F">
        <w:rPr>
          <w:spacing w:val="1"/>
        </w:rPr>
        <w:t xml:space="preserve"> </w:t>
      </w:r>
      <w:r w:rsidRPr="006A3C5F">
        <w:t>of</w:t>
      </w:r>
      <w:r w:rsidRPr="006A3C5F">
        <w:rPr>
          <w:spacing w:val="-2"/>
        </w:rPr>
        <w:t xml:space="preserve"> </w:t>
      </w:r>
      <w:r>
        <w:t>I</w:t>
      </w:r>
      <w:r w:rsidR="00155436">
        <w:t>celand</w:t>
      </w:r>
      <w:r w:rsidR="00CE3236">
        <w:t>’</w:t>
      </w:r>
      <w:r w:rsidR="003E0B3A">
        <w:t xml:space="preserve">s </w:t>
      </w:r>
      <w:r w:rsidRPr="006A3C5F">
        <w:t>Appendix I</w:t>
      </w:r>
      <w:r w:rsidRPr="006A3C5F">
        <w:rPr>
          <w:spacing w:val="-2"/>
        </w:rPr>
        <w:t xml:space="preserve"> </w:t>
      </w:r>
      <w:r w:rsidRPr="006A3C5F">
        <w:t>to the</w:t>
      </w:r>
      <w:r w:rsidRPr="006A3C5F">
        <w:rPr>
          <w:spacing w:val="-2"/>
        </w:rPr>
        <w:t xml:space="preserve"> </w:t>
      </w:r>
      <w:r w:rsidRPr="006A3C5F">
        <w:t>GPA</w:t>
      </w:r>
      <w:r w:rsidRPr="006A3C5F">
        <w:rPr>
          <w:spacing w:val="-3"/>
        </w:rPr>
        <w:t xml:space="preserve"> </w:t>
      </w:r>
      <w:r w:rsidRPr="006A3C5F">
        <w:t>or under paragraph</w:t>
      </w:r>
      <w:r w:rsidRPr="006A3C5F">
        <w:rPr>
          <w:spacing w:val="-3"/>
        </w:rPr>
        <w:t xml:space="preserve"> </w:t>
      </w:r>
      <w:r w:rsidRPr="006A3C5F">
        <w:t>1</w:t>
      </w:r>
      <w:r w:rsidRPr="006A3C5F">
        <w:rPr>
          <w:spacing w:val="-2"/>
        </w:rPr>
        <w:t xml:space="preserve"> </w:t>
      </w:r>
      <w:r w:rsidR="00DC4FBB">
        <w:rPr>
          <w:spacing w:val="-2"/>
        </w:rPr>
        <w:t xml:space="preserve">(Additional procuring entities) </w:t>
      </w:r>
      <w:r w:rsidRPr="006A3C5F">
        <w:t xml:space="preserve">of this </w:t>
      </w:r>
      <w:r w:rsidR="00CF4480">
        <w:t>Section A of Part B</w:t>
      </w:r>
      <w:r w:rsidRPr="006A3C5F">
        <w:t>:</w:t>
      </w:r>
    </w:p>
    <w:p w14:paraId="79FFF4A6" w14:textId="562421B8" w:rsidR="00E83C47" w:rsidRPr="006A3C5F" w:rsidRDefault="00E83C47" w:rsidP="00EC23EE">
      <w:pPr>
        <w:pStyle w:val="FTAtextlistedparagraphs"/>
        <w:numPr>
          <w:ilvl w:val="1"/>
          <w:numId w:val="44"/>
        </w:numPr>
      </w:pPr>
      <w:r w:rsidRPr="006A3C5F">
        <w:t>Hotel</w:t>
      </w:r>
      <w:r w:rsidRPr="00071B6C">
        <w:t xml:space="preserve"> and restaurant</w:t>
      </w:r>
      <w:r w:rsidRPr="006A3C5F">
        <w:t xml:space="preserve"> </w:t>
      </w:r>
      <w:r w:rsidRPr="00071B6C">
        <w:t>services</w:t>
      </w:r>
      <w:r w:rsidRPr="006A3C5F">
        <w:t xml:space="preserve"> </w:t>
      </w:r>
      <w:r w:rsidRPr="00071B6C">
        <w:t>(CPC 641);</w:t>
      </w:r>
    </w:p>
    <w:p w14:paraId="606C03DF" w14:textId="432E736C" w:rsidR="00E83C47" w:rsidRPr="006A3C5F" w:rsidRDefault="00E83C47" w:rsidP="00EC23EE">
      <w:pPr>
        <w:pStyle w:val="FTAtextlistedparagraphs"/>
        <w:numPr>
          <w:ilvl w:val="1"/>
          <w:numId w:val="44"/>
        </w:numPr>
      </w:pPr>
      <w:r w:rsidRPr="006A3C5F">
        <w:t>Food</w:t>
      </w:r>
      <w:r w:rsidRPr="00071B6C">
        <w:t xml:space="preserve"> serving services (CPC 642);</w:t>
      </w:r>
    </w:p>
    <w:p w14:paraId="7FF40CCA" w14:textId="680EDF6E" w:rsidR="003E0B3A" w:rsidRDefault="00E83C47" w:rsidP="00EC23EE">
      <w:pPr>
        <w:pStyle w:val="FTAtextlistedparagraphs"/>
        <w:numPr>
          <w:ilvl w:val="1"/>
          <w:numId w:val="44"/>
        </w:numPr>
      </w:pPr>
      <w:r w:rsidRPr="009615DF">
        <w:t>Beverage</w:t>
      </w:r>
      <w:r w:rsidRPr="006A3C5F">
        <w:t xml:space="preserve"> </w:t>
      </w:r>
      <w:r w:rsidRPr="009615DF">
        <w:t>serving services (CPC 643);</w:t>
      </w:r>
    </w:p>
    <w:p w14:paraId="443C5E57" w14:textId="75D7050B" w:rsidR="003E0B3A" w:rsidRPr="006A3C5F" w:rsidRDefault="003E0B3A" w:rsidP="00EC23EE">
      <w:pPr>
        <w:pStyle w:val="FTAtextlistedparagraphs"/>
        <w:numPr>
          <w:ilvl w:val="1"/>
          <w:numId w:val="44"/>
        </w:numPr>
      </w:pPr>
      <w:r>
        <w:t xml:space="preserve">Postal and </w:t>
      </w:r>
      <w:r w:rsidR="000A44C0">
        <w:t>c</w:t>
      </w:r>
      <w:r>
        <w:t>ourier Services (CPC 751);</w:t>
      </w:r>
    </w:p>
    <w:p w14:paraId="5D44D3A6" w14:textId="1D9E8011" w:rsidR="00E83C47" w:rsidRPr="006A3C5F" w:rsidRDefault="00E83C47" w:rsidP="00EC23EE">
      <w:pPr>
        <w:pStyle w:val="FTAtextlistedparagraphs"/>
        <w:numPr>
          <w:ilvl w:val="1"/>
          <w:numId w:val="44"/>
        </w:numPr>
      </w:pPr>
      <w:r w:rsidRPr="009615DF">
        <w:lastRenderedPageBreak/>
        <w:t>Telecommunication related services</w:t>
      </w:r>
      <w:r w:rsidRPr="006A3C5F">
        <w:t xml:space="preserve"> </w:t>
      </w:r>
      <w:r w:rsidRPr="009615DF">
        <w:t>(CPC 754);</w:t>
      </w:r>
    </w:p>
    <w:p w14:paraId="0CA3328B" w14:textId="64A3BE60" w:rsidR="00E83C47" w:rsidRDefault="00E83C47" w:rsidP="00EC23EE">
      <w:pPr>
        <w:pStyle w:val="FTAtextlistedparagraphs"/>
        <w:numPr>
          <w:ilvl w:val="1"/>
          <w:numId w:val="44"/>
        </w:numPr>
      </w:pPr>
      <w:r w:rsidRPr="006A3C5F">
        <w:t xml:space="preserve">Real </w:t>
      </w:r>
      <w:r w:rsidRPr="009615DF">
        <w:t>estate</w:t>
      </w:r>
      <w:r w:rsidRPr="006A3C5F">
        <w:t xml:space="preserve"> </w:t>
      </w:r>
      <w:r w:rsidRPr="009615DF">
        <w:t xml:space="preserve">services </w:t>
      </w:r>
      <w:r w:rsidRPr="006A3C5F">
        <w:t>on</w:t>
      </w:r>
      <w:r w:rsidRPr="009615DF">
        <w:t xml:space="preserve"> </w:t>
      </w:r>
      <w:r w:rsidRPr="006A3C5F">
        <w:t xml:space="preserve">a </w:t>
      </w:r>
      <w:r w:rsidRPr="009615DF">
        <w:t>fee</w:t>
      </w:r>
      <w:r w:rsidRPr="006A3C5F">
        <w:t xml:space="preserve"> </w:t>
      </w:r>
      <w:r w:rsidRPr="009615DF">
        <w:t>or contract basis</w:t>
      </w:r>
      <w:r w:rsidRPr="006A3C5F">
        <w:t xml:space="preserve"> </w:t>
      </w:r>
      <w:r w:rsidRPr="009615DF">
        <w:t>(CPC 8220);</w:t>
      </w:r>
    </w:p>
    <w:p w14:paraId="2A07E845" w14:textId="54E9710E" w:rsidR="003E0B3A" w:rsidRDefault="003E0B3A" w:rsidP="00EC23EE">
      <w:pPr>
        <w:pStyle w:val="FTAtextlistedparagraphs"/>
        <w:numPr>
          <w:ilvl w:val="1"/>
          <w:numId w:val="44"/>
        </w:numPr>
      </w:pPr>
      <w:r>
        <w:t xml:space="preserve">Legal </w:t>
      </w:r>
      <w:r w:rsidR="000A44C0">
        <w:t>s</w:t>
      </w:r>
      <w:r>
        <w:t>ervices (CPC 861)</w:t>
      </w:r>
      <w:r w:rsidR="00C1263B">
        <w:t>;</w:t>
      </w:r>
    </w:p>
    <w:p w14:paraId="36A24679" w14:textId="1AA2FBE2" w:rsidR="003E0B3A" w:rsidRDefault="003E0B3A" w:rsidP="00EC23EE">
      <w:pPr>
        <w:pStyle w:val="FTAtextlistedparagraphs"/>
        <w:numPr>
          <w:ilvl w:val="1"/>
          <w:numId w:val="44"/>
        </w:numPr>
      </w:pPr>
      <w:r>
        <w:t xml:space="preserve">Taxation </w:t>
      </w:r>
      <w:r w:rsidR="000A44C0">
        <w:t>s</w:t>
      </w:r>
      <w:r>
        <w:t>ervices (CPC 863)</w:t>
      </w:r>
      <w:r w:rsidR="00C1263B">
        <w:t>;</w:t>
      </w:r>
    </w:p>
    <w:p w14:paraId="29C28378" w14:textId="66BA20DC" w:rsidR="003E0B3A" w:rsidRDefault="003E0B3A" w:rsidP="00EC23EE">
      <w:pPr>
        <w:pStyle w:val="FTAtextlistedparagraphs"/>
        <w:numPr>
          <w:ilvl w:val="1"/>
          <w:numId w:val="44"/>
        </w:numPr>
      </w:pPr>
      <w:r>
        <w:t xml:space="preserve">Investigation and </w:t>
      </w:r>
      <w:r w:rsidR="000A44C0">
        <w:t>s</w:t>
      </w:r>
      <w:r>
        <w:t xml:space="preserve">ecurity </w:t>
      </w:r>
      <w:r w:rsidR="000A44C0">
        <w:t>s</w:t>
      </w:r>
      <w:r>
        <w:t>ervices (CPC 873);</w:t>
      </w:r>
    </w:p>
    <w:p w14:paraId="59B7D227" w14:textId="0D8B785C" w:rsidR="003E0B3A" w:rsidRPr="006A3C5F" w:rsidRDefault="003E0B3A" w:rsidP="00EC23EE">
      <w:pPr>
        <w:pStyle w:val="FTAtextlistedparagraphs"/>
        <w:numPr>
          <w:ilvl w:val="1"/>
          <w:numId w:val="44"/>
        </w:numPr>
      </w:pPr>
      <w:r>
        <w:t xml:space="preserve">Photographic </w:t>
      </w:r>
      <w:r w:rsidR="000A44C0">
        <w:t xml:space="preserve">services </w:t>
      </w:r>
      <w:r>
        <w:t>(CPC 875);</w:t>
      </w:r>
    </w:p>
    <w:p w14:paraId="2722E75F" w14:textId="78CB5D89" w:rsidR="00E83C47" w:rsidRPr="006A3C5F" w:rsidRDefault="00E83C47" w:rsidP="00EC23EE">
      <w:pPr>
        <w:pStyle w:val="FTAtextlistedparagraphs"/>
        <w:numPr>
          <w:ilvl w:val="1"/>
          <w:numId w:val="44"/>
        </w:numPr>
      </w:pPr>
      <w:r w:rsidRPr="009615DF">
        <w:t>Other</w:t>
      </w:r>
      <w:r w:rsidRPr="006A3C5F">
        <w:t xml:space="preserve"> </w:t>
      </w:r>
      <w:r w:rsidRPr="009615DF">
        <w:t>business services</w:t>
      </w:r>
      <w:r w:rsidRPr="006A3C5F">
        <w:t xml:space="preserve"> </w:t>
      </w:r>
      <w:r w:rsidRPr="009615DF">
        <w:t>(CPC</w:t>
      </w:r>
      <w:r w:rsidRPr="006A3C5F">
        <w:t xml:space="preserve"> </w:t>
      </w:r>
      <w:r w:rsidRPr="009615DF">
        <w:t>879);</w:t>
      </w:r>
    </w:p>
    <w:p w14:paraId="0112EFF9" w14:textId="048776F6" w:rsidR="00E83C47" w:rsidRDefault="003E0B3A" w:rsidP="00EC23EE">
      <w:pPr>
        <w:pStyle w:val="FTAtextlistedparagraphs"/>
        <w:numPr>
          <w:ilvl w:val="1"/>
          <w:numId w:val="44"/>
        </w:numPr>
      </w:pPr>
      <w:r>
        <w:t>Services incidental to mining (CPC 883)</w:t>
      </w:r>
      <w:r w:rsidR="00C1263B">
        <w:t>;</w:t>
      </w:r>
    </w:p>
    <w:p w14:paraId="0BAC97E1" w14:textId="5BEB6242" w:rsidR="003E0B3A" w:rsidRDefault="003E0B3A" w:rsidP="00EC23EE">
      <w:pPr>
        <w:pStyle w:val="FTAtextlistedparagraphs"/>
        <w:numPr>
          <w:ilvl w:val="1"/>
          <w:numId w:val="44"/>
        </w:numPr>
      </w:pPr>
      <w:r>
        <w:t>Services incidental to the manufacture of metal products, machinery and equipment (CPC 885</w:t>
      </w:r>
      <w:proofErr w:type="gramStart"/>
      <w:r>
        <w:t>)</w:t>
      </w:r>
      <w:r w:rsidR="00C1263B">
        <w:t>;</w:t>
      </w:r>
      <w:proofErr w:type="gramEnd"/>
    </w:p>
    <w:p w14:paraId="7CAB6F93" w14:textId="09A5D5AC" w:rsidR="003E0B3A" w:rsidRDefault="003E0B3A" w:rsidP="00EC23EE">
      <w:pPr>
        <w:pStyle w:val="FTAtextlistedparagraphs"/>
        <w:numPr>
          <w:ilvl w:val="1"/>
          <w:numId w:val="44"/>
        </w:numPr>
      </w:pPr>
      <w:r>
        <w:t>Repair services incidental to metal products, machinery and equipment (CPC 886</w:t>
      </w:r>
      <w:proofErr w:type="gramStart"/>
      <w:r>
        <w:t>);</w:t>
      </w:r>
      <w:proofErr w:type="gramEnd"/>
    </w:p>
    <w:p w14:paraId="2A099654" w14:textId="702552DC" w:rsidR="003E0B3A" w:rsidRDefault="003E0B3A" w:rsidP="00EC23EE">
      <w:pPr>
        <w:pStyle w:val="FTAtextlistedparagraphs"/>
        <w:numPr>
          <w:ilvl w:val="1"/>
          <w:numId w:val="44"/>
        </w:numPr>
      </w:pPr>
      <w:r>
        <w:t>Services incidental to energy distribution (CPC 887)</w:t>
      </w:r>
      <w:r w:rsidR="00C1263B">
        <w:t>;</w:t>
      </w:r>
    </w:p>
    <w:p w14:paraId="62F02A19" w14:textId="12F99F01" w:rsidR="003E0B3A" w:rsidRPr="00634B18" w:rsidRDefault="003E0B3A" w:rsidP="00EC23EE">
      <w:pPr>
        <w:pStyle w:val="FTAtextlistedparagraphs"/>
        <w:numPr>
          <w:ilvl w:val="1"/>
          <w:numId w:val="44"/>
        </w:numPr>
      </w:pPr>
      <w:r>
        <w:t>Administrative services of the government (CPC 9127,91136)</w:t>
      </w:r>
      <w:r w:rsidR="00C1263B">
        <w:t>;</w:t>
      </w:r>
    </w:p>
    <w:p w14:paraId="4E8CC95F" w14:textId="072E598D" w:rsidR="00E83C47" w:rsidRDefault="00E83C47" w:rsidP="00EC23EE">
      <w:pPr>
        <w:pStyle w:val="FTAtextlistedparagraphs"/>
        <w:numPr>
          <w:ilvl w:val="1"/>
          <w:numId w:val="44"/>
        </w:numPr>
      </w:pPr>
      <w:r w:rsidRPr="009615DF">
        <w:t>Education services</w:t>
      </w:r>
      <w:r w:rsidRPr="006A3C5F">
        <w:t xml:space="preserve"> </w:t>
      </w:r>
      <w:r w:rsidRPr="009615DF">
        <w:t>(CPC</w:t>
      </w:r>
      <w:r w:rsidRPr="006A3C5F">
        <w:t xml:space="preserve"> </w:t>
      </w:r>
      <w:r w:rsidRPr="009615DF">
        <w:t>92)</w:t>
      </w:r>
      <w:r w:rsidR="00C1263B">
        <w:t>;</w:t>
      </w:r>
      <w:r w:rsidR="000A44C0">
        <w:t xml:space="preserve"> and</w:t>
      </w:r>
    </w:p>
    <w:p w14:paraId="7C24E851" w14:textId="0D559B92" w:rsidR="003E0B3A" w:rsidRDefault="003E0B3A" w:rsidP="00EC23EE">
      <w:pPr>
        <w:pStyle w:val="FTAtextlistedparagraphs"/>
        <w:numPr>
          <w:ilvl w:val="1"/>
          <w:numId w:val="44"/>
        </w:numPr>
      </w:pPr>
      <w:r>
        <w:t xml:space="preserve">Recreational, </w:t>
      </w:r>
      <w:proofErr w:type="gramStart"/>
      <w:r>
        <w:t>cultural</w:t>
      </w:r>
      <w:proofErr w:type="gramEnd"/>
      <w:r>
        <w:t xml:space="preserve"> and sporting services (CPC 96 (except 9611, 9613)</w:t>
      </w:r>
      <w:r w:rsidR="00C1263B">
        <w:t>.</w:t>
      </w:r>
    </w:p>
    <w:p w14:paraId="0A58FF24" w14:textId="6A351B44" w:rsidR="00D1341D" w:rsidRPr="00D1341D" w:rsidRDefault="006A166E" w:rsidP="000A4EAC">
      <w:pPr>
        <w:pStyle w:val="FTAtext"/>
        <w:ind w:firstLine="0"/>
      </w:pPr>
      <w:r>
        <w:tab/>
      </w:r>
      <w:r w:rsidR="00D1341D" w:rsidRPr="00D1341D">
        <w:t>Notes to paragraph 2:</w:t>
      </w:r>
    </w:p>
    <w:p w14:paraId="1340B75C" w14:textId="7A64851B" w:rsidR="00D1341D" w:rsidRPr="00D1341D" w:rsidRDefault="00D1341D" w:rsidP="003454A1">
      <w:pPr>
        <w:pStyle w:val="FTAtextlistedparagraphs"/>
        <w:numPr>
          <w:ilvl w:val="1"/>
          <w:numId w:val="12"/>
        </w:numPr>
      </w:pPr>
      <w:r w:rsidRPr="00D1341D">
        <w:t>Hotel and restaurant services (CPC 641), food serving services (CPC 642), beverage serving services (CPC 643), postal and courier services (CPC 751), legal services (CPC 861), investigation and security services (CPC 873), administrative services of the government (CPC 9127, 91136), education services (CPC 92) and recreational, cultural and sporting services (CPC 96) are included under the national treatment regime</w:t>
      </w:r>
      <w:r>
        <w:footnoteReference w:id="2"/>
      </w:r>
      <w:r w:rsidRPr="00D1341D">
        <w:t xml:space="preserve"> for the suppliers, including service providers, of the United Kingdom, provided that their value equals or exceeds EUR 750,000 when they are awarded by procuring entities covered under Annexes 1 and 2 of </w:t>
      </w:r>
      <w:r>
        <w:t>Iceland</w:t>
      </w:r>
      <w:r w:rsidR="00824443">
        <w:t>’</w:t>
      </w:r>
      <w:r w:rsidRPr="00D1341D">
        <w:t xml:space="preserve">s Appendix I to the GPA and that their value equals or exceeds EUR 1,000,000 when they are awarded by </w:t>
      </w:r>
      <w:r w:rsidRPr="00D1341D">
        <w:lastRenderedPageBreak/>
        <w:t xml:space="preserve">procuring entities covered under Annex 3 of </w:t>
      </w:r>
      <w:r>
        <w:t>Iceland</w:t>
      </w:r>
      <w:r w:rsidRPr="00D1341D">
        <w:t>’s Appendix I to the GPA or by procuring entities covered by paragraph 1.</w:t>
      </w:r>
      <w:r w:rsidRPr="00934E77">
        <w:rPr>
          <w:vertAlign w:val="superscript"/>
        </w:rPr>
        <w:footnoteReference w:id="3"/>
      </w:r>
      <w:r w:rsidRPr="00D1341D">
        <w:t xml:space="preserve"> </w:t>
      </w:r>
    </w:p>
    <w:p w14:paraId="34C70F80" w14:textId="4DE44ED1" w:rsidR="00D1341D" w:rsidRPr="00D1341D" w:rsidRDefault="00D1341D" w:rsidP="003454A1">
      <w:pPr>
        <w:pStyle w:val="FTAtextlistedparagraphs"/>
        <w:numPr>
          <w:ilvl w:val="1"/>
          <w:numId w:val="12"/>
        </w:numPr>
      </w:pPr>
      <w:r w:rsidRPr="00D1341D">
        <w:t>The following legal services (CPC 861) are not covered:</w:t>
      </w:r>
    </w:p>
    <w:p w14:paraId="53AA7B7D" w14:textId="30050262" w:rsidR="00D1341D" w:rsidRPr="00D1341D" w:rsidRDefault="00D1341D" w:rsidP="003454A1">
      <w:pPr>
        <w:pStyle w:val="FTAtextlistedparagraphs"/>
        <w:numPr>
          <w:ilvl w:val="2"/>
          <w:numId w:val="5"/>
        </w:numPr>
      </w:pPr>
      <w:r w:rsidRPr="00D1341D">
        <w:t>legal representation of a client by a lawyer in:</w:t>
      </w:r>
    </w:p>
    <w:p w14:paraId="4E504A05" w14:textId="7D5353F1" w:rsidR="00D1341D" w:rsidRPr="00D1341D" w:rsidRDefault="00D1341D" w:rsidP="003454A1">
      <w:pPr>
        <w:pStyle w:val="FTAtextlistedparagraphs"/>
        <w:numPr>
          <w:ilvl w:val="4"/>
          <w:numId w:val="5"/>
        </w:numPr>
        <w:tabs>
          <w:tab w:val="clear" w:pos="1360"/>
        </w:tabs>
        <w:ind w:left="2835" w:hanging="708"/>
      </w:pPr>
      <w:r w:rsidRPr="00D1341D">
        <w:t xml:space="preserve">an arbitration or conciliation held in </w:t>
      </w:r>
      <w:r>
        <w:t>Iceland</w:t>
      </w:r>
      <w:r w:rsidRPr="00D1341D">
        <w:t>, another country or before an international arbitration or conciliation instance</w:t>
      </w:r>
      <w:r w:rsidR="00C1263B">
        <w:t>;</w:t>
      </w:r>
      <w:r w:rsidRPr="00D1341D">
        <w:t xml:space="preserve"> or</w:t>
      </w:r>
    </w:p>
    <w:p w14:paraId="793472F6" w14:textId="1297DCEA" w:rsidR="00D1341D" w:rsidRPr="00D1341D" w:rsidRDefault="00D1341D" w:rsidP="003454A1">
      <w:pPr>
        <w:pStyle w:val="FTAtextlistedparagraphs"/>
        <w:numPr>
          <w:ilvl w:val="4"/>
          <w:numId w:val="5"/>
        </w:numPr>
        <w:tabs>
          <w:tab w:val="clear" w:pos="1360"/>
        </w:tabs>
        <w:ind w:left="2835" w:hanging="708"/>
      </w:pPr>
      <w:r w:rsidRPr="00D1341D">
        <w:t xml:space="preserve">judicial proceedings before the courts, tribunals or public authorities of </w:t>
      </w:r>
      <w:r>
        <w:t>Iceland</w:t>
      </w:r>
      <w:r w:rsidRPr="00D1341D">
        <w:t xml:space="preserve">, another country or before international courts, tribunals or </w:t>
      </w:r>
      <w:proofErr w:type="gramStart"/>
      <w:r w:rsidRPr="00D1341D">
        <w:t>institutions;</w:t>
      </w:r>
      <w:proofErr w:type="gramEnd"/>
    </w:p>
    <w:p w14:paraId="6C2B3CB4" w14:textId="70C0A9A2" w:rsidR="00D1341D" w:rsidRPr="00D1341D" w:rsidRDefault="00D1341D" w:rsidP="003454A1">
      <w:pPr>
        <w:pStyle w:val="FTAtextlistedparagraphs"/>
        <w:numPr>
          <w:ilvl w:val="2"/>
          <w:numId w:val="5"/>
        </w:numPr>
      </w:pPr>
      <w:r w:rsidRPr="00D1341D">
        <w:t xml:space="preserve">legal advice given </w:t>
      </w:r>
    </w:p>
    <w:p w14:paraId="51C4B09D" w14:textId="1CEE7E47" w:rsidR="00D1341D" w:rsidRPr="00D1341D" w:rsidRDefault="00D1341D" w:rsidP="003454A1">
      <w:pPr>
        <w:pStyle w:val="FTAtextlistedparagraphs"/>
        <w:numPr>
          <w:ilvl w:val="4"/>
          <w:numId w:val="5"/>
        </w:numPr>
        <w:tabs>
          <w:tab w:val="clear" w:pos="1360"/>
        </w:tabs>
        <w:ind w:left="2835" w:hanging="708"/>
      </w:pPr>
      <w:r w:rsidRPr="00D1341D">
        <w:t xml:space="preserve">in preparation of any of the proceedings referred to in </w:t>
      </w:r>
      <w:r w:rsidR="00DC4FBB">
        <w:t>sub</w:t>
      </w:r>
      <w:r w:rsidRPr="00D1341D">
        <w:t>paragraph</w:t>
      </w:r>
      <w:r w:rsidR="00DC4FBB">
        <w:t xml:space="preserve"> (a)</w:t>
      </w:r>
      <w:r w:rsidR="00125476">
        <w:t>;</w:t>
      </w:r>
      <w:r>
        <w:t xml:space="preserve"> </w:t>
      </w:r>
      <w:r w:rsidRPr="00D1341D">
        <w:t>or</w:t>
      </w:r>
    </w:p>
    <w:p w14:paraId="01B84E2E" w14:textId="3888BD4C" w:rsidR="00D1341D" w:rsidRPr="00D1341D" w:rsidRDefault="00D1341D" w:rsidP="003454A1">
      <w:pPr>
        <w:pStyle w:val="FTAtextlistedparagraphs"/>
        <w:numPr>
          <w:ilvl w:val="4"/>
          <w:numId w:val="5"/>
        </w:numPr>
        <w:tabs>
          <w:tab w:val="clear" w:pos="1360"/>
        </w:tabs>
        <w:ind w:left="2835" w:hanging="708"/>
      </w:pPr>
      <w:r w:rsidRPr="00D1341D">
        <w:t>where there is a tangible indication and high probability that the matter to which the advice relates will become the subject of such proceedings</w:t>
      </w:r>
      <w:r w:rsidR="00A106A7">
        <w:t>,</w:t>
      </w:r>
    </w:p>
    <w:p w14:paraId="169BF7B5" w14:textId="1C77F157" w:rsidR="00D1341D" w:rsidRPr="00D1341D" w:rsidRDefault="006A166E" w:rsidP="001C32BD">
      <w:pPr>
        <w:pStyle w:val="FTAtextlistedparagraphs"/>
        <w:numPr>
          <w:ilvl w:val="0"/>
          <w:numId w:val="0"/>
        </w:numPr>
        <w:ind w:left="709"/>
      </w:pPr>
      <w:r>
        <w:tab/>
      </w:r>
      <w:r>
        <w:tab/>
      </w:r>
      <w:r w:rsidR="00D1341D" w:rsidRPr="00D1341D">
        <w:t>provided that the advice is given by a lawyer;</w:t>
      </w:r>
    </w:p>
    <w:p w14:paraId="787A88AF" w14:textId="4E43E1C7" w:rsidR="00D1341D" w:rsidRPr="00D1341D" w:rsidRDefault="00D1341D" w:rsidP="003454A1">
      <w:pPr>
        <w:pStyle w:val="FTAtextlistedparagraphs"/>
        <w:numPr>
          <w:ilvl w:val="2"/>
          <w:numId w:val="5"/>
        </w:numPr>
      </w:pPr>
      <w:r w:rsidRPr="00D1341D">
        <w:t>document certification and authentication services which must be provided by notaries;</w:t>
      </w:r>
    </w:p>
    <w:p w14:paraId="0FDA9FAF" w14:textId="798BCA83" w:rsidR="00D1341D" w:rsidRPr="00D1341D" w:rsidRDefault="00D1341D" w:rsidP="003454A1">
      <w:pPr>
        <w:pStyle w:val="FTAtextlistedparagraphs"/>
        <w:numPr>
          <w:ilvl w:val="2"/>
          <w:numId w:val="5"/>
        </w:numPr>
      </w:pPr>
      <w:r w:rsidRPr="00D1341D">
        <w:t xml:space="preserve">legal services provided by trustees or appointed guardians or other legal services the providers of which are designated by a court or tribunal in </w:t>
      </w:r>
      <w:r>
        <w:t xml:space="preserve">Iceland </w:t>
      </w:r>
      <w:r w:rsidRPr="00D1341D">
        <w:t>or are designated by law to carry out specific tasks under the supervision of such tribunals or courts;</w:t>
      </w:r>
      <w:r w:rsidR="00A106A7">
        <w:t xml:space="preserve"> or</w:t>
      </w:r>
    </w:p>
    <w:p w14:paraId="16FE3509" w14:textId="57EE0870" w:rsidR="00D1341D" w:rsidRPr="00C409A9" w:rsidRDefault="00D1341D" w:rsidP="003454A1">
      <w:pPr>
        <w:pStyle w:val="FTAtextlistedparagraphs"/>
        <w:numPr>
          <w:ilvl w:val="2"/>
          <w:numId w:val="5"/>
        </w:numPr>
      </w:pPr>
      <w:r w:rsidRPr="00D1341D">
        <w:t xml:space="preserve">other legal services which in </w:t>
      </w:r>
      <w:r>
        <w:t>Iceland</w:t>
      </w:r>
      <w:r w:rsidRPr="00D1341D">
        <w:t xml:space="preserve"> are connected, even occasionally, with the exercise of official authority.</w:t>
      </w:r>
    </w:p>
    <w:p w14:paraId="2E87D48D" w14:textId="56626A5C" w:rsidR="00D1341D" w:rsidRDefault="00D1341D" w:rsidP="003454A1">
      <w:pPr>
        <w:pStyle w:val="FTAtextlistedparagraphs"/>
        <w:numPr>
          <w:ilvl w:val="1"/>
          <w:numId w:val="23"/>
        </w:numPr>
      </w:pPr>
      <w:r w:rsidRPr="00D1341D">
        <w:t xml:space="preserve">Procurement of any of the services covered under this Appendix </w:t>
      </w:r>
      <w:r w:rsidR="00A106A7" w:rsidRPr="00D1341D">
        <w:t xml:space="preserve">by procuring entities covered under this Agreement </w:t>
      </w:r>
      <w:r w:rsidRPr="00D1341D">
        <w:t xml:space="preserve">is a covered procurement with regard to a </w:t>
      </w:r>
      <w:r w:rsidR="00A106A7" w:rsidRPr="00D1341D">
        <w:t xml:space="preserve">service </w:t>
      </w:r>
      <w:r w:rsidRPr="00D1341D">
        <w:t xml:space="preserve">provider of </w:t>
      </w:r>
      <w:r w:rsidR="00A106A7">
        <w:t>the</w:t>
      </w:r>
      <w:r w:rsidRPr="00D1341D">
        <w:t xml:space="preserve"> U</w:t>
      </w:r>
      <w:r w:rsidR="00A106A7">
        <w:t xml:space="preserve">nited </w:t>
      </w:r>
      <w:r w:rsidRPr="00D1341D">
        <w:t>K</w:t>
      </w:r>
      <w:r w:rsidR="00A106A7">
        <w:t>ingdom</w:t>
      </w:r>
      <w:r w:rsidRPr="00D1341D">
        <w:t xml:space="preserve"> only to the extent that</w:t>
      </w:r>
      <w:r w:rsidR="00A106A7">
        <w:t xml:space="preserve"> the</w:t>
      </w:r>
      <w:r w:rsidRPr="00D1341D">
        <w:t xml:space="preserve"> U</w:t>
      </w:r>
      <w:r w:rsidR="00A106A7">
        <w:t xml:space="preserve">nited </w:t>
      </w:r>
      <w:r w:rsidRPr="00D1341D">
        <w:t>K</w:t>
      </w:r>
      <w:r w:rsidR="00A106A7">
        <w:t>ingdom</w:t>
      </w:r>
      <w:r w:rsidRPr="00D1341D">
        <w:t xml:space="preserve"> has covered that service under this Appendix</w:t>
      </w:r>
      <w:r w:rsidR="00A106A7">
        <w:t xml:space="preserve"> (including the United Kingdom’s coverage of services under Article II of the GPA)</w:t>
      </w:r>
      <w:r w:rsidRPr="00D1341D">
        <w:t>.</w:t>
      </w:r>
    </w:p>
    <w:p w14:paraId="2BD1A9C4" w14:textId="45A3EC84" w:rsidR="007D2C22" w:rsidRPr="003B3EA4" w:rsidRDefault="003E0B3A" w:rsidP="003454A1">
      <w:pPr>
        <w:pStyle w:val="FTAtextlistedparagraphs"/>
        <w:numPr>
          <w:ilvl w:val="0"/>
          <w:numId w:val="13"/>
        </w:numPr>
        <w:rPr>
          <w:b/>
          <w:bCs/>
        </w:rPr>
      </w:pPr>
      <w:r w:rsidRPr="003B3EA4">
        <w:rPr>
          <w:b/>
          <w:bCs/>
        </w:rPr>
        <w:lastRenderedPageBreak/>
        <w:t>Concession contracts</w:t>
      </w:r>
    </w:p>
    <w:p w14:paraId="18BB7CD1" w14:textId="5E8E7D82" w:rsidR="00B76C61" w:rsidRPr="006A3C5F" w:rsidRDefault="001D34A5" w:rsidP="0028276A">
      <w:pPr>
        <w:pStyle w:val="FTAtextlistedparagraphs"/>
        <w:numPr>
          <w:ilvl w:val="0"/>
          <w:numId w:val="0"/>
        </w:numPr>
        <w:ind w:left="709"/>
      </w:pPr>
      <w:r>
        <w:t>Works concessions for entities covered under Annexes 1 and 2 or Iceland</w:t>
      </w:r>
      <w:r w:rsidR="00CE3236">
        <w:t>’</w:t>
      </w:r>
      <w:r>
        <w:t xml:space="preserve">s Appendix 1 to the GPA, are included under national treatment regime for the suppliers, including service providers, of the United Kingdom, provided their value exceeds 5.000.000 SDR. </w:t>
      </w:r>
      <w:r w:rsidR="003E0B3A">
        <w:t xml:space="preserve">Service concessions contracts, </w:t>
      </w:r>
      <w:r>
        <w:t>for services covered under Annex 5 of Iceland</w:t>
      </w:r>
      <w:r w:rsidR="00CE3236">
        <w:t>’</w:t>
      </w:r>
      <w:r>
        <w:t xml:space="preserve">s Appendix 1 to the GPA or under paragraph 2 </w:t>
      </w:r>
      <w:r w:rsidR="00DC4FBB">
        <w:t xml:space="preserve">(Additional services) </w:t>
      </w:r>
      <w:r>
        <w:t xml:space="preserve">of this </w:t>
      </w:r>
      <w:r w:rsidR="00A106A7">
        <w:t xml:space="preserve">Section A of </w:t>
      </w:r>
      <w:r w:rsidR="00DC4FBB">
        <w:t>Part</w:t>
      </w:r>
      <w:r w:rsidR="00A106A7">
        <w:t xml:space="preserve"> B</w:t>
      </w:r>
      <w:r>
        <w:t xml:space="preserve">, </w:t>
      </w:r>
      <w:r w:rsidR="003E0B3A">
        <w:t xml:space="preserve">for entities covered under Annex 1 </w:t>
      </w:r>
      <w:r>
        <w:t>and 2</w:t>
      </w:r>
      <w:r w:rsidR="003E0B3A">
        <w:t xml:space="preserve"> of Iceland</w:t>
      </w:r>
      <w:r w:rsidR="00CE3236">
        <w:t>’</w:t>
      </w:r>
      <w:r w:rsidR="003E0B3A">
        <w:t>s Appendix 1 to the GPA are included under the national treatment regime for the suppliers, including service providers, of the United Kingdom, provided their value equals or exceeds 5.000.000 SDR.</w:t>
      </w:r>
    </w:p>
    <w:p w14:paraId="75DC9CFE" w14:textId="77777777" w:rsidR="00340410" w:rsidRDefault="00340410">
      <w:pPr>
        <w:spacing w:after="160" w:line="259" w:lineRule="auto"/>
        <w:rPr>
          <w:rFonts w:eastAsia="Batang"/>
          <w:szCs w:val="24"/>
          <w:u w:color="000000"/>
          <w:lang w:eastAsia="zh-TW"/>
        </w:rPr>
      </w:pPr>
      <w:r>
        <w:br w:type="page"/>
      </w:r>
    </w:p>
    <w:p w14:paraId="21BFD7C5" w14:textId="407269B4" w:rsidR="00D1341D" w:rsidRPr="00DC4FBB" w:rsidRDefault="006A166E" w:rsidP="0028276A">
      <w:pPr>
        <w:pStyle w:val="FTAtext"/>
        <w:ind w:firstLine="0"/>
      </w:pPr>
      <w:r>
        <w:lastRenderedPageBreak/>
        <w:tab/>
      </w:r>
      <w:r w:rsidR="00E83C47" w:rsidRPr="00DC4FBB">
        <w:t>Notes</w:t>
      </w:r>
      <w:r w:rsidR="00D1341D" w:rsidRPr="00DC4FBB">
        <w:t xml:space="preserve"> to paragraph 3:</w:t>
      </w:r>
    </w:p>
    <w:p w14:paraId="57C56520" w14:textId="57BE7E3B" w:rsidR="00D1341D" w:rsidRDefault="00D1341D" w:rsidP="003454A1">
      <w:pPr>
        <w:pStyle w:val="FTAtextlistedparagraphs"/>
        <w:numPr>
          <w:ilvl w:val="1"/>
          <w:numId w:val="14"/>
        </w:numPr>
      </w:pPr>
      <w:r>
        <w:t xml:space="preserve">“Works concessions” and “service concessions” are as defined in </w:t>
      </w:r>
      <w:r w:rsidR="003152BC">
        <w:t>A</w:t>
      </w:r>
      <w:r>
        <w:t xml:space="preserve">rticle 5 in </w:t>
      </w:r>
      <w:r w:rsidR="003152BC" w:rsidRPr="00B852AC">
        <w:t>Directive 2014/23/EU of the European Parliament and of the Council of 26 February 2014 on the award of concession contracts</w:t>
      </w:r>
      <w:r>
        <w:t xml:space="preserve">. </w:t>
      </w:r>
    </w:p>
    <w:p w14:paraId="0C9FEEC9" w14:textId="4928891E" w:rsidR="00E83C47" w:rsidRPr="0084549F" w:rsidRDefault="00D1341D" w:rsidP="003454A1">
      <w:pPr>
        <w:pStyle w:val="FTAtextlistedparagraphs"/>
        <w:numPr>
          <w:ilvl w:val="1"/>
          <w:numId w:val="14"/>
        </w:numPr>
        <w:rPr>
          <w:rFonts w:eastAsia="Calibri"/>
        </w:rPr>
      </w:pPr>
      <w:r>
        <w:t>For greater certainty, beyond the principle of non-discrimination, the domestic legislation of Iceland shall apply to the award of works and service concession contracts.</w:t>
      </w:r>
    </w:p>
    <w:p w14:paraId="616926CB" w14:textId="6F785572" w:rsidR="00E83C47" w:rsidRPr="008722D0" w:rsidRDefault="00E83C47" w:rsidP="003454A1">
      <w:pPr>
        <w:pStyle w:val="Appendixtabletitle"/>
        <w:numPr>
          <w:ilvl w:val="0"/>
          <w:numId w:val="28"/>
        </w:numPr>
        <w:ind w:hanging="720"/>
        <w:jc w:val="left"/>
      </w:pPr>
      <w:r>
        <w:t>Liechtenstein</w:t>
      </w:r>
    </w:p>
    <w:p w14:paraId="3F2A94B9" w14:textId="6426E234" w:rsidR="00E83C47" w:rsidRPr="009A66A1" w:rsidRDefault="00E83C47" w:rsidP="00AB2AF7">
      <w:pPr>
        <w:pStyle w:val="FTAtext"/>
        <w:ind w:firstLine="0"/>
        <w:rPr>
          <w:rFonts w:eastAsia="Calibri"/>
        </w:rPr>
      </w:pPr>
      <w:r w:rsidRPr="009A66A1">
        <w:t>Procurement covered by this Appendix</w:t>
      </w:r>
    </w:p>
    <w:p w14:paraId="03D8BB72" w14:textId="6C6F277E" w:rsidR="004D745D" w:rsidRPr="003B3EA4" w:rsidRDefault="004D745D" w:rsidP="003454A1">
      <w:pPr>
        <w:pStyle w:val="FTAtextlistedparagraphs"/>
        <w:numPr>
          <w:ilvl w:val="0"/>
          <w:numId w:val="15"/>
        </w:numPr>
        <w:rPr>
          <w:b/>
          <w:bCs/>
        </w:rPr>
      </w:pPr>
      <w:r w:rsidRPr="003B3EA4">
        <w:rPr>
          <w:b/>
          <w:bCs/>
        </w:rPr>
        <w:t>Additional procuring</w:t>
      </w:r>
      <w:r w:rsidRPr="003B3EA4">
        <w:rPr>
          <w:b/>
          <w:bCs/>
          <w:spacing w:val="-3"/>
        </w:rPr>
        <w:t xml:space="preserve"> </w:t>
      </w:r>
      <w:r w:rsidRPr="003B3EA4">
        <w:rPr>
          <w:b/>
          <w:bCs/>
        </w:rPr>
        <w:t>entities</w:t>
      </w:r>
    </w:p>
    <w:p w14:paraId="2C9BBB1D" w14:textId="1582B4B1" w:rsidR="004D745D" w:rsidRPr="006A3C5F" w:rsidRDefault="004D745D" w:rsidP="00D40EA3">
      <w:pPr>
        <w:pStyle w:val="FTAtextlistedparagraphs"/>
        <w:numPr>
          <w:ilvl w:val="0"/>
          <w:numId w:val="0"/>
        </w:numPr>
        <w:ind w:left="709"/>
      </w:pPr>
      <w:r w:rsidRPr="006A3C5F">
        <w:t>Procurement of</w:t>
      </w:r>
      <w:r w:rsidRPr="006A3C5F">
        <w:rPr>
          <w:spacing w:val="2"/>
        </w:rPr>
        <w:t xml:space="preserve"> </w:t>
      </w:r>
      <w:r w:rsidRPr="006A3C5F">
        <w:t>goods</w:t>
      </w:r>
      <w:r w:rsidRPr="006A3C5F">
        <w:rPr>
          <w:spacing w:val="2"/>
        </w:rPr>
        <w:t xml:space="preserve"> </w:t>
      </w:r>
      <w:r w:rsidRPr="006A3C5F">
        <w:t>and</w:t>
      </w:r>
      <w:r w:rsidRPr="006A3C5F">
        <w:rPr>
          <w:spacing w:val="2"/>
        </w:rPr>
        <w:t xml:space="preserve"> </w:t>
      </w:r>
      <w:r w:rsidRPr="006A3C5F">
        <w:t>services</w:t>
      </w:r>
      <w:r w:rsidRPr="006A3C5F">
        <w:rPr>
          <w:spacing w:val="3"/>
        </w:rPr>
        <w:t xml:space="preserve"> </w:t>
      </w:r>
      <w:r w:rsidRPr="006A3C5F">
        <w:t>as</w:t>
      </w:r>
      <w:r w:rsidRPr="006A3C5F">
        <w:rPr>
          <w:spacing w:val="2"/>
        </w:rPr>
        <w:t xml:space="preserve"> </w:t>
      </w:r>
      <w:r w:rsidRPr="006A3C5F">
        <w:t>set</w:t>
      </w:r>
      <w:r w:rsidRPr="006A3C5F">
        <w:rPr>
          <w:spacing w:val="3"/>
        </w:rPr>
        <w:t xml:space="preserve"> </w:t>
      </w:r>
      <w:r w:rsidRPr="006A3C5F">
        <w:t>out</w:t>
      </w:r>
      <w:r w:rsidRPr="006A3C5F">
        <w:rPr>
          <w:spacing w:val="3"/>
        </w:rPr>
        <w:t xml:space="preserve"> </w:t>
      </w:r>
      <w:r w:rsidRPr="006A3C5F">
        <w:t>in</w:t>
      </w:r>
      <w:r w:rsidRPr="006A3C5F">
        <w:rPr>
          <w:spacing w:val="1"/>
        </w:rPr>
        <w:t xml:space="preserve"> </w:t>
      </w:r>
      <w:r w:rsidRPr="006A3C5F">
        <w:t>Annexes</w:t>
      </w:r>
      <w:r w:rsidRPr="006A3C5F">
        <w:rPr>
          <w:spacing w:val="2"/>
        </w:rPr>
        <w:t xml:space="preserve"> </w:t>
      </w:r>
      <w:r w:rsidRPr="006A3C5F">
        <w:t>4</w:t>
      </w:r>
      <w:r w:rsidRPr="006A3C5F">
        <w:rPr>
          <w:spacing w:val="3"/>
        </w:rPr>
        <w:t xml:space="preserve"> </w:t>
      </w:r>
      <w:r w:rsidRPr="006A3C5F">
        <w:t>to</w:t>
      </w:r>
      <w:r w:rsidRPr="006A3C5F">
        <w:rPr>
          <w:spacing w:val="1"/>
        </w:rPr>
        <w:t xml:space="preserve"> </w:t>
      </w:r>
      <w:r w:rsidRPr="006A3C5F">
        <w:t>6</w:t>
      </w:r>
      <w:r w:rsidRPr="006A3C5F">
        <w:rPr>
          <w:spacing w:val="3"/>
        </w:rPr>
        <w:t xml:space="preserve"> </w:t>
      </w:r>
      <w:r w:rsidRPr="006A3C5F">
        <w:t>of</w:t>
      </w:r>
      <w:r w:rsidRPr="006A3C5F">
        <w:rPr>
          <w:spacing w:val="2"/>
        </w:rPr>
        <w:t xml:space="preserve"> </w:t>
      </w:r>
      <w:r>
        <w:rPr>
          <w:spacing w:val="2"/>
        </w:rPr>
        <w:t>Liechtenstein</w:t>
      </w:r>
      <w:r w:rsidR="00DB008E">
        <w:t xml:space="preserve">’s </w:t>
      </w:r>
      <w:r w:rsidRPr="006A3C5F">
        <w:t>Appendix I</w:t>
      </w:r>
      <w:r w:rsidRPr="006A3C5F">
        <w:rPr>
          <w:spacing w:val="51"/>
        </w:rPr>
        <w:t xml:space="preserve"> </w:t>
      </w:r>
      <w:r w:rsidRPr="006A3C5F">
        <w:t>to</w:t>
      </w:r>
      <w:r w:rsidRPr="006A3C5F">
        <w:rPr>
          <w:spacing w:val="2"/>
        </w:rPr>
        <w:t xml:space="preserve"> </w:t>
      </w:r>
      <w:r w:rsidRPr="006A3C5F">
        <w:t>the</w:t>
      </w:r>
      <w:r w:rsidRPr="006A3C5F">
        <w:rPr>
          <w:spacing w:val="2"/>
        </w:rPr>
        <w:t xml:space="preserve"> </w:t>
      </w:r>
      <w:r w:rsidRPr="006A3C5F">
        <w:t>GPA,</w:t>
      </w:r>
      <w:r w:rsidRPr="006A3C5F">
        <w:rPr>
          <w:spacing w:val="1"/>
        </w:rPr>
        <w:t xml:space="preserve"> </w:t>
      </w:r>
      <w:r w:rsidRPr="006A3C5F">
        <w:t>and in paragraph</w:t>
      </w:r>
      <w:r w:rsidRPr="006A3C5F">
        <w:rPr>
          <w:spacing w:val="49"/>
        </w:rPr>
        <w:t xml:space="preserve"> </w:t>
      </w:r>
      <w:r w:rsidRPr="006A3C5F">
        <w:t>2</w:t>
      </w:r>
      <w:r w:rsidRPr="006A3C5F">
        <w:rPr>
          <w:spacing w:val="1"/>
        </w:rPr>
        <w:t xml:space="preserve"> </w:t>
      </w:r>
      <w:r w:rsidR="00DC4FBB">
        <w:rPr>
          <w:spacing w:val="1"/>
        </w:rPr>
        <w:t xml:space="preserve">(Additional services) </w:t>
      </w:r>
      <w:r w:rsidRPr="006A3C5F">
        <w:t>of</w:t>
      </w:r>
      <w:r w:rsidRPr="006A3C5F">
        <w:rPr>
          <w:spacing w:val="48"/>
        </w:rPr>
        <w:t xml:space="preserve"> </w:t>
      </w:r>
      <w:r w:rsidRPr="006A3C5F">
        <w:t>this</w:t>
      </w:r>
      <w:r>
        <w:t xml:space="preserve"> </w:t>
      </w:r>
      <w:r w:rsidR="00DB008E">
        <w:t xml:space="preserve">Section B of </w:t>
      </w:r>
      <w:r w:rsidR="00DC4FBB">
        <w:t>Part</w:t>
      </w:r>
      <w:r w:rsidR="00DB008E">
        <w:t xml:space="preserve"> B</w:t>
      </w:r>
      <w:r w:rsidRPr="006A3C5F">
        <w:t>,</w:t>
      </w:r>
      <w:r w:rsidRPr="006A3C5F">
        <w:rPr>
          <w:spacing w:val="1"/>
        </w:rPr>
        <w:t xml:space="preserve"> </w:t>
      </w:r>
      <w:r w:rsidRPr="006A3C5F">
        <w:t>by</w:t>
      </w:r>
      <w:r w:rsidRPr="006A3C5F">
        <w:rPr>
          <w:spacing w:val="2"/>
        </w:rPr>
        <w:t xml:space="preserve"> </w:t>
      </w:r>
      <w:r w:rsidRPr="006A3C5F">
        <w:t>the</w:t>
      </w:r>
      <w:r w:rsidRPr="006A3C5F">
        <w:rPr>
          <w:spacing w:val="1"/>
        </w:rPr>
        <w:t xml:space="preserve"> </w:t>
      </w:r>
      <w:r w:rsidRPr="006A3C5F">
        <w:t>following</w:t>
      </w:r>
      <w:r w:rsidRPr="006A3C5F">
        <w:rPr>
          <w:spacing w:val="49"/>
        </w:rPr>
        <w:t xml:space="preserve"> </w:t>
      </w:r>
      <w:r w:rsidRPr="006A3C5F">
        <w:t>procuring entities:</w:t>
      </w:r>
    </w:p>
    <w:p w14:paraId="7FCB0C2F" w14:textId="6E595C57" w:rsidR="004D745D" w:rsidRPr="00171131" w:rsidRDefault="004D745D" w:rsidP="003454A1">
      <w:pPr>
        <w:pStyle w:val="FTAtextlistedparagraphs"/>
        <w:numPr>
          <w:ilvl w:val="1"/>
          <w:numId w:val="5"/>
        </w:numPr>
      </w:pPr>
      <w:r w:rsidRPr="006A3C5F">
        <w:t>all</w:t>
      </w:r>
      <w:r w:rsidRPr="006A3C5F">
        <w:rPr>
          <w:spacing w:val="21"/>
        </w:rPr>
        <w:t xml:space="preserve"> </w:t>
      </w:r>
      <w:r w:rsidRPr="006A3C5F">
        <w:t>contracting</w:t>
      </w:r>
      <w:r w:rsidRPr="006A3C5F">
        <w:rPr>
          <w:spacing w:val="21"/>
        </w:rPr>
        <w:t xml:space="preserve"> </w:t>
      </w:r>
      <w:r w:rsidRPr="006A3C5F">
        <w:t>entities</w:t>
      </w:r>
      <w:r w:rsidRPr="006A3C5F">
        <w:rPr>
          <w:spacing w:val="20"/>
        </w:rPr>
        <w:t xml:space="preserve"> </w:t>
      </w:r>
      <w:r w:rsidRPr="006A3C5F">
        <w:t>whose</w:t>
      </w:r>
      <w:r w:rsidRPr="006A3C5F">
        <w:rPr>
          <w:spacing w:val="20"/>
        </w:rPr>
        <w:t xml:space="preserve"> </w:t>
      </w:r>
      <w:r w:rsidRPr="006A3C5F">
        <w:t>procurement</w:t>
      </w:r>
      <w:r w:rsidRPr="006A3C5F">
        <w:rPr>
          <w:spacing w:val="21"/>
        </w:rPr>
        <w:t xml:space="preserve"> </w:t>
      </w:r>
      <w:r w:rsidRPr="006A3C5F">
        <w:t>is</w:t>
      </w:r>
      <w:r w:rsidRPr="006A3C5F">
        <w:rPr>
          <w:spacing w:val="19"/>
        </w:rPr>
        <w:t xml:space="preserve"> </w:t>
      </w:r>
      <w:r w:rsidRPr="006A3C5F">
        <w:t>covered</w:t>
      </w:r>
      <w:r w:rsidRPr="006A3C5F">
        <w:rPr>
          <w:spacing w:val="21"/>
        </w:rPr>
        <w:t xml:space="preserve"> </w:t>
      </w:r>
      <w:r w:rsidRPr="006A3C5F">
        <w:t>by</w:t>
      </w:r>
      <w:r w:rsidRPr="006A3C5F">
        <w:rPr>
          <w:spacing w:val="22"/>
        </w:rPr>
        <w:t xml:space="preserve"> </w:t>
      </w:r>
      <w:r w:rsidRPr="006A3C5F">
        <w:t>the</w:t>
      </w:r>
      <w:r w:rsidRPr="006A3C5F">
        <w:rPr>
          <w:spacing w:val="19"/>
        </w:rPr>
        <w:t xml:space="preserve"> </w:t>
      </w:r>
      <w:r>
        <w:t>EEA</w:t>
      </w:r>
      <w:r w:rsidRPr="006A3C5F">
        <w:rPr>
          <w:spacing w:val="19"/>
        </w:rPr>
        <w:t xml:space="preserve"> </w:t>
      </w:r>
      <w:r w:rsidRPr="006A3C5F">
        <w:t>utilities</w:t>
      </w:r>
      <w:r w:rsidRPr="006A3C5F">
        <w:rPr>
          <w:spacing w:val="20"/>
        </w:rPr>
        <w:t xml:space="preserve"> </w:t>
      </w:r>
      <w:r w:rsidRPr="006A3C5F">
        <w:t>directive</w:t>
      </w:r>
      <w:r w:rsidRPr="006A3C5F">
        <w:rPr>
          <w:spacing w:val="20"/>
        </w:rPr>
        <w:t xml:space="preserve"> </w:t>
      </w:r>
      <w:r w:rsidRPr="006A3C5F">
        <w:t>which</w:t>
      </w:r>
      <w:r w:rsidRPr="006A3C5F">
        <w:rPr>
          <w:spacing w:val="20"/>
        </w:rPr>
        <w:t xml:space="preserve"> </w:t>
      </w:r>
      <w:r w:rsidRPr="006A3C5F">
        <w:t>are</w:t>
      </w:r>
      <w:r w:rsidRPr="006A3C5F">
        <w:rPr>
          <w:spacing w:val="67"/>
        </w:rPr>
        <w:t xml:space="preserve"> </w:t>
      </w:r>
      <w:r w:rsidRPr="006A3C5F">
        <w:t>contracting</w:t>
      </w:r>
      <w:r w:rsidRPr="006A3C5F">
        <w:rPr>
          <w:spacing w:val="19"/>
        </w:rPr>
        <w:t xml:space="preserve"> </w:t>
      </w:r>
      <w:r w:rsidRPr="006A3C5F">
        <w:t>authorities</w:t>
      </w:r>
      <w:r w:rsidRPr="006A3C5F">
        <w:rPr>
          <w:spacing w:val="20"/>
        </w:rPr>
        <w:t xml:space="preserve"> </w:t>
      </w:r>
      <w:r w:rsidRPr="006A3C5F">
        <w:t>(e.g.</w:t>
      </w:r>
      <w:r w:rsidRPr="006A3C5F">
        <w:rPr>
          <w:spacing w:val="19"/>
        </w:rPr>
        <w:t xml:space="preserve"> </w:t>
      </w:r>
      <w:r w:rsidRPr="006A3C5F">
        <w:t>those</w:t>
      </w:r>
      <w:r w:rsidRPr="006A3C5F">
        <w:rPr>
          <w:spacing w:val="20"/>
        </w:rPr>
        <w:t xml:space="preserve"> </w:t>
      </w:r>
      <w:r w:rsidRPr="006A3C5F">
        <w:t>covered</w:t>
      </w:r>
      <w:r w:rsidRPr="006A3C5F">
        <w:rPr>
          <w:spacing w:val="19"/>
        </w:rPr>
        <w:t xml:space="preserve"> </w:t>
      </w:r>
      <w:r w:rsidRPr="006A3C5F">
        <w:t>under</w:t>
      </w:r>
      <w:r w:rsidRPr="006A3C5F">
        <w:rPr>
          <w:spacing w:val="19"/>
        </w:rPr>
        <w:t xml:space="preserve"> </w:t>
      </w:r>
      <w:r w:rsidRPr="006A3C5F">
        <w:t>Annex</w:t>
      </w:r>
      <w:r w:rsidRPr="006A3C5F">
        <w:rPr>
          <w:spacing w:val="20"/>
        </w:rPr>
        <w:t xml:space="preserve"> </w:t>
      </w:r>
      <w:r w:rsidRPr="006A3C5F">
        <w:t>1</w:t>
      </w:r>
      <w:r w:rsidRPr="006A3C5F">
        <w:rPr>
          <w:spacing w:val="20"/>
        </w:rPr>
        <w:t xml:space="preserve"> </w:t>
      </w:r>
      <w:r w:rsidRPr="006A3C5F">
        <w:t>and</w:t>
      </w:r>
      <w:r w:rsidRPr="006A3C5F">
        <w:rPr>
          <w:spacing w:val="18"/>
        </w:rPr>
        <w:t xml:space="preserve"> </w:t>
      </w:r>
      <w:r w:rsidRPr="006A3C5F">
        <w:t>Annex</w:t>
      </w:r>
      <w:r w:rsidRPr="006A3C5F">
        <w:rPr>
          <w:spacing w:val="20"/>
        </w:rPr>
        <w:t xml:space="preserve"> </w:t>
      </w:r>
      <w:r w:rsidRPr="006A3C5F">
        <w:t>2</w:t>
      </w:r>
      <w:r w:rsidRPr="006A3C5F">
        <w:rPr>
          <w:spacing w:val="20"/>
        </w:rPr>
        <w:t xml:space="preserve"> </w:t>
      </w:r>
      <w:r w:rsidRPr="006A3C5F">
        <w:t>to</w:t>
      </w:r>
      <w:r w:rsidRPr="006A3C5F">
        <w:rPr>
          <w:spacing w:val="21"/>
        </w:rPr>
        <w:t xml:space="preserve"> </w:t>
      </w:r>
      <w:r w:rsidRPr="006A3C5F">
        <w:t>Appendix</w:t>
      </w:r>
      <w:r w:rsidRPr="006A3C5F">
        <w:rPr>
          <w:spacing w:val="19"/>
        </w:rPr>
        <w:t xml:space="preserve"> </w:t>
      </w:r>
      <w:r w:rsidRPr="006A3C5F">
        <w:t>I</w:t>
      </w:r>
      <w:r w:rsidRPr="006A3C5F">
        <w:rPr>
          <w:spacing w:val="19"/>
        </w:rPr>
        <w:t xml:space="preserve"> </w:t>
      </w:r>
      <w:r w:rsidRPr="006A3C5F">
        <w:t>to</w:t>
      </w:r>
      <w:r w:rsidRPr="006A3C5F">
        <w:rPr>
          <w:spacing w:val="21"/>
        </w:rPr>
        <w:t xml:space="preserve"> </w:t>
      </w:r>
      <w:r w:rsidRPr="006A3C5F">
        <w:t>the</w:t>
      </w:r>
      <w:r w:rsidRPr="006A3C5F">
        <w:rPr>
          <w:spacing w:val="81"/>
        </w:rPr>
        <w:t xml:space="preserve"> </w:t>
      </w:r>
      <w:r w:rsidRPr="006A3C5F">
        <w:t>GPA)</w:t>
      </w:r>
      <w:r w:rsidRPr="006A3C5F">
        <w:rPr>
          <w:spacing w:val="-4"/>
        </w:rPr>
        <w:t xml:space="preserve"> </w:t>
      </w:r>
      <w:r w:rsidRPr="006A3C5F">
        <w:t>or public undertakings</w:t>
      </w:r>
      <w:r w:rsidRPr="006A3C5F">
        <w:rPr>
          <w:spacing w:val="17"/>
          <w:position w:val="10"/>
        </w:rPr>
        <w:t xml:space="preserve"> </w:t>
      </w:r>
      <w:r w:rsidRPr="006A3C5F">
        <w:t>and which have as</w:t>
      </w:r>
      <w:r w:rsidRPr="006A3C5F">
        <w:rPr>
          <w:spacing w:val="-3"/>
        </w:rPr>
        <w:t xml:space="preserve"> </w:t>
      </w:r>
      <w:r w:rsidRPr="006A3C5F">
        <w:t>one</w:t>
      </w:r>
      <w:r w:rsidRPr="006A3C5F">
        <w:rPr>
          <w:spacing w:val="-3"/>
        </w:rPr>
        <w:t xml:space="preserve"> </w:t>
      </w:r>
      <w:r w:rsidRPr="006A3C5F">
        <w:t>of</w:t>
      </w:r>
      <w:r w:rsidRPr="006A3C5F">
        <w:rPr>
          <w:spacing w:val="-2"/>
        </w:rPr>
        <w:t xml:space="preserve"> </w:t>
      </w:r>
      <w:r w:rsidRPr="006A3C5F">
        <w:t>their activities</w:t>
      </w:r>
    </w:p>
    <w:p w14:paraId="1DF658C8" w14:textId="525A94C9" w:rsidR="004D745D" w:rsidRPr="00171131" w:rsidRDefault="004D745D" w:rsidP="003454A1">
      <w:pPr>
        <w:pStyle w:val="FTAtextlistedparagraphs"/>
        <w:numPr>
          <w:ilvl w:val="2"/>
          <w:numId w:val="5"/>
        </w:numPr>
      </w:pPr>
      <w:r w:rsidRPr="006A3C5F">
        <w:t>the</w:t>
      </w:r>
      <w:r w:rsidRPr="006A3C5F">
        <w:rPr>
          <w:spacing w:val="40"/>
        </w:rPr>
        <w:t xml:space="preserve"> </w:t>
      </w:r>
      <w:r w:rsidRPr="006A3C5F">
        <w:t>provision</w:t>
      </w:r>
      <w:r w:rsidRPr="006A3C5F">
        <w:rPr>
          <w:spacing w:val="40"/>
        </w:rPr>
        <w:t xml:space="preserve"> </w:t>
      </w:r>
      <w:r w:rsidRPr="006A3C5F">
        <w:rPr>
          <w:spacing w:val="1"/>
        </w:rPr>
        <w:t>or</w:t>
      </w:r>
      <w:r w:rsidRPr="006A3C5F">
        <w:rPr>
          <w:spacing w:val="41"/>
        </w:rPr>
        <w:t xml:space="preserve"> </w:t>
      </w:r>
      <w:r w:rsidRPr="006A3C5F">
        <w:t>operation</w:t>
      </w:r>
      <w:r w:rsidRPr="006A3C5F">
        <w:rPr>
          <w:spacing w:val="39"/>
        </w:rPr>
        <w:t xml:space="preserve"> </w:t>
      </w:r>
      <w:r w:rsidRPr="006A3C5F">
        <w:t>of</w:t>
      </w:r>
      <w:r w:rsidRPr="006A3C5F">
        <w:rPr>
          <w:spacing w:val="41"/>
        </w:rPr>
        <w:t xml:space="preserve"> </w:t>
      </w:r>
      <w:r w:rsidRPr="006A3C5F">
        <w:t>fixed</w:t>
      </w:r>
      <w:r w:rsidRPr="006A3C5F">
        <w:rPr>
          <w:spacing w:val="41"/>
        </w:rPr>
        <w:t xml:space="preserve"> </w:t>
      </w:r>
      <w:r w:rsidRPr="006A3C5F">
        <w:t>networks</w:t>
      </w:r>
      <w:r w:rsidRPr="006A3C5F">
        <w:rPr>
          <w:spacing w:val="41"/>
        </w:rPr>
        <w:t xml:space="preserve"> </w:t>
      </w:r>
      <w:r w:rsidRPr="006A3C5F">
        <w:t>intended</w:t>
      </w:r>
      <w:r w:rsidRPr="006A3C5F">
        <w:rPr>
          <w:spacing w:val="40"/>
        </w:rPr>
        <w:t xml:space="preserve"> </w:t>
      </w:r>
      <w:r w:rsidRPr="006A3C5F">
        <w:t>to</w:t>
      </w:r>
      <w:r w:rsidRPr="006A3C5F">
        <w:rPr>
          <w:spacing w:val="43"/>
        </w:rPr>
        <w:t xml:space="preserve"> </w:t>
      </w:r>
      <w:r w:rsidRPr="006A3C5F">
        <w:t>provide</w:t>
      </w:r>
      <w:r w:rsidRPr="006A3C5F">
        <w:rPr>
          <w:spacing w:val="42"/>
        </w:rPr>
        <w:t xml:space="preserve"> </w:t>
      </w:r>
      <w:r w:rsidRPr="006A3C5F">
        <w:t>a</w:t>
      </w:r>
      <w:r w:rsidRPr="006A3C5F">
        <w:rPr>
          <w:spacing w:val="40"/>
        </w:rPr>
        <w:t xml:space="preserve"> </w:t>
      </w:r>
      <w:r w:rsidRPr="006A3C5F">
        <w:t>service</w:t>
      </w:r>
      <w:r w:rsidRPr="006A3C5F">
        <w:rPr>
          <w:spacing w:val="39"/>
        </w:rPr>
        <w:t xml:space="preserve"> </w:t>
      </w:r>
      <w:r w:rsidRPr="006A3C5F">
        <w:t>to</w:t>
      </w:r>
      <w:r w:rsidRPr="006A3C5F">
        <w:rPr>
          <w:spacing w:val="43"/>
        </w:rPr>
        <w:t xml:space="preserve"> </w:t>
      </w:r>
      <w:r w:rsidRPr="006A3C5F">
        <w:t>the</w:t>
      </w:r>
      <w:r w:rsidRPr="006A3C5F">
        <w:rPr>
          <w:spacing w:val="49"/>
        </w:rPr>
        <w:t xml:space="preserve"> </w:t>
      </w:r>
      <w:r w:rsidRPr="006A3C5F">
        <w:t>public</w:t>
      </w:r>
      <w:r w:rsidRPr="006A3C5F">
        <w:rPr>
          <w:spacing w:val="24"/>
        </w:rPr>
        <w:t xml:space="preserve"> </w:t>
      </w:r>
      <w:r w:rsidRPr="006A3C5F">
        <w:t>in</w:t>
      </w:r>
      <w:r w:rsidRPr="006A3C5F">
        <w:rPr>
          <w:spacing w:val="23"/>
        </w:rPr>
        <w:t xml:space="preserve"> </w:t>
      </w:r>
      <w:r w:rsidRPr="006A3C5F">
        <w:t>connection</w:t>
      </w:r>
      <w:r w:rsidRPr="006A3C5F">
        <w:rPr>
          <w:spacing w:val="23"/>
        </w:rPr>
        <w:t xml:space="preserve"> </w:t>
      </w:r>
      <w:r w:rsidRPr="006A3C5F">
        <w:t>with</w:t>
      </w:r>
      <w:r w:rsidRPr="006A3C5F">
        <w:rPr>
          <w:spacing w:val="21"/>
        </w:rPr>
        <w:t xml:space="preserve"> </w:t>
      </w:r>
      <w:r w:rsidRPr="006A3C5F">
        <w:t>the</w:t>
      </w:r>
      <w:r w:rsidRPr="006A3C5F">
        <w:rPr>
          <w:spacing w:val="24"/>
        </w:rPr>
        <w:t xml:space="preserve"> </w:t>
      </w:r>
      <w:r w:rsidRPr="006A3C5F">
        <w:t>production,</w:t>
      </w:r>
      <w:r w:rsidRPr="006A3C5F">
        <w:rPr>
          <w:spacing w:val="24"/>
        </w:rPr>
        <w:t xml:space="preserve"> </w:t>
      </w:r>
      <w:r w:rsidRPr="006A3C5F">
        <w:t>transport</w:t>
      </w:r>
      <w:r w:rsidRPr="006A3C5F">
        <w:rPr>
          <w:spacing w:val="22"/>
        </w:rPr>
        <w:t xml:space="preserve"> </w:t>
      </w:r>
      <w:r w:rsidRPr="006A3C5F">
        <w:t>or</w:t>
      </w:r>
      <w:r w:rsidRPr="006A3C5F">
        <w:rPr>
          <w:spacing w:val="24"/>
        </w:rPr>
        <w:t xml:space="preserve"> </w:t>
      </w:r>
      <w:r w:rsidRPr="006A3C5F">
        <w:t>distribution</w:t>
      </w:r>
      <w:r w:rsidRPr="006A3C5F">
        <w:rPr>
          <w:spacing w:val="23"/>
        </w:rPr>
        <w:t xml:space="preserve"> </w:t>
      </w:r>
      <w:r w:rsidRPr="006A3C5F">
        <w:t>of</w:t>
      </w:r>
      <w:r w:rsidRPr="006A3C5F">
        <w:rPr>
          <w:spacing w:val="24"/>
        </w:rPr>
        <w:t xml:space="preserve"> </w:t>
      </w:r>
      <w:r w:rsidRPr="006A3C5F">
        <w:t>gas</w:t>
      </w:r>
      <w:r w:rsidRPr="006A3C5F">
        <w:rPr>
          <w:spacing w:val="22"/>
        </w:rPr>
        <w:t xml:space="preserve"> </w:t>
      </w:r>
      <w:r w:rsidRPr="006A3C5F">
        <w:t>or</w:t>
      </w:r>
      <w:r w:rsidRPr="006A3C5F">
        <w:rPr>
          <w:spacing w:val="24"/>
        </w:rPr>
        <w:t xml:space="preserve"> </w:t>
      </w:r>
      <w:r w:rsidRPr="006A3C5F">
        <w:t>heat</w:t>
      </w:r>
      <w:r w:rsidRPr="006A3C5F">
        <w:rPr>
          <w:spacing w:val="24"/>
        </w:rPr>
        <w:t xml:space="preserve"> </w:t>
      </w:r>
      <w:r w:rsidRPr="006A3C5F">
        <w:t>or</w:t>
      </w:r>
      <w:r w:rsidRPr="006A3C5F">
        <w:rPr>
          <w:spacing w:val="59"/>
        </w:rPr>
        <w:t xml:space="preserve"> </w:t>
      </w:r>
      <w:r w:rsidRPr="006A3C5F">
        <w:t>the supply</w:t>
      </w:r>
      <w:r w:rsidRPr="006A3C5F">
        <w:rPr>
          <w:spacing w:val="-2"/>
        </w:rPr>
        <w:t xml:space="preserve"> </w:t>
      </w:r>
      <w:r w:rsidRPr="006A3C5F">
        <w:t>of gas</w:t>
      </w:r>
      <w:r w:rsidRPr="006A3C5F">
        <w:rPr>
          <w:spacing w:val="-3"/>
        </w:rPr>
        <w:t xml:space="preserve"> </w:t>
      </w:r>
      <w:r w:rsidRPr="006A3C5F">
        <w:t>or heat</w:t>
      </w:r>
      <w:r w:rsidRPr="006A3C5F">
        <w:rPr>
          <w:spacing w:val="-2"/>
        </w:rPr>
        <w:t xml:space="preserve"> </w:t>
      </w:r>
      <w:r w:rsidRPr="006A3C5F">
        <w:t>to such networks</w:t>
      </w:r>
      <w:r w:rsidR="00C1263B">
        <w:t>;</w:t>
      </w:r>
      <w:r w:rsidRPr="006A3C5F">
        <w:rPr>
          <w:spacing w:val="-2"/>
        </w:rPr>
        <w:t xml:space="preserve"> </w:t>
      </w:r>
      <w:r w:rsidRPr="003625D9">
        <w:t>or</w:t>
      </w:r>
    </w:p>
    <w:p w14:paraId="0F2B0C44" w14:textId="244936B7" w:rsidR="00D77537" w:rsidRPr="00171131" w:rsidRDefault="004D745D" w:rsidP="003454A1">
      <w:pPr>
        <w:pStyle w:val="FTAtextlistedparagraphs"/>
        <w:numPr>
          <w:ilvl w:val="2"/>
          <w:numId w:val="5"/>
        </w:numPr>
      </w:pPr>
      <w:r w:rsidRPr="003625D9">
        <w:t>any</w:t>
      </w:r>
      <w:r w:rsidRPr="003625D9">
        <w:rPr>
          <w:spacing w:val="6"/>
        </w:rPr>
        <w:t xml:space="preserve"> </w:t>
      </w:r>
      <w:r w:rsidRPr="003625D9">
        <w:t>combination</w:t>
      </w:r>
      <w:r w:rsidRPr="003625D9">
        <w:rPr>
          <w:spacing w:val="2"/>
        </w:rPr>
        <w:t xml:space="preserve"> </w:t>
      </w:r>
      <w:r w:rsidRPr="003625D9">
        <w:t>between such</w:t>
      </w:r>
      <w:r w:rsidRPr="003625D9">
        <w:rPr>
          <w:spacing w:val="4"/>
        </w:rPr>
        <w:t xml:space="preserve"> </w:t>
      </w:r>
      <w:r w:rsidRPr="003625D9">
        <w:t>activity</w:t>
      </w:r>
      <w:r w:rsidRPr="003625D9">
        <w:rPr>
          <w:spacing w:val="3"/>
        </w:rPr>
        <w:t xml:space="preserve"> </w:t>
      </w:r>
      <w:r w:rsidRPr="003625D9">
        <w:t>and</w:t>
      </w:r>
      <w:r w:rsidRPr="003625D9">
        <w:rPr>
          <w:spacing w:val="2"/>
        </w:rPr>
        <w:t xml:space="preserve"> </w:t>
      </w:r>
      <w:r w:rsidRPr="003625D9">
        <w:t>those</w:t>
      </w:r>
      <w:r w:rsidRPr="003625D9">
        <w:rPr>
          <w:spacing w:val="5"/>
        </w:rPr>
        <w:t xml:space="preserve"> </w:t>
      </w:r>
      <w:r w:rsidRPr="003625D9">
        <w:t>referred</w:t>
      </w:r>
      <w:r w:rsidRPr="003625D9">
        <w:rPr>
          <w:spacing w:val="4"/>
        </w:rPr>
        <w:t xml:space="preserve"> </w:t>
      </w:r>
      <w:r w:rsidRPr="003625D9">
        <w:t>to</w:t>
      </w:r>
      <w:r w:rsidRPr="003625D9">
        <w:rPr>
          <w:spacing w:val="4"/>
        </w:rPr>
        <w:t xml:space="preserve"> </w:t>
      </w:r>
      <w:r w:rsidRPr="003625D9">
        <w:t>in</w:t>
      </w:r>
      <w:r w:rsidRPr="003625D9">
        <w:rPr>
          <w:spacing w:val="4"/>
        </w:rPr>
        <w:t xml:space="preserve"> </w:t>
      </w:r>
      <w:r w:rsidRPr="003625D9">
        <w:t>Annex</w:t>
      </w:r>
      <w:r w:rsidRPr="003625D9">
        <w:rPr>
          <w:spacing w:val="3"/>
        </w:rPr>
        <w:t xml:space="preserve"> </w:t>
      </w:r>
      <w:r w:rsidRPr="003625D9">
        <w:t>3</w:t>
      </w:r>
      <w:r w:rsidRPr="003625D9">
        <w:rPr>
          <w:spacing w:val="3"/>
        </w:rPr>
        <w:t xml:space="preserve"> </w:t>
      </w:r>
      <w:r w:rsidRPr="003625D9">
        <w:t>to</w:t>
      </w:r>
      <w:r w:rsidRPr="003625D9">
        <w:rPr>
          <w:spacing w:val="6"/>
        </w:rPr>
        <w:t xml:space="preserve"> </w:t>
      </w:r>
      <w:r w:rsidRPr="003625D9">
        <w:t>Appendix</w:t>
      </w:r>
      <w:r w:rsidRPr="003625D9">
        <w:rPr>
          <w:spacing w:val="5"/>
        </w:rPr>
        <w:t xml:space="preserve"> </w:t>
      </w:r>
      <w:r w:rsidRPr="003625D9">
        <w:t>I</w:t>
      </w:r>
      <w:r w:rsidRPr="003625D9">
        <w:rPr>
          <w:spacing w:val="45"/>
        </w:rPr>
        <w:t xml:space="preserve"> </w:t>
      </w:r>
      <w:r w:rsidRPr="003625D9">
        <w:t>to the GPA;</w:t>
      </w:r>
      <w:r w:rsidR="0036635E">
        <w:t xml:space="preserve"> and</w:t>
      </w:r>
    </w:p>
    <w:p w14:paraId="2044DF99" w14:textId="731BAC5E" w:rsidR="00B41AB2" w:rsidRPr="00171131" w:rsidRDefault="004D745D" w:rsidP="003454A1">
      <w:pPr>
        <w:pStyle w:val="FTAtextlistedparagraphs"/>
        <w:numPr>
          <w:ilvl w:val="1"/>
          <w:numId w:val="5"/>
        </w:numPr>
      </w:pPr>
      <w:r w:rsidRPr="006A3C5F">
        <w:t>privately-owned</w:t>
      </w:r>
      <w:r w:rsidRPr="006A3C5F">
        <w:rPr>
          <w:spacing w:val="7"/>
        </w:rPr>
        <w:t xml:space="preserve"> </w:t>
      </w:r>
      <w:r w:rsidRPr="006A3C5F">
        <w:t>procuring</w:t>
      </w:r>
      <w:r w:rsidRPr="006A3C5F">
        <w:rPr>
          <w:spacing w:val="4"/>
        </w:rPr>
        <w:t xml:space="preserve"> </w:t>
      </w:r>
      <w:r w:rsidRPr="006A3C5F">
        <w:t>entities</w:t>
      </w:r>
      <w:r w:rsidRPr="006A3C5F">
        <w:rPr>
          <w:spacing w:val="5"/>
        </w:rPr>
        <w:t xml:space="preserve"> </w:t>
      </w:r>
      <w:r w:rsidRPr="006A3C5F">
        <w:t>that</w:t>
      </w:r>
      <w:r w:rsidRPr="006A3C5F">
        <w:rPr>
          <w:spacing w:val="7"/>
        </w:rPr>
        <w:t xml:space="preserve"> </w:t>
      </w:r>
      <w:r w:rsidRPr="006A3C5F">
        <w:t>have</w:t>
      </w:r>
      <w:r w:rsidRPr="006A3C5F">
        <w:rPr>
          <w:spacing w:val="5"/>
        </w:rPr>
        <w:t xml:space="preserve"> </w:t>
      </w:r>
      <w:r w:rsidRPr="006A3C5F">
        <w:t>as</w:t>
      </w:r>
      <w:r w:rsidRPr="006A3C5F">
        <w:rPr>
          <w:spacing w:val="5"/>
        </w:rPr>
        <w:t xml:space="preserve"> </w:t>
      </w:r>
      <w:r w:rsidRPr="006A3C5F">
        <w:t>one</w:t>
      </w:r>
      <w:r w:rsidRPr="006A3C5F">
        <w:rPr>
          <w:spacing w:val="5"/>
        </w:rPr>
        <w:t xml:space="preserve"> </w:t>
      </w:r>
      <w:r w:rsidRPr="006A3C5F">
        <w:t>of</w:t>
      </w:r>
      <w:r w:rsidRPr="006A3C5F">
        <w:rPr>
          <w:spacing w:val="7"/>
        </w:rPr>
        <w:t xml:space="preserve"> </w:t>
      </w:r>
      <w:r w:rsidRPr="006A3C5F">
        <w:t>their</w:t>
      </w:r>
      <w:r w:rsidRPr="006A3C5F">
        <w:rPr>
          <w:spacing w:val="7"/>
        </w:rPr>
        <w:t xml:space="preserve"> </w:t>
      </w:r>
      <w:r w:rsidRPr="006A3C5F">
        <w:t>activities</w:t>
      </w:r>
      <w:r w:rsidRPr="006A3C5F">
        <w:rPr>
          <w:spacing w:val="8"/>
        </w:rPr>
        <w:t xml:space="preserve"> </w:t>
      </w:r>
      <w:r w:rsidRPr="006A3C5F">
        <w:rPr>
          <w:spacing w:val="-2"/>
        </w:rPr>
        <w:t>any</w:t>
      </w:r>
      <w:r w:rsidRPr="006A3C5F">
        <w:rPr>
          <w:spacing w:val="6"/>
        </w:rPr>
        <w:t xml:space="preserve"> </w:t>
      </w:r>
      <w:r w:rsidRPr="006A3C5F">
        <w:t>of</w:t>
      </w:r>
      <w:r w:rsidRPr="006A3C5F">
        <w:rPr>
          <w:spacing w:val="7"/>
        </w:rPr>
        <w:t xml:space="preserve"> </w:t>
      </w:r>
      <w:r w:rsidRPr="006A3C5F">
        <w:rPr>
          <w:spacing w:val="-2"/>
        </w:rPr>
        <w:t>those</w:t>
      </w:r>
      <w:r w:rsidRPr="006A3C5F">
        <w:rPr>
          <w:spacing w:val="8"/>
        </w:rPr>
        <w:t xml:space="preserve"> </w:t>
      </w:r>
      <w:r w:rsidRPr="006A3C5F">
        <w:t>referred</w:t>
      </w:r>
      <w:r w:rsidRPr="006A3C5F">
        <w:rPr>
          <w:spacing w:val="6"/>
        </w:rPr>
        <w:t xml:space="preserve"> </w:t>
      </w:r>
      <w:r w:rsidRPr="006A3C5F">
        <w:t>to</w:t>
      </w:r>
      <w:r w:rsidRPr="006A3C5F">
        <w:rPr>
          <w:spacing w:val="59"/>
        </w:rPr>
        <w:t xml:space="preserve"> </w:t>
      </w:r>
      <w:r w:rsidRPr="006A3C5F">
        <w:t>in</w:t>
      </w:r>
      <w:r w:rsidRPr="006A3C5F">
        <w:rPr>
          <w:spacing w:val="2"/>
        </w:rPr>
        <w:t xml:space="preserve"> </w:t>
      </w:r>
      <w:r w:rsidR="0036635E">
        <w:t>subparagraph</w:t>
      </w:r>
      <w:r w:rsidR="0036635E" w:rsidRPr="006A3C5F">
        <w:rPr>
          <w:spacing w:val="3"/>
        </w:rPr>
        <w:t xml:space="preserve"> </w:t>
      </w:r>
      <w:r w:rsidRPr="006A3C5F">
        <w:t>(a)</w:t>
      </w:r>
      <w:r w:rsidRPr="006A3C5F">
        <w:rPr>
          <w:spacing w:val="4"/>
        </w:rPr>
        <w:t xml:space="preserve"> </w:t>
      </w:r>
      <w:r w:rsidRPr="006A3C5F">
        <w:t>of</w:t>
      </w:r>
      <w:r w:rsidRPr="006A3C5F">
        <w:rPr>
          <w:spacing w:val="5"/>
        </w:rPr>
        <w:t xml:space="preserve"> </w:t>
      </w:r>
      <w:r w:rsidRPr="006A3C5F">
        <w:t>this</w:t>
      </w:r>
      <w:r w:rsidRPr="006A3C5F">
        <w:rPr>
          <w:spacing w:val="3"/>
        </w:rPr>
        <w:t xml:space="preserve"> </w:t>
      </w:r>
      <w:r w:rsidRPr="006A3C5F">
        <w:t>paragraph,</w:t>
      </w:r>
      <w:r w:rsidRPr="006A3C5F">
        <w:rPr>
          <w:spacing w:val="3"/>
        </w:rPr>
        <w:t xml:space="preserve"> </w:t>
      </w:r>
      <w:r w:rsidRPr="006A3C5F">
        <w:t>in</w:t>
      </w:r>
      <w:r w:rsidRPr="006A3C5F">
        <w:rPr>
          <w:spacing w:val="2"/>
        </w:rPr>
        <w:t xml:space="preserve"> </w:t>
      </w:r>
      <w:r w:rsidR="0036635E">
        <w:t>subparagraph</w:t>
      </w:r>
      <w:r w:rsidR="0036635E" w:rsidRPr="006A3C5F">
        <w:rPr>
          <w:spacing w:val="3"/>
        </w:rPr>
        <w:t xml:space="preserve"> </w:t>
      </w:r>
      <w:r w:rsidRPr="006A3C5F">
        <w:t>1</w:t>
      </w:r>
      <w:r w:rsidRPr="006A3C5F">
        <w:rPr>
          <w:spacing w:val="4"/>
        </w:rPr>
        <w:t xml:space="preserve"> </w:t>
      </w:r>
      <w:r w:rsidRPr="006A3C5F">
        <w:t>of</w:t>
      </w:r>
      <w:r w:rsidRPr="006A3C5F">
        <w:rPr>
          <w:spacing w:val="3"/>
        </w:rPr>
        <w:t xml:space="preserve"> </w:t>
      </w:r>
      <w:r w:rsidRPr="006A3C5F">
        <w:t>Annex</w:t>
      </w:r>
      <w:r w:rsidRPr="006A3C5F">
        <w:rPr>
          <w:spacing w:val="3"/>
        </w:rPr>
        <w:t xml:space="preserve"> </w:t>
      </w:r>
      <w:r w:rsidRPr="006A3C5F">
        <w:t>3</w:t>
      </w:r>
      <w:r w:rsidRPr="006A3C5F">
        <w:rPr>
          <w:spacing w:val="4"/>
        </w:rPr>
        <w:t xml:space="preserve"> </w:t>
      </w:r>
      <w:r w:rsidRPr="006A3C5F">
        <w:t>to</w:t>
      </w:r>
      <w:r w:rsidRPr="006A3C5F">
        <w:rPr>
          <w:spacing w:val="4"/>
        </w:rPr>
        <w:t xml:space="preserve"> </w:t>
      </w:r>
      <w:r w:rsidRPr="006A3C5F">
        <w:t>Appendix</w:t>
      </w:r>
      <w:r w:rsidRPr="006A3C5F">
        <w:rPr>
          <w:spacing w:val="3"/>
        </w:rPr>
        <w:t xml:space="preserve"> </w:t>
      </w:r>
      <w:r w:rsidRPr="006A3C5F">
        <w:t>I</w:t>
      </w:r>
      <w:r w:rsidRPr="006A3C5F">
        <w:rPr>
          <w:spacing w:val="3"/>
        </w:rPr>
        <w:t xml:space="preserve"> </w:t>
      </w:r>
      <w:r w:rsidRPr="006A3C5F">
        <w:t>to</w:t>
      </w:r>
      <w:r w:rsidRPr="006A3C5F">
        <w:rPr>
          <w:spacing w:val="4"/>
        </w:rPr>
        <w:t xml:space="preserve"> </w:t>
      </w:r>
      <w:r w:rsidRPr="006A3C5F">
        <w:t>the</w:t>
      </w:r>
      <w:r w:rsidRPr="006A3C5F">
        <w:rPr>
          <w:spacing w:val="1"/>
        </w:rPr>
        <w:t xml:space="preserve"> </w:t>
      </w:r>
      <w:r w:rsidRPr="006A3C5F">
        <w:t>GPA,</w:t>
      </w:r>
      <w:r w:rsidRPr="006A3C5F">
        <w:rPr>
          <w:spacing w:val="2"/>
        </w:rPr>
        <w:t xml:space="preserve"> </w:t>
      </w:r>
      <w:r w:rsidRPr="006A3C5F">
        <w:t>or</w:t>
      </w:r>
      <w:r w:rsidRPr="006A3C5F">
        <w:rPr>
          <w:spacing w:val="3"/>
        </w:rPr>
        <w:t xml:space="preserve"> </w:t>
      </w:r>
      <w:r w:rsidRPr="006A3C5F">
        <w:rPr>
          <w:spacing w:val="-2"/>
        </w:rPr>
        <w:t>any</w:t>
      </w:r>
      <w:r w:rsidRPr="006A3C5F">
        <w:rPr>
          <w:spacing w:val="41"/>
        </w:rPr>
        <w:t xml:space="preserve"> </w:t>
      </w:r>
      <w:r w:rsidRPr="006A3C5F">
        <w:t>combination</w:t>
      </w:r>
      <w:r w:rsidRPr="006A3C5F">
        <w:rPr>
          <w:spacing w:val="42"/>
        </w:rPr>
        <w:t xml:space="preserve"> </w:t>
      </w:r>
      <w:r w:rsidRPr="006A3C5F">
        <w:t>thereof</w:t>
      </w:r>
      <w:r w:rsidRPr="006A3C5F">
        <w:rPr>
          <w:spacing w:val="43"/>
        </w:rPr>
        <w:t xml:space="preserve"> </w:t>
      </w:r>
      <w:r w:rsidRPr="006A3C5F">
        <w:t>and</w:t>
      </w:r>
      <w:r w:rsidRPr="006A3C5F">
        <w:rPr>
          <w:spacing w:val="43"/>
        </w:rPr>
        <w:t xml:space="preserve"> </w:t>
      </w:r>
      <w:r w:rsidRPr="006A3C5F">
        <w:t>operate</w:t>
      </w:r>
      <w:r w:rsidRPr="006A3C5F">
        <w:rPr>
          <w:spacing w:val="43"/>
        </w:rPr>
        <w:t xml:space="preserve"> </w:t>
      </w:r>
      <w:r w:rsidRPr="006A3C5F">
        <w:t>on</w:t>
      </w:r>
      <w:r w:rsidRPr="006A3C5F">
        <w:rPr>
          <w:spacing w:val="43"/>
        </w:rPr>
        <w:t xml:space="preserve"> </w:t>
      </w:r>
      <w:r w:rsidRPr="006A3C5F">
        <w:t>the</w:t>
      </w:r>
      <w:r w:rsidRPr="006A3C5F">
        <w:rPr>
          <w:spacing w:val="44"/>
        </w:rPr>
        <w:t xml:space="preserve"> </w:t>
      </w:r>
      <w:r w:rsidRPr="006A3C5F">
        <w:t>basis</w:t>
      </w:r>
      <w:r w:rsidRPr="006A3C5F">
        <w:rPr>
          <w:spacing w:val="43"/>
        </w:rPr>
        <w:t xml:space="preserve"> </w:t>
      </w:r>
      <w:r w:rsidRPr="006A3C5F">
        <w:t>of</w:t>
      </w:r>
      <w:r w:rsidRPr="006A3C5F">
        <w:rPr>
          <w:spacing w:val="42"/>
        </w:rPr>
        <w:t xml:space="preserve"> </w:t>
      </w:r>
      <w:r w:rsidRPr="006A3C5F">
        <w:t>special</w:t>
      </w:r>
      <w:r w:rsidRPr="006A3C5F">
        <w:rPr>
          <w:spacing w:val="43"/>
        </w:rPr>
        <w:t xml:space="preserve"> </w:t>
      </w:r>
      <w:r w:rsidRPr="006A3C5F">
        <w:t>or</w:t>
      </w:r>
      <w:r w:rsidRPr="006A3C5F">
        <w:rPr>
          <w:spacing w:val="43"/>
        </w:rPr>
        <w:t xml:space="preserve"> </w:t>
      </w:r>
      <w:r w:rsidRPr="006A3C5F">
        <w:t>exclusive</w:t>
      </w:r>
      <w:r w:rsidRPr="006A3C5F">
        <w:rPr>
          <w:spacing w:val="43"/>
        </w:rPr>
        <w:t xml:space="preserve"> </w:t>
      </w:r>
      <w:r w:rsidRPr="006A3C5F">
        <w:t>rights</w:t>
      </w:r>
      <w:r w:rsidRPr="006A3C5F">
        <w:rPr>
          <w:spacing w:val="44"/>
        </w:rPr>
        <w:t xml:space="preserve"> </w:t>
      </w:r>
      <w:r w:rsidRPr="006A3C5F">
        <w:t>granted</w:t>
      </w:r>
      <w:r w:rsidRPr="006A3C5F">
        <w:rPr>
          <w:spacing w:val="43"/>
        </w:rPr>
        <w:t xml:space="preserve"> </w:t>
      </w:r>
      <w:r w:rsidRPr="006A3C5F">
        <w:t>by</w:t>
      </w:r>
      <w:r w:rsidRPr="006A3C5F">
        <w:rPr>
          <w:spacing w:val="44"/>
        </w:rPr>
        <w:t xml:space="preserve"> </w:t>
      </w:r>
      <w:r w:rsidRPr="006A3C5F">
        <w:t>a</w:t>
      </w:r>
      <w:r w:rsidRPr="006A3C5F">
        <w:rPr>
          <w:spacing w:val="83"/>
        </w:rPr>
        <w:t xml:space="preserve"> </w:t>
      </w:r>
      <w:r w:rsidRPr="006A3C5F">
        <w:t>competent authority</w:t>
      </w:r>
      <w:r w:rsidRPr="006A3C5F">
        <w:rPr>
          <w:spacing w:val="-2"/>
        </w:rPr>
        <w:t xml:space="preserve"> </w:t>
      </w:r>
      <w:r w:rsidRPr="006A3C5F">
        <w:t>of</w:t>
      </w:r>
      <w:r w:rsidRPr="006A3C5F">
        <w:rPr>
          <w:spacing w:val="-3"/>
        </w:rPr>
        <w:t xml:space="preserve"> </w:t>
      </w:r>
      <w:r>
        <w:rPr>
          <w:spacing w:val="-3"/>
        </w:rPr>
        <w:t>Liechtenstein</w:t>
      </w:r>
      <w:r w:rsidRPr="006A3C5F">
        <w:t>;</w:t>
      </w:r>
    </w:p>
    <w:p w14:paraId="3423D6C6" w14:textId="5F7F0E0C" w:rsidR="004D745D" w:rsidRPr="00171131" w:rsidRDefault="004D745D" w:rsidP="00D40EA3">
      <w:pPr>
        <w:pStyle w:val="FTAtextlistedparagraphs"/>
        <w:numPr>
          <w:ilvl w:val="0"/>
          <w:numId w:val="0"/>
        </w:numPr>
        <w:ind w:left="709"/>
      </w:pPr>
      <w:proofErr w:type="gramStart"/>
      <w:r w:rsidRPr="006A3C5F">
        <w:t>with regard</w:t>
      </w:r>
      <w:r w:rsidRPr="006A3C5F">
        <w:rPr>
          <w:spacing w:val="-3"/>
        </w:rPr>
        <w:t xml:space="preserve"> </w:t>
      </w:r>
      <w:r w:rsidRPr="006A3C5F">
        <w:t>to</w:t>
      </w:r>
      <w:proofErr w:type="gramEnd"/>
      <w:r w:rsidRPr="006A3C5F">
        <w:t xml:space="preserve"> procurement</w:t>
      </w:r>
      <w:r w:rsidRPr="006A3C5F">
        <w:rPr>
          <w:spacing w:val="1"/>
        </w:rPr>
        <w:t xml:space="preserve"> </w:t>
      </w:r>
      <w:r w:rsidRPr="006A3C5F">
        <w:t>equal to or above the</w:t>
      </w:r>
      <w:r w:rsidRPr="006A3C5F">
        <w:rPr>
          <w:spacing w:val="-3"/>
        </w:rPr>
        <w:t xml:space="preserve"> </w:t>
      </w:r>
      <w:r w:rsidRPr="006A3C5F">
        <w:t>following</w:t>
      </w:r>
      <w:r w:rsidRPr="006A3C5F">
        <w:rPr>
          <w:spacing w:val="-2"/>
        </w:rPr>
        <w:t xml:space="preserve"> </w:t>
      </w:r>
      <w:r w:rsidRPr="006A3C5F">
        <w:t>thresholds:</w:t>
      </w:r>
    </w:p>
    <w:p w14:paraId="44BC7D52" w14:textId="6272B1D6" w:rsidR="00042391" w:rsidRPr="006A3C5F" w:rsidRDefault="004D745D" w:rsidP="003454A1">
      <w:pPr>
        <w:pStyle w:val="FTAtext"/>
        <w:numPr>
          <w:ilvl w:val="0"/>
          <w:numId w:val="16"/>
        </w:numPr>
      </w:pPr>
      <w:r w:rsidRPr="006A3C5F">
        <w:t>400,000</w:t>
      </w:r>
      <w:r w:rsidRPr="006A3C5F">
        <w:rPr>
          <w:spacing w:val="-2"/>
        </w:rPr>
        <w:t xml:space="preserve"> </w:t>
      </w:r>
      <w:r w:rsidRPr="006A3C5F">
        <w:t>SDR</w:t>
      </w:r>
      <w:r w:rsidRPr="006A3C5F">
        <w:rPr>
          <w:spacing w:val="-3"/>
        </w:rPr>
        <w:t xml:space="preserve"> </w:t>
      </w:r>
      <w:r w:rsidRPr="006A3C5F">
        <w:t>for</w:t>
      </w:r>
      <w:r w:rsidRPr="006A3C5F">
        <w:rPr>
          <w:spacing w:val="-3"/>
        </w:rPr>
        <w:t xml:space="preserve"> </w:t>
      </w:r>
      <w:r w:rsidRPr="006A3C5F">
        <w:t>procurement of</w:t>
      </w:r>
      <w:r w:rsidRPr="006A3C5F">
        <w:rPr>
          <w:spacing w:val="-3"/>
        </w:rPr>
        <w:t xml:space="preserve"> </w:t>
      </w:r>
      <w:r w:rsidRPr="006A3C5F">
        <w:t>goods and</w:t>
      </w:r>
      <w:r w:rsidRPr="006A3C5F">
        <w:rPr>
          <w:spacing w:val="-2"/>
        </w:rPr>
        <w:t xml:space="preserve"> </w:t>
      </w:r>
      <w:r w:rsidRPr="006A3C5F">
        <w:t>services</w:t>
      </w:r>
      <w:r w:rsidR="00C1263B">
        <w:t>;</w:t>
      </w:r>
      <w:r w:rsidR="0036635E">
        <w:t xml:space="preserve"> and</w:t>
      </w:r>
    </w:p>
    <w:p w14:paraId="7719B4CC" w14:textId="40A709EE" w:rsidR="004D745D" w:rsidRDefault="004D745D" w:rsidP="003454A1">
      <w:pPr>
        <w:pStyle w:val="FTAtext"/>
        <w:numPr>
          <w:ilvl w:val="0"/>
          <w:numId w:val="16"/>
        </w:numPr>
      </w:pPr>
      <w:r w:rsidRPr="006A3C5F">
        <w:t>5,000,000</w:t>
      </w:r>
      <w:r w:rsidRPr="006A3C5F">
        <w:rPr>
          <w:spacing w:val="2"/>
        </w:rPr>
        <w:t xml:space="preserve"> </w:t>
      </w:r>
      <w:r w:rsidRPr="006A3C5F">
        <w:t>SDR</w:t>
      </w:r>
      <w:r w:rsidRPr="006A3C5F">
        <w:rPr>
          <w:spacing w:val="1"/>
        </w:rPr>
        <w:t xml:space="preserve"> </w:t>
      </w:r>
      <w:r w:rsidRPr="006A3C5F">
        <w:t>for procurement of</w:t>
      </w:r>
      <w:r w:rsidRPr="006A3C5F">
        <w:rPr>
          <w:spacing w:val="-3"/>
        </w:rPr>
        <w:t xml:space="preserve"> </w:t>
      </w:r>
      <w:r w:rsidRPr="006A3C5F">
        <w:t>construction services (CPC</w:t>
      </w:r>
      <w:r w:rsidRPr="006A3C5F">
        <w:rPr>
          <w:spacing w:val="-2"/>
        </w:rPr>
        <w:t xml:space="preserve"> </w:t>
      </w:r>
      <w:r w:rsidRPr="006A3C5F">
        <w:t>51).</w:t>
      </w:r>
    </w:p>
    <w:p w14:paraId="11D0B386" w14:textId="004DE2BB" w:rsidR="00506AAD" w:rsidRDefault="006A166E" w:rsidP="00D40EA3">
      <w:pPr>
        <w:pStyle w:val="FTAtext"/>
        <w:ind w:firstLine="0"/>
      </w:pPr>
      <w:r>
        <w:tab/>
      </w:r>
      <w:r w:rsidR="00506AAD">
        <w:t>Notes to paragraph 1:</w:t>
      </w:r>
    </w:p>
    <w:p w14:paraId="0E83E63D" w14:textId="1BC31A41" w:rsidR="00506AAD" w:rsidRDefault="00506AAD" w:rsidP="003454A1">
      <w:pPr>
        <w:pStyle w:val="FTAtextlistedparagraphs"/>
        <w:numPr>
          <w:ilvl w:val="1"/>
          <w:numId w:val="17"/>
        </w:numPr>
      </w:pPr>
      <w:r>
        <w:t xml:space="preserve">According to the EEA </w:t>
      </w:r>
      <w:r w:rsidR="0036635E">
        <w:t>U</w:t>
      </w:r>
      <w:r>
        <w:t xml:space="preserve">tilities </w:t>
      </w:r>
      <w:r w:rsidR="0036635E">
        <w:t>Directive</w:t>
      </w:r>
      <w:r>
        <w:t xml:space="preserve">, a public undertaking is any undertaking over which the contracting authorities may exercise </w:t>
      </w:r>
      <w:r>
        <w:lastRenderedPageBreak/>
        <w:t>directly or indirectly a dominant influence by virtue of their ownership of it, their financial participation therein, or the rules which govern it. A dominant influence on the part of the contracting authorities shall be presumed when these authorities, directly or indirectly, in relation to an undertaking:</w:t>
      </w:r>
    </w:p>
    <w:p w14:paraId="75245B5E" w14:textId="4EEDB63D" w:rsidR="00506AAD" w:rsidRDefault="00506AAD" w:rsidP="003454A1">
      <w:pPr>
        <w:pStyle w:val="FTAtextlistedparagraphs"/>
        <w:numPr>
          <w:ilvl w:val="2"/>
          <w:numId w:val="5"/>
        </w:numPr>
      </w:pPr>
      <w:r>
        <w:t>hold the majority of the undertaking</w:t>
      </w:r>
      <w:r w:rsidR="00824443">
        <w:t>’</w:t>
      </w:r>
      <w:r>
        <w:t xml:space="preserve">s subscribed </w:t>
      </w:r>
      <w:proofErr w:type="gramStart"/>
      <w:r>
        <w:t>capital</w:t>
      </w:r>
      <w:r w:rsidR="00C1263B">
        <w:t>;</w:t>
      </w:r>
      <w:proofErr w:type="gramEnd"/>
    </w:p>
    <w:p w14:paraId="0ED2219C" w14:textId="1075303C" w:rsidR="00506AAD" w:rsidRDefault="00506AAD" w:rsidP="003454A1">
      <w:pPr>
        <w:pStyle w:val="FTAtextlistedparagraphs"/>
        <w:numPr>
          <w:ilvl w:val="2"/>
          <w:numId w:val="5"/>
        </w:numPr>
      </w:pPr>
      <w:r>
        <w:t xml:space="preserve">control </w:t>
      </w:r>
      <w:proofErr w:type="gramStart"/>
      <w:r>
        <w:t>the majority of</w:t>
      </w:r>
      <w:proofErr w:type="gramEnd"/>
      <w:r>
        <w:t xml:space="preserve"> the votes attaching to shares issued by the undertaking</w:t>
      </w:r>
      <w:r w:rsidR="00C1263B">
        <w:t>;</w:t>
      </w:r>
      <w:r>
        <w:t xml:space="preserve"> or</w:t>
      </w:r>
    </w:p>
    <w:p w14:paraId="2E6005E9" w14:textId="7AC81AC0" w:rsidR="00506AAD" w:rsidRDefault="00506AAD" w:rsidP="003454A1">
      <w:pPr>
        <w:pStyle w:val="FTAtextlistedparagraphs"/>
        <w:numPr>
          <w:ilvl w:val="2"/>
          <w:numId w:val="5"/>
        </w:numPr>
      </w:pPr>
      <w:r>
        <w:t>can appoint more than half of the undertaking</w:t>
      </w:r>
      <w:r w:rsidR="00824443">
        <w:t>’</w:t>
      </w:r>
      <w:r>
        <w:t>s administrative, management or supervisory body.</w:t>
      </w:r>
    </w:p>
    <w:p w14:paraId="34CF83E0" w14:textId="69B7375A" w:rsidR="00506AAD" w:rsidRDefault="00506AAD" w:rsidP="003454A1">
      <w:pPr>
        <w:pStyle w:val="FTAtextlistedparagraphs"/>
        <w:numPr>
          <w:ilvl w:val="1"/>
          <w:numId w:val="23"/>
        </w:numPr>
      </w:pPr>
      <w:r>
        <w:t xml:space="preserve">“Special and exclusive rights” are as defined in Article 4 of </w:t>
      </w:r>
      <w:r w:rsidR="003152BC" w:rsidRPr="003B103E">
        <w:t>Directive 2014/25/EU of the European Parliament and of the Council of 26 February 2014 on procurement by entities operating in the water, energy, transport and postal services sectors and repealing Directive 2004/17/EC</w:t>
      </w:r>
      <w:r>
        <w:t xml:space="preserve">. </w:t>
      </w:r>
    </w:p>
    <w:p w14:paraId="1803061D" w14:textId="31634EC3" w:rsidR="00506AAD" w:rsidRDefault="00506AAD" w:rsidP="003454A1">
      <w:pPr>
        <w:pStyle w:val="FTAtextlistedparagraphs"/>
        <w:numPr>
          <w:ilvl w:val="1"/>
          <w:numId w:val="23"/>
        </w:numPr>
      </w:pPr>
      <w:r>
        <w:t>The supply, by a procuring entity other than a contracting authority, of gas or heat to fixed networks which provide a service to the public shall not be considered to be a relevant activity within the meaning of this Appendix where all of the following conditions are met:</w:t>
      </w:r>
    </w:p>
    <w:p w14:paraId="470E42ED" w14:textId="0606AAD2" w:rsidR="00506AAD" w:rsidRDefault="00506AAD" w:rsidP="003454A1">
      <w:pPr>
        <w:pStyle w:val="FTAtextlistedparagraphs"/>
        <w:numPr>
          <w:ilvl w:val="2"/>
          <w:numId w:val="5"/>
        </w:numPr>
      </w:pPr>
      <w:r>
        <w:t>the production of gas or heat by that contracting entity is the unavoidable consequence of carrying out an activity other than those referred to in paragraphs (a) to (e) of Liechtenstein’s Appendix I to the GPA; and</w:t>
      </w:r>
    </w:p>
    <w:p w14:paraId="6334D55D" w14:textId="5C9782E5" w:rsidR="008200B0" w:rsidRPr="00C71AC2" w:rsidRDefault="00506AAD" w:rsidP="003454A1">
      <w:pPr>
        <w:pStyle w:val="FTAtextlistedparagraphs"/>
        <w:numPr>
          <w:ilvl w:val="2"/>
          <w:numId w:val="5"/>
        </w:numPr>
      </w:pPr>
      <w:r>
        <w:t xml:space="preserve">the supply to the public network is aimed only at the economic exploitation of such production and amounts to not more than 20 % of the entity’s turnover </w:t>
      </w:r>
      <w:proofErr w:type="gramStart"/>
      <w:r>
        <w:t>on the basis of</w:t>
      </w:r>
      <w:proofErr w:type="gramEnd"/>
      <w:r>
        <w:t xml:space="preserve"> the average for the preceding three years, including the current year.</w:t>
      </w:r>
    </w:p>
    <w:p w14:paraId="3039FDA8" w14:textId="77777777" w:rsidR="004D745D" w:rsidRPr="003B3EA4" w:rsidRDefault="004D745D" w:rsidP="003454A1">
      <w:pPr>
        <w:pStyle w:val="FTAtextlistedparagraphs"/>
        <w:numPr>
          <w:ilvl w:val="0"/>
          <w:numId w:val="29"/>
        </w:numPr>
        <w:rPr>
          <w:b/>
          <w:bCs/>
        </w:rPr>
      </w:pPr>
      <w:r w:rsidRPr="003B3EA4">
        <w:rPr>
          <w:b/>
          <w:bCs/>
        </w:rPr>
        <w:t>Additional services</w:t>
      </w:r>
    </w:p>
    <w:p w14:paraId="0AD76AD8" w14:textId="40D36931" w:rsidR="004D745D" w:rsidRPr="006A3C5F" w:rsidRDefault="004D745D" w:rsidP="00992238">
      <w:pPr>
        <w:pStyle w:val="FTAtextlistedparagraphs"/>
        <w:numPr>
          <w:ilvl w:val="0"/>
          <w:numId w:val="0"/>
        </w:numPr>
        <w:ind w:left="709"/>
      </w:pPr>
      <w:r w:rsidRPr="006A3C5F">
        <w:t>Procurement</w:t>
      </w:r>
      <w:r w:rsidRPr="006A3C5F">
        <w:rPr>
          <w:spacing w:val="47"/>
        </w:rPr>
        <w:t xml:space="preserve"> </w:t>
      </w:r>
      <w:r w:rsidRPr="006A3C5F">
        <w:t>of</w:t>
      </w:r>
      <w:r w:rsidRPr="006A3C5F">
        <w:rPr>
          <w:spacing w:val="48"/>
        </w:rPr>
        <w:t xml:space="preserve"> </w:t>
      </w:r>
      <w:r w:rsidRPr="006A3C5F">
        <w:t>the</w:t>
      </w:r>
      <w:r w:rsidRPr="006A3C5F">
        <w:rPr>
          <w:spacing w:val="48"/>
        </w:rPr>
        <w:t xml:space="preserve"> </w:t>
      </w:r>
      <w:r w:rsidRPr="006A3C5F">
        <w:t>following</w:t>
      </w:r>
      <w:r w:rsidRPr="006A3C5F">
        <w:rPr>
          <w:spacing w:val="46"/>
        </w:rPr>
        <w:t xml:space="preserve"> </w:t>
      </w:r>
      <w:r w:rsidRPr="006A3C5F">
        <w:t>services,</w:t>
      </w:r>
      <w:r w:rsidRPr="006A3C5F">
        <w:rPr>
          <w:spacing w:val="48"/>
        </w:rPr>
        <w:t xml:space="preserve"> </w:t>
      </w:r>
      <w:r w:rsidRPr="006A3C5F">
        <w:t>in</w:t>
      </w:r>
      <w:r w:rsidRPr="006A3C5F">
        <w:rPr>
          <w:spacing w:val="47"/>
        </w:rPr>
        <w:t xml:space="preserve"> </w:t>
      </w:r>
      <w:r w:rsidRPr="006A3C5F">
        <w:t>addition</w:t>
      </w:r>
      <w:r w:rsidRPr="006A3C5F">
        <w:rPr>
          <w:spacing w:val="48"/>
        </w:rPr>
        <w:t xml:space="preserve"> </w:t>
      </w:r>
      <w:r w:rsidRPr="006A3C5F">
        <w:t>to the</w:t>
      </w:r>
      <w:r w:rsidRPr="006A3C5F">
        <w:rPr>
          <w:spacing w:val="47"/>
        </w:rPr>
        <w:t xml:space="preserve"> </w:t>
      </w:r>
      <w:r w:rsidRPr="006A3C5F">
        <w:t>services</w:t>
      </w:r>
      <w:r w:rsidRPr="006A3C5F">
        <w:rPr>
          <w:spacing w:val="49"/>
        </w:rPr>
        <w:t xml:space="preserve"> </w:t>
      </w:r>
      <w:r w:rsidRPr="006A3C5F">
        <w:t>listed</w:t>
      </w:r>
      <w:r w:rsidRPr="006A3C5F">
        <w:rPr>
          <w:spacing w:val="48"/>
        </w:rPr>
        <w:t xml:space="preserve"> </w:t>
      </w:r>
      <w:r w:rsidRPr="006A3C5F">
        <w:t>under</w:t>
      </w:r>
      <w:r w:rsidRPr="006A3C5F">
        <w:rPr>
          <w:spacing w:val="47"/>
        </w:rPr>
        <w:t xml:space="preserve"> </w:t>
      </w:r>
      <w:r w:rsidRPr="006A3C5F">
        <w:t>Annex</w:t>
      </w:r>
      <w:r w:rsidRPr="006A3C5F">
        <w:rPr>
          <w:spacing w:val="49"/>
        </w:rPr>
        <w:t xml:space="preserve"> </w:t>
      </w:r>
      <w:r w:rsidRPr="006A3C5F">
        <w:t>5</w:t>
      </w:r>
      <w:r w:rsidRPr="006A3C5F">
        <w:rPr>
          <w:spacing w:val="49"/>
        </w:rPr>
        <w:t xml:space="preserve"> </w:t>
      </w:r>
      <w:r w:rsidRPr="006A3C5F">
        <w:t>of</w:t>
      </w:r>
      <w:r w:rsidRPr="006A3C5F">
        <w:rPr>
          <w:spacing w:val="48"/>
        </w:rPr>
        <w:t xml:space="preserve"> </w:t>
      </w:r>
      <w:r>
        <w:t>Liechtenstein</w:t>
      </w:r>
      <w:r w:rsidR="00DB008E">
        <w:t xml:space="preserve">’s </w:t>
      </w:r>
      <w:r w:rsidRPr="006A3C5F">
        <w:t>Appendix I to</w:t>
      </w:r>
      <w:r w:rsidRPr="006A3C5F">
        <w:rPr>
          <w:spacing w:val="1"/>
        </w:rPr>
        <w:t xml:space="preserve"> </w:t>
      </w:r>
      <w:r w:rsidRPr="006A3C5F">
        <w:t>the GPA, for entities covered under Annexes</w:t>
      </w:r>
      <w:r w:rsidRPr="006A3C5F">
        <w:rPr>
          <w:spacing w:val="-2"/>
        </w:rPr>
        <w:t xml:space="preserve"> </w:t>
      </w:r>
      <w:r w:rsidRPr="006A3C5F">
        <w:t>1 to</w:t>
      </w:r>
      <w:r w:rsidRPr="006A3C5F">
        <w:rPr>
          <w:spacing w:val="1"/>
        </w:rPr>
        <w:t xml:space="preserve"> </w:t>
      </w:r>
      <w:r w:rsidRPr="006A3C5F">
        <w:t>3</w:t>
      </w:r>
      <w:r w:rsidRPr="006A3C5F">
        <w:rPr>
          <w:spacing w:val="1"/>
        </w:rPr>
        <w:t xml:space="preserve"> </w:t>
      </w:r>
      <w:r w:rsidRPr="006A3C5F">
        <w:t>of</w:t>
      </w:r>
      <w:r w:rsidRPr="006A3C5F">
        <w:rPr>
          <w:spacing w:val="-2"/>
        </w:rPr>
        <w:t xml:space="preserve"> </w:t>
      </w:r>
      <w:r>
        <w:t>Liechtenstein</w:t>
      </w:r>
      <w:r w:rsidR="00DB008E">
        <w:t xml:space="preserve">’s </w:t>
      </w:r>
      <w:r w:rsidRPr="006A3C5F">
        <w:t>Appendix I</w:t>
      </w:r>
      <w:r w:rsidRPr="006A3C5F">
        <w:rPr>
          <w:spacing w:val="-2"/>
        </w:rPr>
        <w:t xml:space="preserve"> </w:t>
      </w:r>
      <w:r w:rsidRPr="006A3C5F">
        <w:t>to the</w:t>
      </w:r>
      <w:r w:rsidRPr="006A3C5F">
        <w:rPr>
          <w:spacing w:val="-2"/>
        </w:rPr>
        <w:t xml:space="preserve"> </w:t>
      </w:r>
      <w:r w:rsidRPr="006A3C5F">
        <w:t>GPA</w:t>
      </w:r>
      <w:r w:rsidRPr="006A3C5F">
        <w:rPr>
          <w:spacing w:val="-3"/>
        </w:rPr>
        <w:t xml:space="preserve"> </w:t>
      </w:r>
      <w:r w:rsidRPr="006A3C5F">
        <w:t>or under paragraph</w:t>
      </w:r>
      <w:r w:rsidRPr="006A3C5F">
        <w:rPr>
          <w:spacing w:val="-3"/>
        </w:rPr>
        <w:t xml:space="preserve"> </w:t>
      </w:r>
      <w:r w:rsidRPr="006A3C5F">
        <w:t>1</w:t>
      </w:r>
      <w:r w:rsidRPr="006A3C5F">
        <w:rPr>
          <w:spacing w:val="-2"/>
        </w:rPr>
        <w:t xml:space="preserve"> </w:t>
      </w:r>
      <w:r w:rsidR="00DC4FBB">
        <w:rPr>
          <w:spacing w:val="-2"/>
        </w:rPr>
        <w:t xml:space="preserve">(Additional procuring entities) </w:t>
      </w:r>
      <w:r w:rsidRPr="006A3C5F">
        <w:t>of this</w:t>
      </w:r>
      <w:r w:rsidR="00DB008E">
        <w:t xml:space="preserve"> Section B of</w:t>
      </w:r>
      <w:r w:rsidRPr="006A3C5F">
        <w:t xml:space="preserve"> </w:t>
      </w:r>
      <w:r w:rsidR="00DC4FBB">
        <w:t>Part</w:t>
      </w:r>
      <w:r w:rsidR="00DB008E">
        <w:t xml:space="preserve"> B</w:t>
      </w:r>
      <w:r w:rsidRPr="006A3C5F">
        <w:t>:</w:t>
      </w:r>
    </w:p>
    <w:p w14:paraId="509F5860" w14:textId="77777777" w:rsidR="004D745D" w:rsidRPr="006A3C5F" w:rsidRDefault="004D745D" w:rsidP="003B3EA4">
      <w:pPr>
        <w:pStyle w:val="FTAtextlistedparagraphs"/>
        <w:numPr>
          <w:ilvl w:val="1"/>
          <w:numId w:val="45"/>
        </w:numPr>
      </w:pPr>
      <w:r w:rsidRPr="006A3C5F">
        <w:t>Hotel</w:t>
      </w:r>
      <w:r w:rsidRPr="006A3C5F">
        <w:rPr>
          <w:spacing w:val="-2"/>
        </w:rPr>
        <w:t xml:space="preserve"> </w:t>
      </w:r>
      <w:r w:rsidRPr="006A3C5F">
        <w:t>and restaurant services (CPC</w:t>
      </w:r>
      <w:r w:rsidRPr="006A3C5F">
        <w:rPr>
          <w:spacing w:val="-2"/>
        </w:rPr>
        <w:t xml:space="preserve"> </w:t>
      </w:r>
      <w:r w:rsidRPr="006A3C5F">
        <w:t>641);</w:t>
      </w:r>
    </w:p>
    <w:p w14:paraId="0C0E3145" w14:textId="77777777" w:rsidR="004D745D" w:rsidRPr="006A3C5F" w:rsidRDefault="004D745D" w:rsidP="003B3EA4">
      <w:pPr>
        <w:pStyle w:val="FTAtextlistedparagraphs"/>
        <w:numPr>
          <w:ilvl w:val="1"/>
          <w:numId w:val="45"/>
        </w:numPr>
      </w:pPr>
      <w:r w:rsidRPr="006A3C5F">
        <w:t>Food</w:t>
      </w:r>
      <w:r w:rsidRPr="009615DF">
        <w:t xml:space="preserve"> serving services (CPC 642);</w:t>
      </w:r>
    </w:p>
    <w:p w14:paraId="1784E81B" w14:textId="77777777" w:rsidR="004D745D" w:rsidRDefault="004D745D" w:rsidP="003B3EA4">
      <w:pPr>
        <w:pStyle w:val="FTAtextlistedparagraphs"/>
        <w:numPr>
          <w:ilvl w:val="1"/>
          <w:numId w:val="45"/>
        </w:numPr>
      </w:pPr>
      <w:r w:rsidRPr="009615DF">
        <w:t>Beverage</w:t>
      </w:r>
      <w:r w:rsidRPr="006A3C5F">
        <w:t xml:space="preserve"> </w:t>
      </w:r>
      <w:r w:rsidRPr="009615DF">
        <w:t>serving services (CPC 643);</w:t>
      </w:r>
    </w:p>
    <w:p w14:paraId="60C90496" w14:textId="6B59D056" w:rsidR="004D745D" w:rsidRDefault="004D745D" w:rsidP="003B3EA4">
      <w:pPr>
        <w:pStyle w:val="FTAtextlistedparagraphs"/>
        <w:numPr>
          <w:ilvl w:val="1"/>
          <w:numId w:val="45"/>
        </w:numPr>
      </w:pPr>
      <w:r>
        <w:t xml:space="preserve">Postal and </w:t>
      </w:r>
      <w:r w:rsidR="0036635E">
        <w:t>c</w:t>
      </w:r>
      <w:r>
        <w:t>ourier Services (CPC 751)</w:t>
      </w:r>
      <w:r w:rsidR="00C1263B">
        <w:t>;</w:t>
      </w:r>
    </w:p>
    <w:p w14:paraId="1AC1D1DA" w14:textId="4EDFCAFD" w:rsidR="004D745D" w:rsidRPr="000A0D48" w:rsidRDefault="004D745D" w:rsidP="003B3EA4">
      <w:pPr>
        <w:pStyle w:val="FTAtextlistedparagraphs"/>
        <w:numPr>
          <w:ilvl w:val="1"/>
          <w:numId w:val="45"/>
        </w:numPr>
      </w:pPr>
      <w:r w:rsidRPr="00EF200E">
        <w:lastRenderedPageBreak/>
        <w:t>Telecommunication related services (CPC 754)</w:t>
      </w:r>
      <w:r w:rsidR="00C1263B">
        <w:t>;</w:t>
      </w:r>
    </w:p>
    <w:p w14:paraId="189C4621" w14:textId="77777777" w:rsidR="004D745D" w:rsidRDefault="004D745D" w:rsidP="003B3EA4">
      <w:pPr>
        <w:pStyle w:val="FTAtextlistedparagraphs"/>
        <w:numPr>
          <w:ilvl w:val="1"/>
          <w:numId w:val="45"/>
        </w:numPr>
      </w:pPr>
      <w:r w:rsidRPr="006A3C5F">
        <w:t xml:space="preserve">Real </w:t>
      </w:r>
      <w:r w:rsidRPr="00DF6F1E">
        <w:t>estate</w:t>
      </w:r>
      <w:r w:rsidRPr="006A3C5F">
        <w:t xml:space="preserve"> </w:t>
      </w:r>
      <w:r w:rsidRPr="00DF6F1E">
        <w:t xml:space="preserve">services </w:t>
      </w:r>
      <w:r w:rsidRPr="006A3C5F">
        <w:t>on</w:t>
      </w:r>
      <w:r w:rsidRPr="00DF6F1E">
        <w:t xml:space="preserve"> </w:t>
      </w:r>
      <w:r w:rsidRPr="006A3C5F">
        <w:t xml:space="preserve">a </w:t>
      </w:r>
      <w:r w:rsidRPr="00DF6F1E">
        <w:t>fee</w:t>
      </w:r>
      <w:r w:rsidRPr="006A3C5F">
        <w:t xml:space="preserve"> </w:t>
      </w:r>
      <w:r w:rsidRPr="00DF6F1E">
        <w:t>or contract basis</w:t>
      </w:r>
      <w:r w:rsidRPr="006A3C5F">
        <w:t xml:space="preserve"> </w:t>
      </w:r>
      <w:r w:rsidRPr="00DF6F1E">
        <w:t>(CPC 8220);</w:t>
      </w:r>
    </w:p>
    <w:p w14:paraId="3E3B20BA" w14:textId="77777777" w:rsidR="004D745D" w:rsidRDefault="004D745D" w:rsidP="003B3EA4">
      <w:pPr>
        <w:pStyle w:val="FTAtextlistedparagraphs"/>
        <w:numPr>
          <w:ilvl w:val="1"/>
          <w:numId w:val="45"/>
        </w:numPr>
      </w:pPr>
      <w:r>
        <w:t>Taxation services (CPC 863);</w:t>
      </w:r>
    </w:p>
    <w:p w14:paraId="7D635702" w14:textId="11CD5F70" w:rsidR="004D745D" w:rsidRDefault="004D745D" w:rsidP="003B3EA4">
      <w:pPr>
        <w:pStyle w:val="FTAtextlistedparagraphs"/>
        <w:numPr>
          <w:ilvl w:val="1"/>
          <w:numId w:val="45"/>
        </w:numPr>
      </w:pPr>
      <w:r w:rsidRPr="00EF200E">
        <w:t xml:space="preserve">Investigation and </w:t>
      </w:r>
      <w:r w:rsidR="0036635E">
        <w:t>s</w:t>
      </w:r>
      <w:r w:rsidRPr="00EF200E">
        <w:t xml:space="preserve">ecurity </w:t>
      </w:r>
      <w:r w:rsidR="0036635E">
        <w:t>s</w:t>
      </w:r>
      <w:r w:rsidRPr="00EF200E">
        <w:t>ervices (CPC 873);</w:t>
      </w:r>
    </w:p>
    <w:p w14:paraId="08DB87E3" w14:textId="0ED317BE" w:rsidR="00D76107" w:rsidRDefault="00D76107" w:rsidP="003B3EA4">
      <w:pPr>
        <w:pStyle w:val="FTAtextlistedparagraphs"/>
        <w:numPr>
          <w:ilvl w:val="1"/>
          <w:numId w:val="45"/>
        </w:numPr>
      </w:pPr>
      <w:r>
        <w:t xml:space="preserve">Photographic </w:t>
      </w:r>
      <w:r w:rsidR="0036635E">
        <w:t>s</w:t>
      </w:r>
      <w:r>
        <w:t>ervices (CPC 875)</w:t>
      </w:r>
      <w:r w:rsidR="00C1263B">
        <w:t>;</w:t>
      </w:r>
    </w:p>
    <w:p w14:paraId="670DE6F4" w14:textId="7335D2DB" w:rsidR="004D745D" w:rsidRDefault="004D745D" w:rsidP="003B3EA4">
      <w:pPr>
        <w:pStyle w:val="FTAtextlistedparagraphs"/>
        <w:numPr>
          <w:ilvl w:val="1"/>
          <w:numId w:val="45"/>
        </w:numPr>
      </w:pPr>
      <w:r w:rsidRPr="0063112D">
        <w:t>Other business services (CPC 87901, 87903, 87905-87907);</w:t>
      </w:r>
    </w:p>
    <w:p w14:paraId="392C744C" w14:textId="26EFFBDD" w:rsidR="004758B6" w:rsidRDefault="004758B6" w:rsidP="003B3EA4">
      <w:pPr>
        <w:pStyle w:val="FTAtextlistedparagraphs"/>
        <w:numPr>
          <w:ilvl w:val="1"/>
          <w:numId w:val="45"/>
        </w:numPr>
      </w:pPr>
      <w:r w:rsidRPr="00264AAF">
        <w:t>Services incidental to mining (CPC 883);</w:t>
      </w:r>
    </w:p>
    <w:p w14:paraId="48A522BC" w14:textId="5D68B6AC" w:rsidR="004758B6" w:rsidRPr="004758B6" w:rsidRDefault="004758B6" w:rsidP="003B3EA4">
      <w:pPr>
        <w:pStyle w:val="FTAtextlistedparagraphs"/>
        <w:numPr>
          <w:ilvl w:val="1"/>
          <w:numId w:val="45"/>
        </w:numPr>
      </w:pPr>
      <w:r w:rsidRPr="00264AAF">
        <w:t>Services incidental to the manufacture of metal products, machinery and equipment (CPC 885</w:t>
      </w:r>
      <w:proofErr w:type="gramStart"/>
      <w:r w:rsidRPr="00264AAF">
        <w:t>);</w:t>
      </w:r>
      <w:proofErr w:type="gramEnd"/>
    </w:p>
    <w:p w14:paraId="1B6208F7" w14:textId="77777777" w:rsidR="004D745D" w:rsidRPr="00410F0D" w:rsidRDefault="004D745D" w:rsidP="003B3EA4">
      <w:pPr>
        <w:pStyle w:val="FTAtextlistedparagraphs"/>
        <w:numPr>
          <w:ilvl w:val="1"/>
          <w:numId w:val="45"/>
        </w:numPr>
      </w:pPr>
      <w:r w:rsidRPr="00410F0D">
        <w:t>Repair services incidental to metal products, machinery and equipment (CPC 886</w:t>
      </w:r>
      <w:proofErr w:type="gramStart"/>
      <w:r w:rsidRPr="00410F0D">
        <w:t>);</w:t>
      </w:r>
      <w:proofErr w:type="gramEnd"/>
    </w:p>
    <w:p w14:paraId="397B7465" w14:textId="573B3236" w:rsidR="004D745D" w:rsidRPr="00410F0D" w:rsidRDefault="004D745D" w:rsidP="003B3EA4">
      <w:pPr>
        <w:pStyle w:val="FTAtextlistedparagraphs"/>
        <w:numPr>
          <w:ilvl w:val="1"/>
          <w:numId w:val="45"/>
        </w:numPr>
      </w:pPr>
      <w:r w:rsidRPr="006A3C5F">
        <w:t>Education services</w:t>
      </w:r>
      <w:r w:rsidRPr="00DF6F1E">
        <w:t xml:space="preserve"> </w:t>
      </w:r>
      <w:r w:rsidRPr="006A3C5F">
        <w:t>(CPC</w:t>
      </w:r>
      <w:r>
        <w:t xml:space="preserve"> 92);</w:t>
      </w:r>
      <w:r w:rsidR="0036635E">
        <w:t xml:space="preserve"> and</w:t>
      </w:r>
    </w:p>
    <w:p w14:paraId="1C604BCD" w14:textId="64DC4075" w:rsidR="00B44DAE" w:rsidRDefault="004D745D" w:rsidP="003B3EA4">
      <w:pPr>
        <w:pStyle w:val="FTAtextlistedparagraphs"/>
        <w:numPr>
          <w:ilvl w:val="1"/>
          <w:numId w:val="45"/>
        </w:numPr>
      </w:pPr>
      <w:r w:rsidRPr="003D3334">
        <w:t xml:space="preserve">Recreational, </w:t>
      </w:r>
      <w:proofErr w:type="gramStart"/>
      <w:r w:rsidRPr="003D3334">
        <w:t>cultural</w:t>
      </w:r>
      <w:proofErr w:type="gramEnd"/>
      <w:r w:rsidRPr="003D3334">
        <w:t xml:space="preserve"> and sporting services (CPC 96 (except 9611, 9613)</w:t>
      </w:r>
      <w:r w:rsidR="00C1263B">
        <w:t>.</w:t>
      </w:r>
    </w:p>
    <w:p w14:paraId="43ECA68A" w14:textId="46FFC639" w:rsidR="00506AAD" w:rsidRPr="00506AAD" w:rsidRDefault="006A166E" w:rsidP="002B17F4">
      <w:pPr>
        <w:pStyle w:val="FTAtext"/>
        <w:ind w:firstLine="0"/>
      </w:pPr>
      <w:r>
        <w:tab/>
      </w:r>
      <w:r w:rsidR="00506AAD" w:rsidRPr="00506AAD">
        <w:t>Notes to paragraph 2:</w:t>
      </w:r>
    </w:p>
    <w:p w14:paraId="184FE2B4" w14:textId="3206DE58" w:rsidR="00506AAD" w:rsidRPr="00506AAD" w:rsidRDefault="00506AAD" w:rsidP="003454A1">
      <w:pPr>
        <w:pStyle w:val="FTAtextlistedparagraphs"/>
        <w:numPr>
          <w:ilvl w:val="1"/>
          <w:numId w:val="18"/>
        </w:numPr>
      </w:pPr>
      <w:r w:rsidRPr="00506AAD">
        <w:t>Hotel and restaurant services (CPC 641), food serving services (CPC 642), beverage serving services (CPC 643), postal and courier services (CPC 751), investigation and security services (CPC 873), education services (CPC 92) and recreational, cultural and sporting services (CPC 96) are included under the national treatment regime</w:t>
      </w:r>
      <w:r w:rsidRPr="00CD79E6">
        <w:rPr>
          <w:vertAlign w:val="superscript"/>
        </w:rPr>
        <w:footnoteReference w:id="4"/>
      </w:r>
      <w:r w:rsidRPr="00506AAD">
        <w:t xml:space="preserve"> for the suppliers, including service providers, of the United Kingdom, provided that their value equals or exceeds EUR 750,000 when they are awarded by procuring entities covered under Annexes 1 and 2 of </w:t>
      </w:r>
      <w:r>
        <w:t>Liechtenstein</w:t>
      </w:r>
      <w:r w:rsidR="00824443">
        <w:t>’</w:t>
      </w:r>
      <w:r w:rsidRPr="00506AAD">
        <w:t xml:space="preserve">s Appendix I to the GPA and that their value equals or exceeds EUR 1,000,000 when they are awarded by procuring entities covered under Annex 3 of </w:t>
      </w:r>
      <w:r>
        <w:t>Liechtenstein</w:t>
      </w:r>
      <w:r w:rsidRPr="00506AAD">
        <w:t>’s Appendix I to the GPA or by procuring entities covered by paragraph 1</w:t>
      </w:r>
      <w:r w:rsidR="00DC4FBB">
        <w:t xml:space="preserve"> (Additional procuring entities) of this</w:t>
      </w:r>
      <w:r w:rsidR="00DB008E">
        <w:t xml:space="preserve"> Section B of </w:t>
      </w:r>
      <w:r w:rsidR="00DC4FBB">
        <w:t xml:space="preserve"> Part</w:t>
      </w:r>
      <w:r w:rsidR="00DB008E">
        <w:t xml:space="preserve"> B</w:t>
      </w:r>
      <w:r w:rsidRPr="00506AAD">
        <w:t>.</w:t>
      </w:r>
      <w:r w:rsidRPr="00CD79E6">
        <w:rPr>
          <w:vertAlign w:val="superscript"/>
        </w:rPr>
        <w:footnoteReference w:id="5"/>
      </w:r>
      <w:r w:rsidRPr="0084549F">
        <w:rPr>
          <w:vertAlign w:val="superscript"/>
        </w:rPr>
        <w:t xml:space="preserve"> </w:t>
      </w:r>
    </w:p>
    <w:p w14:paraId="22554F58" w14:textId="4819D9B9" w:rsidR="00C14F99" w:rsidRPr="0097642C" w:rsidRDefault="00506AAD" w:rsidP="003454A1">
      <w:pPr>
        <w:pStyle w:val="FTAtextlistedparagraphs"/>
        <w:numPr>
          <w:ilvl w:val="1"/>
          <w:numId w:val="23"/>
        </w:numPr>
      </w:pPr>
      <w:r w:rsidRPr="00506AAD">
        <w:t xml:space="preserve">Procurement of any of the services covered under this Appendix </w:t>
      </w:r>
      <w:r w:rsidR="00DB008E" w:rsidRPr="00506AAD">
        <w:t xml:space="preserve">by procuring entities covered under this Agreement </w:t>
      </w:r>
      <w:r w:rsidRPr="00506AAD">
        <w:t xml:space="preserve">is a covered procurement with regard to a service </w:t>
      </w:r>
      <w:r w:rsidR="00DB008E">
        <w:t xml:space="preserve">provider </w:t>
      </w:r>
      <w:r w:rsidRPr="00506AAD">
        <w:t xml:space="preserve">of </w:t>
      </w:r>
      <w:r w:rsidR="00DF06C0">
        <w:t>the United Kingdom</w:t>
      </w:r>
      <w:r w:rsidRPr="00506AAD">
        <w:t xml:space="preserve"> </w:t>
      </w:r>
      <w:r w:rsidRPr="00506AAD">
        <w:lastRenderedPageBreak/>
        <w:t xml:space="preserve">only to the extent that </w:t>
      </w:r>
      <w:r w:rsidR="00DF06C0">
        <w:t>the United Kingdom</w:t>
      </w:r>
      <w:r w:rsidRPr="00506AAD">
        <w:t xml:space="preserve"> has covered that service under this Appendix</w:t>
      </w:r>
      <w:r w:rsidR="00DB008E">
        <w:t xml:space="preserve"> (including </w:t>
      </w:r>
      <w:r w:rsidR="005A4238">
        <w:t xml:space="preserve">the United Kingdom’s </w:t>
      </w:r>
      <w:r w:rsidR="00DB008E">
        <w:t>coverage of services under Article II of the GPA)</w:t>
      </w:r>
      <w:r w:rsidRPr="00506AAD">
        <w:t>.</w:t>
      </w:r>
    </w:p>
    <w:p w14:paraId="0004D24C" w14:textId="4EDCB361" w:rsidR="004D745D" w:rsidRPr="00FC2044" w:rsidRDefault="004D745D" w:rsidP="0084549F">
      <w:pPr>
        <w:pStyle w:val="FTAtextlistedparagraphs"/>
        <w:rPr>
          <w:b/>
          <w:bCs/>
        </w:rPr>
      </w:pPr>
      <w:r w:rsidRPr="00FC2044">
        <w:rPr>
          <w:b/>
          <w:bCs/>
        </w:rPr>
        <w:t>Concession contracts</w:t>
      </w:r>
    </w:p>
    <w:p w14:paraId="54045E63" w14:textId="22C25DDC" w:rsidR="004D745D" w:rsidRDefault="00FE32AE" w:rsidP="002B17F4">
      <w:pPr>
        <w:pStyle w:val="FTAtextlistedparagraphs"/>
        <w:numPr>
          <w:ilvl w:val="0"/>
          <w:numId w:val="0"/>
        </w:numPr>
        <w:ind w:left="709"/>
      </w:pPr>
      <w:r>
        <w:rPr>
          <w:bCs/>
          <w:lang w:val="en-US" w:eastAsia="es-ES"/>
        </w:rPr>
        <w:t>Works concessions</w:t>
      </w:r>
      <w:r w:rsidR="004D745D" w:rsidRPr="003D3334">
        <w:t xml:space="preserve">, for entities covered under Annex 1 to </w:t>
      </w:r>
      <w:r w:rsidR="00FC3884">
        <w:t>2</w:t>
      </w:r>
      <w:r w:rsidR="004D745D" w:rsidRPr="003D3334">
        <w:t xml:space="preserve"> of</w:t>
      </w:r>
      <w:r w:rsidR="004D745D">
        <w:t xml:space="preserve"> Liechtenstein</w:t>
      </w:r>
      <w:r w:rsidR="004D745D" w:rsidRPr="003D3334">
        <w:t>’s Appendix 1 to the GPA, are included under</w:t>
      </w:r>
      <w:r w:rsidR="004D745D">
        <w:t xml:space="preserve"> the national treatment regime </w:t>
      </w:r>
      <w:r w:rsidR="004D745D" w:rsidRPr="003D3334">
        <w:t>for the suppliers, including service providers, of the United Kingdom, provided their value equals or exceeds 5.000.000 SDR.</w:t>
      </w:r>
      <w:r w:rsidR="00FC3884" w:rsidRPr="00FC3884">
        <w:rPr>
          <w:bCs/>
          <w:lang w:val="en-US" w:eastAsia="es-ES"/>
        </w:rPr>
        <w:t xml:space="preserve"> </w:t>
      </w:r>
      <w:r w:rsidR="00FC3884" w:rsidRPr="00FC3884">
        <w:rPr>
          <w:bCs/>
          <w:lang w:val="en-US"/>
        </w:rPr>
        <w:t xml:space="preserve">Service concessions for services covered under Annex 5 of </w:t>
      </w:r>
      <w:r w:rsidR="00FC3884">
        <w:rPr>
          <w:bCs/>
          <w:lang w:val="en-US"/>
        </w:rPr>
        <w:t xml:space="preserve">Liechtenstein’s </w:t>
      </w:r>
      <w:r w:rsidR="00FC3884" w:rsidRPr="00FC3884">
        <w:rPr>
          <w:bCs/>
          <w:lang w:val="en-US"/>
        </w:rPr>
        <w:t>Appendix 1 to the GPA or under paragraph 2</w:t>
      </w:r>
      <w:r w:rsidR="0080363B">
        <w:rPr>
          <w:bCs/>
          <w:lang w:val="en-US"/>
        </w:rPr>
        <w:t xml:space="preserve"> (Additional services)</w:t>
      </w:r>
      <w:r w:rsidR="00FC3884" w:rsidRPr="00FC3884">
        <w:rPr>
          <w:bCs/>
          <w:lang w:val="en-US"/>
        </w:rPr>
        <w:t xml:space="preserve"> of this</w:t>
      </w:r>
      <w:r w:rsidR="00E410B9">
        <w:rPr>
          <w:bCs/>
          <w:lang w:val="en-US"/>
        </w:rPr>
        <w:t xml:space="preserve"> Section B of</w:t>
      </w:r>
      <w:r w:rsidR="00FC3884" w:rsidRPr="00FC3884">
        <w:rPr>
          <w:bCs/>
          <w:lang w:val="en-US"/>
        </w:rPr>
        <w:t xml:space="preserve"> </w:t>
      </w:r>
      <w:r w:rsidR="0080363B">
        <w:rPr>
          <w:bCs/>
          <w:lang w:val="en-US"/>
        </w:rPr>
        <w:t>Part</w:t>
      </w:r>
      <w:r w:rsidR="00E410B9">
        <w:rPr>
          <w:bCs/>
          <w:lang w:val="en-US"/>
        </w:rPr>
        <w:t xml:space="preserve"> B</w:t>
      </w:r>
      <w:r w:rsidR="00FC3884" w:rsidRPr="00FC3884">
        <w:rPr>
          <w:bCs/>
          <w:lang w:val="en-US"/>
        </w:rPr>
        <w:t xml:space="preserve">, for entities covered under Annexes 1 and 2 of </w:t>
      </w:r>
      <w:r w:rsidR="00FC3884">
        <w:rPr>
          <w:bCs/>
          <w:lang w:val="en-US"/>
        </w:rPr>
        <w:t xml:space="preserve">Liechtenstein’s </w:t>
      </w:r>
      <w:r w:rsidR="00FC3884" w:rsidRPr="00FC3884">
        <w:rPr>
          <w:bCs/>
          <w:lang w:val="en-US"/>
        </w:rPr>
        <w:t>Appendix 1 to the GPA are included under the national treatment regime for the suppliers, including service providers, of the United Kingdom, provided their value equals or exceeds 5.000.000 SDR.</w:t>
      </w:r>
    </w:p>
    <w:p w14:paraId="4BC5A433" w14:textId="52814908" w:rsidR="00506AAD" w:rsidRPr="00506AAD" w:rsidRDefault="006A166E" w:rsidP="002B17F4">
      <w:pPr>
        <w:pStyle w:val="FTAtext"/>
        <w:ind w:firstLine="0"/>
      </w:pPr>
      <w:r>
        <w:tab/>
      </w:r>
      <w:r w:rsidR="004D745D" w:rsidRPr="00171131">
        <w:t>Notes</w:t>
      </w:r>
      <w:r w:rsidR="00506AAD">
        <w:t xml:space="preserve"> </w:t>
      </w:r>
      <w:r w:rsidR="00506AAD" w:rsidRPr="00506AAD">
        <w:t>to paragraph 3:</w:t>
      </w:r>
    </w:p>
    <w:p w14:paraId="78392492" w14:textId="6ED4D92A" w:rsidR="00506AAD" w:rsidRPr="00506AAD" w:rsidRDefault="00506AAD" w:rsidP="003454A1">
      <w:pPr>
        <w:pStyle w:val="FTAtextlistedparagraphs"/>
        <w:numPr>
          <w:ilvl w:val="1"/>
          <w:numId w:val="19"/>
        </w:numPr>
      </w:pPr>
      <w:r w:rsidRPr="00506AAD">
        <w:t xml:space="preserve">“Works concessions” and “service concessions” are as defined in </w:t>
      </w:r>
      <w:r w:rsidR="003152BC">
        <w:t>A</w:t>
      </w:r>
      <w:r w:rsidRPr="00506AAD">
        <w:t xml:space="preserve">rticle 5 in </w:t>
      </w:r>
      <w:r w:rsidR="003152BC" w:rsidRPr="003B103E">
        <w:t>Directive 2014/23/EU of the European Parliament and of the Council of 26 February 2014 on the award of concession contracts</w:t>
      </w:r>
      <w:r w:rsidRPr="00506AAD">
        <w:t xml:space="preserve">. </w:t>
      </w:r>
    </w:p>
    <w:p w14:paraId="78344279" w14:textId="71DBEC0E" w:rsidR="004D745D" w:rsidRPr="0084549F" w:rsidRDefault="00506AAD" w:rsidP="003454A1">
      <w:pPr>
        <w:pStyle w:val="FTAtextlistedparagraphs"/>
        <w:numPr>
          <w:ilvl w:val="1"/>
          <w:numId w:val="19"/>
        </w:numPr>
        <w:rPr>
          <w:rFonts w:eastAsia="Calibri"/>
        </w:rPr>
      </w:pPr>
      <w:r w:rsidRPr="00506AAD">
        <w:t xml:space="preserve">For greater certainty, beyond the principle of non-discrimination, the domestic legislation of </w:t>
      </w:r>
      <w:r>
        <w:t>Liechtenstein</w:t>
      </w:r>
      <w:r w:rsidRPr="00506AAD">
        <w:t xml:space="preserve"> shall apply to the award of works and service concession contracts.</w:t>
      </w:r>
    </w:p>
    <w:p w14:paraId="30E986DE" w14:textId="73B5EB50" w:rsidR="00B44DAE" w:rsidRPr="00171131" w:rsidRDefault="00E83C47" w:rsidP="003454A1">
      <w:pPr>
        <w:pStyle w:val="Appendixtabletitle"/>
        <w:numPr>
          <w:ilvl w:val="0"/>
          <w:numId w:val="28"/>
        </w:numPr>
        <w:ind w:hanging="720"/>
        <w:jc w:val="left"/>
      </w:pPr>
      <w:r>
        <w:t>Norway</w:t>
      </w:r>
    </w:p>
    <w:p w14:paraId="21C084D3" w14:textId="723E983B" w:rsidR="006A3C5F" w:rsidRPr="006A3C5F" w:rsidRDefault="006A3C5F" w:rsidP="002B17F4">
      <w:pPr>
        <w:pStyle w:val="FTAtext"/>
        <w:ind w:firstLine="0"/>
        <w:rPr>
          <w:rFonts w:eastAsia="Calibri"/>
        </w:rPr>
      </w:pPr>
      <w:bookmarkStart w:id="2" w:name="_Hlk63325976"/>
      <w:r w:rsidRPr="006A3C5F">
        <w:t xml:space="preserve">Procurement covered by this </w:t>
      </w:r>
      <w:r w:rsidR="003625D9">
        <w:t>Appendix</w:t>
      </w:r>
    </w:p>
    <w:p w14:paraId="6B68AC17" w14:textId="3ED69D73" w:rsidR="00700F98" w:rsidRPr="00FC2044" w:rsidRDefault="006A3C5F" w:rsidP="003454A1">
      <w:pPr>
        <w:pStyle w:val="FTAtextlistedparagraphs"/>
        <w:numPr>
          <w:ilvl w:val="0"/>
          <w:numId w:val="20"/>
        </w:numPr>
        <w:rPr>
          <w:b/>
          <w:bCs/>
        </w:rPr>
      </w:pPr>
      <w:r w:rsidRPr="00FC2044">
        <w:rPr>
          <w:b/>
          <w:bCs/>
        </w:rPr>
        <w:t>Additional procuring</w:t>
      </w:r>
      <w:r w:rsidRPr="00FC2044">
        <w:rPr>
          <w:b/>
          <w:bCs/>
          <w:spacing w:val="-3"/>
        </w:rPr>
        <w:t xml:space="preserve"> </w:t>
      </w:r>
      <w:r w:rsidRPr="00FC2044">
        <w:rPr>
          <w:b/>
          <w:bCs/>
        </w:rPr>
        <w:t>entities</w:t>
      </w:r>
    </w:p>
    <w:p w14:paraId="6AA78BE7" w14:textId="5AF5AA4F" w:rsidR="006A3C5F" w:rsidRPr="006A3C5F" w:rsidRDefault="006A3C5F" w:rsidP="002B17F4">
      <w:pPr>
        <w:pStyle w:val="FTAtextlistedparagraphs"/>
        <w:numPr>
          <w:ilvl w:val="0"/>
          <w:numId w:val="0"/>
        </w:numPr>
        <w:ind w:left="709"/>
      </w:pPr>
      <w:r w:rsidRPr="006A3C5F">
        <w:t>Procurement of</w:t>
      </w:r>
      <w:r w:rsidRPr="006A3C5F">
        <w:rPr>
          <w:spacing w:val="2"/>
        </w:rPr>
        <w:t xml:space="preserve"> </w:t>
      </w:r>
      <w:r w:rsidRPr="006A3C5F">
        <w:t>goods</w:t>
      </w:r>
      <w:r w:rsidRPr="006A3C5F">
        <w:rPr>
          <w:spacing w:val="2"/>
        </w:rPr>
        <w:t xml:space="preserve"> </w:t>
      </w:r>
      <w:r w:rsidRPr="006A3C5F">
        <w:t>and</w:t>
      </w:r>
      <w:r w:rsidRPr="006A3C5F">
        <w:rPr>
          <w:spacing w:val="2"/>
        </w:rPr>
        <w:t xml:space="preserve"> </w:t>
      </w:r>
      <w:r w:rsidRPr="006A3C5F">
        <w:t>services</w:t>
      </w:r>
      <w:r w:rsidRPr="006A3C5F">
        <w:rPr>
          <w:spacing w:val="3"/>
        </w:rPr>
        <w:t xml:space="preserve"> </w:t>
      </w:r>
      <w:r w:rsidRPr="006A3C5F">
        <w:t>as</w:t>
      </w:r>
      <w:r w:rsidRPr="006A3C5F">
        <w:rPr>
          <w:spacing w:val="2"/>
        </w:rPr>
        <w:t xml:space="preserve"> </w:t>
      </w:r>
      <w:r w:rsidRPr="006A3C5F">
        <w:t>set</w:t>
      </w:r>
      <w:r w:rsidRPr="006A3C5F">
        <w:rPr>
          <w:spacing w:val="3"/>
        </w:rPr>
        <w:t xml:space="preserve"> </w:t>
      </w:r>
      <w:r w:rsidRPr="006A3C5F">
        <w:t>out</w:t>
      </w:r>
      <w:r w:rsidRPr="006A3C5F">
        <w:rPr>
          <w:spacing w:val="3"/>
        </w:rPr>
        <w:t xml:space="preserve"> </w:t>
      </w:r>
      <w:r w:rsidRPr="006A3C5F">
        <w:t>in</w:t>
      </w:r>
      <w:r w:rsidRPr="006A3C5F">
        <w:rPr>
          <w:spacing w:val="1"/>
        </w:rPr>
        <w:t xml:space="preserve"> </w:t>
      </w:r>
      <w:r w:rsidRPr="006A3C5F">
        <w:t>Annexes</w:t>
      </w:r>
      <w:r w:rsidRPr="006A3C5F">
        <w:rPr>
          <w:spacing w:val="2"/>
        </w:rPr>
        <w:t xml:space="preserve"> </w:t>
      </w:r>
      <w:r w:rsidRPr="006A3C5F">
        <w:t>4</w:t>
      </w:r>
      <w:r w:rsidRPr="006A3C5F">
        <w:rPr>
          <w:spacing w:val="3"/>
        </w:rPr>
        <w:t xml:space="preserve"> </w:t>
      </w:r>
      <w:r w:rsidRPr="006A3C5F">
        <w:t>to</w:t>
      </w:r>
      <w:r w:rsidRPr="006A3C5F">
        <w:rPr>
          <w:spacing w:val="1"/>
        </w:rPr>
        <w:t xml:space="preserve"> </w:t>
      </w:r>
      <w:r w:rsidRPr="006A3C5F">
        <w:t>6</w:t>
      </w:r>
      <w:r w:rsidRPr="006A3C5F">
        <w:rPr>
          <w:spacing w:val="3"/>
        </w:rPr>
        <w:t xml:space="preserve"> </w:t>
      </w:r>
      <w:r w:rsidRPr="006A3C5F">
        <w:t>of</w:t>
      </w:r>
      <w:r w:rsidRPr="006A3C5F">
        <w:rPr>
          <w:spacing w:val="2"/>
        </w:rPr>
        <w:t xml:space="preserve"> </w:t>
      </w:r>
      <w:r w:rsidR="003625D9">
        <w:t>N</w:t>
      </w:r>
      <w:r w:rsidR="00155436">
        <w:t>orway</w:t>
      </w:r>
      <w:r w:rsidR="007C5416">
        <w:t>’s</w:t>
      </w:r>
      <w:r w:rsidRPr="006A3C5F">
        <w:rPr>
          <w:spacing w:val="4"/>
        </w:rPr>
        <w:t xml:space="preserve"> </w:t>
      </w:r>
      <w:r w:rsidRPr="006A3C5F">
        <w:t>Appendix I</w:t>
      </w:r>
      <w:r w:rsidRPr="006A3C5F">
        <w:rPr>
          <w:spacing w:val="51"/>
        </w:rPr>
        <w:t xml:space="preserve"> </w:t>
      </w:r>
      <w:r w:rsidRPr="006A3C5F">
        <w:t>to</w:t>
      </w:r>
      <w:r w:rsidRPr="006A3C5F">
        <w:rPr>
          <w:spacing w:val="2"/>
        </w:rPr>
        <w:t xml:space="preserve"> </w:t>
      </w:r>
      <w:r w:rsidRPr="006A3C5F">
        <w:t>the</w:t>
      </w:r>
      <w:r w:rsidRPr="006A3C5F">
        <w:rPr>
          <w:spacing w:val="2"/>
        </w:rPr>
        <w:t xml:space="preserve"> </w:t>
      </w:r>
      <w:r w:rsidRPr="006A3C5F">
        <w:t>GPA,</w:t>
      </w:r>
      <w:r w:rsidRPr="006A3C5F">
        <w:rPr>
          <w:spacing w:val="1"/>
        </w:rPr>
        <w:t xml:space="preserve"> </w:t>
      </w:r>
      <w:r w:rsidRPr="006A3C5F">
        <w:t>and in paragraph</w:t>
      </w:r>
      <w:r w:rsidRPr="006A3C5F">
        <w:rPr>
          <w:spacing w:val="49"/>
        </w:rPr>
        <w:t xml:space="preserve"> </w:t>
      </w:r>
      <w:r w:rsidRPr="006A3C5F">
        <w:t>2</w:t>
      </w:r>
      <w:r w:rsidRPr="006A3C5F">
        <w:rPr>
          <w:spacing w:val="1"/>
        </w:rPr>
        <w:t xml:space="preserve"> </w:t>
      </w:r>
      <w:r w:rsidR="0080363B">
        <w:rPr>
          <w:spacing w:val="1"/>
        </w:rPr>
        <w:t xml:space="preserve">(Additional services) </w:t>
      </w:r>
      <w:r w:rsidRPr="006A3C5F">
        <w:t>of</w:t>
      </w:r>
      <w:r w:rsidRPr="006A3C5F">
        <w:rPr>
          <w:spacing w:val="48"/>
        </w:rPr>
        <w:t xml:space="preserve"> </w:t>
      </w:r>
      <w:r w:rsidRPr="006A3C5F">
        <w:t>this</w:t>
      </w:r>
      <w:r w:rsidR="00E410B9">
        <w:t xml:space="preserve"> Section C of</w:t>
      </w:r>
      <w:r w:rsidRPr="006A3C5F">
        <w:rPr>
          <w:spacing w:val="1"/>
        </w:rPr>
        <w:t xml:space="preserve"> </w:t>
      </w:r>
      <w:r w:rsidR="0080363B">
        <w:t>Part</w:t>
      </w:r>
      <w:r w:rsidR="00E410B9">
        <w:t xml:space="preserve"> B</w:t>
      </w:r>
      <w:r w:rsidR="0080363B" w:rsidRPr="006A3C5F">
        <w:rPr>
          <w:spacing w:val="1"/>
        </w:rPr>
        <w:t xml:space="preserve"> </w:t>
      </w:r>
      <w:r w:rsidRPr="006A3C5F">
        <w:t>by</w:t>
      </w:r>
      <w:r w:rsidRPr="006A3C5F">
        <w:rPr>
          <w:spacing w:val="2"/>
        </w:rPr>
        <w:t xml:space="preserve"> </w:t>
      </w:r>
      <w:r w:rsidRPr="006A3C5F">
        <w:t>the</w:t>
      </w:r>
      <w:r w:rsidRPr="006A3C5F">
        <w:rPr>
          <w:spacing w:val="1"/>
        </w:rPr>
        <w:t xml:space="preserve"> </w:t>
      </w:r>
      <w:r w:rsidRPr="006A3C5F">
        <w:t>following</w:t>
      </w:r>
      <w:r w:rsidRPr="006A3C5F">
        <w:rPr>
          <w:spacing w:val="49"/>
        </w:rPr>
        <w:t xml:space="preserve"> </w:t>
      </w:r>
      <w:r w:rsidRPr="006A3C5F">
        <w:t>procuring entities:</w:t>
      </w:r>
    </w:p>
    <w:p w14:paraId="4CD99A22" w14:textId="7909C9ED" w:rsidR="009F24A4" w:rsidRPr="00171131" w:rsidRDefault="006A3C5F" w:rsidP="003454A1">
      <w:pPr>
        <w:pStyle w:val="FTAtextlistedparagraphs"/>
        <w:numPr>
          <w:ilvl w:val="1"/>
          <w:numId w:val="5"/>
        </w:numPr>
      </w:pPr>
      <w:r w:rsidRPr="00171131">
        <w:t>all</w:t>
      </w:r>
      <w:r w:rsidRPr="00171131">
        <w:rPr>
          <w:spacing w:val="21"/>
        </w:rPr>
        <w:t xml:space="preserve"> </w:t>
      </w:r>
      <w:r w:rsidRPr="00171131">
        <w:t>contracting</w:t>
      </w:r>
      <w:r w:rsidRPr="00171131">
        <w:rPr>
          <w:spacing w:val="21"/>
        </w:rPr>
        <w:t xml:space="preserve"> </w:t>
      </w:r>
      <w:r w:rsidRPr="00171131">
        <w:t>entities</w:t>
      </w:r>
      <w:r w:rsidRPr="00171131">
        <w:rPr>
          <w:spacing w:val="20"/>
        </w:rPr>
        <w:t xml:space="preserve"> </w:t>
      </w:r>
      <w:r w:rsidRPr="00171131">
        <w:t>whose</w:t>
      </w:r>
      <w:r w:rsidRPr="00171131">
        <w:rPr>
          <w:spacing w:val="20"/>
        </w:rPr>
        <w:t xml:space="preserve"> </w:t>
      </w:r>
      <w:r w:rsidRPr="00171131">
        <w:t>procurement</w:t>
      </w:r>
      <w:r w:rsidRPr="00171131">
        <w:rPr>
          <w:spacing w:val="21"/>
        </w:rPr>
        <w:t xml:space="preserve"> </w:t>
      </w:r>
      <w:r w:rsidRPr="00171131">
        <w:t>is</w:t>
      </w:r>
      <w:r w:rsidRPr="00171131">
        <w:rPr>
          <w:spacing w:val="19"/>
        </w:rPr>
        <w:t xml:space="preserve"> </w:t>
      </w:r>
      <w:r w:rsidRPr="00171131">
        <w:t>covered</w:t>
      </w:r>
      <w:r w:rsidRPr="00171131">
        <w:rPr>
          <w:spacing w:val="21"/>
        </w:rPr>
        <w:t xml:space="preserve"> </w:t>
      </w:r>
      <w:r w:rsidRPr="00171131">
        <w:t>by</w:t>
      </w:r>
      <w:r w:rsidRPr="00171131">
        <w:rPr>
          <w:spacing w:val="22"/>
        </w:rPr>
        <w:t xml:space="preserve"> </w:t>
      </w:r>
      <w:r w:rsidRPr="00171131">
        <w:t>the</w:t>
      </w:r>
      <w:r w:rsidRPr="00171131">
        <w:rPr>
          <w:spacing w:val="19"/>
        </w:rPr>
        <w:t xml:space="preserve"> </w:t>
      </w:r>
      <w:r w:rsidRPr="00171131">
        <w:t>E</w:t>
      </w:r>
      <w:r w:rsidR="007C5416" w:rsidRPr="00171131">
        <w:t>EA</w:t>
      </w:r>
      <w:r w:rsidRPr="00171131">
        <w:rPr>
          <w:spacing w:val="19"/>
        </w:rPr>
        <w:t xml:space="preserve"> </w:t>
      </w:r>
      <w:r w:rsidR="0036635E">
        <w:t>U</w:t>
      </w:r>
      <w:r w:rsidRPr="00171131">
        <w:t>tilities</w:t>
      </w:r>
      <w:r w:rsidRPr="00171131">
        <w:rPr>
          <w:spacing w:val="20"/>
        </w:rPr>
        <w:t xml:space="preserve"> </w:t>
      </w:r>
      <w:r w:rsidR="0036635E">
        <w:t>D</w:t>
      </w:r>
      <w:r w:rsidR="0036635E" w:rsidRPr="00171131">
        <w:t>irective</w:t>
      </w:r>
      <w:r w:rsidR="0036635E" w:rsidRPr="00171131">
        <w:rPr>
          <w:spacing w:val="20"/>
        </w:rPr>
        <w:t xml:space="preserve"> </w:t>
      </w:r>
      <w:r w:rsidRPr="00171131">
        <w:t>which</w:t>
      </w:r>
      <w:r w:rsidRPr="00171131">
        <w:rPr>
          <w:spacing w:val="20"/>
        </w:rPr>
        <w:t xml:space="preserve"> </w:t>
      </w:r>
      <w:r w:rsidRPr="00171131">
        <w:t>are</w:t>
      </w:r>
      <w:r w:rsidRPr="00171131">
        <w:rPr>
          <w:spacing w:val="67"/>
        </w:rPr>
        <w:t xml:space="preserve"> </w:t>
      </w:r>
      <w:r w:rsidRPr="00171131">
        <w:t>contracting</w:t>
      </w:r>
      <w:r w:rsidRPr="00171131">
        <w:rPr>
          <w:spacing w:val="19"/>
        </w:rPr>
        <w:t xml:space="preserve"> </w:t>
      </w:r>
      <w:r w:rsidRPr="00171131">
        <w:t>authorities</w:t>
      </w:r>
      <w:r w:rsidRPr="00171131">
        <w:rPr>
          <w:spacing w:val="20"/>
        </w:rPr>
        <w:t xml:space="preserve"> </w:t>
      </w:r>
      <w:r w:rsidRPr="00171131">
        <w:t>(e.g.</w:t>
      </w:r>
      <w:r w:rsidRPr="00171131">
        <w:rPr>
          <w:spacing w:val="19"/>
        </w:rPr>
        <w:t xml:space="preserve"> </w:t>
      </w:r>
      <w:r w:rsidRPr="00171131">
        <w:t>those</w:t>
      </w:r>
      <w:r w:rsidRPr="00171131">
        <w:rPr>
          <w:spacing w:val="20"/>
        </w:rPr>
        <w:t xml:space="preserve"> </w:t>
      </w:r>
      <w:r w:rsidRPr="00171131">
        <w:t>covered</w:t>
      </w:r>
      <w:r w:rsidRPr="00171131">
        <w:rPr>
          <w:spacing w:val="19"/>
        </w:rPr>
        <w:t xml:space="preserve"> </w:t>
      </w:r>
      <w:r w:rsidRPr="00171131">
        <w:t>under</w:t>
      </w:r>
      <w:r w:rsidRPr="00171131">
        <w:rPr>
          <w:spacing w:val="19"/>
        </w:rPr>
        <w:t xml:space="preserve"> </w:t>
      </w:r>
      <w:r w:rsidRPr="00171131">
        <w:t>Annex</w:t>
      </w:r>
      <w:r w:rsidRPr="00171131">
        <w:rPr>
          <w:spacing w:val="20"/>
        </w:rPr>
        <w:t xml:space="preserve"> </w:t>
      </w:r>
      <w:r w:rsidRPr="00171131">
        <w:t>1</w:t>
      </w:r>
      <w:r w:rsidRPr="00171131">
        <w:rPr>
          <w:spacing w:val="20"/>
        </w:rPr>
        <w:t xml:space="preserve"> </w:t>
      </w:r>
      <w:r w:rsidRPr="00171131">
        <w:t>and</w:t>
      </w:r>
      <w:r w:rsidRPr="00171131">
        <w:rPr>
          <w:spacing w:val="18"/>
        </w:rPr>
        <w:t xml:space="preserve"> </w:t>
      </w:r>
      <w:r w:rsidRPr="00171131">
        <w:t>Annex</w:t>
      </w:r>
      <w:r w:rsidRPr="00171131">
        <w:rPr>
          <w:spacing w:val="20"/>
        </w:rPr>
        <w:t xml:space="preserve"> </w:t>
      </w:r>
      <w:r w:rsidRPr="00171131">
        <w:t>2</w:t>
      </w:r>
      <w:r w:rsidRPr="00171131">
        <w:rPr>
          <w:spacing w:val="20"/>
        </w:rPr>
        <w:t xml:space="preserve"> </w:t>
      </w:r>
      <w:r w:rsidRPr="00171131">
        <w:t>to</w:t>
      </w:r>
      <w:r w:rsidRPr="00171131">
        <w:rPr>
          <w:spacing w:val="21"/>
        </w:rPr>
        <w:t xml:space="preserve"> </w:t>
      </w:r>
      <w:r w:rsidRPr="00171131">
        <w:t>Appendix</w:t>
      </w:r>
      <w:r w:rsidRPr="00171131">
        <w:rPr>
          <w:spacing w:val="19"/>
        </w:rPr>
        <w:t xml:space="preserve"> </w:t>
      </w:r>
      <w:r w:rsidRPr="00171131">
        <w:t>I</w:t>
      </w:r>
      <w:r w:rsidRPr="00171131">
        <w:rPr>
          <w:spacing w:val="19"/>
        </w:rPr>
        <w:t xml:space="preserve"> </w:t>
      </w:r>
      <w:r w:rsidRPr="00171131">
        <w:t>to</w:t>
      </w:r>
      <w:r w:rsidRPr="00171131">
        <w:rPr>
          <w:spacing w:val="21"/>
        </w:rPr>
        <w:t xml:space="preserve"> </w:t>
      </w:r>
      <w:r w:rsidRPr="00171131">
        <w:t>the</w:t>
      </w:r>
      <w:r w:rsidRPr="00171131">
        <w:rPr>
          <w:spacing w:val="81"/>
        </w:rPr>
        <w:t xml:space="preserve"> </w:t>
      </w:r>
      <w:r w:rsidRPr="00171131">
        <w:t>GPA)</w:t>
      </w:r>
      <w:r w:rsidRPr="00171131">
        <w:rPr>
          <w:spacing w:val="-4"/>
        </w:rPr>
        <w:t xml:space="preserve"> </w:t>
      </w:r>
      <w:r w:rsidRPr="00171131">
        <w:t>or public undertakings</w:t>
      </w:r>
      <w:r w:rsidRPr="00171131">
        <w:rPr>
          <w:spacing w:val="17"/>
          <w:position w:val="10"/>
        </w:rPr>
        <w:t xml:space="preserve"> </w:t>
      </w:r>
      <w:r w:rsidRPr="00171131">
        <w:t>and which have as</w:t>
      </w:r>
      <w:r w:rsidRPr="00171131">
        <w:rPr>
          <w:spacing w:val="-3"/>
        </w:rPr>
        <w:t xml:space="preserve"> </w:t>
      </w:r>
      <w:r w:rsidRPr="00171131">
        <w:t>one</w:t>
      </w:r>
      <w:r w:rsidRPr="00171131">
        <w:rPr>
          <w:spacing w:val="-3"/>
        </w:rPr>
        <w:t xml:space="preserve"> </w:t>
      </w:r>
      <w:r w:rsidRPr="00171131">
        <w:t>of</w:t>
      </w:r>
      <w:r w:rsidRPr="00171131">
        <w:rPr>
          <w:spacing w:val="-2"/>
        </w:rPr>
        <w:t xml:space="preserve"> </w:t>
      </w:r>
      <w:r w:rsidRPr="00171131">
        <w:t>their activities</w:t>
      </w:r>
    </w:p>
    <w:p w14:paraId="7F391026" w14:textId="1D938CEA" w:rsidR="009F24A4" w:rsidRPr="00171131" w:rsidRDefault="006A3C5F" w:rsidP="003454A1">
      <w:pPr>
        <w:pStyle w:val="FTAtextlistedparagraphs"/>
        <w:numPr>
          <w:ilvl w:val="2"/>
          <w:numId w:val="5"/>
        </w:numPr>
      </w:pPr>
      <w:r w:rsidRPr="00171131">
        <w:t>the</w:t>
      </w:r>
      <w:r w:rsidRPr="00171131">
        <w:rPr>
          <w:spacing w:val="40"/>
        </w:rPr>
        <w:t xml:space="preserve"> </w:t>
      </w:r>
      <w:r w:rsidRPr="00171131">
        <w:t>provision</w:t>
      </w:r>
      <w:r w:rsidRPr="00171131">
        <w:rPr>
          <w:spacing w:val="40"/>
        </w:rPr>
        <w:t xml:space="preserve"> </w:t>
      </w:r>
      <w:r w:rsidRPr="00171131">
        <w:rPr>
          <w:spacing w:val="1"/>
        </w:rPr>
        <w:t>or</w:t>
      </w:r>
      <w:r w:rsidRPr="00171131">
        <w:rPr>
          <w:spacing w:val="41"/>
        </w:rPr>
        <w:t xml:space="preserve"> </w:t>
      </w:r>
      <w:r w:rsidRPr="00171131">
        <w:t>operation</w:t>
      </w:r>
      <w:r w:rsidRPr="00171131">
        <w:rPr>
          <w:spacing w:val="39"/>
        </w:rPr>
        <w:t xml:space="preserve"> </w:t>
      </w:r>
      <w:r w:rsidRPr="00171131">
        <w:t>of</w:t>
      </w:r>
      <w:r w:rsidRPr="00171131">
        <w:rPr>
          <w:spacing w:val="41"/>
        </w:rPr>
        <w:t xml:space="preserve"> </w:t>
      </w:r>
      <w:r w:rsidRPr="00171131">
        <w:t>fixed</w:t>
      </w:r>
      <w:r w:rsidRPr="00171131">
        <w:rPr>
          <w:spacing w:val="41"/>
        </w:rPr>
        <w:t xml:space="preserve"> </w:t>
      </w:r>
      <w:r w:rsidRPr="00171131">
        <w:t>networks</w:t>
      </w:r>
      <w:r w:rsidRPr="00171131">
        <w:rPr>
          <w:spacing w:val="41"/>
        </w:rPr>
        <w:t xml:space="preserve"> </w:t>
      </w:r>
      <w:r w:rsidRPr="00171131">
        <w:t>intended</w:t>
      </w:r>
      <w:r w:rsidRPr="00171131">
        <w:rPr>
          <w:spacing w:val="40"/>
        </w:rPr>
        <w:t xml:space="preserve"> </w:t>
      </w:r>
      <w:r w:rsidRPr="00171131">
        <w:t>to</w:t>
      </w:r>
      <w:r w:rsidRPr="00171131">
        <w:rPr>
          <w:spacing w:val="43"/>
        </w:rPr>
        <w:t xml:space="preserve"> </w:t>
      </w:r>
      <w:r w:rsidRPr="00171131">
        <w:t>provide</w:t>
      </w:r>
      <w:r w:rsidRPr="00171131">
        <w:rPr>
          <w:spacing w:val="42"/>
        </w:rPr>
        <w:t xml:space="preserve"> </w:t>
      </w:r>
      <w:r w:rsidRPr="00171131">
        <w:t>a</w:t>
      </w:r>
      <w:r w:rsidRPr="00171131">
        <w:rPr>
          <w:spacing w:val="40"/>
        </w:rPr>
        <w:t xml:space="preserve"> </w:t>
      </w:r>
      <w:r w:rsidRPr="00171131">
        <w:t>service</w:t>
      </w:r>
      <w:r w:rsidRPr="00171131">
        <w:rPr>
          <w:spacing w:val="39"/>
        </w:rPr>
        <w:t xml:space="preserve"> </w:t>
      </w:r>
      <w:r w:rsidRPr="00171131">
        <w:t>to</w:t>
      </w:r>
      <w:r w:rsidRPr="00171131">
        <w:rPr>
          <w:spacing w:val="43"/>
        </w:rPr>
        <w:t xml:space="preserve"> </w:t>
      </w:r>
      <w:r w:rsidRPr="00171131">
        <w:t>the</w:t>
      </w:r>
      <w:r w:rsidRPr="00171131">
        <w:rPr>
          <w:spacing w:val="49"/>
        </w:rPr>
        <w:t xml:space="preserve"> </w:t>
      </w:r>
      <w:r w:rsidRPr="00171131">
        <w:t>public</w:t>
      </w:r>
      <w:r w:rsidRPr="00171131">
        <w:rPr>
          <w:spacing w:val="24"/>
        </w:rPr>
        <w:t xml:space="preserve"> </w:t>
      </w:r>
      <w:r w:rsidRPr="00171131">
        <w:t>in</w:t>
      </w:r>
      <w:r w:rsidRPr="00171131">
        <w:rPr>
          <w:spacing w:val="23"/>
        </w:rPr>
        <w:t xml:space="preserve"> </w:t>
      </w:r>
      <w:r w:rsidRPr="00171131">
        <w:t>connection</w:t>
      </w:r>
      <w:r w:rsidRPr="00171131">
        <w:rPr>
          <w:spacing w:val="23"/>
        </w:rPr>
        <w:t xml:space="preserve"> </w:t>
      </w:r>
      <w:r w:rsidRPr="00171131">
        <w:t>with</w:t>
      </w:r>
      <w:r w:rsidRPr="00171131">
        <w:rPr>
          <w:spacing w:val="21"/>
        </w:rPr>
        <w:t xml:space="preserve"> </w:t>
      </w:r>
      <w:r w:rsidRPr="00171131">
        <w:t>the</w:t>
      </w:r>
      <w:r w:rsidRPr="00171131">
        <w:rPr>
          <w:spacing w:val="24"/>
        </w:rPr>
        <w:t xml:space="preserve"> </w:t>
      </w:r>
      <w:r w:rsidRPr="00171131">
        <w:t>production,</w:t>
      </w:r>
      <w:r w:rsidRPr="00171131">
        <w:rPr>
          <w:spacing w:val="24"/>
        </w:rPr>
        <w:t xml:space="preserve"> </w:t>
      </w:r>
      <w:r w:rsidRPr="00171131">
        <w:t>transport</w:t>
      </w:r>
      <w:r w:rsidRPr="00171131">
        <w:rPr>
          <w:spacing w:val="22"/>
        </w:rPr>
        <w:t xml:space="preserve"> </w:t>
      </w:r>
      <w:r w:rsidRPr="00171131">
        <w:t>or</w:t>
      </w:r>
      <w:r w:rsidRPr="00171131">
        <w:rPr>
          <w:spacing w:val="24"/>
        </w:rPr>
        <w:t xml:space="preserve"> </w:t>
      </w:r>
      <w:r w:rsidRPr="00171131">
        <w:t>distribution</w:t>
      </w:r>
      <w:r w:rsidRPr="00171131">
        <w:rPr>
          <w:spacing w:val="23"/>
        </w:rPr>
        <w:t xml:space="preserve"> </w:t>
      </w:r>
      <w:r w:rsidRPr="00171131">
        <w:t>of</w:t>
      </w:r>
      <w:r w:rsidRPr="00171131">
        <w:rPr>
          <w:spacing w:val="24"/>
        </w:rPr>
        <w:t xml:space="preserve"> </w:t>
      </w:r>
      <w:r w:rsidRPr="00171131">
        <w:t>gas</w:t>
      </w:r>
      <w:r w:rsidRPr="00171131">
        <w:rPr>
          <w:spacing w:val="22"/>
        </w:rPr>
        <w:t xml:space="preserve"> </w:t>
      </w:r>
      <w:r w:rsidRPr="00171131">
        <w:t>or</w:t>
      </w:r>
      <w:r w:rsidRPr="00171131">
        <w:rPr>
          <w:spacing w:val="24"/>
        </w:rPr>
        <w:t xml:space="preserve"> </w:t>
      </w:r>
      <w:r w:rsidRPr="00171131">
        <w:t>heat</w:t>
      </w:r>
      <w:r w:rsidRPr="00171131">
        <w:rPr>
          <w:spacing w:val="24"/>
        </w:rPr>
        <w:t xml:space="preserve"> </w:t>
      </w:r>
      <w:r w:rsidRPr="00171131">
        <w:t>or</w:t>
      </w:r>
      <w:r w:rsidRPr="00171131">
        <w:rPr>
          <w:spacing w:val="59"/>
        </w:rPr>
        <w:t xml:space="preserve"> </w:t>
      </w:r>
      <w:r w:rsidRPr="00171131">
        <w:t>the supply</w:t>
      </w:r>
      <w:r w:rsidRPr="00171131">
        <w:rPr>
          <w:spacing w:val="-2"/>
        </w:rPr>
        <w:t xml:space="preserve"> </w:t>
      </w:r>
      <w:r w:rsidRPr="00171131">
        <w:t>of gas</w:t>
      </w:r>
      <w:r w:rsidRPr="00171131">
        <w:rPr>
          <w:spacing w:val="-3"/>
        </w:rPr>
        <w:t xml:space="preserve"> </w:t>
      </w:r>
      <w:r w:rsidRPr="00171131">
        <w:t>or heat</w:t>
      </w:r>
      <w:r w:rsidRPr="00171131">
        <w:rPr>
          <w:spacing w:val="-2"/>
        </w:rPr>
        <w:t xml:space="preserve"> </w:t>
      </w:r>
      <w:r w:rsidRPr="00171131">
        <w:t>to such networks</w:t>
      </w:r>
      <w:r w:rsidR="00C1263B">
        <w:t>;</w:t>
      </w:r>
      <w:r w:rsidRPr="00171131">
        <w:rPr>
          <w:spacing w:val="-2"/>
        </w:rPr>
        <w:t xml:space="preserve"> </w:t>
      </w:r>
      <w:r w:rsidRPr="00171131">
        <w:t>or</w:t>
      </w:r>
    </w:p>
    <w:p w14:paraId="5FF5464B" w14:textId="16B20D32" w:rsidR="006A3C5F" w:rsidRPr="00171131" w:rsidRDefault="003625D9" w:rsidP="003454A1">
      <w:pPr>
        <w:pStyle w:val="FTAtextlistedparagraphs"/>
        <w:numPr>
          <w:ilvl w:val="2"/>
          <w:numId w:val="5"/>
        </w:numPr>
      </w:pPr>
      <w:r w:rsidRPr="00171131">
        <w:t>any</w:t>
      </w:r>
      <w:r w:rsidRPr="00171131">
        <w:rPr>
          <w:spacing w:val="6"/>
        </w:rPr>
        <w:t xml:space="preserve"> </w:t>
      </w:r>
      <w:r w:rsidRPr="00171131">
        <w:t>combination</w:t>
      </w:r>
      <w:r w:rsidRPr="00171131">
        <w:rPr>
          <w:spacing w:val="2"/>
        </w:rPr>
        <w:t xml:space="preserve"> </w:t>
      </w:r>
      <w:r w:rsidRPr="00171131">
        <w:t>between such</w:t>
      </w:r>
      <w:r w:rsidRPr="00171131">
        <w:rPr>
          <w:spacing w:val="4"/>
        </w:rPr>
        <w:t xml:space="preserve"> </w:t>
      </w:r>
      <w:r w:rsidRPr="00171131">
        <w:t>activity</w:t>
      </w:r>
      <w:r w:rsidRPr="00171131">
        <w:rPr>
          <w:spacing w:val="3"/>
        </w:rPr>
        <w:t xml:space="preserve"> </w:t>
      </w:r>
      <w:r w:rsidRPr="00171131">
        <w:t>and</w:t>
      </w:r>
      <w:r w:rsidRPr="00171131">
        <w:rPr>
          <w:spacing w:val="2"/>
        </w:rPr>
        <w:t xml:space="preserve"> </w:t>
      </w:r>
      <w:r w:rsidRPr="00171131">
        <w:t>those</w:t>
      </w:r>
      <w:r w:rsidRPr="00171131">
        <w:rPr>
          <w:spacing w:val="5"/>
        </w:rPr>
        <w:t xml:space="preserve"> </w:t>
      </w:r>
      <w:r w:rsidRPr="00171131">
        <w:t>referred</w:t>
      </w:r>
      <w:r w:rsidRPr="00171131">
        <w:rPr>
          <w:spacing w:val="4"/>
        </w:rPr>
        <w:t xml:space="preserve"> </w:t>
      </w:r>
      <w:r w:rsidRPr="00171131">
        <w:t>to</w:t>
      </w:r>
      <w:r w:rsidRPr="00171131">
        <w:rPr>
          <w:spacing w:val="4"/>
        </w:rPr>
        <w:t xml:space="preserve"> </w:t>
      </w:r>
      <w:r w:rsidRPr="00171131">
        <w:t>in</w:t>
      </w:r>
      <w:r w:rsidRPr="00171131">
        <w:rPr>
          <w:spacing w:val="4"/>
        </w:rPr>
        <w:t xml:space="preserve"> </w:t>
      </w:r>
      <w:r w:rsidRPr="00171131">
        <w:t>Annex</w:t>
      </w:r>
      <w:r w:rsidRPr="00171131">
        <w:rPr>
          <w:spacing w:val="3"/>
        </w:rPr>
        <w:t xml:space="preserve"> </w:t>
      </w:r>
      <w:r w:rsidRPr="00171131">
        <w:t>3</w:t>
      </w:r>
      <w:r w:rsidRPr="00171131">
        <w:rPr>
          <w:spacing w:val="3"/>
        </w:rPr>
        <w:t xml:space="preserve"> </w:t>
      </w:r>
      <w:r w:rsidRPr="00171131">
        <w:t>to</w:t>
      </w:r>
      <w:r w:rsidRPr="00171131">
        <w:rPr>
          <w:spacing w:val="6"/>
        </w:rPr>
        <w:t xml:space="preserve"> </w:t>
      </w:r>
      <w:r w:rsidRPr="00171131">
        <w:t>Appendix</w:t>
      </w:r>
      <w:r w:rsidRPr="00171131">
        <w:rPr>
          <w:spacing w:val="5"/>
        </w:rPr>
        <w:t xml:space="preserve"> </w:t>
      </w:r>
      <w:r w:rsidRPr="00171131">
        <w:t>I</w:t>
      </w:r>
      <w:r w:rsidRPr="00171131">
        <w:rPr>
          <w:spacing w:val="45"/>
        </w:rPr>
        <w:t xml:space="preserve"> </w:t>
      </w:r>
      <w:r w:rsidRPr="00171131">
        <w:t>to the GPA;</w:t>
      </w:r>
      <w:r w:rsidR="0036635E">
        <w:t xml:space="preserve"> and</w:t>
      </w:r>
    </w:p>
    <w:p w14:paraId="637FD93B" w14:textId="65A6C046" w:rsidR="006A3C5F" w:rsidRPr="00171131" w:rsidRDefault="006A3C5F" w:rsidP="003454A1">
      <w:pPr>
        <w:pStyle w:val="FTAtextlistedparagraphs"/>
        <w:numPr>
          <w:ilvl w:val="1"/>
          <w:numId w:val="5"/>
        </w:numPr>
      </w:pPr>
      <w:r w:rsidRPr="00171131">
        <w:lastRenderedPageBreak/>
        <w:t xml:space="preserve">privately-owned procuring entities that have as one of their activities any of those referred to in </w:t>
      </w:r>
      <w:r w:rsidR="0036635E">
        <w:t>subparagraph</w:t>
      </w:r>
      <w:r w:rsidR="0036635E" w:rsidRPr="00171131">
        <w:t xml:space="preserve"> </w:t>
      </w:r>
      <w:r w:rsidRPr="00171131">
        <w:t xml:space="preserve">(a) of this paragraph, in </w:t>
      </w:r>
      <w:r w:rsidR="0036635E">
        <w:t xml:space="preserve">subparagraph </w:t>
      </w:r>
      <w:r w:rsidRPr="00171131">
        <w:t xml:space="preserve">1 of Annex 3 to Appendix I to the GPA, or any combination thereof and operate on the basis of special or exclusive rights granted by a competent authority of </w:t>
      </w:r>
      <w:r w:rsidR="009F24A4" w:rsidRPr="00171131">
        <w:t>N</w:t>
      </w:r>
      <w:r w:rsidR="00155436" w:rsidRPr="00171131">
        <w:t>orway</w:t>
      </w:r>
      <w:r w:rsidR="00E410B9">
        <w:t>,</w:t>
      </w:r>
    </w:p>
    <w:p w14:paraId="13D21D3C" w14:textId="1B1DA790" w:rsidR="006A3C5F" w:rsidRPr="006A3C5F" w:rsidRDefault="006A3C5F" w:rsidP="0084549F">
      <w:pPr>
        <w:pStyle w:val="FTAtext"/>
      </w:pPr>
      <w:proofErr w:type="gramStart"/>
      <w:r w:rsidRPr="006A3C5F">
        <w:t>with regard</w:t>
      </w:r>
      <w:r w:rsidRPr="006A3C5F">
        <w:rPr>
          <w:spacing w:val="-3"/>
        </w:rPr>
        <w:t xml:space="preserve"> </w:t>
      </w:r>
      <w:r w:rsidRPr="006A3C5F">
        <w:t>to</w:t>
      </w:r>
      <w:proofErr w:type="gramEnd"/>
      <w:r w:rsidRPr="006A3C5F">
        <w:t xml:space="preserve"> procurement</w:t>
      </w:r>
      <w:r w:rsidRPr="006A3C5F">
        <w:rPr>
          <w:spacing w:val="1"/>
        </w:rPr>
        <w:t xml:space="preserve"> </w:t>
      </w:r>
      <w:r w:rsidRPr="006A3C5F">
        <w:t>equal to or above the</w:t>
      </w:r>
      <w:r w:rsidRPr="006A3C5F">
        <w:rPr>
          <w:spacing w:val="-3"/>
        </w:rPr>
        <w:t xml:space="preserve"> </w:t>
      </w:r>
      <w:r w:rsidRPr="006A3C5F">
        <w:t>following</w:t>
      </w:r>
      <w:r w:rsidRPr="006A3C5F">
        <w:rPr>
          <w:spacing w:val="-2"/>
        </w:rPr>
        <w:t xml:space="preserve"> </w:t>
      </w:r>
      <w:r w:rsidRPr="006A3C5F">
        <w:t>thresholds:</w:t>
      </w:r>
    </w:p>
    <w:p w14:paraId="4BCF592B" w14:textId="3C534F7F" w:rsidR="00071B6C" w:rsidRPr="00071B6C" w:rsidRDefault="006A3C5F" w:rsidP="003454A1">
      <w:pPr>
        <w:pStyle w:val="FTAtext"/>
        <w:numPr>
          <w:ilvl w:val="0"/>
          <w:numId w:val="21"/>
        </w:numPr>
      </w:pPr>
      <w:r w:rsidRPr="00C71AC2">
        <w:t>400,000</w:t>
      </w:r>
      <w:r w:rsidRPr="00071B6C">
        <w:t xml:space="preserve"> </w:t>
      </w:r>
      <w:r w:rsidRPr="00C71AC2">
        <w:t>SDR</w:t>
      </w:r>
      <w:r w:rsidRPr="00071B6C">
        <w:t xml:space="preserve"> for </w:t>
      </w:r>
      <w:r w:rsidRPr="00C71AC2">
        <w:t xml:space="preserve">procurement </w:t>
      </w:r>
      <w:r w:rsidRPr="00071B6C">
        <w:t xml:space="preserve">of </w:t>
      </w:r>
      <w:r w:rsidRPr="00C71AC2">
        <w:t>goods</w:t>
      </w:r>
      <w:r w:rsidRPr="00071B6C">
        <w:t xml:space="preserve"> and </w:t>
      </w:r>
      <w:r w:rsidRPr="00C71AC2">
        <w:t>services</w:t>
      </w:r>
      <w:r w:rsidR="00C1263B">
        <w:t>;</w:t>
      </w:r>
      <w:r w:rsidR="0036635E">
        <w:t xml:space="preserve"> and</w:t>
      </w:r>
    </w:p>
    <w:p w14:paraId="4F4D7A07" w14:textId="71806039" w:rsidR="00962720" w:rsidRDefault="006A3C5F" w:rsidP="003454A1">
      <w:pPr>
        <w:pStyle w:val="FTAtext"/>
        <w:numPr>
          <w:ilvl w:val="0"/>
          <w:numId w:val="21"/>
        </w:numPr>
      </w:pPr>
      <w:r w:rsidRPr="006A3C5F">
        <w:t>5,000,000</w:t>
      </w:r>
      <w:r w:rsidRPr="00071B6C">
        <w:t xml:space="preserve"> </w:t>
      </w:r>
      <w:r w:rsidRPr="006A3C5F">
        <w:t>SDR</w:t>
      </w:r>
      <w:r w:rsidRPr="00071B6C">
        <w:t xml:space="preserve"> </w:t>
      </w:r>
      <w:r w:rsidRPr="006A3C5F">
        <w:t>for</w:t>
      </w:r>
      <w:r w:rsidRPr="00071B6C">
        <w:t xml:space="preserve"> </w:t>
      </w:r>
      <w:r w:rsidRPr="006A3C5F">
        <w:t xml:space="preserve">procurement </w:t>
      </w:r>
      <w:r w:rsidRPr="00071B6C">
        <w:t xml:space="preserve">of </w:t>
      </w:r>
      <w:r w:rsidRPr="006A3C5F">
        <w:t>construction services</w:t>
      </w:r>
      <w:r w:rsidRPr="00071B6C">
        <w:t xml:space="preserve"> </w:t>
      </w:r>
      <w:r w:rsidRPr="006A3C5F">
        <w:t>(CPC</w:t>
      </w:r>
      <w:r w:rsidRPr="00071B6C">
        <w:t xml:space="preserve"> </w:t>
      </w:r>
      <w:r w:rsidRPr="006A3C5F">
        <w:t>51).</w:t>
      </w:r>
    </w:p>
    <w:p w14:paraId="3DF85DDA" w14:textId="44DBA17B" w:rsidR="00962720" w:rsidRDefault="006A166E" w:rsidP="00F11E7E">
      <w:pPr>
        <w:pStyle w:val="FTAtext"/>
        <w:ind w:firstLine="0"/>
      </w:pPr>
      <w:r>
        <w:tab/>
      </w:r>
      <w:r w:rsidR="00962720">
        <w:t>Notes to paragraph 1:</w:t>
      </w:r>
    </w:p>
    <w:p w14:paraId="7C354258" w14:textId="17590A86" w:rsidR="00962720" w:rsidRDefault="00962720" w:rsidP="003454A1">
      <w:pPr>
        <w:pStyle w:val="FTAtextlistedparagraphs"/>
        <w:numPr>
          <w:ilvl w:val="1"/>
          <w:numId w:val="22"/>
        </w:numPr>
      </w:pPr>
      <w:r>
        <w:t xml:space="preserve">According to the EEA </w:t>
      </w:r>
      <w:r w:rsidR="0036635E">
        <w:t>U</w:t>
      </w:r>
      <w:r>
        <w:t xml:space="preserve">tilities </w:t>
      </w:r>
      <w:r w:rsidR="0036635E">
        <w:t>Directive</w:t>
      </w:r>
      <w:r>
        <w:t>, a public undertaking is any undertaking over which the contracting authorities may exercise directly or indirectly a dominant influence by virtue of their ownership of it, their financial participation therein, or the rules which govern it. A dominant influence on the part of the contracting authorities shall be presumed when these authorities, directly or indirectly, in relation to an undertaking:</w:t>
      </w:r>
    </w:p>
    <w:p w14:paraId="223F151E" w14:textId="3C327940" w:rsidR="00962720" w:rsidRDefault="00962720" w:rsidP="003454A1">
      <w:pPr>
        <w:pStyle w:val="FTAtextlistedparagraphs"/>
        <w:numPr>
          <w:ilvl w:val="2"/>
          <w:numId w:val="5"/>
        </w:numPr>
      </w:pPr>
      <w:r>
        <w:t>hold the majority of the undertaking</w:t>
      </w:r>
      <w:r w:rsidR="00824443">
        <w:t>’</w:t>
      </w:r>
      <w:r>
        <w:t xml:space="preserve">s subscribed </w:t>
      </w:r>
      <w:proofErr w:type="gramStart"/>
      <w:r>
        <w:t>capital</w:t>
      </w:r>
      <w:r w:rsidR="00C1263B">
        <w:t>;</w:t>
      </w:r>
      <w:proofErr w:type="gramEnd"/>
      <w:r>
        <w:t xml:space="preserve"> </w:t>
      </w:r>
    </w:p>
    <w:p w14:paraId="6919F025" w14:textId="776255D4" w:rsidR="00962720" w:rsidRDefault="00962720" w:rsidP="003454A1">
      <w:pPr>
        <w:pStyle w:val="FTAtextlistedparagraphs"/>
        <w:numPr>
          <w:ilvl w:val="2"/>
          <w:numId w:val="5"/>
        </w:numPr>
      </w:pPr>
      <w:r>
        <w:t xml:space="preserve">control </w:t>
      </w:r>
      <w:proofErr w:type="gramStart"/>
      <w:r>
        <w:t>the majority of</w:t>
      </w:r>
      <w:proofErr w:type="gramEnd"/>
      <w:r>
        <w:t xml:space="preserve"> the votes attaching to shares issued by the undertaking</w:t>
      </w:r>
      <w:r w:rsidR="00C1263B">
        <w:t>;</w:t>
      </w:r>
      <w:r>
        <w:t xml:space="preserve"> or</w:t>
      </w:r>
    </w:p>
    <w:p w14:paraId="231EA9E3" w14:textId="12838E18" w:rsidR="00962720" w:rsidRDefault="00962720" w:rsidP="003454A1">
      <w:pPr>
        <w:pStyle w:val="FTAtextlistedparagraphs"/>
        <w:numPr>
          <w:ilvl w:val="2"/>
          <w:numId w:val="5"/>
        </w:numPr>
      </w:pPr>
      <w:r>
        <w:t>can appoint more than half of the undertaking</w:t>
      </w:r>
      <w:r w:rsidR="00824443">
        <w:t>’</w:t>
      </w:r>
      <w:r>
        <w:t>s administrative, management or supervisory body.</w:t>
      </w:r>
    </w:p>
    <w:p w14:paraId="64F85B53" w14:textId="5BEEEDBB" w:rsidR="00962720" w:rsidRDefault="00962720" w:rsidP="003454A1">
      <w:pPr>
        <w:pStyle w:val="FTAtextlistedparagraphs"/>
        <w:numPr>
          <w:ilvl w:val="1"/>
          <w:numId w:val="23"/>
        </w:numPr>
      </w:pPr>
      <w:r>
        <w:t xml:space="preserve">“Special and exclusive rights” are as defined in Article 4 of </w:t>
      </w:r>
      <w:r w:rsidR="003152BC" w:rsidRPr="003B103E">
        <w:t>Directive 2014/25/EU of the European Parliament and of the Council of 26 February 2014 on procurement by entities operating in the water, energy, transport and postal services sectors and repealing Directive 2004/17/EC</w:t>
      </w:r>
      <w:r>
        <w:t>.</w:t>
      </w:r>
    </w:p>
    <w:p w14:paraId="22395018" w14:textId="026B1A59" w:rsidR="00E3624C" w:rsidRDefault="00E3624C" w:rsidP="003454A1">
      <w:pPr>
        <w:pStyle w:val="FTAtextlistedparagraphs"/>
        <w:numPr>
          <w:ilvl w:val="1"/>
          <w:numId w:val="23"/>
        </w:numPr>
      </w:pPr>
      <w:r>
        <w:t>The supply, by a procuring entity other than a contracting authority, of gas or heat to fixed networks which provide a service to the public shall not be considered to be a relevant activity within the meaning of this Appendix where all of the following conditions are met:</w:t>
      </w:r>
    </w:p>
    <w:p w14:paraId="58F42DF6" w14:textId="646C9FDC" w:rsidR="00E3624C" w:rsidRDefault="00E3624C" w:rsidP="003454A1">
      <w:pPr>
        <w:pStyle w:val="FTAtextlistedparagraphs"/>
        <w:numPr>
          <w:ilvl w:val="2"/>
          <w:numId w:val="5"/>
        </w:numPr>
      </w:pPr>
      <w:r>
        <w:t>the production of gas or heat by that contracting entity is the unavoidable consequence of carrying out an activity other than those referred to in paragraphs (a) to (e) of Norway’s Appendix I to the GPA; and</w:t>
      </w:r>
    </w:p>
    <w:p w14:paraId="77CEB1ED" w14:textId="60239C89" w:rsidR="00E3624C" w:rsidRPr="00071B6C" w:rsidRDefault="00E3624C" w:rsidP="003454A1">
      <w:pPr>
        <w:pStyle w:val="FTAtextlistedparagraphs"/>
        <w:numPr>
          <w:ilvl w:val="2"/>
          <w:numId w:val="5"/>
        </w:numPr>
      </w:pPr>
      <w:r>
        <w:t xml:space="preserve">the supply to the public network is aimed only at the economic exploitation of such production and amounts to not more than 20 % of the entity’s turnover </w:t>
      </w:r>
      <w:proofErr w:type="gramStart"/>
      <w:r>
        <w:t>on the basis of</w:t>
      </w:r>
      <w:proofErr w:type="gramEnd"/>
      <w:r>
        <w:t xml:space="preserve"> the average for the preceding three years, including the current year.</w:t>
      </w:r>
    </w:p>
    <w:p w14:paraId="276ED852" w14:textId="03929BD7" w:rsidR="006A3C5F" w:rsidRPr="00242218" w:rsidRDefault="006A3C5F" w:rsidP="003454A1">
      <w:pPr>
        <w:pStyle w:val="FTAtextlistedparagraphs"/>
        <w:numPr>
          <w:ilvl w:val="0"/>
          <w:numId w:val="33"/>
        </w:numPr>
        <w:rPr>
          <w:b/>
          <w:bCs/>
        </w:rPr>
      </w:pPr>
      <w:r w:rsidRPr="00242218">
        <w:rPr>
          <w:b/>
          <w:bCs/>
        </w:rPr>
        <w:lastRenderedPageBreak/>
        <w:t>Additional services</w:t>
      </w:r>
    </w:p>
    <w:p w14:paraId="1F0FC2A8" w14:textId="750CC34A" w:rsidR="006A3C5F" w:rsidRPr="006A3C5F" w:rsidRDefault="006A3C5F" w:rsidP="00D6237D">
      <w:pPr>
        <w:pStyle w:val="FTAtextlistedparagraphs"/>
        <w:numPr>
          <w:ilvl w:val="0"/>
          <w:numId w:val="0"/>
        </w:numPr>
        <w:ind w:left="709"/>
      </w:pPr>
      <w:r w:rsidRPr="006A3C5F">
        <w:t>Procurement</w:t>
      </w:r>
      <w:r w:rsidRPr="006A3C5F">
        <w:rPr>
          <w:spacing w:val="47"/>
        </w:rPr>
        <w:t xml:space="preserve"> </w:t>
      </w:r>
      <w:r w:rsidRPr="006A3C5F">
        <w:t>of</w:t>
      </w:r>
      <w:r w:rsidRPr="006A3C5F">
        <w:rPr>
          <w:spacing w:val="48"/>
        </w:rPr>
        <w:t xml:space="preserve"> </w:t>
      </w:r>
      <w:r w:rsidRPr="006A3C5F">
        <w:t>services</w:t>
      </w:r>
      <w:r w:rsidR="00CC0C97">
        <w:t xml:space="preserve"> that are not </w:t>
      </w:r>
      <w:r w:rsidRPr="006A3C5F">
        <w:t>listed</w:t>
      </w:r>
      <w:r w:rsidRPr="006A3C5F">
        <w:rPr>
          <w:spacing w:val="48"/>
        </w:rPr>
        <w:t xml:space="preserve"> </w:t>
      </w:r>
      <w:r w:rsidRPr="006A3C5F">
        <w:t>under</w:t>
      </w:r>
      <w:r w:rsidRPr="006A3C5F">
        <w:rPr>
          <w:spacing w:val="47"/>
        </w:rPr>
        <w:t xml:space="preserve"> </w:t>
      </w:r>
      <w:r w:rsidRPr="006A3C5F">
        <w:t>Annex</w:t>
      </w:r>
      <w:r w:rsidRPr="006A3C5F">
        <w:rPr>
          <w:spacing w:val="49"/>
        </w:rPr>
        <w:t xml:space="preserve"> </w:t>
      </w:r>
      <w:r w:rsidRPr="006A3C5F">
        <w:t>5</w:t>
      </w:r>
      <w:r w:rsidRPr="006A3C5F">
        <w:rPr>
          <w:spacing w:val="49"/>
        </w:rPr>
        <w:t xml:space="preserve"> </w:t>
      </w:r>
      <w:r w:rsidRPr="006A3C5F">
        <w:t>of</w:t>
      </w:r>
      <w:r w:rsidRPr="006A3C5F">
        <w:rPr>
          <w:spacing w:val="48"/>
        </w:rPr>
        <w:t xml:space="preserve"> </w:t>
      </w:r>
      <w:r w:rsidR="009F24A4">
        <w:t>N</w:t>
      </w:r>
      <w:r w:rsidR="00155436">
        <w:t>orway</w:t>
      </w:r>
      <w:r w:rsidR="00D33C9C">
        <w:t>’s</w:t>
      </w:r>
      <w:r w:rsidRPr="006A3C5F">
        <w:rPr>
          <w:spacing w:val="1"/>
        </w:rPr>
        <w:t xml:space="preserve"> </w:t>
      </w:r>
      <w:r w:rsidRPr="006A3C5F">
        <w:t>Appendix I to</w:t>
      </w:r>
      <w:r w:rsidRPr="006A3C5F">
        <w:rPr>
          <w:spacing w:val="1"/>
        </w:rPr>
        <w:t xml:space="preserve"> </w:t>
      </w:r>
      <w:r w:rsidRPr="006A3C5F">
        <w:t xml:space="preserve">the GPA, </w:t>
      </w:r>
      <w:r w:rsidRPr="001652F4">
        <w:rPr>
          <w:rStyle w:val="FTAtextChar"/>
        </w:rPr>
        <w:t xml:space="preserve">for entities covered under Annexes 1 to 3 of </w:t>
      </w:r>
      <w:r w:rsidR="009F24A4" w:rsidRPr="001652F4">
        <w:rPr>
          <w:rStyle w:val="FTAtextChar"/>
        </w:rPr>
        <w:t>N</w:t>
      </w:r>
      <w:r w:rsidR="00155436" w:rsidRPr="001652F4">
        <w:rPr>
          <w:rStyle w:val="FTAtextChar"/>
        </w:rPr>
        <w:t>orway</w:t>
      </w:r>
      <w:r w:rsidR="00D33C9C" w:rsidRPr="001652F4">
        <w:rPr>
          <w:rStyle w:val="FTAtextChar"/>
        </w:rPr>
        <w:t>’s</w:t>
      </w:r>
      <w:r w:rsidR="00264AAF" w:rsidRPr="001652F4">
        <w:rPr>
          <w:rStyle w:val="FTAtextChar"/>
        </w:rPr>
        <w:t xml:space="preserve"> </w:t>
      </w:r>
      <w:r w:rsidRPr="001652F4">
        <w:rPr>
          <w:rStyle w:val="FTAtextChar"/>
        </w:rPr>
        <w:t>Appendix I to the GPA or under paragraph 1</w:t>
      </w:r>
      <w:r w:rsidR="00FF7D55">
        <w:rPr>
          <w:rStyle w:val="FTAtextChar"/>
        </w:rPr>
        <w:t xml:space="preserve"> </w:t>
      </w:r>
      <w:r w:rsidR="00FF7D55" w:rsidRPr="00FF7D55">
        <w:rPr>
          <w:rStyle w:val="FTAtextChar"/>
        </w:rPr>
        <w:t>(Additional procuring entities)</w:t>
      </w:r>
      <w:r w:rsidRPr="001652F4">
        <w:rPr>
          <w:rStyle w:val="FTAtextChar"/>
        </w:rPr>
        <w:t xml:space="preserve"> of this</w:t>
      </w:r>
      <w:r w:rsidR="00865A24">
        <w:rPr>
          <w:rStyle w:val="FTAtextChar"/>
        </w:rPr>
        <w:t xml:space="preserve"> Section C of</w:t>
      </w:r>
      <w:r w:rsidRPr="001652F4">
        <w:rPr>
          <w:rStyle w:val="FTAtextChar"/>
        </w:rPr>
        <w:t xml:space="preserve"> </w:t>
      </w:r>
      <w:r w:rsidR="00FF7D55">
        <w:rPr>
          <w:rStyle w:val="FTAtextChar"/>
        </w:rPr>
        <w:t>Part</w:t>
      </w:r>
      <w:r w:rsidR="00865A24">
        <w:rPr>
          <w:rStyle w:val="FTAtextChar"/>
        </w:rPr>
        <w:t xml:space="preserve"> B</w:t>
      </w:r>
      <w:r w:rsidR="00CC0C97" w:rsidRPr="001652F4">
        <w:rPr>
          <w:rStyle w:val="FTAtextChar"/>
        </w:rPr>
        <w:t>.</w:t>
      </w:r>
    </w:p>
    <w:p w14:paraId="23EAF3E7" w14:textId="079BA2E3" w:rsidR="00264AAF" w:rsidRPr="00264AAF" w:rsidRDefault="006A3C5F" w:rsidP="00242218">
      <w:pPr>
        <w:pStyle w:val="FTAtextlistedparagraphs"/>
        <w:numPr>
          <w:ilvl w:val="1"/>
          <w:numId w:val="46"/>
        </w:numPr>
      </w:pPr>
      <w:r w:rsidRPr="00264AAF">
        <w:t>Hotel</w:t>
      </w:r>
      <w:r w:rsidRPr="00071B6C">
        <w:t xml:space="preserve"> and restaurant</w:t>
      </w:r>
      <w:r w:rsidRPr="00264AAF">
        <w:t xml:space="preserve"> </w:t>
      </w:r>
      <w:r w:rsidRPr="00071B6C">
        <w:t>services</w:t>
      </w:r>
      <w:r w:rsidRPr="00264AAF">
        <w:t xml:space="preserve"> </w:t>
      </w:r>
      <w:r w:rsidRPr="00071B6C">
        <w:t>(CPC 641);</w:t>
      </w:r>
    </w:p>
    <w:p w14:paraId="64179449" w14:textId="51938891" w:rsidR="006A3C5F" w:rsidRPr="00264AAF" w:rsidRDefault="006A3C5F" w:rsidP="00242218">
      <w:pPr>
        <w:pStyle w:val="FTAtextlistedparagraphs"/>
        <w:numPr>
          <w:ilvl w:val="1"/>
          <w:numId w:val="46"/>
        </w:numPr>
      </w:pPr>
      <w:r w:rsidRPr="00264AAF">
        <w:t>Food</w:t>
      </w:r>
      <w:r w:rsidRPr="00071B6C">
        <w:t xml:space="preserve"> serving services (CPC 642);</w:t>
      </w:r>
    </w:p>
    <w:p w14:paraId="6898AD87" w14:textId="2A5B4810" w:rsidR="006A3C5F" w:rsidRPr="00D33C9C" w:rsidRDefault="006A3C5F" w:rsidP="00242218">
      <w:pPr>
        <w:pStyle w:val="FTAtextlistedparagraphs"/>
        <w:numPr>
          <w:ilvl w:val="1"/>
          <w:numId w:val="46"/>
        </w:numPr>
      </w:pPr>
      <w:r w:rsidRPr="00264AAF">
        <w:t>Beverage</w:t>
      </w:r>
      <w:r w:rsidRPr="006A3C5F">
        <w:t xml:space="preserve"> </w:t>
      </w:r>
      <w:r w:rsidRPr="00264AAF">
        <w:t>serving services (CPC 643);</w:t>
      </w:r>
    </w:p>
    <w:p w14:paraId="0AE851C7" w14:textId="2EAC9F9B" w:rsidR="00D33C9C" w:rsidRPr="006A3C5F" w:rsidRDefault="00D33C9C" w:rsidP="00242218">
      <w:pPr>
        <w:pStyle w:val="FTAtextlistedparagraphs"/>
        <w:numPr>
          <w:ilvl w:val="1"/>
          <w:numId w:val="46"/>
        </w:numPr>
      </w:pPr>
      <w:r>
        <w:t>Postal and Courier Services (CPC 751)</w:t>
      </w:r>
      <w:r w:rsidR="00647ACD">
        <w:t>;</w:t>
      </w:r>
    </w:p>
    <w:p w14:paraId="4C58EB07" w14:textId="70BCAE0F" w:rsidR="006A3C5F" w:rsidRPr="006A3C5F" w:rsidRDefault="006A3C5F" w:rsidP="00242218">
      <w:pPr>
        <w:pStyle w:val="FTAtextlistedparagraphs"/>
        <w:numPr>
          <w:ilvl w:val="1"/>
          <w:numId w:val="46"/>
        </w:numPr>
      </w:pPr>
      <w:r w:rsidRPr="00264AAF">
        <w:t>Telecommunication related services</w:t>
      </w:r>
      <w:r w:rsidRPr="006A3C5F">
        <w:t xml:space="preserve"> </w:t>
      </w:r>
      <w:r w:rsidRPr="00264AAF">
        <w:t>(CPC 754);</w:t>
      </w:r>
    </w:p>
    <w:p w14:paraId="6D397FA6" w14:textId="796FCF03" w:rsidR="006A3C5F" w:rsidRPr="00647ACD" w:rsidRDefault="006A3C5F" w:rsidP="00242218">
      <w:pPr>
        <w:pStyle w:val="FTAtextlistedparagraphs"/>
        <w:numPr>
          <w:ilvl w:val="1"/>
          <w:numId w:val="46"/>
        </w:numPr>
      </w:pPr>
      <w:r w:rsidRPr="006A3C5F">
        <w:t xml:space="preserve">Real </w:t>
      </w:r>
      <w:r w:rsidRPr="00264AAF">
        <w:t>estate</w:t>
      </w:r>
      <w:r w:rsidRPr="006A3C5F">
        <w:t xml:space="preserve"> </w:t>
      </w:r>
      <w:r w:rsidRPr="00264AAF">
        <w:t xml:space="preserve">services </w:t>
      </w:r>
      <w:r w:rsidRPr="006A3C5F">
        <w:t>on</w:t>
      </w:r>
      <w:r w:rsidRPr="00264AAF">
        <w:t xml:space="preserve"> </w:t>
      </w:r>
      <w:r w:rsidRPr="006A3C5F">
        <w:t xml:space="preserve">a </w:t>
      </w:r>
      <w:r w:rsidRPr="00264AAF">
        <w:t>fee</w:t>
      </w:r>
      <w:r w:rsidRPr="006A3C5F">
        <w:t xml:space="preserve"> </w:t>
      </w:r>
      <w:r w:rsidRPr="00264AAF">
        <w:t>or contract basis</w:t>
      </w:r>
      <w:r w:rsidRPr="006A3C5F">
        <w:t xml:space="preserve"> </w:t>
      </w:r>
      <w:r w:rsidRPr="00264AAF">
        <w:t>(CPC 8220);</w:t>
      </w:r>
    </w:p>
    <w:p w14:paraId="5165A924" w14:textId="4DF56BBA" w:rsidR="00D33C9C" w:rsidRDefault="00D33C9C" w:rsidP="00242218">
      <w:pPr>
        <w:pStyle w:val="FTAtextlistedparagraphs"/>
        <w:numPr>
          <w:ilvl w:val="1"/>
          <w:numId w:val="46"/>
        </w:numPr>
      </w:pPr>
      <w:r>
        <w:t xml:space="preserve">Legal </w:t>
      </w:r>
      <w:r w:rsidR="0036635E">
        <w:t>s</w:t>
      </w:r>
      <w:r>
        <w:t>ervices (CPC 861)</w:t>
      </w:r>
      <w:r w:rsidR="00647ACD">
        <w:t>;</w:t>
      </w:r>
    </w:p>
    <w:p w14:paraId="0C36E763" w14:textId="5B32AF7C" w:rsidR="00D33C9C" w:rsidRDefault="00D33C9C" w:rsidP="00242218">
      <w:pPr>
        <w:pStyle w:val="FTAtextlistedparagraphs"/>
        <w:numPr>
          <w:ilvl w:val="1"/>
          <w:numId w:val="46"/>
        </w:numPr>
      </w:pPr>
      <w:r>
        <w:t xml:space="preserve">Taxation </w:t>
      </w:r>
      <w:r w:rsidR="0036635E">
        <w:t xml:space="preserve">services </w:t>
      </w:r>
      <w:r>
        <w:t>(CPC 863)</w:t>
      </w:r>
      <w:r w:rsidR="00647ACD">
        <w:t>;</w:t>
      </w:r>
    </w:p>
    <w:p w14:paraId="3A639D96" w14:textId="3B2222A4" w:rsidR="00D33C9C" w:rsidRDefault="00D33C9C" w:rsidP="00242218">
      <w:pPr>
        <w:pStyle w:val="FTAtextlistedparagraphs"/>
        <w:numPr>
          <w:ilvl w:val="1"/>
          <w:numId w:val="46"/>
        </w:numPr>
      </w:pPr>
      <w:r>
        <w:t xml:space="preserve">Investigation and </w:t>
      </w:r>
      <w:r w:rsidR="0036635E">
        <w:t xml:space="preserve">security services </w:t>
      </w:r>
      <w:r>
        <w:t>(CPC 873)</w:t>
      </w:r>
      <w:r w:rsidR="00647ACD">
        <w:t>;</w:t>
      </w:r>
    </w:p>
    <w:p w14:paraId="39F11666" w14:textId="2797BC1B" w:rsidR="00744409" w:rsidRDefault="00D33C9C" w:rsidP="00242218">
      <w:pPr>
        <w:pStyle w:val="FTAtextlistedparagraphs"/>
        <w:numPr>
          <w:ilvl w:val="1"/>
          <w:numId w:val="46"/>
        </w:numPr>
      </w:pPr>
      <w:r>
        <w:t xml:space="preserve">Photographic </w:t>
      </w:r>
      <w:r w:rsidR="0036635E">
        <w:t xml:space="preserve">services </w:t>
      </w:r>
      <w:r>
        <w:t>(CPC 875)</w:t>
      </w:r>
      <w:r w:rsidR="00647ACD">
        <w:t>;</w:t>
      </w:r>
      <w:r w:rsidR="00B41AB2">
        <w:t xml:space="preserve"> </w:t>
      </w:r>
    </w:p>
    <w:p w14:paraId="4C8ADDE8" w14:textId="66A55E75" w:rsidR="00D33C9C" w:rsidRPr="00264AAF" w:rsidRDefault="006A3C5F" w:rsidP="00242218">
      <w:pPr>
        <w:pStyle w:val="FTAtextlistedparagraphs"/>
        <w:numPr>
          <w:ilvl w:val="1"/>
          <w:numId w:val="46"/>
        </w:numPr>
      </w:pPr>
      <w:r w:rsidRPr="00264AAF">
        <w:t>Other</w:t>
      </w:r>
      <w:r w:rsidRPr="00D33C9C">
        <w:t xml:space="preserve"> </w:t>
      </w:r>
      <w:r w:rsidRPr="00264AAF">
        <w:t>business services</w:t>
      </w:r>
      <w:r w:rsidRPr="00D33C9C">
        <w:t xml:space="preserve"> </w:t>
      </w:r>
      <w:r w:rsidRPr="00264AAF">
        <w:t>(CPC</w:t>
      </w:r>
      <w:r w:rsidRPr="00D33C9C">
        <w:t xml:space="preserve"> </w:t>
      </w:r>
      <w:r w:rsidRPr="00264AAF">
        <w:t>879);</w:t>
      </w:r>
    </w:p>
    <w:p w14:paraId="61382988" w14:textId="23C7B347" w:rsidR="00D33C9C" w:rsidRPr="00264AAF" w:rsidRDefault="00D33C9C" w:rsidP="00242218">
      <w:pPr>
        <w:pStyle w:val="FTAtextlistedparagraphs"/>
        <w:numPr>
          <w:ilvl w:val="1"/>
          <w:numId w:val="46"/>
        </w:numPr>
      </w:pPr>
      <w:r w:rsidRPr="00264AAF">
        <w:t>Services incidental to mining (CPC 883)</w:t>
      </w:r>
      <w:r w:rsidR="00647ACD" w:rsidRPr="00264AAF">
        <w:t>;</w:t>
      </w:r>
    </w:p>
    <w:p w14:paraId="75D04EC3" w14:textId="6454C99F" w:rsidR="00D33C9C" w:rsidRPr="00264AAF" w:rsidRDefault="00D33C9C" w:rsidP="00242218">
      <w:pPr>
        <w:pStyle w:val="FTAtextlistedparagraphs"/>
        <w:numPr>
          <w:ilvl w:val="1"/>
          <w:numId w:val="46"/>
        </w:numPr>
      </w:pPr>
      <w:r w:rsidRPr="00264AAF">
        <w:t>Services incidental to the manufacture of metal products, machinery and equipment (CPC 885</w:t>
      </w:r>
      <w:proofErr w:type="gramStart"/>
      <w:r w:rsidRPr="00264AAF">
        <w:t>)</w:t>
      </w:r>
      <w:r w:rsidR="00647ACD" w:rsidRPr="00264AAF">
        <w:t>;</w:t>
      </w:r>
      <w:proofErr w:type="gramEnd"/>
    </w:p>
    <w:p w14:paraId="17957AC6" w14:textId="07F53090" w:rsidR="00D33C9C" w:rsidRPr="00264AAF" w:rsidRDefault="00D33C9C" w:rsidP="00242218">
      <w:pPr>
        <w:pStyle w:val="FTAtextlistedparagraphs"/>
        <w:numPr>
          <w:ilvl w:val="1"/>
          <w:numId w:val="46"/>
        </w:numPr>
      </w:pPr>
      <w:r w:rsidRPr="00264AAF">
        <w:t>Repair services incidental to metal products, machinery and equipment (CPC 886</w:t>
      </w:r>
      <w:proofErr w:type="gramStart"/>
      <w:r w:rsidRPr="00264AAF">
        <w:t>)</w:t>
      </w:r>
      <w:r w:rsidR="00647ACD" w:rsidRPr="00264AAF">
        <w:t>;</w:t>
      </w:r>
      <w:proofErr w:type="gramEnd"/>
    </w:p>
    <w:p w14:paraId="12DFB72F" w14:textId="56C96A05" w:rsidR="00D33C9C" w:rsidRPr="00264AAF" w:rsidRDefault="00D33C9C" w:rsidP="00242218">
      <w:pPr>
        <w:pStyle w:val="FTAtextlistedparagraphs"/>
        <w:numPr>
          <w:ilvl w:val="1"/>
          <w:numId w:val="46"/>
        </w:numPr>
      </w:pPr>
      <w:r w:rsidRPr="00264AAF">
        <w:t>Services incidental to energy distribution (CPC 887)</w:t>
      </w:r>
      <w:r w:rsidR="00647ACD" w:rsidRPr="00264AAF">
        <w:t>;</w:t>
      </w:r>
    </w:p>
    <w:p w14:paraId="356B5671" w14:textId="61ECDC39" w:rsidR="00D33C9C" w:rsidRPr="00264AAF" w:rsidRDefault="00D33C9C" w:rsidP="00242218">
      <w:pPr>
        <w:pStyle w:val="FTAtextlistedparagraphs"/>
        <w:numPr>
          <w:ilvl w:val="1"/>
          <w:numId w:val="46"/>
        </w:numPr>
      </w:pPr>
      <w:r w:rsidRPr="00264AAF">
        <w:t>Administrative services of the government (CPC 9127, 91136)</w:t>
      </w:r>
      <w:r w:rsidR="00647ACD" w:rsidRPr="00264AAF">
        <w:t>;</w:t>
      </w:r>
    </w:p>
    <w:p w14:paraId="0CC2F2D4" w14:textId="6F19DA27" w:rsidR="00647ACD" w:rsidRPr="00647ACD" w:rsidRDefault="006A3C5F" w:rsidP="00242218">
      <w:pPr>
        <w:pStyle w:val="FTAtextlistedparagraphs"/>
        <w:numPr>
          <w:ilvl w:val="1"/>
          <w:numId w:val="46"/>
        </w:numPr>
      </w:pPr>
      <w:r w:rsidRPr="00264AAF">
        <w:t>Education services</w:t>
      </w:r>
      <w:r w:rsidRPr="006A3C5F">
        <w:t xml:space="preserve"> </w:t>
      </w:r>
      <w:r w:rsidRPr="00264AAF">
        <w:t>(CPC</w:t>
      </w:r>
      <w:r w:rsidRPr="006A3C5F">
        <w:t xml:space="preserve"> </w:t>
      </w:r>
      <w:r w:rsidRPr="00264AAF">
        <w:t>92)</w:t>
      </w:r>
      <w:r w:rsidR="00647ACD" w:rsidRPr="00264AAF">
        <w:t>;</w:t>
      </w:r>
      <w:r w:rsidR="0036635E">
        <w:t xml:space="preserve"> and</w:t>
      </w:r>
    </w:p>
    <w:p w14:paraId="7BE5A16D" w14:textId="150B40D2" w:rsidR="00412E1C" w:rsidRDefault="00647ACD" w:rsidP="006A166E">
      <w:pPr>
        <w:pStyle w:val="FTAtextlistedparagraphs"/>
        <w:numPr>
          <w:ilvl w:val="1"/>
          <w:numId w:val="45"/>
        </w:numPr>
      </w:pPr>
      <w:r w:rsidRPr="00264AAF">
        <w:t xml:space="preserve">Recreational, </w:t>
      </w:r>
      <w:proofErr w:type="gramStart"/>
      <w:r w:rsidRPr="00264AAF">
        <w:t>cultural</w:t>
      </w:r>
      <w:proofErr w:type="gramEnd"/>
      <w:r w:rsidRPr="00264AAF">
        <w:t xml:space="preserve"> and sporting services (CPC 96 (except 9611, 9613)</w:t>
      </w:r>
      <w:r w:rsidR="006A3C5F" w:rsidRPr="00264AAF">
        <w:t>.</w:t>
      </w:r>
    </w:p>
    <w:p w14:paraId="3F3BB4FD" w14:textId="38CEC2E7" w:rsidR="00962720" w:rsidRDefault="006A166E" w:rsidP="006A166E">
      <w:pPr>
        <w:pStyle w:val="FTAtext"/>
        <w:ind w:firstLine="0"/>
      </w:pPr>
      <w:r>
        <w:tab/>
      </w:r>
      <w:r w:rsidR="00962720">
        <w:t>Notes to paragraph 2:</w:t>
      </w:r>
    </w:p>
    <w:p w14:paraId="64B1AE12" w14:textId="5761864A" w:rsidR="00962720" w:rsidRDefault="00962720" w:rsidP="003454A1">
      <w:pPr>
        <w:pStyle w:val="FTAtextlistedparagraphs"/>
        <w:numPr>
          <w:ilvl w:val="1"/>
          <w:numId w:val="42"/>
        </w:numPr>
      </w:pPr>
      <w:r w:rsidRPr="006A3C5F">
        <w:t>Hotel</w:t>
      </w:r>
      <w:r w:rsidRPr="0084549F">
        <w:rPr>
          <w:spacing w:val="19"/>
        </w:rPr>
        <w:t xml:space="preserve"> </w:t>
      </w:r>
      <w:r w:rsidRPr="006A3C5F">
        <w:t>and</w:t>
      </w:r>
      <w:r w:rsidRPr="0084549F">
        <w:rPr>
          <w:spacing w:val="21"/>
        </w:rPr>
        <w:t xml:space="preserve"> </w:t>
      </w:r>
      <w:r w:rsidRPr="006A3C5F">
        <w:t>restaurant</w:t>
      </w:r>
      <w:r w:rsidRPr="0084549F">
        <w:rPr>
          <w:spacing w:val="22"/>
        </w:rPr>
        <w:t xml:space="preserve"> </w:t>
      </w:r>
      <w:r w:rsidRPr="006A3C5F">
        <w:t>services</w:t>
      </w:r>
      <w:r w:rsidRPr="0084549F">
        <w:rPr>
          <w:spacing w:val="22"/>
        </w:rPr>
        <w:t xml:space="preserve"> </w:t>
      </w:r>
      <w:r w:rsidRPr="006A3C5F">
        <w:t>(CPC</w:t>
      </w:r>
      <w:r w:rsidRPr="0084549F">
        <w:rPr>
          <w:spacing w:val="19"/>
        </w:rPr>
        <w:t xml:space="preserve"> </w:t>
      </w:r>
      <w:r w:rsidRPr="006A3C5F">
        <w:t>641),</w:t>
      </w:r>
      <w:r w:rsidRPr="0084549F">
        <w:rPr>
          <w:spacing w:val="19"/>
        </w:rPr>
        <w:t xml:space="preserve"> </w:t>
      </w:r>
      <w:r w:rsidRPr="006A3C5F">
        <w:t>food</w:t>
      </w:r>
      <w:r w:rsidRPr="0084549F">
        <w:rPr>
          <w:spacing w:val="21"/>
        </w:rPr>
        <w:t xml:space="preserve"> </w:t>
      </w:r>
      <w:r w:rsidRPr="006A3C5F">
        <w:t>serving</w:t>
      </w:r>
      <w:r w:rsidRPr="0084549F">
        <w:rPr>
          <w:spacing w:val="21"/>
        </w:rPr>
        <w:t xml:space="preserve"> </w:t>
      </w:r>
      <w:r w:rsidRPr="006A3C5F">
        <w:t>services</w:t>
      </w:r>
      <w:r w:rsidRPr="0084549F">
        <w:rPr>
          <w:spacing w:val="20"/>
        </w:rPr>
        <w:t xml:space="preserve"> </w:t>
      </w:r>
      <w:r w:rsidRPr="006A3C5F">
        <w:t>(CPC</w:t>
      </w:r>
      <w:r w:rsidRPr="0084549F">
        <w:rPr>
          <w:spacing w:val="19"/>
        </w:rPr>
        <w:t xml:space="preserve"> </w:t>
      </w:r>
      <w:r w:rsidRPr="006A3C5F">
        <w:t>642),</w:t>
      </w:r>
      <w:r w:rsidRPr="0084549F">
        <w:rPr>
          <w:spacing w:val="22"/>
        </w:rPr>
        <w:t xml:space="preserve"> </w:t>
      </w:r>
      <w:r w:rsidRPr="006A3C5F">
        <w:t>beverage</w:t>
      </w:r>
      <w:r w:rsidRPr="0084549F">
        <w:rPr>
          <w:spacing w:val="22"/>
        </w:rPr>
        <w:t xml:space="preserve"> </w:t>
      </w:r>
      <w:r w:rsidRPr="006A3C5F">
        <w:t>serving</w:t>
      </w:r>
      <w:r w:rsidRPr="0084549F">
        <w:rPr>
          <w:spacing w:val="41"/>
        </w:rPr>
        <w:t xml:space="preserve"> </w:t>
      </w:r>
      <w:r w:rsidRPr="006A3C5F">
        <w:t>services</w:t>
      </w:r>
      <w:r w:rsidRPr="0084549F">
        <w:rPr>
          <w:spacing w:val="8"/>
        </w:rPr>
        <w:t xml:space="preserve"> </w:t>
      </w:r>
      <w:r w:rsidRPr="006A3C5F">
        <w:t>(CPC</w:t>
      </w:r>
      <w:r w:rsidRPr="0084549F">
        <w:rPr>
          <w:spacing w:val="5"/>
        </w:rPr>
        <w:t xml:space="preserve"> </w:t>
      </w:r>
      <w:r w:rsidRPr="006A3C5F">
        <w:t>643)</w:t>
      </w:r>
      <w:r>
        <w:t xml:space="preserve">, postal and courier services (CPC 751), legal services (CPC 861), investigation and security </w:t>
      </w:r>
      <w:r>
        <w:lastRenderedPageBreak/>
        <w:t xml:space="preserve">services (CPC 873), </w:t>
      </w:r>
      <w:r w:rsidRPr="00A864F4">
        <w:t>administrative services of the government (CPC 9127, 91136)</w:t>
      </w:r>
      <w:r>
        <w:t xml:space="preserve">, </w:t>
      </w:r>
      <w:r w:rsidRPr="006A3C5F">
        <w:t>education</w:t>
      </w:r>
      <w:r w:rsidRPr="0084549F">
        <w:rPr>
          <w:spacing w:val="7"/>
        </w:rPr>
        <w:t xml:space="preserve"> </w:t>
      </w:r>
      <w:r w:rsidRPr="006A3C5F">
        <w:t>services</w:t>
      </w:r>
      <w:r w:rsidRPr="0084549F">
        <w:rPr>
          <w:spacing w:val="8"/>
        </w:rPr>
        <w:t xml:space="preserve"> </w:t>
      </w:r>
      <w:r w:rsidRPr="006A3C5F">
        <w:t>(CPC</w:t>
      </w:r>
      <w:r w:rsidRPr="0084549F">
        <w:rPr>
          <w:spacing w:val="5"/>
        </w:rPr>
        <w:t xml:space="preserve"> </w:t>
      </w:r>
      <w:r w:rsidRPr="006A3C5F">
        <w:t>92)</w:t>
      </w:r>
      <w:r w:rsidRPr="0084549F">
        <w:rPr>
          <w:spacing w:val="8"/>
        </w:rPr>
        <w:t xml:space="preserve"> and </w:t>
      </w:r>
      <w:r w:rsidR="005768DB" w:rsidRPr="0084549F">
        <w:rPr>
          <w:spacing w:val="8"/>
        </w:rPr>
        <w:t>recreational, cultural and sporting services (CPC 96)</w:t>
      </w:r>
      <w:r w:rsidRPr="0084549F">
        <w:rPr>
          <w:spacing w:val="8"/>
        </w:rPr>
        <w:t xml:space="preserve"> </w:t>
      </w:r>
      <w:r w:rsidRPr="006A3C5F">
        <w:t>are</w:t>
      </w:r>
      <w:r w:rsidRPr="0084549F">
        <w:rPr>
          <w:spacing w:val="6"/>
        </w:rPr>
        <w:t xml:space="preserve"> </w:t>
      </w:r>
      <w:r w:rsidRPr="006A3C5F">
        <w:t>included</w:t>
      </w:r>
      <w:r w:rsidRPr="0084549F">
        <w:rPr>
          <w:spacing w:val="5"/>
        </w:rPr>
        <w:t xml:space="preserve"> </w:t>
      </w:r>
      <w:r w:rsidRPr="006A3C5F">
        <w:t>under</w:t>
      </w:r>
      <w:r w:rsidRPr="0084549F">
        <w:rPr>
          <w:spacing w:val="8"/>
        </w:rPr>
        <w:t xml:space="preserve"> </w:t>
      </w:r>
      <w:r w:rsidRPr="006A3C5F">
        <w:t>the</w:t>
      </w:r>
      <w:r w:rsidRPr="0084549F">
        <w:rPr>
          <w:spacing w:val="8"/>
        </w:rPr>
        <w:t xml:space="preserve"> </w:t>
      </w:r>
      <w:r w:rsidRPr="006A3C5F">
        <w:t>national</w:t>
      </w:r>
      <w:r w:rsidRPr="0084549F">
        <w:rPr>
          <w:spacing w:val="59"/>
        </w:rPr>
        <w:t xml:space="preserve"> </w:t>
      </w:r>
      <w:r w:rsidRPr="006A3C5F">
        <w:t>treatment</w:t>
      </w:r>
      <w:r w:rsidRPr="0084549F">
        <w:rPr>
          <w:spacing w:val="30"/>
        </w:rPr>
        <w:t xml:space="preserve"> </w:t>
      </w:r>
      <w:r w:rsidRPr="006A3C5F">
        <w:t>regime</w:t>
      </w:r>
      <w:r w:rsidRPr="0080363B">
        <w:rPr>
          <w:spacing w:val="34"/>
          <w:vertAlign w:val="superscript"/>
        </w:rPr>
        <w:footnoteReference w:id="6"/>
      </w:r>
      <w:r w:rsidRPr="0084549F">
        <w:rPr>
          <w:spacing w:val="34"/>
        </w:rPr>
        <w:t xml:space="preserve"> </w:t>
      </w:r>
      <w:r w:rsidRPr="006A3C5F">
        <w:t>for</w:t>
      </w:r>
      <w:r w:rsidRPr="0084549F">
        <w:rPr>
          <w:spacing w:val="31"/>
        </w:rPr>
        <w:t xml:space="preserve"> </w:t>
      </w:r>
      <w:r w:rsidRPr="006A3C5F">
        <w:t>the</w:t>
      </w:r>
      <w:r w:rsidRPr="0084549F">
        <w:rPr>
          <w:spacing w:val="31"/>
        </w:rPr>
        <w:t xml:space="preserve"> </w:t>
      </w:r>
      <w:r w:rsidRPr="006A3C5F">
        <w:t>suppliers,</w:t>
      </w:r>
      <w:r w:rsidRPr="0084549F">
        <w:rPr>
          <w:spacing w:val="34"/>
        </w:rPr>
        <w:t xml:space="preserve"> </w:t>
      </w:r>
      <w:r w:rsidRPr="006A3C5F">
        <w:t>including</w:t>
      </w:r>
      <w:r w:rsidRPr="0084549F">
        <w:rPr>
          <w:spacing w:val="33"/>
        </w:rPr>
        <w:t xml:space="preserve"> </w:t>
      </w:r>
      <w:r w:rsidRPr="0084549F">
        <w:rPr>
          <w:spacing w:val="-2"/>
        </w:rPr>
        <w:t>service</w:t>
      </w:r>
      <w:r w:rsidRPr="0084549F">
        <w:rPr>
          <w:spacing w:val="34"/>
        </w:rPr>
        <w:t xml:space="preserve"> </w:t>
      </w:r>
      <w:r w:rsidRPr="006A3C5F">
        <w:t>providers,</w:t>
      </w:r>
      <w:r w:rsidRPr="0084549F">
        <w:rPr>
          <w:spacing w:val="31"/>
        </w:rPr>
        <w:t xml:space="preserve"> </w:t>
      </w:r>
      <w:r w:rsidRPr="006A3C5F">
        <w:t>of</w:t>
      </w:r>
      <w:r w:rsidRPr="0084549F">
        <w:rPr>
          <w:spacing w:val="31"/>
        </w:rPr>
        <w:t xml:space="preserve"> </w:t>
      </w:r>
      <w:r w:rsidRPr="006A3C5F">
        <w:t>the</w:t>
      </w:r>
      <w:r w:rsidRPr="0084549F">
        <w:rPr>
          <w:spacing w:val="37"/>
        </w:rPr>
        <w:t xml:space="preserve"> </w:t>
      </w:r>
      <w:r w:rsidRPr="006A3C5F">
        <w:t>United</w:t>
      </w:r>
      <w:r w:rsidRPr="0084549F">
        <w:rPr>
          <w:spacing w:val="30"/>
        </w:rPr>
        <w:t xml:space="preserve"> </w:t>
      </w:r>
      <w:r w:rsidRPr="006A3C5F">
        <w:t>Kingdom,</w:t>
      </w:r>
      <w:r w:rsidRPr="0084549F">
        <w:rPr>
          <w:spacing w:val="34"/>
        </w:rPr>
        <w:t xml:space="preserve"> </w:t>
      </w:r>
      <w:r w:rsidRPr="006A3C5F">
        <w:t>provided</w:t>
      </w:r>
      <w:r w:rsidRPr="0084549F">
        <w:rPr>
          <w:spacing w:val="81"/>
        </w:rPr>
        <w:t xml:space="preserve"> </w:t>
      </w:r>
      <w:r w:rsidRPr="006A3C5F">
        <w:t>that</w:t>
      </w:r>
      <w:r w:rsidRPr="0084549F">
        <w:rPr>
          <w:spacing w:val="3"/>
        </w:rPr>
        <w:t xml:space="preserve"> </w:t>
      </w:r>
      <w:r w:rsidRPr="006A3C5F">
        <w:t>their value</w:t>
      </w:r>
      <w:r w:rsidRPr="0084549F">
        <w:rPr>
          <w:spacing w:val="4"/>
        </w:rPr>
        <w:t xml:space="preserve"> </w:t>
      </w:r>
      <w:r w:rsidRPr="006A3C5F">
        <w:t>equals or</w:t>
      </w:r>
      <w:r w:rsidRPr="0084549F">
        <w:rPr>
          <w:spacing w:val="3"/>
        </w:rPr>
        <w:t xml:space="preserve"> </w:t>
      </w:r>
      <w:r w:rsidRPr="006A3C5F">
        <w:t>exceeds</w:t>
      </w:r>
      <w:r w:rsidRPr="0084549F">
        <w:rPr>
          <w:spacing w:val="2"/>
        </w:rPr>
        <w:t xml:space="preserve"> </w:t>
      </w:r>
      <w:r w:rsidRPr="006A3C5F">
        <w:t>EUR</w:t>
      </w:r>
      <w:r w:rsidRPr="0084549F">
        <w:rPr>
          <w:spacing w:val="1"/>
        </w:rPr>
        <w:t xml:space="preserve"> </w:t>
      </w:r>
      <w:r w:rsidRPr="006A3C5F">
        <w:t>750,000</w:t>
      </w:r>
      <w:r w:rsidRPr="0084549F">
        <w:rPr>
          <w:spacing w:val="1"/>
        </w:rPr>
        <w:t xml:space="preserve"> </w:t>
      </w:r>
      <w:r w:rsidRPr="006A3C5F">
        <w:t>when</w:t>
      </w:r>
      <w:r w:rsidRPr="0084549F">
        <w:rPr>
          <w:spacing w:val="2"/>
        </w:rPr>
        <w:t xml:space="preserve"> </w:t>
      </w:r>
      <w:r w:rsidRPr="006A3C5F">
        <w:t>they</w:t>
      </w:r>
      <w:r w:rsidRPr="0084549F">
        <w:rPr>
          <w:spacing w:val="4"/>
        </w:rPr>
        <w:t xml:space="preserve"> </w:t>
      </w:r>
      <w:r w:rsidRPr="006A3C5F">
        <w:t>are</w:t>
      </w:r>
      <w:r w:rsidRPr="0084549F">
        <w:rPr>
          <w:spacing w:val="3"/>
        </w:rPr>
        <w:t xml:space="preserve"> </w:t>
      </w:r>
      <w:r w:rsidRPr="006A3C5F">
        <w:t>awarded</w:t>
      </w:r>
      <w:r w:rsidRPr="0084549F">
        <w:rPr>
          <w:spacing w:val="49"/>
        </w:rPr>
        <w:t xml:space="preserve"> </w:t>
      </w:r>
      <w:r w:rsidRPr="006A3C5F">
        <w:t>by</w:t>
      </w:r>
      <w:r w:rsidRPr="0084549F">
        <w:rPr>
          <w:spacing w:val="4"/>
        </w:rPr>
        <w:t xml:space="preserve"> </w:t>
      </w:r>
      <w:r w:rsidRPr="006A3C5F">
        <w:t>procuring</w:t>
      </w:r>
      <w:r w:rsidRPr="0084549F">
        <w:rPr>
          <w:spacing w:val="2"/>
        </w:rPr>
        <w:t xml:space="preserve"> </w:t>
      </w:r>
      <w:r w:rsidRPr="006A3C5F">
        <w:t>entities</w:t>
      </w:r>
      <w:r w:rsidRPr="0084549F">
        <w:rPr>
          <w:spacing w:val="59"/>
        </w:rPr>
        <w:t xml:space="preserve"> </w:t>
      </w:r>
      <w:r w:rsidRPr="006A3C5F">
        <w:t>covered</w:t>
      </w:r>
      <w:r w:rsidRPr="0084549F">
        <w:rPr>
          <w:spacing w:val="2"/>
        </w:rPr>
        <w:t xml:space="preserve"> </w:t>
      </w:r>
      <w:r w:rsidRPr="006A3C5F">
        <w:t>under</w:t>
      </w:r>
      <w:r w:rsidRPr="0084549F">
        <w:rPr>
          <w:spacing w:val="3"/>
        </w:rPr>
        <w:t xml:space="preserve"> </w:t>
      </w:r>
      <w:r w:rsidRPr="006A3C5F">
        <w:t>Annexes</w:t>
      </w:r>
      <w:r w:rsidRPr="0084549F">
        <w:rPr>
          <w:spacing w:val="3"/>
        </w:rPr>
        <w:t xml:space="preserve"> </w:t>
      </w:r>
      <w:r w:rsidRPr="006A3C5F">
        <w:t>1 and</w:t>
      </w:r>
      <w:r w:rsidRPr="0084549F">
        <w:rPr>
          <w:spacing w:val="2"/>
        </w:rPr>
        <w:t xml:space="preserve"> </w:t>
      </w:r>
      <w:r w:rsidRPr="006A3C5F">
        <w:t>2</w:t>
      </w:r>
      <w:r w:rsidRPr="0084549F">
        <w:rPr>
          <w:spacing w:val="3"/>
        </w:rPr>
        <w:t xml:space="preserve"> </w:t>
      </w:r>
      <w:r w:rsidRPr="006A3C5F">
        <w:t>of</w:t>
      </w:r>
      <w:r w:rsidRPr="0084549F">
        <w:rPr>
          <w:spacing w:val="2"/>
        </w:rPr>
        <w:t xml:space="preserve"> Norway</w:t>
      </w:r>
      <w:r w:rsidR="00824443">
        <w:t>’</w:t>
      </w:r>
      <w:r>
        <w:t>s</w:t>
      </w:r>
      <w:r w:rsidRPr="0084549F">
        <w:rPr>
          <w:spacing w:val="4"/>
        </w:rPr>
        <w:t xml:space="preserve"> </w:t>
      </w:r>
      <w:r w:rsidRPr="006A3C5F">
        <w:t>Appendix</w:t>
      </w:r>
      <w:r w:rsidRPr="0084549F">
        <w:rPr>
          <w:spacing w:val="2"/>
        </w:rPr>
        <w:t xml:space="preserve"> </w:t>
      </w:r>
      <w:r w:rsidRPr="006A3C5F">
        <w:t>I</w:t>
      </w:r>
      <w:r w:rsidRPr="0084549F">
        <w:rPr>
          <w:spacing w:val="2"/>
        </w:rPr>
        <w:t xml:space="preserve"> </w:t>
      </w:r>
      <w:r w:rsidRPr="006A3C5F">
        <w:t>to</w:t>
      </w:r>
      <w:r w:rsidRPr="0084549F">
        <w:rPr>
          <w:spacing w:val="3"/>
        </w:rPr>
        <w:t xml:space="preserve"> </w:t>
      </w:r>
      <w:r w:rsidRPr="006A3C5F">
        <w:t>the</w:t>
      </w:r>
      <w:r w:rsidRPr="0084549F">
        <w:rPr>
          <w:spacing w:val="3"/>
        </w:rPr>
        <w:t xml:space="preserve"> </w:t>
      </w:r>
      <w:r w:rsidRPr="006A3C5F">
        <w:t>GPA and</w:t>
      </w:r>
      <w:r w:rsidRPr="0084549F">
        <w:rPr>
          <w:spacing w:val="2"/>
        </w:rPr>
        <w:t xml:space="preserve"> </w:t>
      </w:r>
      <w:r w:rsidRPr="006A3C5F">
        <w:t>that</w:t>
      </w:r>
      <w:r w:rsidRPr="0084549F">
        <w:rPr>
          <w:spacing w:val="2"/>
        </w:rPr>
        <w:t xml:space="preserve"> </w:t>
      </w:r>
      <w:r w:rsidRPr="006A3C5F">
        <w:t>their</w:t>
      </w:r>
      <w:r w:rsidRPr="0084549F">
        <w:rPr>
          <w:spacing w:val="2"/>
        </w:rPr>
        <w:t xml:space="preserve"> </w:t>
      </w:r>
      <w:r w:rsidRPr="006A3C5F">
        <w:t>value</w:t>
      </w:r>
      <w:r w:rsidRPr="0084549F">
        <w:rPr>
          <w:spacing w:val="53"/>
        </w:rPr>
        <w:t xml:space="preserve"> </w:t>
      </w:r>
      <w:r w:rsidRPr="006A3C5F">
        <w:t>equals</w:t>
      </w:r>
      <w:r w:rsidRPr="0084549F">
        <w:rPr>
          <w:spacing w:val="2"/>
        </w:rPr>
        <w:t xml:space="preserve"> </w:t>
      </w:r>
      <w:r w:rsidRPr="006A3C5F">
        <w:t>or</w:t>
      </w:r>
      <w:r w:rsidRPr="0084549F">
        <w:rPr>
          <w:spacing w:val="2"/>
        </w:rPr>
        <w:t xml:space="preserve"> </w:t>
      </w:r>
      <w:r w:rsidRPr="006A3C5F">
        <w:t>exceeds</w:t>
      </w:r>
      <w:r w:rsidRPr="0084549F">
        <w:rPr>
          <w:spacing w:val="2"/>
        </w:rPr>
        <w:t xml:space="preserve"> </w:t>
      </w:r>
      <w:r w:rsidRPr="006A3C5F">
        <w:t xml:space="preserve">EUR </w:t>
      </w:r>
      <w:r w:rsidRPr="0084549F">
        <w:rPr>
          <w:spacing w:val="-2"/>
        </w:rPr>
        <w:t>1,000,000</w:t>
      </w:r>
      <w:r w:rsidRPr="0084549F">
        <w:rPr>
          <w:spacing w:val="3"/>
        </w:rPr>
        <w:t xml:space="preserve"> </w:t>
      </w:r>
      <w:r w:rsidRPr="006A3C5F">
        <w:t>when</w:t>
      </w:r>
      <w:r w:rsidRPr="0084549F">
        <w:rPr>
          <w:spacing w:val="2"/>
        </w:rPr>
        <w:t xml:space="preserve"> </w:t>
      </w:r>
      <w:r w:rsidRPr="006A3C5F">
        <w:t>they</w:t>
      </w:r>
      <w:r w:rsidRPr="0084549F">
        <w:rPr>
          <w:spacing w:val="4"/>
        </w:rPr>
        <w:t xml:space="preserve"> </w:t>
      </w:r>
      <w:r w:rsidRPr="006A3C5F">
        <w:t>are</w:t>
      </w:r>
      <w:r w:rsidRPr="0084549F">
        <w:rPr>
          <w:spacing w:val="3"/>
        </w:rPr>
        <w:t xml:space="preserve"> </w:t>
      </w:r>
      <w:r w:rsidRPr="006A3C5F">
        <w:t>awarded</w:t>
      </w:r>
      <w:r w:rsidRPr="0084549F">
        <w:rPr>
          <w:spacing w:val="2"/>
        </w:rPr>
        <w:t xml:space="preserve"> </w:t>
      </w:r>
      <w:r w:rsidRPr="006A3C5F">
        <w:t>by</w:t>
      </w:r>
      <w:r w:rsidRPr="0084549F">
        <w:rPr>
          <w:spacing w:val="3"/>
        </w:rPr>
        <w:t xml:space="preserve"> </w:t>
      </w:r>
      <w:r w:rsidRPr="006A3C5F">
        <w:t>procuring</w:t>
      </w:r>
      <w:r w:rsidRPr="0084549F">
        <w:rPr>
          <w:spacing w:val="2"/>
        </w:rPr>
        <w:t xml:space="preserve"> </w:t>
      </w:r>
      <w:r w:rsidRPr="006A3C5F">
        <w:t>entities</w:t>
      </w:r>
      <w:r w:rsidRPr="0084549F">
        <w:rPr>
          <w:spacing w:val="3"/>
        </w:rPr>
        <w:t xml:space="preserve"> </w:t>
      </w:r>
      <w:r w:rsidRPr="006A3C5F">
        <w:t>covered</w:t>
      </w:r>
      <w:r w:rsidRPr="0084549F">
        <w:rPr>
          <w:spacing w:val="2"/>
        </w:rPr>
        <w:t xml:space="preserve"> </w:t>
      </w:r>
      <w:r w:rsidRPr="006A3C5F">
        <w:t>under</w:t>
      </w:r>
      <w:r w:rsidRPr="0084549F">
        <w:rPr>
          <w:spacing w:val="3"/>
        </w:rPr>
        <w:t xml:space="preserve"> </w:t>
      </w:r>
      <w:r w:rsidRPr="006A3C5F">
        <w:t>Annex</w:t>
      </w:r>
      <w:r w:rsidRPr="0084549F">
        <w:rPr>
          <w:spacing w:val="69"/>
        </w:rPr>
        <w:t xml:space="preserve"> </w:t>
      </w:r>
      <w:r w:rsidRPr="006A3C5F">
        <w:t>3 of</w:t>
      </w:r>
      <w:r w:rsidRPr="0084549F">
        <w:rPr>
          <w:spacing w:val="2"/>
        </w:rPr>
        <w:t xml:space="preserve"> </w:t>
      </w:r>
      <w:r>
        <w:t>Norway’s</w:t>
      </w:r>
      <w:r w:rsidRPr="0084549F">
        <w:rPr>
          <w:spacing w:val="1"/>
        </w:rPr>
        <w:t xml:space="preserve"> </w:t>
      </w:r>
      <w:r w:rsidRPr="006A3C5F">
        <w:t>Appendix</w:t>
      </w:r>
      <w:r w:rsidRPr="0084549F">
        <w:rPr>
          <w:spacing w:val="2"/>
        </w:rPr>
        <w:t xml:space="preserve"> </w:t>
      </w:r>
      <w:r w:rsidRPr="006A3C5F">
        <w:t>I</w:t>
      </w:r>
      <w:r w:rsidRPr="0084549F">
        <w:rPr>
          <w:spacing w:val="2"/>
        </w:rPr>
        <w:t xml:space="preserve"> </w:t>
      </w:r>
      <w:r w:rsidRPr="006A3C5F">
        <w:t>to</w:t>
      </w:r>
      <w:r w:rsidRPr="0084549F">
        <w:rPr>
          <w:spacing w:val="1"/>
        </w:rPr>
        <w:t xml:space="preserve"> </w:t>
      </w:r>
      <w:r w:rsidRPr="006A3C5F">
        <w:t>the GPA or by</w:t>
      </w:r>
      <w:r w:rsidRPr="0084549F">
        <w:rPr>
          <w:spacing w:val="3"/>
        </w:rPr>
        <w:t xml:space="preserve"> </w:t>
      </w:r>
      <w:r w:rsidRPr="006A3C5F">
        <w:t>procuring</w:t>
      </w:r>
      <w:r w:rsidRPr="0084549F">
        <w:rPr>
          <w:spacing w:val="2"/>
        </w:rPr>
        <w:t xml:space="preserve"> </w:t>
      </w:r>
      <w:r w:rsidRPr="006A3C5F">
        <w:t>entities covered</w:t>
      </w:r>
      <w:r w:rsidRPr="0084549F">
        <w:rPr>
          <w:spacing w:val="2"/>
        </w:rPr>
        <w:t xml:space="preserve"> </w:t>
      </w:r>
      <w:r w:rsidRPr="006A3C5F">
        <w:t>by</w:t>
      </w:r>
      <w:r w:rsidRPr="0084549F">
        <w:rPr>
          <w:spacing w:val="3"/>
        </w:rPr>
        <w:t xml:space="preserve"> </w:t>
      </w:r>
      <w:r w:rsidRPr="006A3C5F">
        <w:t>paragraph 1</w:t>
      </w:r>
      <w:r w:rsidR="0080363B">
        <w:t xml:space="preserve"> (Additional procuring entities) of this</w:t>
      </w:r>
      <w:r w:rsidR="00865A24">
        <w:t xml:space="preserve"> Section C</w:t>
      </w:r>
      <w:r w:rsidR="0080363B">
        <w:t xml:space="preserve"> </w:t>
      </w:r>
      <w:r w:rsidR="00865A24">
        <w:t xml:space="preserve">of </w:t>
      </w:r>
      <w:r w:rsidR="0080363B">
        <w:t>Part</w:t>
      </w:r>
      <w:r w:rsidR="00865A24">
        <w:t xml:space="preserve"> B</w:t>
      </w:r>
      <w:r w:rsidRPr="006A3C5F">
        <w:t>.</w:t>
      </w:r>
      <w:r w:rsidR="00E3624C" w:rsidRPr="0080363B">
        <w:rPr>
          <w:vertAlign w:val="superscript"/>
        </w:rPr>
        <w:footnoteReference w:id="7"/>
      </w:r>
    </w:p>
    <w:p w14:paraId="0F6FCB00" w14:textId="77777777" w:rsidR="00962720" w:rsidRDefault="00962720" w:rsidP="003454A1">
      <w:pPr>
        <w:pStyle w:val="FTAtextlistedparagraphs"/>
        <w:numPr>
          <w:ilvl w:val="1"/>
          <w:numId w:val="24"/>
        </w:numPr>
      </w:pPr>
      <w:r>
        <w:t>The following legal services (CPC 861) are not covered:</w:t>
      </w:r>
    </w:p>
    <w:p w14:paraId="4ECB6609" w14:textId="65C0292F" w:rsidR="00962720" w:rsidRDefault="00962720" w:rsidP="003454A1">
      <w:pPr>
        <w:pStyle w:val="FTAtextlistedparagraphs"/>
        <w:numPr>
          <w:ilvl w:val="2"/>
          <w:numId w:val="24"/>
        </w:numPr>
      </w:pPr>
      <w:r>
        <w:t>legal representation of a client by a lawyer in:</w:t>
      </w:r>
    </w:p>
    <w:p w14:paraId="6C165975" w14:textId="53699EA5" w:rsidR="00962720" w:rsidRDefault="00962720" w:rsidP="003454A1">
      <w:pPr>
        <w:pStyle w:val="FTAtextlistedparagraphs"/>
        <w:numPr>
          <w:ilvl w:val="4"/>
          <w:numId w:val="24"/>
        </w:numPr>
        <w:tabs>
          <w:tab w:val="clear" w:pos="1360"/>
        </w:tabs>
        <w:ind w:left="2835" w:hanging="708"/>
      </w:pPr>
      <w:r>
        <w:t>an arbitration or conciliation held in Norway, another country or before an international arbitration or conciliation instance</w:t>
      </w:r>
      <w:r w:rsidR="00C1263B">
        <w:t>;</w:t>
      </w:r>
      <w:r>
        <w:t xml:space="preserve"> or</w:t>
      </w:r>
    </w:p>
    <w:p w14:paraId="3072D6D0" w14:textId="77777777" w:rsidR="00962720" w:rsidRDefault="00962720" w:rsidP="003454A1">
      <w:pPr>
        <w:pStyle w:val="FTAtextlistedparagraphs"/>
        <w:numPr>
          <w:ilvl w:val="4"/>
          <w:numId w:val="24"/>
        </w:numPr>
        <w:tabs>
          <w:tab w:val="clear" w:pos="1360"/>
        </w:tabs>
        <w:ind w:left="2835" w:hanging="708"/>
      </w:pPr>
      <w:r>
        <w:t xml:space="preserve">judicial proceedings before the courts, tribunals or public authorities of Norway, another country or before international courts, tribunals or </w:t>
      </w:r>
      <w:proofErr w:type="gramStart"/>
      <w:r>
        <w:t>institutions;</w:t>
      </w:r>
      <w:proofErr w:type="gramEnd"/>
    </w:p>
    <w:p w14:paraId="40A7C666" w14:textId="4DD30653" w:rsidR="00962720" w:rsidRDefault="00962720" w:rsidP="003454A1">
      <w:pPr>
        <w:pStyle w:val="FTAtextlistedparagraphs"/>
        <w:numPr>
          <w:ilvl w:val="2"/>
          <w:numId w:val="24"/>
        </w:numPr>
      </w:pPr>
      <w:r>
        <w:t>legal advice given</w:t>
      </w:r>
      <w:r w:rsidR="0036635E">
        <w:t>:</w:t>
      </w:r>
      <w:r>
        <w:t xml:space="preserve"> </w:t>
      </w:r>
    </w:p>
    <w:p w14:paraId="7F7312EA" w14:textId="3D6A7B5D" w:rsidR="00962720" w:rsidRDefault="00962720" w:rsidP="003454A1">
      <w:pPr>
        <w:pStyle w:val="FTAtextlistedparagraphs"/>
        <w:numPr>
          <w:ilvl w:val="4"/>
          <w:numId w:val="37"/>
        </w:numPr>
        <w:tabs>
          <w:tab w:val="clear" w:pos="1360"/>
        </w:tabs>
        <w:ind w:left="2835" w:hanging="708"/>
      </w:pPr>
      <w:r w:rsidRPr="0073064C">
        <w:t xml:space="preserve">in preparation of any of the proceedings referred to in </w:t>
      </w:r>
      <w:r w:rsidR="008279F1">
        <w:t>sub</w:t>
      </w:r>
      <w:r w:rsidRPr="0073064C">
        <w:t xml:space="preserve">paragraph </w:t>
      </w:r>
      <w:r w:rsidR="008279F1">
        <w:t>(a)</w:t>
      </w:r>
      <w:r w:rsidR="00C1263B">
        <w:t>;</w:t>
      </w:r>
      <w:r w:rsidRPr="0073064C">
        <w:t xml:space="preserve"> or</w:t>
      </w:r>
    </w:p>
    <w:p w14:paraId="7CA98F5E" w14:textId="77777777" w:rsidR="00962720" w:rsidRDefault="00962720" w:rsidP="003454A1">
      <w:pPr>
        <w:pStyle w:val="FTAtextlistedparagraphs"/>
        <w:numPr>
          <w:ilvl w:val="4"/>
          <w:numId w:val="37"/>
        </w:numPr>
        <w:tabs>
          <w:tab w:val="clear" w:pos="1360"/>
        </w:tabs>
        <w:ind w:left="2835" w:hanging="708"/>
      </w:pPr>
      <w:r>
        <w:t>where there is a tangible indication and high probability that the matter to which the advice relates will become the subject of such proceedings,</w:t>
      </w:r>
    </w:p>
    <w:p w14:paraId="0FEE0CCD" w14:textId="1737F707" w:rsidR="00962720" w:rsidRDefault="00626C96" w:rsidP="008E6CF6">
      <w:pPr>
        <w:pStyle w:val="FTAtextlistedparagraphs"/>
        <w:numPr>
          <w:ilvl w:val="0"/>
          <w:numId w:val="0"/>
        </w:numPr>
        <w:ind w:left="709"/>
      </w:pPr>
      <w:r>
        <w:tab/>
      </w:r>
      <w:r>
        <w:tab/>
      </w:r>
      <w:r w:rsidR="00962720">
        <w:t>provided that the advice is given by a lawyer;</w:t>
      </w:r>
    </w:p>
    <w:p w14:paraId="3A6DCD7E" w14:textId="77777777" w:rsidR="00962720" w:rsidRDefault="00962720" w:rsidP="003454A1">
      <w:pPr>
        <w:pStyle w:val="FTAtextlistedparagraphs"/>
        <w:numPr>
          <w:ilvl w:val="2"/>
          <w:numId w:val="24"/>
        </w:numPr>
      </w:pPr>
      <w:r>
        <w:t>document certification and authentication services which must be provided by notaries;</w:t>
      </w:r>
    </w:p>
    <w:p w14:paraId="21713D62" w14:textId="77E12665" w:rsidR="00962720" w:rsidRDefault="00962720" w:rsidP="003454A1">
      <w:pPr>
        <w:pStyle w:val="FTAtextlistedparagraphs"/>
        <w:numPr>
          <w:ilvl w:val="2"/>
          <w:numId w:val="24"/>
        </w:numPr>
      </w:pPr>
      <w:r>
        <w:t>legal services provided by trustees or appointed guardians or other legal services the providers of which are designated by a court or tribunal in Norway or are designated by law to carry out specific tasks under the supervision of such tribunals or courts;</w:t>
      </w:r>
      <w:r w:rsidR="0036635E">
        <w:t xml:space="preserve"> or</w:t>
      </w:r>
    </w:p>
    <w:p w14:paraId="1B8DDC0C" w14:textId="7A2C8FFD" w:rsidR="00962720" w:rsidRPr="00171131" w:rsidRDefault="00962720" w:rsidP="003454A1">
      <w:pPr>
        <w:pStyle w:val="FTAtextlistedparagraphs"/>
        <w:numPr>
          <w:ilvl w:val="2"/>
          <w:numId w:val="24"/>
        </w:numPr>
      </w:pPr>
      <w:r>
        <w:lastRenderedPageBreak/>
        <w:t>other legal services which in Norway are connected, even occasionally, with the exercise of official authority.</w:t>
      </w:r>
    </w:p>
    <w:p w14:paraId="0E4E99B2" w14:textId="3B102C86" w:rsidR="00DF06C0" w:rsidRPr="001652F4" w:rsidRDefault="00962720" w:rsidP="003454A1">
      <w:pPr>
        <w:pStyle w:val="FTAtextlistedparagraphs"/>
        <w:numPr>
          <w:ilvl w:val="1"/>
          <w:numId w:val="23"/>
        </w:numPr>
      </w:pPr>
      <w:r w:rsidRPr="002A6ED6">
        <w:t xml:space="preserve">Procurement of any of the services covered under this </w:t>
      </w:r>
      <w:r>
        <w:t>Appendix</w:t>
      </w:r>
      <w:r w:rsidRPr="002A6ED6">
        <w:t xml:space="preserve"> </w:t>
      </w:r>
      <w:r w:rsidR="00865A24" w:rsidRPr="002A6ED6">
        <w:t>by procuring entities covered under this</w:t>
      </w:r>
      <w:r w:rsidR="00F46025">
        <w:t xml:space="preserve"> Agreement</w:t>
      </w:r>
      <w:r w:rsidR="00865A24" w:rsidRPr="002A6ED6">
        <w:t xml:space="preserve"> </w:t>
      </w:r>
      <w:r w:rsidRPr="002A6ED6">
        <w:t xml:space="preserve">is a covered procurement </w:t>
      </w:r>
      <w:r>
        <w:t xml:space="preserve">with </w:t>
      </w:r>
      <w:r w:rsidRPr="002A6ED6">
        <w:t xml:space="preserve">regard </w:t>
      </w:r>
      <w:r>
        <w:t xml:space="preserve">to a </w:t>
      </w:r>
      <w:r w:rsidR="00865A24">
        <w:t xml:space="preserve">service </w:t>
      </w:r>
      <w:r>
        <w:t xml:space="preserve">provider of </w:t>
      </w:r>
      <w:r w:rsidR="00865A24">
        <w:t>the</w:t>
      </w:r>
      <w:r>
        <w:t xml:space="preserve"> U</w:t>
      </w:r>
      <w:r w:rsidR="00865A24">
        <w:t xml:space="preserve">nited </w:t>
      </w:r>
      <w:r>
        <w:t>K</w:t>
      </w:r>
      <w:r w:rsidR="00865A24">
        <w:t>ingdom</w:t>
      </w:r>
      <w:r>
        <w:t xml:space="preserve"> only to the extent that </w:t>
      </w:r>
      <w:r w:rsidR="00865A24">
        <w:t xml:space="preserve">the </w:t>
      </w:r>
      <w:r>
        <w:t>U</w:t>
      </w:r>
      <w:r w:rsidR="00865A24">
        <w:t xml:space="preserve">nited </w:t>
      </w:r>
      <w:r>
        <w:t>K</w:t>
      </w:r>
      <w:r w:rsidR="00865A24">
        <w:t>ingdom</w:t>
      </w:r>
      <w:r>
        <w:t xml:space="preserve"> has </w:t>
      </w:r>
      <w:r w:rsidRPr="002A6ED6">
        <w:t>covered that service</w:t>
      </w:r>
      <w:r>
        <w:t xml:space="preserve"> under this Appendix</w:t>
      </w:r>
      <w:r w:rsidR="00865A24">
        <w:t xml:space="preserve"> (including the United Kingdom’s coverage under Article II of the GPA)</w:t>
      </w:r>
      <w:r w:rsidRPr="002A6ED6">
        <w:t>.</w:t>
      </w:r>
    </w:p>
    <w:p w14:paraId="25999639" w14:textId="2C37A36F" w:rsidR="00CA31DE" w:rsidRPr="00242218" w:rsidRDefault="00CA31DE" w:rsidP="003454A1">
      <w:pPr>
        <w:pStyle w:val="FTAtextlistedparagraphs"/>
        <w:numPr>
          <w:ilvl w:val="0"/>
          <w:numId w:val="25"/>
        </w:numPr>
        <w:rPr>
          <w:b/>
          <w:bCs/>
          <w:lang w:val="en-US"/>
        </w:rPr>
      </w:pPr>
      <w:r w:rsidRPr="00242218">
        <w:rPr>
          <w:b/>
          <w:bCs/>
          <w:lang w:val="en-US"/>
        </w:rPr>
        <w:t>Concession contracts</w:t>
      </w:r>
    </w:p>
    <w:p w14:paraId="021B5FE2" w14:textId="7BBC9774" w:rsidR="00C71AC2" w:rsidRDefault="00A864F4" w:rsidP="00AD1C09">
      <w:pPr>
        <w:pStyle w:val="FTAtextlistedparagraphs"/>
        <w:numPr>
          <w:ilvl w:val="0"/>
          <w:numId w:val="0"/>
        </w:numPr>
        <w:ind w:left="709"/>
        <w:rPr>
          <w:lang w:val="en-US"/>
        </w:rPr>
      </w:pPr>
      <w:r>
        <w:rPr>
          <w:lang w:val="en-US"/>
        </w:rPr>
        <w:t>Works concessions</w:t>
      </w:r>
      <w:r w:rsidR="000C2091" w:rsidRPr="00264AAF">
        <w:rPr>
          <w:lang w:val="en-US"/>
        </w:rPr>
        <w:t xml:space="preserve"> </w:t>
      </w:r>
      <w:r w:rsidR="00CA31DE" w:rsidRPr="00264AAF">
        <w:rPr>
          <w:lang w:val="en-US"/>
        </w:rPr>
        <w:t>for entities covered under Annex</w:t>
      </w:r>
      <w:r>
        <w:rPr>
          <w:lang w:val="en-US"/>
        </w:rPr>
        <w:t>es</w:t>
      </w:r>
      <w:r w:rsidR="00CA31DE" w:rsidRPr="00264AAF">
        <w:rPr>
          <w:lang w:val="en-US"/>
        </w:rPr>
        <w:t xml:space="preserve"> 1</w:t>
      </w:r>
      <w:r>
        <w:rPr>
          <w:lang w:val="en-US"/>
        </w:rPr>
        <w:t xml:space="preserve"> and 2</w:t>
      </w:r>
      <w:r w:rsidR="00CA31DE" w:rsidRPr="00264AAF">
        <w:rPr>
          <w:lang w:val="en-US"/>
        </w:rPr>
        <w:t xml:space="preserve"> of Norway’s Appendix 1 to the GPA, are included under the national treatment regime for the suppliers, including service providers, of the United Kingdom, provided their value equals or exceeds 5.000.000 SDR.</w:t>
      </w:r>
      <w:r>
        <w:rPr>
          <w:lang w:val="en-US"/>
        </w:rPr>
        <w:t xml:space="preserve"> </w:t>
      </w:r>
      <w:r w:rsidR="00AE5472">
        <w:rPr>
          <w:lang w:val="en-US"/>
        </w:rPr>
        <w:t>Service c</w:t>
      </w:r>
      <w:r>
        <w:rPr>
          <w:lang w:val="en-US"/>
        </w:rPr>
        <w:t>oncessions for services</w:t>
      </w:r>
      <w:r w:rsidR="00AE5472">
        <w:rPr>
          <w:lang w:val="en-US"/>
        </w:rPr>
        <w:t xml:space="preserve"> covered under Annex 5 of Norway’s Appendix 1 to the GPA or under paragraph 2 </w:t>
      </w:r>
      <w:r w:rsidR="0080363B">
        <w:rPr>
          <w:lang w:val="en-US"/>
        </w:rPr>
        <w:t xml:space="preserve">(Additional services) </w:t>
      </w:r>
      <w:r w:rsidR="00AE5472">
        <w:rPr>
          <w:lang w:val="en-US"/>
        </w:rPr>
        <w:t>of this</w:t>
      </w:r>
      <w:r w:rsidR="00865A24">
        <w:rPr>
          <w:lang w:val="en-US"/>
        </w:rPr>
        <w:t xml:space="preserve"> Section C of</w:t>
      </w:r>
      <w:r w:rsidR="00AE5472">
        <w:rPr>
          <w:lang w:val="en-US"/>
        </w:rPr>
        <w:t xml:space="preserve"> </w:t>
      </w:r>
      <w:r w:rsidR="0080363B">
        <w:rPr>
          <w:lang w:val="en-US"/>
        </w:rPr>
        <w:t>Part</w:t>
      </w:r>
      <w:r w:rsidR="00865A24">
        <w:rPr>
          <w:lang w:val="en-US"/>
        </w:rPr>
        <w:t xml:space="preserve"> B</w:t>
      </w:r>
      <w:r w:rsidR="00AE5472">
        <w:rPr>
          <w:lang w:val="en-US"/>
        </w:rPr>
        <w:t>, for entities covered under Annexes 1 and 2 of Norway’s Appendix 1 to the GPA</w:t>
      </w:r>
      <w:r w:rsidR="00600D69">
        <w:rPr>
          <w:lang w:val="en-US"/>
        </w:rPr>
        <w:t xml:space="preserve"> are included under the national treatment regime for the suppliers, including service providers, of the United Kingdom, provided their value equals or exceeds 5.000.000 SDR. </w:t>
      </w:r>
    </w:p>
    <w:p w14:paraId="3BD5189D" w14:textId="590C9505" w:rsidR="006A3C5F" w:rsidRDefault="00626C96" w:rsidP="00AD1C09">
      <w:pPr>
        <w:pStyle w:val="FTAtext"/>
        <w:ind w:firstLine="0"/>
      </w:pPr>
      <w:r>
        <w:tab/>
      </w:r>
      <w:r w:rsidR="006A3C5F" w:rsidRPr="00903280">
        <w:t>Notes</w:t>
      </w:r>
      <w:r w:rsidR="00962720">
        <w:t xml:space="preserve"> to paragraph 3:</w:t>
      </w:r>
    </w:p>
    <w:p w14:paraId="06A8E3A3" w14:textId="3B4E80E6" w:rsidR="00962720" w:rsidRDefault="00962720" w:rsidP="003454A1">
      <w:pPr>
        <w:pStyle w:val="FTAtextlistedparagraphs"/>
        <w:numPr>
          <w:ilvl w:val="1"/>
          <w:numId w:val="26"/>
        </w:numPr>
      </w:pPr>
      <w:r w:rsidRPr="00962720">
        <w:t xml:space="preserve">“Works concessions” and “service concessions” are as defined in </w:t>
      </w:r>
      <w:r w:rsidR="003152BC">
        <w:t>A</w:t>
      </w:r>
      <w:r w:rsidRPr="00962720">
        <w:t xml:space="preserve">rticle 5 in </w:t>
      </w:r>
      <w:r w:rsidR="003152BC" w:rsidRPr="003B103E">
        <w:t>Directive 2014/23/EU of the European Parliament and of the Council of 26 February 2014 on the award of concession contracts</w:t>
      </w:r>
      <w:r>
        <w:t xml:space="preserve">. </w:t>
      </w:r>
    </w:p>
    <w:p w14:paraId="465433FB" w14:textId="2606EB22" w:rsidR="00962720" w:rsidRPr="00903280" w:rsidRDefault="00962720" w:rsidP="003454A1">
      <w:pPr>
        <w:pStyle w:val="FTAtextlistedparagraphs"/>
        <w:numPr>
          <w:ilvl w:val="1"/>
          <w:numId w:val="26"/>
        </w:numPr>
      </w:pPr>
      <w:r w:rsidRPr="00962720">
        <w:t xml:space="preserve">For greater certainty, beyond the principle of non-discrimination, the domestic legislation of Norway shall apply to the award of works </w:t>
      </w:r>
      <w:r>
        <w:t xml:space="preserve">and service </w:t>
      </w:r>
      <w:r w:rsidRPr="00962720">
        <w:t>concession contracts</w:t>
      </w:r>
      <w:r>
        <w:t>.</w:t>
      </w:r>
    </w:p>
    <w:p w14:paraId="74503F0B" w14:textId="77777777" w:rsidR="007C7B8B" w:rsidRDefault="007C7B8B">
      <w:pPr>
        <w:rPr>
          <w:rFonts w:ascii="Calibri" w:eastAsia="Calibri" w:hAnsi="Calibri" w:cs="Calibri"/>
          <w:sz w:val="19"/>
          <w:szCs w:val="19"/>
        </w:rPr>
        <w:sectPr w:rsidR="007C7B8B" w:rsidSect="00AD5D64">
          <w:pgSz w:w="11907" w:h="16840" w:code="9"/>
          <w:pgMar w:top="1701" w:right="1644" w:bottom="1701" w:left="2211" w:header="720" w:footer="720" w:gutter="0"/>
          <w:cols w:space="720"/>
          <w:noEndnote/>
          <w:titlePg/>
          <w:docGrid w:linePitch="326"/>
        </w:sectPr>
      </w:pPr>
    </w:p>
    <w:p w14:paraId="0B8131A6" w14:textId="77777777" w:rsidR="003152BC" w:rsidRDefault="00E54E2E" w:rsidP="001652F4">
      <w:pPr>
        <w:pStyle w:val="Appendixnumberarabicreference"/>
        <w:rPr>
          <w:bCs/>
          <w:lang w:val="en-US" w:eastAsia="es-ES"/>
        </w:rPr>
      </w:pPr>
      <w:bookmarkStart w:id="3" w:name="_Hlk64466536"/>
      <w:bookmarkEnd w:id="2"/>
      <w:r w:rsidRPr="00E54E2E">
        <w:rPr>
          <w:bCs/>
          <w:lang w:val="en-US" w:eastAsia="es-ES"/>
        </w:rPr>
        <w:lastRenderedPageBreak/>
        <w:t xml:space="preserve">APPENDIX </w:t>
      </w:r>
      <w:r w:rsidR="00124823">
        <w:rPr>
          <w:bCs/>
          <w:lang w:val="en-US" w:eastAsia="es-ES"/>
        </w:rPr>
        <w:t>3</w:t>
      </w:r>
      <w:r w:rsidR="007D2029">
        <w:rPr>
          <w:bCs/>
          <w:lang w:val="en-US" w:eastAsia="es-ES"/>
        </w:rPr>
        <w:t xml:space="preserve"> </w:t>
      </w:r>
    </w:p>
    <w:p w14:paraId="3DD7B10D" w14:textId="79A13CA5" w:rsidR="00E54E2E" w:rsidRPr="00E54E2E" w:rsidRDefault="00E54E2E" w:rsidP="001652F4">
      <w:pPr>
        <w:pStyle w:val="Appendixnumberarabicreference"/>
        <w:rPr>
          <w:bCs/>
          <w:lang w:val="en-US" w:eastAsia="es-ES"/>
        </w:rPr>
      </w:pPr>
      <w:r w:rsidRPr="00E54E2E">
        <w:rPr>
          <w:bCs/>
          <w:lang w:val="en-US" w:eastAsia="es-ES"/>
        </w:rPr>
        <w:t xml:space="preserve">TO ANNEX </w:t>
      </w:r>
      <w:r w:rsidR="00C250B9">
        <w:rPr>
          <w:lang w:eastAsia="zh-TW"/>
        </w:rPr>
        <w:t>xxi</w:t>
      </w:r>
      <w:r w:rsidR="00C250B9" w:rsidRPr="006754FC">
        <w:rPr>
          <w:lang w:eastAsia="zh-TW"/>
        </w:rPr>
        <w:t xml:space="preserve"> </w:t>
      </w:r>
      <w:r w:rsidR="00F943D8">
        <w:rPr>
          <w:lang w:val="en-US" w:eastAsia="es-ES"/>
        </w:rPr>
        <w:t>(</w:t>
      </w:r>
      <w:r w:rsidRPr="00E54E2E">
        <w:rPr>
          <w:lang w:val="en-US" w:eastAsia="es-ES"/>
        </w:rPr>
        <w:t>GOVERNMENT PROCUREMENT</w:t>
      </w:r>
      <w:r w:rsidR="00F943D8">
        <w:rPr>
          <w:lang w:val="en-US" w:eastAsia="es-ES"/>
        </w:rPr>
        <w:t>)</w:t>
      </w:r>
    </w:p>
    <w:bookmarkEnd w:id="3"/>
    <w:p w14:paraId="7D80D318" w14:textId="2294CA5D" w:rsidR="00E54E2E" w:rsidRPr="00E54E2E" w:rsidRDefault="00E54E2E" w:rsidP="00C250B9">
      <w:pPr>
        <w:pStyle w:val="Appendixtabletitle"/>
        <w:rPr>
          <w:rFonts w:eastAsia="Batang"/>
          <w:szCs w:val="24"/>
          <w:lang w:eastAsia="zh-TW"/>
        </w:rPr>
      </w:pPr>
      <w:r w:rsidRPr="00E54E2E">
        <w:rPr>
          <w:lang w:val="en-US" w:eastAsia="es-ES"/>
        </w:rPr>
        <w:t>MEANS OF PUBLICATION</w:t>
      </w:r>
    </w:p>
    <w:p w14:paraId="522F2A44" w14:textId="7C20A199" w:rsidR="00E54E2E" w:rsidRPr="00E54E2E" w:rsidRDefault="00E54E2E" w:rsidP="00ED71F4">
      <w:pPr>
        <w:pStyle w:val="Appendixtabletitle"/>
        <w:rPr>
          <w:lang w:val="en-US" w:eastAsia="fr-CH"/>
        </w:rPr>
      </w:pPr>
      <w:r w:rsidRPr="00E54E2E">
        <w:rPr>
          <w:lang w:val="en-US" w:eastAsia="fr-CH"/>
        </w:rPr>
        <w:t xml:space="preserve">PART A: </w:t>
      </w:r>
      <w:r w:rsidR="00C409A9">
        <w:rPr>
          <w:lang w:val="en-US" w:eastAsia="zh-TW"/>
        </w:rPr>
        <w:t>U</w:t>
      </w:r>
      <w:r w:rsidR="00800403">
        <w:rPr>
          <w:lang w:val="en-US" w:eastAsia="zh-TW"/>
        </w:rPr>
        <w:t xml:space="preserve">nited </w:t>
      </w:r>
      <w:r w:rsidR="00C409A9">
        <w:rPr>
          <w:lang w:val="en-US" w:eastAsia="zh-TW"/>
        </w:rPr>
        <w:t>K</w:t>
      </w:r>
      <w:r w:rsidR="00800403">
        <w:rPr>
          <w:lang w:val="en-US" w:eastAsia="zh-TW"/>
        </w:rPr>
        <w:t>ingdom</w:t>
      </w:r>
    </w:p>
    <w:p w14:paraId="22C99C1F" w14:textId="77777777" w:rsidR="00155580" w:rsidRPr="00E54E2E" w:rsidRDefault="00155580" w:rsidP="007215CF">
      <w:pPr>
        <w:pStyle w:val="FTAtext"/>
        <w:ind w:firstLine="0"/>
      </w:pPr>
      <w:r w:rsidRPr="6136B7DE">
        <w:t xml:space="preserve">Legislation: </w:t>
      </w:r>
      <w:r w:rsidRPr="004303E7">
        <w:rPr>
          <w:rStyle w:val="Hyperlink"/>
          <w:shd w:val="clear" w:color="auto" w:fill="FFFFFF"/>
        </w:rPr>
        <w:t>www.legislation.gov.uk</w:t>
      </w:r>
      <w:r w:rsidRPr="6136B7DE">
        <w:t xml:space="preserve"> </w:t>
      </w:r>
    </w:p>
    <w:p w14:paraId="2B771EBD" w14:textId="39E40104" w:rsidR="00155580" w:rsidRPr="00D94B1C" w:rsidRDefault="00155580" w:rsidP="007215CF">
      <w:pPr>
        <w:pStyle w:val="FTAtext"/>
        <w:ind w:firstLine="0"/>
      </w:pPr>
      <w:r w:rsidRPr="00E54E2E">
        <w:t>Jurisprudence:</w:t>
      </w:r>
      <w:r>
        <w:t xml:space="preserve"> </w:t>
      </w:r>
      <w:r w:rsidRPr="001C67C0">
        <w:rPr>
          <w:color w:val="000000"/>
          <w:shd w:val="clear" w:color="auto" w:fill="FFFFFF"/>
        </w:rPr>
        <w:t>law reports, including those published on</w:t>
      </w:r>
      <w:r w:rsidR="00C409A9">
        <w:rPr>
          <w:color w:val="000000"/>
          <w:shd w:val="clear" w:color="auto" w:fill="FFFFFF"/>
        </w:rPr>
        <w:t xml:space="preserve"> </w:t>
      </w:r>
      <w:hyperlink r:id="rId18" w:history="1">
        <w:r w:rsidR="00C409A9" w:rsidRPr="008879B0">
          <w:rPr>
            <w:rStyle w:val="Hyperlink"/>
            <w:shd w:val="clear" w:color="auto" w:fill="FFFFFF"/>
          </w:rPr>
          <w:t>www.judiciary.gov.uk</w:t>
        </w:r>
      </w:hyperlink>
      <w:r w:rsidR="00C409A9">
        <w:rPr>
          <w:color w:val="1155CC"/>
          <w:u w:val="single"/>
          <w:shd w:val="clear" w:color="auto" w:fill="FFFFFF"/>
        </w:rPr>
        <w:t xml:space="preserve"> </w:t>
      </w:r>
      <w:r w:rsidRPr="001C67C0">
        <w:rPr>
          <w:color w:val="000000"/>
          <w:shd w:val="clear" w:color="auto" w:fill="FFFFFF"/>
        </w:rPr>
        <w:t>(for</w:t>
      </w:r>
      <w:r w:rsidR="00C409A9">
        <w:rPr>
          <w:color w:val="000000"/>
          <w:shd w:val="clear" w:color="auto" w:fill="FFFFFF"/>
        </w:rPr>
        <w:t xml:space="preserve"> </w:t>
      </w:r>
      <w:r w:rsidRPr="001C67C0">
        <w:rPr>
          <w:color w:val="000000"/>
          <w:shd w:val="clear" w:color="auto" w:fill="FFFFFF"/>
        </w:rPr>
        <w:t>England, Wales and Northern Ireland) and</w:t>
      </w:r>
      <w:r w:rsidR="00C409A9">
        <w:rPr>
          <w:color w:val="000000"/>
          <w:shd w:val="clear" w:color="auto" w:fill="FFFFFF"/>
        </w:rPr>
        <w:t xml:space="preserve"> </w:t>
      </w:r>
      <w:hyperlink r:id="rId19" w:history="1">
        <w:r w:rsidR="00C409A9" w:rsidRPr="008879B0">
          <w:rPr>
            <w:rStyle w:val="Hyperlink"/>
            <w:shd w:val="clear" w:color="auto" w:fill="FFFFFF"/>
          </w:rPr>
          <w:t>www.scotscourts.gov.uk</w:t>
        </w:r>
      </w:hyperlink>
      <w:r w:rsidR="00C409A9">
        <w:rPr>
          <w:color w:val="000000"/>
          <w:shd w:val="clear" w:color="auto" w:fill="FFFFFF"/>
        </w:rPr>
        <w:t xml:space="preserve"> </w:t>
      </w:r>
      <w:r w:rsidRPr="001C67C0">
        <w:rPr>
          <w:color w:val="000000"/>
          <w:shd w:val="clear" w:color="auto" w:fill="FFFFFF"/>
        </w:rPr>
        <w:t>(for</w:t>
      </w:r>
      <w:r w:rsidR="00C409A9">
        <w:rPr>
          <w:color w:val="000000"/>
          <w:shd w:val="clear" w:color="auto" w:fill="FFFFFF"/>
        </w:rPr>
        <w:t xml:space="preserve"> </w:t>
      </w:r>
      <w:r w:rsidRPr="001C67C0">
        <w:rPr>
          <w:color w:val="000000"/>
          <w:shd w:val="clear" w:color="auto" w:fill="FFFFFF"/>
        </w:rPr>
        <w:t>Scotland)</w:t>
      </w:r>
    </w:p>
    <w:p w14:paraId="3DB193B1" w14:textId="77777777" w:rsidR="00071F37" w:rsidRDefault="00155580" w:rsidP="001D0489">
      <w:pPr>
        <w:pStyle w:val="FTAtext"/>
        <w:ind w:firstLine="0"/>
      </w:pPr>
      <w:r w:rsidRPr="5F8228DF">
        <w:t>Notices of procurement:</w:t>
      </w:r>
      <w:r>
        <w:t xml:space="preserve"> </w:t>
      </w:r>
    </w:p>
    <w:p w14:paraId="090FA0A7" w14:textId="377F1961" w:rsidR="00ED71F4" w:rsidRDefault="00155580" w:rsidP="001D0489">
      <w:pPr>
        <w:pStyle w:val="FTAtext"/>
        <w:ind w:firstLine="0"/>
        <w:rPr>
          <w:color w:val="1155CC"/>
          <w:shd w:val="clear" w:color="auto" w:fill="FFFFFF"/>
        </w:rPr>
      </w:pPr>
      <w:r w:rsidRPr="00B4636A">
        <w:rPr>
          <w:shd w:val="clear" w:color="auto" w:fill="FFFFFF"/>
        </w:rPr>
        <w:t>The UK Find a Tender service, being a single web-based portal</w:t>
      </w:r>
      <w:r w:rsidR="00C409A9" w:rsidRPr="00B4636A">
        <w:rPr>
          <w:shd w:val="clear" w:color="auto" w:fill="FFFFFF"/>
        </w:rPr>
        <w:t xml:space="preserve"> </w:t>
      </w:r>
      <w:r w:rsidRPr="00B4636A">
        <w:rPr>
          <w:shd w:val="clear" w:color="auto" w:fill="FFFFFF"/>
        </w:rPr>
        <w:t xml:space="preserve">which is </w:t>
      </w:r>
      <w:r w:rsidRPr="001C67C0">
        <w:rPr>
          <w:shd w:val="clear" w:color="auto" w:fill="FFFFFF"/>
        </w:rPr>
        <w:t>provided by or on behalf of the Cabinet Office at</w:t>
      </w:r>
      <w:r w:rsidR="00C409A9">
        <w:rPr>
          <w:shd w:val="clear" w:color="auto" w:fill="FFFFFF"/>
        </w:rPr>
        <w:t xml:space="preserve"> </w:t>
      </w:r>
      <w:hyperlink r:id="rId20" w:history="1">
        <w:r w:rsidR="00ED71F4" w:rsidRPr="008879B0">
          <w:rPr>
            <w:rStyle w:val="Hyperlink"/>
            <w:shd w:val="clear" w:color="auto" w:fill="FFFFFF"/>
          </w:rPr>
          <w:t>www.find-tender.service.gov.uk</w:t>
        </w:r>
      </w:hyperlink>
      <w:r w:rsidR="00ED71F4">
        <w:rPr>
          <w:color w:val="1155CC"/>
          <w:shd w:val="clear" w:color="auto" w:fill="FFFFFF"/>
        </w:rPr>
        <w:t xml:space="preserve"> </w:t>
      </w:r>
    </w:p>
    <w:p w14:paraId="21FD608D" w14:textId="77777777" w:rsidR="000871E1" w:rsidRPr="001D0489" w:rsidRDefault="000871E1" w:rsidP="001D0489">
      <w:pPr>
        <w:pStyle w:val="FTAtext"/>
        <w:ind w:firstLine="0"/>
      </w:pPr>
    </w:p>
    <w:p w14:paraId="32D06D0C" w14:textId="18783F75" w:rsidR="00E54E2E" w:rsidRPr="00E54E2E" w:rsidRDefault="00E54E2E" w:rsidP="00ED71F4">
      <w:pPr>
        <w:pStyle w:val="Appendixtabletitle"/>
        <w:rPr>
          <w:lang w:val="en-US" w:eastAsia="fr-CH"/>
        </w:rPr>
      </w:pPr>
      <w:r w:rsidRPr="00E54E2E">
        <w:rPr>
          <w:lang w:val="en-US" w:eastAsia="fr-CH"/>
        </w:rPr>
        <w:t xml:space="preserve">PART B: </w:t>
      </w:r>
      <w:r w:rsidR="00241DBB">
        <w:rPr>
          <w:lang w:val="en-US" w:eastAsia="fr-CH"/>
        </w:rPr>
        <w:t xml:space="preserve">EEA </w:t>
      </w:r>
      <w:r w:rsidRPr="00E54E2E">
        <w:rPr>
          <w:lang w:val="en-US" w:eastAsia="es-ES"/>
        </w:rPr>
        <w:t>EFTA STATES</w:t>
      </w:r>
    </w:p>
    <w:p w14:paraId="00F43FE0" w14:textId="06C2C79A" w:rsidR="00E54E2E" w:rsidRPr="00E54E2E" w:rsidRDefault="00241DBB" w:rsidP="00ED71F4">
      <w:pPr>
        <w:pStyle w:val="Appendixtabletitle"/>
        <w:jc w:val="left"/>
        <w:rPr>
          <w:lang w:eastAsia="es-ES"/>
        </w:rPr>
      </w:pPr>
      <w:r>
        <w:rPr>
          <w:lang w:eastAsia="es-ES"/>
        </w:rPr>
        <w:t>A.</w:t>
      </w:r>
      <w:r>
        <w:rPr>
          <w:lang w:eastAsia="es-ES"/>
        </w:rPr>
        <w:tab/>
      </w:r>
      <w:r w:rsidR="00E54E2E" w:rsidRPr="00E54E2E">
        <w:rPr>
          <w:lang w:eastAsia="es-ES"/>
        </w:rPr>
        <w:t xml:space="preserve">Iceland </w:t>
      </w:r>
    </w:p>
    <w:p w14:paraId="35433809" w14:textId="77777777" w:rsidR="00E54E2E" w:rsidRPr="00E54E2E" w:rsidRDefault="00E54E2E" w:rsidP="007215CF">
      <w:pPr>
        <w:pStyle w:val="FTAtext"/>
        <w:ind w:firstLine="0"/>
        <w:rPr>
          <w:lang w:val="en-US"/>
        </w:rPr>
      </w:pPr>
      <w:r w:rsidRPr="00E54E2E">
        <w:t xml:space="preserve">Legislation: </w:t>
      </w:r>
      <w:proofErr w:type="spellStart"/>
      <w:r w:rsidRPr="00E54E2E">
        <w:t>Stjórnartíðindi</w:t>
      </w:r>
      <w:proofErr w:type="spellEnd"/>
      <w:r w:rsidRPr="00E54E2E">
        <w:t xml:space="preserve"> (The Government Gazette) </w:t>
      </w:r>
    </w:p>
    <w:p w14:paraId="6EC98BEE" w14:textId="77777777" w:rsidR="00E54E2E" w:rsidRPr="00E54E2E" w:rsidRDefault="00E54E2E" w:rsidP="007215CF">
      <w:pPr>
        <w:pStyle w:val="FTAtext"/>
        <w:ind w:firstLine="0"/>
      </w:pPr>
      <w:r w:rsidRPr="00E54E2E">
        <w:t xml:space="preserve">Jurisprudence: </w:t>
      </w:r>
      <w:proofErr w:type="spellStart"/>
      <w:r w:rsidRPr="00E54E2E">
        <w:t>Hæstaréttardómar</w:t>
      </w:r>
      <w:proofErr w:type="spellEnd"/>
      <w:r w:rsidRPr="00E54E2E">
        <w:t xml:space="preserve"> (Supreme Court Report) </w:t>
      </w:r>
    </w:p>
    <w:p w14:paraId="7EE58A4A" w14:textId="77777777" w:rsidR="001D0489" w:rsidRDefault="00E54E2E" w:rsidP="001D0489">
      <w:pPr>
        <w:pStyle w:val="FTAtext"/>
        <w:ind w:firstLine="0"/>
      </w:pPr>
      <w:r w:rsidRPr="00E54E2E">
        <w:t xml:space="preserve">Notices of procurement: </w:t>
      </w:r>
    </w:p>
    <w:p w14:paraId="12735961" w14:textId="77777777" w:rsidR="001D0489" w:rsidRDefault="00E54E2E" w:rsidP="001D0489">
      <w:pPr>
        <w:pStyle w:val="FTAtext"/>
        <w:ind w:firstLine="0"/>
      </w:pPr>
      <w:r w:rsidRPr="00E54E2E">
        <w:t xml:space="preserve">Notices for all public procurement: </w:t>
      </w:r>
      <w:r w:rsidRPr="00C250B9">
        <w:rPr>
          <w:rStyle w:val="Hyperlink"/>
          <w:rFonts w:eastAsia="Times New Roman"/>
          <w:bCs/>
          <w:lang w:eastAsia="es-ES"/>
        </w:rPr>
        <w:t>http://utbodsvefur.is/</w:t>
      </w:r>
      <w:r w:rsidRPr="00E54E2E">
        <w:t xml:space="preserve"> </w:t>
      </w:r>
    </w:p>
    <w:p w14:paraId="30631367" w14:textId="164FE791" w:rsidR="00E54E2E" w:rsidRPr="00E54E2E" w:rsidRDefault="00E54E2E" w:rsidP="001D0489">
      <w:pPr>
        <w:pStyle w:val="FTAtext"/>
        <w:ind w:firstLine="0"/>
      </w:pPr>
      <w:r w:rsidRPr="00E54E2E">
        <w:t xml:space="preserve">All Icelandic </w:t>
      </w:r>
      <w:r w:rsidR="000A1E58">
        <w:t xml:space="preserve">GPA and </w:t>
      </w:r>
      <w:r w:rsidRPr="00E54E2E">
        <w:t xml:space="preserve">EEA contract announcements are published in English via SIMAP on the Tender Electronics daily web: </w:t>
      </w:r>
      <w:r w:rsidRPr="00C250B9">
        <w:rPr>
          <w:rStyle w:val="Hyperlink"/>
          <w:rFonts w:eastAsia="Times New Roman"/>
          <w:bCs/>
          <w:lang w:eastAsia="es-ES"/>
        </w:rPr>
        <w:t>http://ted.europa.eu</w:t>
      </w:r>
      <w:r w:rsidRPr="00E54E2E">
        <w:t xml:space="preserve"> </w:t>
      </w:r>
    </w:p>
    <w:p w14:paraId="63EC1B93" w14:textId="46AE77AB" w:rsidR="00E54E2E" w:rsidRPr="007B33D6" w:rsidRDefault="00241DBB" w:rsidP="00ED71F4">
      <w:pPr>
        <w:pStyle w:val="Appendixtabletitle"/>
        <w:jc w:val="left"/>
        <w:rPr>
          <w:lang w:val="de-DE" w:eastAsia="es-ES"/>
        </w:rPr>
      </w:pPr>
      <w:r w:rsidRPr="007B33D6">
        <w:rPr>
          <w:lang w:val="de-DE" w:eastAsia="es-ES"/>
        </w:rPr>
        <w:t>B.</w:t>
      </w:r>
      <w:r w:rsidRPr="007B33D6">
        <w:rPr>
          <w:lang w:val="de-DE" w:eastAsia="es-ES"/>
        </w:rPr>
        <w:tab/>
      </w:r>
      <w:r w:rsidR="00E54E2E" w:rsidRPr="007B33D6">
        <w:rPr>
          <w:lang w:val="de-DE" w:eastAsia="es-ES"/>
        </w:rPr>
        <w:t>Liechtenstein</w:t>
      </w:r>
    </w:p>
    <w:p w14:paraId="73EAC957" w14:textId="3EE84E5C" w:rsidR="00E54E2E" w:rsidRPr="00E54E2E" w:rsidRDefault="00E54E2E" w:rsidP="007215CF">
      <w:pPr>
        <w:pStyle w:val="FTAtext"/>
        <w:ind w:firstLine="0"/>
        <w:rPr>
          <w:lang w:val="de-CH"/>
        </w:rPr>
      </w:pPr>
      <w:r w:rsidRPr="00E54E2E">
        <w:rPr>
          <w:lang w:val="de-CH"/>
        </w:rPr>
        <w:t>Legislation: Landesgesetzblatt (Liechtenstein Law Gazette)</w:t>
      </w:r>
      <w:r w:rsidR="008805E2">
        <w:rPr>
          <w:lang w:val="de-CH"/>
        </w:rPr>
        <w:t xml:space="preserve"> </w:t>
      </w:r>
      <w:hyperlink r:id="rId21" w:history="1">
        <w:r w:rsidR="008805E2">
          <w:rPr>
            <w:rStyle w:val="Hyperlink"/>
            <w:lang w:val="de-CH"/>
          </w:rPr>
          <w:t>www.gesetze.li</w:t>
        </w:r>
      </w:hyperlink>
    </w:p>
    <w:p w14:paraId="113B00E0" w14:textId="62B6BE55" w:rsidR="00E54E2E" w:rsidRPr="00E54E2E" w:rsidRDefault="00E54E2E" w:rsidP="007215CF">
      <w:pPr>
        <w:pStyle w:val="FTAtext"/>
        <w:ind w:firstLine="0"/>
        <w:rPr>
          <w:lang w:val="de-CH"/>
        </w:rPr>
      </w:pPr>
      <w:r w:rsidRPr="00E54E2E">
        <w:rPr>
          <w:lang w:val="de-CH"/>
        </w:rPr>
        <w:t>Jurisprudence: Liechtensteinische Entscheidsammlung</w:t>
      </w:r>
      <w:r w:rsidR="008805E2">
        <w:rPr>
          <w:lang w:val="de-CH"/>
        </w:rPr>
        <w:t xml:space="preserve"> </w:t>
      </w:r>
      <w:r w:rsidR="001B12F8">
        <w:rPr>
          <w:lang w:val="de-CH"/>
        </w:rPr>
        <w:t xml:space="preserve"> </w:t>
      </w:r>
      <w:hyperlink r:id="rId22" w:history="1">
        <w:r w:rsidR="001B12F8" w:rsidRPr="00E2695D">
          <w:rPr>
            <w:rStyle w:val="Hyperlink"/>
            <w:lang w:val="de-CH"/>
          </w:rPr>
          <w:t>www.gerichtsentscheidungen.li</w:t>
        </w:r>
      </w:hyperlink>
    </w:p>
    <w:p w14:paraId="291E61F9" w14:textId="77777777" w:rsidR="001D0489" w:rsidRDefault="00E54E2E" w:rsidP="001D0489">
      <w:pPr>
        <w:pStyle w:val="FTAtext"/>
        <w:ind w:firstLine="0"/>
      </w:pPr>
      <w:r w:rsidRPr="00B31C09">
        <w:t>Notices of procurement:</w:t>
      </w:r>
    </w:p>
    <w:p w14:paraId="0807AD85" w14:textId="03181913" w:rsidR="001D0489" w:rsidRDefault="00E54E2E" w:rsidP="001D0489">
      <w:pPr>
        <w:pStyle w:val="FTAtext"/>
        <w:ind w:firstLine="0"/>
      </w:pPr>
      <w:r w:rsidRPr="001B12F8">
        <w:t xml:space="preserve">Electronic Gazette: </w:t>
      </w:r>
      <w:hyperlink r:id="rId23" w:history="1">
        <w:r w:rsidRPr="001B12F8">
          <w:rPr>
            <w:rStyle w:val="Hyperlink"/>
          </w:rPr>
          <w:t>www.amtsblatt.llv.li</w:t>
        </w:r>
      </w:hyperlink>
      <w:r w:rsidRPr="001B12F8">
        <w:t xml:space="preserve"> </w:t>
      </w:r>
    </w:p>
    <w:p w14:paraId="415761D2" w14:textId="29988D61" w:rsidR="00E54E2E" w:rsidRPr="001B12F8" w:rsidRDefault="00E54E2E" w:rsidP="001D0489">
      <w:pPr>
        <w:pStyle w:val="FTAtext"/>
        <w:ind w:firstLine="0"/>
      </w:pPr>
      <w:r w:rsidRPr="001B12F8">
        <w:lastRenderedPageBreak/>
        <w:t xml:space="preserve">All Liechtenstein GPA and EEA Contracts are also published in English on the Tender Electronics daily web: </w:t>
      </w:r>
      <w:hyperlink r:id="rId24" w:history="1">
        <w:r w:rsidRPr="001B12F8">
          <w:rPr>
            <w:rStyle w:val="Hyperlink"/>
          </w:rPr>
          <w:t>http://ted.europa.eu</w:t>
        </w:r>
      </w:hyperlink>
    </w:p>
    <w:p w14:paraId="712F8598" w14:textId="77777777" w:rsidR="00C250B9" w:rsidRDefault="00C250B9">
      <w:pPr>
        <w:spacing w:after="160" w:line="259" w:lineRule="auto"/>
        <w:rPr>
          <w:rFonts w:ascii="Times New Roman Bold" w:hAnsi="Times New Roman Bold"/>
          <w:b/>
          <w:bCs/>
          <w:caps/>
          <w:lang w:eastAsia="es-ES"/>
        </w:rPr>
      </w:pPr>
      <w:r>
        <w:rPr>
          <w:lang w:eastAsia="es-ES"/>
        </w:rPr>
        <w:br w:type="page"/>
      </w:r>
    </w:p>
    <w:p w14:paraId="50508456" w14:textId="582727D2" w:rsidR="00E54E2E" w:rsidRPr="00E54E2E" w:rsidRDefault="00241DBB" w:rsidP="00ED71F4">
      <w:pPr>
        <w:pStyle w:val="Appendixtabletitle"/>
        <w:jc w:val="left"/>
        <w:rPr>
          <w:lang w:eastAsia="es-ES"/>
        </w:rPr>
      </w:pPr>
      <w:r>
        <w:rPr>
          <w:lang w:eastAsia="es-ES"/>
        </w:rPr>
        <w:lastRenderedPageBreak/>
        <w:t>C.</w:t>
      </w:r>
      <w:r>
        <w:rPr>
          <w:lang w:eastAsia="es-ES"/>
        </w:rPr>
        <w:tab/>
      </w:r>
      <w:r w:rsidR="00E54E2E" w:rsidRPr="00E54E2E">
        <w:rPr>
          <w:lang w:eastAsia="es-ES"/>
        </w:rPr>
        <w:t xml:space="preserve">Norway </w:t>
      </w:r>
    </w:p>
    <w:p w14:paraId="3BF1C949" w14:textId="6E96C37D" w:rsidR="00E54E2E" w:rsidRPr="00E54E2E" w:rsidRDefault="00E54E2E" w:rsidP="001B12F8">
      <w:pPr>
        <w:pStyle w:val="FTAtext"/>
        <w:ind w:firstLine="0"/>
      </w:pPr>
      <w:r w:rsidRPr="00E54E2E">
        <w:t xml:space="preserve">Legislation and Jurisprudence: </w:t>
      </w:r>
      <w:proofErr w:type="spellStart"/>
      <w:r w:rsidRPr="00E54E2E">
        <w:t>Norsk</w:t>
      </w:r>
      <w:proofErr w:type="spellEnd"/>
      <w:r w:rsidRPr="00E54E2E">
        <w:t xml:space="preserve"> </w:t>
      </w:r>
      <w:proofErr w:type="spellStart"/>
      <w:r w:rsidRPr="00E54E2E">
        <w:t>Lovtidend</w:t>
      </w:r>
      <w:proofErr w:type="spellEnd"/>
      <w:r w:rsidRPr="00E54E2E">
        <w:t xml:space="preserve"> (Norwegian Law Gazette) </w:t>
      </w:r>
      <w:hyperlink r:id="rId25" w:history="1">
        <w:r w:rsidR="001B12F8" w:rsidRPr="00E2695D">
          <w:rPr>
            <w:rStyle w:val="Hyperlink"/>
            <w:rFonts w:eastAsia="Times New Roman"/>
            <w:bCs/>
            <w:lang w:eastAsia="es-ES"/>
          </w:rPr>
          <w:t>www.lovdata.no</w:t>
        </w:r>
      </w:hyperlink>
      <w:r w:rsidRPr="00E54E2E">
        <w:t xml:space="preserve"> </w:t>
      </w:r>
    </w:p>
    <w:p w14:paraId="585BE591" w14:textId="77777777" w:rsidR="001D0489" w:rsidRDefault="00E54E2E" w:rsidP="001D0489">
      <w:pPr>
        <w:pStyle w:val="FTAtext"/>
        <w:ind w:firstLine="0"/>
      </w:pPr>
      <w:r w:rsidRPr="00E54E2E">
        <w:t xml:space="preserve">Notices of procurement: </w:t>
      </w:r>
    </w:p>
    <w:p w14:paraId="0A6D48A7" w14:textId="4E86A965" w:rsidR="001D0489" w:rsidRPr="00771DC3" w:rsidRDefault="00E54E2E" w:rsidP="001D0489">
      <w:pPr>
        <w:pStyle w:val="FTAtext"/>
        <w:ind w:firstLine="0"/>
        <w:rPr>
          <w:lang w:val="nb-NO"/>
        </w:rPr>
      </w:pPr>
      <w:r w:rsidRPr="00771DC3">
        <w:rPr>
          <w:lang w:val="nb-NO"/>
        </w:rPr>
        <w:t xml:space="preserve">Doffin – Database for offentlige innkjøp (Database for public procurement): </w:t>
      </w:r>
      <w:hyperlink r:id="rId26" w:history="1">
        <w:r w:rsidR="001B12F8" w:rsidRPr="00771DC3">
          <w:rPr>
            <w:rStyle w:val="Hyperlink"/>
            <w:rFonts w:eastAsia="Times New Roman"/>
            <w:bCs/>
            <w:lang w:val="nb-NO" w:eastAsia="es-ES"/>
          </w:rPr>
          <w:t>www.doffin.no</w:t>
        </w:r>
      </w:hyperlink>
      <w:r w:rsidR="001E12D9" w:rsidRPr="00771DC3">
        <w:rPr>
          <w:lang w:val="nb-NO"/>
        </w:rPr>
        <w:t xml:space="preserve"> </w:t>
      </w:r>
    </w:p>
    <w:p w14:paraId="6DD64A80" w14:textId="2ED7087C" w:rsidR="00E54E2E" w:rsidRPr="00E54E2E" w:rsidRDefault="00E54E2E" w:rsidP="001D0489">
      <w:pPr>
        <w:pStyle w:val="FTAtext"/>
        <w:ind w:firstLine="0"/>
      </w:pPr>
      <w:r w:rsidRPr="00E54E2E">
        <w:t xml:space="preserve">All Norwegian GPA and EEA Contracts are also published in English on the Tender Electronics daily web: </w:t>
      </w:r>
      <w:hyperlink r:id="rId27" w:history="1">
        <w:r w:rsidR="001B48C4" w:rsidRPr="00C250B9">
          <w:rPr>
            <w:rStyle w:val="Hyperlink"/>
            <w:rFonts w:eastAsia="Times New Roman"/>
            <w:bCs/>
            <w:lang w:eastAsia="es-ES"/>
          </w:rPr>
          <w:t>http://ted.europa.eu</w:t>
        </w:r>
      </w:hyperlink>
    </w:p>
    <w:p w14:paraId="50F51007" w14:textId="77777777" w:rsidR="00E54E2E" w:rsidRPr="00E54E2E" w:rsidRDefault="00E54E2E" w:rsidP="00E54E2E">
      <w:pPr>
        <w:spacing w:after="240" w:line="240" w:lineRule="auto"/>
        <w:jc w:val="both"/>
        <w:rPr>
          <w:rFonts w:eastAsia="Times New Roman"/>
          <w:szCs w:val="24"/>
          <w:lang w:eastAsia="es-ES"/>
        </w:rPr>
      </w:pPr>
    </w:p>
    <w:p w14:paraId="6474C7C3" w14:textId="77777777" w:rsidR="00E54E2E" w:rsidRPr="00E54E2E" w:rsidRDefault="00E54E2E" w:rsidP="001B12F8">
      <w:pPr>
        <w:spacing w:after="0" w:line="240" w:lineRule="auto"/>
        <w:rPr>
          <w:rFonts w:eastAsia="Times New Roman"/>
          <w:bCs/>
          <w:color w:val="1F3864" w:themeColor="accent1" w:themeShade="80"/>
          <w:szCs w:val="24"/>
          <w:u w:val="single"/>
          <w:lang w:eastAsia="es-ES"/>
        </w:rPr>
        <w:sectPr w:rsidR="00E54E2E" w:rsidRPr="00E54E2E" w:rsidSect="00AD5D64">
          <w:footerReference w:type="first" r:id="rId28"/>
          <w:pgSz w:w="11907" w:h="16840" w:code="9"/>
          <w:pgMar w:top="1701" w:right="1644" w:bottom="1701" w:left="2211" w:header="720" w:footer="720" w:gutter="0"/>
          <w:pgNumType w:start="1"/>
          <w:cols w:space="720"/>
          <w:noEndnote/>
          <w:titlePg/>
          <w:docGrid w:linePitch="326"/>
        </w:sectPr>
      </w:pPr>
    </w:p>
    <w:p w14:paraId="2F2EC46A" w14:textId="77777777" w:rsidR="00F943D8" w:rsidRDefault="00042B2D" w:rsidP="001652F4">
      <w:pPr>
        <w:pStyle w:val="Appendixnumberarabicreference"/>
        <w:rPr>
          <w:bCs/>
          <w:lang w:val="en-US" w:eastAsia="es-ES"/>
        </w:rPr>
      </w:pPr>
      <w:r w:rsidRPr="00E54E2E">
        <w:rPr>
          <w:bCs/>
          <w:lang w:val="en-US" w:eastAsia="es-ES"/>
        </w:rPr>
        <w:lastRenderedPageBreak/>
        <w:t xml:space="preserve">APPENDIX </w:t>
      </w:r>
      <w:r w:rsidR="00124823">
        <w:rPr>
          <w:bCs/>
          <w:lang w:val="en-US" w:eastAsia="es-ES"/>
        </w:rPr>
        <w:t>4</w:t>
      </w:r>
      <w:r>
        <w:rPr>
          <w:bCs/>
          <w:lang w:val="en-US" w:eastAsia="es-ES"/>
        </w:rPr>
        <w:t xml:space="preserve"> </w:t>
      </w:r>
    </w:p>
    <w:p w14:paraId="3CD1B1C8" w14:textId="7132E680" w:rsidR="00042B2D" w:rsidRPr="00E54E2E" w:rsidRDefault="00042B2D" w:rsidP="001652F4">
      <w:pPr>
        <w:pStyle w:val="Appendixnumberarabicreference"/>
        <w:rPr>
          <w:bCs/>
          <w:lang w:val="en-US" w:eastAsia="es-ES"/>
        </w:rPr>
      </w:pPr>
      <w:r w:rsidRPr="00E54E2E">
        <w:rPr>
          <w:bCs/>
          <w:lang w:val="en-US" w:eastAsia="es-ES"/>
        </w:rPr>
        <w:t>TO ANNEX</w:t>
      </w:r>
      <w:r w:rsidR="00C250B9">
        <w:rPr>
          <w:bCs/>
          <w:lang w:val="en-US" w:eastAsia="es-ES"/>
        </w:rPr>
        <w:t xml:space="preserve"> </w:t>
      </w:r>
      <w:r w:rsidR="00C250B9">
        <w:rPr>
          <w:lang w:eastAsia="zh-TW"/>
        </w:rPr>
        <w:t>xxi</w:t>
      </w:r>
      <w:r w:rsidRPr="00E54E2E">
        <w:rPr>
          <w:bCs/>
          <w:lang w:val="en-US" w:eastAsia="es-ES"/>
        </w:rPr>
        <w:t xml:space="preserve"> </w:t>
      </w:r>
      <w:r w:rsidR="00F943D8">
        <w:rPr>
          <w:lang w:val="en-US" w:eastAsia="es-ES"/>
        </w:rPr>
        <w:t>(</w:t>
      </w:r>
      <w:r w:rsidRPr="00E54E2E">
        <w:rPr>
          <w:lang w:val="en-US" w:eastAsia="es-ES"/>
        </w:rPr>
        <w:t>GOVERNMENT PROCUREMENT</w:t>
      </w:r>
      <w:r w:rsidR="00F943D8">
        <w:rPr>
          <w:lang w:val="en-US" w:eastAsia="es-ES"/>
        </w:rPr>
        <w:t>)</w:t>
      </w:r>
    </w:p>
    <w:p w14:paraId="539E0CEA" w14:textId="77777777" w:rsidR="00042B2D" w:rsidRPr="009D5A60" w:rsidRDefault="00042B2D" w:rsidP="00ED71F4">
      <w:pPr>
        <w:pStyle w:val="Appendixtabletitle"/>
        <w:rPr>
          <w:lang w:val="en-US" w:eastAsia="es-ES"/>
        </w:rPr>
      </w:pPr>
      <w:r w:rsidRPr="009D5A60">
        <w:rPr>
          <w:lang w:val="en-US" w:eastAsia="es-ES"/>
        </w:rPr>
        <w:t xml:space="preserve">CONTACT POINTS </w:t>
      </w:r>
    </w:p>
    <w:p w14:paraId="71623CE1" w14:textId="7EA8D55F" w:rsidR="00042B2D" w:rsidRPr="009D5A60" w:rsidRDefault="00042B2D" w:rsidP="003454A1">
      <w:pPr>
        <w:pStyle w:val="FTAtextlistedparagraphs"/>
        <w:numPr>
          <w:ilvl w:val="0"/>
          <w:numId w:val="30"/>
        </w:numPr>
      </w:pPr>
      <w:r w:rsidRPr="009D5A60">
        <w:t>The contact points for the exchange of information regarding government</w:t>
      </w:r>
    </w:p>
    <w:p w14:paraId="60C675B4" w14:textId="77777777" w:rsidR="00042B2D" w:rsidRPr="009D5A60" w:rsidRDefault="00042B2D" w:rsidP="001975D6">
      <w:pPr>
        <w:pStyle w:val="FTAtext"/>
        <w:ind w:firstLine="709"/>
      </w:pPr>
      <w:r w:rsidRPr="009D5A60">
        <w:t xml:space="preserve">procurement </w:t>
      </w:r>
      <w:proofErr w:type="gramStart"/>
      <w:r w:rsidRPr="009D5A60">
        <w:t>are</w:t>
      </w:r>
      <w:proofErr w:type="gramEnd"/>
      <w:r w:rsidRPr="009D5A60">
        <w:t xml:space="preserve"> the following:</w:t>
      </w:r>
    </w:p>
    <w:p w14:paraId="389E5EDF" w14:textId="529F874F" w:rsidR="00042B2D" w:rsidRPr="00A64C0D" w:rsidRDefault="00042B2D" w:rsidP="001975D6">
      <w:pPr>
        <w:pStyle w:val="FTAtext"/>
        <w:ind w:firstLine="709"/>
        <w:rPr>
          <w:b/>
          <w:bCs/>
        </w:rPr>
      </w:pPr>
      <w:r w:rsidRPr="00A64C0D">
        <w:rPr>
          <w:b/>
          <w:bCs/>
        </w:rPr>
        <w:t xml:space="preserve">For </w:t>
      </w:r>
      <w:r w:rsidR="00865A24" w:rsidRPr="00A64C0D">
        <w:rPr>
          <w:b/>
          <w:bCs/>
        </w:rPr>
        <w:t xml:space="preserve">the </w:t>
      </w:r>
      <w:r w:rsidRPr="00A64C0D">
        <w:rPr>
          <w:b/>
          <w:bCs/>
        </w:rPr>
        <w:t>United Kingdom</w:t>
      </w:r>
      <w:r w:rsidR="00865A24" w:rsidRPr="00A64C0D">
        <w:rPr>
          <w:b/>
          <w:bCs/>
        </w:rPr>
        <w:t>:</w:t>
      </w:r>
    </w:p>
    <w:p w14:paraId="2EAA5ABE" w14:textId="0CE130A8" w:rsidR="00042B2D" w:rsidRPr="009D5A60" w:rsidRDefault="00155580" w:rsidP="001975D6">
      <w:pPr>
        <w:pStyle w:val="FTAtext"/>
        <w:ind w:firstLine="709"/>
      </w:pPr>
      <w:r>
        <w:t>Department for International Trade</w:t>
      </w:r>
    </w:p>
    <w:p w14:paraId="600CB6E8" w14:textId="77777777" w:rsidR="000871E1" w:rsidRDefault="000871E1" w:rsidP="001975D6">
      <w:pPr>
        <w:pStyle w:val="FTAtext"/>
        <w:ind w:firstLine="709"/>
        <w:rPr>
          <w:b/>
          <w:bCs/>
        </w:rPr>
      </w:pPr>
    </w:p>
    <w:p w14:paraId="5867FAAC" w14:textId="106DD18D" w:rsidR="00042B2D" w:rsidRPr="00A64C0D" w:rsidRDefault="00042B2D" w:rsidP="001975D6">
      <w:pPr>
        <w:pStyle w:val="FTAtext"/>
        <w:ind w:firstLine="709"/>
        <w:rPr>
          <w:b/>
          <w:bCs/>
        </w:rPr>
      </w:pPr>
      <w:r w:rsidRPr="00A64C0D">
        <w:rPr>
          <w:b/>
          <w:bCs/>
        </w:rPr>
        <w:t xml:space="preserve">For the EEA EFTA States: </w:t>
      </w:r>
    </w:p>
    <w:p w14:paraId="2808758C" w14:textId="77777777" w:rsidR="00042B2D" w:rsidRPr="009D5A60" w:rsidRDefault="00042B2D" w:rsidP="001975D6">
      <w:pPr>
        <w:pStyle w:val="FTAtext"/>
        <w:ind w:firstLine="709"/>
      </w:pPr>
      <w:r w:rsidRPr="009D5A60">
        <w:t>Iceland: The Ministry of Finance and Economic Affairs</w:t>
      </w:r>
    </w:p>
    <w:p w14:paraId="67924643" w14:textId="2F4ABD23" w:rsidR="00042B2D" w:rsidRPr="009D5A60" w:rsidRDefault="00042B2D" w:rsidP="001975D6">
      <w:pPr>
        <w:pStyle w:val="FTAtext"/>
        <w:ind w:firstLine="709"/>
      </w:pPr>
      <w:r w:rsidRPr="009D5A60">
        <w:t xml:space="preserve">Liechtenstein: Office </w:t>
      </w:r>
      <w:r w:rsidR="008805E2">
        <w:t>for</w:t>
      </w:r>
      <w:r w:rsidR="008805E2" w:rsidRPr="009D5A60">
        <w:t xml:space="preserve"> </w:t>
      </w:r>
      <w:r w:rsidRPr="009D5A60">
        <w:t>Foreign Affairs</w:t>
      </w:r>
    </w:p>
    <w:p w14:paraId="719E6056" w14:textId="77777777" w:rsidR="00042B2D" w:rsidRPr="009D5A60" w:rsidRDefault="00042B2D" w:rsidP="001975D6">
      <w:pPr>
        <w:pStyle w:val="FTAtext"/>
        <w:ind w:firstLine="709"/>
      </w:pPr>
      <w:r w:rsidRPr="009D5A60">
        <w:t>Norway: The Ministry of Trade, Industry and Fisheries</w:t>
      </w:r>
    </w:p>
    <w:p w14:paraId="3D45EBEA" w14:textId="138AE189" w:rsidR="00042B2D" w:rsidRPr="00C409A9" w:rsidRDefault="00042B2D" w:rsidP="0084549F">
      <w:pPr>
        <w:pStyle w:val="FTAtextlistedparagraphs"/>
      </w:pPr>
      <w:r w:rsidRPr="009D5A60">
        <w:t>The Parties shall regularly exchange coordinates of the contact point</w:t>
      </w:r>
      <w:r w:rsidR="0036635E">
        <w:t>s</w:t>
      </w:r>
      <w:r w:rsidR="00865A24">
        <w:t>.</w:t>
      </w:r>
    </w:p>
    <w:p w14:paraId="45BA263A" w14:textId="77777777" w:rsidR="007C7B8B" w:rsidRDefault="007C7B8B" w:rsidP="001652F4">
      <w:pPr>
        <w:pStyle w:val="Appendixnumberarabicreference"/>
        <w:rPr>
          <w:lang w:val="en-US" w:eastAsia="es-ES"/>
        </w:rPr>
        <w:sectPr w:rsidR="007C7B8B" w:rsidSect="00AD5D64">
          <w:headerReference w:type="default" r:id="rId29"/>
          <w:footerReference w:type="first" r:id="rId30"/>
          <w:pgSz w:w="11906" w:h="16838"/>
          <w:pgMar w:top="1701" w:right="1644" w:bottom="1701" w:left="2211" w:header="708" w:footer="708" w:gutter="0"/>
          <w:pgNumType w:start="1"/>
          <w:cols w:space="708"/>
          <w:titlePg/>
          <w:docGrid w:linePitch="360"/>
        </w:sectPr>
      </w:pPr>
    </w:p>
    <w:p w14:paraId="0DE5B947" w14:textId="499073E0" w:rsidR="00F943D8" w:rsidRDefault="00E54E2E" w:rsidP="001652F4">
      <w:pPr>
        <w:pStyle w:val="Appendixnumberarabicreference"/>
        <w:rPr>
          <w:lang w:val="en-US" w:eastAsia="es-ES"/>
        </w:rPr>
      </w:pPr>
      <w:r w:rsidRPr="00E54E2E">
        <w:rPr>
          <w:lang w:val="en-US" w:eastAsia="es-ES"/>
        </w:rPr>
        <w:lastRenderedPageBreak/>
        <w:t xml:space="preserve">APPENDIX </w:t>
      </w:r>
      <w:r w:rsidR="00124823">
        <w:rPr>
          <w:lang w:val="en-US" w:eastAsia="es-ES"/>
        </w:rPr>
        <w:t>5</w:t>
      </w:r>
      <w:r w:rsidRPr="00E54E2E">
        <w:rPr>
          <w:lang w:val="en-US" w:eastAsia="es-ES"/>
        </w:rPr>
        <w:t xml:space="preserve"> </w:t>
      </w:r>
    </w:p>
    <w:p w14:paraId="2897D65C" w14:textId="4B573860" w:rsidR="00E54E2E" w:rsidRPr="00E54E2E" w:rsidRDefault="00E54E2E" w:rsidP="001652F4">
      <w:pPr>
        <w:pStyle w:val="Appendixnumberarabicreference"/>
        <w:rPr>
          <w:lang w:val="en-US" w:eastAsia="es-ES"/>
        </w:rPr>
      </w:pPr>
      <w:r w:rsidRPr="00E54E2E">
        <w:rPr>
          <w:lang w:val="en-US" w:eastAsia="es-ES"/>
        </w:rPr>
        <w:t>TO ANNEX</w:t>
      </w:r>
      <w:r w:rsidR="00C250B9">
        <w:rPr>
          <w:lang w:val="en-US" w:eastAsia="es-ES"/>
        </w:rPr>
        <w:t xml:space="preserve"> </w:t>
      </w:r>
      <w:r w:rsidR="00C250B9">
        <w:rPr>
          <w:lang w:eastAsia="zh-TW"/>
        </w:rPr>
        <w:t>xxi</w:t>
      </w:r>
      <w:r w:rsidRPr="00E54E2E">
        <w:rPr>
          <w:lang w:val="en-US" w:eastAsia="es-ES"/>
        </w:rPr>
        <w:t xml:space="preserve"> </w:t>
      </w:r>
      <w:r w:rsidR="00F943D8">
        <w:rPr>
          <w:lang w:val="en-US" w:eastAsia="es-ES"/>
        </w:rPr>
        <w:t>(</w:t>
      </w:r>
      <w:r w:rsidRPr="00E54E2E">
        <w:rPr>
          <w:lang w:val="en-US" w:eastAsia="es-ES"/>
        </w:rPr>
        <w:t>GOVERNMENT PROCUREMENT</w:t>
      </w:r>
      <w:r w:rsidR="00F943D8">
        <w:rPr>
          <w:lang w:val="en-US" w:eastAsia="es-ES"/>
        </w:rPr>
        <w:t>)</w:t>
      </w:r>
    </w:p>
    <w:p w14:paraId="64074935" w14:textId="77777777" w:rsidR="00E54E2E" w:rsidRPr="00E54E2E" w:rsidRDefault="00E54E2E" w:rsidP="00ED71F4">
      <w:pPr>
        <w:pStyle w:val="Appendixtabletitle"/>
        <w:rPr>
          <w:lang w:val="en-US" w:eastAsia="es-ES"/>
        </w:rPr>
      </w:pPr>
      <w:r w:rsidRPr="00E54E2E">
        <w:rPr>
          <w:lang w:val="en-US" w:eastAsia="es-ES"/>
        </w:rPr>
        <w:t>VALUE OF THRESHOLDS</w:t>
      </w:r>
    </w:p>
    <w:p w14:paraId="06906287" w14:textId="77777777" w:rsidR="00E54E2E" w:rsidRPr="00E54E2E" w:rsidRDefault="00E54E2E" w:rsidP="001B12F8">
      <w:pPr>
        <w:pStyle w:val="FTAtext"/>
        <w:ind w:firstLine="0"/>
      </w:pPr>
      <w:r w:rsidRPr="00E54E2E">
        <w:t xml:space="preserve">Thresholds </w:t>
      </w:r>
    </w:p>
    <w:p w14:paraId="73F16E88" w14:textId="76578C81" w:rsidR="00B44DAE" w:rsidRDefault="00775256" w:rsidP="003454A1">
      <w:pPr>
        <w:pStyle w:val="FTAtextlistedparagraphs"/>
        <w:numPr>
          <w:ilvl w:val="0"/>
          <w:numId w:val="27"/>
        </w:numPr>
      </w:pPr>
      <w:r w:rsidRPr="00B44DAE">
        <w:t>Where thresholds are stated in Special Drawing Rights (SDR), t</w:t>
      </w:r>
      <w:r w:rsidR="00E54E2E" w:rsidRPr="00B44DAE">
        <w:t xml:space="preserve">he Parties shall calculate and convert the value of the thresholds into their own national currencies using the conversion rates of their respective national banks. The conversion rates will be the average of the values of the respective national currency in terms of the SDR over the two-year period preceding 1 October or 1 November of the year prior to the thresholds becoming effective. The conversion rate shall apply from 1 January of the following year. </w:t>
      </w:r>
    </w:p>
    <w:p w14:paraId="3638D316" w14:textId="3CD4AC0A" w:rsidR="00B44DAE" w:rsidRDefault="00775256" w:rsidP="0084549F">
      <w:pPr>
        <w:pStyle w:val="FTAtextlistedparagraphs"/>
      </w:pPr>
      <w:r w:rsidRPr="00B44DAE">
        <w:t>Where the thresholds are stated in</w:t>
      </w:r>
      <w:r w:rsidR="00CF7C11" w:rsidRPr="00B44DAE">
        <w:t xml:space="preserve"> </w:t>
      </w:r>
      <w:r w:rsidR="000C2091" w:rsidRPr="00B44DAE">
        <w:t>E</w:t>
      </w:r>
      <w:r w:rsidR="00CF7C11" w:rsidRPr="00B44DAE">
        <w:t>uro</w:t>
      </w:r>
      <w:r w:rsidRPr="00B44DAE">
        <w:t xml:space="preserve">, the </w:t>
      </w:r>
      <w:r w:rsidR="00CF7C11" w:rsidRPr="00B44DAE">
        <w:t>Parties shall</w:t>
      </w:r>
      <w:r w:rsidR="00CF7C11" w:rsidRPr="00CF7C11">
        <w:t xml:space="preserve"> </w:t>
      </w:r>
      <w:r w:rsidR="00CF7C11" w:rsidRPr="00B44DAE">
        <w:t xml:space="preserve">calculate and convert the value of the thresholds into their own national currencies using the conversion rates of their respective national banks. The conversion rates </w:t>
      </w:r>
      <w:r w:rsidR="00021835" w:rsidRPr="00B44DAE">
        <w:t>shall</w:t>
      </w:r>
      <w:r w:rsidR="00CF7C11" w:rsidRPr="00B44DAE">
        <w:t xml:space="preserve"> be </w:t>
      </w:r>
      <w:r w:rsidR="00021835" w:rsidRPr="00B44DAE">
        <w:t xml:space="preserve">based on </w:t>
      </w:r>
      <w:r w:rsidR="00CF7C11" w:rsidRPr="00B44DAE">
        <w:t xml:space="preserve">the average </w:t>
      </w:r>
      <w:r w:rsidR="00021835" w:rsidRPr="00B44DAE">
        <w:t xml:space="preserve">daily </w:t>
      </w:r>
      <w:r w:rsidR="00CF7C11" w:rsidRPr="00B44DAE">
        <w:t xml:space="preserve">value of the respective national currency </w:t>
      </w:r>
      <w:r w:rsidR="00021835" w:rsidRPr="00B44DAE">
        <w:t xml:space="preserve">expressed in </w:t>
      </w:r>
      <w:r w:rsidR="00CF7C11" w:rsidRPr="00B44DAE">
        <w:t>euro over the 24 months terminating on 31 August</w:t>
      </w:r>
      <w:r w:rsidR="00021835" w:rsidRPr="00B44DAE">
        <w:t xml:space="preserve"> </w:t>
      </w:r>
      <w:r w:rsidR="00CF7C11" w:rsidRPr="00B44DAE">
        <w:t>of the year prior to the thresholds becoming effective. The conversion rate shall apply from 1 January of the following year.</w:t>
      </w:r>
    </w:p>
    <w:p w14:paraId="3469753F" w14:textId="6470770F" w:rsidR="0040011C" w:rsidRPr="001652F4" w:rsidRDefault="00E54E2E" w:rsidP="0084549F">
      <w:pPr>
        <w:pStyle w:val="FTAtextlistedparagraphs"/>
      </w:pPr>
      <w:r w:rsidRPr="00B44DAE">
        <w:t>The value of the newly calculated thresholds shall be made available, in their respective currencies,</w:t>
      </w:r>
      <w:r w:rsidR="00180C21" w:rsidRPr="00B44DAE">
        <w:t xml:space="preserve"> by the United Kingdom </w:t>
      </w:r>
      <w:r w:rsidRPr="00B44DAE">
        <w:t xml:space="preserve">and </w:t>
      </w:r>
      <w:r w:rsidR="00865A24">
        <w:t xml:space="preserve">each of </w:t>
      </w:r>
      <w:r w:rsidRPr="00B44DAE">
        <w:t xml:space="preserve">the </w:t>
      </w:r>
      <w:r w:rsidR="00241DBB" w:rsidRPr="00B44DAE">
        <w:t xml:space="preserve">EEA </w:t>
      </w:r>
      <w:r w:rsidRPr="00B44DAE">
        <w:t xml:space="preserve">EFTA States, before the respective thresholds take effect. </w:t>
      </w:r>
    </w:p>
    <w:p w14:paraId="55B47B40" w14:textId="6B8572A6" w:rsidR="007C4288" w:rsidRPr="00C409A9" w:rsidRDefault="00E54E2E" w:rsidP="00C409A9">
      <w:pPr>
        <w:keepNext/>
        <w:keepLines/>
        <w:spacing w:after="240" w:line="240" w:lineRule="auto"/>
        <w:jc w:val="center"/>
        <w:outlineLvl w:val="1"/>
        <w:rPr>
          <w:rFonts w:eastAsia="Times New Roman" w:cstheme="majorBidi"/>
          <w:bCs/>
          <w:iCs/>
          <w:szCs w:val="26"/>
          <w:lang w:eastAsia="es-ES"/>
        </w:rPr>
      </w:pPr>
      <w:r w:rsidRPr="0040011C">
        <w:rPr>
          <w:rFonts w:eastAsia="Times New Roman" w:cstheme="majorBidi"/>
          <w:bCs/>
          <w:iCs/>
          <w:szCs w:val="26"/>
          <w:lang w:eastAsia="es-ES"/>
        </w:rPr>
        <w:t>________________</w:t>
      </w:r>
    </w:p>
    <w:sectPr w:rsidR="007C4288" w:rsidRPr="00C409A9" w:rsidSect="00AD5D64">
      <w:pgSz w:w="11906" w:h="16838"/>
      <w:pgMar w:top="1701" w:right="1644" w:bottom="1701" w:left="221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009F9" w14:textId="77777777" w:rsidR="006F73B8" w:rsidRDefault="006F73B8" w:rsidP="00E54E2E">
      <w:pPr>
        <w:spacing w:after="0" w:line="240" w:lineRule="auto"/>
      </w:pPr>
      <w:r>
        <w:separator/>
      </w:r>
    </w:p>
  </w:endnote>
  <w:endnote w:type="continuationSeparator" w:id="0">
    <w:p w14:paraId="00C5D96B" w14:textId="77777777" w:rsidR="006F73B8" w:rsidRDefault="006F73B8" w:rsidP="00E54E2E">
      <w:pPr>
        <w:spacing w:after="0" w:line="240" w:lineRule="auto"/>
      </w:pPr>
      <w:r>
        <w:continuationSeparator/>
      </w:r>
    </w:p>
  </w:endnote>
  <w:endnote w:type="continuationNotice" w:id="1">
    <w:p w14:paraId="4A5E07C2" w14:textId="77777777" w:rsidR="006F73B8" w:rsidRDefault="006F7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C1E2" w14:textId="77777777" w:rsidR="006F73B8" w:rsidRDefault="006F7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84623"/>
      <w:docPartObj>
        <w:docPartGallery w:val="Page Numbers (Bottom of Page)"/>
        <w:docPartUnique/>
      </w:docPartObj>
    </w:sdtPr>
    <w:sdtEndPr>
      <w:rPr>
        <w:noProof/>
      </w:rPr>
    </w:sdtEndPr>
    <w:sdtContent>
      <w:p w14:paraId="3BC50422" w14:textId="76492D11" w:rsidR="006F73B8" w:rsidRDefault="006F7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49672" w14:textId="77777777" w:rsidR="006F73B8" w:rsidRDefault="006F73B8" w:rsidP="0063558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31933"/>
      <w:docPartObj>
        <w:docPartGallery w:val="Page Numbers (Bottom of Page)"/>
        <w:docPartUnique/>
      </w:docPartObj>
    </w:sdtPr>
    <w:sdtEndPr>
      <w:rPr>
        <w:noProof/>
      </w:rPr>
    </w:sdtEndPr>
    <w:sdtContent>
      <w:p w14:paraId="452B12E4" w14:textId="019FE8C2" w:rsidR="006F73B8" w:rsidRDefault="006F7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6BE9D" w14:textId="77777777" w:rsidR="006F73B8" w:rsidRDefault="006F73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629938"/>
      <w:docPartObj>
        <w:docPartGallery w:val="Page Numbers (Bottom of Page)"/>
        <w:docPartUnique/>
      </w:docPartObj>
    </w:sdtPr>
    <w:sdtEndPr>
      <w:rPr>
        <w:noProof/>
      </w:rPr>
    </w:sdtEndPr>
    <w:sdtContent>
      <w:p w14:paraId="6CC0F6F4" w14:textId="77777777" w:rsidR="006F73B8" w:rsidRDefault="006F7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EE301" w14:textId="77777777" w:rsidR="006F73B8" w:rsidRDefault="006F73B8" w:rsidP="0063558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591958"/>
      <w:docPartObj>
        <w:docPartGallery w:val="Page Numbers (Bottom of Page)"/>
        <w:docPartUnique/>
      </w:docPartObj>
    </w:sdtPr>
    <w:sdtEndPr>
      <w:rPr>
        <w:noProof/>
      </w:rPr>
    </w:sdtEndPr>
    <w:sdtContent>
      <w:p w14:paraId="0FF81146" w14:textId="77777777" w:rsidR="007C7B8B" w:rsidRDefault="007C7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B74FC" w14:textId="77777777" w:rsidR="007C7B8B" w:rsidRDefault="007C7B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3927167"/>
      <w:docPartObj>
        <w:docPartGallery w:val="Page Numbers (Bottom of Page)"/>
        <w:docPartUnique/>
      </w:docPartObj>
    </w:sdtPr>
    <w:sdtEndPr>
      <w:rPr>
        <w:noProof/>
      </w:rPr>
    </w:sdtEndPr>
    <w:sdtContent>
      <w:p w14:paraId="62EAE379" w14:textId="77777777" w:rsidR="007C7B8B" w:rsidRDefault="007C7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585C0" w14:textId="77777777" w:rsidR="007C7B8B" w:rsidRDefault="007C7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987B" w14:textId="77777777" w:rsidR="006F73B8" w:rsidRDefault="006F73B8" w:rsidP="00E54E2E">
      <w:pPr>
        <w:spacing w:after="0" w:line="240" w:lineRule="auto"/>
      </w:pPr>
      <w:r>
        <w:separator/>
      </w:r>
    </w:p>
  </w:footnote>
  <w:footnote w:type="continuationSeparator" w:id="0">
    <w:p w14:paraId="32D8E4DB" w14:textId="77777777" w:rsidR="006F73B8" w:rsidRDefault="006F73B8" w:rsidP="00E54E2E">
      <w:pPr>
        <w:spacing w:after="0" w:line="240" w:lineRule="auto"/>
      </w:pPr>
      <w:r>
        <w:continuationSeparator/>
      </w:r>
    </w:p>
  </w:footnote>
  <w:footnote w:type="continuationNotice" w:id="1">
    <w:p w14:paraId="6BA892BB" w14:textId="77777777" w:rsidR="006F73B8" w:rsidRDefault="006F73B8">
      <w:pPr>
        <w:spacing w:after="0" w:line="240" w:lineRule="auto"/>
      </w:pPr>
    </w:p>
  </w:footnote>
  <w:footnote w:id="2">
    <w:p w14:paraId="6E6ACCB1" w14:textId="6ED05BDA" w:rsidR="006F73B8" w:rsidRPr="00D1341D" w:rsidRDefault="006F73B8" w:rsidP="00C409A9">
      <w:pPr>
        <w:pStyle w:val="footnoteFTA"/>
      </w:pPr>
      <w:r w:rsidRPr="00934E77">
        <w:rPr>
          <w:vertAlign w:val="superscript"/>
        </w:rPr>
        <w:footnoteRef/>
      </w:r>
      <w:r w:rsidRPr="00934E77">
        <w:rPr>
          <w:vertAlign w:val="superscript"/>
        </w:rPr>
        <w:t xml:space="preserve"> </w:t>
      </w:r>
      <w:r>
        <w:tab/>
      </w:r>
      <w:r w:rsidRPr="00D1341D">
        <w:t xml:space="preserve">For greater certainty, beyond the principle of non-discrimination, the domestic legislation of </w:t>
      </w:r>
      <w:r>
        <w:t xml:space="preserve">Iceland </w:t>
      </w:r>
      <w:r w:rsidRPr="00D1341D">
        <w:t>shall apply to the procurement of these services.</w:t>
      </w:r>
    </w:p>
  </w:footnote>
  <w:footnote w:id="3">
    <w:p w14:paraId="368278B8" w14:textId="75746A45" w:rsidR="006F73B8" w:rsidRPr="00D1341D" w:rsidRDefault="006F73B8" w:rsidP="00C409A9">
      <w:pPr>
        <w:pStyle w:val="footnoteFTA"/>
      </w:pPr>
      <w:r w:rsidRPr="00934E77">
        <w:rPr>
          <w:vertAlign w:val="superscript"/>
        </w:rPr>
        <w:footnoteRef/>
      </w:r>
      <w:r>
        <w:t xml:space="preserve"> </w:t>
      </w:r>
      <w:r>
        <w:tab/>
      </w:r>
      <w:r w:rsidRPr="00D1341D">
        <w:t xml:space="preserve">For greater certainty, all services covered under paragraph 2 </w:t>
      </w:r>
      <w:r>
        <w:t xml:space="preserve">(Additional services) </w:t>
      </w:r>
      <w:r w:rsidRPr="00D1341D">
        <w:t xml:space="preserve">that are also covered under Title III (Particular Procurement Regimes) of </w:t>
      </w:r>
      <w:r w:rsidRPr="00934E77">
        <w:t>Directive 2014/24/EU of the European Parliament and of the Council of 26 February 2014 on public procurement and repealing Directive 2004/18/EC</w:t>
      </w:r>
      <w:r w:rsidRPr="00D1341D">
        <w:t>, are included under the national treatment regime</w:t>
      </w:r>
      <w:r>
        <w:t xml:space="preserve"> of Iceland.</w:t>
      </w:r>
    </w:p>
  </w:footnote>
  <w:footnote w:id="4">
    <w:p w14:paraId="46ECD739" w14:textId="7AEA37A9" w:rsidR="006F73B8" w:rsidRPr="00506AAD" w:rsidRDefault="006F73B8" w:rsidP="00ED71F4">
      <w:pPr>
        <w:pStyle w:val="footnoteFTA"/>
      </w:pPr>
      <w:r w:rsidRPr="00CD79E6">
        <w:rPr>
          <w:vertAlign w:val="superscript"/>
        </w:rPr>
        <w:footnoteRef/>
      </w:r>
      <w:r>
        <w:t xml:space="preserve"> </w:t>
      </w:r>
      <w:r>
        <w:tab/>
      </w:r>
      <w:r w:rsidRPr="00506AAD">
        <w:t>For greater certainty, beyond the principle of non-discrimination, the domestic legislation of</w:t>
      </w:r>
      <w:r>
        <w:t xml:space="preserve"> Liechtenstein</w:t>
      </w:r>
      <w:r w:rsidRPr="00506AAD">
        <w:t xml:space="preserve"> shall apply to the procurement of these services.</w:t>
      </w:r>
    </w:p>
  </w:footnote>
  <w:footnote w:id="5">
    <w:p w14:paraId="27C1F97E" w14:textId="0E1DBE99" w:rsidR="006F73B8" w:rsidRPr="00506AAD" w:rsidRDefault="006F73B8" w:rsidP="00ED71F4">
      <w:pPr>
        <w:pStyle w:val="footnoteFTA"/>
      </w:pPr>
      <w:r w:rsidRPr="00CD79E6">
        <w:rPr>
          <w:vertAlign w:val="superscript"/>
        </w:rPr>
        <w:footnoteRef/>
      </w:r>
      <w:r w:rsidRPr="00CD79E6">
        <w:rPr>
          <w:vertAlign w:val="superscript"/>
        </w:rPr>
        <w:t xml:space="preserve"> </w:t>
      </w:r>
      <w:r>
        <w:tab/>
      </w:r>
      <w:r w:rsidRPr="00506AAD">
        <w:t>For greater certainty, all services covered under paragraph 2</w:t>
      </w:r>
      <w:r>
        <w:t xml:space="preserve"> (Additional services)</w:t>
      </w:r>
      <w:r w:rsidRPr="00506AAD">
        <w:t xml:space="preserve"> that are also covered under Title III (Particular Procurement Regimes) of </w:t>
      </w:r>
      <w:r w:rsidRPr="003F5AFD">
        <w:t>Directive 2014/24/EU of the European Parliament and of the Council of 26 February 2014 on public procurement and repealing Directive 2004/18/EC</w:t>
      </w:r>
      <w:r w:rsidRPr="00506AAD">
        <w:t>, are included under the national treatment regime.</w:t>
      </w:r>
    </w:p>
  </w:footnote>
  <w:footnote w:id="6">
    <w:p w14:paraId="1CAD8DA7" w14:textId="77777777" w:rsidR="006F73B8" w:rsidRPr="00614B92" w:rsidRDefault="006F73B8" w:rsidP="00C409A9">
      <w:pPr>
        <w:pStyle w:val="footnoteFTA"/>
        <w:rPr>
          <w:lang w:val="en-US"/>
        </w:rPr>
      </w:pPr>
      <w:r w:rsidRPr="00795881">
        <w:rPr>
          <w:vertAlign w:val="superscript"/>
        </w:rPr>
        <w:footnoteRef/>
      </w:r>
      <w:r w:rsidRPr="00795881">
        <w:rPr>
          <w:vertAlign w:val="superscript"/>
        </w:rPr>
        <w:t xml:space="preserve"> </w:t>
      </w:r>
      <w:r w:rsidRPr="00795881">
        <w:rPr>
          <w:vertAlign w:val="superscript"/>
        </w:rPr>
        <w:tab/>
      </w:r>
      <w:r w:rsidRPr="00614B92">
        <w:rPr>
          <w:lang w:val="en-US"/>
        </w:rPr>
        <w:t>For greater certainty,</w:t>
      </w:r>
      <w:r>
        <w:rPr>
          <w:lang w:val="en-US"/>
        </w:rPr>
        <w:t xml:space="preserve"> beyond the principle of non-discrimination, the </w:t>
      </w:r>
      <w:r w:rsidRPr="00614B92">
        <w:rPr>
          <w:lang w:val="en-US"/>
        </w:rPr>
        <w:t xml:space="preserve">domestic legislation </w:t>
      </w:r>
      <w:r>
        <w:rPr>
          <w:lang w:val="en-US"/>
        </w:rPr>
        <w:t xml:space="preserve">of </w:t>
      </w:r>
      <w:r>
        <w:rPr>
          <w:lang w:val="en-US"/>
        </w:rPr>
        <w:tab/>
        <w:t xml:space="preserve">Norway shall </w:t>
      </w:r>
      <w:r w:rsidRPr="00614B92">
        <w:rPr>
          <w:lang w:val="en-US"/>
        </w:rPr>
        <w:t>apply</w:t>
      </w:r>
      <w:r>
        <w:rPr>
          <w:lang w:val="en-US"/>
        </w:rPr>
        <w:t xml:space="preserve"> to the procurement of these services. </w:t>
      </w:r>
    </w:p>
  </w:footnote>
  <w:footnote w:id="7">
    <w:p w14:paraId="17F4E714" w14:textId="2625ABDB" w:rsidR="006F73B8" w:rsidRPr="00E3624C" w:rsidRDefault="006F73B8" w:rsidP="00C409A9">
      <w:pPr>
        <w:pStyle w:val="footnoteFTA"/>
        <w:rPr>
          <w:lang w:val="en-US"/>
        </w:rPr>
      </w:pPr>
      <w:r w:rsidRPr="00B4636A">
        <w:rPr>
          <w:vertAlign w:val="superscript"/>
        </w:rPr>
        <w:footnoteRef/>
      </w:r>
      <w:r>
        <w:t xml:space="preserve"> </w:t>
      </w:r>
      <w:r>
        <w:tab/>
      </w:r>
      <w:r w:rsidRPr="00E3624C">
        <w:t>For greater certainty, all services covered under paragraph 2</w:t>
      </w:r>
      <w:r>
        <w:t xml:space="preserve"> (Additional services)</w:t>
      </w:r>
      <w:r w:rsidRPr="00E3624C">
        <w:t xml:space="preserve"> that are also covered under Title III (Particular Procurement Regimes) of </w:t>
      </w:r>
      <w:r w:rsidRPr="003F5AFD">
        <w:t>Directive 2014/24/EU of the European Parliament and of the Council of 26 February 2014 on public procurement and repealing Directive 2004/18/EC</w:t>
      </w:r>
      <w:r w:rsidRPr="00E3624C">
        <w:t>, are included under the national treatment regime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E8696" w14:textId="77777777" w:rsidR="006F73B8" w:rsidRDefault="006F7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9FE8C" w14:textId="1BE2C00B" w:rsidR="006F73B8" w:rsidRPr="007B33D6" w:rsidRDefault="006F73B8" w:rsidP="007B33D6">
    <w:pPr>
      <w:tabs>
        <w:tab w:val="left" w:pos="4820"/>
      </w:tabs>
      <w:spacing w:after="0"/>
      <w:jc w:val="right"/>
      <w:rPr>
        <w:sz w:val="20"/>
        <w:szCs w:val="20"/>
        <w:lang w:val="nn-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6CFD8" w14:textId="30FD1FF0" w:rsidR="006F73B8" w:rsidRPr="00673452" w:rsidRDefault="006F73B8" w:rsidP="007B33D6">
    <w:pPr>
      <w:tabs>
        <w:tab w:val="left" w:pos="4820"/>
      </w:tabs>
      <w:spacing w:after="0"/>
      <w:jc w:val="right"/>
      <w:rPr>
        <w:sz w:val="20"/>
        <w:szCs w:val="20"/>
        <w:lang w:val="nn-N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C369" w14:textId="77777777" w:rsidR="006F73B8" w:rsidRPr="00673452" w:rsidRDefault="006F73B8" w:rsidP="00E54E2E">
    <w:pPr>
      <w:tabs>
        <w:tab w:val="left" w:pos="4820"/>
      </w:tabs>
      <w:rPr>
        <w:sz w:val="20"/>
        <w:szCs w:val="20"/>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449A2"/>
    <w:multiLevelType w:val="hybridMultilevel"/>
    <w:tmpl w:val="1B8E5856"/>
    <w:lvl w:ilvl="0" w:tplc="2A9C2BA4">
      <w:start w:val="1"/>
      <w:numFmt w:val="bullet"/>
      <w:lvlText w:val="-"/>
      <w:lvlJc w:val="left"/>
      <w:pPr>
        <w:ind w:left="1080" w:hanging="360"/>
      </w:pPr>
      <w:rPr>
        <w:rFonts w:ascii="Calibri" w:eastAsia="Calibri" w:hAnsi="Calibri"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B2D7F"/>
    <w:multiLevelType w:val="multilevel"/>
    <w:tmpl w:val="D46248E8"/>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29"/>
        </w:tabs>
        <w:ind w:left="1315" w:hanging="595"/>
      </w:pPr>
      <w:rPr>
        <w:rFonts w:ascii="Times New Roman" w:hAnsi="Times New Roman" w:hint="default"/>
        <w:color w:val="auto"/>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295B394A"/>
    <w:multiLevelType w:val="hybridMultilevel"/>
    <w:tmpl w:val="288CC5DC"/>
    <w:lvl w:ilvl="0" w:tplc="2DCAF936">
      <w:start w:val="1"/>
      <w:numFmt w:val="decimal"/>
      <w:lvlText w:val="APPENDIX %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36384778"/>
    <w:multiLevelType w:val="multilevel"/>
    <w:tmpl w:val="0CFEEFCC"/>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29"/>
        </w:tabs>
        <w:ind w:left="1315"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363B3796"/>
    <w:multiLevelType w:val="hybridMultilevel"/>
    <w:tmpl w:val="288CC5DC"/>
    <w:lvl w:ilvl="0" w:tplc="2DCAF936">
      <w:start w:val="1"/>
      <w:numFmt w:val="decimal"/>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6" w15:restartNumberingAfterBreak="0">
    <w:nsid w:val="405C5B2C"/>
    <w:multiLevelType w:val="multilevel"/>
    <w:tmpl w:val="C2B2A6EA"/>
    <w:lvl w:ilvl="0">
      <w:start w:val="1"/>
      <w:numFmt w:val="decimal"/>
      <w:lvlText w:val="%1."/>
      <w:lvlJc w:val="left"/>
      <w:pPr>
        <w:tabs>
          <w:tab w:val="num" w:pos="0"/>
        </w:tabs>
        <w:ind w:left="709" w:hanging="709"/>
      </w:pPr>
      <w:rPr>
        <w:rFonts w:ascii="Times New Roman" w:hAnsi="Times New Roman" w:hint="default"/>
        <w:sz w:val="24"/>
      </w:rPr>
    </w:lvl>
    <w:lvl w:ilvl="1">
      <w:start w:val="1"/>
      <w:numFmt w:val="bullet"/>
      <w:lvlText w:val="-"/>
      <w:lvlJc w:val="left"/>
      <w:pPr>
        <w:tabs>
          <w:tab w:val="num" w:pos="1429"/>
        </w:tabs>
        <w:ind w:left="1315" w:hanging="595"/>
      </w:pPr>
      <w:rPr>
        <w:rFonts w:ascii="Calibri" w:eastAsia="Calibri" w:hAnsi="Calibri" w:hint="default"/>
        <w:color w:val="auto"/>
        <w:sz w:val="22"/>
        <w:szCs w:val="22"/>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564C6DAF"/>
    <w:multiLevelType w:val="multilevel"/>
    <w:tmpl w:val="3DCAFD14"/>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29"/>
        </w:tabs>
        <w:ind w:left="1315" w:hanging="595"/>
      </w:pPr>
      <w:rPr>
        <w:rFonts w:ascii="Times New Roman" w:hAnsi="Times New Roman" w:hint="default"/>
        <w:sz w:val="24"/>
      </w:rPr>
    </w:lvl>
    <w:lvl w:ilvl="2">
      <w:start w:val="1"/>
      <w:numFmt w:val="lowerLetter"/>
      <w:lvlText w:val="(a%3)"/>
      <w:lvlJc w:val="left"/>
      <w:pPr>
        <w:tabs>
          <w:tab w:val="num" w:pos="2126"/>
        </w:tabs>
        <w:ind w:left="2126" w:hanging="708"/>
      </w:pPr>
      <w:rPr>
        <w:rFonts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5A7A309D"/>
    <w:multiLevelType w:val="multilevel"/>
    <w:tmpl w:val="7CEA7B66"/>
    <w:lvl w:ilvl="0">
      <w:start w:val="1"/>
      <w:numFmt w:val="decimal"/>
      <w:lvlText w:val="%1."/>
      <w:lvlJc w:val="left"/>
      <w:pPr>
        <w:tabs>
          <w:tab w:val="num" w:pos="0"/>
        </w:tabs>
        <w:ind w:left="709" w:hanging="709"/>
      </w:pPr>
      <w:rPr>
        <w:rFonts w:ascii="Times New Roman" w:hAnsi="Times New Roman" w:hint="default"/>
        <w:sz w:val="24"/>
      </w:rPr>
    </w:lvl>
    <w:lvl w:ilvl="1">
      <w:start w:val="1"/>
      <w:numFmt w:val="bullet"/>
      <w:lvlText w:val="-"/>
      <w:lvlJc w:val="left"/>
      <w:pPr>
        <w:tabs>
          <w:tab w:val="num" w:pos="1429"/>
        </w:tabs>
        <w:ind w:left="1315" w:hanging="595"/>
      </w:pPr>
      <w:rPr>
        <w:rFonts w:ascii="Calibri" w:eastAsia="Calibri" w:hAnsi="Calibri" w:hint="default"/>
        <w:color w:val="auto"/>
        <w:sz w:val="22"/>
        <w:szCs w:val="22"/>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9" w15:restartNumberingAfterBreak="0">
    <w:nsid w:val="639C2887"/>
    <w:multiLevelType w:val="multilevel"/>
    <w:tmpl w:val="FD44CF7A"/>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29"/>
        </w:tabs>
        <w:ind w:left="1315"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0" w15:restartNumberingAfterBreak="0">
    <w:nsid w:val="662E4F62"/>
    <w:multiLevelType w:val="hybridMultilevel"/>
    <w:tmpl w:val="6F3AA466"/>
    <w:lvl w:ilvl="0" w:tplc="2A9C2BA4">
      <w:start w:val="1"/>
      <w:numFmt w:val="bullet"/>
      <w:lvlText w:val="-"/>
      <w:lvlJc w:val="left"/>
      <w:pPr>
        <w:ind w:left="1429" w:hanging="360"/>
      </w:pPr>
      <w:rPr>
        <w:rFonts w:ascii="Calibri" w:eastAsia="Calibri" w:hAnsi="Calibri" w:hint="default"/>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6A8002E3"/>
    <w:multiLevelType w:val="multilevel"/>
    <w:tmpl w:val="FC529340"/>
    <w:lvl w:ilvl="0">
      <w:start w:val="1"/>
      <w:numFmt w:val="decimal"/>
      <w:lvlText w:val="%1."/>
      <w:lvlJc w:val="left"/>
      <w:pPr>
        <w:tabs>
          <w:tab w:val="num" w:pos="0"/>
        </w:tabs>
        <w:ind w:left="709" w:hanging="709"/>
      </w:pPr>
      <w:rPr>
        <w:rFonts w:ascii="Times New Roman" w:hAnsi="Times New Roman" w:hint="default"/>
        <w:sz w:val="24"/>
      </w:rPr>
    </w:lvl>
    <w:lvl w:ilvl="1">
      <w:start w:val="1"/>
      <w:numFmt w:val="bullet"/>
      <w:lvlText w:val="-"/>
      <w:lvlJc w:val="left"/>
      <w:pPr>
        <w:tabs>
          <w:tab w:val="num" w:pos="1429"/>
        </w:tabs>
        <w:ind w:left="1315" w:hanging="595"/>
      </w:pPr>
      <w:rPr>
        <w:rFonts w:ascii="Calibri" w:eastAsia="Calibri" w:hAnsi="Calibri" w:hint="default"/>
        <w:color w:val="auto"/>
        <w:sz w:val="22"/>
        <w:szCs w:val="22"/>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2" w15:restartNumberingAfterBreak="0">
    <w:nsid w:val="6D040267"/>
    <w:multiLevelType w:val="hybridMultilevel"/>
    <w:tmpl w:val="9E824CFA"/>
    <w:lvl w:ilvl="0" w:tplc="2A9C2BA4">
      <w:start w:val="1"/>
      <w:numFmt w:val="bullet"/>
      <w:lvlText w:val="-"/>
      <w:lvlJc w:val="left"/>
      <w:pPr>
        <w:ind w:left="1429" w:hanging="360"/>
      </w:pPr>
      <w:rPr>
        <w:rFonts w:ascii="Calibri" w:eastAsia="Calibri" w:hAnsi="Calibri" w:hint="default"/>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0A41E3E"/>
    <w:multiLevelType w:val="hybridMultilevel"/>
    <w:tmpl w:val="61B6DD0E"/>
    <w:lvl w:ilvl="0" w:tplc="0414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F451BE"/>
    <w:multiLevelType w:val="hybridMultilevel"/>
    <w:tmpl w:val="78B8CAD4"/>
    <w:lvl w:ilvl="0" w:tplc="2A9C2BA4">
      <w:start w:val="1"/>
      <w:numFmt w:val="bullet"/>
      <w:lvlText w:val="-"/>
      <w:lvlJc w:val="left"/>
      <w:pPr>
        <w:ind w:left="1429" w:hanging="360"/>
      </w:pPr>
      <w:rPr>
        <w:rFonts w:ascii="Calibri" w:eastAsia="Calibri" w:hAnsi="Calibri" w:hint="default"/>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84C5CEA"/>
    <w:multiLevelType w:val="multilevel"/>
    <w:tmpl w:val="8A265B62"/>
    <w:lvl w:ilvl="0">
      <w:start w:val="1"/>
      <w:numFmt w:val="decimal"/>
      <w:lvlText w:val="%1."/>
      <w:lvlJc w:val="left"/>
      <w:pPr>
        <w:tabs>
          <w:tab w:val="num" w:pos="0"/>
        </w:tabs>
        <w:ind w:left="709" w:hanging="709"/>
      </w:pPr>
      <w:rPr>
        <w:rFonts w:ascii="Times New Roman" w:hAnsi="Times New Roman" w:hint="default"/>
        <w:sz w:val="24"/>
      </w:rPr>
    </w:lvl>
    <w:lvl w:ilvl="1">
      <w:start w:val="1"/>
      <w:numFmt w:val="bullet"/>
      <w:lvlText w:val="-"/>
      <w:lvlJc w:val="left"/>
      <w:pPr>
        <w:tabs>
          <w:tab w:val="num" w:pos="1429"/>
        </w:tabs>
        <w:ind w:left="1315" w:hanging="595"/>
      </w:pPr>
      <w:rPr>
        <w:rFonts w:ascii="Calibri" w:eastAsia="Calibri" w:hAnsi="Calibri" w:hint="default"/>
        <w:color w:val="auto"/>
        <w:sz w:val="22"/>
        <w:szCs w:val="22"/>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0"/>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3"/>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1"/>
  </w:num>
  <w:num w:numId="45">
    <w:abstractNumId w:val="8"/>
  </w:num>
  <w:num w:numId="46">
    <w:abstractNumId w:val="6"/>
  </w:num>
  <w:num w:numId="47">
    <w:abstractNumId w:val="1"/>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DateAndTime/>
  <w:mirrorMargins/>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zAxtTQzMzCxMDRQ0lEKTi0uzszPAykwNK8FAIjT6dktAAAA"/>
  </w:docVars>
  <w:rsids>
    <w:rsidRoot w:val="00E54E2E"/>
    <w:rsid w:val="00005C8B"/>
    <w:rsid w:val="0000725C"/>
    <w:rsid w:val="00015CFA"/>
    <w:rsid w:val="00021835"/>
    <w:rsid w:val="00022FF8"/>
    <w:rsid w:val="00023F46"/>
    <w:rsid w:val="00030F4E"/>
    <w:rsid w:val="00042391"/>
    <w:rsid w:val="00042B2D"/>
    <w:rsid w:val="00060A2B"/>
    <w:rsid w:val="00061226"/>
    <w:rsid w:val="00061679"/>
    <w:rsid w:val="00071B6C"/>
    <w:rsid w:val="00071F09"/>
    <w:rsid w:val="00071F37"/>
    <w:rsid w:val="000871E1"/>
    <w:rsid w:val="000924EF"/>
    <w:rsid w:val="00095535"/>
    <w:rsid w:val="00097D37"/>
    <w:rsid w:val="000A1E58"/>
    <w:rsid w:val="000A44C0"/>
    <w:rsid w:val="000A4EAC"/>
    <w:rsid w:val="000A54D5"/>
    <w:rsid w:val="000B4F1D"/>
    <w:rsid w:val="000B5BFF"/>
    <w:rsid w:val="000C2091"/>
    <w:rsid w:val="000C3980"/>
    <w:rsid w:val="000D7A06"/>
    <w:rsid w:val="000D7BFE"/>
    <w:rsid w:val="000F1C51"/>
    <w:rsid w:val="00103E20"/>
    <w:rsid w:val="0010447C"/>
    <w:rsid w:val="00112749"/>
    <w:rsid w:val="00123F8D"/>
    <w:rsid w:val="00124823"/>
    <w:rsid w:val="00125476"/>
    <w:rsid w:val="001263BF"/>
    <w:rsid w:val="00134F15"/>
    <w:rsid w:val="00140616"/>
    <w:rsid w:val="0014062F"/>
    <w:rsid w:val="00155436"/>
    <w:rsid w:val="00155580"/>
    <w:rsid w:val="001652F4"/>
    <w:rsid w:val="00170EF7"/>
    <w:rsid w:val="00171131"/>
    <w:rsid w:val="00174ADE"/>
    <w:rsid w:val="00180C21"/>
    <w:rsid w:val="00180F89"/>
    <w:rsid w:val="00185903"/>
    <w:rsid w:val="001861F1"/>
    <w:rsid w:val="0019266D"/>
    <w:rsid w:val="00195E70"/>
    <w:rsid w:val="001975D6"/>
    <w:rsid w:val="001A101E"/>
    <w:rsid w:val="001A11DD"/>
    <w:rsid w:val="001A2134"/>
    <w:rsid w:val="001A31DC"/>
    <w:rsid w:val="001B12F8"/>
    <w:rsid w:val="001B48C4"/>
    <w:rsid w:val="001C20AD"/>
    <w:rsid w:val="001C32BD"/>
    <w:rsid w:val="001C40ED"/>
    <w:rsid w:val="001C705C"/>
    <w:rsid w:val="001D0489"/>
    <w:rsid w:val="001D34A5"/>
    <w:rsid w:val="001D713F"/>
    <w:rsid w:val="001E12D9"/>
    <w:rsid w:val="001F0189"/>
    <w:rsid w:val="001F5F42"/>
    <w:rsid w:val="00201466"/>
    <w:rsid w:val="002138C4"/>
    <w:rsid w:val="002140B5"/>
    <w:rsid w:val="00216BB6"/>
    <w:rsid w:val="00220C6A"/>
    <w:rsid w:val="00223C12"/>
    <w:rsid w:val="00237246"/>
    <w:rsid w:val="00237327"/>
    <w:rsid w:val="00241DBB"/>
    <w:rsid w:val="00242218"/>
    <w:rsid w:val="00242923"/>
    <w:rsid w:val="00253BA8"/>
    <w:rsid w:val="00260ED3"/>
    <w:rsid w:val="00264AAF"/>
    <w:rsid w:val="00274EA7"/>
    <w:rsid w:val="0028244F"/>
    <w:rsid w:val="0028276A"/>
    <w:rsid w:val="00283059"/>
    <w:rsid w:val="00284587"/>
    <w:rsid w:val="00286316"/>
    <w:rsid w:val="00296203"/>
    <w:rsid w:val="002A1ED8"/>
    <w:rsid w:val="002A6ED6"/>
    <w:rsid w:val="002B17F4"/>
    <w:rsid w:val="002B52DF"/>
    <w:rsid w:val="002B559D"/>
    <w:rsid w:val="002C0BE8"/>
    <w:rsid w:val="002C1575"/>
    <w:rsid w:val="002C1EFA"/>
    <w:rsid w:val="002C1FC0"/>
    <w:rsid w:val="002C6862"/>
    <w:rsid w:val="002D0DCD"/>
    <w:rsid w:val="002D29AB"/>
    <w:rsid w:val="002D70B1"/>
    <w:rsid w:val="002E5E1D"/>
    <w:rsid w:val="002E6729"/>
    <w:rsid w:val="002F7DE5"/>
    <w:rsid w:val="003011A1"/>
    <w:rsid w:val="003128E3"/>
    <w:rsid w:val="0031431F"/>
    <w:rsid w:val="003152BC"/>
    <w:rsid w:val="003207F4"/>
    <w:rsid w:val="0032490D"/>
    <w:rsid w:val="003258C5"/>
    <w:rsid w:val="00331F1A"/>
    <w:rsid w:val="00340410"/>
    <w:rsid w:val="003410F0"/>
    <w:rsid w:val="00341C1D"/>
    <w:rsid w:val="00342544"/>
    <w:rsid w:val="003454A1"/>
    <w:rsid w:val="00346461"/>
    <w:rsid w:val="00354923"/>
    <w:rsid w:val="00356B54"/>
    <w:rsid w:val="0035768F"/>
    <w:rsid w:val="003625D9"/>
    <w:rsid w:val="0036635E"/>
    <w:rsid w:val="00376AE2"/>
    <w:rsid w:val="00376D77"/>
    <w:rsid w:val="00391A92"/>
    <w:rsid w:val="00395A4E"/>
    <w:rsid w:val="00395E21"/>
    <w:rsid w:val="003B3EA4"/>
    <w:rsid w:val="003B7E9E"/>
    <w:rsid w:val="003C1B6F"/>
    <w:rsid w:val="003C227E"/>
    <w:rsid w:val="003C46ED"/>
    <w:rsid w:val="003C67C2"/>
    <w:rsid w:val="003D4DBD"/>
    <w:rsid w:val="003E0B3A"/>
    <w:rsid w:val="003F4354"/>
    <w:rsid w:val="0040011C"/>
    <w:rsid w:val="00412E1C"/>
    <w:rsid w:val="00421C1B"/>
    <w:rsid w:val="004303E7"/>
    <w:rsid w:val="0043120A"/>
    <w:rsid w:val="00433234"/>
    <w:rsid w:val="00454B16"/>
    <w:rsid w:val="00457CBC"/>
    <w:rsid w:val="004758B6"/>
    <w:rsid w:val="00480433"/>
    <w:rsid w:val="00480D5E"/>
    <w:rsid w:val="00486564"/>
    <w:rsid w:val="00490D2F"/>
    <w:rsid w:val="00490ECC"/>
    <w:rsid w:val="00493164"/>
    <w:rsid w:val="004C0EBD"/>
    <w:rsid w:val="004D745D"/>
    <w:rsid w:val="004E1A9E"/>
    <w:rsid w:val="004E72B7"/>
    <w:rsid w:val="00503F93"/>
    <w:rsid w:val="00506AAD"/>
    <w:rsid w:val="005071AD"/>
    <w:rsid w:val="00511315"/>
    <w:rsid w:val="00523CD9"/>
    <w:rsid w:val="00526828"/>
    <w:rsid w:val="00526AFE"/>
    <w:rsid w:val="00532C15"/>
    <w:rsid w:val="005474A5"/>
    <w:rsid w:val="0055288D"/>
    <w:rsid w:val="00553429"/>
    <w:rsid w:val="00557523"/>
    <w:rsid w:val="005768DB"/>
    <w:rsid w:val="005A11F9"/>
    <w:rsid w:val="005A2C58"/>
    <w:rsid w:val="005A4238"/>
    <w:rsid w:val="005A6BE9"/>
    <w:rsid w:val="005C4DBD"/>
    <w:rsid w:val="005C5590"/>
    <w:rsid w:val="005D0413"/>
    <w:rsid w:val="00600D69"/>
    <w:rsid w:val="00614B92"/>
    <w:rsid w:val="006153C6"/>
    <w:rsid w:val="00620CB1"/>
    <w:rsid w:val="00626C96"/>
    <w:rsid w:val="00630A43"/>
    <w:rsid w:val="00634B18"/>
    <w:rsid w:val="00635587"/>
    <w:rsid w:val="00636CFC"/>
    <w:rsid w:val="00647251"/>
    <w:rsid w:val="00647ACD"/>
    <w:rsid w:val="00653B08"/>
    <w:rsid w:val="006645A8"/>
    <w:rsid w:val="00665CC9"/>
    <w:rsid w:val="0067125D"/>
    <w:rsid w:val="00673452"/>
    <w:rsid w:val="006754FC"/>
    <w:rsid w:val="006768F1"/>
    <w:rsid w:val="00685297"/>
    <w:rsid w:val="00686B8C"/>
    <w:rsid w:val="006924A1"/>
    <w:rsid w:val="006A166E"/>
    <w:rsid w:val="006A3C5F"/>
    <w:rsid w:val="006A7389"/>
    <w:rsid w:val="006A7E9D"/>
    <w:rsid w:val="006B440A"/>
    <w:rsid w:val="006E2F81"/>
    <w:rsid w:val="006F69C1"/>
    <w:rsid w:val="006F73B8"/>
    <w:rsid w:val="007007D0"/>
    <w:rsid w:val="00700F98"/>
    <w:rsid w:val="007017A7"/>
    <w:rsid w:val="007164F7"/>
    <w:rsid w:val="00720916"/>
    <w:rsid w:val="007213B8"/>
    <w:rsid w:val="007215CF"/>
    <w:rsid w:val="00723E14"/>
    <w:rsid w:val="0073064C"/>
    <w:rsid w:val="007343E8"/>
    <w:rsid w:val="00744409"/>
    <w:rsid w:val="00760E4E"/>
    <w:rsid w:val="00771117"/>
    <w:rsid w:val="00771DC3"/>
    <w:rsid w:val="007748DE"/>
    <w:rsid w:val="00775256"/>
    <w:rsid w:val="00794D6D"/>
    <w:rsid w:val="00795881"/>
    <w:rsid w:val="00796467"/>
    <w:rsid w:val="007A121B"/>
    <w:rsid w:val="007A5E91"/>
    <w:rsid w:val="007B33D6"/>
    <w:rsid w:val="007B66FB"/>
    <w:rsid w:val="007C4288"/>
    <w:rsid w:val="007C5416"/>
    <w:rsid w:val="007C5CB7"/>
    <w:rsid w:val="007C7B8B"/>
    <w:rsid w:val="007D2029"/>
    <w:rsid w:val="007D2C22"/>
    <w:rsid w:val="007E19FE"/>
    <w:rsid w:val="007F00AA"/>
    <w:rsid w:val="007F674C"/>
    <w:rsid w:val="00800403"/>
    <w:rsid w:val="0080363B"/>
    <w:rsid w:val="00804923"/>
    <w:rsid w:val="00811954"/>
    <w:rsid w:val="008200B0"/>
    <w:rsid w:val="00824443"/>
    <w:rsid w:val="008249FE"/>
    <w:rsid w:val="008279F1"/>
    <w:rsid w:val="00830829"/>
    <w:rsid w:val="00834DA6"/>
    <w:rsid w:val="00836A4F"/>
    <w:rsid w:val="00842536"/>
    <w:rsid w:val="00845074"/>
    <w:rsid w:val="0084549F"/>
    <w:rsid w:val="008555F2"/>
    <w:rsid w:val="00857F0B"/>
    <w:rsid w:val="008607B8"/>
    <w:rsid w:val="0086094B"/>
    <w:rsid w:val="00865A24"/>
    <w:rsid w:val="008722D0"/>
    <w:rsid w:val="00873C82"/>
    <w:rsid w:val="00875050"/>
    <w:rsid w:val="008805E2"/>
    <w:rsid w:val="00893BE5"/>
    <w:rsid w:val="008968A5"/>
    <w:rsid w:val="008A34CF"/>
    <w:rsid w:val="008C331E"/>
    <w:rsid w:val="008D0C08"/>
    <w:rsid w:val="008D447B"/>
    <w:rsid w:val="008D71DE"/>
    <w:rsid w:val="008E2F6B"/>
    <w:rsid w:val="008E688F"/>
    <w:rsid w:val="008E6CF6"/>
    <w:rsid w:val="008F4242"/>
    <w:rsid w:val="008F7B26"/>
    <w:rsid w:val="00903280"/>
    <w:rsid w:val="00907A38"/>
    <w:rsid w:val="009112D1"/>
    <w:rsid w:val="00913172"/>
    <w:rsid w:val="00934E77"/>
    <w:rsid w:val="009566CA"/>
    <w:rsid w:val="009615DF"/>
    <w:rsid w:val="00962720"/>
    <w:rsid w:val="00966946"/>
    <w:rsid w:val="00972E79"/>
    <w:rsid w:val="00974A74"/>
    <w:rsid w:val="0097642C"/>
    <w:rsid w:val="00981B26"/>
    <w:rsid w:val="00992238"/>
    <w:rsid w:val="009971BB"/>
    <w:rsid w:val="009A3496"/>
    <w:rsid w:val="009A66A1"/>
    <w:rsid w:val="009B4B77"/>
    <w:rsid w:val="009C4407"/>
    <w:rsid w:val="009C665B"/>
    <w:rsid w:val="009D3684"/>
    <w:rsid w:val="009D5A60"/>
    <w:rsid w:val="009E07F9"/>
    <w:rsid w:val="009E3E0D"/>
    <w:rsid w:val="009E6B9A"/>
    <w:rsid w:val="009F24A4"/>
    <w:rsid w:val="00A049F1"/>
    <w:rsid w:val="00A106A7"/>
    <w:rsid w:val="00A1256D"/>
    <w:rsid w:val="00A40425"/>
    <w:rsid w:val="00A41A27"/>
    <w:rsid w:val="00A428B9"/>
    <w:rsid w:val="00A43DD7"/>
    <w:rsid w:val="00A4708D"/>
    <w:rsid w:val="00A638C6"/>
    <w:rsid w:val="00A64C0D"/>
    <w:rsid w:val="00A73B63"/>
    <w:rsid w:val="00A756CA"/>
    <w:rsid w:val="00A75F20"/>
    <w:rsid w:val="00A82FD1"/>
    <w:rsid w:val="00A842E7"/>
    <w:rsid w:val="00A864F4"/>
    <w:rsid w:val="00A86D79"/>
    <w:rsid w:val="00A952F2"/>
    <w:rsid w:val="00AA3F75"/>
    <w:rsid w:val="00AA6BD1"/>
    <w:rsid w:val="00AB2553"/>
    <w:rsid w:val="00AB2AF7"/>
    <w:rsid w:val="00AD1C09"/>
    <w:rsid w:val="00AD5D64"/>
    <w:rsid w:val="00AE5472"/>
    <w:rsid w:val="00AF77D9"/>
    <w:rsid w:val="00B00542"/>
    <w:rsid w:val="00B024D3"/>
    <w:rsid w:val="00B10752"/>
    <w:rsid w:val="00B156CA"/>
    <w:rsid w:val="00B161BB"/>
    <w:rsid w:val="00B2061D"/>
    <w:rsid w:val="00B2474B"/>
    <w:rsid w:val="00B24B29"/>
    <w:rsid w:val="00B251FE"/>
    <w:rsid w:val="00B31C09"/>
    <w:rsid w:val="00B35423"/>
    <w:rsid w:val="00B41AB2"/>
    <w:rsid w:val="00B43DEB"/>
    <w:rsid w:val="00B44DAE"/>
    <w:rsid w:val="00B4636A"/>
    <w:rsid w:val="00B53024"/>
    <w:rsid w:val="00B57964"/>
    <w:rsid w:val="00B61A43"/>
    <w:rsid w:val="00B6213A"/>
    <w:rsid w:val="00B64340"/>
    <w:rsid w:val="00B66116"/>
    <w:rsid w:val="00B67A6F"/>
    <w:rsid w:val="00B76C61"/>
    <w:rsid w:val="00B863A6"/>
    <w:rsid w:val="00BA61FA"/>
    <w:rsid w:val="00BA7D81"/>
    <w:rsid w:val="00BB0B7C"/>
    <w:rsid w:val="00BB47A1"/>
    <w:rsid w:val="00BB67B0"/>
    <w:rsid w:val="00BC5B46"/>
    <w:rsid w:val="00BF1122"/>
    <w:rsid w:val="00BF219E"/>
    <w:rsid w:val="00BF36E3"/>
    <w:rsid w:val="00BF3708"/>
    <w:rsid w:val="00C05804"/>
    <w:rsid w:val="00C07081"/>
    <w:rsid w:val="00C122EF"/>
    <w:rsid w:val="00C1263B"/>
    <w:rsid w:val="00C14F99"/>
    <w:rsid w:val="00C20057"/>
    <w:rsid w:val="00C245E1"/>
    <w:rsid w:val="00C250B9"/>
    <w:rsid w:val="00C258F8"/>
    <w:rsid w:val="00C32699"/>
    <w:rsid w:val="00C34668"/>
    <w:rsid w:val="00C409A9"/>
    <w:rsid w:val="00C45D34"/>
    <w:rsid w:val="00C4618C"/>
    <w:rsid w:val="00C50A94"/>
    <w:rsid w:val="00C555A7"/>
    <w:rsid w:val="00C57656"/>
    <w:rsid w:val="00C65A3E"/>
    <w:rsid w:val="00C67774"/>
    <w:rsid w:val="00C701B9"/>
    <w:rsid w:val="00C70FD3"/>
    <w:rsid w:val="00C71AC2"/>
    <w:rsid w:val="00C82CD1"/>
    <w:rsid w:val="00C86737"/>
    <w:rsid w:val="00CA31DE"/>
    <w:rsid w:val="00CB2196"/>
    <w:rsid w:val="00CC0C97"/>
    <w:rsid w:val="00CD79E6"/>
    <w:rsid w:val="00CE3236"/>
    <w:rsid w:val="00CE7FF8"/>
    <w:rsid w:val="00CF4480"/>
    <w:rsid w:val="00CF5FFA"/>
    <w:rsid w:val="00CF7C11"/>
    <w:rsid w:val="00D03494"/>
    <w:rsid w:val="00D1341D"/>
    <w:rsid w:val="00D16516"/>
    <w:rsid w:val="00D232D4"/>
    <w:rsid w:val="00D23D30"/>
    <w:rsid w:val="00D24E00"/>
    <w:rsid w:val="00D2751A"/>
    <w:rsid w:val="00D27776"/>
    <w:rsid w:val="00D33C9C"/>
    <w:rsid w:val="00D34C07"/>
    <w:rsid w:val="00D37DB5"/>
    <w:rsid w:val="00D37DF3"/>
    <w:rsid w:val="00D40EA3"/>
    <w:rsid w:val="00D50107"/>
    <w:rsid w:val="00D51747"/>
    <w:rsid w:val="00D5582E"/>
    <w:rsid w:val="00D609B9"/>
    <w:rsid w:val="00D61E14"/>
    <w:rsid w:val="00D6237D"/>
    <w:rsid w:val="00D6426D"/>
    <w:rsid w:val="00D76107"/>
    <w:rsid w:val="00D77537"/>
    <w:rsid w:val="00D90522"/>
    <w:rsid w:val="00D90897"/>
    <w:rsid w:val="00DA29A8"/>
    <w:rsid w:val="00DB008E"/>
    <w:rsid w:val="00DC4FBB"/>
    <w:rsid w:val="00DC5F93"/>
    <w:rsid w:val="00DC7D05"/>
    <w:rsid w:val="00DD60EB"/>
    <w:rsid w:val="00DD7024"/>
    <w:rsid w:val="00DE4917"/>
    <w:rsid w:val="00DE7F38"/>
    <w:rsid w:val="00DF06C0"/>
    <w:rsid w:val="00DF6F1E"/>
    <w:rsid w:val="00E05723"/>
    <w:rsid w:val="00E06FDB"/>
    <w:rsid w:val="00E104DF"/>
    <w:rsid w:val="00E126AF"/>
    <w:rsid w:val="00E20891"/>
    <w:rsid w:val="00E222F0"/>
    <w:rsid w:val="00E226DE"/>
    <w:rsid w:val="00E25640"/>
    <w:rsid w:val="00E270CD"/>
    <w:rsid w:val="00E32EC1"/>
    <w:rsid w:val="00E3437D"/>
    <w:rsid w:val="00E3624C"/>
    <w:rsid w:val="00E410B9"/>
    <w:rsid w:val="00E5013F"/>
    <w:rsid w:val="00E54E2E"/>
    <w:rsid w:val="00E62DB2"/>
    <w:rsid w:val="00E630AC"/>
    <w:rsid w:val="00E639C9"/>
    <w:rsid w:val="00E83C47"/>
    <w:rsid w:val="00E97742"/>
    <w:rsid w:val="00E97DFE"/>
    <w:rsid w:val="00EA6F3B"/>
    <w:rsid w:val="00EB168E"/>
    <w:rsid w:val="00EB19F2"/>
    <w:rsid w:val="00EB25C5"/>
    <w:rsid w:val="00EB5048"/>
    <w:rsid w:val="00EB6811"/>
    <w:rsid w:val="00EC1E50"/>
    <w:rsid w:val="00EC23EE"/>
    <w:rsid w:val="00EC355B"/>
    <w:rsid w:val="00EC5062"/>
    <w:rsid w:val="00ED2344"/>
    <w:rsid w:val="00ED2CD8"/>
    <w:rsid w:val="00ED6A68"/>
    <w:rsid w:val="00ED71F4"/>
    <w:rsid w:val="00EF4997"/>
    <w:rsid w:val="00EF4CE6"/>
    <w:rsid w:val="00F06729"/>
    <w:rsid w:val="00F11E7E"/>
    <w:rsid w:val="00F244FE"/>
    <w:rsid w:val="00F26EDE"/>
    <w:rsid w:val="00F4571B"/>
    <w:rsid w:val="00F46025"/>
    <w:rsid w:val="00F47A42"/>
    <w:rsid w:val="00F557E2"/>
    <w:rsid w:val="00F619FA"/>
    <w:rsid w:val="00F675A2"/>
    <w:rsid w:val="00F72FBA"/>
    <w:rsid w:val="00F86F42"/>
    <w:rsid w:val="00F9085E"/>
    <w:rsid w:val="00F943D8"/>
    <w:rsid w:val="00F9558E"/>
    <w:rsid w:val="00FB11AD"/>
    <w:rsid w:val="00FB48E6"/>
    <w:rsid w:val="00FC1E7C"/>
    <w:rsid w:val="00FC2044"/>
    <w:rsid w:val="00FC2C2C"/>
    <w:rsid w:val="00FC3884"/>
    <w:rsid w:val="00FC4FEB"/>
    <w:rsid w:val="00FC6E93"/>
    <w:rsid w:val="00FE322F"/>
    <w:rsid w:val="00FE32AE"/>
    <w:rsid w:val="00FF7D55"/>
    <w:rsid w:val="0426040B"/>
    <w:rsid w:val="049C7ED1"/>
    <w:rsid w:val="097BDB28"/>
    <w:rsid w:val="0B571D6A"/>
    <w:rsid w:val="0DD759B9"/>
    <w:rsid w:val="0F4B2E9A"/>
    <w:rsid w:val="10E6FEFB"/>
    <w:rsid w:val="19636DD9"/>
    <w:rsid w:val="27B72B40"/>
    <w:rsid w:val="2A1DAD9A"/>
    <w:rsid w:val="2A5C4B95"/>
    <w:rsid w:val="2EA93371"/>
    <w:rsid w:val="3213CB02"/>
    <w:rsid w:val="3448F5F1"/>
    <w:rsid w:val="3850E000"/>
    <w:rsid w:val="3ADBACFC"/>
    <w:rsid w:val="4007EB2E"/>
    <w:rsid w:val="412A5349"/>
    <w:rsid w:val="46FCF4F1"/>
    <w:rsid w:val="490C3505"/>
    <w:rsid w:val="4AC33FAD"/>
    <w:rsid w:val="4ED97AE9"/>
    <w:rsid w:val="501916CA"/>
    <w:rsid w:val="503B653A"/>
    <w:rsid w:val="56F9B547"/>
    <w:rsid w:val="58B7D418"/>
    <w:rsid w:val="5A6C3463"/>
    <w:rsid w:val="5FF3D6BA"/>
    <w:rsid w:val="606EDF46"/>
    <w:rsid w:val="60987831"/>
    <w:rsid w:val="7256B99D"/>
    <w:rsid w:val="7B1BE8A8"/>
    <w:rsid w:val="7B429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133FDDE3"/>
  <w15:docId w15:val="{9243A20C-7728-4C5D-8ADB-C74BCB9D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28E3"/>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3128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3128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28E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128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42B2D"/>
    <w:pPr>
      <w:keepNext/>
      <w:jc w:val="both"/>
      <w:outlineLvl w:val="4"/>
    </w:pPr>
    <w:rPr>
      <w:i/>
      <w:lang w:val="en-US"/>
    </w:rPr>
  </w:style>
  <w:style w:type="paragraph" w:styleId="Heading6">
    <w:name w:val="heading 6"/>
    <w:basedOn w:val="Normal"/>
    <w:next w:val="Normal"/>
    <w:link w:val="Heading6Char"/>
    <w:qFormat/>
    <w:rsid w:val="00E54E2E"/>
    <w:pPr>
      <w:keepNext/>
      <w:tabs>
        <w:tab w:val="left" w:pos="720"/>
      </w:tabs>
      <w:spacing w:after="0" w:line="240" w:lineRule="auto"/>
      <w:jc w:val="both"/>
      <w:outlineLvl w:val="5"/>
    </w:pPr>
    <w:rPr>
      <w:rFonts w:eastAsia="Times New Roman"/>
      <w:b/>
      <w:bCs/>
      <w:szCs w:val="20"/>
    </w:rPr>
  </w:style>
  <w:style w:type="paragraph" w:styleId="Heading7">
    <w:name w:val="heading 7"/>
    <w:basedOn w:val="Normal"/>
    <w:next w:val="Normal"/>
    <w:link w:val="Heading7Char"/>
    <w:uiPriority w:val="9"/>
    <w:unhideWhenUsed/>
    <w:qFormat/>
    <w:rsid w:val="00B76C61"/>
    <w:pPr>
      <w:keepNext/>
      <w:ind w:left="100"/>
      <w:jc w:val="both"/>
      <w:outlineLvl w:val="6"/>
    </w:pPr>
    <w:rPr>
      <w:i/>
      <w:spacing w:val="-1"/>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8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28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128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128E3"/>
    <w:rPr>
      <w:rFonts w:asciiTheme="majorHAnsi" w:eastAsiaTheme="majorEastAsia" w:hAnsiTheme="majorHAnsi" w:cstheme="majorBidi"/>
      <w:i/>
      <w:iCs/>
      <w:color w:val="2F5496" w:themeColor="accent1" w:themeShade="BF"/>
      <w:sz w:val="24"/>
      <w:szCs w:val="16"/>
    </w:rPr>
  </w:style>
  <w:style w:type="character" w:customStyle="1" w:styleId="Heading6Char">
    <w:name w:val="Heading 6 Char"/>
    <w:basedOn w:val="DefaultParagraphFont"/>
    <w:link w:val="Heading6"/>
    <w:rsid w:val="00E54E2E"/>
    <w:rPr>
      <w:rFonts w:ascii="Times New Roman" w:eastAsia="Times New Roman" w:hAnsi="Times New Roman" w:cs="Times New Roman"/>
      <w:b/>
      <w:bCs/>
      <w:sz w:val="24"/>
      <w:szCs w:val="20"/>
    </w:rPr>
  </w:style>
  <w:style w:type="paragraph" w:customStyle="1" w:styleId="ANNEXIRomanREFTITLE">
    <w:name w:val="ANNEX I  (Roman)+ REF + TITLE"/>
    <w:basedOn w:val="Normal"/>
    <w:link w:val="ANNEXIRomanREFTITLEChar"/>
    <w:autoRedefine/>
    <w:qFormat/>
    <w:rsid w:val="003128E3"/>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3128E3"/>
    <w:rPr>
      <w:rFonts w:ascii="Times New Roman" w:hAnsi="Times New Roman" w:cs="Times New Roman"/>
      <w:sz w:val="24"/>
      <w:szCs w:val="16"/>
      <w:u w:val="single"/>
    </w:rPr>
  </w:style>
  <w:style w:type="paragraph" w:customStyle="1" w:styleId="AnnexSectiontitle">
    <w:name w:val="Annex Section title"/>
    <w:rsid w:val="003128E3"/>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3128E3"/>
    <w:pPr>
      <w:spacing w:after="240" w:line="240" w:lineRule="auto"/>
    </w:pPr>
  </w:style>
  <w:style w:type="paragraph" w:customStyle="1" w:styleId="ArticlenumberArabic">
    <w:name w:val="Article number (Arabic)"/>
    <w:basedOn w:val="Heading2"/>
    <w:link w:val="ArticlenumberArabicChar"/>
    <w:autoRedefine/>
    <w:qFormat/>
    <w:rsid w:val="003128E3"/>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3128E3"/>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Normal"/>
    <w:autoRedefine/>
    <w:qFormat/>
    <w:rsid w:val="003128E3"/>
  </w:style>
  <w:style w:type="paragraph" w:customStyle="1" w:styleId="Appendixnumberarabicreference">
    <w:name w:val="Appendix number (arabic) &amp; reference"/>
    <w:basedOn w:val="Normal"/>
    <w:autoRedefine/>
    <w:qFormat/>
    <w:rsid w:val="003128E3"/>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ED71F4"/>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3128E3"/>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3128E3"/>
    <w:rPr>
      <w:rFonts w:ascii="Times New Roman" w:eastAsia="Times New Roman" w:hAnsi="Times New Roman" w:cstheme="majorBidi"/>
      <w:b/>
      <w:i/>
      <w:sz w:val="24"/>
      <w:szCs w:val="26"/>
      <w:lang w:eastAsia="es-ES"/>
    </w:rPr>
  </w:style>
  <w:style w:type="paragraph" w:styleId="BalloonText">
    <w:name w:val="Balloon Text"/>
    <w:basedOn w:val="Normal"/>
    <w:link w:val="BalloonTextChar"/>
    <w:uiPriority w:val="99"/>
    <w:semiHidden/>
    <w:unhideWhenUsed/>
    <w:rsid w:val="00312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8E3"/>
    <w:rPr>
      <w:rFonts w:ascii="Segoe UI" w:hAnsi="Segoe UI" w:cs="Segoe UI"/>
      <w:sz w:val="18"/>
      <w:szCs w:val="18"/>
    </w:rPr>
  </w:style>
  <w:style w:type="paragraph" w:customStyle="1" w:styleId="CoverpageAnnexIRoman">
    <w:name w:val="Cover page Annex I (Roman)"/>
    <w:basedOn w:val="Normal"/>
    <w:autoRedefine/>
    <w:qFormat/>
    <w:rsid w:val="00635587"/>
    <w:pPr>
      <w:spacing w:after="0" w:line="240" w:lineRule="auto"/>
      <w:jc w:val="center"/>
    </w:pPr>
    <w:rPr>
      <w:rFonts w:ascii="Times New Roman Bold" w:hAnsi="Times New Roman Bold"/>
      <w:caps/>
      <w:sz w:val="32"/>
      <w:szCs w:val="32"/>
      <w:lang w:val="en-US" w:eastAsia="es-ES"/>
    </w:rPr>
  </w:style>
  <w:style w:type="paragraph" w:customStyle="1" w:styleId="MainagreementchapternoArabictitle">
    <w:name w:val="Main agreement chapter no (Arabic) + title"/>
    <w:basedOn w:val="Heading1"/>
    <w:link w:val="MainagreementchapternoArabictitleChar"/>
    <w:autoRedefine/>
    <w:qFormat/>
    <w:rsid w:val="003128E3"/>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3128E3"/>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3128E3"/>
    <w:rPr>
      <w:b w:val="0"/>
      <w:sz w:val="28"/>
    </w:rPr>
  </w:style>
  <w:style w:type="character" w:customStyle="1" w:styleId="CoverpageannexreftitleChar">
    <w:name w:val="Cover page annex ref + title Char"/>
    <w:basedOn w:val="MainagreementchapternoArabictitleChar"/>
    <w:link w:val="Coverpageannexreftitle"/>
    <w:rsid w:val="003128E3"/>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312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8E3"/>
    <w:rPr>
      <w:rFonts w:ascii="Times New Roman" w:hAnsi="Times New Roman" w:cs="Times New Roman"/>
      <w:sz w:val="24"/>
      <w:szCs w:val="16"/>
    </w:rPr>
  </w:style>
  <w:style w:type="paragraph" w:customStyle="1" w:styleId="footnoteFTA">
    <w:name w:val="footnote FTA"/>
    <w:basedOn w:val="Normal"/>
    <w:link w:val="footnoteFTAChar"/>
    <w:autoRedefine/>
    <w:qFormat/>
    <w:rsid w:val="00C409A9"/>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DefaultParagraphFont"/>
    <w:link w:val="footnoteFTA"/>
    <w:rsid w:val="00C409A9"/>
    <w:rPr>
      <w:rFonts w:ascii="Times New Roman" w:eastAsia="Batang" w:hAnsi="Times New Roman"/>
      <w:sz w:val="20"/>
      <w:szCs w:val="20"/>
      <w:lang w:eastAsia="zh-TW"/>
    </w:rPr>
  </w:style>
  <w:style w:type="character" w:styleId="FootnoteReference">
    <w:name w:val="footnote reference"/>
    <w:basedOn w:val="DefaultParagraphFont"/>
    <w:uiPriority w:val="99"/>
    <w:semiHidden/>
    <w:unhideWhenUsed/>
    <w:rsid w:val="003128E3"/>
    <w:rPr>
      <w:vertAlign w:val="superscript"/>
    </w:rPr>
  </w:style>
  <w:style w:type="paragraph" w:styleId="FootnoteText">
    <w:name w:val="footnote text"/>
    <w:basedOn w:val="Normal"/>
    <w:link w:val="FootnoteTextChar"/>
    <w:uiPriority w:val="99"/>
    <w:semiHidden/>
    <w:unhideWhenUsed/>
    <w:rsid w:val="00312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8E3"/>
    <w:rPr>
      <w:rFonts w:ascii="Times New Roman" w:hAnsi="Times New Roman" w:cs="Times New Roman"/>
      <w:sz w:val="20"/>
      <w:szCs w:val="20"/>
    </w:rPr>
  </w:style>
  <w:style w:type="paragraph" w:customStyle="1" w:styleId="FTAAnnexTabletitle">
    <w:name w:val="FTA Annex Table title"/>
    <w:basedOn w:val="Normal"/>
    <w:autoRedefine/>
    <w:qFormat/>
    <w:rsid w:val="003128E3"/>
    <w:pPr>
      <w:spacing w:before="240" w:after="420"/>
      <w:jc w:val="center"/>
    </w:pPr>
    <w:rPr>
      <w:u w:val="single"/>
    </w:rPr>
  </w:style>
  <w:style w:type="paragraph" w:customStyle="1" w:styleId="FTAAppendixArticleTitle">
    <w:name w:val="FTA Appendix Article Title"/>
    <w:basedOn w:val="Normal"/>
    <w:next w:val="Normal"/>
    <w:autoRedefine/>
    <w:qFormat/>
    <w:rsid w:val="003128E3"/>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3128E3"/>
    <w:rPr>
      <w:sz w:val="28"/>
    </w:rPr>
  </w:style>
  <w:style w:type="character" w:customStyle="1" w:styleId="FTAPreambletitleChar">
    <w:name w:val="FTA Preamble title Char"/>
    <w:basedOn w:val="MainagreementchapternoArabictitleChar"/>
    <w:link w:val="FTAPreambletitle"/>
    <w:rsid w:val="003128E3"/>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qFormat/>
    <w:rsid w:val="0084549F"/>
    <w:pPr>
      <w:spacing w:after="240" w:line="240" w:lineRule="auto"/>
      <w:ind w:firstLine="426"/>
      <w:jc w:val="both"/>
    </w:pPr>
    <w:rPr>
      <w:rFonts w:eastAsia="Batang"/>
      <w:szCs w:val="24"/>
      <w:u w:color="000000"/>
      <w:lang w:eastAsia="zh-TW"/>
    </w:rPr>
  </w:style>
  <w:style w:type="character" w:customStyle="1" w:styleId="FTAtextChar">
    <w:name w:val="FTA text Char"/>
    <w:basedOn w:val="DefaultParagraphFont"/>
    <w:link w:val="FTAtext"/>
    <w:rsid w:val="0084549F"/>
    <w:rPr>
      <w:rFonts w:ascii="Times New Roman" w:eastAsia="Batang" w:hAnsi="Times New Roman" w:cs="Times New Roman"/>
      <w:sz w:val="24"/>
      <w:szCs w:val="24"/>
      <w:u w:color="000000"/>
      <w:lang w:eastAsia="zh-TW"/>
    </w:rPr>
  </w:style>
  <w:style w:type="numbering" w:customStyle="1" w:styleId="FTAtextlist">
    <w:name w:val="FTA text list"/>
    <w:uiPriority w:val="99"/>
    <w:rsid w:val="003128E3"/>
    <w:pPr>
      <w:numPr>
        <w:numId w:val="4"/>
      </w:numPr>
    </w:pPr>
  </w:style>
  <w:style w:type="paragraph" w:customStyle="1" w:styleId="FTAtextlistedparagraphs">
    <w:name w:val="FTA text listed (paragraphs)"/>
    <w:basedOn w:val="FTAtext"/>
    <w:qFormat/>
    <w:rsid w:val="003128E3"/>
    <w:pPr>
      <w:numPr>
        <w:numId w:val="23"/>
      </w:numPr>
    </w:pPr>
  </w:style>
  <w:style w:type="paragraph" w:customStyle="1" w:styleId="FTAtitle">
    <w:name w:val="FTA title"/>
    <w:basedOn w:val="Heading1"/>
    <w:link w:val="FTAtitleChar"/>
    <w:qFormat/>
    <w:rsid w:val="003128E3"/>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3128E3"/>
    <w:rPr>
      <w:rFonts w:ascii="Times New Roman" w:eastAsia="Times New Roman" w:hAnsi="Times New Roman" w:cstheme="majorBidi"/>
      <w:caps/>
      <w:sz w:val="44"/>
      <w:szCs w:val="26"/>
      <w:lang w:eastAsia="es-ES"/>
    </w:rPr>
  </w:style>
  <w:style w:type="paragraph" w:styleId="Header">
    <w:name w:val="header"/>
    <w:basedOn w:val="Normal"/>
    <w:link w:val="HeaderChar"/>
    <w:unhideWhenUsed/>
    <w:rsid w:val="003128E3"/>
    <w:pPr>
      <w:tabs>
        <w:tab w:val="center" w:pos="4513"/>
        <w:tab w:val="right" w:pos="9026"/>
      </w:tabs>
      <w:spacing w:after="0" w:line="240" w:lineRule="auto"/>
    </w:pPr>
  </w:style>
  <w:style w:type="character" w:customStyle="1" w:styleId="HeaderChar">
    <w:name w:val="Header Char"/>
    <w:basedOn w:val="DefaultParagraphFont"/>
    <w:link w:val="Header"/>
    <w:rsid w:val="003128E3"/>
    <w:rPr>
      <w:rFonts w:ascii="Times New Roman" w:hAnsi="Times New Roman" w:cs="Times New Roman"/>
      <w:sz w:val="24"/>
      <w:szCs w:val="16"/>
    </w:rPr>
  </w:style>
  <w:style w:type="paragraph" w:styleId="Revision">
    <w:name w:val="Revision"/>
    <w:hidden/>
    <w:uiPriority w:val="99"/>
    <w:semiHidden/>
    <w:rsid w:val="00E54E2E"/>
    <w:pPr>
      <w:spacing w:after="0" w:line="240" w:lineRule="auto"/>
    </w:pPr>
  </w:style>
  <w:style w:type="character" w:customStyle="1" w:styleId="Heading5Char">
    <w:name w:val="Heading 5 Char"/>
    <w:basedOn w:val="DefaultParagraphFont"/>
    <w:link w:val="Heading5"/>
    <w:uiPriority w:val="9"/>
    <w:rsid w:val="00042B2D"/>
    <w:rPr>
      <w:rFonts w:ascii="Times New Roman" w:hAnsi="Times New Roman" w:cs="Times New Roman"/>
      <w:i/>
      <w:lang w:val="en-US"/>
    </w:rPr>
  </w:style>
  <w:style w:type="character" w:customStyle="1" w:styleId="Heading7Char">
    <w:name w:val="Heading 7 Char"/>
    <w:basedOn w:val="DefaultParagraphFont"/>
    <w:link w:val="Heading7"/>
    <w:uiPriority w:val="9"/>
    <w:rsid w:val="00B76C61"/>
    <w:rPr>
      <w:rFonts w:ascii="Times New Roman" w:hAnsi="Times New Roman" w:cs="Times New Roman"/>
      <w:i/>
      <w:spacing w:val="-1"/>
      <w:sz w:val="24"/>
      <w:szCs w:val="24"/>
      <w:u w:val="single" w:color="000000"/>
    </w:rPr>
  </w:style>
  <w:style w:type="character" w:styleId="Hyperlink">
    <w:name w:val="Hyperlink"/>
    <w:basedOn w:val="DefaultParagraphFont"/>
    <w:uiPriority w:val="99"/>
    <w:unhideWhenUsed/>
    <w:rsid w:val="00C409A9"/>
    <w:rPr>
      <w:color w:val="0563C1" w:themeColor="hyperlink"/>
      <w:u w:val="single"/>
    </w:rPr>
  </w:style>
  <w:style w:type="character" w:styleId="UnresolvedMention">
    <w:name w:val="Unresolved Mention"/>
    <w:basedOn w:val="DefaultParagraphFont"/>
    <w:uiPriority w:val="99"/>
    <w:semiHidden/>
    <w:unhideWhenUsed/>
    <w:rsid w:val="00C409A9"/>
    <w:rPr>
      <w:color w:val="605E5C"/>
      <w:shd w:val="clear" w:color="auto" w:fill="E1DFDD"/>
    </w:rPr>
  </w:style>
  <w:style w:type="character" w:styleId="CommentReference">
    <w:name w:val="annotation reference"/>
    <w:basedOn w:val="DefaultParagraphFont"/>
    <w:uiPriority w:val="99"/>
    <w:semiHidden/>
    <w:unhideWhenUsed/>
    <w:rsid w:val="00ED71F4"/>
    <w:rPr>
      <w:sz w:val="16"/>
      <w:szCs w:val="16"/>
    </w:rPr>
  </w:style>
  <w:style w:type="paragraph" w:styleId="CommentText">
    <w:name w:val="annotation text"/>
    <w:basedOn w:val="Normal"/>
    <w:link w:val="CommentTextChar"/>
    <w:uiPriority w:val="99"/>
    <w:unhideWhenUsed/>
    <w:rsid w:val="00ED71F4"/>
    <w:pPr>
      <w:spacing w:line="240" w:lineRule="auto"/>
    </w:pPr>
    <w:rPr>
      <w:sz w:val="20"/>
      <w:szCs w:val="20"/>
    </w:rPr>
  </w:style>
  <w:style w:type="character" w:customStyle="1" w:styleId="CommentTextChar">
    <w:name w:val="Comment Text Char"/>
    <w:basedOn w:val="DefaultParagraphFont"/>
    <w:link w:val="CommentText"/>
    <w:uiPriority w:val="99"/>
    <w:rsid w:val="00ED71F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71F4"/>
    <w:rPr>
      <w:b/>
      <w:bCs/>
    </w:rPr>
  </w:style>
  <w:style w:type="character" w:customStyle="1" w:styleId="CommentSubjectChar">
    <w:name w:val="Comment Subject Char"/>
    <w:basedOn w:val="CommentTextChar"/>
    <w:link w:val="CommentSubject"/>
    <w:uiPriority w:val="99"/>
    <w:semiHidden/>
    <w:rsid w:val="00ED71F4"/>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8805E2"/>
    <w:rPr>
      <w:color w:val="954F72" w:themeColor="followedHyperlink"/>
      <w:u w:val="single"/>
    </w:rPr>
  </w:style>
  <w:style w:type="paragraph" w:styleId="ListParagraph">
    <w:name w:val="List Paragraph"/>
    <w:basedOn w:val="Normal"/>
    <w:uiPriority w:val="34"/>
    <w:qFormat/>
    <w:rsid w:val="001A3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065960">
      <w:bodyDiv w:val="1"/>
      <w:marLeft w:val="0"/>
      <w:marRight w:val="0"/>
      <w:marTop w:val="0"/>
      <w:marBottom w:val="0"/>
      <w:divBdr>
        <w:top w:val="none" w:sz="0" w:space="0" w:color="auto"/>
        <w:left w:val="none" w:sz="0" w:space="0" w:color="auto"/>
        <w:bottom w:val="none" w:sz="0" w:space="0" w:color="auto"/>
        <w:right w:val="none" w:sz="0" w:space="0" w:color="auto"/>
      </w:divBdr>
    </w:div>
    <w:div w:id="737897208">
      <w:bodyDiv w:val="1"/>
      <w:marLeft w:val="0"/>
      <w:marRight w:val="0"/>
      <w:marTop w:val="0"/>
      <w:marBottom w:val="0"/>
      <w:divBdr>
        <w:top w:val="none" w:sz="0" w:space="0" w:color="auto"/>
        <w:left w:val="none" w:sz="0" w:space="0" w:color="auto"/>
        <w:bottom w:val="none" w:sz="0" w:space="0" w:color="auto"/>
        <w:right w:val="none" w:sz="0" w:space="0" w:color="auto"/>
      </w:divBdr>
    </w:div>
    <w:div w:id="1350596893">
      <w:bodyDiv w:val="1"/>
      <w:marLeft w:val="0"/>
      <w:marRight w:val="0"/>
      <w:marTop w:val="0"/>
      <w:marBottom w:val="0"/>
      <w:divBdr>
        <w:top w:val="none" w:sz="0" w:space="0" w:color="auto"/>
        <w:left w:val="none" w:sz="0" w:space="0" w:color="auto"/>
        <w:bottom w:val="none" w:sz="0" w:space="0" w:color="auto"/>
        <w:right w:val="none" w:sz="0" w:space="0" w:color="auto"/>
      </w:divBdr>
    </w:div>
    <w:div w:id="1391926902">
      <w:bodyDiv w:val="1"/>
      <w:marLeft w:val="0"/>
      <w:marRight w:val="0"/>
      <w:marTop w:val="0"/>
      <w:marBottom w:val="0"/>
      <w:divBdr>
        <w:top w:val="none" w:sz="0" w:space="0" w:color="auto"/>
        <w:left w:val="none" w:sz="0" w:space="0" w:color="auto"/>
        <w:bottom w:val="none" w:sz="0" w:space="0" w:color="auto"/>
        <w:right w:val="none" w:sz="0" w:space="0" w:color="auto"/>
      </w:divBdr>
    </w:div>
    <w:div w:id="1503813792">
      <w:bodyDiv w:val="1"/>
      <w:marLeft w:val="0"/>
      <w:marRight w:val="0"/>
      <w:marTop w:val="0"/>
      <w:marBottom w:val="0"/>
      <w:divBdr>
        <w:top w:val="none" w:sz="0" w:space="0" w:color="auto"/>
        <w:left w:val="none" w:sz="0" w:space="0" w:color="auto"/>
        <w:bottom w:val="none" w:sz="0" w:space="0" w:color="auto"/>
        <w:right w:val="none" w:sz="0" w:space="0" w:color="auto"/>
      </w:divBdr>
    </w:div>
    <w:div w:id="1724131636">
      <w:bodyDiv w:val="1"/>
      <w:marLeft w:val="0"/>
      <w:marRight w:val="0"/>
      <w:marTop w:val="0"/>
      <w:marBottom w:val="0"/>
      <w:divBdr>
        <w:top w:val="none" w:sz="0" w:space="0" w:color="auto"/>
        <w:left w:val="none" w:sz="0" w:space="0" w:color="auto"/>
        <w:bottom w:val="none" w:sz="0" w:space="0" w:color="auto"/>
        <w:right w:val="none" w:sz="0" w:space="0" w:color="auto"/>
      </w:divBdr>
    </w:div>
    <w:div w:id="2012371656">
      <w:bodyDiv w:val="1"/>
      <w:marLeft w:val="0"/>
      <w:marRight w:val="0"/>
      <w:marTop w:val="0"/>
      <w:marBottom w:val="0"/>
      <w:divBdr>
        <w:top w:val="none" w:sz="0" w:space="0" w:color="auto"/>
        <w:left w:val="none" w:sz="0" w:space="0" w:color="auto"/>
        <w:bottom w:val="none" w:sz="0" w:space="0" w:color="auto"/>
        <w:right w:val="none" w:sz="0" w:space="0" w:color="auto"/>
      </w:divBdr>
    </w:div>
    <w:div w:id="2056350857">
      <w:bodyDiv w:val="1"/>
      <w:marLeft w:val="0"/>
      <w:marRight w:val="0"/>
      <w:marTop w:val="0"/>
      <w:marBottom w:val="0"/>
      <w:divBdr>
        <w:top w:val="none" w:sz="0" w:space="0" w:color="auto"/>
        <w:left w:val="none" w:sz="0" w:space="0" w:color="auto"/>
        <w:bottom w:val="none" w:sz="0" w:space="0" w:color="auto"/>
        <w:right w:val="none" w:sz="0" w:space="0" w:color="auto"/>
      </w:divBdr>
    </w:div>
    <w:div w:id="2091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judiciary.gov.uk" TargetMode="External"/><Relationship Id="rId26" Type="http://schemas.openxmlformats.org/officeDocument/2006/relationships/hyperlink" Target="http://www.doffin.no" TargetMode="External"/><Relationship Id="rId3" Type="http://schemas.openxmlformats.org/officeDocument/2006/relationships/customXml" Target="../customXml/item3.xml"/><Relationship Id="rId21" Type="http://schemas.openxmlformats.org/officeDocument/2006/relationships/hyperlink" Target="http://www.gesetze.li"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lovdata.n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find-tender.service.gov.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ted.europa.e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amtsblatt.llv.li"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scotscourts.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erichtsentscheidungen.li" TargetMode="External"/><Relationship Id="rId27" Type="http://schemas.openxmlformats.org/officeDocument/2006/relationships/hyperlink" Target="http://ted.europa.eu"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12" ma:contentTypeDescription="Create a new document." ma:contentTypeScope="" ma:versionID="e7ff644eb12b1d4f3e626a9fdbfc89b4">
  <xsd:schema xmlns:xsd="http://www.w3.org/2001/XMLSchema" xmlns:xs="http://www.w3.org/2001/XMLSchema" xmlns:p="http://schemas.microsoft.com/office/2006/metadata/properties" xmlns:ns2="6a99a6bc-8c8a-4184-a247-20200af5612a" xmlns:ns3="261998c6-a2c6-4e90-bc21-906d4b2f7e14" targetNamespace="http://schemas.microsoft.com/office/2006/metadata/properties" ma:root="true" ma:fieldsID="01fb9b04c5cca045a3f76fabd941b71e" ns2:_="" ns3:_="">
    <xsd:import namespace="6a99a6bc-8c8a-4184-a247-20200af5612a"/>
    <xsd:import namespace="261998c6-a2c6-4e90-bc21-906d4b2f7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DC5E4-F4BA-4592-B102-6104F142A345}">
  <ds:schemaRefs>
    <ds:schemaRef ds:uri="a8f60570-4bd3-4f2b-950b-a996de8ab151"/>
    <ds:schemaRef ds:uri="b413c3fd-5a3b-4239-b985-69032e371c04"/>
    <ds:schemaRef ds:uri="b67a7830-db79-4a49-bf27-2aff92a2201a"/>
    <ds:schemaRef ds:uri="c0e5669f-1bcb-499c-94e0-3ccb733d3d13"/>
    <ds:schemaRef ds:uri="http://www.w3.org/XML/1998/namespace"/>
    <ds:schemaRef ds:uri="http://purl.org/dc/elements/1.1/"/>
    <ds:schemaRef ds:uri="http://schemas.microsoft.com/office/2006/metadata/properties"/>
    <ds:schemaRef ds:uri="a172083e-e40c-4314-b43a-827352a1ed2c"/>
    <ds:schemaRef ds:uri="http://schemas.openxmlformats.org/package/2006/metadata/core-properties"/>
    <ds:schemaRef ds:uri="http://purl.org/dc/terms/"/>
    <ds:schemaRef ds:uri="c963a4c1-1bb4-49f2-a011-9c776a7eed2a"/>
    <ds:schemaRef ds:uri="de5d2c1d-031a-4a57-bace-00f393ccdecc"/>
    <ds:schemaRef ds:uri="7fd9e60a-720a-478c-bf76-b460d35d354e"/>
    <ds:schemaRef ds:uri="http://schemas.microsoft.com/office/infopath/2007/PartnerControl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1B359890-EF6B-414E-A0B6-482BC590D318}">
  <ds:schemaRefs>
    <ds:schemaRef ds:uri="http://schemas.microsoft.com/sharepoint/v3/contenttype/forms"/>
  </ds:schemaRefs>
</ds:datastoreItem>
</file>

<file path=customXml/itemProps3.xml><?xml version="1.0" encoding="utf-8"?>
<ds:datastoreItem xmlns:ds="http://schemas.openxmlformats.org/officeDocument/2006/customXml" ds:itemID="{63701FAE-5A6B-46CA-9183-0E196DED996F}">
  <ds:schemaRefs>
    <ds:schemaRef ds:uri="http://schemas.openxmlformats.org/officeDocument/2006/bibliography"/>
  </ds:schemaRefs>
</ds:datastoreItem>
</file>

<file path=customXml/itemProps4.xml><?xml version="1.0" encoding="utf-8"?>
<ds:datastoreItem xmlns:ds="http://schemas.openxmlformats.org/officeDocument/2006/customXml" ds:itemID="{AB9D65CE-6530-448B-B95B-8B36A210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a6bc-8c8a-4184-a247-20200af5612a"/>
    <ds:schemaRef ds:uri="261998c6-a2c6-4e90-bc21-906d4b2f7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20</ap:TotalTime>
  <ap:Pages>33</ap:Pages>
  <ap:Words>5491</ap:Words>
  <ap:Characters>31300</ap:Characters>
  <ap:Application>Microsoft Office Word</ap:Application>
  <ap:DocSecurity>0</ap:DocSecurity>
  <ap:Lines>260</ap:Lines>
  <ap:Paragraphs>73</ap:Paragraphs>
  <ap:ScaleCrop>false</ap:ScaleCrop>
  <ap:HeadingPairs>
    <vt:vector baseType="variant" size="6">
      <vt:variant>
        <vt:lpstr>Title</vt:lpstr>
      </vt:variant>
      <vt:variant>
        <vt:i4>1</vt:i4>
      </vt:variant>
      <vt:variant>
        <vt:lpstr>Tittel</vt:lpstr>
      </vt:variant>
      <vt:variant>
        <vt:i4>1</vt:i4>
      </vt:variant>
      <vt:variant>
        <vt:lpstr>Titel</vt:lpstr>
      </vt:variant>
      <vt:variant>
        <vt:i4>1</vt:i4>
      </vt:variant>
    </vt:vector>
  </ap:HeadingPairs>
  <ap:TitlesOfParts>
    <vt:vector baseType="lpstr" size="3">
      <vt:lpstr>20-2400-Rev1.27-EEA EFTA-UK Annex Government Procurement UK additions</vt:lpstr>
      <vt:lpstr>20-2400-Rev1.27-EEA EFTA-UK Annex Government Procurement UK additions</vt:lpstr>
      <vt:lpstr>20-2400-Rev1.27-EEA EFTA-UK Annex Government Procurement UK additions</vt:lpstr>
    </vt:vector>
  </ap:TitlesOfParts>
  <ap:Company/>
  <ap:LinksUpToDate>false</ap:LinksUpToDate>
  <ap:CharactersWithSpaces>36718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20-2400-Rev1.27-EEA EFTA-UK Annex Government Procurement UK additions</dc:title>
  <dc:creator>Jan Henrik Skogen</dc:creator>
  <cp:lastModifiedBy>EFTA</cp:lastModifiedBy>
  <cp:revision>38</cp:revision>
  <cp:lastPrinted>2021-07-06T14:09:00Z</cp:lastPrinted>
  <dcterms:created xsi:type="dcterms:W3CDTF">2021-06-24T19:48:00Z</dcterms:created>
  <dcterms:modified xsi:type="dcterms:W3CDTF">2021-07-06T14:14:00Z</dcterms:modified>
</cp:coreProperties>
</file>