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47F90" w14:textId="77777777" w:rsidR="008A5841" w:rsidRPr="006A6D19" w:rsidRDefault="008A5841" w:rsidP="001609FA">
      <w:pPr>
        <w:pStyle w:val="PublTittel"/>
        <w:rPr>
          <w:lang w:val="en-GB"/>
        </w:rPr>
      </w:pPr>
      <w:r w:rsidRPr="006A6D19">
        <w:rPr>
          <w:lang w:val="en-GB"/>
        </w:rPr>
        <w:t>Voluntary National Review 2026 Norway</w:t>
      </w:r>
    </w:p>
    <w:p w14:paraId="7A7E617E" w14:textId="77777777" w:rsidR="008A5841" w:rsidRPr="006A6D19" w:rsidRDefault="008A5841" w:rsidP="000F5A6E">
      <w:pPr>
        <w:pStyle w:val="Undertittel"/>
        <w:suppressAutoHyphens/>
        <w:rPr>
          <w:lang w:val="en-GB"/>
        </w:rPr>
      </w:pPr>
      <w:r w:rsidRPr="006A6D19">
        <w:rPr>
          <w:lang w:val="en-GB"/>
        </w:rPr>
        <w:t>Report on the implementation of the 2030 Agenda for Sustainable Development</w:t>
      </w:r>
    </w:p>
    <w:p w14:paraId="0C883D30" w14:textId="01247858" w:rsidR="008A5841" w:rsidRPr="006A6D19" w:rsidRDefault="000F5A6E" w:rsidP="001609FA">
      <w:pPr>
        <w:rPr>
          <w:lang w:val="en-GB"/>
        </w:rPr>
      </w:pPr>
      <w:r w:rsidRPr="006A6D19">
        <w:rPr>
          <w:noProof/>
          <w:lang w:val="en-GB"/>
        </w:rPr>
        <w:drawing>
          <wp:inline distT="0" distB="0" distL="0" distR="0" wp14:anchorId="5E71BFF1" wp14:editId="48A68050">
            <wp:extent cx="3714750" cy="5255014"/>
            <wp:effectExtent l="0" t="0" r="0" b="3175"/>
            <wp:docPr id="883017806" name="Bil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19396" cy="5261586"/>
                    </a:xfrm>
                    <a:prstGeom prst="rect">
                      <a:avLst/>
                    </a:prstGeom>
                    <a:noFill/>
                    <a:ln>
                      <a:noFill/>
                    </a:ln>
                  </pic:spPr>
                </pic:pic>
              </a:graphicData>
            </a:graphic>
          </wp:inline>
        </w:drawing>
      </w:r>
    </w:p>
    <w:p w14:paraId="61A00824" w14:textId="77777777" w:rsidR="008A5841" w:rsidRPr="006A6D19" w:rsidRDefault="008A5841" w:rsidP="008F7045">
      <w:pPr>
        <w:pStyle w:val="Overskrift1"/>
        <w:pageBreakBefore/>
        <w:ind w:left="431" w:hanging="431"/>
        <w:rPr>
          <w:lang w:val="en-GB"/>
        </w:rPr>
      </w:pPr>
      <w:r w:rsidRPr="006A6D19">
        <w:rPr>
          <w:lang w:val="en-GB"/>
        </w:rPr>
        <w:lastRenderedPageBreak/>
        <w:t>Opening Statement by the Prime Minister</w:t>
      </w:r>
    </w:p>
    <w:p w14:paraId="70BFAF2A" w14:textId="3C4CE118" w:rsidR="001609FA" w:rsidRPr="006A6D19" w:rsidRDefault="000F5A6E" w:rsidP="001609FA">
      <w:pPr>
        <w:rPr>
          <w:lang w:val="en-GB"/>
        </w:rPr>
      </w:pPr>
      <w:r w:rsidRPr="006A6D19">
        <w:rPr>
          <w:noProof/>
          <w:lang w:val="en-GB"/>
        </w:rPr>
        <w:drawing>
          <wp:inline distT="0" distB="0" distL="0" distR="0" wp14:anchorId="21281392" wp14:editId="7B1883AB">
            <wp:extent cx="6638925" cy="3314700"/>
            <wp:effectExtent l="0" t="0" r="9525" b="0"/>
            <wp:docPr id="762170172" name="Bilde 28" descr="Portrait photo of Prime Minister Jonas Gahr Stø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170172" name="Bilde 28" descr="Portrait photo of Prime Minister Jonas Gahr Stø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38925" cy="3314700"/>
                    </a:xfrm>
                    <a:prstGeom prst="rect">
                      <a:avLst/>
                    </a:prstGeom>
                    <a:noFill/>
                    <a:ln>
                      <a:noFill/>
                    </a:ln>
                  </pic:spPr>
                </pic:pic>
              </a:graphicData>
            </a:graphic>
          </wp:inline>
        </w:drawing>
      </w:r>
    </w:p>
    <w:p w14:paraId="05278A71" w14:textId="6055175A" w:rsidR="00C53CF7" w:rsidRPr="006A6D19" w:rsidRDefault="00C53CF7" w:rsidP="00C53CF7">
      <w:pPr>
        <w:pStyle w:val="Petit"/>
        <w:jc w:val="right"/>
        <w:rPr>
          <w:lang w:val="en-GB"/>
        </w:rPr>
      </w:pPr>
      <w:r w:rsidRPr="006A6D19">
        <w:rPr>
          <w:lang w:val="en-GB"/>
        </w:rPr>
        <w:t>Photo: Martin Nielsen / Ministry of Education and Research</w:t>
      </w:r>
    </w:p>
    <w:p w14:paraId="536545A3" w14:textId="55B888FE" w:rsidR="008A5841" w:rsidRPr="006A6D19" w:rsidRDefault="008A5841" w:rsidP="001609FA">
      <w:pPr>
        <w:rPr>
          <w:lang w:val="en-GB"/>
        </w:rPr>
      </w:pPr>
      <w:r w:rsidRPr="006A6D19">
        <w:rPr>
          <w:lang w:val="en-GB"/>
        </w:rPr>
        <w:t>We are living in an unsettling time marked by interconnected crises such as climate change, geopolitical tension, rising inequality, polarisation, populism and increasing political instability. These developments pose significant challenges to global efforts to achieve the Sustainable Development Goals. Progress towards several goals has slowed, and on others, hard won gains have been reversed.</w:t>
      </w:r>
      <w:r w:rsidR="006B301F" w:rsidRPr="006A6D19">
        <w:rPr>
          <w:lang w:val="en-GB"/>
        </w:rPr>
        <w:t xml:space="preserve"> </w:t>
      </w:r>
    </w:p>
    <w:p w14:paraId="6F2D6204" w14:textId="77777777" w:rsidR="008A5841" w:rsidRPr="006A6D19" w:rsidRDefault="008A5841" w:rsidP="001609FA">
      <w:pPr>
        <w:rPr>
          <w:lang w:val="en-GB"/>
        </w:rPr>
      </w:pPr>
      <w:r w:rsidRPr="006A6D19">
        <w:rPr>
          <w:lang w:val="en-GB"/>
        </w:rPr>
        <w:t xml:space="preserve">As members of a shared global community, we have a responsibility to show solidarity with one another. I firmly believe that leaving no one behind should be the guiding principle going forward. While no individual, company or government can address every challenge alone, each can make a meaningful contribution by standing with others and taking responsibility where they can. </w:t>
      </w:r>
    </w:p>
    <w:p w14:paraId="3B16318F" w14:textId="77777777" w:rsidR="008A5841" w:rsidRPr="006A6D19" w:rsidRDefault="008A5841" w:rsidP="001609FA">
      <w:pPr>
        <w:rPr>
          <w:lang w:val="en-GB"/>
        </w:rPr>
      </w:pPr>
      <w:r w:rsidRPr="006A6D19">
        <w:rPr>
          <w:lang w:val="en-GB"/>
        </w:rPr>
        <w:t>The Sevilla Commitment from the Fourth International Conference on Financing for Development gives us a clear roadmap to reverse the recent negative trends and build positive momentum in the few years remaining until 2030. We cannot afford to let this opportunity pass.</w:t>
      </w:r>
    </w:p>
    <w:p w14:paraId="5D780966" w14:textId="77777777" w:rsidR="008A5841" w:rsidRPr="006A6D19" w:rsidRDefault="008A5841" w:rsidP="001609FA">
      <w:pPr>
        <w:rPr>
          <w:lang w:val="en-GB"/>
        </w:rPr>
      </w:pPr>
      <w:r w:rsidRPr="006A6D19">
        <w:rPr>
          <w:lang w:val="en-GB"/>
        </w:rPr>
        <w:t xml:space="preserve">The 2030 Agenda underscores the necessity of collective solutions. It is paramount that cooperation between states is founded on strong, credible international institutions capable of promoting peace, stability, and cooperation based on international law. </w:t>
      </w:r>
    </w:p>
    <w:p w14:paraId="610D6EB6" w14:textId="77777777" w:rsidR="008A5841" w:rsidRPr="006A6D19" w:rsidRDefault="008A5841" w:rsidP="001609FA">
      <w:pPr>
        <w:rPr>
          <w:lang w:val="en-GB"/>
        </w:rPr>
      </w:pPr>
      <w:r w:rsidRPr="006A6D19">
        <w:rPr>
          <w:lang w:val="en-GB"/>
        </w:rPr>
        <w:t xml:space="preserve">The 17 Sustainable Development Goals provide a comprehensive framework for advancing social, economic, and environmental development. It is time to acknowledge that achieving the goals is in the interest of all nations. Through cooperation and the pursuit of common solutions, the SDGs can serve as a shared platform and a transformative agenda for people and planet alike. </w:t>
      </w:r>
    </w:p>
    <w:p w14:paraId="5B5D2218" w14:textId="03E38C70" w:rsidR="008A5841" w:rsidRPr="006A6D19" w:rsidRDefault="008A5841" w:rsidP="001609FA">
      <w:pPr>
        <w:rPr>
          <w:lang w:val="en-GB"/>
        </w:rPr>
      </w:pPr>
      <w:r w:rsidRPr="006A6D19">
        <w:rPr>
          <w:lang w:val="en-GB"/>
        </w:rPr>
        <w:t xml:space="preserve">For Norway, the Government has therefore chosen to integrate the SDGs into mainstream policy development rather than treating them as a separate policy domain. We believe this approach </w:t>
      </w:r>
      <w:r w:rsidRPr="006A6D19">
        <w:rPr>
          <w:lang w:val="en-GB"/>
        </w:rPr>
        <w:lastRenderedPageBreak/>
        <w:t>strengthens ownership, enhances awareness of our shared challenges, and supports a more coherent and effective implementation across sectors.</w:t>
      </w:r>
      <w:r w:rsidR="001609FA" w:rsidRPr="006A6D19">
        <w:rPr>
          <w:lang w:val="en-GB"/>
        </w:rPr>
        <w:t xml:space="preserve"> </w:t>
      </w:r>
    </w:p>
    <w:p w14:paraId="1EF1D4BA" w14:textId="53C3459D" w:rsidR="008A5841" w:rsidRPr="006A6D19" w:rsidRDefault="008A5841" w:rsidP="001609FA">
      <w:pPr>
        <w:rPr>
          <w:lang w:val="en-GB"/>
        </w:rPr>
      </w:pPr>
      <w:r w:rsidRPr="006A6D19">
        <w:rPr>
          <w:lang w:val="en-GB"/>
        </w:rPr>
        <w:t>Relatively small social and economic disparities, a resilient economy, and a robust welfare state provide a strong foundation for Norway’s progress. This puts us in a good position to achieve the goals. Our society is built on a well-established tradition of cooperation and trust, enabling us to remain at the forefront of SDG implementation. At the same time, significant challenges remain, particularly in areas where our high standard of living results in elevated levels of material and resource consumptio</w:t>
      </w:r>
      <w:r w:rsidRPr="006A6D19">
        <w:rPr>
          <w:lang w:val="en-GB"/>
        </w:rPr>
        <w:t>n, with corresponding climate and environmental impacts.</w:t>
      </w:r>
      <w:r w:rsidR="001609FA" w:rsidRPr="006A6D19">
        <w:rPr>
          <w:lang w:val="en-GB"/>
        </w:rPr>
        <w:t xml:space="preserve"> </w:t>
      </w:r>
    </w:p>
    <w:p w14:paraId="3E7AAD86" w14:textId="46045A43" w:rsidR="008A5841" w:rsidRPr="006A6D19" w:rsidRDefault="008A5841" w:rsidP="001609FA">
      <w:pPr>
        <w:rPr>
          <w:lang w:val="en-GB"/>
        </w:rPr>
      </w:pPr>
      <w:r w:rsidRPr="006A6D19">
        <w:rPr>
          <w:lang w:val="en-GB"/>
        </w:rPr>
        <w:t>Gender equality is among Norway’s most important international priorities. Advancing the rights, opportunities and safety of women and girls is not only a matter of justice, but a prerequisite for sustainable development, conflict prevention and inclusive economic growth worldwide.</w:t>
      </w:r>
      <w:r w:rsidR="001609FA" w:rsidRPr="006A6D19">
        <w:rPr>
          <w:lang w:val="en-GB"/>
        </w:rPr>
        <w:t xml:space="preserve"> </w:t>
      </w:r>
    </w:p>
    <w:p w14:paraId="035FD23D" w14:textId="77777777" w:rsidR="008A5841" w:rsidRPr="006A6D19" w:rsidRDefault="008A5841" w:rsidP="001609FA">
      <w:pPr>
        <w:rPr>
          <w:lang w:val="en-GB"/>
        </w:rPr>
      </w:pPr>
      <w:r w:rsidRPr="006A6D19">
        <w:rPr>
          <w:lang w:val="en-GB"/>
        </w:rPr>
        <w:t>While cooperation globally is essential to succeed in implementing the 2030 Agenda, cooperation within our societies is equally vital. I am therefore pleased that so many stakeholders across the Norwegian society have contributed to this review.</w:t>
      </w:r>
    </w:p>
    <w:p w14:paraId="0E11187F" w14:textId="77777777" w:rsidR="008A5841" w:rsidRPr="006A6D19" w:rsidRDefault="008A5841" w:rsidP="001609FA">
      <w:pPr>
        <w:rPr>
          <w:lang w:val="en-GB"/>
        </w:rPr>
      </w:pPr>
      <w:r w:rsidRPr="006A6D19">
        <w:rPr>
          <w:lang w:val="en-GB"/>
        </w:rPr>
        <w:t>Civil society, labour unions, local and regional government, the Sami Parliament, industry, academia, and the agricultural sector have all shared their perspective on the state of sustainable development. I am particularly proud of the strong and active involvement of youth in the preparation of this review. Their voices and insights are essential to ensuring that we remain on track towards a more just and sustainable future, meeting today’s needs without compromising the ability of future generations to m</w:t>
      </w:r>
      <w:r w:rsidRPr="006A6D19">
        <w:rPr>
          <w:lang w:val="en-GB"/>
        </w:rPr>
        <w:t xml:space="preserve">eet their own. </w:t>
      </w:r>
    </w:p>
    <w:p w14:paraId="40E58BAA" w14:textId="77777777" w:rsidR="008A5841" w:rsidRPr="006A6D19" w:rsidRDefault="008A5841" w:rsidP="000F5A6E">
      <w:pPr>
        <w:jc w:val="center"/>
        <w:rPr>
          <w:lang w:val="en-GB"/>
        </w:rPr>
      </w:pPr>
      <w:r w:rsidRPr="006A6D19">
        <w:rPr>
          <w:lang w:val="en-GB"/>
        </w:rPr>
        <w:t xml:space="preserve">Jonas Gahr </w:t>
      </w:r>
      <w:proofErr w:type="spellStart"/>
      <w:r w:rsidRPr="006A6D19">
        <w:rPr>
          <w:lang w:val="en-GB"/>
        </w:rPr>
        <w:t>Støre</w:t>
      </w:r>
      <w:proofErr w:type="spellEnd"/>
    </w:p>
    <w:p w14:paraId="412BD632" w14:textId="29D146E9" w:rsidR="008A5841" w:rsidRPr="006A6D19" w:rsidRDefault="000F5A6E" w:rsidP="000F5A6E">
      <w:pPr>
        <w:jc w:val="center"/>
        <w:rPr>
          <w:lang w:val="en-GB"/>
        </w:rPr>
      </w:pPr>
      <w:r w:rsidRPr="006A6D19">
        <w:rPr>
          <w:noProof/>
          <w:lang w:val="en-GB"/>
        </w:rPr>
        <w:drawing>
          <wp:inline distT="0" distB="0" distL="0" distR="0" wp14:anchorId="0FBC5A4E" wp14:editId="72A1F3EF">
            <wp:extent cx="1866900" cy="634746"/>
            <wp:effectExtent l="0" t="0" r="0" b="0"/>
            <wp:docPr id="937272967" name="Bilde 29"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272967" name="Bilde 29" descr="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1882" cy="636440"/>
                    </a:xfrm>
                    <a:prstGeom prst="rect">
                      <a:avLst/>
                    </a:prstGeom>
                    <a:noFill/>
                    <a:ln>
                      <a:noFill/>
                    </a:ln>
                  </pic:spPr>
                </pic:pic>
              </a:graphicData>
            </a:graphic>
          </wp:inline>
        </w:drawing>
      </w:r>
    </w:p>
    <w:p w14:paraId="2612B6C2" w14:textId="4EC61E7A" w:rsidR="008A5841" w:rsidRPr="00B21484" w:rsidRDefault="008A5841" w:rsidP="000F5A6E">
      <w:pPr>
        <w:jc w:val="center"/>
        <w:rPr>
          <w:lang w:val="en-GB"/>
        </w:rPr>
      </w:pPr>
      <w:r w:rsidRPr="006A6D19">
        <w:rPr>
          <w:rStyle w:val="kursiv"/>
          <w:lang w:val="en-GB"/>
        </w:rPr>
        <w:t>Prime Minister of Norway</w:t>
      </w:r>
      <w:r w:rsidR="00B21484" w:rsidRPr="00B21484">
        <w:t xml:space="preserve"> </w:t>
      </w:r>
    </w:p>
    <w:p w14:paraId="36F9EA52" w14:textId="77777777" w:rsidR="008A5841" w:rsidRPr="006A6D19" w:rsidRDefault="008A5841" w:rsidP="008F7045">
      <w:pPr>
        <w:pStyle w:val="Overskrift1"/>
        <w:pageBreakBefore/>
        <w:rPr>
          <w:lang w:val="en-GB"/>
        </w:rPr>
      </w:pPr>
      <w:r w:rsidRPr="006A6D19">
        <w:rPr>
          <w:lang w:val="en-GB"/>
        </w:rPr>
        <w:lastRenderedPageBreak/>
        <w:t>Opening Statement from the</w:t>
      </w:r>
      <w:r w:rsidRPr="006A6D19">
        <w:rPr>
          <w:rStyle w:val="kursiv"/>
          <w:lang w:val="en-GB"/>
        </w:rPr>
        <w:t xml:space="preserve"> </w:t>
      </w:r>
      <w:r w:rsidRPr="006A6D19">
        <w:rPr>
          <w:lang w:val="en-GB"/>
        </w:rPr>
        <w:t>Norwegian Children and Youth Council</w:t>
      </w:r>
    </w:p>
    <w:p w14:paraId="024E3909" w14:textId="2807D3C7" w:rsidR="000F5A6E" w:rsidRPr="006A6D19" w:rsidRDefault="000F5A6E" w:rsidP="001609FA">
      <w:pPr>
        <w:rPr>
          <w:lang w:val="en-GB"/>
        </w:rPr>
      </w:pPr>
      <w:r w:rsidRPr="006A6D19">
        <w:rPr>
          <w:noProof/>
          <w:lang w:val="en-GB"/>
        </w:rPr>
        <w:drawing>
          <wp:inline distT="0" distB="0" distL="0" distR="0" wp14:anchorId="539F01C3" wp14:editId="1775AD4C">
            <wp:extent cx="6638925" cy="3314700"/>
            <wp:effectExtent l="0" t="0" r="9525" b="0"/>
            <wp:docPr id="1427446883" name="Bilde 30" descr="Portrait photo of Jakob Øvensen Aander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446883" name="Bilde 30" descr="Portrait photo of Jakob Øvensen Aandera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38925" cy="3314700"/>
                    </a:xfrm>
                    <a:prstGeom prst="rect">
                      <a:avLst/>
                    </a:prstGeom>
                    <a:noFill/>
                    <a:ln>
                      <a:noFill/>
                    </a:ln>
                  </pic:spPr>
                </pic:pic>
              </a:graphicData>
            </a:graphic>
          </wp:inline>
        </w:drawing>
      </w:r>
    </w:p>
    <w:p w14:paraId="2C9F2E52" w14:textId="101149F0" w:rsidR="008A5841" w:rsidRPr="006A6D19" w:rsidRDefault="008A5841" w:rsidP="001609FA">
      <w:pPr>
        <w:rPr>
          <w:lang w:val="en-GB"/>
        </w:rPr>
      </w:pPr>
      <w:r w:rsidRPr="006A6D19">
        <w:rPr>
          <w:lang w:val="en-GB"/>
        </w:rPr>
        <w:t>The children and youth of Norway want to speak clearly: the decisions you make now shape the society we will live in for decades, because “it is us who will live with the consequences if the Sustainable Development Goals (SDGs) are not met”. We see the pressures and injustices of our time up close: a climate crisis that cannot wait, economic inequalities that limit opportunities, and mental health challenges affecting too many of us. Norway needs to recalibrate our objectives to be in line with the Sustaina</w:t>
      </w:r>
      <w:r w:rsidRPr="006A6D19">
        <w:rPr>
          <w:lang w:val="en-GB"/>
        </w:rPr>
        <w:t>ble Development Goals and we need to set them on the agenda once more. We are asking for political action that matches the urgency we feel, more importantly we ask for the Government to put action behind the words.</w:t>
      </w:r>
    </w:p>
    <w:p w14:paraId="71C0D428" w14:textId="77777777" w:rsidR="008A5841" w:rsidRPr="006A6D19" w:rsidRDefault="008A5841" w:rsidP="001609FA">
      <w:pPr>
        <w:rPr>
          <w:lang w:val="en-GB"/>
        </w:rPr>
      </w:pPr>
      <w:r w:rsidRPr="006A6D19">
        <w:rPr>
          <w:lang w:val="en-GB"/>
        </w:rPr>
        <w:t>Young people are ready to do their part. But too often, youth involvement is designed around timelines, formats, and definitions of influence that are shaped by, and for, adults. Real youth participation means something different: processes built with us, for us, and importantly, driven by us. Wh</w:t>
      </w:r>
      <w:r w:rsidRPr="006A6D19">
        <w:rPr>
          <w:lang w:val="en-GB"/>
        </w:rPr>
        <w:t>en young people set the agenda, shape the methods, and define the questions, participation becomes meaningful rather than symbolic.</w:t>
      </w:r>
    </w:p>
    <w:p w14:paraId="0D97F09B" w14:textId="77777777" w:rsidR="008A5841" w:rsidRPr="006A6D19" w:rsidRDefault="008A5841" w:rsidP="001609FA">
      <w:pPr>
        <w:rPr>
          <w:lang w:val="en-GB"/>
        </w:rPr>
      </w:pPr>
      <w:r w:rsidRPr="006A6D19">
        <w:rPr>
          <w:lang w:val="en-GB"/>
        </w:rPr>
        <w:t>For participation to matter, it must also be predictable and protected. That is why institutionalised youth structures are essential. Roles like the UN Youth Delegates and other formal youth representation schemes must not depend on temporary political will, they should be long</w:t>
      </w:r>
      <w:r w:rsidRPr="006A6D19">
        <w:rPr>
          <w:lang w:val="en-GB"/>
        </w:rPr>
        <w:noBreakHyphen/>
        <w:t>term, well</w:t>
      </w:r>
      <w:r w:rsidRPr="006A6D19">
        <w:rPr>
          <w:lang w:val="en-GB"/>
        </w:rPr>
        <w:noBreakHyphen/>
        <w:t>resourced, and integrated parts of national decision</w:t>
      </w:r>
      <w:r w:rsidRPr="006A6D19">
        <w:rPr>
          <w:lang w:val="en-GB"/>
        </w:rPr>
        <w:noBreakHyphen/>
        <w:t>making. When youth participation relies on ad</w:t>
      </w:r>
      <w:r w:rsidRPr="006A6D19">
        <w:rPr>
          <w:lang w:val="en-GB"/>
        </w:rPr>
        <w:noBreakHyphen/>
        <w:t>hoc initiatives, our influence becomes optional. When it is institutionalised, it becomes democratic.</w:t>
      </w:r>
    </w:p>
    <w:p w14:paraId="18F61758" w14:textId="77777777" w:rsidR="008A5841" w:rsidRPr="006A6D19" w:rsidRDefault="008A5841" w:rsidP="001609FA">
      <w:pPr>
        <w:rPr>
          <w:lang w:val="en-GB"/>
        </w:rPr>
      </w:pPr>
      <w:r w:rsidRPr="006A6D19">
        <w:rPr>
          <w:lang w:val="en-GB"/>
        </w:rPr>
        <w:t>We also know that not all youth have equal access to being heard. Many experience economic, social, geographic, or cultural barriers that limit their ability to take part. If Norway wants to reduce inequalities and strengthen democracy, then participation must be accessible to all young people, not</w:t>
      </w:r>
      <w:r w:rsidRPr="006A6D19">
        <w:rPr>
          <w:lang w:val="en-GB"/>
        </w:rPr>
        <w:t xml:space="preserve"> just the few who manage to navigate complex systems. The Norwegian Government additionally needs to do </w:t>
      </w:r>
      <w:r w:rsidRPr="006A6D19">
        <w:rPr>
          <w:lang w:val="en-GB"/>
        </w:rPr>
        <w:lastRenderedPageBreak/>
        <w:t>their part to make these processes accessible and visible. This requires political courage and willingness to change structures so that those who are usually left out are invited.</w:t>
      </w:r>
    </w:p>
    <w:p w14:paraId="33EA44D1" w14:textId="77777777" w:rsidR="008A5841" w:rsidRPr="006A6D19" w:rsidRDefault="008A5841" w:rsidP="001609FA">
      <w:pPr>
        <w:rPr>
          <w:lang w:val="en-GB"/>
        </w:rPr>
      </w:pPr>
      <w:r w:rsidRPr="006A6D19">
        <w:rPr>
          <w:lang w:val="en-GB"/>
        </w:rPr>
        <w:t>Youth ask for a fundamental shift to achieve the SDGs: make youth</w:t>
      </w:r>
      <w:r w:rsidRPr="006A6D19">
        <w:rPr>
          <w:lang w:val="en-GB"/>
        </w:rPr>
        <w:noBreakHyphen/>
        <w:t>led participation a core principle of SDG implementation and involve us when priorities are set, not only when documents need feedback. Strengthen youth</w:t>
      </w:r>
      <w:r w:rsidRPr="006A6D19">
        <w:rPr>
          <w:lang w:val="en-GB"/>
        </w:rPr>
        <w:noBreakHyphen/>
        <w:t>driven processes. Protect and expand institutionalised youth representation and show clearly how young people’s input changes outcomes.</w:t>
      </w:r>
    </w:p>
    <w:p w14:paraId="3D5EC218" w14:textId="77777777" w:rsidR="008A5841" w:rsidRPr="006A6D19" w:rsidRDefault="008A5841" w:rsidP="000F5A6E">
      <w:pPr>
        <w:jc w:val="center"/>
        <w:rPr>
          <w:lang w:val="en-GB"/>
        </w:rPr>
      </w:pPr>
      <w:r w:rsidRPr="006A6D19">
        <w:rPr>
          <w:lang w:val="en-GB"/>
        </w:rPr>
        <w:t xml:space="preserve">Jakob </w:t>
      </w:r>
      <w:proofErr w:type="spellStart"/>
      <w:r w:rsidRPr="006A6D19">
        <w:rPr>
          <w:lang w:val="en-GB"/>
        </w:rPr>
        <w:t>Øvensen</w:t>
      </w:r>
      <w:proofErr w:type="spellEnd"/>
      <w:r w:rsidRPr="006A6D19">
        <w:rPr>
          <w:lang w:val="en-GB"/>
        </w:rPr>
        <w:t xml:space="preserve"> Aanderaa</w:t>
      </w:r>
    </w:p>
    <w:p w14:paraId="7748E716" w14:textId="5DBA231F" w:rsidR="008A5841" w:rsidRPr="006A6D19" w:rsidRDefault="00D64CF7" w:rsidP="000F5A6E">
      <w:pPr>
        <w:jc w:val="center"/>
        <w:rPr>
          <w:lang w:val="en-GB"/>
        </w:rPr>
      </w:pPr>
      <w:r w:rsidRPr="006A6D19">
        <w:rPr>
          <w:noProof/>
          <w:lang w:val="en-GB"/>
        </w:rPr>
        <w:drawing>
          <wp:inline distT="0" distB="0" distL="0" distR="0" wp14:anchorId="7B8D12C3" wp14:editId="2AE5207C">
            <wp:extent cx="2857500" cy="523875"/>
            <wp:effectExtent l="0" t="0" r="0" b="9525"/>
            <wp:docPr id="1666034723" name="Bilde 32"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034723" name="Bilde 32" descr="Signatu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523875"/>
                    </a:xfrm>
                    <a:prstGeom prst="rect">
                      <a:avLst/>
                    </a:prstGeom>
                    <a:noFill/>
                    <a:ln>
                      <a:noFill/>
                    </a:ln>
                  </pic:spPr>
                </pic:pic>
              </a:graphicData>
            </a:graphic>
          </wp:inline>
        </w:drawing>
      </w:r>
    </w:p>
    <w:p w14:paraId="2C58AA36" w14:textId="773FDDF8" w:rsidR="008A5841" w:rsidRPr="00B21484" w:rsidRDefault="008A5841" w:rsidP="00D64CF7">
      <w:pPr>
        <w:jc w:val="center"/>
        <w:rPr>
          <w:lang w:val="en-GB"/>
        </w:rPr>
      </w:pPr>
      <w:r w:rsidRPr="006A6D19">
        <w:rPr>
          <w:rStyle w:val="kursiv"/>
          <w:lang w:val="en-GB"/>
        </w:rPr>
        <w:t>President of the Norwegian Children and Youth Council</w:t>
      </w:r>
      <w:r w:rsidR="00B21484" w:rsidRPr="00B21484">
        <w:t xml:space="preserve"> </w:t>
      </w:r>
    </w:p>
    <w:p w14:paraId="60869376" w14:textId="77777777" w:rsidR="008A5841" w:rsidRPr="006A6D19" w:rsidRDefault="008A5841" w:rsidP="008F7045">
      <w:pPr>
        <w:pStyle w:val="Overskrift1"/>
        <w:pageBreakBefore/>
        <w:rPr>
          <w:lang w:val="en-GB"/>
        </w:rPr>
      </w:pPr>
      <w:r w:rsidRPr="006A6D19">
        <w:rPr>
          <w:lang w:val="en-GB"/>
        </w:rPr>
        <w:lastRenderedPageBreak/>
        <w:t>Introduction</w:t>
      </w:r>
    </w:p>
    <w:p w14:paraId="22E50604" w14:textId="0F2E4AFF" w:rsidR="00D64CF7" w:rsidRPr="006A6D19" w:rsidRDefault="00D64CF7" w:rsidP="001609FA">
      <w:pPr>
        <w:rPr>
          <w:lang w:val="en-GB"/>
        </w:rPr>
      </w:pPr>
      <w:r w:rsidRPr="006A6D19">
        <w:rPr>
          <w:noProof/>
          <w:lang w:val="en-GB"/>
        </w:rPr>
        <w:drawing>
          <wp:inline distT="0" distB="0" distL="0" distR="0" wp14:anchorId="6BC49C5A" wp14:editId="626DF4DD">
            <wp:extent cx="6638925" cy="1962150"/>
            <wp:effectExtent l="0" t="0" r="9525" b="0"/>
            <wp:docPr id="330428940" name="Bilde 33" descr="Decorative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428940" name="Bilde 33" descr="Decorative illustra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38925" cy="1962150"/>
                    </a:xfrm>
                    <a:prstGeom prst="rect">
                      <a:avLst/>
                    </a:prstGeom>
                    <a:noFill/>
                    <a:ln>
                      <a:noFill/>
                    </a:ln>
                  </pic:spPr>
                </pic:pic>
              </a:graphicData>
            </a:graphic>
          </wp:inline>
        </w:drawing>
      </w:r>
    </w:p>
    <w:p w14:paraId="25D3F866" w14:textId="26C65CDB" w:rsidR="008A5841" w:rsidRPr="006A6D19" w:rsidRDefault="008A5841" w:rsidP="001609FA">
      <w:pPr>
        <w:rPr>
          <w:lang w:val="en-GB"/>
        </w:rPr>
      </w:pPr>
      <w:r w:rsidRPr="006A6D19">
        <w:rPr>
          <w:lang w:val="en-GB"/>
        </w:rPr>
        <w:t>In 2021 Norway presented its second Voluntary National Review (VNR) to the UN. This was the first time an assessment of all 17 SDGs was included in the review, one by the Government and one independent conducted by civil society. The second VNR identified several challenges to implementation of the 2030 Agenda at both the national and local level. It also marked an important step forward by establishing Norway’s commitment to follow the UN voluntary common reporting guidelines for VNRs.</w:t>
      </w:r>
    </w:p>
    <w:p w14:paraId="4FED356C" w14:textId="77777777" w:rsidR="008A5841" w:rsidRPr="006A6D19" w:rsidRDefault="008A5841" w:rsidP="001609FA">
      <w:pPr>
        <w:rPr>
          <w:lang w:val="en-GB"/>
        </w:rPr>
      </w:pPr>
      <w:r w:rsidRPr="006A6D19">
        <w:rPr>
          <w:lang w:val="en-GB"/>
        </w:rPr>
        <w:t>In this third VNR, we take the work one step further by providing a comprehensive overview of Norway’s progress on the 17 SDGs, including all targets. The assessments identify key achievements and challenges affecting implementation, as well as priority areas where Norway has a global responsibility.</w:t>
      </w:r>
    </w:p>
    <w:p w14:paraId="5A275E4E" w14:textId="30D3B4F5" w:rsidR="008A5841" w:rsidRPr="006A6D19" w:rsidRDefault="008A5841" w:rsidP="001609FA">
      <w:pPr>
        <w:rPr>
          <w:lang w:val="en-GB"/>
        </w:rPr>
      </w:pPr>
      <w:r w:rsidRPr="006A6D19">
        <w:rPr>
          <w:lang w:val="en-GB"/>
        </w:rPr>
        <w:t>This VNR builds on established policy frameworks. It presents the status of SDG implementation, identifies key challenges, and outlines the way forward. The Review highlights areas requiring strengthened efforts, including responsible consumption and production, climate action, biodiversity, nutrition and waste management, identifying 72 targets where further efforts are needed. It also clarifies the measures the Government is taking and where action must be intensified to achieve improved outcomes.</w:t>
      </w:r>
      <w:r w:rsidR="001609FA" w:rsidRPr="006A6D19">
        <w:rPr>
          <w:lang w:val="en-GB"/>
        </w:rPr>
        <w:t xml:space="preserve"> </w:t>
      </w:r>
    </w:p>
    <w:p w14:paraId="3359A9A8" w14:textId="77777777" w:rsidR="008A5841" w:rsidRPr="006A6D19" w:rsidRDefault="008A5841" w:rsidP="001609FA">
      <w:pPr>
        <w:rPr>
          <w:lang w:val="en-GB"/>
        </w:rPr>
      </w:pPr>
      <w:r w:rsidRPr="006A6D19">
        <w:rPr>
          <w:lang w:val="en-GB"/>
        </w:rPr>
        <w:t>Inclusive stakeholder engagement has been a priority throughout the VNR process. For the first time, Norway’s VNR include independent contributions from all UN-major groups. In addition, the governments of Brazil, the Democratic Republic of Congo, Finland and Tanzania have contributed to Norway’s VNR through a peer review process.</w:t>
      </w:r>
    </w:p>
    <w:p w14:paraId="11CE6B46" w14:textId="77777777" w:rsidR="008A5841" w:rsidRPr="006A6D19" w:rsidRDefault="008A5841" w:rsidP="001609FA">
      <w:pPr>
        <w:rPr>
          <w:lang w:val="en-GB"/>
        </w:rPr>
      </w:pPr>
      <w:r w:rsidRPr="006A6D19">
        <w:rPr>
          <w:lang w:val="en-GB"/>
        </w:rPr>
        <w:t>The report highlights key changes in national follow-up and implementation over the past five years. The Government gives particular attention to the perspective of youth and children, with The Norwegian Children and Youth Council coordinating this effort.</w:t>
      </w:r>
    </w:p>
    <w:p w14:paraId="36F61CB8" w14:textId="77777777" w:rsidR="008A5841" w:rsidRPr="006A6D19" w:rsidRDefault="008A5841" w:rsidP="001609FA">
      <w:pPr>
        <w:rPr>
          <w:lang w:val="en-GB"/>
        </w:rPr>
      </w:pPr>
      <w:r w:rsidRPr="006A6D19">
        <w:rPr>
          <w:lang w:val="en-GB"/>
        </w:rPr>
        <w:t>Norway’s second White Paper on national implementation of the SDGs, adopted by parliament in March 2026, is a key reference for this Review. The report is built on established policy and official data, and includes a statistical annex on the global indicators, prepared by Statistics Norway.</w:t>
      </w:r>
    </w:p>
    <w:p w14:paraId="1AB892D7" w14:textId="77777777" w:rsidR="008A5841" w:rsidRPr="006A6D19" w:rsidRDefault="008A5841" w:rsidP="001609FA">
      <w:pPr>
        <w:pStyle w:val="Overskrift2"/>
        <w:rPr>
          <w:lang w:val="en-GB"/>
        </w:rPr>
      </w:pPr>
      <w:r w:rsidRPr="006A6D19">
        <w:rPr>
          <w:lang w:val="en-GB"/>
        </w:rPr>
        <w:lastRenderedPageBreak/>
        <w:t>Preparation of the VNR</w:t>
      </w:r>
    </w:p>
    <w:p w14:paraId="35E60D56" w14:textId="77777777" w:rsidR="008A5841" w:rsidRPr="006A6D19" w:rsidRDefault="008A5841" w:rsidP="001609FA">
      <w:pPr>
        <w:rPr>
          <w:lang w:val="en-GB"/>
        </w:rPr>
      </w:pPr>
      <w:r w:rsidRPr="006A6D19">
        <w:rPr>
          <w:lang w:val="en-GB"/>
        </w:rPr>
        <w:t>The Ministry of Digitalisation and Public Governance, in collaboration with the Ministry of Foreign Affairs, has been responsible for the preparation and coordination of this review. All government ministries, including The Office of the Prime Minister, have contributed. The report follows the UN voluntary common reporting guidelines for VNRs.</w:t>
      </w:r>
    </w:p>
    <w:p w14:paraId="559A5DCE" w14:textId="77777777" w:rsidR="008A5841" w:rsidRPr="006A6D19" w:rsidRDefault="008A5841" w:rsidP="001609FA">
      <w:pPr>
        <w:rPr>
          <w:lang w:val="en-GB"/>
        </w:rPr>
      </w:pPr>
      <w:r w:rsidRPr="006A6D19">
        <w:rPr>
          <w:lang w:val="en-GB"/>
        </w:rPr>
        <w:t xml:space="preserve">To ensure an inclusive process and to incorporate the views and recommendations of stakeholders across the Norwegian society, the Ministry of Digitalisation and Public Governance has entered into cooperation agreements with key stakeholder groups, enabling them to provide their perspectives and insights. This approach is intended to ensure that this review reflects the Norwegian </w:t>
      </w:r>
      <w:proofErr w:type="gramStart"/>
      <w:r w:rsidRPr="006A6D19">
        <w:rPr>
          <w:lang w:val="en-GB"/>
        </w:rPr>
        <w:t>society as a whole, and</w:t>
      </w:r>
      <w:proofErr w:type="gramEnd"/>
      <w:r w:rsidRPr="006A6D19">
        <w:rPr>
          <w:lang w:val="en-GB"/>
        </w:rPr>
        <w:t xml:space="preserve"> not just the Government’s perspective. Stakeholder contributions are </w:t>
      </w:r>
      <w:proofErr w:type="gramStart"/>
      <w:r w:rsidRPr="006A6D19">
        <w:rPr>
          <w:lang w:val="en-GB"/>
        </w:rPr>
        <w:t>independent</w:t>
      </w:r>
      <w:proofErr w:type="gramEnd"/>
      <w:r w:rsidRPr="006A6D19">
        <w:rPr>
          <w:lang w:val="en-GB"/>
        </w:rPr>
        <w:t xml:space="preserve"> and the Government has included these in the VNR without editorial changes. This principle was established in Norway’s second VNR in 2021, to affirm the value of a vibrant, open and independent civil society.</w:t>
      </w:r>
    </w:p>
    <w:p w14:paraId="1E0D7F34" w14:textId="77777777" w:rsidR="008A5841" w:rsidRPr="006A6D19" w:rsidRDefault="008A5841" w:rsidP="001609FA">
      <w:pPr>
        <w:rPr>
          <w:rStyle w:val="kursiv"/>
          <w:lang w:val="en-GB"/>
        </w:rPr>
      </w:pPr>
      <w:r w:rsidRPr="006A6D19">
        <w:rPr>
          <w:lang w:val="en-GB"/>
        </w:rPr>
        <w:t xml:space="preserve">Norway’s third VNR includes independent contributions from all the UN Major Groups. </w:t>
      </w:r>
      <w:proofErr w:type="gramStart"/>
      <w:r w:rsidRPr="006A6D19">
        <w:rPr>
          <w:lang w:val="en-GB"/>
        </w:rPr>
        <w:t>The majority of</w:t>
      </w:r>
      <w:proofErr w:type="gramEnd"/>
      <w:r w:rsidRPr="006A6D19">
        <w:rPr>
          <w:lang w:val="en-GB"/>
        </w:rPr>
        <w:t xml:space="preserve"> these contributions are included in chapter 4.2, </w:t>
      </w:r>
      <w:r w:rsidRPr="006A6D19">
        <w:rPr>
          <w:rStyle w:val="kursiv"/>
          <w:lang w:val="en-GB"/>
        </w:rPr>
        <w:t>Whole-of-Society Approach.</w:t>
      </w:r>
    </w:p>
    <w:p w14:paraId="06D5BFCB" w14:textId="77777777" w:rsidR="008A5841" w:rsidRPr="006A6D19" w:rsidRDefault="008A5841" w:rsidP="001609FA">
      <w:pPr>
        <w:rPr>
          <w:lang w:val="en-GB"/>
        </w:rPr>
      </w:pPr>
      <w:r w:rsidRPr="006A6D19">
        <w:rPr>
          <w:lang w:val="en-GB"/>
        </w:rPr>
        <w:t>A key priority has been to amplify the voices of young people and children. Therefore, The Norwegian Children and Youth Council (LNU) was invited to organise workshops and writing groups to gather diverse perspectives from the youth. This process resulted in several substantive contributions throughout the review. LNU was also part of the Norwegian peer review process, providing valuable input to the draft report and thus a main message.</w:t>
      </w:r>
    </w:p>
    <w:p w14:paraId="512B7050" w14:textId="77777777" w:rsidR="008A5841" w:rsidRPr="006A6D19" w:rsidRDefault="008A5841" w:rsidP="001609FA">
      <w:pPr>
        <w:rPr>
          <w:lang w:val="en-GB"/>
        </w:rPr>
      </w:pPr>
      <w:r w:rsidRPr="006A6D19">
        <w:rPr>
          <w:lang w:val="en-GB"/>
        </w:rPr>
        <w:t>The Norwegian Association of Local and Regional Authorities (KS) represent all municipalities and county councils in Norway. As part of a formal agreement on innovation and sustainability between KS and the Ministry of Digitalisation and Public Governance, KS was consulted from an early stage in the VNR-process. In chapter 4.2.2 KS has provided insight on SDG implementation in Norwegian municipalities and regions.</w:t>
      </w:r>
    </w:p>
    <w:p w14:paraId="0A80954B" w14:textId="77777777" w:rsidR="008A5841" w:rsidRPr="006A6D19" w:rsidRDefault="008A5841" w:rsidP="001609FA">
      <w:pPr>
        <w:rPr>
          <w:lang w:val="en-GB"/>
        </w:rPr>
      </w:pPr>
      <w:r w:rsidRPr="006A6D19">
        <w:rPr>
          <w:lang w:val="en-GB"/>
        </w:rPr>
        <w:t>The Norwegian Forum for Development and Environment (</w:t>
      </w:r>
      <w:proofErr w:type="spellStart"/>
      <w:r w:rsidRPr="006A6D19">
        <w:rPr>
          <w:lang w:val="en-GB"/>
        </w:rPr>
        <w:t>ForUM</w:t>
      </w:r>
      <w:proofErr w:type="spellEnd"/>
      <w:r w:rsidRPr="006A6D19">
        <w:rPr>
          <w:lang w:val="en-GB"/>
        </w:rPr>
        <w:t>) coordinated an assessment on Norway’s progress on all 17 SDGs from a broad network of over 100 organisations working on development, environment, women’s rights, and other issues related to one or several of the SDGs. The civil society assessments are presented for each goal in chapter 6.3, following the Government’s assessment.</w:t>
      </w:r>
    </w:p>
    <w:p w14:paraId="01EC04C3" w14:textId="77777777" w:rsidR="008A5841" w:rsidRPr="006A6D19" w:rsidRDefault="008A5841" w:rsidP="001609FA">
      <w:pPr>
        <w:rPr>
          <w:lang w:val="en-GB"/>
        </w:rPr>
      </w:pPr>
      <w:r w:rsidRPr="006A6D19">
        <w:rPr>
          <w:lang w:val="en-GB"/>
        </w:rPr>
        <w:t>UN Global Compact (UNGC) Norway coordinated input from the industrial sector and businesses. In addition, UNGC facilitated a joint statement from Norway’s Higher Executive Fo</w:t>
      </w:r>
      <w:r w:rsidRPr="006A6D19">
        <w:rPr>
          <w:lang w:val="en-GB"/>
        </w:rPr>
        <w:t>rum for the SDGs. The Sustainability Committee for Higher Education contributed perspectives and recommendations from the university sector. The Norwegian Farmers’ Union provided insights from the agricultural sector, while the Norwegian Confederation of Trade Unions (LO) have given the VNR a perspective from a labour movement. Furthermore, LO and the Confederation of Norwegian Enterprise (NHO) jointly submitted a contribution on Norway’s tripartite cooperation model. Indigenous perspectives were provided b</w:t>
      </w:r>
      <w:r w:rsidRPr="006A6D19">
        <w:rPr>
          <w:lang w:val="en-GB"/>
        </w:rPr>
        <w:t xml:space="preserve">y the </w:t>
      </w:r>
      <w:proofErr w:type="spellStart"/>
      <w:r w:rsidRPr="006A6D19">
        <w:rPr>
          <w:lang w:val="en-GB"/>
        </w:rPr>
        <w:t>Sámediggi</w:t>
      </w:r>
      <w:proofErr w:type="spellEnd"/>
      <w:r w:rsidRPr="006A6D19">
        <w:rPr>
          <w:lang w:val="en-GB"/>
        </w:rPr>
        <w:t xml:space="preserve"> (the Sami Parliament).</w:t>
      </w:r>
    </w:p>
    <w:p w14:paraId="567F6E40" w14:textId="77777777" w:rsidR="008A5841" w:rsidRPr="006A6D19" w:rsidRDefault="008A5841" w:rsidP="001609FA">
      <w:pPr>
        <w:rPr>
          <w:lang w:val="en-GB"/>
        </w:rPr>
      </w:pPr>
      <w:r w:rsidRPr="006A6D19">
        <w:rPr>
          <w:lang w:val="en-GB"/>
        </w:rPr>
        <w:lastRenderedPageBreak/>
        <w:t>Norway has benefitted greatly from an extensive peer-review process with Brazil, the Democratic Republic of Congo, Finland and Tanzania. The peer dialogue provided a valuable opportunity to share ideas and exchange experiences and best practices. In addition, Norway has benefited from participating in the VNR workshops organised by UNDESA.</w:t>
      </w:r>
    </w:p>
    <w:p w14:paraId="71B57D0B" w14:textId="77777777" w:rsidR="008A5841" w:rsidRPr="006A6D19" w:rsidRDefault="008A5841" w:rsidP="001609FA">
      <w:pPr>
        <w:rPr>
          <w:lang w:val="en-GB"/>
        </w:rPr>
      </w:pPr>
      <w:r w:rsidRPr="006A6D19">
        <w:rPr>
          <w:lang w:val="en-GB"/>
        </w:rPr>
        <w:t>Access to high-quality data is essential for advancing the work on the SDGs. A statistical annex is therefore included in this review.</w:t>
      </w:r>
    </w:p>
    <w:p w14:paraId="5A8B0023" w14:textId="77777777" w:rsidR="008A5841" w:rsidRPr="006A6D19" w:rsidRDefault="008A5841" w:rsidP="001609FA">
      <w:pPr>
        <w:pStyle w:val="Overskrift2"/>
        <w:rPr>
          <w:lang w:val="en-GB"/>
        </w:rPr>
      </w:pPr>
      <w:r w:rsidRPr="006A6D19">
        <w:rPr>
          <w:lang w:val="en-GB"/>
        </w:rPr>
        <w:t>Messages from the Peer Dialogue</w:t>
      </w:r>
    </w:p>
    <w:p w14:paraId="21912359" w14:textId="77777777" w:rsidR="008A5841" w:rsidRPr="006A6D19" w:rsidRDefault="008A5841" w:rsidP="001609FA">
      <w:pPr>
        <w:rPr>
          <w:lang w:val="en-GB"/>
        </w:rPr>
      </w:pPr>
      <w:r w:rsidRPr="006A6D19">
        <w:rPr>
          <w:lang w:val="en-GB"/>
        </w:rPr>
        <w:t xml:space="preserve">Norway has conducted a peer review process with Brazil, the Democratic Republic of Congo, Finland and Tanzania. The review was conducted </w:t>
      </w:r>
      <w:proofErr w:type="gramStart"/>
      <w:r w:rsidRPr="006A6D19">
        <w:rPr>
          <w:lang w:val="en-GB"/>
        </w:rPr>
        <w:t>on the basis of</w:t>
      </w:r>
      <w:proofErr w:type="gramEnd"/>
      <w:r w:rsidRPr="006A6D19">
        <w:rPr>
          <w:lang w:val="en-GB"/>
        </w:rPr>
        <w:t xml:space="preserve"> a draft report. As a result, Norway received </w:t>
      </w:r>
      <w:proofErr w:type="gramStart"/>
      <w:r w:rsidRPr="006A6D19">
        <w:rPr>
          <w:lang w:val="en-GB"/>
        </w:rPr>
        <w:t>a number of</w:t>
      </w:r>
      <w:proofErr w:type="gramEnd"/>
      <w:r w:rsidRPr="006A6D19">
        <w:rPr>
          <w:lang w:val="en-GB"/>
        </w:rPr>
        <w:t xml:space="preserve"> recommendations and questions, which have been taken into account in the finalisation of the report.</w:t>
      </w:r>
    </w:p>
    <w:p w14:paraId="5805BEA2" w14:textId="77777777" w:rsidR="008A5841" w:rsidRPr="006A6D19" w:rsidRDefault="008A5841" w:rsidP="001609FA">
      <w:pPr>
        <w:rPr>
          <w:lang w:val="en-GB"/>
        </w:rPr>
      </w:pPr>
      <w:r w:rsidRPr="006A6D19">
        <w:rPr>
          <w:lang w:val="en-GB"/>
        </w:rPr>
        <w:t>A dedicated meeting was also held with Finland to discuss specific questions in greater detail, as well as a series of workshops with Brazil and other countries. In addition, the Norwegian Children and Youth Council (LNU) provided comments on the draft report, ensuring that the perspectives of children and youth are meaningfully reflect</w:t>
      </w:r>
      <w:r w:rsidRPr="006A6D19">
        <w:rPr>
          <w:lang w:val="en-GB"/>
        </w:rPr>
        <w:t>ed in the preparation of the final report.</w:t>
      </w:r>
    </w:p>
    <w:tbl>
      <w:tblPr>
        <w:tblStyle w:val="StandardBoks"/>
        <w:tblW w:w="5000" w:type="pct"/>
        <w:tblLook w:val="0000" w:firstRow="0" w:lastRow="0" w:firstColumn="0" w:lastColumn="0" w:noHBand="0" w:noVBand="0"/>
      </w:tblPr>
      <w:tblGrid>
        <w:gridCol w:w="10466"/>
      </w:tblGrid>
      <w:tr w:rsidR="00D64CF7" w:rsidRPr="006A6D19" w14:paraId="1F3C480F" w14:textId="77777777" w:rsidTr="008F7045">
        <w:trPr>
          <w:trHeight w:val="8901"/>
        </w:trPr>
        <w:tc>
          <w:tcPr>
            <w:tcW w:w="5000" w:type="pct"/>
          </w:tcPr>
          <w:p w14:paraId="6F6F3A9E" w14:textId="77777777" w:rsidR="00D64CF7" w:rsidRPr="006A6D19" w:rsidRDefault="00D64CF7" w:rsidP="00B765C1">
            <w:pPr>
              <w:pStyle w:val="UnOverskrift3"/>
              <w:rPr>
                <w:lang w:val="en-GB"/>
              </w:rPr>
            </w:pPr>
            <w:r w:rsidRPr="006A6D19">
              <w:rPr>
                <w:lang w:val="en-GB"/>
              </w:rPr>
              <w:lastRenderedPageBreak/>
              <w:t>Brazil’s Main Message from the Peer Dialogue</w:t>
            </w:r>
          </w:p>
          <w:p w14:paraId="1928C393" w14:textId="77777777" w:rsidR="00D64CF7" w:rsidRPr="006A6D19" w:rsidRDefault="00D64CF7" w:rsidP="001609FA">
            <w:pPr>
              <w:rPr>
                <w:rStyle w:val="kursiv"/>
                <w:lang w:val="en-GB"/>
              </w:rPr>
            </w:pPr>
            <w:r w:rsidRPr="006A6D19">
              <w:rPr>
                <w:rStyle w:val="kursiv"/>
                <w:lang w:val="en-GB"/>
              </w:rPr>
              <w:t>The following text is written by the Brazilian National Commission on the SDGs.</w:t>
            </w:r>
          </w:p>
          <w:p w14:paraId="4BE3A1C3" w14:textId="77777777" w:rsidR="00D64CF7" w:rsidRPr="006A6D19" w:rsidRDefault="00D64CF7" w:rsidP="001609FA">
            <w:pPr>
              <w:rPr>
                <w:lang w:val="en-GB"/>
              </w:rPr>
            </w:pPr>
            <w:r w:rsidRPr="006A6D19">
              <w:rPr>
                <w:lang w:val="en-GB"/>
              </w:rPr>
              <w:t xml:space="preserve">Brazil welcomes Norway’s comprehensive and forward-looking approach to the implementation of the 2030 Agenda and its Voluntary National Review. </w:t>
            </w:r>
          </w:p>
          <w:p w14:paraId="76C19AFD" w14:textId="77777777" w:rsidR="00D64CF7" w:rsidRPr="006A6D19" w:rsidRDefault="00D64CF7" w:rsidP="001609FA">
            <w:pPr>
              <w:rPr>
                <w:lang w:val="en-GB"/>
              </w:rPr>
            </w:pPr>
            <w:r w:rsidRPr="006A6D19">
              <w:rPr>
                <w:lang w:val="en-GB"/>
              </w:rPr>
              <w:t xml:space="preserve">The opening statement from Norwegian children and youth offers a powerful reminder that the implementation of the SDGs is fundamentally a matter of intergenerational responsibility. </w:t>
            </w:r>
          </w:p>
          <w:p w14:paraId="75A645A1" w14:textId="77777777" w:rsidR="00D64CF7" w:rsidRPr="006A6D19" w:rsidRDefault="00D64CF7" w:rsidP="001609FA">
            <w:pPr>
              <w:rPr>
                <w:lang w:val="en-GB"/>
              </w:rPr>
            </w:pPr>
            <w:r w:rsidRPr="006A6D19">
              <w:rPr>
                <w:lang w:val="en-GB"/>
              </w:rPr>
              <w:t>We also note with interest the establishment of Norway’s first National Citizens’ Panel in 2024, focused on material consumption and sustainable lifestyles. This innovative mechanism for strengthening inclusive participation and integrating citizens’ perspectives into policymaking represents an important contribution to SDG implementation.</w:t>
            </w:r>
          </w:p>
          <w:p w14:paraId="06CA1A77" w14:textId="77777777" w:rsidR="00D64CF7" w:rsidRPr="006A6D19" w:rsidRDefault="00D64CF7" w:rsidP="001609FA">
            <w:pPr>
              <w:rPr>
                <w:lang w:val="en-GB"/>
              </w:rPr>
            </w:pPr>
            <w:r w:rsidRPr="006A6D19">
              <w:rPr>
                <w:lang w:val="en-GB"/>
              </w:rPr>
              <w:t>Brazil further welcomes the integration of sustainability into innovation, industrial policy, higher education, and organisational practices underscores the importance of whole-of-society and whole-of-government approaches to sustainable development.</w:t>
            </w:r>
          </w:p>
          <w:p w14:paraId="12660D24" w14:textId="77777777" w:rsidR="00D64CF7" w:rsidRPr="006A6D19" w:rsidRDefault="00D64CF7" w:rsidP="001609FA">
            <w:pPr>
              <w:rPr>
                <w:lang w:val="en-GB"/>
              </w:rPr>
            </w:pPr>
            <w:r w:rsidRPr="006A6D19">
              <w:rPr>
                <w:lang w:val="en-GB"/>
              </w:rPr>
              <w:t xml:space="preserve">We also appreciate Norway’s continued commitment to the principle of Leaving No One Behind (LNOB), including its integration into national implementation efforts and public budgeting processes. </w:t>
            </w:r>
          </w:p>
          <w:p w14:paraId="7012E39C" w14:textId="77777777" w:rsidR="00D64CF7" w:rsidRPr="006A6D19" w:rsidRDefault="00D64CF7" w:rsidP="001609FA">
            <w:pPr>
              <w:rPr>
                <w:lang w:val="en-GB"/>
              </w:rPr>
            </w:pPr>
            <w:r w:rsidRPr="006A6D19">
              <w:rPr>
                <w:lang w:val="en-GB"/>
              </w:rPr>
              <w:t>The Norwegian VNR presents a noteworthy strength in capture the incorporation of sustainable development principles into the national education system through curricula covering primary, lower secondary, and upper secondary education, demonstrating a long-term commitment to building societal awareness and capacity for sustainable development.</w:t>
            </w:r>
          </w:p>
          <w:p w14:paraId="1FB2C718" w14:textId="77777777" w:rsidR="00D64CF7" w:rsidRPr="006A6D19" w:rsidRDefault="00D64CF7" w:rsidP="001609FA">
            <w:pPr>
              <w:rPr>
                <w:lang w:val="en-GB"/>
              </w:rPr>
            </w:pPr>
            <w:r w:rsidRPr="006A6D19">
              <w:rPr>
                <w:lang w:val="en-GB"/>
              </w:rPr>
              <w:t xml:space="preserve">From a methodological and structural perspective, the report also stands out for its clear analytical framing of the main drivers and challenges influencing sustainable development, including changing security conditions, climate change and biodiversity loss, technological development and digitalisation, as well as demographic change and labour market demands. </w:t>
            </w:r>
          </w:p>
          <w:p w14:paraId="288C9B18" w14:textId="77777777" w:rsidR="00D64CF7" w:rsidRPr="006A6D19" w:rsidRDefault="00D64CF7" w:rsidP="001609FA">
            <w:pPr>
              <w:rPr>
                <w:lang w:val="en-GB"/>
              </w:rPr>
            </w:pPr>
            <w:r w:rsidRPr="006A6D19">
              <w:rPr>
                <w:lang w:val="en-GB"/>
              </w:rPr>
              <w:t>Particularly noteworthy is the report’s analytical framework, which combines assessments of Government and Civil Society. This multidimensional structure strengthens policy coherence, transparency, and accountability, while incorporating diverse perspectives into the national review process.</w:t>
            </w:r>
          </w:p>
          <w:p w14:paraId="3526A41D" w14:textId="77777777" w:rsidR="00D64CF7" w:rsidRPr="006A6D19" w:rsidRDefault="00D64CF7" w:rsidP="001609FA">
            <w:pPr>
              <w:rPr>
                <w:lang w:val="en-GB"/>
              </w:rPr>
            </w:pPr>
            <w:r w:rsidRPr="006A6D19">
              <w:rPr>
                <w:lang w:val="en-GB"/>
              </w:rPr>
              <w:t>In general, our assessment is that other countries could be interested in learning more about Norway’s experience on meaningful participation, intergenerational dialogue, policy coherence, and the enabling conditions for sustainable transformation.</w:t>
            </w:r>
          </w:p>
          <w:p w14:paraId="7C63E45A" w14:textId="2672AF73" w:rsidR="00D64CF7" w:rsidRPr="006A6D19" w:rsidRDefault="00D64CF7" w:rsidP="001609FA">
            <w:pPr>
              <w:spacing w:after="160"/>
              <w:rPr>
                <w:lang w:val="en-GB"/>
              </w:rPr>
            </w:pPr>
            <w:r w:rsidRPr="006A6D19">
              <w:rPr>
                <w:lang w:val="en-GB"/>
              </w:rPr>
              <w:t>Brazil is honoured to review Norway’s 2026 VNR and sincerely hopes that these peer review process could strength our common journey through a more just and inclusive sustainable development global agenda.</w:t>
            </w:r>
          </w:p>
        </w:tc>
      </w:tr>
    </w:tbl>
    <w:p w14:paraId="3C97099F" w14:textId="77777777" w:rsidR="008A5841" w:rsidRPr="006A6D19" w:rsidRDefault="008A5841" w:rsidP="001609FA">
      <w:pPr>
        <w:rPr>
          <w:lang w:val="en-GB"/>
        </w:rPr>
      </w:pPr>
    </w:p>
    <w:tbl>
      <w:tblPr>
        <w:tblStyle w:val="StandardBoks"/>
        <w:tblW w:w="5000" w:type="pct"/>
        <w:tblLook w:val="0000" w:firstRow="0" w:lastRow="0" w:firstColumn="0" w:lastColumn="0" w:noHBand="0" w:noVBand="0"/>
      </w:tblPr>
      <w:tblGrid>
        <w:gridCol w:w="10466"/>
      </w:tblGrid>
      <w:tr w:rsidR="00D64CF7" w:rsidRPr="006A6D19" w14:paraId="47374850" w14:textId="77777777" w:rsidTr="008F7045">
        <w:trPr>
          <w:trHeight w:val="8334"/>
        </w:trPr>
        <w:tc>
          <w:tcPr>
            <w:tcW w:w="5000" w:type="pct"/>
          </w:tcPr>
          <w:p w14:paraId="0958EE1C" w14:textId="77777777" w:rsidR="00D64CF7" w:rsidRPr="006A6D19" w:rsidRDefault="00D64CF7" w:rsidP="00B765C1">
            <w:pPr>
              <w:pStyle w:val="UnOverskrift3"/>
              <w:rPr>
                <w:lang w:val="en-GB"/>
              </w:rPr>
            </w:pPr>
            <w:r w:rsidRPr="006A6D19">
              <w:rPr>
                <w:lang w:val="en-GB"/>
              </w:rPr>
              <w:lastRenderedPageBreak/>
              <w:t>Finland’s Main Message from the Peer Dialogue</w:t>
            </w:r>
          </w:p>
          <w:p w14:paraId="33B35761" w14:textId="45013BC5" w:rsidR="00D64CF7" w:rsidRPr="006A6D19" w:rsidRDefault="00D64CF7" w:rsidP="001609FA">
            <w:pPr>
              <w:rPr>
                <w:rStyle w:val="kursiv"/>
                <w:lang w:val="en-GB"/>
              </w:rPr>
            </w:pPr>
            <w:r w:rsidRPr="006A6D19">
              <w:rPr>
                <w:rStyle w:val="kursiv"/>
                <w:lang w:val="en-GB"/>
              </w:rPr>
              <w:t>The following text is written by the Prime Minister’s Office, Government Strategy Department, Finland.</w:t>
            </w:r>
          </w:p>
          <w:p w14:paraId="022BE85A" w14:textId="77777777" w:rsidR="00D64CF7" w:rsidRPr="006A6D19" w:rsidRDefault="00D64CF7" w:rsidP="001609FA">
            <w:pPr>
              <w:rPr>
                <w:lang w:val="en-GB"/>
              </w:rPr>
            </w:pPr>
            <w:r w:rsidRPr="006A6D19">
              <w:rPr>
                <w:lang w:val="en-GB"/>
              </w:rPr>
              <w:t>Finland highly appreciates the opportunity to engage in a peer learning process with Norway as part of preparing Norway’s third Voluntary National Review (VNR). We would also like to again express our gratitude to Norway for its contribution to Finland’s third VNR, presented in 2025. Peer learning on Agenda2030 implementation and on participatory, robust ways to report on progress and learnings is key for boosting cooperation to meet the SDGs.</w:t>
            </w:r>
          </w:p>
          <w:p w14:paraId="697D7C71" w14:textId="77777777" w:rsidR="00D64CF7" w:rsidRPr="006A6D19" w:rsidRDefault="00D64CF7" w:rsidP="001609FA">
            <w:pPr>
              <w:rPr>
                <w:lang w:val="en-GB"/>
              </w:rPr>
            </w:pPr>
            <w:r w:rsidRPr="006A6D19">
              <w:rPr>
                <w:lang w:val="en-GB"/>
              </w:rPr>
              <w:t>The following remarks are based on a first draft of Norway’s VNR and on an online dialogue between lead authors of the VNR and commentators from Finland’s side.</w:t>
            </w:r>
          </w:p>
          <w:p w14:paraId="0E1BDA4A" w14:textId="77777777" w:rsidR="00D64CF7" w:rsidRPr="006A6D19" w:rsidRDefault="00D64CF7" w:rsidP="001609FA">
            <w:pPr>
              <w:pStyle w:val="Liste"/>
              <w:rPr>
                <w:lang w:val="en-GB"/>
              </w:rPr>
            </w:pPr>
            <w:r w:rsidRPr="006A6D19">
              <w:rPr>
                <w:lang w:val="en-GB"/>
              </w:rPr>
              <w:t>Finland commends Norway’s inclusive and participatory manner of preparing the VNR. Norway has meaningfully engaged a broad number of stakeholders, with a particular emphasis on youth participation. The stakeholders’ voices are clearly heard throughout the report. Finland believes that providing spaces for unedited assessments of progress and room for improvement on each SDG as well as for more general, thematic evaluations and recommendations deepens the whole-of-society approach in both VNR preparation and SDG implementation in the future. A very interesting element in Norway’s VNR process is the use of a Citizen’s Panel. Finland also recognises the potential of such panels in increasing citizens’ knowledge on and ownership of sustainability work.</w:t>
            </w:r>
          </w:p>
          <w:p w14:paraId="5E936FC0" w14:textId="77777777" w:rsidR="00D64CF7" w:rsidRPr="006A6D19" w:rsidRDefault="00D64CF7" w:rsidP="001609FA">
            <w:pPr>
              <w:pStyle w:val="Liste"/>
              <w:rPr>
                <w:lang w:val="en-GB"/>
              </w:rPr>
            </w:pPr>
            <w:r w:rsidRPr="006A6D19">
              <w:rPr>
                <w:lang w:val="en-GB"/>
              </w:rPr>
              <w:t>Norway describes well the integration of the SDGs into its governance mechanisms and policy processes, based on a strong whole-of-government approach. An avenue that could be further developed in the future is expanding more active cooperation towards the Norwegian Parliament (Stortinget).</w:t>
            </w:r>
          </w:p>
          <w:p w14:paraId="59330C97" w14:textId="77777777" w:rsidR="00D64CF7" w:rsidRPr="006A6D19" w:rsidRDefault="00D64CF7" w:rsidP="001609FA">
            <w:pPr>
              <w:pStyle w:val="Liste"/>
              <w:rPr>
                <w:lang w:val="en-GB"/>
              </w:rPr>
            </w:pPr>
            <w:r w:rsidRPr="006A6D19">
              <w:rPr>
                <w:lang w:val="en-GB"/>
              </w:rPr>
              <w:t>The VNR gives a clear and comprehensive picture of Norway’s progress and challenges in SDG implementation with easily readable assessments on each SDG. However, Norway’s most recent White Paper on the Sustainable Development Goals (Meld. St. 35 (2024–2025)) was prepared with a systems-based approach and focused a lot on the interlinkages between the 17 SDGs. It would have been very interesting to see this approach carried over to the VNR. Another element that calls for further development is the assessment of spillovers. This is valid also for Finland and perhaps a topic for future peer learning and cooperation.</w:t>
            </w:r>
          </w:p>
          <w:p w14:paraId="5D920E31" w14:textId="1676CFA7" w:rsidR="00D64CF7" w:rsidRPr="006A6D19" w:rsidRDefault="00D64CF7" w:rsidP="00B765C1">
            <w:pPr>
              <w:rPr>
                <w:lang w:val="en-GB"/>
              </w:rPr>
            </w:pPr>
            <w:r w:rsidRPr="006A6D19">
              <w:rPr>
                <w:lang w:val="en-GB"/>
              </w:rPr>
              <w:t>Finland congratulates Norway for preparing a comprehensive, participatory and future-oriented VNR.</w:t>
            </w:r>
          </w:p>
        </w:tc>
      </w:tr>
    </w:tbl>
    <w:p w14:paraId="647059E8" w14:textId="77777777" w:rsidR="008A5841" w:rsidRPr="006A6D19" w:rsidRDefault="008A5841" w:rsidP="001609FA">
      <w:pPr>
        <w:rPr>
          <w:lang w:val="en-GB"/>
        </w:rPr>
      </w:pPr>
    </w:p>
    <w:tbl>
      <w:tblPr>
        <w:tblStyle w:val="StandardBoks"/>
        <w:tblW w:w="5000" w:type="pct"/>
        <w:tblLook w:val="0000" w:firstRow="0" w:lastRow="0" w:firstColumn="0" w:lastColumn="0" w:noHBand="0" w:noVBand="0"/>
      </w:tblPr>
      <w:tblGrid>
        <w:gridCol w:w="10466"/>
      </w:tblGrid>
      <w:tr w:rsidR="00D64CF7" w:rsidRPr="006A6D19" w14:paraId="6F646628" w14:textId="77777777" w:rsidTr="008F7045">
        <w:trPr>
          <w:trHeight w:val="10886"/>
        </w:trPr>
        <w:tc>
          <w:tcPr>
            <w:tcW w:w="5000" w:type="pct"/>
          </w:tcPr>
          <w:p w14:paraId="453611FE" w14:textId="77777777" w:rsidR="00D64CF7" w:rsidRPr="006A6D19" w:rsidRDefault="00D64CF7" w:rsidP="00B765C1">
            <w:pPr>
              <w:pStyle w:val="UnOverskrift3"/>
              <w:rPr>
                <w:lang w:val="en-GB"/>
              </w:rPr>
            </w:pPr>
            <w:r w:rsidRPr="006A6D19">
              <w:rPr>
                <w:lang w:val="en-GB"/>
              </w:rPr>
              <w:lastRenderedPageBreak/>
              <w:t>The Democratic Republic of the Congo’s Main Message from the Peer Review Dialogue</w:t>
            </w:r>
          </w:p>
          <w:p w14:paraId="465D08A7" w14:textId="77777777" w:rsidR="00D64CF7" w:rsidRPr="006A6D19" w:rsidRDefault="00D64CF7" w:rsidP="001609FA">
            <w:pPr>
              <w:rPr>
                <w:lang w:val="en-GB"/>
              </w:rPr>
            </w:pPr>
            <w:r w:rsidRPr="006A6D19">
              <w:rPr>
                <w:rStyle w:val="kursiv"/>
                <w:lang w:val="en-GB"/>
              </w:rPr>
              <w:t>The following text is written by the Congolese Observatory for Sustainable Development (OCDD).</w:t>
            </w:r>
          </w:p>
          <w:p w14:paraId="7A21BE2A" w14:textId="77777777" w:rsidR="00D64CF7" w:rsidRPr="006A6D19" w:rsidRDefault="00D64CF7" w:rsidP="001609FA">
            <w:pPr>
              <w:pStyle w:val="avsnitt-tittel"/>
              <w:rPr>
                <w:lang w:val="en-GB"/>
              </w:rPr>
            </w:pPr>
            <w:r w:rsidRPr="006A6D19">
              <w:rPr>
                <w:lang w:val="en-GB"/>
              </w:rPr>
              <w:t>Key strengths</w:t>
            </w:r>
          </w:p>
          <w:p w14:paraId="7B8946BE" w14:textId="77777777" w:rsidR="00D64CF7" w:rsidRPr="006A6D19" w:rsidRDefault="00D64CF7" w:rsidP="001609FA">
            <w:pPr>
              <w:pStyle w:val="Liste"/>
              <w:rPr>
                <w:lang w:val="en-GB"/>
              </w:rPr>
            </w:pPr>
            <w:r w:rsidRPr="006A6D19">
              <w:rPr>
                <w:lang w:val="en-GB"/>
              </w:rPr>
              <w:t>The report adopts a whole-of-government and whole-of-society approach. The allocation of SDGs across ministries, the interministerial network, the high-level executive forum, the consultation of local authorities, and the independent contributions are in line with the expectations of the DESA guidelines.</w:t>
            </w:r>
          </w:p>
          <w:p w14:paraId="5C6BE008" w14:textId="77777777" w:rsidR="00D64CF7" w:rsidRPr="006A6D19" w:rsidRDefault="00D64CF7" w:rsidP="001609FA">
            <w:pPr>
              <w:pStyle w:val="Liste"/>
              <w:rPr>
                <w:lang w:val="en-GB"/>
              </w:rPr>
            </w:pPr>
            <w:r w:rsidRPr="006A6D19">
              <w:rPr>
                <w:lang w:val="en-GB"/>
              </w:rPr>
              <w:t xml:space="preserve">Stakeholder inclusion is a strong point. The unedited contributions from LNU, KS, LO/NHO, UNGC, </w:t>
            </w:r>
            <w:proofErr w:type="spellStart"/>
            <w:r w:rsidRPr="006A6D19">
              <w:rPr>
                <w:lang w:val="en-GB"/>
              </w:rPr>
              <w:t>ForUM</w:t>
            </w:r>
            <w:proofErr w:type="spellEnd"/>
            <w:r w:rsidRPr="006A6D19">
              <w:rPr>
                <w:lang w:val="en-GB"/>
              </w:rPr>
              <w:t>, the Sami Parliament, and academia lend credibility to the report and avoid a purely government-driven narrative.</w:t>
            </w:r>
          </w:p>
          <w:p w14:paraId="317E7A3C" w14:textId="77777777" w:rsidR="00D64CF7" w:rsidRPr="006A6D19" w:rsidRDefault="00D64CF7" w:rsidP="001609FA">
            <w:pPr>
              <w:pStyle w:val="Liste"/>
              <w:rPr>
                <w:lang w:val="en-GB"/>
              </w:rPr>
            </w:pPr>
            <w:r w:rsidRPr="006A6D19">
              <w:rPr>
                <w:lang w:val="en-GB"/>
              </w:rPr>
              <w:t>Coverage of the 17 SDGs is comprehensive. The report announces an assessment of all 169 targets, which is ambitious and valuable, especially for a country presenting its third VNR.</w:t>
            </w:r>
          </w:p>
          <w:p w14:paraId="74EFD1A4" w14:textId="77777777" w:rsidR="00D64CF7" w:rsidRPr="006A6D19" w:rsidRDefault="00D64CF7" w:rsidP="001609FA">
            <w:pPr>
              <w:pStyle w:val="Liste"/>
              <w:rPr>
                <w:lang w:val="en-GB"/>
              </w:rPr>
            </w:pPr>
            <w:r w:rsidRPr="006A6D19">
              <w:rPr>
                <w:lang w:val="en-GB"/>
              </w:rPr>
              <w:t>The report identifies Norway’s main structural challenges: consumption footprint, material resources, climate, biodiversity, waste management, housing, health, labour market inclusion, and the international effects of domestic policies.</w:t>
            </w:r>
          </w:p>
          <w:p w14:paraId="2F4A843A" w14:textId="77777777" w:rsidR="00D64CF7" w:rsidRPr="006A6D19" w:rsidRDefault="00D64CF7" w:rsidP="001609FA">
            <w:pPr>
              <w:pStyle w:val="avsnitt-tittel"/>
              <w:rPr>
                <w:lang w:val="en-GB"/>
              </w:rPr>
            </w:pPr>
            <w:r w:rsidRPr="006A6D19">
              <w:rPr>
                <w:lang w:val="en-GB"/>
              </w:rPr>
              <w:t>Key weaknesses</w:t>
            </w:r>
          </w:p>
          <w:p w14:paraId="58BF8474" w14:textId="77777777" w:rsidR="00D64CF7" w:rsidRPr="006A6D19" w:rsidRDefault="00D64CF7" w:rsidP="001609FA">
            <w:pPr>
              <w:pStyle w:val="Liste"/>
              <w:rPr>
                <w:lang w:val="en-GB"/>
              </w:rPr>
            </w:pPr>
            <w:r w:rsidRPr="006A6D19">
              <w:rPr>
                <w:lang w:val="en-GB"/>
              </w:rPr>
              <w:t>The report remains too descriptive. It presents many mechanisms, plans, White Papers, and institutions but insufficiently analyses their outcomes. It would be beneficial to move from “what Norway has put in place” to “what this has produced, for whom, and with what limitations.”</w:t>
            </w:r>
          </w:p>
          <w:p w14:paraId="464938BF" w14:textId="77777777" w:rsidR="00D64CF7" w:rsidRPr="006A6D19" w:rsidRDefault="00D64CF7" w:rsidP="001609FA">
            <w:pPr>
              <w:pStyle w:val="Liste"/>
              <w:rPr>
                <w:lang w:val="en-GB"/>
              </w:rPr>
            </w:pPr>
            <w:r w:rsidRPr="006A6D19">
              <w:rPr>
                <w:lang w:val="en-GB"/>
              </w:rPr>
              <w:t>Prioritisation remains weak. The report states that several targets require additional efforts, but it does not clearly translate this diagnosis into political priorities for 2026–2030.</w:t>
            </w:r>
          </w:p>
          <w:p w14:paraId="0212D2BA" w14:textId="77777777" w:rsidR="00D64CF7" w:rsidRPr="006A6D19" w:rsidRDefault="00D64CF7" w:rsidP="001609FA">
            <w:pPr>
              <w:pStyle w:val="Liste"/>
              <w:rPr>
                <w:lang w:val="en-GB"/>
              </w:rPr>
            </w:pPr>
            <w:r w:rsidRPr="006A6D19">
              <w:rPr>
                <w:lang w:val="en-GB"/>
              </w:rPr>
              <w:t>Trade-offs are acknowledged but not sufficiently addressed. In this respect, the report refers to compromises between climate, energy, industry, biodiversity, security, employment, and consumption, but it does not say enough about how these conflicts will be resolved politically.</w:t>
            </w:r>
          </w:p>
          <w:p w14:paraId="272AED28" w14:textId="77777777" w:rsidR="00D64CF7" w:rsidRPr="006A6D19" w:rsidRDefault="00D64CF7" w:rsidP="001609FA">
            <w:pPr>
              <w:pStyle w:val="Liste"/>
              <w:rPr>
                <w:lang w:val="en-GB"/>
              </w:rPr>
            </w:pPr>
            <w:r w:rsidRPr="006A6D19">
              <w:rPr>
                <w:lang w:val="en-GB"/>
              </w:rPr>
              <w:t>Contributions from civil society are rich but sometimes juxtaposed. The report would benefit from adding a short government response after each critical contribution: agreement, disagreement, planned measures, and points for further examination.</w:t>
            </w:r>
          </w:p>
          <w:p w14:paraId="5C2415C7" w14:textId="34D8EB3B" w:rsidR="00D64CF7" w:rsidRPr="006A6D19" w:rsidRDefault="00D64CF7" w:rsidP="00C53CF7">
            <w:pPr>
              <w:pStyle w:val="Liste"/>
              <w:rPr>
                <w:lang w:val="en-GB"/>
              </w:rPr>
            </w:pPr>
            <w:r w:rsidRPr="006A6D19">
              <w:rPr>
                <w:lang w:val="en-GB"/>
              </w:rPr>
              <w:t>Lessons learned since the 2021 VNR are not sufficiently visible. A third VNR should clearly show what Norway has learned from its previous report, which recommendations were followed, which were not, and why.</w:t>
            </w:r>
          </w:p>
        </w:tc>
      </w:tr>
    </w:tbl>
    <w:p w14:paraId="00CDB558" w14:textId="77777777" w:rsidR="008A5841" w:rsidRPr="006A6D19" w:rsidRDefault="008A5841" w:rsidP="001609FA">
      <w:pPr>
        <w:rPr>
          <w:lang w:val="en-GB"/>
        </w:rPr>
      </w:pPr>
    </w:p>
    <w:tbl>
      <w:tblPr>
        <w:tblStyle w:val="StandardBoks"/>
        <w:tblW w:w="5000" w:type="pct"/>
        <w:tblLook w:val="04A0" w:firstRow="1" w:lastRow="0" w:firstColumn="1" w:lastColumn="0" w:noHBand="0" w:noVBand="1"/>
      </w:tblPr>
      <w:tblGrid>
        <w:gridCol w:w="10466"/>
      </w:tblGrid>
      <w:tr w:rsidR="00000000" w:rsidRPr="006A6D19" w14:paraId="6DE2417D" w14:textId="77777777" w:rsidTr="008F7045">
        <w:trPr>
          <w:trHeight w:val="8192"/>
        </w:trPr>
        <w:tc>
          <w:tcPr>
            <w:tcW w:w="5000" w:type="pct"/>
          </w:tcPr>
          <w:p w14:paraId="6EB2989A" w14:textId="77777777" w:rsidR="008A5841" w:rsidRPr="006A6D19" w:rsidRDefault="008A5841" w:rsidP="00B765C1">
            <w:pPr>
              <w:pStyle w:val="UnOverskrift3"/>
              <w:rPr>
                <w:lang w:val="en-GB"/>
              </w:rPr>
            </w:pPr>
            <w:r w:rsidRPr="006A6D19">
              <w:rPr>
                <w:lang w:val="en-GB"/>
              </w:rPr>
              <w:lastRenderedPageBreak/>
              <w:t>Tanzania’</w:t>
            </w:r>
            <w:r w:rsidRPr="006A6D19">
              <w:rPr>
                <w:lang w:val="en-GB"/>
              </w:rPr>
              <w:t>s Main Message from the Peer Dialogue</w:t>
            </w:r>
          </w:p>
          <w:p w14:paraId="54954F85" w14:textId="77777777" w:rsidR="008A5841" w:rsidRPr="006A6D19" w:rsidRDefault="008A5841" w:rsidP="001609FA">
            <w:pPr>
              <w:rPr>
                <w:lang w:val="en-GB"/>
              </w:rPr>
            </w:pPr>
            <w:r w:rsidRPr="006A6D19">
              <w:rPr>
                <w:rStyle w:val="kursiv"/>
                <w:lang w:val="en-GB"/>
              </w:rPr>
              <w:t>The following text is written by the Tanzanian National Planning Commission.</w:t>
            </w:r>
          </w:p>
          <w:p w14:paraId="7F188531" w14:textId="77777777" w:rsidR="008A5841" w:rsidRPr="006A6D19" w:rsidRDefault="008A5841" w:rsidP="001609FA">
            <w:pPr>
              <w:pStyle w:val="avsnitt-tittel"/>
              <w:rPr>
                <w:lang w:val="en-GB"/>
              </w:rPr>
            </w:pPr>
            <w:r w:rsidRPr="006A6D19">
              <w:rPr>
                <w:lang w:val="en-GB"/>
              </w:rPr>
              <w:t>Appreciation and overall assessment</w:t>
            </w:r>
          </w:p>
          <w:p w14:paraId="6ABAADDF" w14:textId="77777777" w:rsidR="008A5841" w:rsidRPr="006A6D19" w:rsidRDefault="008A5841" w:rsidP="001609FA">
            <w:pPr>
              <w:rPr>
                <w:lang w:val="en-GB"/>
              </w:rPr>
            </w:pPr>
            <w:r w:rsidRPr="006A6D19">
              <w:rPr>
                <w:lang w:val="en-GB"/>
              </w:rPr>
              <w:t>Tanzania commends Norway for preparing a comprehensive, transparent and evidence-based VNR 2026. The decision to assess all 169 SDG targets, integrate independent civil society assessments, and openly acknowledge areas with negative trends reflects a mature accountability culture. Norway’s strong governance systems, whole-of-government coordination, and use of high-quality data offer useful lessons for SDG implementation and reporting.</w:t>
            </w:r>
          </w:p>
          <w:p w14:paraId="16AD34A2" w14:textId="77777777" w:rsidR="008A5841" w:rsidRPr="006A6D19" w:rsidRDefault="008A5841" w:rsidP="001609FA">
            <w:pPr>
              <w:pStyle w:val="avsnitt-tittel"/>
              <w:rPr>
                <w:lang w:val="en-GB"/>
              </w:rPr>
            </w:pPr>
            <w:r w:rsidRPr="006A6D19">
              <w:rPr>
                <w:lang w:val="en-GB"/>
              </w:rPr>
              <w:t>Areas of peer learning</w:t>
            </w:r>
          </w:p>
          <w:p w14:paraId="0DC8DE8E" w14:textId="77777777" w:rsidR="008A5841" w:rsidRPr="006A6D19" w:rsidRDefault="008A5841" w:rsidP="001609FA">
            <w:pPr>
              <w:rPr>
                <w:lang w:val="en-GB"/>
              </w:rPr>
            </w:pPr>
            <w:r w:rsidRPr="006A6D19">
              <w:rPr>
                <w:lang w:val="en-GB"/>
              </w:rPr>
              <w:t>Tanzania notes strong convergence between Norway’s and Tanzania’s approaches to mainstreaming SDGs into national planning frameworks. Norway’s White Paper and Higher Executive Forum for the SDGs, together with its national SDG indicator work through Statistics Norway, provide relevant lessons for Tanzania’s ongoing efforts through its Five-Year Development Plans, national SDG coordination architecture, National Bureau of Statistics and Office of Chief Government Statistician Zanzibar.</w:t>
            </w:r>
          </w:p>
          <w:p w14:paraId="6E0EADCC" w14:textId="77777777" w:rsidR="008A5841" w:rsidRPr="006A6D19" w:rsidRDefault="008A5841" w:rsidP="001609FA">
            <w:pPr>
              <w:pStyle w:val="avsnitt-tittel"/>
              <w:rPr>
                <w:lang w:val="en-GB"/>
              </w:rPr>
            </w:pPr>
            <w:r w:rsidRPr="006A6D19">
              <w:rPr>
                <w:lang w:val="en-GB"/>
              </w:rPr>
              <w:t>Areas for deeper reflection</w:t>
            </w:r>
          </w:p>
          <w:p w14:paraId="442E5E80" w14:textId="77777777" w:rsidR="008A5841" w:rsidRPr="006A6D19" w:rsidRDefault="008A5841" w:rsidP="001609FA">
            <w:pPr>
              <w:rPr>
                <w:lang w:val="en-GB"/>
              </w:rPr>
            </w:pPr>
            <w:r w:rsidRPr="006A6D19">
              <w:rPr>
                <w:lang w:val="en-GB"/>
              </w:rPr>
              <w:t>While Norway demonstrates strong domestic performance, the VNR could further deepen analysis of its global footprint, particularly on climate change, consumption patterns and international spillover effects. Tanzania also encourages stronger reflection on the participation of migrants, vulnerable groups and marginalised communities in policy processes, in line with the principle of Leaving No One Behind.</w:t>
            </w:r>
          </w:p>
          <w:p w14:paraId="41EC23D9" w14:textId="77777777" w:rsidR="008A5841" w:rsidRPr="006A6D19" w:rsidRDefault="008A5841" w:rsidP="001609FA">
            <w:pPr>
              <w:pStyle w:val="avsnitt-tittel"/>
              <w:rPr>
                <w:lang w:val="en-GB"/>
              </w:rPr>
            </w:pPr>
            <w:r w:rsidRPr="006A6D19">
              <w:rPr>
                <w:lang w:val="en-GB"/>
              </w:rPr>
              <w:t>Opportunities for partnership</w:t>
            </w:r>
          </w:p>
          <w:p w14:paraId="1B282363" w14:textId="77777777" w:rsidR="008A5841" w:rsidRPr="006A6D19" w:rsidRDefault="008A5841" w:rsidP="001609FA">
            <w:pPr>
              <w:pStyle w:val="Liste"/>
              <w:rPr>
                <w:lang w:val="en-GB"/>
              </w:rPr>
            </w:pPr>
            <w:r w:rsidRPr="006A6D19">
              <w:rPr>
                <w:lang w:val="en-GB"/>
              </w:rPr>
              <w:t xml:space="preserve">Tanzania welcomes opportunities for practical cooperation in youth participation, employment, vocational training, renewable energy, climate investment and blue economy development. Norway’s experience through </w:t>
            </w:r>
            <w:proofErr w:type="spellStart"/>
            <w:r w:rsidRPr="006A6D19">
              <w:rPr>
                <w:lang w:val="en-GB"/>
              </w:rPr>
              <w:t>Norfund</w:t>
            </w:r>
            <w:proofErr w:type="spellEnd"/>
            <w:r w:rsidRPr="006A6D19">
              <w:rPr>
                <w:lang w:val="en-GB"/>
              </w:rPr>
              <w:t xml:space="preserve">, the Climate Investment Fund, Fish for Development and Ocean for Development </w:t>
            </w:r>
            <w:proofErr w:type="gramStart"/>
            <w:r w:rsidRPr="006A6D19">
              <w:rPr>
                <w:lang w:val="en-GB"/>
              </w:rPr>
              <w:t>provides</w:t>
            </w:r>
            <w:proofErr w:type="gramEnd"/>
            <w:r w:rsidRPr="006A6D19">
              <w:rPr>
                <w:lang w:val="en-GB"/>
              </w:rPr>
              <w:t xml:space="preserve"> a strong basis for structured partnership with Tanzania, grounded in mutual accountability and shared ambition</w:t>
            </w:r>
            <w:r w:rsidRPr="006A6D19">
              <w:rPr>
                <w:lang w:val="en-GB"/>
              </w:rPr>
              <w:t>.</w:t>
            </w:r>
          </w:p>
        </w:tc>
      </w:tr>
    </w:tbl>
    <w:p w14:paraId="1BF73EEA" w14:textId="77777777" w:rsidR="008A5841" w:rsidRPr="006A6D19" w:rsidRDefault="008A5841" w:rsidP="001609FA">
      <w:pPr>
        <w:rPr>
          <w:lang w:val="en-GB"/>
        </w:rPr>
      </w:pPr>
    </w:p>
    <w:tbl>
      <w:tblPr>
        <w:tblStyle w:val="StandardBoks"/>
        <w:tblW w:w="5000" w:type="pct"/>
        <w:tblLook w:val="04A0" w:firstRow="1" w:lastRow="0" w:firstColumn="1" w:lastColumn="0" w:noHBand="0" w:noVBand="1"/>
      </w:tblPr>
      <w:tblGrid>
        <w:gridCol w:w="10466"/>
      </w:tblGrid>
      <w:tr w:rsidR="00000000" w:rsidRPr="006A6D19" w14:paraId="22566B02" w14:textId="77777777" w:rsidTr="008F7045">
        <w:trPr>
          <w:trHeight w:val="5499"/>
        </w:trPr>
        <w:tc>
          <w:tcPr>
            <w:tcW w:w="5000" w:type="pct"/>
          </w:tcPr>
          <w:p w14:paraId="77355D10" w14:textId="77777777" w:rsidR="008A5841" w:rsidRPr="006A6D19" w:rsidRDefault="008A5841" w:rsidP="00B765C1">
            <w:pPr>
              <w:pStyle w:val="UnOverskrift3"/>
              <w:rPr>
                <w:lang w:val="en-GB"/>
              </w:rPr>
            </w:pPr>
            <w:r w:rsidRPr="006A6D19">
              <w:rPr>
                <w:lang w:val="en-GB"/>
              </w:rPr>
              <w:lastRenderedPageBreak/>
              <w:t>Youth’s Main Message from the Peer Dialogue</w:t>
            </w:r>
          </w:p>
          <w:p w14:paraId="554028A5" w14:textId="3241CCA4" w:rsidR="008A5841" w:rsidRPr="006A6D19" w:rsidRDefault="008A5841" w:rsidP="001609FA">
            <w:pPr>
              <w:rPr>
                <w:lang w:val="en-GB"/>
              </w:rPr>
            </w:pPr>
            <w:r w:rsidRPr="006A6D19">
              <w:rPr>
                <w:rStyle w:val="kursiv"/>
                <w:lang w:val="en-GB"/>
              </w:rPr>
              <w:t>The following text is written by The Norwegian Children and Youth Coun</w:t>
            </w:r>
            <w:r w:rsidRPr="006A6D19">
              <w:rPr>
                <w:rStyle w:val="kursiv"/>
                <w:lang w:val="en-GB"/>
              </w:rPr>
              <w:t>cil (LNU)</w:t>
            </w:r>
          </w:p>
          <w:p w14:paraId="19642945" w14:textId="77777777" w:rsidR="008A5841" w:rsidRPr="006A6D19" w:rsidRDefault="008A5841" w:rsidP="001609FA">
            <w:pPr>
              <w:rPr>
                <w:lang w:val="en-GB"/>
              </w:rPr>
            </w:pPr>
            <w:r w:rsidRPr="006A6D19">
              <w:rPr>
                <w:lang w:val="en-GB"/>
              </w:rPr>
              <w:t>We appreciate how LNU and Norwegian youth have been prioritised in the preparation of this report. There has been a clear effort to ensure that young perspectives have been present throughout the making of the final VNR report. It is positive that children and young people are recognised as important stakeholders and that youth perspectives are reflected in several parts of the document. This is essential for the effective implementation of the SDGs, as progress depends on the meaningful inclusion of youth</w:t>
            </w:r>
            <w:r w:rsidRPr="006A6D19">
              <w:rPr>
                <w:lang w:val="en-GB"/>
              </w:rPr>
              <w:t xml:space="preserve"> in their implementation. We believe this report and its focus on youth can provide a strong foundation for continued work towards a society more in line with the SDGs.</w:t>
            </w:r>
          </w:p>
          <w:p w14:paraId="3290020D" w14:textId="610147DB" w:rsidR="008A5841" w:rsidRPr="006A6D19" w:rsidRDefault="008A5841" w:rsidP="001609FA">
            <w:pPr>
              <w:rPr>
                <w:lang w:val="en-GB"/>
              </w:rPr>
            </w:pPr>
            <w:r w:rsidRPr="006A6D19">
              <w:rPr>
                <w:lang w:val="en-GB"/>
              </w:rPr>
              <w:t>At the same time, the focus on youth in this report should be accompanied by a shift from ambition to more</w:t>
            </w:r>
            <w:r w:rsidR="001609FA" w:rsidRPr="006A6D19">
              <w:rPr>
                <w:lang w:val="en-GB"/>
              </w:rPr>
              <w:t xml:space="preserve"> </w:t>
            </w:r>
            <w:r w:rsidRPr="006A6D19">
              <w:rPr>
                <w:lang w:val="en-GB"/>
              </w:rPr>
              <w:t>formalised and predictable structures for youth participation. Youth participation must become a consistent and integrated part of policymaking. Youth should be involved not only in consultation processes, but also when priorities are set, measures are developed, and decisions are made. The formalisation of meaningful youth participation across decision-making processes should thus be an area of focus moving forward.</w:t>
            </w:r>
          </w:p>
          <w:p w14:paraId="59AB7939" w14:textId="77777777" w:rsidR="008A5841" w:rsidRPr="006A6D19" w:rsidRDefault="008A5841" w:rsidP="001609FA">
            <w:pPr>
              <w:rPr>
                <w:lang w:val="en-GB"/>
              </w:rPr>
            </w:pPr>
            <w:r w:rsidRPr="006A6D19">
              <w:rPr>
                <w:lang w:val="en-GB"/>
              </w:rPr>
              <w:t xml:space="preserve">This is particularly important because the report points to continuing challenges in areas </w:t>
            </w:r>
            <w:r w:rsidRPr="006A6D19">
              <w:rPr>
                <w:lang w:val="en-GB"/>
              </w:rPr>
              <w:t xml:space="preserve">such as climate, inequality, consumption, and mental health, all of which are of significant concern to youth. </w:t>
            </w:r>
            <w:proofErr w:type="gramStart"/>
            <w:r w:rsidRPr="006A6D19">
              <w:rPr>
                <w:lang w:val="en-GB"/>
              </w:rPr>
              <w:t>In order to</w:t>
            </w:r>
            <w:proofErr w:type="gramEnd"/>
            <w:r w:rsidRPr="006A6D19">
              <w:rPr>
                <w:lang w:val="en-GB"/>
              </w:rPr>
              <w:t xml:space="preserve"> maintain youth engagement, faster and more visible action in the policy areas that matter most to us should be prioritised. This includes demonstrating concrete progress on climate and </w:t>
            </w:r>
            <w:proofErr w:type="gramStart"/>
            <w:r w:rsidRPr="006A6D19">
              <w:rPr>
                <w:lang w:val="en-GB"/>
              </w:rPr>
              <w:t>inequality,</w:t>
            </w:r>
            <w:proofErr w:type="gramEnd"/>
            <w:r w:rsidRPr="006A6D19">
              <w:rPr>
                <w:lang w:val="en-GB"/>
              </w:rPr>
              <w:t xml:space="preserve"> while making it clearer how young people’s input informs priorities and outcomes.</w:t>
            </w:r>
          </w:p>
        </w:tc>
      </w:tr>
    </w:tbl>
    <w:p w14:paraId="56AB5A94" w14:textId="45290FDB" w:rsidR="008A5841" w:rsidRPr="006A6D19" w:rsidRDefault="008A5841" w:rsidP="001609FA">
      <w:pPr>
        <w:rPr>
          <w:lang w:val="en-GB"/>
        </w:rPr>
      </w:pPr>
    </w:p>
    <w:p w14:paraId="06BEC30D" w14:textId="77777777" w:rsidR="008A5841" w:rsidRPr="006A6D19" w:rsidRDefault="008A5841" w:rsidP="008F7045">
      <w:pPr>
        <w:pStyle w:val="Overskrift1"/>
        <w:pageBreakBefore/>
        <w:rPr>
          <w:lang w:val="en-GB"/>
        </w:rPr>
      </w:pPr>
      <w:r w:rsidRPr="006A6D19">
        <w:rPr>
          <w:lang w:val="en-GB"/>
        </w:rPr>
        <w:lastRenderedPageBreak/>
        <w:t>Creating Ownership of the SDGs</w:t>
      </w:r>
    </w:p>
    <w:p w14:paraId="14DAB30A" w14:textId="42D6CAA6" w:rsidR="00D64CF7" w:rsidRPr="006A6D19" w:rsidRDefault="00D64CF7" w:rsidP="00D64CF7">
      <w:pPr>
        <w:rPr>
          <w:lang w:val="en-GB"/>
        </w:rPr>
      </w:pPr>
      <w:r w:rsidRPr="006A6D19">
        <w:rPr>
          <w:noProof/>
          <w:lang w:val="en-GB"/>
        </w:rPr>
        <w:drawing>
          <wp:inline distT="0" distB="0" distL="0" distR="0" wp14:anchorId="59DEBDC4" wp14:editId="72DE9FFC">
            <wp:extent cx="6638925" cy="1962150"/>
            <wp:effectExtent l="0" t="0" r="9525" b="0"/>
            <wp:docPr id="597934801" name="Bilde 34" descr="Decorative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934801" name="Bilde 34" descr="Decorative illustrati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38925" cy="1962150"/>
                    </a:xfrm>
                    <a:prstGeom prst="rect">
                      <a:avLst/>
                    </a:prstGeom>
                    <a:noFill/>
                    <a:ln>
                      <a:noFill/>
                    </a:ln>
                  </pic:spPr>
                </pic:pic>
              </a:graphicData>
            </a:graphic>
          </wp:inline>
        </w:drawing>
      </w:r>
    </w:p>
    <w:p w14:paraId="5F4D70AF" w14:textId="77777777" w:rsidR="008A5841" w:rsidRPr="006A6D19" w:rsidRDefault="008A5841" w:rsidP="00B765C1">
      <w:pPr>
        <w:pStyle w:val="Overskrift2"/>
        <w:rPr>
          <w:lang w:val="en-GB"/>
        </w:rPr>
      </w:pPr>
      <w:r w:rsidRPr="006A6D19">
        <w:rPr>
          <w:lang w:val="en-GB"/>
        </w:rPr>
        <w:t xml:space="preserve">Whole-of-Government Approach </w:t>
      </w:r>
    </w:p>
    <w:p w14:paraId="38E8D4CC" w14:textId="77777777" w:rsidR="008A5841" w:rsidRPr="006A6D19" w:rsidRDefault="008A5841" w:rsidP="001609FA">
      <w:pPr>
        <w:pStyle w:val="Overskrift3"/>
        <w:rPr>
          <w:lang w:val="en-GB"/>
        </w:rPr>
      </w:pPr>
      <w:r w:rsidRPr="006A6D19">
        <w:rPr>
          <w:lang w:val="en-GB"/>
        </w:rPr>
        <w:t>Governmental Implementation and Coordination</w:t>
      </w:r>
    </w:p>
    <w:p w14:paraId="57386D2D" w14:textId="77777777" w:rsidR="008A5841" w:rsidRPr="006A6D19" w:rsidRDefault="008A5841" w:rsidP="001609FA">
      <w:pPr>
        <w:rPr>
          <w:lang w:val="en-GB"/>
        </w:rPr>
      </w:pPr>
      <w:r w:rsidRPr="006A6D19">
        <w:rPr>
          <w:lang w:val="en-GB"/>
        </w:rPr>
        <w:t>Responsibility for the implementation and achievement of the Sustainable Development Goals rests with national governments. Each country is required to adapt the Goals to its national context by identifying country-specific challenges, setting national targets, and integrating the SDGs into national policies, plans, and strategies.</w:t>
      </w:r>
    </w:p>
    <w:p w14:paraId="2AC133BC" w14:textId="77777777" w:rsidR="008A5841" w:rsidRPr="006A6D19" w:rsidRDefault="008A5841" w:rsidP="001609FA">
      <w:pPr>
        <w:rPr>
          <w:lang w:val="en-GB"/>
        </w:rPr>
      </w:pPr>
      <w:r w:rsidRPr="006A6D19">
        <w:rPr>
          <w:lang w:val="en-GB"/>
        </w:rPr>
        <w:t>Since the adoption of the 2030 Agenda in 2015, the Government’s approach has been to mainstream the SDGs into ordinary policy development rather than treating them as a separate policy domain. This strengthens ownership, enhances awareness of our shared challenges, and supports a more coherent and effective implementation.</w:t>
      </w:r>
    </w:p>
    <w:p w14:paraId="50EA8BB6" w14:textId="77777777" w:rsidR="008A5841" w:rsidRPr="006A6D19" w:rsidRDefault="008A5841" w:rsidP="001609FA">
      <w:pPr>
        <w:rPr>
          <w:lang w:val="en-GB"/>
        </w:rPr>
      </w:pPr>
      <w:r w:rsidRPr="006A6D19">
        <w:rPr>
          <w:lang w:val="en-GB"/>
        </w:rPr>
        <w:t>The Ministry of Digitalisation and Public Governance is responsible for the national coordination on the SDGs, while the Ministry of Foreign Affairs has the overall responsibility for Norway’s international engagement related to the Goals. Responsibility for the 17 SDGs is shared among 12 ministries, each tasked with coordinating and following up on one or more goals within their area of responsibility. To support effective coordination, an interministerial administrative network on the SDGs has been estab</w:t>
      </w:r>
      <w:r w:rsidRPr="006A6D19">
        <w:rPr>
          <w:lang w:val="en-GB"/>
        </w:rPr>
        <w:t>lished. All ministries participate in this network, which serves as a platform for information sharing and cooperation. Key matters related to national SDG implementation are discussed in the network before being submitted to a government conference. The network is chaired by the Ministry of Digitalisation and Public Governance.</w:t>
      </w:r>
    </w:p>
    <w:p w14:paraId="50FEABD8" w14:textId="77777777" w:rsidR="008A5841" w:rsidRPr="006A6D19" w:rsidRDefault="008A5841" w:rsidP="001609FA">
      <w:pPr>
        <w:rPr>
          <w:lang w:val="en-GB"/>
        </w:rPr>
      </w:pPr>
      <w:r w:rsidRPr="006A6D19">
        <w:rPr>
          <w:lang w:val="en-GB"/>
        </w:rPr>
        <w:t xml:space="preserve">Government conferences in Norway are normally held on a weekly basis. All important matters are discussed in a government conference before a formal decision is made, either by the </w:t>
      </w:r>
      <w:r w:rsidRPr="006A6D19">
        <w:rPr>
          <w:lang w:val="en-GB"/>
        </w:rPr>
        <w:t>Council of State or in the ministry concerned. This process helps ensure that decisions are anchored across the entire Government. Thus, the government conference is the Government’s most important mechanism for discussion and coordination. While the conclusions reached at government conferences or during the preparation of matters for the Council of State have no formal legal status, they are politically binding for the members of government.</w:t>
      </w:r>
    </w:p>
    <w:p w14:paraId="5513586E" w14:textId="77777777" w:rsidR="008A5841" w:rsidRPr="006A6D19" w:rsidRDefault="008A5841" w:rsidP="001609FA">
      <w:pPr>
        <w:pStyle w:val="Overskrift3"/>
        <w:rPr>
          <w:lang w:val="en-GB"/>
        </w:rPr>
      </w:pPr>
      <w:r w:rsidRPr="006A6D19">
        <w:rPr>
          <w:lang w:val="en-GB"/>
        </w:rPr>
        <w:lastRenderedPageBreak/>
        <w:t>Localising the SDGs in Norwegian Municipalities</w:t>
      </w:r>
    </w:p>
    <w:p w14:paraId="6234616E" w14:textId="77777777" w:rsidR="008A5841" w:rsidRPr="006A6D19" w:rsidRDefault="008A5841" w:rsidP="001609FA">
      <w:pPr>
        <w:rPr>
          <w:lang w:val="en-GB"/>
        </w:rPr>
      </w:pPr>
      <w:r w:rsidRPr="006A6D19">
        <w:rPr>
          <w:lang w:val="en-GB"/>
        </w:rPr>
        <w:t>Local and regional authorities constitute an integrated component of Norway’</w:t>
      </w:r>
      <w:r w:rsidRPr="006A6D19">
        <w:rPr>
          <w:lang w:val="en-GB"/>
        </w:rPr>
        <w:t>s multi-level system of governance. Within this model, the primary responsibility for delivering welfare services to citizens rests with local and regional authorities. The scope and quality of these services are defined through legislation and public budgets adopted by parliament. Consultation and dialogue between different levels of government are central to policy development and legislative processes. For the past two decades, the Government has systematically consulted local and regional authorities th</w:t>
      </w:r>
      <w:r w:rsidRPr="006A6D19">
        <w:rPr>
          <w:lang w:val="en-GB"/>
        </w:rPr>
        <w:t>rough their representative association.</w:t>
      </w:r>
    </w:p>
    <w:p w14:paraId="0E8AA144" w14:textId="77777777" w:rsidR="008A5841" w:rsidRPr="006A6D19" w:rsidRDefault="008A5841" w:rsidP="001609FA">
      <w:pPr>
        <w:rPr>
          <w:lang w:val="en-GB"/>
        </w:rPr>
      </w:pPr>
      <w:r w:rsidRPr="006A6D19">
        <w:rPr>
          <w:lang w:val="en-GB"/>
        </w:rPr>
        <w:t>Local and regional authorities play a particularly important role in implementing the SDGs. As the level of government closest to citizens, the private sector and civil society they are well positioned to translate global goals into concrete local action. Localising the SDGs is therefore an important strategy for the Government and ensuring that local and regional authorities have the necessary tools, competencies and resources to implement the SDGs.</w:t>
      </w:r>
    </w:p>
    <w:p w14:paraId="77595B2E" w14:textId="77777777" w:rsidR="008A5841" w:rsidRPr="006A6D19" w:rsidRDefault="008A5841" w:rsidP="001609FA">
      <w:pPr>
        <w:rPr>
          <w:lang w:val="en-GB"/>
        </w:rPr>
      </w:pPr>
      <w:r w:rsidRPr="006A6D19">
        <w:rPr>
          <w:lang w:val="en-GB"/>
        </w:rPr>
        <w:t>In May 2025, the government appointed a commission tasked with proposing changes to the state’s governance of the municipal sector. The objective is to facilitate sound use of resources, more flexible deployment of personnel, and more efficient execution of municipal responsibilities.</w:t>
      </w:r>
    </w:p>
    <w:p w14:paraId="3A0BFDBB" w14:textId="77777777" w:rsidR="008A5841" w:rsidRPr="006A6D19" w:rsidRDefault="008A5841" w:rsidP="001609FA">
      <w:pPr>
        <w:rPr>
          <w:lang w:val="en-GB"/>
        </w:rPr>
      </w:pPr>
      <w:r w:rsidRPr="006A6D19">
        <w:rPr>
          <w:lang w:val="en-GB"/>
        </w:rPr>
        <w:t>The Planning and Building Act is one of the most important governance tools for local and regional authorities. Planning is intended to ensure transparency, predictability and public participation for all affected stakeholders and authorities. Emphasis is placed on long-term solutions, and all decisions on societal and spatial planning must include assessments of environmental and social impacts. The Government has revised the Central Government Planning Guidelines for climate and energy as well as for lan</w:t>
      </w:r>
      <w:r w:rsidRPr="006A6D19">
        <w:rPr>
          <w:lang w:val="en-GB"/>
        </w:rPr>
        <w:t>d use and mobility. The guidelines are designed to support municipalities and county authorities in working systematically with climate challenges and sustainable land use, and to provide clearer directions for planning under the Planning and Building Act. They are also intended to contribute to Norway’s targets. Biodiversity and the circular economy are highlighted among the new and important themes in climate-related planning efforts.</w:t>
      </w:r>
    </w:p>
    <w:p w14:paraId="7911B8E2" w14:textId="21547A49" w:rsidR="008A5841" w:rsidRPr="006A6D19" w:rsidRDefault="008A5841" w:rsidP="001609FA">
      <w:pPr>
        <w:rPr>
          <w:lang w:val="en-GB"/>
        </w:rPr>
      </w:pPr>
      <w:r w:rsidRPr="006A6D19">
        <w:rPr>
          <w:lang w:val="en-GB"/>
        </w:rPr>
        <w:t>The Norwegian Association of Local and Regional Authorities (KS) play a</w:t>
      </w:r>
      <w:r w:rsidRPr="006A6D19">
        <w:rPr>
          <w:lang w:val="en-GB"/>
        </w:rPr>
        <w:t xml:space="preserve">n active role in national dialogue on sustainable development. KS participates in the </w:t>
      </w:r>
      <w:r w:rsidRPr="006A6D19">
        <w:rPr>
          <w:lang w:val="en-GB"/>
        </w:rPr>
        <w:t>Norwegian delegation to the High-Level Political Forum and works to strengthen local and regional authorities’ role in the follow-up of the 2030 agenda. They work to take the global SDGs set by the United Nations, and to adapt them to local contexts like cites, regions and communities, e.g. localising the SDGs. KS is also a permanent member of the Higher Executive Forum for the SDGs. The Ministry of Digitalisation and Public Government and the Norwegian Association of Local and Regional Authorities have a f</w:t>
      </w:r>
      <w:r w:rsidRPr="006A6D19">
        <w:rPr>
          <w:lang w:val="en-GB"/>
        </w:rPr>
        <w:t>ormal cooperation agreement covering innovation and sustainable development. Inter-regional cooperation also takes place at the Nordic level, and in 2024 a Nordic Voluntary Subnational review was presented.</w:t>
      </w:r>
    </w:p>
    <w:tbl>
      <w:tblPr>
        <w:tblStyle w:val="StandardBoks"/>
        <w:tblW w:w="5000" w:type="pct"/>
        <w:tblLook w:val="04A0" w:firstRow="1" w:lastRow="0" w:firstColumn="1" w:lastColumn="0" w:noHBand="0" w:noVBand="1"/>
      </w:tblPr>
      <w:tblGrid>
        <w:gridCol w:w="10466"/>
      </w:tblGrid>
      <w:tr w:rsidR="00000000" w:rsidRPr="006A6D19" w14:paraId="0ABB5BE7" w14:textId="77777777" w:rsidTr="001609FA">
        <w:trPr>
          <w:trHeight w:val="4575"/>
        </w:trPr>
        <w:tc>
          <w:tcPr>
            <w:tcW w:w="5000" w:type="pct"/>
          </w:tcPr>
          <w:p w14:paraId="37EEC105" w14:textId="77777777" w:rsidR="008A5841" w:rsidRPr="006A6D19" w:rsidRDefault="008A5841" w:rsidP="00B765C1">
            <w:pPr>
              <w:pStyle w:val="avsnitt-undertittel"/>
              <w:rPr>
                <w:lang w:val="en-GB"/>
              </w:rPr>
            </w:pPr>
            <w:r w:rsidRPr="006A6D19">
              <w:rPr>
                <w:lang w:val="en-GB"/>
              </w:rPr>
              <w:lastRenderedPageBreak/>
              <w:t>The National Sustainability Network</w:t>
            </w:r>
          </w:p>
          <w:p w14:paraId="5D6FADAA" w14:textId="77777777" w:rsidR="008A5841" w:rsidRPr="006A6D19" w:rsidRDefault="008A5841" w:rsidP="001609FA">
            <w:pPr>
              <w:rPr>
                <w:lang w:val="en-GB"/>
              </w:rPr>
            </w:pPr>
            <w:r w:rsidRPr="006A6D19">
              <w:rPr>
                <w:lang w:val="en-GB"/>
              </w:rPr>
              <w:t>KS coordinates a network consisting of municipalities and regional governments which are frontrunners in working with the SDGs. The network aims to enhance competencies and capabilities, develop methods for analysing and evaluating local and regional SDG efforts, facilitate local and regional SDG data utilisation in governance mechanisms, bolster citizen involvement, and promote sustainable public procurement. Together with KS they produce monthly webinar series called “</w:t>
            </w:r>
            <w:hyperlink r:id="rId14" w:history="1">
              <w:r w:rsidRPr="006A6D19">
                <w:rPr>
                  <w:rStyle w:val="Hyperkobling"/>
                  <w:lang w:val="en-GB"/>
                </w:rPr>
                <w:t>Sustainability Fridays</w:t>
              </w:r>
            </w:hyperlink>
            <w:r w:rsidRPr="006A6D19">
              <w:rPr>
                <w:lang w:val="en-GB"/>
              </w:rPr>
              <w:t>“ since 2020. The webinars cover a broad range of sustainability topics and offer opportunities for peer learning, exchanging experiences and discussion of sustainability challenges. The webinar series attracts a broad audience from government, municipalities, academia and other sectors.</w:t>
            </w:r>
          </w:p>
          <w:p w14:paraId="20662C39" w14:textId="77777777" w:rsidR="008A5841" w:rsidRPr="006A6D19" w:rsidRDefault="008A5841" w:rsidP="001609FA">
            <w:pPr>
              <w:pStyle w:val="Kilde"/>
              <w:rPr>
                <w:lang w:val="en-GB"/>
              </w:rPr>
            </w:pPr>
            <w:r w:rsidRPr="006A6D19">
              <w:rPr>
                <w:lang w:val="en-GB"/>
              </w:rPr>
              <w:t xml:space="preserve">Source: KS, </w:t>
            </w:r>
            <w:hyperlink r:id="rId15" w:history="1">
              <w:r w:rsidRPr="006A6D19">
                <w:rPr>
                  <w:rStyle w:val="Hyperkobling"/>
                  <w:lang w:val="en-GB"/>
                </w:rPr>
                <w:t>Sustainability Network</w:t>
              </w:r>
            </w:hyperlink>
          </w:p>
        </w:tc>
      </w:tr>
    </w:tbl>
    <w:p w14:paraId="50C1748C" w14:textId="77777777" w:rsidR="008A5841" w:rsidRPr="006A6D19" w:rsidRDefault="008A5841" w:rsidP="001609FA">
      <w:pPr>
        <w:rPr>
          <w:lang w:val="en-GB"/>
        </w:rPr>
      </w:pPr>
    </w:p>
    <w:tbl>
      <w:tblPr>
        <w:tblStyle w:val="StandardBoks"/>
        <w:tblW w:w="5000" w:type="pct"/>
        <w:tblLook w:val="04A0" w:firstRow="1" w:lastRow="0" w:firstColumn="1" w:lastColumn="0" w:noHBand="0" w:noVBand="1"/>
      </w:tblPr>
      <w:tblGrid>
        <w:gridCol w:w="10466"/>
      </w:tblGrid>
      <w:tr w:rsidR="00000000" w:rsidRPr="006A6D19" w14:paraId="0A1EF26B" w14:textId="77777777" w:rsidTr="001609FA">
        <w:trPr>
          <w:trHeight w:val="60"/>
        </w:trPr>
        <w:tc>
          <w:tcPr>
            <w:tcW w:w="5000" w:type="pct"/>
          </w:tcPr>
          <w:p w14:paraId="28A11194" w14:textId="77777777" w:rsidR="008A5841" w:rsidRPr="006A6D19" w:rsidRDefault="008A5841" w:rsidP="00B765C1">
            <w:pPr>
              <w:pStyle w:val="avsnitt-undertittel"/>
              <w:rPr>
                <w:lang w:val="en-GB"/>
              </w:rPr>
            </w:pPr>
            <w:r w:rsidRPr="006A6D19">
              <w:rPr>
                <w:lang w:val="en-GB"/>
              </w:rPr>
              <w:t>Nordic Voluntary Subnational Review</w:t>
            </w:r>
          </w:p>
          <w:p w14:paraId="462C11C3" w14:textId="77777777" w:rsidR="008A5841" w:rsidRPr="006A6D19" w:rsidRDefault="008A5841" w:rsidP="001609FA">
            <w:pPr>
              <w:rPr>
                <w:lang w:val="en-GB"/>
              </w:rPr>
            </w:pPr>
            <w:r w:rsidRPr="006A6D19">
              <w:rPr>
                <w:lang w:val="en-GB"/>
              </w:rPr>
              <w:t xml:space="preserve">“The Nordic View on Sustainability – Learnings from the Local Level” a Nordic Voluntary Subnational Review (VSR) is the first cross-national report of its kind in the world, published in 2024 and presented at HLPF. It was developed as a joint venture by the Nordic Associations of Local and Regional Governments (the LRGAs) and </w:t>
            </w:r>
            <w:proofErr w:type="spellStart"/>
            <w:r w:rsidRPr="006A6D19">
              <w:rPr>
                <w:lang w:val="en-GB"/>
              </w:rPr>
              <w:t>Nordregio</w:t>
            </w:r>
            <w:proofErr w:type="spellEnd"/>
            <w:r w:rsidRPr="006A6D19">
              <w:rPr>
                <w:lang w:val="en-GB"/>
              </w:rPr>
              <w:t>, and with funding from the Nordic Council of Ministers. The aim of the report was to highlight how the Nordic municipalities and regional authorities have localised the SDGs – progress made, as well as obstacles they have met in their work.</w:t>
            </w:r>
          </w:p>
          <w:p w14:paraId="23B24C1E" w14:textId="77777777" w:rsidR="008A5841" w:rsidRPr="006A6D19" w:rsidRDefault="008A5841" w:rsidP="001609FA">
            <w:pPr>
              <w:pStyle w:val="Kilde"/>
              <w:rPr>
                <w:lang w:val="en-GB"/>
              </w:rPr>
            </w:pPr>
            <w:r w:rsidRPr="006A6D19">
              <w:rPr>
                <w:lang w:val="en-GB"/>
              </w:rPr>
              <w:t xml:space="preserve">Source: </w:t>
            </w:r>
            <w:proofErr w:type="spellStart"/>
            <w:r w:rsidRPr="006A6D19">
              <w:rPr>
                <w:lang w:val="en-GB"/>
              </w:rPr>
              <w:t>Nordregio</w:t>
            </w:r>
            <w:proofErr w:type="spellEnd"/>
            <w:r w:rsidRPr="006A6D19">
              <w:rPr>
                <w:lang w:val="en-GB"/>
              </w:rPr>
              <w:t xml:space="preserve">, </w:t>
            </w:r>
            <w:hyperlink r:id="rId16" w:history="1">
              <w:r w:rsidRPr="006A6D19">
                <w:rPr>
                  <w:rStyle w:val="Hyperkobling"/>
                  <w:lang w:val="en-GB"/>
                </w:rPr>
                <w:t>The Nordic View on Sustainability – Learnings from the Local Level</w:t>
              </w:r>
            </w:hyperlink>
            <w:r w:rsidRPr="006A6D19">
              <w:rPr>
                <w:lang w:val="en-GB"/>
              </w:rPr>
              <w:t>, 2024</w:t>
            </w:r>
          </w:p>
        </w:tc>
      </w:tr>
    </w:tbl>
    <w:p w14:paraId="6046AC57" w14:textId="77777777" w:rsidR="008A5841" w:rsidRPr="006A6D19" w:rsidRDefault="008A5841" w:rsidP="001609FA">
      <w:pPr>
        <w:rPr>
          <w:lang w:val="en-GB"/>
        </w:rPr>
      </w:pPr>
    </w:p>
    <w:p w14:paraId="124E6BA9" w14:textId="77777777" w:rsidR="008A5841" w:rsidRPr="006A6D19" w:rsidRDefault="008A5841" w:rsidP="001609FA">
      <w:pPr>
        <w:pStyle w:val="Overskrift3"/>
        <w:rPr>
          <w:lang w:val="en-GB"/>
        </w:rPr>
      </w:pPr>
      <w:r w:rsidRPr="006A6D19">
        <w:rPr>
          <w:lang w:val="en-GB"/>
        </w:rPr>
        <w:t>The Norwegian Parliament’s Role in the Implementation of the 2030 Agenda</w:t>
      </w:r>
    </w:p>
    <w:p w14:paraId="6584F501" w14:textId="77777777" w:rsidR="008A5841" w:rsidRPr="006A6D19" w:rsidRDefault="008A5841" w:rsidP="001609FA">
      <w:pPr>
        <w:rPr>
          <w:lang w:val="en-GB"/>
        </w:rPr>
      </w:pPr>
      <w:r w:rsidRPr="006A6D19">
        <w:rPr>
          <w:lang w:val="en-GB"/>
        </w:rPr>
        <w:t>The Norwegian Parliament, the Storting, represents the people and exercises legislative authority. It adopts legislation, authorise public expenditure, levies taxes, and supervises and holds the Government and public administration to account.</w:t>
      </w:r>
    </w:p>
    <w:p w14:paraId="38B8138F" w14:textId="77777777" w:rsidR="008A5841" w:rsidRPr="006A6D19" w:rsidRDefault="008A5841" w:rsidP="001609FA">
      <w:pPr>
        <w:rPr>
          <w:lang w:val="en-GB"/>
        </w:rPr>
      </w:pPr>
      <w:r w:rsidRPr="006A6D19">
        <w:rPr>
          <w:lang w:val="en-GB"/>
        </w:rPr>
        <w:t>Parliamentary committees address matters related to the 2030 Agenda through their ordinary committee work. The Storting has 12 standing committees, each responsible for specific policy areas. The Standing Committee on Scrutiny and Constitutional Affairs reviews and submits recommendations on matters concerning supervision of the Government. Members of the Storting may also seek additional information through questions and interpellations to the Government.</w:t>
      </w:r>
    </w:p>
    <w:p w14:paraId="08D339E2" w14:textId="77777777" w:rsidR="008A5841" w:rsidRPr="006A6D19" w:rsidRDefault="008A5841" w:rsidP="001609FA">
      <w:pPr>
        <w:rPr>
          <w:lang w:val="en-GB"/>
        </w:rPr>
      </w:pPr>
      <w:r w:rsidRPr="006A6D19">
        <w:rPr>
          <w:lang w:val="en-GB"/>
        </w:rPr>
        <w:lastRenderedPageBreak/>
        <w:t>The Office of the Auditor General is the most important supervisory body. It audits the activities of the national administration to ensure that the State assets are managed according to sound financial principles and in line with the decisions and intentions of the Storting.</w:t>
      </w:r>
    </w:p>
    <w:p w14:paraId="2A6039EB" w14:textId="77777777" w:rsidR="008A5841" w:rsidRPr="006A6D19" w:rsidRDefault="008A5841" w:rsidP="001609FA">
      <w:pPr>
        <w:pStyle w:val="Overskrift3"/>
        <w:rPr>
          <w:lang w:val="en-GB"/>
        </w:rPr>
      </w:pPr>
      <w:r w:rsidRPr="006A6D19">
        <w:rPr>
          <w:lang w:val="en-GB"/>
        </w:rPr>
        <w:t>Consultation with the Sami Parliament</w:t>
      </w:r>
    </w:p>
    <w:p w14:paraId="489AA34B" w14:textId="77777777" w:rsidR="008A5841" w:rsidRPr="006A6D19" w:rsidRDefault="008A5841" w:rsidP="001609FA">
      <w:pPr>
        <w:rPr>
          <w:lang w:val="en-GB"/>
        </w:rPr>
      </w:pPr>
      <w:r w:rsidRPr="006A6D19">
        <w:rPr>
          <w:lang w:val="en-GB"/>
        </w:rPr>
        <w:t xml:space="preserve">The </w:t>
      </w:r>
      <w:proofErr w:type="spellStart"/>
      <w:r w:rsidRPr="006A6D19">
        <w:rPr>
          <w:lang w:val="en-GB"/>
        </w:rPr>
        <w:t>Sámediggi</w:t>
      </w:r>
      <w:proofErr w:type="spellEnd"/>
      <w:r w:rsidRPr="006A6D19">
        <w:rPr>
          <w:lang w:val="en-GB"/>
        </w:rPr>
        <w:t>, the Sami Parliament, is consulted on matters that may directly affect Sami interest, also when measures to achieve the SDGs are developed.</w:t>
      </w:r>
    </w:p>
    <w:p w14:paraId="6F77538D" w14:textId="77777777" w:rsidR="008A5841" w:rsidRPr="006A6D19" w:rsidRDefault="008A5841" w:rsidP="001609FA">
      <w:pPr>
        <w:rPr>
          <w:lang w:val="en-GB"/>
        </w:rPr>
      </w:pPr>
      <w:r w:rsidRPr="006A6D19">
        <w:rPr>
          <w:lang w:val="en-GB"/>
        </w:rPr>
        <w:t>Formal rules for consultations have been in place by agreement since 2005 and were codified in the Sami Act in 2021. The provisions in the law track closely with the requirements in ILO Convention No. 169, and the UN Declaration on Indigenous Peoples’ Rights. The relevant articles state an obligation, on the state, to good-faith consultations (and cooperation)</w:t>
      </w:r>
      <w:r w:rsidRPr="006A6D19">
        <w:rPr>
          <w:lang w:val="en-GB"/>
        </w:rPr>
        <w:t>, carried out with a real and substantive effort to reach agreement or consent.</w:t>
      </w:r>
    </w:p>
    <w:p w14:paraId="4FCD4A39" w14:textId="77777777" w:rsidR="008A5841" w:rsidRPr="006A6D19" w:rsidRDefault="008A5841" w:rsidP="001609FA">
      <w:pPr>
        <w:rPr>
          <w:lang w:val="en-GB"/>
        </w:rPr>
      </w:pPr>
      <w:r w:rsidRPr="006A6D19">
        <w:rPr>
          <w:lang w:val="en-GB"/>
        </w:rPr>
        <w:t>The duty to consult applies to the Government and its ministries, as well as directorates and other subordinate state agencies or activities. The obligation also applies to the municipalities and county municipalities.</w:t>
      </w:r>
    </w:p>
    <w:p w14:paraId="11A54C3E" w14:textId="77777777" w:rsidR="008A5841" w:rsidRPr="006A6D19" w:rsidRDefault="008A5841" w:rsidP="001609FA">
      <w:pPr>
        <w:pStyle w:val="Overskrift2"/>
        <w:rPr>
          <w:lang w:val="en-GB"/>
        </w:rPr>
      </w:pPr>
      <w:r w:rsidRPr="006A6D19">
        <w:rPr>
          <w:lang w:val="en-GB"/>
        </w:rPr>
        <w:t>Whole-of-Society Approach</w:t>
      </w:r>
    </w:p>
    <w:p w14:paraId="0D6AB0B5" w14:textId="77777777" w:rsidR="008A5841" w:rsidRPr="006A6D19" w:rsidRDefault="008A5841" w:rsidP="001609FA">
      <w:pPr>
        <w:pStyle w:val="Overskrift3"/>
        <w:rPr>
          <w:lang w:val="en-GB"/>
        </w:rPr>
      </w:pPr>
      <w:r w:rsidRPr="006A6D19">
        <w:rPr>
          <w:lang w:val="en-GB"/>
        </w:rPr>
        <w:t xml:space="preserve">Inclusive Governance and Stakeholder Engagement </w:t>
      </w:r>
    </w:p>
    <w:p w14:paraId="5109BC7C" w14:textId="77777777" w:rsidR="008A5841" w:rsidRPr="006A6D19" w:rsidRDefault="008A5841" w:rsidP="001609FA">
      <w:pPr>
        <w:rPr>
          <w:lang w:val="en-GB"/>
        </w:rPr>
      </w:pPr>
      <w:r w:rsidRPr="006A6D19">
        <w:rPr>
          <w:lang w:val="en-GB"/>
        </w:rPr>
        <w:t>The public sector cannot achieve the Sustainable Development Goals on its own. A key factor in the implementation of the 2030 Agenda is the active involvement and mobilisation of all actors, including citizens, towards a shared effort.</w:t>
      </w:r>
    </w:p>
    <w:p w14:paraId="7D90CBBE" w14:textId="77777777" w:rsidR="008A5841" w:rsidRPr="006A6D19" w:rsidRDefault="008A5841" w:rsidP="001609FA">
      <w:pPr>
        <w:rPr>
          <w:lang w:val="en-GB"/>
        </w:rPr>
      </w:pPr>
      <w:r w:rsidRPr="006A6D19">
        <w:rPr>
          <w:lang w:val="en-GB"/>
        </w:rPr>
        <w:t xml:space="preserve">To support coherent and cross sectoral implementation of the 2030 Agenda, the Government established </w:t>
      </w:r>
      <w:hyperlink r:id="rId17" w:history="1">
        <w:r w:rsidRPr="006A6D19">
          <w:rPr>
            <w:rStyle w:val="Hyperkobling"/>
            <w:lang w:val="en-GB"/>
          </w:rPr>
          <w:t>The Higher Executive Forum for the SDGs</w:t>
        </w:r>
      </w:hyperlink>
      <w:r w:rsidRPr="006A6D19">
        <w:rPr>
          <w:lang w:val="en-GB"/>
        </w:rPr>
        <w:t xml:space="preserve"> in 2022. The Forum serves as a high-level platform for dialogue and collaboration between government, the private sector, civil society, the labour market parties, farmers union, academia and the municipal sector. Its purpose is to develop a shared knowledge base and a common understanding of interlinkages, trade-offs and synergies across the SDGs.</w:t>
      </w:r>
    </w:p>
    <w:p w14:paraId="36E52B0A" w14:textId="77777777" w:rsidR="008A5841" w:rsidRPr="006A6D19" w:rsidRDefault="008A5841" w:rsidP="001609FA">
      <w:pPr>
        <w:rPr>
          <w:lang w:val="en-GB"/>
        </w:rPr>
      </w:pPr>
      <w:r w:rsidRPr="006A6D19">
        <w:rPr>
          <w:lang w:val="en-GB"/>
        </w:rPr>
        <w:t>During the initial preparation of Norway’s most recent White Paper on the Sustainable Development Goals (Meld. St. 35 (2024–2025)), the Forum provided input and</w:t>
      </w:r>
      <w:r w:rsidRPr="006A6D19">
        <w:rPr>
          <w:lang w:val="en-GB"/>
        </w:rPr>
        <w:t xml:space="preserve"> commented on a draft of the White Paper, supporting early-stage dialogue, policy coherence and inclusive stakeholder engagement.</w:t>
      </w:r>
    </w:p>
    <w:p w14:paraId="10B0F195" w14:textId="77777777" w:rsidR="008A5841" w:rsidRPr="006A6D19" w:rsidRDefault="008A5841" w:rsidP="001609FA">
      <w:pPr>
        <w:rPr>
          <w:lang w:val="en-GB"/>
        </w:rPr>
      </w:pPr>
      <w:r w:rsidRPr="006A6D19">
        <w:rPr>
          <w:lang w:val="en-GB"/>
        </w:rPr>
        <w:t>In 2025, the Forum was evaluated with a view to strengthening its effectiveness and contribution to intensified SDG implementation towards 2030. Further work to refine and strengthen the Forum is ongoing and is expected to be concluded in 2026. As part of the preparation of this VNR, the Forum has shared their perspectives on progress and challenges through a joint Message to the</w:t>
      </w:r>
      <w:r w:rsidRPr="006A6D19">
        <w:rPr>
          <w:lang w:val="en-GB"/>
        </w:rPr>
        <w:t xml:space="preserve"> Government, which is included in chapter 7.</w:t>
      </w:r>
    </w:p>
    <w:p w14:paraId="6F309786" w14:textId="77777777" w:rsidR="008A5841" w:rsidRPr="006A6D19" w:rsidRDefault="008A5841" w:rsidP="001609FA">
      <w:pPr>
        <w:rPr>
          <w:lang w:val="en-GB"/>
        </w:rPr>
      </w:pPr>
      <w:r w:rsidRPr="006A6D19">
        <w:rPr>
          <w:lang w:val="en-GB"/>
        </w:rPr>
        <w:lastRenderedPageBreak/>
        <w:t xml:space="preserve">Public consultation is an established and integral part of policy development in Norway, ensuring that stakeholders and citizens can provide input on proposed policies prior to adoption. To further strengthen public participation in sustainability policymaking, Norway established its first </w:t>
      </w:r>
      <w:hyperlink r:id="rId18" w:history="1">
        <w:r w:rsidRPr="006A6D19">
          <w:rPr>
            <w:rStyle w:val="Hyperkobling"/>
            <w:lang w:val="en-GB"/>
          </w:rPr>
          <w:t>National Citizens’ Panel in 2024</w:t>
        </w:r>
      </w:hyperlink>
      <w:r w:rsidRPr="006A6D19">
        <w:rPr>
          <w:lang w:val="en-GB"/>
        </w:rPr>
        <w:t>. The panel addressed persistently high levels of material consumption, identified as a key challenge to achieving the SDGs, particularly Goal</w:t>
      </w:r>
      <w:r w:rsidRPr="006A6D19">
        <w:rPr>
          <w:rFonts w:ascii="Arial" w:hAnsi="Arial" w:cs="Arial"/>
          <w:lang w:val="en-GB"/>
        </w:rPr>
        <w:t> </w:t>
      </w:r>
      <w:r w:rsidRPr="006A6D19">
        <w:rPr>
          <w:lang w:val="en-GB"/>
        </w:rPr>
        <w:t>12 on responsible consumption and production.</w:t>
      </w:r>
    </w:p>
    <w:p w14:paraId="3631EAF0" w14:textId="77777777" w:rsidR="008A5841" w:rsidRPr="006A6D19" w:rsidRDefault="008A5841" w:rsidP="001609FA">
      <w:pPr>
        <w:rPr>
          <w:lang w:val="en-GB"/>
        </w:rPr>
      </w:pPr>
      <w:r w:rsidRPr="006A6D19">
        <w:rPr>
          <w:lang w:val="en-GB"/>
        </w:rPr>
        <w:t>The panel was established to strengthen inclusive public participation in sustainability policymaking and to integrate citizens’ perspectives into the development of fair, effective and socially legitimate measures to reduce overconsumption while maintaining a high quality of life. In the context of complex sustainability transitions, the initiative also sought to sustain and reinforce public trust through transparency, informed public debate and dialogue</w:t>
      </w:r>
      <w:r w:rsidRPr="006A6D19">
        <w:rPr>
          <w:lang w:val="en-GB"/>
        </w:rPr>
        <w:noBreakHyphen/>
        <w:t>based participation between citizens and public authorities, thereby strengthening democratic resilience.</w:t>
      </w:r>
    </w:p>
    <w:p w14:paraId="340ECB63" w14:textId="77777777" w:rsidR="008A5841" w:rsidRPr="006A6D19" w:rsidRDefault="008A5841" w:rsidP="001609FA">
      <w:pPr>
        <w:rPr>
          <w:lang w:val="en-GB"/>
        </w:rPr>
      </w:pPr>
      <w:r w:rsidRPr="006A6D19">
        <w:rPr>
          <w:lang w:val="en-GB"/>
        </w:rPr>
        <w:t>In February 2025, the panel submitted its recommendations to the Government. The Government committed to a formal review and response to the recommendations, which were subsequently incorporated into Norway’s White Paper on the national follow-up of the SDGs, adopted by Parliament in March 2026.</w:t>
      </w:r>
    </w:p>
    <w:tbl>
      <w:tblPr>
        <w:tblStyle w:val="StandardBoks"/>
        <w:tblW w:w="5000" w:type="pct"/>
        <w:tblLook w:val="04A0" w:firstRow="1" w:lastRow="0" w:firstColumn="1" w:lastColumn="0" w:noHBand="0" w:noVBand="1"/>
      </w:tblPr>
      <w:tblGrid>
        <w:gridCol w:w="10466"/>
      </w:tblGrid>
      <w:tr w:rsidR="00000000" w:rsidRPr="006A6D19" w14:paraId="7919C42C" w14:textId="77777777" w:rsidTr="001609FA">
        <w:trPr>
          <w:trHeight w:val="60"/>
        </w:trPr>
        <w:tc>
          <w:tcPr>
            <w:tcW w:w="5000" w:type="pct"/>
          </w:tcPr>
          <w:p w14:paraId="369D5268" w14:textId="77777777" w:rsidR="008A5841" w:rsidRPr="006A6D19" w:rsidRDefault="008A5841" w:rsidP="00B765C1">
            <w:pPr>
              <w:pStyle w:val="avsnitt-undertittel"/>
              <w:rPr>
                <w:lang w:val="en-GB"/>
              </w:rPr>
            </w:pPr>
            <w:r w:rsidRPr="006A6D19">
              <w:rPr>
                <w:lang w:val="en-GB"/>
              </w:rPr>
              <w:lastRenderedPageBreak/>
              <w:t>Tripartite Cooperation</w:t>
            </w:r>
          </w:p>
          <w:p w14:paraId="4C6F3786" w14:textId="77777777" w:rsidR="008A5841" w:rsidRPr="006A6D19" w:rsidRDefault="008A5841" w:rsidP="001609FA">
            <w:pPr>
              <w:rPr>
                <w:rStyle w:val="kursiv"/>
                <w:lang w:val="en-GB"/>
              </w:rPr>
            </w:pPr>
            <w:r w:rsidRPr="006A6D19">
              <w:rPr>
                <w:rStyle w:val="kursiv"/>
                <w:lang w:val="en-GB"/>
              </w:rPr>
              <w:t>The following is an unedited text written by the Norwegian Confederation of Trade Unions (LO) and the Confederation of Norwegian Enterprise (NHO).</w:t>
            </w:r>
          </w:p>
          <w:p w14:paraId="61B1DE0E" w14:textId="77777777" w:rsidR="008A5841" w:rsidRPr="006A6D19" w:rsidRDefault="008A5841" w:rsidP="001609FA">
            <w:pPr>
              <w:rPr>
                <w:lang w:val="en-GB"/>
              </w:rPr>
            </w:pPr>
            <w:r w:rsidRPr="006A6D19">
              <w:rPr>
                <w:lang w:val="en-GB"/>
              </w:rPr>
              <w:t>In Norway, tripartite cooperation has a long history. Our system of wage formation with centralised collective bargaining between a few strong organisations on the workers’ and employers’ side is an important part of the model. A key feature of the model is what often is referred to as the ‘frontrunner model’ or the ‘pace setting model’ (‘</w:t>
            </w:r>
            <w:proofErr w:type="spellStart"/>
            <w:r w:rsidRPr="006A6D19">
              <w:rPr>
                <w:lang w:val="en-GB"/>
              </w:rPr>
              <w:t>frontfagsmodellen</w:t>
            </w:r>
            <w:proofErr w:type="spellEnd"/>
            <w:r w:rsidRPr="006A6D19">
              <w:rPr>
                <w:lang w:val="en-GB"/>
              </w:rPr>
              <w:t>’). According to this model, the sectors most exposed to foreign competition are the first to negotiate. The pay increase that the parties agree on for these sectors sets the norm for the other sectors, which subsequently start their bargaining.</w:t>
            </w:r>
          </w:p>
          <w:p w14:paraId="7FA098C6" w14:textId="77777777" w:rsidR="008A5841" w:rsidRPr="006A6D19" w:rsidRDefault="008A5841" w:rsidP="001609FA">
            <w:pPr>
              <w:rPr>
                <w:lang w:val="en-GB"/>
              </w:rPr>
            </w:pPr>
            <w:r w:rsidRPr="006A6D19">
              <w:rPr>
                <w:lang w:val="en-GB"/>
              </w:rPr>
              <w:t>The organisations can consider the impact that wage increases have on the level of unemployment, given their size and representativity. The centralised aspect of the negotiations also facilitates a relatively equal distribution of income. Combined w</w:t>
            </w:r>
            <w:r w:rsidRPr="006A6D19">
              <w:rPr>
                <w:lang w:val="en-GB"/>
              </w:rPr>
              <w:t>ith our welfare state, a well-functioning insurance system for the unemployed and strong institutions, the Norwegian model has contributed to a flexible labour market.</w:t>
            </w:r>
          </w:p>
          <w:p w14:paraId="4F11CE07" w14:textId="77777777" w:rsidR="008A5841" w:rsidRPr="006A6D19" w:rsidRDefault="008A5841" w:rsidP="001609FA">
            <w:pPr>
              <w:rPr>
                <w:lang w:val="en-GB"/>
              </w:rPr>
            </w:pPr>
            <w:r w:rsidRPr="006A6D19">
              <w:rPr>
                <w:lang w:val="en-GB"/>
              </w:rPr>
              <w:t xml:space="preserve">Of great importance is also the model’s system for avoiding conflicts and conflict-solving measures when a conflict has arisen. The parties make hard efforts to reach compromises and agreements. The National Mediator and the Labour Court are both additional vitally important institutions that both </w:t>
            </w:r>
            <w:proofErr w:type="gramStart"/>
            <w:r w:rsidRPr="006A6D19">
              <w:rPr>
                <w:lang w:val="en-GB"/>
              </w:rPr>
              <w:t>parties</w:t>
            </w:r>
            <w:proofErr w:type="gramEnd"/>
            <w:r w:rsidRPr="006A6D19">
              <w:rPr>
                <w:lang w:val="en-GB"/>
              </w:rPr>
              <w:t xml:space="preserve"> trust. </w:t>
            </w:r>
            <w:proofErr w:type="gramStart"/>
            <w:r w:rsidRPr="006A6D19">
              <w:rPr>
                <w:lang w:val="en-GB"/>
              </w:rPr>
              <w:t>As long as</w:t>
            </w:r>
            <w:proofErr w:type="gramEnd"/>
            <w:r w:rsidRPr="006A6D19">
              <w:rPr>
                <w:lang w:val="en-GB"/>
              </w:rPr>
              <w:t xml:space="preserve"> a collective agreement is in force, no industrial action (strike or lockout) can take place. This secures predictability and industrial peace for long periods, and makes the system work well. Social dialogue, in particular collective bargaining, has secured influence for the social partners, and it plays an important role in securing decent work for the whole workforce. The Norwegian model has proven its strength in challenging times when the economy has been under pressure. The mo</w:t>
            </w:r>
            <w:r w:rsidRPr="006A6D19">
              <w:rPr>
                <w:lang w:val="en-GB"/>
              </w:rPr>
              <w:t>del has also paved the way for reforms in the welfare system such as the pension system.</w:t>
            </w:r>
          </w:p>
        </w:tc>
      </w:tr>
    </w:tbl>
    <w:p w14:paraId="6C87BFD2" w14:textId="77777777" w:rsidR="008A5841" w:rsidRPr="006A6D19" w:rsidRDefault="008A5841" w:rsidP="001609FA">
      <w:pPr>
        <w:rPr>
          <w:lang w:val="en-GB"/>
        </w:rPr>
      </w:pPr>
    </w:p>
    <w:p w14:paraId="2ED6D499" w14:textId="77777777" w:rsidR="008A5841" w:rsidRPr="006A6D19" w:rsidRDefault="008A5841" w:rsidP="001609FA">
      <w:pPr>
        <w:pStyle w:val="Overskrift3"/>
        <w:rPr>
          <w:lang w:val="en-GB"/>
        </w:rPr>
      </w:pPr>
      <w:r w:rsidRPr="006A6D19">
        <w:rPr>
          <w:lang w:val="en-GB"/>
        </w:rPr>
        <w:t>Civil Society’s Commitment</w:t>
      </w:r>
    </w:p>
    <w:p w14:paraId="02A6CE6C" w14:textId="77777777" w:rsidR="008A5841" w:rsidRPr="006A6D19" w:rsidRDefault="008A5841" w:rsidP="001609FA">
      <w:pPr>
        <w:rPr>
          <w:lang w:val="en-GB"/>
        </w:rPr>
      </w:pPr>
      <w:r w:rsidRPr="006A6D19">
        <w:rPr>
          <w:lang w:val="en-GB"/>
        </w:rPr>
        <w:t>Civil society plays a vital role in advancing the SDGs both through its own initiatives and by shaping political priorities and decision making. Civil society actors contribute significantly to the planning, implementation and review of the SDGs at both national and global levels. In addition to established mechanisms for consultation and cooperation with civil society actors, the Government seeks to create enabling conditions that allow civil society stakeholders to fully utilise their engagement, expertis</w:t>
      </w:r>
      <w:r w:rsidRPr="006A6D19">
        <w:rPr>
          <w:lang w:val="en-GB"/>
        </w:rPr>
        <w:t>e and innovative capacity. Non-Government Organisations (NGOs), trade unions and business organisations continue to demonstrate strong commitment. At the same time, new actors such as social entrepreneurs, start-ups, clusters and networks are emerging as increasingly prominent contributors to sustainable development.</w:t>
      </w:r>
    </w:p>
    <w:p w14:paraId="5449BABB" w14:textId="56C8D57E" w:rsidR="008A5841" w:rsidRPr="006A6D19" w:rsidRDefault="008A5841" w:rsidP="001609FA">
      <w:pPr>
        <w:rPr>
          <w:lang w:val="en-GB"/>
        </w:rPr>
      </w:pPr>
      <w:r w:rsidRPr="006A6D19">
        <w:rPr>
          <w:lang w:val="en-GB"/>
        </w:rPr>
        <w:lastRenderedPageBreak/>
        <w:t xml:space="preserve">Internationally, civil society space is under increasing pressure, with </w:t>
      </w:r>
      <w:proofErr w:type="gramStart"/>
      <w:r w:rsidRPr="006A6D19">
        <w:rPr>
          <w:lang w:val="en-GB"/>
        </w:rPr>
        <w:t>a majority of</w:t>
      </w:r>
      <w:proofErr w:type="gramEnd"/>
      <w:r w:rsidRPr="006A6D19">
        <w:rPr>
          <w:lang w:val="en-GB"/>
        </w:rPr>
        <w:t xml:space="preserve"> people living in contexts where it is restricted or closed. Civil society organisations</w:t>
      </w:r>
      <w:r w:rsidR="001609FA" w:rsidRPr="006A6D19">
        <w:rPr>
          <w:lang w:val="en-GB"/>
        </w:rPr>
        <w:t xml:space="preserve"> </w:t>
      </w:r>
      <w:r w:rsidRPr="006A6D19">
        <w:rPr>
          <w:lang w:val="en-GB"/>
        </w:rPr>
        <w:t>report that their work has become more difficult and dangerous, forcing some organisations to adapt their support or withdraw. New laws and tighter regulations have limited freedom of expression and assembly, increased surveillance and reporting requirements, and made it harder for local civil society to operate and access funding.</w:t>
      </w:r>
    </w:p>
    <w:p w14:paraId="2B8D8C4D" w14:textId="77777777" w:rsidR="008A5841" w:rsidRPr="006A6D19" w:rsidRDefault="008A5841" w:rsidP="001609FA">
      <w:pPr>
        <w:rPr>
          <w:lang w:val="en-GB"/>
        </w:rPr>
      </w:pPr>
      <w:r w:rsidRPr="006A6D19">
        <w:rPr>
          <w:lang w:val="en-GB"/>
        </w:rPr>
        <w:t>The Norwegian development agency (Norad) funds several civil society organisations, both as implementing partners, and as watchdogs monitoring Norway’s follow-up of the SDG agend</w:t>
      </w:r>
      <w:r w:rsidRPr="006A6D19">
        <w:rPr>
          <w:lang w:val="en-GB"/>
        </w:rPr>
        <w:t xml:space="preserve">a. The Ministry of Foreign Affairs supports the UN Association of Norway, which carries out public information on the SDGs. From 2024, responsibility for this support was transferred to Norad. </w:t>
      </w:r>
    </w:p>
    <w:p w14:paraId="704C33D2" w14:textId="77777777" w:rsidR="008A5841" w:rsidRPr="006A6D19" w:rsidRDefault="008A5841" w:rsidP="001609FA">
      <w:pPr>
        <w:rPr>
          <w:lang w:val="en-GB"/>
        </w:rPr>
      </w:pPr>
      <w:r w:rsidRPr="006A6D19">
        <w:rPr>
          <w:lang w:val="en-GB"/>
        </w:rPr>
        <w:t xml:space="preserve">In the following several messages from national stakeholders are included to illustrate how a whole-of-society approach contribute to sustainable development in Norway. </w:t>
      </w:r>
    </w:p>
    <w:tbl>
      <w:tblPr>
        <w:tblStyle w:val="StandardBoks"/>
        <w:tblW w:w="5000" w:type="pct"/>
        <w:tblLook w:val="04A0" w:firstRow="1" w:lastRow="0" w:firstColumn="1" w:lastColumn="0" w:noHBand="0" w:noVBand="1"/>
      </w:tblPr>
      <w:tblGrid>
        <w:gridCol w:w="10466"/>
      </w:tblGrid>
      <w:tr w:rsidR="00000000" w:rsidRPr="006A6D19" w14:paraId="7F4046E4" w14:textId="77777777" w:rsidTr="001609FA">
        <w:trPr>
          <w:trHeight w:val="12000"/>
        </w:trPr>
        <w:tc>
          <w:tcPr>
            <w:tcW w:w="5000" w:type="pct"/>
          </w:tcPr>
          <w:p w14:paraId="366CF4ED" w14:textId="77777777" w:rsidR="008A5841" w:rsidRPr="006A6D19" w:rsidRDefault="008A5841" w:rsidP="00B765C1">
            <w:pPr>
              <w:pStyle w:val="avsnitt-tittel"/>
              <w:rPr>
                <w:lang w:val="en-GB"/>
              </w:rPr>
            </w:pPr>
            <w:r w:rsidRPr="006A6D19">
              <w:rPr>
                <w:lang w:val="en-GB"/>
              </w:rPr>
              <w:lastRenderedPageBreak/>
              <w:t>Inclusion of Youth in Norwegian Political Processes</w:t>
            </w:r>
          </w:p>
          <w:p w14:paraId="0CFD08D5" w14:textId="77777777" w:rsidR="008A5841" w:rsidRPr="006A6D19" w:rsidRDefault="008A5841" w:rsidP="00B765C1">
            <w:pPr>
              <w:rPr>
                <w:rStyle w:val="kursiv"/>
                <w:lang w:val="en-GB"/>
              </w:rPr>
            </w:pPr>
            <w:r w:rsidRPr="006A6D19">
              <w:rPr>
                <w:rStyle w:val="kursiv"/>
                <w:lang w:val="en-GB"/>
              </w:rPr>
              <w:t>The following is an unedited message from The Norwegian Children and Youth Council (LNU).</w:t>
            </w:r>
          </w:p>
          <w:p w14:paraId="624899F6" w14:textId="77777777" w:rsidR="008A5841" w:rsidRPr="006A6D19" w:rsidRDefault="008A5841" w:rsidP="001609FA">
            <w:pPr>
              <w:rPr>
                <w:lang w:val="en-GB"/>
              </w:rPr>
            </w:pPr>
            <w:r w:rsidRPr="006A6D19">
              <w:rPr>
                <w:lang w:val="en-GB"/>
              </w:rPr>
              <w:t>Ensuring meaningful youth inclusion in political processes is essential for a democratic and forward</w:t>
            </w:r>
            <w:r w:rsidRPr="006A6D19">
              <w:rPr>
                <w:lang w:val="en-GB"/>
              </w:rPr>
              <w:noBreakHyphen/>
            </w:r>
            <w:r w:rsidRPr="006A6D19">
              <w:rPr>
                <w:lang w:val="en-GB"/>
              </w:rPr>
              <w:t>looking Norway. Young people make up a significant part of society, yet many political structures still aren’t built to address our experiences, priorities, or concerns. Although Norway has strong democratic traditions, youth involvement remains inconsistent and often dependent on individual politicians or temporary initiatives. For political decisions to be legitimate and future</w:t>
            </w:r>
            <w:r w:rsidRPr="006A6D19">
              <w:rPr>
                <w:lang w:val="en-GB"/>
              </w:rPr>
              <w:noBreakHyphen/>
              <w:t>proof, youth participation must be strengthened, formalised, and recognised as a necessity, not an optional add</w:t>
            </w:r>
            <w:r w:rsidRPr="006A6D19">
              <w:rPr>
                <w:lang w:val="en-GB"/>
              </w:rPr>
              <w:noBreakHyphen/>
              <w:t>on.</w:t>
            </w:r>
          </w:p>
          <w:p w14:paraId="16475041" w14:textId="77777777" w:rsidR="008A5841" w:rsidRPr="006A6D19" w:rsidRDefault="008A5841" w:rsidP="001609FA">
            <w:pPr>
              <w:rPr>
                <w:lang w:val="en-GB"/>
              </w:rPr>
            </w:pPr>
            <w:r w:rsidRPr="006A6D19">
              <w:rPr>
                <w:lang w:val="en-GB"/>
              </w:rPr>
              <w:t>Across the co</w:t>
            </w:r>
            <w:r w:rsidRPr="006A6D19">
              <w:rPr>
                <w:lang w:val="en-GB"/>
              </w:rPr>
              <w:t>untry we are already contributing to social change. Democratic youth organisations and national youth structures help connect these efforts, but our influence still varies. Meaningful youth participation requires that young people are included in defining the problems, shaping the processes, and influencing the solutions. It means that methods, timelines, and arenas must be adapted to the realities of young people, not the other way around. Too often, we are invited into processes only after key decisions h</w:t>
            </w:r>
            <w:r w:rsidRPr="006A6D19">
              <w:rPr>
                <w:lang w:val="en-GB"/>
              </w:rPr>
              <w:t>ave been made, or our perspectives are reduced to symbolic feedback. Real youth inclusion requires more than consultation, it requires genuine power</w:t>
            </w:r>
            <w:r w:rsidRPr="006A6D19">
              <w:rPr>
                <w:lang w:val="en-GB"/>
              </w:rPr>
              <w:noBreakHyphen/>
              <w:t>sharing.</w:t>
            </w:r>
          </w:p>
          <w:p w14:paraId="48DE97F1" w14:textId="77777777" w:rsidR="008A5841" w:rsidRPr="006A6D19" w:rsidRDefault="008A5841" w:rsidP="001609FA">
            <w:pPr>
              <w:rPr>
                <w:lang w:val="en-GB"/>
              </w:rPr>
            </w:pPr>
            <w:r w:rsidRPr="006A6D19">
              <w:rPr>
                <w:lang w:val="en-GB"/>
              </w:rPr>
              <w:t>Institutionalised mechanisms are essential to ensure that progress is long</w:t>
            </w:r>
            <w:r w:rsidRPr="006A6D19">
              <w:rPr>
                <w:lang w:val="en-GB"/>
              </w:rPr>
              <w:noBreakHyphen/>
              <w:t>term, not temporary. The UN Youth Delegates and other formal representation systems must be protected, expanded, and adequately funded. Another promising development is the growing recognition of youth as partners across sectors, including LNU’s involvement in the Government’s Higher Executive Forum for the SDGs. This is a clear sign that the Government acknowledges that achieving the SDGs requires young people at the table. Complex societal challenges can only be solved through collaboration across genera</w:t>
            </w:r>
            <w:r w:rsidRPr="006A6D19">
              <w:rPr>
                <w:lang w:val="en-GB"/>
              </w:rPr>
              <w:t>tions and sectors; when youth are included alongside leaders from civil society, business, academia, and public administration. It also demonstrates that youth perspectives are relevant not only in “youth policy,” but in the full spectrum of national priorities.</w:t>
            </w:r>
          </w:p>
          <w:p w14:paraId="1E77D996" w14:textId="77777777" w:rsidR="008A5841" w:rsidRPr="006A6D19" w:rsidRDefault="008A5841" w:rsidP="001609FA">
            <w:pPr>
              <w:rPr>
                <w:lang w:val="en-GB"/>
              </w:rPr>
            </w:pPr>
            <w:r w:rsidRPr="006A6D19">
              <w:rPr>
                <w:lang w:val="en-GB"/>
              </w:rPr>
              <w:t>At the same time, youth inclusion must be equitable. Barriers tied to geography, income, disability, or cultural background still prevent many from participating. If Norway is serious about reducing inequality and strengthening democracy, then all y</w:t>
            </w:r>
            <w:r w:rsidRPr="006A6D19">
              <w:rPr>
                <w:lang w:val="en-GB"/>
              </w:rPr>
              <w:t>oung people must be able to contribute, not just those who already know how the system works.</w:t>
            </w:r>
          </w:p>
          <w:p w14:paraId="76E30B95" w14:textId="011B10AA" w:rsidR="008A5841" w:rsidRPr="006A6D19" w:rsidRDefault="008A5841" w:rsidP="001609FA">
            <w:pPr>
              <w:rPr>
                <w:lang w:val="en-GB"/>
              </w:rPr>
            </w:pPr>
            <w:r w:rsidRPr="006A6D19">
              <w:rPr>
                <w:lang w:val="en-GB"/>
              </w:rPr>
              <w:t>Youth are ready to contribute, and we expect political processes that include</w:t>
            </w:r>
            <w:r w:rsidR="001609FA" w:rsidRPr="006A6D19">
              <w:rPr>
                <w:lang w:val="en-GB"/>
              </w:rPr>
              <w:t xml:space="preserve"> </w:t>
            </w:r>
            <w:r w:rsidRPr="006A6D19">
              <w:rPr>
                <w:lang w:val="en-GB"/>
              </w:rPr>
              <w:t>us not to be optional or temporary. If Norway intends to meet the ambitions of the 2030 Agenda, youth participation must be more systematic, youth</w:t>
            </w:r>
            <w:r w:rsidRPr="006A6D19">
              <w:rPr>
                <w:lang w:val="en-GB"/>
              </w:rPr>
              <w:noBreakHyphen/>
              <w:t>driven, and embedded across every level of decision</w:t>
            </w:r>
            <w:r w:rsidRPr="006A6D19">
              <w:rPr>
                <w:lang w:val="en-GB"/>
              </w:rPr>
              <w:noBreakHyphen/>
              <w:t>making.</w:t>
            </w:r>
          </w:p>
        </w:tc>
      </w:tr>
    </w:tbl>
    <w:p w14:paraId="5FEC8B18" w14:textId="77777777" w:rsidR="008A5841" w:rsidRPr="006A6D19" w:rsidRDefault="008A5841" w:rsidP="001609FA">
      <w:pPr>
        <w:rPr>
          <w:lang w:val="en-GB"/>
        </w:rPr>
      </w:pPr>
    </w:p>
    <w:tbl>
      <w:tblPr>
        <w:tblStyle w:val="StandardBoks"/>
        <w:tblW w:w="5000" w:type="pct"/>
        <w:tblLook w:val="0000" w:firstRow="0" w:lastRow="0" w:firstColumn="0" w:lastColumn="0" w:noHBand="0" w:noVBand="0"/>
      </w:tblPr>
      <w:tblGrid>
        <w:gridCol w:w="10466"/>
      </w:tblGrid>
      <w:tr w:rsidR="00D64CF7" w:rsidRPr="006A6D19" w14:paraId="2B843A08" w14:textId="77777777" w:rsidTr="009D63EC">
        <w:trPr>
          <w:trHeight w:val="16855"/>
        </w:trPr>
        <w:tc>
          <w:tcPr>
            <w:tcW w:w="5000" w:type="pct"/>
          </w:tcPr>
          <w:p w14:paraId="10A0F1B6" w14:textId="77777777" w:rsidR="00D64CF7" w:rsidRPr="006A6D19" w:rsidRDefault="00D64CF7" w:rsidP="00B765C1">
            <w:pPr>
              <w:pStyle w:val="avsnitt-tittel"/>
              <w:rPr>
                <w:lang w:val="en-GB"/>
              </w:rPr>
            </w:pPr>
            <w:r w:rsidRPr="006A6D19">
              <w:rPr>
                <w:lang w:val="en-GB"/>
              </w:rPr>
              <w:lastRenderedPageBreak/>
              <w:t>Message to the Government from Organised Labour</w:t>
            </w:r>
          </w:p>
          <w:p w14:paraId="09658C5E" w14:textId="77777777" w:rsidR="00D64CF7" w:rsidRPr="006A6D19" w:rsidRDefault="00D64CF7" w:rsidP="00B765C1">
            <w:pPr>
              <w:rPr>
                <w:rStyle w:val="kursiv"/>
                <w:lang w:val="en-GB"/>
              </w:rPr>
            </w:pPr>
            <w:r w:rsidRPr="006A6D19">
              <w:rPr>
                <w:rStyle w:val="kursiv"/>
                <w:lang w:val="en-GB"/>
              </w:rPr>
              <w:t>The following is an unedited message from the Norwegian Confederation of Trade Unions (LO).</w:t>
            </w:r>
          </w:p>
          <w:p w14:paraId="17C69CEF" w14:textId="77777777" w:rsidR="00D64CF7" w:rsidRPr="006A6D19" w:rsidRDefault="00D64CF7" w:rsidP="001609FA">
            <w:pPr>
              <w:rPr>
                <w:lang w:val="en-GB"/>
              </w:rPr>
            </w:pPr>
            <w:r w:rsidRPr="006A6D19">
              <w:rPr>
                <w:lang w:val="en-GB"/>
              </w:rPr>
              <w:t>Norway has strong traditions of cooperation between the authorities and the social partners. LO wishes to emphasise that this organised cooperation is crucial for high employment, low inequality, and a high level of trust. At the same time, Norway is facing increasing inequality, a shortage of skilled workers, social exclusion, and the need for a just climate transition.</w:t>
            </w:r>
          </w:p>
          <w:p w14:paraId="397F4BCD" w14:textId="77777777" w:rsidR="00D64CF7" w:rsidRPr="006A6D19" w:rsidRDefault="00D64CF7" w:rsidP="001609FA">
            <w:pPr>
              <w:rPr>
                <w:lang w:val="en-GB"/>
              </w:rPr>
            </w:pPr>
            <w:r w:rsidRPr="006A6D19">
              <w:rPr>
                <w:lang w:val="en-GB"/>
              </w:rPr>
              <w:t>To meet climate and energy needs, LO together with NHO took the initiative for the Energy Boost (“</w:t>
            </w:r>
            <w:proofErr w:type="spellStart"/>
            <w:r w:rsidRPr="006A6D19">
              <w:rPr>
                <w:lang w:val="en-GB"/>
              </w:rPr>
              <w:t>Kraftløftet</w:t>
            </w:r>
            <w:proofErr w:type="spellEnd"/>
            <w:r w:rsidRPr="006A6D19">
              <w:rPr>
                <w:lang w:val="en-GB"/>
              </w:rPr>
              <w:t>”) in 2023. This cooperation aims to ensure increased power production, faster grid expansion, and a foundation for new green industry.</w:t>
            </w:r>
          </w:p>
          <w:p w14:paraId="638BBC2E" w14:textId="77777777" w:rsidR="00D64CF7" w:rsidRPr="006A6D19" w:rsidRDefault="00D64CF7" w:rsidP="001609FA">
            <w:pPr>
              <w:rPr>
                <w:lang w:val="en-GB"/>
              </w:rPr>
            </w:pPr>
            <w:r w:rsidRPr="006A6D19">
              <w:rPr>
                <w:lang w:val="en-GB"/>
              </w:rPr>
              <w:t>LO contributes through concrete cooperation schemes. The joint initiatives between LO and Confederation of Norwegian Enterprise (NHO), and between LO and The Federation of Norwegian Enterprise (Virke), are bipartite funding schemes through which enterprises can apply for support for development projects. The funds are used to strengthen cooperation between management and employees, improve the working environment, reduce sick leave, and manage restructuring processes. This makes social dialogue operational at workplace level.</w:t>
            </w:r>
          </w:p>
          <w:p w14:paraId="02BF2035" w14:textId="77777777" w:rsidR="00D64CF7" w:rsidRPr="006A6D19" w:rsidRDefault="00D64CF7" w:rsidP="001609FA">
            <w:pPr>
              <w:rPr>
                <w:lang w:val="en-GB"/>
              </w:rPr>
            </w:pPr>
            <w:r w:rsidRPr="006A6D19">
              <w:rPr>
                <w:lang w:val="en-GB"/>
              </w:rPr>
              <w:t>The IA Agreement (Inclusive Working Life Agreement) is another key instrument. LO, employers, and the authorities cooperate through this agreement to reduce sickness absence and prevent people from dropping out of working life through systematic follow-up in the workplaces.</w:t>
            </w:r>
          </w:p>
          <w:p w14:paraId="79434F84" w14:textId="40E410AC" w:rsidR="00D64CF7" w:rsidRPr="006A6D19" w:rsidRDefault="00D64CF7" w:rsidP="001609FA">
            <w:pPr>
              <w:rPr>
                <w:lang w:val="en-GB"/>
              </w:rPr>
            </w:pPr>
            <w:r w:rsidRPr="006A6D19">
              <w:rPr>
                <w:lang w:val="en-GB"/>
              </w:rPr>
              <w:t>The shortage of skilled workers is a major challenge. LO has therefore prioritised vocational education and training through more apprenticeships, a strengthened apprenticeship scheme, and closer cooperation between schools and working life. The right to continuing and further education is important to ensure that workers can adapt in line with technological developments and new requirements.</w:t>
            </w:r>
          </w:p>
          <w:p w14:paraId="7F1F52D1" w14:textId="77777777" w:rsidR="00D64CF7" w:rsidRPr="006A6D19" w:rsidRDefault="00D64CF7" w:rsidP="001609FA">
            <w:pPr>
              <w:rPr>
                <w:lang w:val="en-GB"/>
              </w:rPr>
            </w:pPr>
            <w:r w:rsidRPr="006A6D19">
              <w:rPr>
                <w:lang w:val="en-GB"/>
              </w:rPr>
              <w:t>Growing economic inequality is another challenge. LO works for collective wage bargaining with low-pay supplements and high collective agreement coverage, combined with strong universal welfare. This helps to keep inequalities down and ensures broad participation.</w:t>
            </w:r>
          </w:p>
          <w:p w14:paraId="6FB92A36" w14:textId="77777777" w:rsidR="00D64CF7" w:rsidRPr="006A6D19" w:rsidRDefault="00D64CF7" w:rsidP="001609FA">
            <w:pPr>
              <w:rPr>
                <w:lang w:val="en-GB"/>
              </w:rPr>
            </w:pPr>
            <w:r w:rsidRPr="006A6D19">
              <w:rPr>
                <w:lang w:val="en-GB"/>
              </w:rPr>
              <w:t xml:space="preserve">Gender equality and inclusion remain challenges. Many women work involuntary </w:t>
            </w:r>
            <w:proofErr w:type="gramStart"/>
            <w:r w:rsidRPr="006A6D19">
              <w:rPr>
                <w:lang w:val="en-GB"/>
              </w:rPr>
              <w:t>part-time,</w:t>
            </w:r>
            <w:proofErr w:type="gramEnd"/>
            <w:r w:rsidRPr="006A6D19">
              <w:rPr>
                <w:lang w:val="en-GB"/>
              </w:rPr>
              <w:t xml:space="preserve"> therefore LO works for full-time and permanent positions and equal pay. At the same time, more women must enter industry and the energy sectors to ensure that the green transition does not exacerbate gender inequalities. Minority women face </w:t>
            </w:r>
            <w:proofErr w:type="gramStart"/>
            <w:r w:rsidRPr="006A6D19">
              <w:rPr>
                <w:lang w:val="en-GB"/>
              </w:rPr>
              <w:t>particular barriers</w:t>
            </w:r>
            <w:proofErr w:type="gramEnd"/>
            <w:r w:rsidRPr="006A6D19">
              <w:rPr>
                <w:lang w:val="en-GB"/>
              </w:rPr>
              <w:t>, and LO advocate for the need for targeted skills development, Norwegian language training, and better access to employment.</w:t>
            </w:r>
          </w:p>
          <w:p w14:paraId="2D95576C" w14:textId="77777777" w:rsidR="00D64CF7" w:rsidRPr="006A6D19" w:rsidRDefault="00D64CF7" w:rsidP="001609FA">
            <w:pPr>
              <w:rPr>
                <w:lang w:val="en-GB"/>
              </w:rPr>
            </w:pPr>
            <w:r w:rsidRPr="006A6D19">
              <w:rPr>
                <w:lang w:val="en-GB"/>
              </w:rPr>
              <w:t>Unlawful and unfair practices in working life are a persistent challenge. Measures supported by LO include mandatory Health Safety and Environment cards on construction sites, joint labour crime centres where several agencies cooperate, and stricter regulation of temporary agency work. Public procurement increasingly includes requirements for wages and working conditions in line with collective agreements.</w:t>
            </w:r>
          </w:p>
          <w:p w14:paraId="5547A32C" w14:textId="77777777" w:rsidR="00D64CF7" w:rsidRPr="006A6D19" w:rsidRDefault="00D64CF7" w:rsidP="001609FA">
            <w:pPr>
              <w:rPr>
                <w:lang w:val="en-GB"/>
              </w:rPr>
            </w:pPr>
            <w:r w:rsidRPr="006A6D19">
              <w:rPr>
                <w:lang w:val="en-GB"/>
              </w:rPr>
              <w:lastRenderedPageBreak/>
              <w:t>LO believes that responsible supply chains are crucial. Companies and public contracting authorities must carry out due diligence assessments in line with the OECD Guidelines and the UN Guiding Principles on Business and Human Rights.</w:t>
            </w:r>
          </w:p>
          <w:p w14:paraId="264E78FD" w14:textId="384BC020" w:rsidR="00D64CF7" w:rsidRPr="006A6D19" w:rsidRDefault="00D64CF7" w:rsidP="001609FA">
            <w:pPr>
              <w:rPr>
                <w:lang w:val="en-GB"/>
              </w:rPr>
            </w:pPr>
            <w:r w:rsidRPr="006A6D19">
              <w:rPr>
                <w:lang w:val="en-GB"/>
              </w:rPr>
              <w:t>LO’s experience is that institutions and cooperation deliver concrete results.</w:t>
            </w:r>
          </w:p>
        </w:tc>
      </w:tr>
    </w:tbl>
    <w:p w14:paraId="4692387D" w14:textId="77777777" w:rsidR="008A5841" w:rsidRPr="006A6D19" w:rsidRDefault="008A5841" w:rsidP="001609FA">
      <w:pPr>
        <w:rPr>
          <w:lang w:val="en-GB"/>
        </w:rPr>
      </w:pPr>
    </w:p>
    <w:p w14:paraId="728DFCC2" w14:textId="77777777" w:rsidR="008A5841" w:rsidRPr="006A6D19" w:rsidRDefault="008A5841" w:rsidP="001609FA">
      <w:pPr>
        <w:rPr>
          <w:lang w:val="en-GB"/>
        </w:rPr>
      </w:pPr>
    </w:p>
    <w:tbl>
      <w:tblPr>
        <w:tblStyle w:val="StandardBoks"/>
        <w:tblW w:w="5000" w:type="pct"/>
        <w:tblLook w:val="0000" w:firstRow="0" w:lastRow="0" w:firstColumn="0" w:lastColumn="0" w:noHBand="0" w:noVBand="0"/>
      </w:tblPr>
      <w:tblGrid>
        <w:gridCol w:w="10466"/>
      </w:tblGrid>
      <w:tr w:rsidR="00D64CF7" w:rsidRPr="006A6D19" w14:paraId="65DE79A5" w14:textId="77777777" w:rsidTr="00D64CF7">
        <w:trPr>
          <w:trHeight w:val="22974"/>
        </w:trPr>
        <w:tc>
          <w:tcPr>
            <w:tcW w:w="5000" w:type="pct"/>
          </w:tcPr>
          <w:p w14:paraId="4C268727" w14:textId="77777777" w:rsidR="00D64CF7" w:rsidRPr="006A6D19" w:rsidRDefault="00D64CF7" w:rsidP="00B765C1">
            <w:pPr>
              <w:pStyle w:val="avsnitt-tittel"/>
              <w:rPr>
                <w:lang w:val="en-GB"/>
              </w:rPr>
            </w:pPr>
            <w:r w:rsidRPr="006A6D19">
              <w:rPr>
                <w:lang w:val="en-GB"/>
              </w:rPr>
              <w:lastRenderedPageBreak/>
              <w:t>Message to the Government from the Norwegian Farmers’ Union</w:t>
            </w:r>
          </w:p>
          <w:p w14:paraId="7D1BB390" w14:textId="77777777" w:rsidR="00D64CF7" w:rsidRPr="006A6D19" w:rsidRDefault="00D64CF7" w:rsidP="00B765C1">
            <w:pPr>
              <w:rPr>
                <w:rStyle w:val="kursiv"/>
                <w:lang w:val="en-GB"/>
              </w:rPr>
            </w:pPr>
            <w:r w:rsidRPr="006A6D19">
              <w:rPr>
                <w:rStyle w:val="kursiv"/>
                <w:lang w:val="en-GB"/>
              </w:rPr>
              <w:t>The following is an unedited message from the Norwegian Farmers’ Union.</w:t>
            </w:r>
          </w:p>
          <w:p w14:paraId="2AC497B2" w14:textId="77777777" w:rsidR="00D64CF7" w:rsidRPr="006A6D19" w:rsidRDefault="00D64CF7" w:rsidP="001609FA">
            <w:pPr>
              <w:pStyle w:val="avsnitt-undertittel"/>
              <w:rPr>
                <w:lang w:val="en-GB"/>
              </w:rPr>
            </w:pPr>
            <w:r w:rsidRPr="006A6D19">
              <w:rPr>
                <w:lang w:val="en-GB"/>
              </w:rPr>
              <w:t>Sustainable Food Production</w:t>
            </w:r>
          </w:p>
          <w:p w14:paraId="52FC4F38" w14:textId="77777777" w:rsidR="00D64CF7" w:rsidRPr="006A6D19" w:rsidRDefault="00D64CF7" w:rsidP="001609FA">
            <w:pPr>
              <w:rPr>
                <w:lang w:val="en-GB"/>
              </w:rPr>
            </w:pPr>
            <w:r w:rsidRPr="006A6D19">
              <w:rPr>
                <w:lang w:val="en-GB"/>
              </w:rPr>
              <w:t>Sustainability is a key concept in Norwegian agriculture. All three dimensions – economic, social, and environmental sustainability – must be emphasised when designing a sustainable food system. The Norwegian Farmers’ Union believes that food must be produced in a way that does not degrade natural resources, safeguards the viability of ecosystems and biodiversity, and contributes to reducing global warming. At the same time, production must be economically sustainable at the farm level and provide a basis for farmers and employees throughout the value chain to earn incomes on par with other groups in society.</w:t>
            </w:r>
          </w:p>
          <w:p w14:paraId="34780317" w14:textId="77777777" w:rsidR="00D64CF7" w:rsidRPr="006A6D19" w:rsidRDefault="00D64CF7" w:rsidP="001609FA">
            <w:pPr>
              <w:rPr>
                <w:lang w:val="en-GB"/>
              </w:rPr>
            </w:pPr>
            <w:r w:rsidRPr="006A6D19">
              <w:rPr>
                <w:lang w:val="en-GB"/>
              </w:rPr>
              <w:t>The global population is expected to reach 9.8 billion by 2050. At the same time, climate change is expected to reduce food production in several regions of the world. Norway is among the countries with the lowest level of food self-sufficiency. Making optimal use of Norway’s agricultural resources to produce sustainable food is therefore an important contribution to global food security. A healthy and sustainable diet should be based on foods that can be produced locally, while also aligning with sound nutritional advice.</w:t>
            </w:r>
          </w:p>
          <w:p w14:paraId="7FE5EA7D" w14:textId="77777777" w:rsidR="00D64CF7" w:rsidRPr="006A6D19" w:rsidRDefault="00D64CF7" w:rsidP="001609FA">
            <w:pPr>
              <w:rPr>
                <w:lang w:val="en-GB"/>
              </w:rPr>
            </w:pPr>
            <w:r w:rsidRPr="006A6D19">
              <w:rPr>
                <w:lang w:val="en-GB"/>
              </w:rPr>
              <w:t xml:space="preserve">Norway’s natural conditions, including abundant rainfall, provide good opportunities for livestock production. About two-thirds of agricultural land is suitable primarily for growing grass. In addition, 45 percent of the total land area consists of high-quality pastures. Only ruminants – such as goats, sheep, and cattle – </w:t>
            </w:r>
            <w:proofErr w:type="gramStart"/>
            <w:r w:rsidRPr="006A6D19">
              <w:rPr>
                <w:lang w:val="en-GB"/>
              </w:rPr>
              <w:t>are able to</w:t>
            </w:r>
            <w:proofErr w:type="gramEnd"/>
            <w:r w:rsidRPr="006A6D19">
              <w:rPr>
                <w:lang w:val="en-GB"/>
              </w:rPr>
              <w:t xml:space="preserve"> convert grass into nutrient-rich food for humans. Grain is grown on almost one-third of agricultural land, but due to climatic limitations, only a small portion reaches food-grade quality. The proportion varies from year to year but averages 15 percent. The remaining 85 percent is used as concentrate feed for pigs, chickens, laying hens, and other livestock.</w:t>
            </w:r>
          </w:p>
          <w:p w14:paraId="3261C050" w14:textId="77777777" w:rsidR="00D64CF7" w:rsidRPr="006A6D19" w:rsidRDefault="00D64CF7" w:rsidP="001609FA">
            <w:pPr>
              <w:rPr>
                <w:lang w:val="en-GB"/>
              </w:rPr>
            </w:pPr>
            <w:r w:rsidRPr="006A6D19">
              <w:rPr>
                <w:lang w:val="en-GB"/>
              </w:rPr>
              <w:t>Vegetables, fruit, berries, and potatoes are grown in the most climatically favourable areas and account for 2.3 percent of agricultural land. There is significant potential to increase production of fruit and vegetables in Norway. Achieving this requires, among other things, strengthened import protection, improved storage quality, and varietal development that meets consumer preferences. Agriculture aims to reduce greenhouse gas emissions and increase carbon sequestration in soil by a total of 5 million tonnes of CO</w:t>
            </w:r>
            <w:r w:rsidRPr="006A6D19">
              <w:rPr>
                <w:rStyle w:val="skrift-senket"/>
                <w:lang w:val="en-GB"/>
              </w:rPr>
              <w:t>2</w:t>
            </w:r>
            <w:r w:rsidRPr="006A6D19">
              <w:rPr>
                <w:lang w:val="en-GB"/>
              </w:rPr>
              <w:t xml:space="preserve"> equivalents by 2030. This will be achieved through improved feeding practices, better animal health, breeding, fossil-free machinery and heating, more efficient fertiliser use, sound agronomy, biogas production, improved soil management, and carbon-smart practices.</w:t>
            </w:r>
          </w:p>
          <w:p w14:paraId="6B1B7D20" w14:textId="77777777" w:rsidR="00D64CF7" w:rsidRPr="006A6D19" w:rsidRDefault="00D64CF7" w:rsidP="001609FA">
            <w:pPr>
              <w:rPr>
                <w:lang w:val="en-GB"/>
              </w:rPr>
            </w:pPr>
            <w:r w:rsidRPr="006A6D19">
              <w:rPr>
                <w:lang w:val="en-GB"/>
              </w:rPr>
              <w:t xml:space="preserve">Norwegian farmers are at the forefront of adopting new technologies that make food production more efficient and environmentally friendly. Nearly 90 percent of new barns are equipped with milking robots, and about half of all milk is now produced in such barns. Electronic monitoring of </w:t>
            </w:r>
            <w:r w:rsidRPr="006A6D19">
              <w:rPr>
                <w:lang w:val="en-GB"/>
              </w:rPr>
              <w:lastRenderedPageBreak/>
              <w:t>livestock on outfield pastures is becoming common, and many farmers use precision technology such as GPS-guided tractors and sensor-based fertilisation and pesticide applications.</w:t>
            </w:r>
          </w:p>
          <w:p w14:paraId="189C1A15" w14:textId="77777777" w:rsidR="00D64CF7" w:rsidRPr="006A6D19" w:rsidRDefault="00D64CF7" w:rsidP="001609FA">
            <w:pPr>
              <w:rPr>
                <w:lang w:val="en-GB"/>
              </w:rPr>
            </w:pPr>
            <w:r w:rsidRPr="006A6D19">
              <w:rPr>
                <w:lang w:val="en-GB"/>
              </w:rPr>
              <w:t>Agriculture is crucial for employment and value creation across the country. Today, three major grocery chains control almost the entire Norwegian grocery market, resulting in limited competition in several parts of the value chain. Strengthening the position of farmers and improving competition is therefore essential. Sustainable Development Goal 17 highlights the need for cooperation between authorities, businesses, and civil society. The Norwegian agricultural model is characterised by close collaboration both within the industry and between the sector and public authorities.</w:t>
            </w:r>
          </w:p>
          <w:p w14:paraId="7B1B6AD5" w14:textId="37A14902" w:rsidR="00D64CF7" w:rsidRPr="006A6D19" w:rsidRDefault="00D64CF7" w:rsidP="001609FA">
            <w:pPr>
              <w:spacing w:after="160"/>
              <w:rPr>
                <w:lang w:val="en-GB"/>
              </w:rPr>
            </w:pPr>
            <w:r w:rsidRPr="006A6D19">
              <w:rPr>
                <w:lang w:val="en-GB"/>
              </w:rPr>
              <w:t>Norwegian agriculture operates under high standards for animal welfare and environmental management and has the potential – with governmental support – to become a world leader in sustainability. Norway benefits from high animal welfare, low greenhouse gas emissions per unit of production, low use of antibiotics and pesticides, abundant access to clean water, and good working conditions across the food value chain. By using local resources to produce food, we can reduce pressure on the global food system and strengthen national preparedness. At the same time, it is essential that agriculture continuously improves its production methods to ensure even more sustainable food production in the future.</w:t>
            </w:r>
          </w:p>
        </w:tc>
      </w:tr>
    </w:tbl>
    <w:p w14:paraId="6A0AA4A9" w14:textId="77777777" w:rsidR="008A5841" w:rsidRPr="006A6D19" w:rsidRDefault="008A5841" w:rsidP="001609FA">
      <w:pPr>
        <w:rPr>
          <w:lang w:val="en-GB"/>
        </w:rPr>
      </w:pPr>
    </w:p>
    <w:tbl>
      <w:tblPr>
        <w:tblStyle w:val="StandardBoks"/>
        <w:tblW w:w="5000" w:type="pct"/>
        <w:tblLook w:val="0000" w:firstRow="0" w:lastRow="0" w:firstColumn="0" w:lastColumn="0" w:noHBand="0" w:noVBand="0"/>
      </w:tblPr>
      <w:tblGrid>
        <w:gridCol w:w="10466"/>
      </w:tblGrid>
      <w:tr w:rsidR="00D64CF7" w:rsidRPr="006A6D19" w14:paraId="44FEA48F" w14:textId="77777777" w:rsidTr="008F7045">
        <w:trPr>
          <w:trHeight w:val="18"/>
        </w:trPr>
        <w:tc>
          <w:tcPr>
            <w:tcW w:w="5000" w:type="pct"/>
          </w:tcPr>
          <w:p w14:paraId="355BE640" w14:textId="77777777" w:rsidR="00D64CF7" w:rsidRPr="006A6D19" w:rsidRDefault="00D64CF7" w:rsidP="00B765C1">
            <w:pPr>
              <w:pStyle w:val="avsnitt-tittel"/>
              <w:rPr>
                <w:lang w:val="en-GB"/>
              </w:rPr>
            </w:pPr>
            <w:r w:rsidRPr="006A6D19">
              <w:rPr>
                <w:lang w:val="en-GB"/>
              </w:rPr>
              <w:lastRenderedPageBreak/>
              <w:t>Message to the Government from Local and Regional Authorities</w:t>
            </w:r>
          </w:p>
          <w:p w14:paraId="219CEC95" w14:textId="77777777" w:rsidR="00D64CF7" w:rsidRPr="006A6D19" w:rsidRDefault="00D64CF7" w:rsidP="00B765C1">
            <w:pPr>
              <w:rPr>
                <w:rStyle w:val="kursiv"/>
                <w:lang w:val="en-GB"/>
              </w:rPr>
            </w:pPr>
            <w:r w:rsidRPr="006A6D19">
              <w:rPr>
                <w:rStyle w:val="kursiv"/>
                <w:lang w:val="en-GB"/>
              </w:rPr>
              <w:t>The following is an unedited message from The Norwegian Association of Local and Regional Authorities (KS).</w:t>
            </w:r>
          </w:p>
          <w:p w14:paraId="1C2CE6F9" w14:textId="77777777" w:rsidR="00D64CF7" w:rsidRPr="006A6D19" w:rsidRDefault="00D64CF7" w:rsidP="001609FA">
            <w:pPr>
              <w:pStyle w:val="avsnitt-undertittel"/>
              <w:rPr>
                <w:lang w:val="en-GB"/>
              </w:rPr>
            </w:pPr>
            <w:r w:rsidRPr="006A6D19">
              <w:rPr>
                <w:lang w:val="en-GB"/>
              </w:rPr>
              <w:t>Key Messages to the Government</w:t>
            </w:r>
          </w:p>
          <w:p w14:paraId="01A5A5F1" w14:textId="77777777" w:rsidR="00D64CF7" w:rsidRPr="006A6D19" w:rsidRDefault="00D64CF7" w:rsidP="001609FA">
            <w:pPr>
              <w:pStyle w:val="Listebombe"/>
              <w:rPr>
                <w:lang w:val="en-GB"/>
              </w:rPr>
            </w:pPr>
            <w:r w:rsidRPr="006A6D19">
              <w:rPr>
                <w:rStyle w:val="halvfet"/>
                <w:lang w:val="en-GB"/>
              </w:rPr>
              <w:t>The 2030 Agenda delivers real value when embedded in local and regional governance</w:t>
            </w:r>
            <w:r w:rsidRPr="006A6D19">
              <w:rPr>
                <w:lang w:val="en-GB"/>
              </w:rPr>
              <w:t>. Norwegian local and regional authorities are working actively to implement, measure and deliver on the SDGs, and are a pivotal part of the Norwegian SDG achievement.</w:t>
            </w:r>
          </w:p>
          <w:p w14:paraId="4ADBCCF7" w14:textId="77777777" w:rsidR="00D64CF7" w:rsidRPr="006A6D19" w:rsidRDefault="00D64CF7" w:rsidP="001609FA">
            <w:pPr>
              <w:pStyle w:val="Listebombe"/>
              <w:rPr>
                <w:lang w:val="en-GB"/>
              </w:rPr>
            </w:pPr>
            <w:r w:rsidRPr="006A6D19">
              <w:rPr>
                <w:rStyle w:val="halvfet"/>
                <w:lang w:val="en-GB"/>
              </w:rPr>
              <w:t xml:space="preserve">The 2030 Agenda remains relevant for local and regional authorities. </w:t>
            </w:r>
            <w:r w:rsidRPr="006A6D19">
              <w:rPr>
                <w:lang w:val="en-GB"/>
              </w:rPr>
              <w:t>No matter what new challenges emerge, economic uncertainty, shifting demographics and technological paradigms, or the accelerating impacts of climate change, the framework continues to offer a relevant framework for the transformation needed for achieving sustainable development</w:t>
            </w:r>
          </w:p>
          <w:p w14:paraId="6D530555" w14:textId="739A3629" w:rsidR="00D64CF7" w:rsidRPr="006A6D19" w:rsidRDefault="00D64CF7" w:rsidP="001609FA">
            <w:pPr>
              <w:pStyle w:val="Listebombe"/>
              <w:rPr>
                <w:lang w:val="en-GB"/>
              </w:rPr>
            </w:pPr>
            <w:r w:rsidRPr="006A6D19">
              <w:rPr>
                <w:rStyle w:val="halvfet"/>
                <w:lang w:val="en-GB"/>
              </w:rPr>
              <w:t>The national government must support local level action</w:t>
            </w:r>
            <w:r w:rsidRPr="006A6D19">
              <w:rPr>
                <w:lang w:val="en-GB"/>
              </w:rPr>
              <w:t xml:space="preserve"> by recognising the pivotal role played by municipalities and regions in driving the sustainability transition. Provide them with the mandate and resources needed to act effectively, while taking into consideration different geographies and socio-economic conditions.</w:t>
            </w:r>
          </w:p>
          <w:p w14:paraId="25007EDF" w14:textId="77777777" w:rsidR="00D64CF7" w:rsidRPr="006A6D19" w:rsidRDefault="00D64CF7" w:rsidP="001609FA">
            <w:pPr>
              <w:pStyle w:val="Listebombe"/>
              <w:rPr>
                <w:lang w:val="en-GB"/>
              </w:rPr>
            </w:pPr>
            <w:r w:rsidRPr="006A6D19">
              <w:rPr>
                <w:rStyle w:val="halvfet"/>
                <w:lang w:val="en-GB"/>
              </w:rPr>
              <w:t>Maintain a holistic approach</w:t>
            </w:r>
            <w:r w:rsidRPr="006A6D19">
              <w:rPr>
                <w:lang w:val="en-GB"/>
              </w:rPr>
              <w:t xml:space="preserve"> to sustainability by addressing the social, economic and environmental aspects of all policy proposals. Ensure policy coherence, synergies, and reduce any negative spill-over effects that arise across sectors. Break down silos and contribute to secure the inter-connection between innovation, digitalisation and sustainable development.</w:t>
            </w:r>
          </w:p>
          <w:p w14:paraId="0559398E" w14:textId="77777777" w:rsidR="00D64CF7" w:rsidRPr="006A6D19" w:rsidRDefault="00D64CF7" w:rsidP="001609FA">
            <w:pPr>
              <w:pStyle w:val="Listebombe"/>
              <w:rPr>
                <w:lang w:val="en-GB"/>
              </w:rPr>
            </w:pPr>
            <w:r w:rsidRPr="006A6D19">
              <w:rPr>
                <w:rStyle w:val="halvfet"/>
                <w:lang w:val="en-GB"/>
              </w:rPr>
              <w:t>Continue funding national initiatives</w:t>
            </w:r>
            <w:r w:rsidRPr="006A6D19">
              <w:rPr>
                <w:lang w:val="en-GB"/>
              </w:rPr>
              <w:t xml:space="preserve"> to support local SDG implementation, social innovation, and climate action through a multi-stakeholder approach. Support the development of local- and regional-level indicators and reliable data collection that can help local and regional authorities measure progress towards SDG achievement.</w:t>
            </w:r>
          </w:p>
          <w:p w14:paraId="4B01B7C7" w14:textId="77777777" w:rsidR="00D64CF7" w:rsidRPr="006A6D19" w:rsidRDefault="00D64CF7" w:rsidP="00B765C1">
            <w:pPr>
              <w:rPr>
                <w:lang w:val="en-GB"/>
              </w:rPr>
            </w:pPr>
            <w:r w:rsidRPr="006A6D19">
              <w:rPr>
                <w:lang w:val="en-GB"/>
              </w:rPr>
              <w:t>The 2030 Agenda delivers real value when embedded in local and regional governance. With at least 65 per cent of SDG targets linked to the work and mandates of local and regional authorities, local action is a precondition for achieving the 2030 Agenda for Sustainable Development. Local and regional authorities actively contribute to the SDGs by integrating them in key strategies and budgeting, and by taking part in coordination mechanisms and collaborations to facilitate their delivery. Given that municipal and regional responsibilities closely align with the SDGs, the 2030 Agenda is an effective tool for local and regional development and improving quality of life. A vast majority of local and regional authorities in Norway are working actively to implement, measure and deliver on the SDGs, as documented in the Nordic Subnational Review in 2024.</w:t>
            </w:r>
          </w:p>
          <w:p w14:paraId="1BF43A2B" w14:textId="77777777" w:rsidR="00D64CF7" w:rsidRPr="006A6D19" w:rsidRDefault="00D64CF7" w:rsidP="001609FA">
            <w:pPr>
              <w:rPr>
                <w:lang w:val="en-GB"/>
              </w:rPr>
            </w:pPr>
            <w:r w:rsidRPr="006A6D19">
              <w:rPr>
                <w:lang w:val="en-GB"/>
              </w:rPr>
              <w:t xml:space="preserve">Norway’s decentralised governance model facilitates the localisation of the SDGs and empowers municipalities and regions to engage in sustainability work. Key factors to localising the 2030 Agenda include capacity and competence work, political prioritisation, and the incorporation of the 2030 Agenda into the administrative management of the local and regional authority. High levels </w:t>
            </w:r>
            <w:r w:rsidRPr="006A6D19">
              <w:rPr>
                <w:lang w:val="en-GB"/>
              </w:rPr>
              <w:lastRenderedPageBreak/>
              <w:t>of trust and cooperation between local, regional and national authorities are important success factors, as well as a collaborative governance culture that facilitates the involvement of diverse stakeholder groups. This is particularly beneficial for the local and regional work with the 2030 Agenda, since achieving the SDGs requires a whole-of-society approach.</w:t>
            </w:r>
          </w:p>
          <w:p w14:paraId="1F10078E" w14:textId="0368342E" w:rsidR="00D64CF7" w:rsidRPr="006A6D19" w:rsidRDefault="00D64CF7" w:rsidP="001609FA">
            <w:pPr>
              <w:rPr>
                <w:lang w:val="en-GB"/>
              </w:rPr>
            </w:pPr>
            <w:r w:rsidRPr="006A6D19">
              <w:rPr>
                <w:lang w:val="en-GB"/>
              </w:rPr>
              <w:t>Despite these efforts, there are still significant obstacles to overcome in implementing the SDGs and reaching the global ambitions of the 2030 Agenda. Political leadership determines success or stagnation, and stable political support across all governance levels is essential for accelerating implementation and ensuring that the 2030 Agenda translates into real and lasting impact.</w:t>
            </w:r>
          </w:p>
        </w:tc>
      </w:tr>
    </w:tbl>
    <w:p w14:paraId="70E630BC" w14:textId="77777777" w:rsidR="008A5841" w:rsidRPr="006A6D19" w:rsidRDefault="008A5841" w:rsidP="001609FA">
      <w:pPr>
        <w:rPr>
          <w:lang w:val="en-GB"/>
        </w:rPr>
      </w:pPr>
    </w:p>
    <w:p w14:paraId="49E89EAC" w14:textId="77777777" w:rsidR="008A5841" w:rsidRPr="006A6D19" w:rsidRDefault="008A5841" w:rsidP="001609FA">
      <w:pPr>
        <w:pStyle w:val="Overskrift2"/>
        <w:rPr>
          <w:lang w:val="en-GB"/>
        </w:rPr>
      </w:pPr>
      <w:r w:rsidRPr="006A6D19">
        <w:rPr>
          <w:lang w:val="en-GB"/>
        </w:rPr>
        <w:t>Leaving No One Behind (LNOB)</w:t>
      </w:r>
    </w:p>
    <w:p w14:paraId="7C1C086B" w14:textId="77777777" w:rsidR="008A5841" w:rsidRPr="006A6D19" w:rsidRDefault="008A5841" w:rsidP="001609FA">
      <w:pPr>
        <w:pStyle w:val="Overskrift3"/>
        <w:rPr>
          <w:lang w:val="en-GB"/>
        </w:rPr>
      </w:pPr>
      <w:r w:rsidRPr="006A6D19">
        <w:rPr>
          <w:lang w:val="en-GB"/>
        </w:rPr>
        <w:t>Upholding the LNOB Principle</w:t>
      </w:r>
    </w:p>
    <w:p w14:paraId="5A7BEC34" w14:textId="77777777" w:rsidR="008A5841" w:rsidRPr="006A6D19" w:rsidRDefault="008A5841" w:rsidP="001609FA">
      <w:pPr>
        <w:rPr>
          <w:lang w:val="en-GB"/>
        </w:rPr>
      </w:pPr>
      <w:r w:rsidRPr="006A6D19">
        <w:rPr>
          <w:lang w:val="en-GB"/>
        </w:rPr>
        <w:t>Efforts targeting those furthest behind in achieving the Sustainable Development Goals continue to be a priority, both nationally and internationally. Reaching these groups is essential to achieving progress across all goals and to ensuring that development is inclusive and equitable.</w:t>
      </w:r>
    </w:p>
    <w:p w14:paraId="5F216021" w14:textId="77777777" w:rsidR="008A5841" w:rsidRPr="006A6D19" w:rsidRDefault="008A5841" w:rsidP="001609FA">
      <w:pPr>
        <w:rPr>
          <w:lang w:val="en-GB"/>
        </w:rPr>
      </w:pPr>
      <w:r w:rsidRPr="006A6D19">
        <w:rPr>
          <w:lang w:val="en-GB"/>
        </w:rPr>
        <w:t>In the national context, the Norwegian welfare model remains the backbone of the LNOB approach. Strong institutions, high levels of trust and universal access to public services are critical to preventing exclusion and mitigating social risks.</w:t>
      </w:r>
    </w:p>
    <w:p w14:paraId="1E71B8A4" w14:textId="77777777" w:rsidR="008A5841" w:rsidRPr="006A6D19" w:rsidRDefault="008A5841" w:rsidP="001609FA">
      <w:pPr>
        <w:rPr>
          <w:lang w:val="en-GB"/>
        </w:rPr>
      </w:pPr>
      <w:r w:rsidRPr="006A6D19">
        <w:rPr>
          <w:lang w:val="en-GB"/>
        </w:rPr>
        <w:t>Ensuring inclusive access to decent work remains a key challenge. Structural changes in the labour market, driven by skills mismatches, demographic ageing, digitalisation and the green transition, affect opportunities for participation and increase the risk of exclusion for some groups.</w:t>
      </w:r>
    </w:p>
    <w:p w14:paraId="0BC53F94" w14:textId="77777777" w:rsidR="008A5841" w:rsidRPr="006A6D19" w:rsidRDefault="008A5841" w:rsidP="001609FA">
      <w:pPr>
        <w:rPr>
          <w:lang w:val="en-GB"/>
        </w:rPr>
      </w:pPr>
      <w:r w:rsidRPr="006A6D19">
        <w:rPr>
          <w:lang w:val="en-GB"/>
        </w:rPr>
        <w:t>Insufficient education and skills, labour market exclusion, discrimination and cumulative vulnerabilities remain among the most significant factors contributing to people being left behind.</w:t>
      </w:r>
    </w:p>
    <w:p w14:paraId="2924B5A2" w14:textId="77777777" w:rsidR="008A5841" w:rsidRPr="006A6D19" w:rsidRDefault="008A5841" w:rsidP="001609FA">
      <w:pPr>
        <w:rPr>
          <w:lang w:val="en-GB"/>
        </w:rPr>
      </w:pPr>
      <w:r w:rsidRPr="006A6D19">
        <w:rPr>
          <w:lang w:val="en-GB"/>
        </w:rPr>
        <w:t>The implementation of minority rights has improved across several areas. Nonetheless, challenges persist in relation to effective participation, service delivery and local implementation, underlining the need for continued dialogue and targeted measures.</w:t>
      </w:r>
    </w:p>
    <w:p w14:paraId="0058C96B" w14:textId="77777777" w:rsidR="008A5841" w:rsidRPr="006A6D19" w:rsidRDefault="008A5841" w:rsidP="001609FA">
      <w:pPr>
        <w:pStyle w:val="Overskrift3"/>
        <w:rPr>
          <w:lang w:val="en-GB"/>
        </w:rPr>
      </w:pPr>
      <w:r w:rsidRPr="006A6D19">
        <w:rPr>
          <w:lang w:val="en-GB"/>
        </w:rPr>
        <w:t>Promotion of the LNOB Principle in Foreign and Development Policy</w:t>
      </w:r>
    </w:p>
    <w:p w14:paraId="6933BEDF" w14:textId="77777777" w:rsidR="008A5841" w:rsidRPr="006A6D19" w:rsidRDefault="008A5841" w:rsidP="001609FA">
      <w:pPr>
        <w:rPr>
          <w:lang w:val="en-GB"/>
        </w:rPr>
      </w:pPr>
      <w:r w:rsidRPr="006A6D19">
        <w:rPr>
          <w:lang w:val="en-GB"/>
        </w:rPr>
        <w:t>Leaving No One Behind remains a core principle of Norway’s foreign and development policy. Human rights, gender equality, anti-corruption, and climate and environmental sustainability are cross-cutting priorities that guide all aspects of Norway’s engagement.</w:t>
      </w:r>
    </w:p>
    <w:p w14:paraId="012E6947" w14:textId="77777777" w:rsidR="008A5841" w:rsidRPr="006A6D19" w:rsidRDefault="008A5841" w:rsidP="001609FA">
      <w:pPr>
        <w:rPr>
          <w:lang w:val="en-GB"/>
        </w:rPr>
      </w:pPr>
      <w:r w:rsidRPr="006A6D19">
        <w:rPr>
          <w:lang w:val="en-GB"/>
        </w:rPr>
        <w:t xml:space="preserve">Through the Action Plan for Women’s Rights and Gender Equality (2023–2030) and the Action Plan on Gender and Sexual Diversity (2023–2026), Norway will promote equality, challenge discriminatory laws and norms, and advance the rights and inclusion of marginalised groups, including LGBTI persons, </w:t>
      </w:r>
      <w:r w:rsidRPr="006A6D19">
        <w:rPr>
          <w:lang w:val="en-GB"/>
        </w:rPr>
        <w:lastRenderedPageBreak/>
        <w:t>persons with disabilities, Indigenous Peoples and minorities. Intersectional perspectives will systematically inform policies and programmes.</w:t>
      </w:r>
    </w:p>
    <w:p w14:paraId="6C8978BF" w14:textId="77777777" w:rsidR="008A5841" w:rsidRPr="006A6D19" w:rsidRDefault="008A5841" w:rsidP="001609FA">
      <w:pPr>
        <w:rPr>
          <w:lang w:val="en-GB"/>
        </w:rPr>
      </w:pPr>
      <w:r w:rsidRPr="006A6D19">
        <w:rPr>
          <w:lang w:val="en-GB"/>
        </w:rPr>
        <w:t>Norway will continue to take a leading role in promoting and protecting women’s rights and gender equality through its development cooperation, with a particular focus on sexual and reproductive health and rights. This includes sustained political dialogue and financial support in multilateral fora as well as at the country level. Women’s political and economic partic</w:t>
      </w:r>
      <w:r w:rsidRPr="006A6D19">
        <w:rPr>
          <w:lang w:val="en-GB"/>
        </w:rPr>
        <w:t>ipation, access to contraceptives, safe abortions, and comprehensive sexuality education will remain key priorities. The figure below illustrates trends in the integration of gender equality in Norway’s bilateral assistance.</w:t>
      </w:r>
    </w:p>
    <w:p w14:paraId="70EA1AD1" w14:textId="77777777" w:rsidR="008A5841" w:rsidRPr="006A6D19" w:rsidRDefault="008A5841" w:rsidP="001609FA">
      <w:pPr>
        <w:pStyle w:val="figur-tittel"/>
        <w:rPr>
          <w:lang w:val="en-GB"/>
        </w:rPr>
      </w:pPr>
      <w:r w:rsidRPr="006A6D19">
        <w:rPr>
          <w:lang w:val="en-GB"/>
        </w:rPr>
        <w:t>Gender Equality in Norway’s Bilateral Development Cooperation</w:t>
      </w:r>
    </w:p>
    <w:p w14:paraId="6013AACD" w14:textId="55D427C8" w:rsidR="008A5841" w:rsidRPr="006A6D19" w:rsidRDefault="006A6D19" w:rsidP="006A6D19">
      <w:pPr>
        <w:rPr>
          <w:lang w:val="en-GB"/>
        </w:rPr>
      </w:pPr>
      <w:r w:rsidRPr="006A6D19">
        <w:rPr>
          <w:noProof/>
          <w:lang w:val="en-GB"/>
        </w:rPr>
        <w:drawing>
          <wp:inline distT="0" distB="0" distL="0" distR="0" wp14:anchorId="1D2D1CEB" wp14:editId="6560C5F3">
            <wp:extent cx="6638925" cy="3695700"/>
            <wp:effectExtent l="0" t="0" r="9525" b="0"/>
            <wp:docPr id="1423579431" name="Bilde 61" descr="Gender Equality in Norway’s Bilateral Development Coop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579431" name="Bilde 61" descr="Gender Equality in Norway’s Bilateral Development Cooperatio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38925" cy="3695700"/>
                    </a:xfrm>
                    <a:prstGeom prst="rect">
                      <a:avLst/>
                    </a:prstGeom>
                    <a:noFill/>
                    <a:ln>
                      <a:noFill/>
                    </a:ln>
                  </pic:spPr>
                </pic:pic>
              </a:graphicData>
            </a:graphic>
          </wp:inline>
        </w:drawing>
      </w:r>
    </w:p>
    <w:p w14:paraId="6D8C6372" w14:textId="77777777" w:rsidR="008A5841" w:rsidRPr="006A6D19" w:rsidRDefault="008A5841" w:rsidP="001609FA">
      <w:pPr>
        <w:pStyle w:val="Kilde"/>
        <w:rPr>
          <w:lang w:val="en-GB"/>
        </w:rPr>
      </w:pPr>
      <w:r w:rsidRPr="006A6D19">
        <w:rPr>
          <w:lang w:val="en-GB"/>
        </w:rPr>
        <w:t>Source: Norad, 2026</w:t>
      </w:r>
    </w:p>
    <w:p w14:paraId="3DCFF89C" w14:textId="77777777" w:rsidR="008A5841" w:rsidRPr="006A6D19" w:rsidRDefault="008A5841" w:rsidP="001609FA">
      <w:pPr>
        <w:rPr>
          <w:lang w:val="en-GB"/>
        </w:rPr>
      </w:pPr>
      <w:r w:rsidRPr="006A6D19">
        <w:rPr>
          <w:lang w:val="en-GB"/>
        </w:rPr>
        <w:t>Government policy is based on the principles of human rights, equal treatment, non-discrimination, with particular emphasis on the protection and promotion of minority culture, language and identity.</w:t>
      </w:r>
    </w:p>
    <w:p w14:paraId="6E815D99" w14:textId="77777777" w:rsidR="008A5841" w:rsidRPr="006A6D19" w:rsidRDefault="008A5841" w:rsidP="001609FA">
      <w:pPr>
        <w:pStyle w:val="Overskrift3"/>
        <w:rPr>
          <w:lang w:val="en-GB"/>
        </w:rPr>
      </w:pPr>
      <w:r w:rsidRPr="006A6D19">
        <w:rPr>
          <w:lang w:val="en-GB"/>
        </w:rPr>
        <w:t>Five National Minorities</w:t>
      </w:r>
    </w:p>
    <w:p w14:paraId="73F0AA1E" w14:textId="77777777" w:rsidR="008A5841" w:rsidRPr="006A6D19" w:rsidRDefault="008A5841" w:rsidP="001609FA">
      <w:pPr>
        <w:rPr>
          <w:lang w:val="en-GB"/>
        </w:rPr>
      </w:pPr>
      <w:r w:rsidRPr="006A6D19">
        <w:rPr>
          <w:lang w:val="en-GB"/>
        </w:rPr>
        <w:t xml:space="preserve">The Government works to ensure that national minorities </w:t>
      </w:r>
      <w:proofErr w:type="gramStart"/>
      <w:r w:rsidRPr="006A6D19">
        <w:rPr>
          <w:lang w:val="en-GB"/>
        </w:rPr>
        <w:t>are able to</w:t>
      </w:r>
      <w:proofErr w:type="gramEnd"/>
      <w:r w:rsidRPr="006A6D19">
        <w:rPr>
          <w:lang w:val="en-GB"/>
        </w:rPr>
        <w:t xml:space="preserve"> develop their languages, cultures and social life, are included in decision-making processes, and enjoy equal treatment both in law and in practice. Their participation in sustainable societal development is supported through targeted grants to minority organisations and structured dialogue between these organisations and public authorities. The five national minorities in Norway are </w:t>
      </w:r>
      <w:proofErr w:type="spellStart"/>
      <w:r w:rsidRPr="006A6D19">
        <w:rPr>
          <w:lang w:val="en-GB"/>
        </w:rPr>
        <w:t>Kven</w:t>
      </w:r>
      <w:proofErr w:type="spellEnd"/>
      <w:r w:rsidRPr="006A6D19">
        <w:rPr>
          <w:lang w:val="en-GB"/>
        </w:rPr>
        <w:t>/Norwegian Finns, Forest Finns, Roma, Romani people/Tater and Jews.</w:t>
      </w:r>
    </w:p>
    <w:p w14:paraId="72BB44B2" w14:textId="77777777" w:rsidR="008A5841" w:rsidRPr="006A6D19" w:rsidRDefault="008A5841" w:rsidP="001609FA">
      <w:pPr>
        <w:rPr>
          <w:lang w:val="en-GB"/>
        </w:rPr>
      </w:pPr>
      <w:r w:rsidRPr="006A6D19">
        <w:rPr>
          <w:lang w:val="en-GB"/>
        </w:rPr>
        <w:lastRenderedPageBreak/>
        <w:t xml:space="preserve">Norway ratified the Framework Convention </w:t>
      </w:r>
      <w:r w:rsidRPr="006A6D19">
        <w:rPr>
          <w:lang w:val="en-GB"/>
        </w:rPr>
        <w:t>for the Protection of National Minorities in 1999. A core principle of the Convention is the effective participation of minorities in matters affecting them, in line with SDG target 16.7 on inclusive and participatory decision-making.</w:t>
      </w:r>
    </w:p>
    <w:p w14:paraId="15474DFD" w14:textId="77777777" w:rsidR="008A5841" w:rsidRPr="006A6D19" w:rsidRDefault="008A5841" w:rsidP="001609FA">
      <w:pPr>
        <w:rPr>
          <w:lang w:val="en-GB"/>
        </w:rPr>
      </w:pPr>
      <w:r w:rsidRPr="006A6D19">
        <w:rPr>
          <w:lang w:val="en-GB"/>
        </w:rPr>
        <w:t>To support the participation of the national minorities in implementing the Framework Convention, a dedicated grant scheme for national minorities was established in 1999. The grant scheme has been strengthened in recent years.</w:t>
      </w:r>
    </w:p>
    <w:p w14:paraId="6B8796FC" w14:textId="77777777" w:rsidR="008A5841" w:rsidRPr="006A6D19" w:rsidRDefault="008A5841" w:rsidP="001609FA">
      <w:pPr>
        <w:rPr>
          <w:lang w:val="en-GB"/>
        </w:rPr>
      </w:pPr>
      <w:r w:rsidRPr="006A6D19">
        <w:rPr>
          <w:lang w:val="en-GB"/>
        </w:rPr>
        <w:t>The Norwegian Govern</w:t>
      </w:r>
      <w:r w:rsidRPr="006A6D19">
        <w:rPr>
          <w:lang w:val="en-GB"/>
        </w:rPr>
        <w:t>ment aims to develop a comprehensive and coherent policy in dialogue with the national minority organisations. The Ministry of Local Government and Regional Development organises an annual contact forum that serves a key platform for dialogue between the national minority organisations and central government authorities. In addition, the Ministry holds annual meetings with individual organisations, as well as meetings on specific issues when required. Annual meetings with young representatives from national</w:t>
      </w:r>
      <w:r w:rsidRPr="006A6D19">
        <w:rPr>
          <w:lang w:val="en-GB"/>
        </w:rPr>
        <w:t xml:space="preserve"> minorities were introduced from 2023. Minorities may also submit input to public hearings on an equal footing with other stakeholders.</w:t>
      </w:r>
    </w:p>
    <w:p w14:paraId="4BB8249A" w14:textId="77777777" w:rsidR="008A5841" w:rsidRPr="006A6D19" w:rsidRDefault="008A5841" w:rsidP="001609FA">
      <w:pPr>
        <w:rPr>
          <w:lang w:val="en-GB"/>
        </w:rPr>
      </w:pPr>
      <w:r w:rsidRPr="006A6D19">
        <w:rPr>
          <w:lang w:val="en-GB"/>
        </w:rPr>
        <w:t>Another important element in the Government’s policy towards national minorities is ensuring equal access to education, both at primary and secondary level, leading to relevant and beneficial learning outcomes and support full participation in society.</w:t>
      </w:r>
    </w:p>
    <w:p w14:paraId="726106E0" w14:textId="77777777" w:rsidR="008A5841" w:rsidRPr="006A6D19" w:rsidRDefault="008A5841" w:rsidP="001609FA">
      <w:pPr>
        <w:rPr>
          <w:lang w:val="en-GB"/>
        </w:rPr>
      </w:pPr>
      <w:r w:rsidRPr="006A6D19">
        <w:rPr>
          <w:lang w:val="en-GB"/>
        </w:rPr>
        <w:t>An active and comprehensive policy to combat racism, anti-Semitism and discrimination is essential. In November 2024, the Government presented a new action plan against antisemitism for the period 2025 to 2030 – the third plan since 2015. The action plan forms part of the Government’s broader efforts to strengthen and renew the fight against racism and discrimination based on ethnicity and religion.</w:t>
      </w:r>
    </w:p>
    <w:p w14:paraId="0F51C4E7" w14:textId="77777777" w:rsidR="008A5841" w:rsidRPr="006A6D19" w:rsidRDefault="008A5841" w:rsidP="001609FA">
      <w:pPr>
        <w:rPr>
          <w:lang w:val="en-GB"/>
        </w:rPr>
      </w:pPr>
      <w:r w:rsidRPr="006A6D19">
        <w:rPr>
          <w:lang w:val="en-GB"/>
        </w:rPr>
        <w:t xml:space="preserve">The Norwegian Parliament appointed a Truth and Reconciliation Commission to examine the </w:t>
      </w:r>
      <w:proofErr w:type="spellStart"/>
      <w:r w:rsidRPr="006A6D19">
        <w:rPr>
          <w:lang w:val="en-GB"/>
        </w:rPr>
        <w:t>Norwegianisation</w:t>
      </w:r>
      <w:proofErr w:type="spellEnd"/>
      <w:r w:rsidRPr="006A6D19">
        <w:rPr>
          <w:lang w:val="en-GB"/>
        </w:rPr>
        <w:t xml:space="preserve"> policy and injustices towards Sami, </w:t>
      </w:r>
      <w:proofErr w:type="spellStart"/>
      <w:r w:rsidRPr="006A6D19">
        <w:rPr>
          <w:lang w:val="en-GB"/>
        </w:rPr>
        <w:t>Kven</w:t>
      </w:r>
      <w:proofErr w:type="spellEnd"/>
      <w:r w:rsidRPr="006A6D19">
        <w:rPr>
          <w:lang w:val="en-GB"/>
        </w:rPr>
        <w:t xml:space="preserve">/Norwegian Finns and Forest Finns. The commission submitted its report to the Parliament in 2023, documenting the impact and consequences of the </w:t>
      </w:r>
      <w:proofErr w:type="spellStart"/>
      <w:r w:rsidRPr="006A6D19">
        <w:rPr>
          <w:lang w:val="en-GB"/>
        </w:rPr>
        <w:t>Norwegianisation</w:t>
      </w:r>
      <w:proofErr w:type="spellEnd"/>
      <w:r w:rsidRPr="006A6D19">
        <w:rPr>
          <w:lang w:val="en-GB"/>
        </w:rPr>
        <w:t xml:space="preserve"> policy across a range of sectors.</w:t>
      </w:r>
    </w:p>
    <w:p w14:paraId="4EFB7968" w14:textId="77777777" w:rsidR="008A5841" w:rsidRPr="006A6D19" w:rsidRDefault="008A5841" w:rsidP="001609FA">
      <w:pPr>
        <w:rPr>
          <w:lang w:val="en-GB"/>
        </w:rPr>
      </w:pPr>
      <w:r w:rsidRPr="006A6D19">
        <w:rPr>
          <w:lang w:val="en-GB"/>
        </w:rPr>
        <w:t>The Parliament concluded its consideration of the report in 2024 and adopted 17 resolutions. The first resolution concerns the Parliament’s formal apology to the groups, while the remaining 16 resolutions were forwarded to the Government for follow-up. The Go</w:t>
      </w:r>
      <w:r w:rsidRPr="006A6D19">
        <w:rPr>
          <w:lang w:val="en-GB"/>
        </w:rPr>
        <w:t>vernment is actively following up on the Commission’s recommendations in dialogue with the Sami Parliament and representatives of national minorities’ organisations – and in consultation with the Sami Parliament where required.</w:t>
      </w:r>
    </w:p>
    <w:tbl>
      <w:tblPr>
        <w:tblStyle w:val="StandardBoks"/>
        <w:tblW w:w="5000" w:type="pct"/>
        <w:tblLook w:val="0000" w:firstRow="0" w:lastRow="0" w:firstColumn="0" w:lastColumn="0" w:noHBand="0" w:noVBand="0"/>
      </w:tblPr>
      <w:tblGrid>
        <w:gridCol w:w="10466"/>
      </w:tblGrid>
      <w:tr w:rsidR="00D64CF7" w:rsidRPr="006A6D19" w14:paraId="00F13E1F" w14:textId="77777777" w:rsidTr="00D64CF7">
        <w:trPr>
          <w:trHeight w:val="15675"/>
        </w:trPr>
        <w:tc>
          <w:tcPr>
            <w:tcW w:w="5000" w:type="pct"/>
          </w:tcPr>
          <w:p w14:paraId="206D5A0F" w14:textId="77777777" w:rsidR="00D64CF7" w:rsidRPr="006A6D19" w:rsidRDefault="00D64CF7" w:rsidP="00B765C1">
            <w:pPr>
              <w:pStyle w:val="avsnitt-tittel"/>
              <w:rPr>
                <w:lang w:val="en-GB"/>
              </w:rPr>
            </w:pPr>
            <w:r w:rsidRPr="006A6D19">
              <w:rPr>
                <w:lang w:val="en-GB"/>
              </w:rPr>
              <w:lastRenderedPageBreak/>
              <w:t>Message to the Government from the Sami Parliament</w:t>
            </w:r>
          </w:p>
          <w:p w14:paraId="1E24ABAC" w14:textId="77777777" w:rsidR="00D64CF7" w:rsidRPr="006A6D19" w:rsidRDefault="00D64CF7" w:rsidP="00B765C1">
            <w:pPr>
              <w:rPr>
                <w:rStyle w:val="kursiv"/>
                <w:lang w:val="en-GB"/>
              </w:rPr>
            </w:pPr>
            <w:r w:rsidRPr="006A6D19">
              <w:rPr>
                <w:rStyle w:val="kursiv"/>
                <w:lang w:val="en-GB"/>
              </w:rPr>
              <w:t xml:space="preserve">The following is an unedited message from the </w:t>
            </w:r>
            <w:proofErr w:type="spellStart"/>
            <w:r w:rsidRPr="006A6D19">
              <w:rPr>
                <w:rStyle w:val="kursiv"/>
                <w:lang w:val="en-GB"/>
              </w:rPr>
              <w:t>Sámediggi</w:t>
            </w:r>
            <w:proofErr w:type="spellEnd"/>
            <w:r w:rsidRPr="006A6D19">
              <w:rPr>
                <w:rStyle w:val="kursiv"/>
                <w:lang w:val="en-GB"/>
              </w:rPr>
              <w:t>, the Sami Parliament.</w:t>
            </w:r>
          </w:p>
          <w:p w14:paraId="2B69001D" w14:textId="77777777" w:rsidR="00D64CF7" w:rsidRPr="006A6D19" w:rsidRDefault="00D64CF7" w:rsidP="001609FA">
            <w:pPr>
              <w:rPr>
                <w:lang w:val="en-GB"/>
              </w:rPr>
            </w:pPr>
            <w:r w:rsidRPr="006A6D19">
              <w:rPr>
                <w:lang w:val="en-GB"/>
              </w:rPr>
              <w:t>The Sámi Parliament considered the matter Climate Change in Sápmi in 2023 (Case 023/23). It established that climate change is affecting Sámi communities in ways that challenge the natural resource base, livelihoods and cultural sustainability in Sápmi. The decision makes clear that climate change must be understood in conjunction with biodiversity loss, land encroachments and increasing pressure on Sámi areas. It states that responses must be grounded in Sámi values and knowledge systems. This provides the basis for the Sámi Parliament’s work on the Sustainable Development Goals.</w:t>
            </w:r>
          </w:p>
          <w:p w14:paraId="76363452" w14:textId="77777777" w:rsidR="00D64CF7" w:rsidRPr="006A6D19" w:rsidRDefault="00D64CF7" w:rsidP="001609FA">
            <w:pPr>
              <w:rPr>
                <w:lang w:val="en-GB"/>
              </w:rPr>
            </w:pPr>
            <w:r w:rsidRPr="006A6D19">
              <w:rPr>
                <w:lang w:val="en-GB"/>
              </w:rPr>
              <w:t>In this context, the Sámi Parliament refers to the report from 2023 “Climate Change in Sápmi – an overview and a Path Forward”, prepared in cooperation with the Saami Council. The report documents how changes in snow and ice conditions, sea temperatures, ecosystems, and seasonal rhythms affect reindeer husbandry, fishing, hunting, gathering, traditional Sámi handicraft products (duodji), health, and community life. It emphasises Indigenous knowledge as a part of climate adaptation and environmental governance and shows that Sámi use of nature represents sustainable practices that should guide work. It also recommends strengthening Sámi institutions and knowledge environments and establishing a Sámi Climate Council and an Arctic climate platform.</w:t>
            </w:r>
          </w:p>
          <w:p w14:paraId="18821B30" w14:textId="77777777" w:rsidR="00D64CF7" w:rsidRPr="006A6D19" w:rsidRDefault="00D64CF7" w:rsidP="001609FA">
            <w:pPr>
              <w:rPr>
                <w:lang w:val="en-GB"/>
              </w:rPr>
            </w:pPr>
            <w:r w:rsidRPr="006A6D19">
              <w:rPr>
                <w:lang w:val="en-GB"/>
              </w:rPr>
              <w:t>Against this background, the Sámi Parliament stresses that the Sustainable Development Goals must be understood and implemented in ways that reflect Sámi realities. Climate change and biodiversity loss affect Sámi communities early and severely, while the cumulative effects of climate change and land encroachments reduce ecological resilience and the adaptive capacity of Sámi livelihoods. Intact ecosystems are essential for climate adaptation, food security, and the exercise of Sámi culture. The Sámi Parliament expects the principle of free, prior and informed consent (FPIC) to be applied before interventions in Sámi areas.</w:t>
            </w:r>
          </w:p>
          <w:p w14:paraId="5259BB68" w14:textId="77777777" w:rsidR="00D64CF7" w:rsidRPr="006A6D19" w:rsidRDefault="00D64CF7" w:rsidP="001609FA">
            <w:pPr>
              <w:rPr>
                <w:lang w:val="en-GB"/>
              </w:rPr>
            </w:pPr>
            <w:r w:rsidRPr="006A6D19">
              <w:rPr>
                <w:lang w:val="en-GB"/>
              </w:rPr>
              <w:t>Sámi values such as community, responsibility, moderation, and respect for nature must guide implementation of the Sustainable Development Goals. Sámi languages, culture, livelihoods, and traditional knowledge must have a natural place in strategy development. Sámi food systems, harvesting practices, and customs represent sustainable approaches that should be recognised as part of the response to climate and biodiversity crises.</w:t>
            </w:r>
          </w:p>
          <w:p w14:paraId="7FDA9E20" w14:textId="57775CBF" w:rsidR="00D64CF7" w:rsidRPr="006A6D19" w:rsidRDefault="00D64CF7" w:rsidP="001609FA">
            <w:pPr>
              <w:spacing w:after="160"/>
              <w:rPr>
                <w:lang w:val="en-GB"/>
              </w:rPr>
            </w:pPr>
            <w:r w:rsidRPr="006A6D19">
              <w:rPr>
                <w:lang w:val="en-GB"/>
              </w:rPr>
              <w:t>Businesses and industries establishing themselves in Sápmi must undertake thorough due diligence assessments of the consequences for Sámi culture and the natural resource base and adhere to standards and ethical guidelines that safeguard Indigenous rights. The Sámi Parliament maintains that the Sustainable Development Goals cannot be achieved unless Sámi communities are genuine partners in decision-making and Sámi knowledge systems and institutions are strengthened as part of this work.</w:t>
            </w:r>
          </w:p>
        </w:tc>
      </w:tr>
    </w:tbl>
    <w:p w14:paraId="294E7136" w14:textId="77777777" w:rsidR="008A5841" w:rsidRPr="006A6D19" w:rsidRDefault="008A5841" w:rsidP="001609FA">
      <w:pPr>
        <w:rPr>
          <w:lang w:val="en-GB"/>
        </w:rPr>
      </w:pPr>
    </w:p>
    <w:p w14:paraId="4159EECC" w14:textId="429DB7BF" w:rsidR="008A5841" w:rsidRPr="006A6D19" w:rsidRDefault="008A5841" w:rsidP="001609FA">
      <w:pPr>
        <w:rPr>
          <w:lang w:val="en-GB"/>
        </w:rPr>
      </w:pPr>
    </w:p>
    <w:p w14:paraId="322ADB35" w14:textId="77777777" w:rsidR="008A5841" w:rsidRPr="006A6D19" w:rsidRDefault="008A5841" w:rsidP="008F7045">
      <w:pPr>
        <w:pStyle w:val="Overskrift1"/>
        <w:pageBreakBefore/>
        <w:rPr>
          <w:lang w:val="en-GB"/>
        </w:rPr>
      </w:pPr>
      <w:r w:rsidRPr="006A6D19">
        <w:rPr>
          <w:lang w:val="en-GB"/>
        </w:rPr>
        <w:lastRenderedPageBreak/>
        <w:t>Norway’s Implementation of the SDGs</w:t>
      </w:r>
    </w:p>
    <w:p w14:paraId="106220DC" w14:textId="5E06B6BF" w:rsidR="00D64CF7" w:rsidRPr="006A6D19" w:rsidRDefault="00D64CF7" w:rsidP="00D64CF7">
      <w:pPr>
        <w:rPr>
          <w:lang w:val="en-GB"/>
        </w:rPr>
      </w:pPr>
      <w:r w:rsidRPr="006A6D19">
        <w:rPr>
          <w:noProof/>
          <w:lang w:val="en-GB"/>
        </w:rPr>
        <w:drawing>
          <wp:inline distT="0" distB="0" distL="0" distR="0" wp14:anchorId="7807AD2D" wp14:editId="2E2EF991">
            <wp:extent cx="6638925" cy="1962150"/>
            <wp:effectExtent l="0" t="0" r="9525" b="0"/>
            <wp:docPr id="1320411968" name="Bilde 35" descr="Decorative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411968" name="Bilde 35" descr="Decorative illustratio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38925" cy="1962150"/>
                    </a:xfrm>
                    <a:prstGeom prst="rect">
                      <a:avLst/>
                    </a:prstGeom>
                    <a:noFill/>
                    <a:ln>
                      <a:noFill/>
                    </a:ln>
                  </pic:spPr>
                </pic:pic>
              </a:graphicData>
            </a:graphic>
          </wp:inline>
        </w:drawing>
      </w:r>
    </w:p>
    <w:p w14:paraId="31284497" w14:textId="77777777" w:rsidR="008A5841" w:rsidRPr="006A6D19" w:rsidRDefault="008A5841" w:rsidP="00B765C1">
      <w:pPr>
        <w:pStyle w:val="Overskrift2"/>
        <w:rPr>
          <w:lang w:val="en-GB"/>
        </w:rPr>
      </w:pPr>
      <w:r w:rsidRPr="006A6D19">
        <w:rPr>
          <w:lang w:val="en-GB"/>
        </w:rPr>
        <w:t>Sustainable Development in the Norwegian State Budget</w:t>
      </w:r>
    </w:p>
    <w:p w14:paraId="70DC2181" w14:textId="77777777" w:rsidR="008A5841" w:rsidRPr="006A6D19" w:rsidRDefault="008A5841" w:rsidP="001609FA">
      <w:pPr>
        <w:rPr>
          <w:lang w:val="en-GB"/>
        </w:rPr>
      </w:pPr>
      <w:r w:rsidRPr="006A6D19">
        <w:rPr>
          <w:lang w:val="en-GB"/>
        </w:rPr>
        <w:t>The Ministry of Digitalisation and Public Governance coordinate the Government’s annual report to Parliament on progress towards the SDGs. Additionally, each Ministry reports on the SDGs within its area of responsibility through its annual budget proposition to Parliament. This ensures that progress on each SDG is assessed and reported annually through a well-established political process, providing Parliament with a solid basis for evaluating development in Norway’s sustainability efforts.</w:t>
      </w:r>
    </w:p>
    <w:p w14:paraId="47FE4B19" w14:textId="77777777" w:rsidR="008A5841" w:rsidRPr="006A6D19" w:rsidRDefault="008A5841" w:rsidP="001609FA">
      <w:pPr>
        <w:rPr>
          <w:lang w:val="en-GB"/>
        </w:rPr>
      </w:pPr>
      <w:r w:rsidRPr="006A6D19">
        <w:rPr>
          <w:lang w:val="en-GB"/>
        </w:rPr>
        <w:t>Norway has also taken steps to complement traditional economic indicators such as GDP as measures of the country’s development. Recent initiatives include the Climate Status and Plan (published annually since 2022), which tracks progress toward climate commitments and serves as the Government’s reporting under the Climate Act. This report is presented to Parliament alongside the Ministry of Climate and Environment’s budget proposal. In addition, Norway has adopted a National Quality of Life Strategy, intro</w:t>
      </w:r>
      <w:r w:rsidRPr="006A6D19">
        <w:rPr>
          <w:lang w:val="en-GB"/>
        </w:rPr>
        <w:t>ducing more holistic measures of development, that reflect what matters most for people’s well-being.</w:t>
      </w:r>
    </w:p>
    <w:p w14:paraId="0193D407" w14:textId="77777777" w:rsidR="008A5841" w:rsidRPr="006A6D19" w:rsidRDefault="008A5841" w:rsidP="001609FA">
      <w:pPr>
        <w:pStyle w:val="Overskrift2"/>
        <w:rPr>
          <w:lang w:val="en-GB"/>
        </w:rPr>
      </w:pPr>
      <w:r w:rsidRPr="006A6D19">
        <w:rPr>
          <w:lang w:val="en-GB"/>
        </w:rPr>
        <w:t>The 2030 Agenda in Innovation and Industry Policy</w:t>
      </w:r>
    </w:p>
    <w:p w14:paraId="1F39D122" w14:textId="77777777" w:rsidR="008A5841" w:rsidRPr="006A6D19" w:rsidRDefault="008A5841" w:rsidP="001609FA">
      <w:pPr>
        <w:rPr>
          <w:lang w:val="en-GB"/>
        </w:rPr>
      </w:pPr>
      <w:r w:rsidRPr="006A6D19">
        <w:rPr>
          <w:lang w:val="en-GB"/>
        </w:rPr>
        <w:t xml:space="preserve">Norway has several tools to help reduce emissions: pricing of emissions, requirements and regulations, and various forms of support for transition. Some types of support, such as research and technology development, are important for bringing forward new solutions for emission reductions that benefit </w:t>
      </w:r>
      <w:proofErr w:type="gramStart"/>
      <w:r w:rsidRPr="006A6D19">
        <w:rPr>
          <w:lang w:val="en-GB"/>
        </w:rPr>
        <w:t>society as a whole</w:t>
      </w:r>
      <w:proofErr w:type="gramEnd"/>
      <w:r w:rsidRPr="006A6D19">
        <w:rPr>
          <w:lang w:val="en-GB"/>
        </w:rPr>
        <w:t>.</w:t>
      </w:r>
    </w:p>
    <w:p w14:paraId="0818CEDC" w14:textId="77777777" w:rsidR="008A5841" w:rsidRPr="006A6D19" w:rsidRDefault="008A5841" w:rsidP="001609FA">
      <w:pPr>
        <w:rPr>
          <w:lang w:val="en-GB"/>
        </w:rPr>
      </w:pPr>
      <w:r w:rsidRPr="006A6D19">
        <w:rPr>
          <w:lang w:val="en-GB"/>
        </w:rPr>
        <w:t>The business-oriented policy instruments are intended to promote value creation, innovation, and sustainable development in the business sector in cases where the market alone is unable to ensure the desired socioeconomically efficient allocation of resources. This may be due to asymmetric information, the need for public goods, or externalities, where economic actors do not consider the consequences of their activities for others. This can lead to the business sector underinvesting in r</w:t>
      </w:r>
      <w:r w:rsidRPr="006A6D19">
        <w:rPr>
          <w:lang w:val="en-GB"/>
        </w:rPr>
        <w:t>esearch and development compared with what is socioeconomically optimal, because the private profitability for individual firms is lower than the value of the research to society.</w:t>
      </w:r>
    </w:p>
    <w:p w14:paraId="3AC4942B" w14:textId="31753C3F" w:rsidR="008A5841" w:rsidRPr="006A6D19" w:rsidRDefault="008A5841" w:rsidP="001609FA">
      <w:pPr>
        <w:rPr>
          <w:lang w:val="en-GB"/>
        </w:rPr>
      </w:pPr>
      <w:r w:rsidRPr="006A6D19">
        <w:rPr>
          <w:lang w:val="en-GB"/>
        </w:rPr>
        <w:lastRenderedPageBreak/>
        <w:t>Research, development, and innovation are crucial for Norwegian companies to remain competitive internationally over time and for achieving the ambitious climate targets we have set. New solutions and technologies developed in the private sector also contribute to innovation in the public sector. The business-oriented policy instr</w:t>
      </w:r>
      <w:r w:rsidRPr="006A6D19">
        <w:rPr>
          <w:lang w:val="en-GB"/>
        </w:rPr>
        <w:t>uments cover the entire value chain, from research to commer</w:t>
      </w:r>
      <w:r w:rsidRPr="006A6D19">
        <w:rPr>
          <w:lang w:val="en-GB"/>
        </w:rPr>
        <w:t xml:space="preserve">cialisation and growth. Through these instruments, businesses can gain access to financing, innovation and business development infrastructure, expertise, networks, and advisory and profiling services. Environmental considerations are given significant weight when prioritising projects supported through the policy instrument agencies. In addition, businesses can make use of the </w:t>
      </w:r>
      <w:proofErr w:type="spellStart"/>
      <w:r w:rsidRPr="006A6D19">
        <w:rPr>
          <w:lang w:val="en-GB"/>
        </w:rPr>
        <w:t>Skattefunn</w:t>
      </w:r>
      <w:proofErr w:type="spellEnd"/>
      <w:r w:rsidRPr="006A6D19">
        <w:rPr>
          <w:lang w:val="en-GB"/>
        </w:rPr>
        <w:t xml:space="preserve"> tax deduction scheme, intended to promote R&amp;D investments in the business sector.</w:t>
      </w:r>
    </w:p>
    <w:p w14:paraId="22750755" w14:textId="77777777" w:rsidR="008A5841" w:rsidRPr="006A6D19" w:rsidRDefault="008A5841" w:rsidP="001609FA">
      <w:pPr>
        <w:rPr>
          <w:lang w:val="en-GB"/>
        </w:rPr>
      </w:pPr>
      <w:r w:rsidRPr="006A6D19">
        <w:rPr>
          <w:lang w:val="en-GB"/>
        </w:rPr>
        <w:t>Industry in Norway accounts for around</w:t>
      </w:r>
      <w:r w:rsidRPr="006A6D19">
        <w:rPr>
          <w:lang w:val="en-GB"/>
        </w:rPr>
        <w:t xml:space="preserve"> 25 percent of the country’s total emissions, a significant share of which comes from point-source emissions. To achieve the climate targets, industry must continue to reduce greenhouse gas emissions. Participation in the EU Emissions Trading System (ETS) is the most important policy instrument for achieving this.</w:t>
      </w:r>
    </w:p>
    <w:p w14:paraId="7EA7119B" w14:textId="77777777" w:rsidR="008A5841" w:rsidRPr="006A6D19" w:rsidRDefault="008A5841" w:rsidP="001609FA">
      <w:pPr>
        <w:rPr>
          <w:lang w:val="en-GB"/>
        </w:rPr>
      </w:pPr>
      <w:r w:rsidRPr="006A6D19">
        <w:rPr>
          <w:lang w:val="en-GB"/>
        </w:rPr>
        <w:t xml:space="preserve">The Government has presented Report to the Storting No. 16 (2024–2025) </w:t>
      </w:r>
      <w:r w:rsidRPr="006A6D19">
        <w:rPr>
          <w:rStyle w:val="kursiv"/>
          <w:lang w:val="en-GB"/>
        </w:rPr>
        <w:t>Industry – Competitiveness for a New Era</w:t>
      </w:r>
      <w:r w:rsidRPr="006A6D19">
        <w:rPr>
          <w:lang w:val="en-GB"/>
        </w:rPr>
        <w:t>, which provides an updated overview of the overall challenges and opportunities facing the industrial sector. The report includes measures related to framework conditions that are of broad significance for industry. The Government aims to contribute to increased value creation, facilitate profitable private investments, and promote a more adaptable and resilient business sector.</w:t>
      </w:r>
    </w:p>
    <w:tbl>
      <w:tblPr>
        <w:tblStyle w:val="StandardBoks"/>
        <w:tblW w:w="5000" w:type="pct"/>
        <w:tblLook w:val="0000" w:firstRow="0" w:lastRow="0" w:firstColumn="0" w:lastColumn="0" w:noHBand="0" w:noVBand="0"/>
      </w:tblPr>
      <w:tblGrid>
        <w:gridCol w:w="10466"/>
      </w:tblGrid>
      <w:tr w:rsidR="00D64CF7" w:rsidRPr="006A6D19" w14:paraId="6D7B7824" w14:textId="77777777" w:rsidTr="00D64CF7">
        <w:trPr>
          <w:trHeight w:val="5495"/>
        </w:trPr>
        <w:tc>
          <w:tcPr>
            <w:tcW w:w="5000" w:type="pct"/>
          </w:tcPr>
          <w:p w14:paraId="6A5B5D52" w14:textId="77777777" w:rsidR="00D64CF7" w:rsidRPr="006A6D19" w:rsidRDefault="00D64CF7" w:rsidP="00B765C1">
            <w:pPr>
              <w:pStyle w:val="avsnitt-tittel"/>
              <w:rPr>
                <w:lang w:val="en-GB"/>
              </w:rPr>
            </w:pPr>
            <w:r w:rsidRPr="006A6D19">
              <w:rPr>
                <w:lang w:val="en-GB"/>
              </w:rPr>
              <w:lastRenderedPageBreak/>
              <w:t>Message to the Government from Industry</w:t>
            </w:r>
          </w:p>
          <w:p w14:paraId="4E17EFED" w14:textId="77777777" w:rsidR="00D64CF7" w:rsidRPr="006A6D19" w:rsidRDefault="00D64CF7" w:rsidP="00B765C1">
            <w:pPr>
              <w:rPr>
                <w:rStyle w:val="kursiv"/>
                <w:lang w:val="en-GB"/>
              </w:rPr>
            </w:pPr>
            <w:r w:rsidRPr="006A6D19">
              <w:rPr>
                <w:rStyle w:val="kursiv"/>
                <w:lang w:val="en-GB"/>
              </w:rPr>
              <w:t>The following is an unedited message from UN Global Compact Norway.</w:t>
            </w:r>
          </w:p>
          <w:p w14:paraId="075C2879" w14:textId="77777777" w:rsidR="00D64CF7" w:rsidRPr="006A6D19" w:rsidRDefault="00D64CF7" w:rsidP="001609FA">
            <w:pPr>
              <w:pStyle w:val="avsnitt-undertittel"/>
              <w:rPr>
                <w:lang w:val="en-GB"/>
              </w:rPr>
            </w:pPr>
            <w:r w:rsidRPr="006A6D19">
              <w:rPr>
                <w:lang w:val="en-GB"/>
              </w:rPr>
              <w:t>From Ambition to Implementation: Enabling Conditions for Business Contribution to the SDGs</w:t>
            </w:r>
          </w:p>
          <w:p w14:paraId="75896778" w14:textId="77777777" w:rsidR="00D64CF7" w:rsidRPr="006A6D19" w:rsidRDefault="00D64CF7" w:rsidP="001609FA">
            <w:pPr>
              <w:rPr>
                <w:lang w:val="en-GB"/>
              </w:rPr>
            </w:pPr>
            <w:r w:rsidRPr="006A6D19">
              <w:rPr>
                <w:lang w:val="en-GB"/>
              </w:rPr>
              <w:t>Norway has demonstrated strong commitment to sustainable development and benefits from high levels of institutional trust, rule of law and social stability. These are significant assets in advancing the 2030 Agenda.</w:t>
            </w:r>
          </w:p>
          <w:p w14:paraId="33536BAB" w14:textId="77777777" w:rsidR="00D64CF7" w:rsidRPr="006A6D19" w:rsidRDefault="00D64CF7" w:rsidP="001609FA">
            <w:pPr>
              <w:rPr>
                <w:lang w:val="en-GB"/>
              </w:rPr>
            </w:pPr>
            <w:r w:rsidRPr="006A6D19">
              <w:rPr>
                <w:lang w:val="en-GB"/>
              </w:rPr>
              <w:t>As we move closer to 2030, the central challenge is no longer ambition alone, but implementation at scale. Delivering on the Sustainable Development Goals requires long-term investment, structural change and sustained collaboration between public authorities and business. From a business perspective, three enabling conditions are particularly important to ensure progress across the full SDG agenda – environmental, social and economic.</w:t>
            </w:r>
          </w:p>
          <w:p w14:paraId="22564961" w14:textId="77777777" w:rsidR="00D64CF7" w:rsidRPr="006A6D19" w:rsidRDefault="00D64CF7" w:rsidP="001609FA">
            <w:pPr>
              <w:pStyle w:val="avsnitt-undertittel"/>
              <w:rPr>
                <w:lang w:val="en-GB"/>
              </w:rPr>
            </w:pPr>
            <w:r w:rsidRPr="006A6D19">
              <w:rPr>
                <w:lang w:val="en-GB"/>
              </w:rPr>
              <w:t>First: Long-term Predictability</w:t>
            </w:r>
          </w:p>
          <w:p w14:paraId="6349C1F0" w14:textId="77777777" w:rsidR="00D64CF7" w:rsidRPr="006A6D19" w:rsidRDefault="00D64CF7" w:rsidP="001609FA">
            <w:pPr>
              <w:rPr>
                <w:lang w:val="en-GB"/>
              </w:rPr>
            </w:pPr>
            <w:r w:rsidRPr="006A6D19">
              <w:rPr>
                <w:lang w:val="en-GB"/>
              </w:rPr>
              <w:t>Transforming business models in line with the SDGs – whether related to climate, biodiversity, decent work, human rights, circularity or responsible value chains – requires significant capital investments, innovation and competence-building. These decisions require stable planning horizons and confidence that the rules of the game will not shift mid-course.</w:t>
            </w:r>
          </w:p>
          <w:p w14:paraId="1FA1FAC4" w14:textId="77777777" w:rsidR="00D64CF7" w:rsidRPr="006A6D19" w:rsidRDefault="00D64CF7" w:rsidP="001609FA">
            <w:pPr>
              <w:rPr>
                <w:lang w:val="en-GB"/>
              </w:rPr>
            </w:pPr>
            <w:r w:rsidRPr="006A6D19">
              <w:rPr>
                <w:lang w:val="en-GB"/>
              </w:rPr>
              <w:t>Stable and consistent framework conditions are therefore essential. Clear direction over time reduces uncertainty and enables companies to manage risk, mobilise capital and accelerate transformation. In contrast, frequent changes in priorities or conflicting signals may delay investment decisions and slow implementation.</w:t>
            </w:r>
          </w:p>
          <w:p w14:paraId="241DFE3B" w14:textId="77777777" w:rsidR="00D64CF7" w:rsidRPr="006A6D19" w:rsidRDefault="00D64CF7" w:rsidP="001609FA">
            <w:pPr>
              <w:pStyle w:val="avsnitt-undertittel"/>
              <w:rPr>
                <w:lang w:val="en-GB"/>
              </w:rPr>
            </w:pPr>
            <w:r w:rsidRPr="006A6D19">
              <w:rPr>
                <w:lang w:val="en-GB"/>
              </w:rPr>
              <w:t>Second: Policy Coherence and Coordination</w:t>
            </w:r>
          </w:p>
          <w:p w14:paraId="2DAEECC9" w14:textId="77777777" w:rsidR="00D64CF7" w:rsidRPr="006A6D19" w:rsidRDefault="00D64CF7" w:rsidP="001609FA">
            <w:pPr>
              <w:rPr>
                <w:lang w:val="en-GB"/>
              </w:rPr>
            </w:pPr>
            <w:r w:rsidRPr="006A6D19">
              <w:rPr>
                <w:lang w:val="en-GB"/>
              </w:rPr>
              <w:t>The SDGs are inherently interconnected. Climate policy, industrial policy, financial regulation, labour market policy and social inclusion efforts all shape the environment in which businesses operate.</w:t>
            </w:r>
          </w:p>
          <w:p w14:paraId="29449CA0" w14:textId="77777777" w:rsidR="00D64CF7" w:rsidRPr="006A6D19" w:rsidRDefault="00D64CF7" w:rsidP="001609FA">
            <w:pPr>
              <w:rPr>
                <w:lang w:val="en-GB"/>
              </w:rPr>
            </w:pPr>
            <w:r w:rsidRPr="006A6D19">
              <w:rPr>
                <w:lang w:val="en-GB"/>
              </w:rPr>
              <w:t>Effective implementation requires that objectives and instruments across policy areas reinforce rather than contradict each other. Fragmented governance increases complexity and transaction costs for companies and can weaken the overall pace of progress. A coordinated and whole-of-government approach strengthens both impact and legitimacy.</w:t>
            </w:r>
            <w:r w:rsidRPr="006A6D19">
              <w:rPr>
                <w:rStyle w:val="halvfet"/>
                <w:lang w:val="en-GB"/>
              </w:rPr>
              <w:t xml:space="preserve"> </w:t>
            </w:r>
          </w:p>
          <w:p w14:paraId="483981B0" w14:textId="77777777" w:rsidR="00D64CF7" w:rsidRPr="006A6D19" w:rsidRDefault="00D64CF7" w:rsidP="001609FA">
            <w:pPr>
              <w:pStyle w:val="avsnitt-undertittel"/>
              <w:rPr>
                <w:lang w:val="en-GB"/>
              </w:rPr>
            </w:pPr>
            <w:r w:rsidRPr="006A6D19">
              <w:rPr>
                <w:lang w:val="en-GB"/>
              </w:rPr>
              <w:t>Third: Stability of Core Principles</w:t>
            </w:r>
          </w:p>
          <w:p w14:paraId="6131156D" w14:textId="77777777" w:rsidR="00D64CF7" w:rsidRPr="006A6D19" w:rsidRDefault="00D64CF7" w:rsidP="001609FA">
            <w:pPr>
              <w:rPr>
                <w:lang w:val="en-GB"/>
              </w:rPr>
            </w:pPr>
            <w:r w:rsidRPr="006A6D19">
              <w:rPr>
                <w:lang w:val="en-GB"/>
              </w:rPr>
              <w:t>The Ten Principles of the UN Global Compact – covering human rights, labour standards, environment and anti-corruption – reflect widely shared expectations for responsible business conduct and provide a common normative foundation for markets.</w:t>
            </w:r>
          </w:p>
          <w:p w14:paraId="330FE44B" w14:textId="77777777" w:rsidR="00D64CF7" w:rsidRPr="006A6D19" w:rsidRDefault="00D64CF7" w:rsidP="001609FA">
            <w:pPr>
              <w:rPr>
                <w:lang w:val="en-GB"/>
              </w:rPr>
            </w:pPr>
            <w:r w:rsidRPr="006A6D19">
              <w:rPr>
                <w:lang w:val="en-GB"/>
              </w:rPr>
              <w:lastRenderedPageBreak/>
              <w:t>In contexts where sustainability becomes subject to political polarisation rather than treated as shared standards for responsible conduct, the normative foundation that responsible business depends on comes under pressure.</w:t>
            </w:r>
          </w:p>
          <w:p w14:paraId="03B5E818" w14:textId="77777777" w:rsidR="00D64CF7" w:rsidRPr="006A6D19" w:rsidRDefault="00D64CF7" w:rsidP="001609FA">
            <w:pPr>
              <w:rPr>
                <w:lang w:val="en-GB"/>
              </w:rPr>
            </w:pPr>
            <w:r w:rsidRPr="006A6D19">
              <w:rPr>
                <w:lang w:val="en-GB"/>
              </w:rPr>
              <w:t>Maintaining clarity and consistency in public expectations related to responsible business conduct is therefore not only a matter of values, but of market function. Clear and stable expectations contribute to a level playing field, reduce reputational and regulatory uncertainty, and support companies that seek to integrate sustainability into core strategy rather than treating it as a peripheral activity.</w:t>
            </w:r>
          </w:p>
          <w:p w14:paraId="749581D6" w14:textId="77777777" w:rsidR="00D64CF7" w:rsidRPr="006A6D19" w:rsidRDefault="00D64CF7" w:rsidP="001609FA">
            <w:pPr>
              <w:pStyle w:val="avsnitt-undertittel"/>
              <w:rPr>
                <w:lang w:val="en-GB"/>
              </w:rPr>
            </w:pPr>
            <w:r w:rsidRPr="006A6D19">
              <w:rPr>
                <w:lang w:val="en-GB"/>
              </w:rPr>
              <w:t>Implementation under Uncertainty</w:t>
            </w:r>
          </w:p>
          <w:p w14:paraId="26A2D386" w14:textId="77777777" w:rsidR="00D64CF7" w:rsidRPr="006A6D19" w:rsidRDefault="00D64CF7" w:rsidP="001609FA">
            <w:pPr>
              <w:rPr>
                <w:lang w:val="en-GB"/>
              </w:rPr>
            </w:pPr>
            <w:r w:rsidRPr="006A6D19">
              <w:rPr>
                <w:lang w:val="en-GB"/>
              </w:rPr>
              <w:t>The decisions businesses make – or defer – in the coming years will determine whether Norway’s sustainability ambitions translate into structural change or remain commitments on paper. Delayed investment carries real costs: for Norway’s competitiveness, for SDG progress, and for the credibility of the responsible business model.</w:t>
            </w:r>
          </w:p>
          <w:p w14:paraId="4F997AFE" w14:textId="77777777" w:rsidR="00D64CF7" w:rsidRPr="006A6D19" w:rsidRDefault="00D64CF7" w:rsidP="001609FA">
            <w:pPr>
              <w:rPr>
                <w:lang w:val="en-GB"/>
              </w:rPr>
            </w:pPr>
            <w:r w:rsidRPr="006A6D19">
              <w:rPr>
                <w:lang w:val="en-GB"/>
              </w:rPr>
              <w:t>Increased global uncertainty – including geopolitical instability, economic pressure and the risk of normative drift – may accelerate this dynamic.</w:t>
            </w:r>
          </w:p>
          <w:p w14:paraId="2ABE9C35" w14:textId="4E104EC5" w:rsidR="00D64CF7" w:rsidRPr="006A6D19" w:rsidRDefault="00D64CF7" w:rsidP="001609FA">
            <w:pPr>
              <w:spacing w:after="160"/>
              <w:rPr>
                <w:lang w:val="en-GB"/>
              </w:rPr>
            </w:pPr>
            <w:r w:rsidRPr="006A6D19">
              <w:rPr>
                <w:lang w:val="en-GB"/>
              </w:rPr>
              <w:t>This is not primarily a question of individual policy instruments, but of direction, consistency and institutional quality – and ultimately, of measurable results in Norway’s work with the 2030 Agenda.</w:t>
            </w:r>
          </w:p>
        </w:tc>
      </w:tr>
    </w:tbl>
    <w:p w14:paraId="7964A9A2" w14:textId="77777777" w:rsidR="008A5841" w:rsidRPr="006A6D19" w:rsidRDefault="008A5841" w:rsidP="001609FA">
      <w:pPr>
        <w:rPr>
          <w:lang w:val="en-GB"/>
        </w:rPr>
      </w:pPr>
    </w:p>
    <w:p w14:paraId="25CCAE27" w14:textId="77777777" w:rsidR="008A5841" w:rsidRPr="006A6D19" w:rsidRDefault="008A5841" w:rsidP="001609FA">
      <w:pPr>
        <w:pStyle w:val="Overskrift2"/>
        <w:rPr>
          <w:lang w:val="en-GB"/>
        </w:rPr>
      </w:pPr>
      <w:r w:rsidRPr="006A6D19">
        <w:rPr>
          <w:lang w:val="en-GB"/>
        </w:rPr>
        <w:t>The 2030 Agenda in Education System and Research Policy</w:t>
      </w:r>
    </w:p>
    <w:p w14:paraId="3841E336" w14:textId="77777777" w:rsidR="008A5841" w:rsidRPr="006A6D19" w:rsidRDefault="008A5841" w:rsidP="001609FA">
      <w:pPr>
        <w:rPr>
          <w:lang w:val="en-GB"/>
        </w:rPr>
      </w:pPr>
      <w:r w:rsidRPr="006A6D19">
        <w:rPr>
          <w:lang w:val="en-GB"/>
        </w:rPr>
        <w:t>The Education 2030 agenda was adopted in 2015 to ensure inclusive and equitable education and promote lifelong learning opportunities for all by 2030, through a set of defined targets under the SDG 4.</w:t>
      </w:r>
    </w:p>
    <w:p w14:paraId="52B66EAD" w14:textId="77777777" w:rsidR="008A5841" w:rsidRPr="006A6D19" w:rsidRDefault="008A5841" w:rsidP="001609FA">
      <w:pPr>
        <w:rPr>
          <w:lang w:val="en-GB"/>
        </w:rPr>
      </w:pPr>
      <w:r w:rsidRPr="006A6D19">
        <w:rPr>
          <w:lang w:val="en-GB"/>
        </w:rPr>
        <w:t>In Norway, the principles of sustainable development are integrated into the educational system through national curricula for primary and secondary education. Sustainable development is an interdisciplinary topic in the curricula, comprising challenges related to the environment, climate, poverty and resource distribution, as well as issues related to health, demography, education, equality and conflict. The Government expects pupils to develop the knowledge and competence needed to understand sustainabil</w:t>
      </w:r>
      <w:r w:rsidRPr="006A6D19">
        <w:rPr>
          <w:lang w:val="en-GB"/>
        </w:rPr>
        <w:t>ity challenges and to make informed and responsible choices.</w:t>
      </w:r>
    </w:p>
    <w:p w14:paraId="3BC0B771" w14:textId="77777777" w:rsidR="008A5841" w:rsidRPr="006A6D19" w:rsidRDefault="008A5841" w:rsidP="001609FA">
      <w:pPr>
        <w:rPr>
          <w:lang w:val="en-GB"/>
        </w:rPr>
      </w:pPr>
      <w:r w:rsidRPr="006A6D19">
        <w:rPr>
          <w:lang w:val="en-GB"/>
        </w:rPr>
        <w:t>Norway’s long-term policy frameworks for research and higher education embeds the objectives of the 2030 Agenda. Sustainability considerations shape strategic priorities across education, research and innovation policy. The Norwegian Government prioritises tuition-free, high-quality higher education that is accessible to all, including through decentralised provision and flexible modes of study. A key objective is to widen participation by recruit</w:t>
      </w:r>
      <w:r w:rsidRPr="006A6D19">
        <w:rPr>
          <w:lang w:val="en-GB"/>
        </w:rPr>
        <w:t xml:space="preserve">ing students from a broader range of social and socio-economic backgrounds. In 2027, the Government will present a strategy to strengthen recruitment in </w:t>
      </w:r>
      <w:r w:rsidRPr="006A6D19">
        <w:rPr>
          <w:lang w:val="en-GB"/>
        </w:rPr>
        <w:lastRenderedPageBreak/>
        <w:t>mathematical, technical and science-based fields (STEM), as well as measures to improve gender balance in these fields.</w:t>
      </w:r>
    </w:p>
    <w:p w14:paraId="6B4A46A9" w14:textId="77777777" w:rsidR="008A5841" w:rsidRPr="006A6D19" w:rsidRDefault="008A5841" w:rsidP="001609FA">
      <w:pPr>
        <w:rPr>
          <w:lang w:val="en-GB"/>
        </w:rPr>
      </w:pPr>
      <w:r w:rsidRPr="006A6D19">
        <w:rPr>
          <w:lang w:val="en-GB"/>
        </w:rPr>
        <w:t>Within nationally defined frameworks and strategic policy documents, universities and university colleges are responsible for the content of study programmes. Sustainability perspectives are increasingly integrated into higher education cu</w:t>
      </w:r>
      <w:r w:rsidRPr="006A6D19">
        <w:rPr>
          <w:lang w:val="en-GB"/>
        </w:rPr>
        <w:t>rricula, through interdisciplinary approaches, research-based education and programme development aligned with Norwegian societal and labour market needs.</w:t>
      </w:r>
    </w:p>
    <w:p w14:paraId="1B85AEB8" w14:textId="77777777" w:rsidR="008A5841" w:rsidRPr="006A6D19" w:rsidRDefault="008A5841" w:rsidP="001609FA">
      <w:pPr>
        <w:rPr>
          <w:lang w:val="en-GB"/>
        </w:rPr>
      </w:pPr>
      <w:r w:rsidRPr="006A6D19">
        <w:rPr>
          <w:lang w:val="en-GB"/>
        </w:rPr>
        <w:t>Research and innovation policy is an important component of Norway’s implementation of the 2030 Agenda. Norwegian research and innovation actors contribute to coordinated research efforts, knowledge development and innovation aligned with shared objectives related to green transition and sustainability, both on the national and the international level. Th</w:t>
      </w:r>
      <w:r w:rsidRPr="006A6D19">
        <w:rPr>
          <w:lang w:val="en-GB"/>
        </w:rPr>
        <w:t>is includes cooperation on research and policy development, as well as collaboration to promote mobility, recognition of qualifications and capacity-building in higher education.</w:t>
      </w:r>
    </w:p>
    <w:p w14:paraId="728C7CEB" w14:textId="77777777" w:rsidR="008A5841" w:rsidRPr="006A6D19" w:rsidRDefault="008A5841" w:rsidP="001609FA">
      <w:pPr>
        <w:rPr>
          <w:lang w:val="en-GB"/>
        </w:rPr>
      </w:pPr>
      <w:r w:rsidRPr="006A6D19">
        <w:rPr>
          <w:lang w:val="en-GB"/>
        </w:rPr>
        <w:t>Through these combined national and international efforts, Norway contributes to the achievement of SDG 4 and related goals under the 2030 Agenda.</w:t>
      </w:r>
    </w:p>
    <w:tbl>
      <w:tblPr>
        <w:tblStyle w:val="StandardBoks"/>
        <w:tblW w:w="5000" w:type="pct"/>
        <w:tblLook w:val="0000" w:firstRow="0" w:lastRow="0" w:firstColumn="0" w:lastColumn="0" w:noHBand="0" w:noVBand="0"/>
      </w:tblPr>
      <w:tblGrid>
        <w:gridCol w:w="10466"/>
      </w:tblGrid>
      <w:tr w:rsidR="00D64CF7" w:rsidRPr="006A6D19" w14:paraId="0B48B21E" w14:textId="77777777" w:rsidTr="00D64CF7">
        <w:trPr>
          <w:trHeight w:val="18"/>
        </w:trPr>
        <w:tc>
          <w:tcPr>
            <w:tcW w:w="5000" w:type="pct"/>
          </w:tcPr>
          <w:p w14:paraId="12A1266E" w14:textId="77777777" w:rsidR="00D64CF7" w:rsidRPr="006A6D19" w:rsidRDefault="00D64CF7" w:rsidP="00B765C1">
            <w:pPr>
              <w:pStyle w:val="avsnitt-tittel"/>
              <w:rPr>
                <w:lang w:val="en-GB"/>
              </w:rPr>
            </w:pPr>
            <w:r w:rsidRPr="006A6D19">
              <w:rPr>
                <w:lang w:val="en-GB"/>
              </w:rPr>
              <w:lastRenderedPageBreak/>
              <w:t>Message to the Government from Academia</w:t>
            </w:r>
          </w:p>
          <w:p w14:paraId="4B4C0288" w14:textId="77777777" w:rsidR="00D64CF7" w:rsidRPr="006A6D19" w:rsidRDefault="00D64CF7" w:rsidP="00B765C1">
            <w:pPr>
              <w:rPr>
                <w:rStyle w:val="kursiv"/>
                <w:lang w:val="en-GB"/>
              </w:rPr>
            </w:pPr>
            <w:r w:rsidRPr="006A6D19">
              <w:rPr>
                <w:rStyle w:val="kursiv"/>
                <w:lang w:val="en-GB"/>
              </w:rPr>
              <w:t>The following is an unedited message from the Sustainability Committee for Higher Education.</w:t>
            </w:r>
          </w:p>
          <w:p w14:paraId="3E09FA91" w14:textId="77777777" w:rsidR="00D64CF7" w:rsidRPr="006A6D19" w:rsidRDefault="00D64CF7" w:rsidP="001609FA">
            <w:pPr>
              <w:rPr>
                <w:lang w:val="en-GB"/>
              </w:rPr>
            </w:pPr>
            <w:r w:rsidRPr="006A6D19">
              <w:rPr>
                <w:lang w:val="en-GB"/>
              </w:rPr>
              <w:t>As a highly educated society with strong institutions and resources, Norway is well positioned to advance sustainable development. At the same time, climate change, biodiversity loss, and social inequalities highlight the need for substantial changes. This makes it increasingly important to define and strengthen the role of higher education institutions in advancing societal transformation.</w:t>
            </w:r>
          </w:p>
          <w:p w14:paraId="1FDE5A61" w14:textId="77777777" w:rsidR="00D64CF7" w:rsidRPr="006A6D19" w:rsidRDefault="00D64CF7" w:rsidP="001609FA">
            <w:pPr>
              <w:pStyle w:val="avsnitt-undertittel"/>
              <w:rPr>
                <w:lang w:val="en-GB"/>
              </w:rPr>
            </w:pPr>
            <w:r w:rsidRPr="006A6D19">
              <w:rPr>
                <w:lang w:val="en-GB"/>
              </w:rPr>
              <w:t>Universities as Drivers of Societal Transformation Toward Sustainability</w:t>
            </w:r>
          </w:p>
          <w:p w14:paraId="303DFC94" w14:textId="77777777" w:rsidR="00D64CF7" w:rsidRPr="006A6D19" w:rsidRDefault="00D64CF7" w:rsidP="00B765C1">
            <w:pPr>
              <w:rPr>
                <w:lang w:val="en-GB"/>
              </w:rPr>
            </w:pPr>
            <w:r w:rsidRPr="006A6D19">
              <w:rPr>
                <w:lang w:val="en-GB"/>
              </w:rPr>
              <w:t>As stated in the Norwegian University and University College Act (§ 1-1), higher education institutions are mandated to “contribute to an environmentally, socially and economically sustainable development.” This creates a clear expectation that the university sector has a major responsibility to help ensure that society achieves the transformation that the 2030 Agenda requires.</w:t>
            </w:r>
          </w:p>
          <w:p w14:paraId="550F7C3A" w14:textId="77777777" w:rsidR="00D64CF7" w:rsidRPr="006A6D19" w:rsidRDefault="00D64CF7" w:rsidP="001609FA">
            <w:pPr>
              <w:rPr>
                <w:lang w:val="en-GB"/>
              </w:rPr>
            </w:pPr>
            <w:r w:rsidRPr="006A6D19">
              <w:rPr>
                <w:lang w:val="en-GB"/>
              </w:rPr>
              <w:t>While Norwegian higher education institutions have made progress integrating sustainability over the recent years, research shows that incremental changes are insufficient. To act as systemic drivers of change, universities must strengthen their role within the broader societal system, align internal structures with societal needs, and operate within supportive national frameworks and societal partnerships.</w:t>
            </w:r>
          </w:p>
          <w:p w14:paraId="4E1D9B54" w14:textId="77777777" w:rsidR="00D64CF7" w:rsidRPr="006A6D19" w:rsidRDefault="00D64CF7" w:rsidP="001609FA">
            <w:pPr>
              <w:pStyle w:val="avsnitt-undertittel"/>
              <w:rPr>
                <w:lang w:val="en-GB"/>
              </w:rPr>
            </w:pPr>
            <w:r w:rsidRPr="006A6D19">
              <w:rPr>
                <w:lang w:val="en-GB"/>
              </w:rPr>
              <w:t>Integrating Sustainability Across Functions</w:t>
            </w:r>
          </w:p>
          <w:p w14:paraId="60DCD2AF" w14:textId="77777777" w:rsidR="00D64CF7" w:rsidRPr="006A6D19" w:rsidRDefault="00D64CF7" w:rsidP="00B765C1">
            <w:pPr>
              <w:rPr>
                <w:lang w:val="en-GB"/>
              </w:rPr>
            </w:pPr>
            <w:r w:rsidRPr="006A6D19">
              <w:rPr>
                <w:lang w:val="en-GB"/>
              </w:rPr>
              <w:t>Evidence from whole institution approaches and sustainability transitions indicates that impact is greatest when sustainability is embedded across governance, leadership, research, education, operations, and partnerships. Societal impact can also be strengthened when universities move beyond discipline-bound, publication-focused models toward mission-oriented, societally embedded knowledge production.</w:t>
            </w:r>
          </w:p>
          <w:p w14:paraId="2C3F5F93" w14:textId="77777777" w:rsidR="00D64CF7" w:rsidRPr="006A6D19" w:rsidRDefault="00D64CF7" w:rsidP="001609FA">
            <w:pPr>
              <w:rPr>
                <w:lang w:val="en-GB"/>
              </w:rPr>
            </w:pPr>
            <w:r w:rsidRPr="006A6D19">
              <w:rPr>
                <w:lang w:val="en-GB"/>
              </w:rPr>
              <w:t>Aligning strategies, incentives, and evaluation systems with sustainability objectives, strengthening interdisciplinary and transdisciplinary research, and recognising societal relevance alongside academic excellence are essential steps. Such integration enables universities to connect knowledge generation directly to real-world challenges and contribute meaningfully to sustainable societal transformation.</w:t>
            </w:r>
          </w:p>
          <w:p w14:paraId="164265E5" w14:textId="77777777" w:rsidR="00D64CF7" w:rsidRPr="006A6D19" w:rsidRDefault="00D64CF7" w:rsidP="001609FA">
            <w:pPr>
              <w:pStyle w:val="avsnitt-undertittel"/>
              <w:rPr>
                <w:lang w:val="en-GB"/>
              </w:rPr>
            </w:pPr>
            <w:r w:rsidRPr="006A6D19">
              <w:rPr>
                <w:lang w:val="en-GB"/>
              </w:rPr>
              <w:t>Educating for Sustainable Futures</w:t>
            </w:r>
          </w:p>
          <w:p w14:paraId="0C4BAD5B" w14:textId="77777777" w:rsidR="00D64CF7" w:rsidRPr="006A6D19" w:rsidRDefault="00D64CF7" w:rsidP="00B765C1">
            <w:pPr>
              <w:rPr>
                <w:lang w:val="en-GB"/>
              </w:rPr>
            </w:pPr>
            <w:r w:rsidRPr="006A6D19">
              <w:rPr>
                <w:lang w:val="en-GB"/>
              </w:rPr>
              <w:t xml:space="preserve">Research on sustainability competencies and transformative learning highlights that higher education requires a paradigm shift. </w:t>
            </w:r>
            <w:hyperlink r:id="rId21" w:history="1">
              <w:r w:rsidRPr="006A6D19">
                <w:rPr>
                  <w:rStyle w:val="Hyperkobling"/>
                  <w:lang w:val="en-GB"/>
                </w:rPr>
                <w:t>UNESCO</w:t>
              </w:r>
            </w:hyperlink>
            <w:r w:rsidRPr="006A6D19">
              <w:rPr>
                <w:lang w:val="en-GB"/>
              </w:rPr>
              <w:t xml:space="preserve"> emphasises that sustainable development depends on key cross-cutting competencies that enable learners to engage responsibly with complex challenges.</w:t>
            </w:r>
          </w:p>
          <w:p w14:paraId="4E462126" w14:textId="77777777" w:rsidR="00D64CF7" w:rsidRPr="006A6D19" w:rsidRDefault="00D64CF7" w:rsidP="001609FA">
            <w:pPr>
              <w:rPr>
                <w:lang w:val="en-GB"/>
              </w:rPr>
            </w:pPr>
            <w:r w:rsidRPr="006A6D19">
              <w:rPr>
                <w:lang w:val="en-GB"/>
              </w:rPr>
              <w:t xml:space="preserve">Higher education must therefore integrate sustainability learning outcomes across all programs, fostering interdisciplinary, challenge-based, and experiential learning that prepares students to match their problem-solving approaches to the complexity of real-world issues. While well-defined problems may be addressed within disciplines, sustainable solutions require broader systems </w:t>
            </w:r>
            <w:r w:rsidRPr="006A6D19">
              <w:rPr>
                <w:lang w:val="en-GB"/>
              </w:rPr>
              <w:lastRenderedPageBreak/>
              <w:t>thinking and, for more complex challenges, transdisciplinary collaboration. Equipping all graduates with these competencies is essential for enabling sustainable societal transitions. Although many institutions have begun this shift, further systemic integration is needed to ensure sustainability competence becomes universal rather than optional.</w:t>
            </w:r>
          </w:p>
          <w:p w14:paraId="73728545" w14:textId="77777777" w:rsidR="00D64CF7" w:rsidRPr="006A6D19" w:rsidRDefault="00D64CF7" w:rsidP="001609FA">
            <w:pPr>
              <w:pStyle w:val="avsnitt-undertittel"/>
              <w:rPr>
                <w:lang w:val="en-GB"/>
              </w:rPr>
            </w:pPr>
            <w:r w:rsidRPr="006A6D19">
              <w:rPr>
                <w:lang w:val="en-GB"/>
              </w:rPr>
              <w:t>Shared Responsibility and Enabling Frameworks</w:t>
            </w:r>
          </w:p>
          <w:p w14:paraId="0B6F9970" w14:textId="77777777" w:rsidR="00D64CF7" w:rsidRPr="006A6D19" w:rsidRDefault="00D64CF7" w:rsidP="00B765C1">
            <w:pPr>
              <w:rPr>
                <w:lang w:val="en-GB"/>
              </w:rPr>
            </w:pPr>
            <w:r w:rsidRPr="006A6D19">
              <w:rPr>
                <w:lang w:val="en-GB"/>
              </w:rPr>
              <w:t>Research highlights that transformative change requires enabling conditions beyond individual institutions. Stable funding, evaluation systems that reward societal engagement, and strong protection of academic freedom are essential. Transformation is a shared responsibility among universities, government, funding agencies, and civil society.</w:t>
            </w:r>
          </w:p>
          <w:p w14:paraId="535E0A6B" w14:textId="77777777" w:rsidR="00D64CF7" w:rsidRPr="006A6D19" w:rsidRDefault="00D64CF7" w:rsidP="001609FA">
            <w:pPr>
              <w:pStyle w:val="avsnitt-undertittel"/>
              <w:rPr>
                <w:lang w:val="en-GB"/>
              </w:rPr>
            </w:pPr>
            <w:r w:rsidRPr="006A6D19">
              <w:rPr>
                <w:lang w:val="en-GB"/>
              </w:rPr>
              <w:t>The Way Forward</w:t>
            </w:r>
          </w:p>
          <w:p w14:paraId="59C29591" w14:textId="77777777" w:rsidR="00D64CF7" w:rsidRPr="006A6D19" w:rsidRDefault="00D64CF7" w:rsidP="00B765C1">
            <w:pPr>
              <w:rPr>
                <w:lang w:val="en-GB"/>
              </w:rPr>
            </w:pPr>
            <w:r w:rsidRPr="006A6D19">
              <w:rPr>
                <w:lang w:val="en-GB"/>
              </w:rPr>
              <w:t>The National Sustainability Committee for Higher Education recommends that Norwegian universities:</w:t>
            </w:r>
          </w:p>
          <w:p w14:paraId="18F0CEB2" w14:textId="77777777" w:rsidR="00D64CF7" w:rsidRPr="006A6D19" w:rsidRDefault="00D64CF7" w:rsidP="001609FA">
            <w:pPr>
              <w:pStyle w:val="Nummerertliste"/>
              <w:rPr>
                <w:lang w:val="en-GB"/>
              </w:rPr>
            </w:pPr>
            <w:r w:rsidRPr="006A6D19">
              <w:rPr>
                <w:lang w:val="en-GB"/>
              </w:rPr>
              <w:t>Move beyond incremental changes toward paradigm shift and institutional transformation.</w:t>
            </w:r>
          </w:p>
          <w:p w14:paraId="69362F2B" w14:textId="77777777" w:rsidR="00D64CF7" w:rsidRPr="006A6D19" w:rsidRDefault="00D64CF7" w:rsidP="001609FA">
            <w:pPr>
              <w:pStyle w:val="Nummerertliste"/>
              <w:rPr>
                <w:lang w:val="en-GB"/>
              </w:rPr>
            </w:pPr>
            <w:r w:rsidRPr="006A6D19">
              <w:rPr>
                <w:lang w:val="en-GB"/>
              </w:rPr>
              <w:t>Prioritise interdisciplinary and transdisciplinary research and education on societal challenges, where living labs represent one promising approach for integrating collaboration, experimentation, and real-world learning.</w:t>
            </w:r>
          </w:p>
          <w:p w14:paraId="5EBC80C7" w14:textId="77777777" w:rsidR="00D64CF7" w:rsidRPr="006A6D19" w:rsidRDefault="00D64CF7" w:rsidP="001609FA">
            <w:pPr>
              <w:pStyle w:val="Nummerertliste"/>
              <w:rPr>
                <w:lang w:val="en-GB"/>
              </w:rPr>
            </w:pPr>
            <w:r w:rsidRPr="006A6D19">
              <w:rPr>
                <w:lang w:val="en-GB"/>
              </w:rPr>
              <w:t>Systematically embed transformative learning and sustainability competence for all graduates.</w:t>
            </w:r>
          </w:p>
          <w:p w14:paraId="00A52B50" w14:textId="77777777" w:rsidR="00D64CF7" w:rsidRPr="006A6D19" w:rsidRDefault="00D64CF7" w:rsidP="001609FA">
            <w:pPr>
              <w:pStyle w:val="Nummerertliste"/>
              <w:rPr>
                <w:lang w:val="en-GB"/>
              </w:rPr>
            </w:pPr>
            <w:r w:rsidRPr="006A6D19">
              <w:rPr>
                <w:lang w:val="en-GB"/>
              </w:rPr>
              <w:t>Integrate sustainability across all university operations to serve as living examples and build societal trust.</w:t>
            </w:r>
          </w:p>
          <w:p w14:paraId="5B7B4772" w14:textId="77777777" w:rsidR="00D64CF7" w:rsidRPr="006A6D19" w:rsidRDefault="00D64CF7" w:rsidP="001609FA">
            <w:pPr>
              <w:pStyle w:val="Nummerertliste"/>
              <w:rPr>
                <w:lang w:val="en-GB"/>
              </w:rPr>
            </w:pPr>
            <w:r w:rsidRPr="006A6D19">
              <w:rPr>
                <w:lang w:val="en-GB"/>
              </w:rPr>
              <w:t>Ensure that national frameworks and funding systems enable systemic sustainability transformation while protecting academic freedom.</w:t>
            </w:r>
          </w:p>
          <w:p w14:paraId="2370C0C6" w14:textId="77777777" w:rsidR="00D64CF7" w:rsidRPr="006A6D19" w:rsidRDefault="00D64CF7" w:rsidP="001609FA">
            <w:pPr>
              <w:rPr>
                <w:lang w:val="en-GB"/>
              </w:rPr>
            </w:pPr>
            <w:r w:rsidRPr="006A6D19">
              <w:rPr>
                <w:lang w:val="en-GB"/>
              </w:rPr>
              <w:t>Together, these directions illustrate how universities can strengthen their societal role as drivers of sustainable transformation, building on progress achieved while recognising the systemic work still ahead.</w:t>
            </w:r>
          </w:p>
          <w:p w14:paraId="128B765E" w14:textId="37A04180" w:rsidR="00D64CF7" w:rsidRPr="006A6D19" w:rsidRDefault="00D64CF7" w:rsidP="001609FA">
            <w:pPr>
              <w:pStyle w:val="Note"/>
              <w:rPr>
                <w:lang w:val="en-GB"/>
              </w:rPr>
            </w:pPr>
            <w:r w:rsidRPr="006A6D19">
              <w:rPr>
                <w:lang w:val="en-GB"/>
              </w:rPr>
              <w:t>The Sustainability Committee for Higher Education was established in 2018 and now consists of members from six major Norwegian universities, as well as a representative from Universities Norway (UHR) and from the National Union of Students in Norway (NSO). The Ministry of Foreign Affairs, The Ministry of Education and Research, The Ministry of Digitalisation and Public Governance, and the Norwegian Agency for Development Cooperation (Norad) act as observers in the committee.</w:t>
            </w:r>
          </w:p>
        </w:tc>
      </w:tr>
    </w:tbl>
    <w:p w14:paraId="0B0A7C92" w14:textId="77777777" w:rsidR="008A5841" w:rsidRPr="006A6D19" w:rsidRDefault="008A5841" w:rsidP="001609FA">
      <w:pPr>
        <w:rPr>
          <w:lang w:val="en-GB"/>
        </w:rPr>
      </w:pPr>
    </w:p>
    <w:p w14:paraId="2C5997C0" w14:textId="77777777" w:rsidR="008A5841" w:rsidRPr="006A6D19" w:rsidRDefault="008A5841" w:rsidP="001609FA">
      <w:pPr>
        <w:pStyle w:val="Overskrift2"/>
        <w:rPr>
          <w:lang w:val="en-GB"/>
        </w:rPr>
      </w:pPr>
      <w:r w:rsidRPr="006A6D19">
        <w:rPr>
          <w:lang w:val="en-GB"/>
        </w:rPr>
        <w:t>Norway’</w:t>
      </w:r>
      <w:r w:rsidRPr="006A6D19">
        <w:rPr>
          <w:lang w:val="en-GB"/>
        </w:rPr>
        <w:t>s Official Development Assistance</w:t>
      </w:r>
    </w:p>
    <w:p w14:paraId="041F68C3" w14:textId="77777777" w:rsidR="008A5841" w:rsidRPr="006A6D19" w:rsidRDefault="008A5841" w:rsidP="001609FA">
      <w:pPr>
        <w:rPr>
          <w:lang w:val="en-GB"/>
        </w:rPr>
      </w:pPr>
      <w:r w:rsidRPr="006A6D19">
        <w:rPr>
          <w:lang w:val="en-GB"/>
        </w:rPr>
        <w:t>Norway has for several years provided around 1 percent of GNI in official development assistance (ODA), see figure below. In 2025, when the overall level of development aid fell with more than 23 percent, Norway was one of only four member countries of the Development Assistance Committee (DAC) which met or exceeded the United Nations’ target of 0.7 per cent of GNI going to ODA.</w:t>
      </w:r>
    </w:p>
    <w:p w14:paraId="4402A34F" w14:textId="77777777" w:rsidR="008A5841" w:rsidRPr="006A6D19" w:rsidRDefault="008A5841" w:rsidP="001609FA">
      <w:pPr>
        <w:pStyle w:val="figur-tittel"/>
        <w:rPr>
          <w:lang w:val="en-GB"/>
        </w:rPr>
      </w:pPr>
      <w:r w:rsidRPr="006A6D19">
        <w:rPr>
          <w:lang w:val="en-GB"/>
        </w:rPr>
        <w:t>Official Development Assistance as share of GNI</w:t>
      </w:r>
    </w:p>
    <w:p w14:paraId="343FD675" w14:textId="51FFA36F" w:rsidR="008A5841" w:rsidRPr="006A6D19" w:rsidRDefault="00D64CF7" w:rsidP="00D64CF7">
      <w:pPr>
        <w:rPr>
          <w:lang w:val="en-GB"/>
        </w:rPr>
      </w:pPr>
      <w:r w:rsidRPr="006A6D19">
        <w:rPr>
          <w:noProof/>
          <w:lang w:val="en-GB"/>
        </w:rPr>
        <w:lastRenderedPageBreak/>
        <w:drawing>
          <wp:inline distT="0" distB="0" distL="0" distR="0" wp14:anchorId="014E6FE3" wp14:editId="61B0CAD4">
            <wp:extent cx="6638925" cy="3000375"/>
            <wp:effectExtent l="0" t="0" r="9525" b="9525"/>
            <wp:docPr id="30145454" name="Bilde 36" descr="Official Development Assistance as share of G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45454" name="Bilde 36" descr="Official Development Assistance as share of GNI"/>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38925" cy="3000375"/>
                    </a:xfrm>
                    <a:prstGeom prst="rect">
                      <a:avLst/>
                    </a:prstGeom>
                    <a:noFill/>
                    <a:ln>
                      <a:noFill/>
                    </a:ln>
                  </pic:spPr>
                </pic:pic>
              </a:graphicData>
            </a:graphic>
          </wp:inline>
        </w:drawing>
      </w:r>
    </w:p>
    <w:p w14:paraId="1013084B" w14:textId="77777777" w:rsidR="008A5841" w:rsidRPr="006A6D19" w:rsidRDefault="008A5841" w:rsidP="001609FA">
      <w:pPr>
        <w:pStyle w:val="Kilde"/>
        <w:rPr>
          <w:lang w:val="en-GB"/>
        </w:rPr>
      </w:pPr>
      <w:r w:rsidRPr="006A6D19">
        <w:rPr>
          <w:lang w:val="en-GB"/>
        </w:rPr>
        <w:t>Source: OECD, 2025</w:t>
      </w:r>
    </w:p>
    <w:p w14:paraId="4531EB27" w14:textId="77777777" w:rsidR="008A5841" w:rsidRPr="006A6D19" w:rsidRDefault="008A5841" w:rsidP="001609FA">
      <w:pPr>
        <w:rPr>
          <w:lang w:val="en-GB"/>
        </w:rPr>
      </w:pPr>
      <w:r w:rsidRPr="006A6D19">
        <w:rPr>
          <w:lang w:val="en-GB"/>
        </w:rPr>
        <w:t xml:space="preserve">Norway has also consistently reached the UN target to give between 0.15 and 0.20 per cent of GNI to LDCs. Norwegian development assistance has grown substantially over the last decade and totalled NOK 58.9 billion in 2025. </w:t>
      </w:r>
    </w:p>
    <w:p w14:paraId="27172311" w14:textId="77777777" w:rsidR="008A5841" w:rsidRPr="006A6D19" w:rsidRDefault="008A5841" w:rsidP="001609FA">
      <w:pPr>
        <w:rPr>
          <w:lang w:val="en-GB"/>
        </w:rPr>
      </w:pPr>
      <w:r w:rsidRPr="006A6D19">
        <w:rPr>
          <w:lang w:val="en-GB"/>
        </w:rPr>
        <w:t xml:space="preserve">The main goal of the Norwegian development policy is to combat poverty and promote economic growth and welfare in developing countries, within the framework of human rights, the SDGs and the Paris Agreement. </w:t>
      </w:r>
    </w:p>
    <w:p w14:paraId="3DA90C3B" w14:textId="77777777" w:rsidR="008A5841" w:rsidRPr="006A6D19" w:rsidRDefault="008A5841" w:rsidP="001609FA">
      <w:pPr>
        <w:rPr>
          <w:lang w:val="en-GB"/>
        </w:rPr>
      </w:pPr>
      <w:r w:rsidRPr="006A6D19">
        <w:rPr>
          <w:lang w:val="en-GB"/>
        </w:rPr>
        <w:t>Since 2021, the two main new features are support to Ukraine, which has become the largest recipient of Norwegian aid, and ambitious climate financing and climate adaption goals. In 2025, the civilian support to Ukraine amounted to NOK 12.5 billion, just above 20 percent of total Norwegian development aid budget. The aim is for Ukraine to be able to determine its own future.</w:t>
      </w:r>
    </w:p>
    <w:p w14:paraId="19471119" w14:textId="77777777" w:rsidR="008A5841" w:rsidRPr="006A6D19" w:rsidRDefault="008A5841" w:rsidP="001609FA">
      <w:pPr>
        <w:rPr>
          <w:lang w:val="en-GB"/>
        </w:rPr>
      </w:pPr>
      <w:r w:rsidRPr="006A6D19">
        <w:rPr>
          <w:lang w:val="en-GB"/>
        </w:rPr>
        <w:t>Norway recognises climate change as a multiplier of conflict, poverty, and humanitarian need. Norwegian climate support in the reporting period covers inter alia climate adaptation and mitigation, renewable energy, food security, and sustainable ocean management.</w:t>
      </w:r>
    </w:p>
    <w:p w14:paraId="5667A181" w14:textId="77777777" w:rsidR="008A5841" w:rsidRPr="006A6D19" w:rsidRDefault="008A5841" w:rsidP="001609FA">
      <w:pPr>
        <w:rPr>
          <w:lang w:val="en-GB"/>
        </w:rPr>
      </w:pPr>
      <w:r w:rsidRPr="006A6D19">
        <w:rPr>
          <w:lang w:val="en-GB"/>
        </w:rPr>
        <w:t>Norway continues to prioritise gender equality and the advancement of women’s sexual and reproductive health and rights. Another priority is to combat inequality by addressing structural drivers such as corruption, illicit financial flows, and weak tax systems.</w:t>
      </w:r>
    </w:p>
    <w:p w14:paraId="60ABBF42" w14:textId="77777777" w:rsidR="008A5841" w:rsidRPr="006A6D19" w:rsidRDefault="008A5841" w:rsidP="001609FA">
      <w:pPr>
        <w:rPr>
          <w:lang w:val="en-GB"/>
        </w:rPr>
      </w:pPr>
      <w:r w:rsidRPr="006A6D19">
        <w:rPr>
          <w:lang w:val="en-GB"/>
        </w:rPr>
        <w:t>Norway channels a large share of Norwegian aid through the UN system, the World Bank and regional development banks to ensure effectiveness, coordination and global reach. Core support for multilateral organisations is a Norwegian priority and accounts for a significant proportion of total Norwegian development aid. Civil society organisations also manage a substantial part of Norwegian development aid. They are important partners for promoting democracy, human rights and locally led development. The Norwe</w:t>
      </w:r>
      <w:r w:rsidRPr="006A6D19">
        <w:rPr>
          <w:lang w:val="en-GB"/>
        </w:rPr>
        <w:t xml:space="preserve">gian Investment Fund for developing countries, </w:t>
      </w:r>
      <w:proofErr w:type="spellStart"/>
      <w:r w:rsidRPr="006A6D19">
        <w:rPr>
          <w:lang w:val="en-GB"/>
        </w:rPr>
        <w:t>Norfund</w:t>
      </w:r>
      <w:proofErr w:type="spellEnd"/>
      <w:r w:rsidRPr="006A6D19">
        <w:rPr>
          <w:lang w:val="en-GB"/>
        </w:rPr>
        <w:t xml:space="preserve">, is a central vehicle for </w:t>
      </w:r>
      <w:r w:rsidRPr="006A6D19">
        <w:rPr>
          <w:lang w:val="en-GB"/>
        </w:rPr>
        <w:lastRenderedPageBreak/>
        <w:t>mobilising funding from the private sector for joint investments and job creation in developing countries.</w:t>
      </w:r>
    </w:p>
    <w:p w14:paraId="37D5284F" w14:textId="77777777" w:rsidR="008A5841" w:rsidRPr="006A6D19" w:rsidRDefault="008A5841" w:rsidP="001609FA">
      <w:pPr>
        <w:rPr>
          <w:lang w:val="en-GB"/>
        </w:rPr>
      </w:pPr>
      <w:r w:rsidRPr="006A6D19">
        <w:rPr>
          <w:lang w:val="en-GB"/>
        </w:rPr>
        <w:t>Norway also places emphasis on global health preparedness and on ensuring access to quality education, particularly in crisis affected areas. Alignment with national strategies for poverty eradication and sustainable development remains central to Norway’s development policy.</w:t>
      </w:r>
    </w:p>
    <w:p w14:paraId="077836AB" w14:textId="77777777" w:rsidR="008A5841" w:rsidRPr="006A6D19" w:rsidRDefault="008A5841" w:rsidP="001609FA">
      <w:pPr>
        <w:rPr>
          <w:lang w:val="en-GB"/>
        </w:rPr>
      </w:pPr>
      <w:r w:rsidRPr="006A6D19">
        <w:rPr>
          <w:lang w:val="en-GB"/>
        </w:rPr>
        <w:t>Increasing emphasis is placed on documented results, learning, and evaluation, including through independent assessments and international joint initiatives such as MOPAN. In addition, the evaluation department hosted by Norec has a key role in in securing good and independent evaluations.</w:t>
      </w:r>
    </w:p>
    <w:p w14:paraId="29D5FB0A" w14:textId="77777777" w:rsidR="008A5841" w:rsidRPr="006A6D19" w:rsidRDefault="008A5841" w:rsidP="001609FA">
      <w:pPr>
        <w:pStyle w:val="Overskrift2"/>
        <w:rPr>
          <w:lang w:val="en-GB"/>
        </w:rPr>
      </w:pPr>
      <w:r w:rsidRPr="006A6D19">
        <w:rPr>
          <w:lang w:val="en-GB"/>
        </w:rPr>
        <w:t>The 2030 Agenda in Development, Foreign and Security and Trade policy</w:t>
      </w:r>
    </w:p>
    <w:p w14:paraId="110C7BF6" w14:textId="77777777" w:rsidR="008A5841" w:rsidRPr="006A6D19" w:rsidRDefault="008A5841" w:rsidP="001609FA">
      <w:pPr>
        <w:rPr>
          <w:lang w:val="en-GB"/>
        </w:rPr>
      </w:pPr>
      <w:r w:rsidRPr="006A6D19">
        <w:rPr>
          <w:lang w:val="en-GB"/>
        </w:rPr>
        <w:t>Norway’s development policy is anchored in the Sustainable Development Goals, climate targets and international human rights. The main objective is to combat poverty and inequality and promote economic development and welfare in low-income countries.</w:t>
      </w:r>
    </w:p>
    <w:p w14:paraId="26FC513A" w14:textId="77777777" w:rsidR="008A5841" w:rsidRPr="006A6D19" w:rsidRDefault="008A5841" w:rsidP="001609FA">
      <w:pPr>
        <w:rPr>
          <w:lang w:val="en-GB"/>
        </w:rPr>
      </w:pPr>
      <w:r w:rsidRPr="006A6D19">
        <w:rPr>
          <w:lang w:val="en-GB"/>
        </w:rPr>
        <w:t>A well-functioning and inclusive multilateral system and an international order based on international law are core interests for Norway. In pursuit of this, Norway plays an active role in advancing reforms of the United Nations, the World Trade Organization and the multilateral development banks.</w:t>
      </w:r>
    </w:p>
    <w:p w14:paraId="38C4F523" w14:textId="77777777" w:rsidR="008A5841" w:rsidRPr="006A6D19" w:rsidRDefault="008A5841" w:rsidP="001609FA">
      <w:pPr>
        <w:rPr>
          <w:lang w:val="en-GB"/>
        </w:rPr>
      </w:pPr>
      <w:r w:rsidRPr="006A6D19">
        <w:rPr>
          <w:lang w:val="en-GB"/>
        </w:rPr>
        <w:t>The Sevilla Commitment, from the Fourth International Conference on Financing for Development, is our common global framework for accelerating implementation of the SDGs.</w:t>
      </w:r>
    </w:p>
    <w:p w14:paraId="76FD1C19" w14:textId="77777777" w:rsidR="008A5841" w:rsidRPr="006A6D19" w:rsidRDefault="008A5841" w:rsidP="001609FA">
      <w:pPr>
        <w:rPr>
          <w:lang w:val="en-GB"/>
        </w:rPr>
      </w:pPr>
      <w:r w:rsidRPr="006A6D19">
        <w:rPr>
          <w:lang w:val="en-GB"/>
        </w:rPr>
        <w:t>The Government has initiated a comprehensive and inclusive process to develop a new Norwegian development policy in response to major geopolitical and financial shifts affecting global development aid. The process will culminate in a White Paper to be presented to Parliament in the spring session of 2027.</w:t>
      </w:r>
    </w:p>
    <w:p w14:paraId="672BE9DC" w14:textId="77777777" w:rsidR="008A5841" w:rsidRPr="006A6D19" w:rsidRDefault="008A5841" w:rsidP="001609FA">
      <w:pPr>
        <w:rPr>
          <w:lang w:val="en-GB"/>
        </w:rPr>
      </w:pPr>
      <w:r w:rsidRPr="006A6D19">
        <w:rPr>
          <w:lang w:val="en-GB"/>
        </w:rPr>
        <w:t>Norway’s new national security strategy underlines that international law and binding international cooperation form the foundation for peace and international security and remain our first line of defence.</w:t>
      </w:r>
    </w:p>
    <w:p w14:paraId="1AB783A7" w14:textId="77777777" w:rsidR="008A5841" w:rsidRPr="006A6D19" w:rsidRDefault="008A5841" w:rsidP="001609FA">
      <w:pPr>
        <w:rPr>
          <w:lang w:val="en-GB"/>
        </w:rPr>
      </w:pPr>
      <w:r w:rsidRPr="006A6D19">
        <w:rPr>
          <w:lang w:val="en-GB"/>
        </w:rPr>
        <w:t>Norway has worked actively to ensure that NATO places greater emphasis on climate issues. NATO’</w:t>
      </w:r>
      <w:r w:rsidRPr="006A6D19">
        <w:rPr>
          <w:lang w:val="en-GB"/>
        </w:rPr>
        <w:t>s Strategic Concept from 2022 describes climate change as a defining challenge of our time and as a crisis and threat multiplier that exacerbates underlying conflicts and geopolitical competition. The Norwegian defence sector has developed a strategic paper on climate and environment and subsequently prepared an action plan to implement the strategy. Norway shares information and experiences with NATO and other allies to support collective efforts on this. Norway has also been a driving force in strengtheni</w:t>
      </w:r>
      <w:r w:rsidRPr="006A6D19">
        <w:rPr>
          <w:lang w:val="en-GB"/>
        </w:rPr>
        <w:t>ng NATO’s work on integrity-building and anti-corruption in the defence and security sector.</w:t>
      </w:r>
    </w:p>
    <w:p w14:paraId="0D425245" w14:textId="77777777" w:rsidR="008A5841" w:rsidRPr="006A6D19" w:rsidRDefault="008A5841" w:rsidP="001609FA">
      <w:pPr>
        <w:rPr>
          <w:lang w:val="en-GB"/>
        </w:rPr>
      </w:pPr>
      <w:r w:rsidRPr="006A6D19">
        <w:rPr>
          <w:lang w:val="en-GB"/>
        </w:rPr>
        <w:t xml:space="preserve">Norway’s action plan for women, peace and security (2023) demonstrates the ministries’ joint efforts to fulfil the ambitions of UN Security Council Resolution 1325 on women, peace and security. This is </w:t>
      </w:r>
      <w:r w:rsidRPr="006A6D19">
        <w:rPr>
          <w:lang w:val="en-GB"/>
        </w:rPr>
        <w:lastRenderedPageBreak/>
        <w:t xml:space="preserve">operationalised and implemented through the Armed Forces’ action plan </w:t>
      </w:r>
      <w:r w:rsidRPr="006A6D19">
        <w:rPr>
          <w:rStyle w:val="kursiv"/>
          <w:lang w:val="en-GB"/>
        </w:rPr>
        <w:t>Gender in Military Operations</w:t>
      </w:r>
      <w:r w:rsidRPr="006A6D19">
        <w:rPr>
          <w:lang w:val="en-GB"/>
        </w:rPr>
        <w:t xml:space="preserve"> (2024).</w:t>
      </w:r>
    </w:p>
    <w:p w14:paraId="445AE82C" w14:textId="77777777" w:rsidR="008A5841" w:rsidRPr="006A6D19" w:rsidRDefault="008A5841" w:rsidP="001609FA">
      <w:pPr>
        <w:rPr>
          <w:lang w:val="en-GB"/>
        </w:rPr>
      </w:pPr>
      <w:r w:rsidRPr="006A6D19">
        <w:rPr>
          <w:lang w:val="en-GB"/>
        </w:rPr>
        <w:t>As for Norwegian trade policy, integration into the global economy has proved to be a prerequisite for sustainable economic growth over the past decades. Our belief is that participation in the rules-based multilateral trading system, including implementation of World Trade Organisation (WTO) rights and obligations, enhances foreign investment, business development and competitiveness. Norway’s top trade policy priority is preserving and strengthening the WTO. Development must be at the heart of WT</w:t>
      </w:r>
      <w:r w:rsidRPr="006A6D19">
        <w:rPr>
          <w:lang w:val="en-GB"/>
        </w:rPr>
        <w:t>O and the ongoing reform discussions.</w:t>
      </w:r>
    </w:p>
    <w:p w14:paraId="6E89C848" w14:textId="77777777" w:rsidR="008A5841" w:rsidRPr="006A6D19" w:rsidRDefault="008A5841" w:rsidP="001609FA">
      <w:pPr>
        <w:rPr>
          <w:lang w:val="en-GB"/>
        </w:rPr>
      </w:pPr>
      <w:r w:rsidRPr="006A6D19">
        <w:rPr>
          <w:lang w:val="en-GB"/>
        </w:rPr>
        <w:t>The EEA Agreement is Norway’s most important trade agreement. A harmonised regulatory framework in the EU’s internal market reduces the challenges Norwegian companies face due to differing requirements across markets. Through the EEA Agreement, Norway participates in the EU’s efforts to promote a more circular economy.</w:t>
      </w:r>
    </w:p>
    <w:p w14:paraId="36D56C5D" w14:textId="77777777" w:rsidR="008A5841" w:rsidRPr="006A6D19" w:rsidRDefault="008A5841" w:rsidP="001609FA">
      <w:pPr>
        <w:rPr>
          <w:lang w:val="en-GB"/>
        </w:rPr>
      </w:pPr>
      <w:r w:rsidRPr="006A6D19">
        <w:rPr>
          <w:lang w:val="en-GB"/>
        </w:rPr>
        <w:t>In bilateral trade agreements, Norway seeks to include comprehensive chapters on trade and sustainable development with commitments related to the environment, climate, workers’ rights, and gender equality.</w:t>
      </w:r>
    </w:p>
    <w:p w14:paraId="34AB0F84" w14:textId="77777777" w:rsidR="008A5841" w:rsidRPr="006A6D19" w:rsidRDefault="008A5841" w:rsidP="001609FA">
      <w:pPr>
        <w:pStyle w:val="Overskrift2"/>
        <w:rPr>
          <w:lang w:val="en-GB"/>
        </w:rPr>
      </w:pPr>
      <w:r w:rsidRPr="006A6D19">
        <w:rPr>
          <w:lang w:val="en-GB"/>
        </w:rPr>
        <w:t>Linkages to the EEA and Nordic Council of Ministers</w:t>
      </w:r>
    </w:p>
    <w:p w14:paraId="217F0BBA" w14:textId="77777777" w:rsidR="008A5841" w:rsidRPr="006A6D19" w:rsidRDefault="008A5841" w:rsidP="001609FA">
      <w:pPr>
        <w:rPr>
          <w:lang w:val="en-GB"/>
        </w:rPr>
      </w:pPr>
      <w:r w:rsidRPr="006A6D19">
        <w:rPr>
          <w:lang w:val="en-GB"/>
        </w:rPr>
        <w:t>Norway’s ability to achieve the Sustainable Development Goals is particularly influenced by developments in the Nordic region and the rest of Europe. Shared challenges related to areas such as climate, biodiversity, consumption, and health do not stop at national borders and affect the entire region. Norway’s efforts are therefore closely linked to the overall efforts of the Nordic countries and the EU to deliver on the 2030 Agenda.</w:t>
      </w:r>
    </w:p>
    <w:p w14:paraId="21F1B112" w14:textId="77777777" w:rsidR="008A5841" w:rsidRPr="006A6D19" w:rsidRDefault="008A5841" w:rsidP="001609FA">
      <w:pPr>
        <w:rPr>
          <w:lang w:val="en-GB"/>
        </w:rPr>
      </w:pPr>
      <w:r w:rsidRPr="006A6D19">
        <w:rPr>
          <w:lang w:val="en-GB"/>
        </w:rPr>
        <w:t xml:space="preserve">The Nordic countries cooperate closely in the follow-up of the Sustainable Development Goals. In 2019, the Nordic prime ministers adopted Vision 2030, aiming for the Nordic region to become the world’s most sustainable and integrated region. The vision guides all activities of the Nordic Council of Ministers. It is followed up through 14 sectoral policy programmes for the period 2025–2030. One of these programmes concerns sustainable resource management, with a shared focus, clear priorities, and targeted </w:t>
      </w:r>
      <w:r w:rsidRPr="006A6D19">
        <w:rPr>
          <w:lang w:val="en-GB"/>
        </w:rPr>
        <w:t>efforts for Nordic cooperation. Sustainable development is a cross-cutting and integrated perspective in all work carried out by the Nordic Council of Ministers.</w:t>
      </w:r>
    </w:p>
    <w:tbl>
      <w:tblPr>
        <w:tblStyle w:val="StandardBoks"/>
        <w:tblW w:w="5000" w:type="pct"/>
        <w:tblLook w:val="04A0" w:firstRow="1" w:lastRow="0" w:firstColumn="1" w:lastColumn="0" w:noHBand="0" w:noVBand="1"/>
      </w:tblPr>
      <w:tblGrid>
        <w:gridCol w:w="10466"/>
      </w:tblGrid>
      <w:tr w:rsidR="00000000" w:rsidRPr="006A6D19" w14:paraId="27EBA943" w14:textId="77777777" w:rsidTr="001609FA">
        <w:trPr>
          <w:trHeight w:val="60"/>
        </w:trPr>
        <w:tc>
          <w:tcPr>
            <w:tcW w:w="5000" w:type="pct"/>
          </w:tcPr>
          <w:p w14:paraId="5022B27D" w14:textId="77777777" w:rsidR="008A5841" w:rsidRPr="006A6D19" w:rsidRDefault="008A5841" w:rsidP="00B765C1">
            <w:pPr>
              <w:pStyle w:val="avsnitt-undertittel"/>
              <w:rPr>
                <w:lang w:val="en-GB"/>
              </w:rPr>
            </w:pPr>
            <w:r w:rsidRPr="006A6D19">
              <w:rPr>
                <w:lang w:val="en-GB"/>
              </w:rPr>
              <w:lastRenderedPageBreak/>
              <w:t>Nordic Policy Brief</w:t>
            </w:r>
          </w:p>
          <w:p w14:paraId="5E265307" w14:textId="77777777" w:rsidR="008A5841" w:rsidRPr="006A6D19" w:rsidRDefault="008A5841" w:rsidP="001609FA">
            <w:pPr>
              <w:rPr>
                <w:lang w:val="en-GB"/>
              </w:rPr>
            </w:pPr>
            <w:r w:rsidRPr="006A6D19">
              <w:rPr>
                <w:lang w:val="en-GB"/>
              </w:rPr>
              <w:t xml:space="preserve">“Stepping up or </w:t>
            </w:r>
            <w:proofErr w:type="gramStart"/>
            <w:r w:rsidRPr="006A6D19">
              <w:rPr>
                <w:lang w:val="en-GB"/>
              </w:rPr>
              <w:t>Stepping</w:t>
            </w:r>
            <w:proofErr w:type="gramEnd"/>
            <w:r w:rsidRPr="006A6D19">
              <w:rPr>
                <w:lang w:val="en-GB"/>
              </w:rPr>
              <w:t xml:space="preserve"> back? – Nordic Local and Regional Views on the 2030 Agenda and Beyond”, a joint Nordic Policy Brief presents perspectives from Nordic local and regional sustainability experts and youth representatives on the implementation of the 2030 Agenda, examining what is working, where gaps remain and actions needed to accelerate progress. It also outlines their priorities and expectations for the global sustainability framework beyond 2030. The aim is to ensure that their knowledge and experiences are refle</w:t>
            </w:r>
            <w:r w:rsidRPr="006A6D19">
              <w:rPr>
                <w:lang w:val="en-GB"/>
              </w:rPr>
              <w:t xml:space="preserve">cted in future global development work, enabling more effective support for those driving sustainability on the ground. Conducted as part of the “Sustainable Nordic Municipalities and Regions” project, implemented by </w:t>
            </w:r>
            <w:proofErr w:type="spellStart"/>
            <w:r w:rsidRPr="006A6D19">
              <w:rPr>
                <w:lang w:val="en-GB"/>
              </w:rPr>
              <w:t>Nordregio</w:t>
            </w:r>
            <w:proofErr w:type="spellEnd"/>
            <w:r w:rsidRPr="006A6D19">
              <w:rPr>
                <w:lang w:val="en-GB"/>
              </w:rPr>
              <w:t xml:space="preserve"> in collaboration with the Nordic local and regional government associations (the LRGAs).</w:t>
            </w:r>
          </w:p>
          <w:p w14:paraId="7F4C29C7" w14:textId="77777777" w:rsidR="008A5841" w:rsidRPr="006A6D19" w:rsidRDefault="008A5841" w:rsidP="001609FA">
            <w:pPr>
              <w:pStyle w:val="Kilde"/>
              <w:rPr>
                <w:lang w:val="en-GB"/>
              </w:rPr>
            </w:pPr>
            <w:r w:rsidRPr="006A6D19">
              <w:rPr>
                <w:lang w:val="en-GB"/>
              </w:rPr>
              <w:t xml:space="preserve">Source: </w:t>
            </w:r>
            <w:proofErr w:type="spellStart"/>
            <w:r w:rsidRPr="006A6D19">
              <w:rPr>
                <w:lang w:val="en-GB"/>
              </w:rPr>
              <w:t>Nordregio</w:t>
            </w:r>
            <w:proofErr w:type="spellEnd"/>
            <w:r w:rsidRPr="006A6D19">
              <w:rPr>
                <w:lang w:val="en-GB"/>
              </w:rPr>
              <w:t xml:space="preserve">, </w:t>
            </w:r>
            <w:hyperlink r:id="rId23" w:history="1">
              <w:r w:rsidRPr="006A6D19">
                <w:rPr>
                  <w:rStyle w:val="Hyperkobling"/>
                  <w:lang w:val="en-GB"/>
                </w:rPr>
                <w:t>Stepping up or Stepping back? – Nordic Local and Regional Views on the 2030 Agenda and Beyond</w:t>
              </w:r>
            </w:hyperlink>
            <w:r w:rsidRPr="006A6D19">
              <w:rPr>
                <w:lang w:val="en-GB"/>
              </w:rPr>
              <w:t>, 2026</w:t>
            </w:r>
          </w:p>
        </w:tc>
      </w:tr>
    </w:tbl>
    <w:p w14:paraId="16C92D75" w14:textId="77777777" w:rsidR="008A5841" w:rsidRPr="006A6D19" w:rsidRDefault="008A5841" w:rsidP="001609FA">
      <w:pPr>
        <w:rPr>
          <w:lang w:val="en-GB"/>
        </w:rPr>
      </w:pPr>
      <w:r w:rsidRPr="006A6D19">
        <w:rPr>
          <w:lang w:val="en-GB"/>
        </w:rPr>
        <w:t>Cooperation with the rest of Europe, both the EU and other European countries, is a cornerstone of our foreign policy. Norway is an integrated part of the EUs Single Market through the EEA Agreement and has over 100 bilateral agreements with the EU. In addition, Norway is a member of the Schengen Area. The EEA Agreement guarantees equal rights and obligations within the Single Market for citizens and economic operators in EU/EEA Member States. Norway’s climate and environment policy is closely intertwined w</w:t>
      </w:r>
      <w:r w:rsidRPr="006A6D19">
        <w:rPr>
          <w:lang w:val="en-GB"/>
        </w:rPr>
        <w:t>ith the EU through the EEA Agreement, the agreement on cooperation with the EU to fulfil the 2030 climate target (including participation in the EU Emissions Trading System), and because the EU is Norway’s most important trade partner.</w:t>
      </w:r>
    </w:p>
    <w:p w14:paraId="3EE1AB3C" w14:textId="77777777" w:rsidR="008A5841" w:rsidRPr="006A6D19" w:rsidRDefault="008A5841" w:rsidP="001609FA">
      <w:pPr>
        <w:rPr>
          <w:lang w:val="en-GB"/>
        </w:rPr>
      </w:pPr>
      <w:r w:rsidRPr="006A6D19">
        <w:rPr>
          <w:lang w:val="en-GB"/>
        </w:rPr>
        <w:t>The EU’s green growth strategy, the European Green Deal, which in recent years has charted the course toward achieving the EU’s goal of climate neutrality by 2050 and reducing net greenhouse gas emissions by at least 55 percent by 2030, is also important for Norway’s green tr</w:t>
      </w:r>
      <w:r w:rsidRPr="006A6D19">
        <w:rPr>
          <w:lang w:val="en-GB"/>
        </w:rPr>
        <w:t xml:space="preserve">ansition. In the spring of 2023, Norway and the EU </w:t>
      </w:r>
      <w:proofErr w:type="gramStart"/>
      <w:r w:rsidRPr="006A6D19">
        <w:rPr>
          <w:lang w:val="en-GB"/>
        </w:rPr>
        <w:t>entered into</w:t>
      </w:r>
      <w:proofErr w:type="gramEnd"/>
      <w:r w:rsidRPr="006A6D19">
        <w:rPr>
          <w:lang w:val="en-GB"/>
        </w:rPr>
        <w:t xml:space="preserve"> a Green Alliance. The agreement has provided the Government with a political framework for further developing cooperation with the EU in the areas of climate, environment, energy, industry, and the green transition.</w:t>
      </w:r>
    </w:p>
    <w:p w14:paraId="7272EC71" w14:textId="77777777" w:rsidR="008A5841" w:rsidRPr="006A6D19" w:rsidRDefault="008A5841" w:rsidP="001609FA">
      <w:pPr>
        <w:rPr>
          <w:lang w:val="en-GB"/>
        </w:rPr>
      </w:pPr>
      <w:r w:rsidRPr="006A6D19">
        <w:rPr>
          <w:lang w:val="en-GB"/>
        </w:rPr>
        <w:t>The EEA Grants are the voluntary contributions from Norway, Iceland, and Liechtenstein toward economic and social cohesion in 15 EU member states. EEA Grants are an important instrument for contributing to the achievement of the Sus</w:t>
      </w:r>
      <w:r w:rsidRPr="006A6D19">
        <w:rPr>
          <w:lang w:val="en-GB"/>
        </w:rPr>
        <w:t>tainable Development Goals in Europe, and 12 of the Goals have been explicitly supported through the EEA Grants.</w:t>
      </w:r>
    </w:p>
    <w:p w14:paraId="3DE5AE7A" w14:textId="77777777" w:rsidR="008A5841" w:rsidRPr="006A6D19" w:rsidRDefault="008A5841" w:rsidP="001609FA">
      <w:pPr>
        <w:pStyle w:val="Overskrift2"/>
        <w:rPr>
          <w:lang w:val="en-GB"/>
        </w:rPr>
      </w:pPr>
      <w:r w:rsidRPr="006A6D19">
        <w:rPr>
          <w:lang w:val="en-GB"/>
        </w:rPr>
        <w:t>Drivers and Barriers for Implementation</w:t>
      </w:r>
    </w:p>
    <w:p w14:paraId="2F6348E0" w14:textId="77777777" w:rsidR="008A5841" w:rsidRPr="006A6D19" w:rsidRDefault="008A5841" w:rsidP="001609FA">
      <w:pPr>
        <w:rPr>
          <w:lang w:val="en-GB"/>
        </w:rPr>
      </w:pPr>
      <w:r w:rsidRPr="006A6D19">
        <w:rPr>
          <w:lang w:val="en-GB"/>
        </w:rPr>
        <w:t xml:space="preserve">The need for sustainable development has never been greater. At the same time, the world is increasingly characterised by heightened geopolitical tensions, economic uncertainty, accelerating climate change and growing social inequalities. Today, Norway, like the rest of the world, faces significant challenges that will influence how public authorities prioritise and allocate resources. This chapter </w:t>
      </w:r>
      <w:r w:rsidRPr="006A6D19">
        <w:rPr>
          <w:lang w:val="en-GB"/>
        </w:rPr>
        <w:lastRenderedPageBreak/>
        <w:t>outlines some of the key driving forces and trends that influence Norway’s capacity to achieve the Goals.</w:t>
      </w:r>
    </w:p>
    <w:p w14:paraId="0EEF88F4" w14:textId="77777777" w:rsidR="008A5841" w:rsidRPr="006A6D19" w:rsidRDefault="008A5841" w:rsidP="006B301F">
      <w:pPr>
        <w:pStyle w:val="avsnitt-undertittel"/>
        <w:rPr>
          <w:lang w:val="en-GB"/>
        </w:rPr>
      </w:pPr>
      <w:r w:rsidRPr="006A6D19">
        <w:rPr>
          <w:lang w:val="en-GB"/>
        </w:rPr>
        <w:t>Changing Security Conditions</w:t>
      </w:r>
    </w:p>
    <w:p w14:paraId="1665A85F" w14:textId="77777777" w:rsidR="008A5841" w:rsidRPr="006A6D19" w:rsidRDefault="008A5841" w:rsidP="001609FA">
      <w:pPr>
        <w:rPr>
          <w:lang w:val="en-GB"/>
        </w:rPr>
      </w:pPr>
      <w:r w:rsidRPr="006A6D19">
        <w:rPr>
          <w:lang w:val="en-GB"/>
        </w:rPr>
        <w:t>Democracy is under growing pressure globally, with the number of liberal democracies declining over the past 10–15 years. Changes in the security policy environment affect Norway’s economic security and its ability to engage in global cooperation on sustainable development.</w:t>
      </w:r>
    </w:p>
    <w:p w14:paraId="54F91309" w14:textId="77777777" w:rsidR="008A5841" w:rsidRPr="006A6D19" w:rsidRDefault="008A5841" w:rsidP="001609FA">
      <w:pPr>
        <w:rPr>
          <w:lang w:val="en-GB"/>
        </w:rPr>
      </w:pPr>
      <w:r w:rsidRPr="006A6D19">
        <w:rPr>
          <w:lang w:val="en-GB"/>
        </w:rPr>
        <w:t>Conflicts and uncertainty threaten Norway’</w:t>
      </w:r>
      <w:r w:rsidRPr="006A6D19">
        <w:rPr>
          <w:lang w:val="en-GB"/>
        </w:rPr>
        <w:t>s security interests and core societal values, necessitating increased investment in defence, security and preparedness. Heightened geopolitical tensions undermine the conditions for effective international cooperation on climate action. At the same time, climate change is increasingly recognised as a significant risk factor for conflict and instability.</w:t>
      </w:r>
    </w:p>
    <w:p w14:paraId="725C27E5" w14:textId="77777777" w:rsidR="008A5841" w:rsidRPr="006A6D19" w:rsidRDefault="008A5841" w:rsidP="001609FA">
      <w:pPr>
        <w:rPr>
          <w:lang w:val="en-GB"/>
        </w:rPr>
      </w:pPr>
      <w:r w:rsidRPr="006A6D19">
        <w:rPr>
          <w:lang w:val="en-GB"/>
        </w:rPr>
        <w:t xml:space="preserve">Norwegian welfare and value creation are closely linked to international trade and economic cooperation. After decades of globalisation, trade is becoming </w:t>
      </w:r>
      <w:r w:rsidRPr="006A6D19">
        <w:rPr>
          <w:lang w:val="en-GB"/>
        </w:rPr>
        <w:t>more constrained and regulated. Cooperation with the EU through the EEA Agreement remains crucial, providing access to Norway’s most important market. Going forward, it will be essential to balance national security, an open and competitive economy and the transition to a low</w:t>
      </w:r>
      <w:r w:rsidRPr="006A6D19">
        <w:rPr>
          <w:lang w:val="en-GB"/>
        </w:rPr>
        <w:noBreakHyphen/>
        <w:t>emission society.</w:t>
      </w:r>
    </w:p>
    <w:p w14:paraId="54735E0C" w14:textId="77777777" w:rsidR="008A5841" w:rsidRPr="006A6D19" w:rsidRDefault="008A5841" w:rsidP="006B301F">
      <w:pPr>
        <w:pStyle w:val="avsnitt-undertittel"/>
        <w:rPr>
          <w:lang w:val="en-GB"/>
        </w:rPr>
      </w:pPr>
      <w:r w:rsidRPr="006A6D19">
        <w:rPr>
          <w:lang w:val="en-GB"/>
        </w:rPr>
        <w:t>Climate Change and Loss of Biodiversity</w:t>
      </w:r>
    </w:p>
    <w:p w14:paraId="68EBD4E3" w14:textId="77777777" w:rsidR="008A5841" w:rsidRPr="006A6D19" w:rsidRDefault="008A5841" w:rsidP="001609FA">
      <w:pPr>
        <w:rPr>
          <w:lang w:val="en-GB"/>
        </w:rPr>
      </w:pPr>
      <w:r w:rsidRPr="006A6D19">
        <w:rPr>
          <w:lang w:val="en-GB"/>
        </w:rPr>
        <w:t>Greenhouse gas emissions and extensive land</w:t>
      </w:r>
      <w:r w:rsidRPr="006A6D19">
        <w:rPr>
          <w:lang w:val="en-GB"/>
        </w:rPr>
        <w:noBreakHyphen/>
        <w:t>use change are driving climate change and biodiversity loss. If current trends are not reversed, the consequences will be severe and, in many cases, irreversible. Addressing these challenges requires rapid emission reductions, strengthened conservation efforts, sustainable use and restoration of ecosystems, and effective climate adaptation.</w:t>
      </w:r>
    </w:p>
    <w:p w14:paraId="3A530333" w14:textId="77777777" w:rsidR="008A5841" w:rsidRPr="006A6D19" w:rsidRDefault="008A5841" w:rsidP="001609FA">
      <w:pPr>
        <w:rPr>
          <w:lang w:val="en-GB"/>
        </w:rPr>
      </w:pPr>
      <w:r w:rsidRPr="006A6D19">
        <w:rPr>
          <w:lang w:val="en-GB"/>
        </w:rPr>
        <w:t>In Norway, land</w:t>
      </w:r>
      <w:r w:rsidRPr="006A6D19">
        <w:rPr>
          <w:lang w:val="en-GB"/>
        </w:rPr>
        <w:noBreakHyphen/>
        <w:t>use change is the single largest pressure on nature, alongside climate change, pollution, invasive species and overharvesting. Marine ecosystems are increasingly affected by rising temperatures, ocean acidification and pollution, with significant implications for food security, ocean</w:t>
      </w:r>
      <w:r w:rsidRPr="006A6D19">
        <w:rPr>
          <w:lang w:val="en-GB"/>
        </w:rPr>
        <w:noBreakHyphen/>
        <w:t>based industries and coastal communities. Nature also plays a vital role in recreation, public health, quality of life and cultural identity.</w:t>
      </w:r>
    </w:p>
    <w:p w14:paraId="1DAE833C" w14:textId="77777777" w:rsidR="008A5841" w:rsidRPr="006A6D19" w:rsidRDefault="008A5841" w:rsidP="001609FA">
      <w:pPr>
        <w:rPr>
          <w:lang w:val="en-GB"/>
        </w:rPr>
      </w:pPr>
      <w:r w:rsidRPr="006A6D19">
        <w:rPr>
          <w:lang w:val="en-GB"/>
        </w:rPr>
        <w:t>Norway aims to become a low</w:t>
      </w:r>
      <w:r w:rsidRPr="006A6D19">
        <w:rPr>
          <w:lang w:val="en-GB"/>
        </w:rPr>
        <w:noBreakHyphen/>
        <w:t>emission society by 2050 and is committed to reducing pollution and conserving biodiversity, while preparing society and ecosystems for the impacts of climate change. International agreements provide an important framework for action, and global progress in emission reductions and technology development will strongly influence Norway’s transition.</w:t>
      </w:r>
    </w:p>
    <w:p w14:paraId="4AED681E" w14:textId="77777777" w:rsidR="008A5841" w:rsidRPr="006A6D19" w:rsidRDefault="008A5841" w:rsidP="006B301F">
      <w:pPr>
        <w:pStyle w:val="avsnitt-undertittel"/>
        <w:rPr>
          <w:lang w:val="en-GB"/>
        </w:rPr>
      </w:pPr>
      <w:r w:rsidRPr="006A6D19">
        <w:rPr>
          <w:lang w:val="en-GB"/>
        </w:rPr>
        <w:t>Technological Development and Digitalisation</w:t>
      </w:r>
    </w:p>
    <w:p w14:paraId="10C02024" w14:textId="77777777" w:rsidR="008A5841" w:rsidRPr="006A6D19" w:rsidRDefault="008A5841" w:rsidP="001609FA">
      <w:pPr>
        <w:rPr>
          <w:lang w:val="en-GB"/>
        </w:rPr>
      </w:pPr>
      <w:r w:rsidRPr="006A6D19">
        <w:rPr>
          <w:lang w:val="en-GB"/>
        </w:rPr>
        <w:t xml:space="preserve">Rapid technological development presents both opportunities and challenges for sustainable development. Digitalisation enables more efficient resource management, improved public services and innovative solutions for the green transition. The development of innovative technology will be crucial in achieving a future low-emission society. For example, increased international investment in solar power, wind energy and battery solutions has made several low-emission technologies competitive </w:t>
      </w:r>
      <w:r w:rsidRPr="006A6D19">
        <w:rPr>
          <w:lang w:val="en-GB"/>
        </w:rPr>
        <w:lastRenderedPageBreak/>
        <w:t>with fossil-based energy sources. Artificial intelligence (AI) is expected to play an increasingly important role in societal development, contributing to welfare and value creation, while supporting the green transition.</w:t>
      </w:r>
    </w:p>
    <w:p w14:paraId="359DC55E" w14:textId="77777777" w:rsidR="008A5841" w:rsidRPr="006A6D19" w:rsidRDefault="008A5841" w:rsidP="001609FA">
      <w:pPr>
        <w:rPr>
          <w:lang w:val="en-GB"/>
        </w:rPr>
      </w:pPr>
      <w:r w:rsidRPr="006A6D19">
        <w:rPr>
          <w:lang w:val="en-GB"/>
        </w:rPr>
        <w:t>At the same time, the growing use of digital technology and services, combined with rapid turnover of equipment, is driving higher demand for energy and raw materials, including critical and rare minerals. To ensure sustainable technological development, efforts must be made towards energy</w:t>
      </w:r>
      <w:r w:rsidRPr="006A6D19">
        <w:rPr>
          <w:lang w:val="en-GB"/>
        </w:rPr>
        <w:t>-efficient solutions, responsible extraction of raw materials, and improved management of electronic waste. A balanced approach to digitalisation will help ensure that technological development supports the SDGs without exacerbating existing environmental challenges. Furthermore, we need to make sure that no one is excluded from an increasingly digitalised society, while safeguarding privacy, promoting ethical and safe use of AI, and upholding national digital security and preparedness.</w:t>
      </w:r>
    </w:p>
    <w:p w14:paraId="00A97B26" w14:textId="77777777" w:rsidR="008A5841" w:rsidRPr="006A6D19" w:rsidRDefault="008A5841" w:rsidP="006B301F">
      <w:pPr>
        <w:pStyle w:val="avsnitt-undertittel"/>
        <w:rPr>
          <w:lang w:val="en-GB"/>
        </w:rPr>
      </w:pPr>
      <w:r w:rsidRPr="006A6D19">
        <w:rPr>
          <w:lang w:val="en-GB"/>
        </w:rPr>
        <w:t>Changes in Consumption Patterns</w:t>
      </w:r>
    </w:p>
    <w:p w14:paraId="00E605AC" w14:textId="77777777" w:rsidR="008A5841" w:rsidRPr="006A6D19" w:rsidRDefault="008A5841" w:rsidP="001609FA">
      <w:pPr>
        <w:rPr>
          <w:lang w:val="en-GB"/>
        </w:rPr>
      </w:pPr>
      <w:r w:rsidRPr="006A6D19">
        <w:rPr>
          <w:lang w:val="en-GB"/>
        </w:rPr>
        <w:t>Population growth and consumption are major drivers of global environmental pressures. An estimated 60–80 per cent of total environmental impact is associated with the production of goods. Norway has among the highest levels of material consumption per capita in the world. The growth of e</w:t>
      </w:r>
      <w:r w:rsidRPr="006A6D19">
        <w:rPr>
          <w:lang w:val="en-GB"/>
        </w:rPr>
        <w:noBreakHyphen/>
        <w:t>commerce and fast fashion, particularly platforms offering low</w:t>
      </w:r>
      <w:r w:rsidRPr="006A6D19">
        <w:rPr>
          <w:lang w:val="en-GB"/>
        </w:rPr>
        <w:noBreakHyphen/>
        <w:t>cost, short</w:t>
      </w:r>
      <w:r w:rsidRPr="006A6D19">
        <w:rPr>
          <w:lang w:val="en-GB"/>
        </w:rPr>
        <w:noBreakHyphen/>
        <w:t>lived products, reinforces unsustainable consumption patterns.</w:t>
      </w:r>
    </w:p>
    <w:p w14:paraId="1374590D" w14:textId="77777777" w:rsidR="008A5841" w:rsidRPr="006A6D19" w:rsidRDefault="008A5841" w:rsidP="001609FA">
      <w:pPr>
        <w:rPr>
          <w:lang w:val="en-GB"/>
        </w:rPr>
      </w:pPr>
      <w:r w:rsidRPr="006A6D19">
        <w:rPr>
          <w:lang w:val="en-GB"/>
        </w:rPr>
        <w:t xml:space="preserve">High levels of consumption </w:t>
      </w:r>
      <w:proofErr w:type="gramStart"/>
      <w:r w:rsidRPr="006A6D19">
        <w:rPr>
          <w:lang w:val="en-GB"/>
        </w:rPr>
        <w:t>leads</w:t>
      </w:r>
      <w:proofErr w:type="gramEnd"/>
      <w:r w:rsidRPr="006A6D19">
        <w:rPr>
          <w:lang w:val="en-GB"/>
        </w:rPr>
        <w:t xml:space="preserve"> to extensive resource use, waste and pollution, much of which occurs outside Norway, often in developing countries. This poses a significant challenge for Norway in achieving the SDGs. A transition to circular economy, involving changes in both production and consumption, is therefore essential.</w:t>
      </w:r>
    </w:p>
    <w:p w14:paraId="71890439" w14:textId="77777777" w:rsidR="008A5841" w:rsidRPr="006A6D19" w:rsidRDefault="008A5841" w:rsidP="006B301F">
      <w:pPr>
        <w:pStyle w:val="avsnitt-undertittel"/>
        <w:rPr>
          <w:lang w:val="en-GB"/>
        </w:rPr>
      </w:pPr>
      <w:r w:rsidRPr="006A6D19">
        <w:rPr>
          <w:lang w:val="en-GB"/>
        </w:rPr>
        <w:t>Demographic Changes and the Need for Labour</w:t>
      </w:r>
    </w:p>
    <w:p w14:paraId="3073EE9D" w14:textId="77777777" w:rsidR="008A5841" w:rsidRPr="006A6D19" w:rsidRDefault="008A5841" w:rsidP="001609FA">
      <w:pPr>
        <w:rPr>
          <w:lang w:val="en-GB"/>
        </w:rPr>
      </w:pPr>
      <w:r w:rsidRPr="006A6D19">
        <w:rPr>
          <w:lang w:val="en-GB"/>
        </w:rPr>
        <w:t>Despite high employment, Norway is facing growing labour and skills shortages. An ageing population and a declining share of people of working age challenge the long-term sustainability of the welfare system and increase pressure on health and care services. Statistics Norway estimates a shortage of nearly 70,000 health care workers by 2040.</w:t>
      </w:r>
    </w:p>
    <w:p w14:paraId="6A95CE7B" w14:textId="77777777" w:rsidR="008A5841" w:rsidRPr="006A6D19" w:rsidRDefault="008A5841" w:rsidP="001609FA">
      <w:pPr>
        <w:rPr>
          <w:lang w:val="en-GB"/>
        </w:rPr>
      </w:pPr>
      <w:r w:rsidRPr="006A6D19">
        <w:rPr>
          <w:lang w:val="en-GB"/>
        </w:rPr>
        <w:t>Technological change and digitalisation are also driving rising demand for ICT skills, with substantial shortages expected before 2030. Government assessments highlight education in technology, health and ICT as critical to meeting future labour</w:t>
      </w:r>
      <w:r w:rsidRPr="006A6D19">
        <w:rPr>
          <w:lang w:val="en-GB"/>
        </w:rPr>
        <w:noBreakHyphen/>
        <w:t xml:space="preserve">market needs and supporting the green transition. Ensuring an inclusive labour market and increasing participation among </w:t>
      </w:r>
      <w:proofErr w:type="gramStart"/>
      <w:r w:rsidRPr="006A6D19">
        <w:rPr>
          <w:lang w:val="en-GB"/>
        </w:rPr>
        <w:t>those currently outside employment</w:t>
      </w:r>
      <w:proofErr w:type="gramEnd"/>
      <w:r w:rsidRPr="006A6D19">
        <w:rPr>
          <w:lang w:val="en-GB"/>
        </w:rPr>
        <w:t xml:space="preserve"> will be essential to sustaining the welfare state.</w:t>
      </w:r>
    </w:p>
    <w:p w14:paraId="101F2F89" w14:textId="77777777" w:rsidR="008A5841" w:rsidRPr="006A6D19" w:rsidRDefault="008A5841" w:rsidP="006B301F">
      <w:pPr>
        <w:pStyle w:val="avsnitt-undertittel"/>
        <w:rPr>
          <w:lang w:val="en-GB"/>
        </w:rPr>
      </w:pPr>
      <w:r w:rsidRPr="006A6D19">
        <w:rPr>
          <w:lang w:val="en-GB"/>
        </w:rPr>
        <w:t>Differences in Living Conditions and Health</w:t>
      </w:r>
    </w:p>
    <w:p w14:paraId="176F4EFF" w14:textId="77777777" w:rsidR="008A5841" w:rsidRPr="006A6D19" w:rsidRDefault="008A5841" w:rsidP="001609FA">
      <w:pPr>
        <w:rPr>
          <w:lang w:val="en-GB"/>
        </w:rPr>
      </w:pPr>
      <w:r w:rsidRPr="006A6D19">
        <w:rPr>
          <w:lang w:val="en-GB"/>
        </w:rPr>
        <w:t>Strong public services, low levels of inequality and high trust in institutions have made Norway one of the best countries to live in. Nevertheless, disparities between population groups are increasing. Persistent low income is often linked to weaker labour</w:t>
      </w:r>
      <w:r w:rsidRPr="006A6D19">
        <w:rPr>
          <w:lang w:val="en-GB"/>
        </w:rPr>
        <w:noBreakHyphen/>
        <w:t xml:space="preserve">market attachment. To address this Norway has </w:t>
      </w:r>
      <w:r w:rsidRPr="006A6D19">
        <w:rPr>
          <w:lang w:val="en-GB"/>
        </w:rPr>
        <w:lastRenderedPageBreak/>
        <w:t>implemented a range of inclusive employment policies, comprehensive welfare schemes and a fair, redistributive tax system.</w:t>
      </w:r>
    </w:p>
    <w:p w14:paraId="24365744" w14:textId="77777777" w:rsidR="008A5841" w:rsidRPr="006A6D19" w:rsidRDefault="008A5841" w:rsidP="001609FA">
      <w:pPr>
        <w:rPr>
          <w:lang w:val="en-GB"/>
        </w:rPr>
      </w:pPr>
      <w:r w:rsidRPr="006A6D19">
        <w:rPr>
          <w:lang w:val="en-GB"/>
        </w:rPr>
        <w:t>At the same time health inequalities linked to socioeconomic factors are widening. These disparities are closely associated with broader living conditions, including material circumstances, psychosocial stress and lifestyle factors. Preventing non</w:t>
      </w:r>
      <w:r w:rsidRPr="006A6D19">
        <w:rPr>
          <w:lang w:val="en-GB"/>
        </w:rPr>
        <w:noBreakHyphen/>
        <w:t>communicable diseases and promoting both physical and mental health are central to reducing inequalities and alleviating pressure on health services.</w:t>
      </w:r>
    </w:p>
    <w:p w14:paraId="53BEA23F" w14:textId="77777777" w:rsidR="008A5841" w:rsidRPr="006A6D19" w:rsidRDefault="008A5841" w:rsidP="001609FA">
      <w:pPr>
        <w:rPr>
          <w:lang w:val="en-GB"/>
        </w:rPr>
      </w:pPr>
      <w:r w:rsidRPr="006A6D19">
        <w:rPr>
          <w:lang w:val="en-GB"/>
        </w:rPr>
        <w:t>There is also a clear link between challenging living</w:t>
      </w:r>
      <w:r w:rsidRPr="006A6D19">
        <w:rPr>
          <w:lang w:val="en-GB"/>
        </w:rPr>
        <w:noBreakHyphen/>
        <w:t>conditions and exposure to violence. Good childhood conditions, along with access to education, employment, housing, health services, culture and leisure activities play a key role in reducing inequality and preventing violence and crime.</w:t>
      </w:r>
    </w:p>
    <w:p w14:paraId="53631CDB" w14:textId="77777777" w:rsidR="008A5841" w:rsidRPr="006A6D19" w:rsidRDefault="008A5841" w:rsidP="006B301F">
      <w:pPr>
        <w:pStyle w:val="avsnitt-undertittel"/>
        <w:rPr>
          <w:lang w:val="en-GB"/>
        </w:rPr>
      </w:pPr>
      <w:r w:rsidRPr="006A6D19">
        <w:rPr>
          <w:lang w:val="en-GB"/>
        </w:rPr>
        <w:t>Increased Need for Financing</w:t>
      </w:r>
    </w:p>
    <w:p w14:paraId="1C56F2D3" w14:textId="77777777" w:rsidR="008A5841" w:rsidRPr="006A6D19" w:rsidRDefault="008A5841" w:rsidP="001609FA">
      <w:pPr>
        <w:rPr>
          <w:lang w:val="en-GB"/>
        </w:rPr>
      </w:pPr>
      <w:r w:rsidRPr="006A6D19">
        <w:rPr>
          <w:lang w:val="en-GB"/>
        </w:rPr>
        <w:t>The 2030 Agenda requires substantial investment at both national and global levels. Norway is facing rising costs driven by geopolitical tensions, climate and nature-related risks, demographic change and the transition to a low</w:t>
      </w:r>
      <w:r w:rsidRPr="006A6D19">
        <w:rPr>
          <w:lang w:val="en-GB"/>
        </w:rPr>
        <w:noBreakHyphen/>
        <w:t>emission society. Achieving green and inclusive growth will require accelerated investment in technology, innovation and sustainable business models.</w:t>
      </w:r>
    </w:p>
    <w:p w14:paraId="0ECF5DF2" w14:textId="0FFC9D8E" w:rsidR="008A5841" w:rsidRPr="006A6D19" w:rsidRDefault="008A5841" w:rsidP="001609FA">
      <w:pPr>
        <w:rPr>
          <w:lang w:val="en-GB"/>
        </w:rPr>
      </w:pPr>
      <w:r w:rsidRPr="006A6D19">
        <w:rPr>
          <w:lang w:val="en-GB"/>
        </w:rPr>
        <w:t>At the same time, demographic trends challenge the long</w:t>
      </w:r>
      <w:r w:rsidRPr="006A6D19">
        <w:rPr>
          <w:lang w:val="en-GB"/>
        </w:rPr>
        <w:noBreakHyphen/>
        <w:t>term sustainability of the welfare state. This underscores the need for a forward</w:t>
      </w:r>
      <w:r w:rsidRPr="006A6D19">
        <w:rPr>
          <w:lang w:val="en-GB"/>
        </w:rPr>
        <w:noBreakHyphen/>
        <w:t>looking and adaptable public administration that can mobilise all parts of society to develop and implement sustainable solutions.</w:t>
      </w:r>
    </w:p>
    <w:p w14:paraId="4453CACE" w14:textId="77777777" w:rsidR="008A5841" w:rsidRPr="006A6D19" w:rsidRDefault="008A5841" w:rsidP="008F7045">
      <w:pPr>
        <w:pStyle w:val="Overskrift1"/>
        <w:pageBreakBefore/>
        <w:rPr>
          <w:lang w:val="en-GB"/>
        </w:rPr>
      </w:pPr>
      <w:r w:rsidRPr="006A6D19">
        <w:rPr>
          <w:lang w:val="en-GB"/>
        </w:rPr>
        <w:lastRenderedPageBreak/>
        <w:t>Progress on Goals and Targets</w:t>
      </w:r>
    </w:p>
    <w:p w14:paraId="75279071" w14:textId="23B2C843" w:rsidR="00D64CF7" w:rsidRPr="006A6D19" w:rsidRDefault="00D64CF7" w:rsidP="00D64CF7">
      <w:pPr>
        <w:rPr>
          <w:lang w:val="en-GB"/>
        </w:rPr>
      </w:pPr>
      <w:r w:rsidRPr="006A6D19">
        <w:rPr>
          <w:noProof/>
          <w:lang w:val="en-GB"/>
        </w:rPr>
        <w:drawing>
          <wp:inline distT="0" distB="0" distL="0" distR="0" wp14:anchorId="1D2A1784" wp14:editId="020D522D">
            <wp:extent cx="6638925" cy="1962150"/>
            <wp:effectExtent l="0" t="0" r="9525" b="0"/>
            <wp:docPr id="563224356" name="Bilde 37" descr="Decorative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224356" name="Bilde 37" descr="Decorative illustratio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38925" cy="1962150"/>
                    </a:xfrm>
                    <a:prstGeom prst="rect">
                      <a:avLst/>
                    </a:prstGeom>
                    <a:noFill/>
                    <a:ln>
                      <a:noFill/>
                    </a:ln>
                  </pic:spPr>
                </pic:pic>
              </a:graphicData>
            </a:graphic>
          </wp:inline>
        </w:drawing>
      </w:r>
    </w:p>
    <w:p w14:paraId="5D981C06" w14:textId="77777777" w:rsidR="008A5841" w:rsidRPr="006A6D19" w:rsidRDefault="008A5841" w:rsidP="00B765C1">
      <w:pPr>
        <w:pStyle w:val="Overskrift2"/>
        <w:rPr>
          <w:lang w:val="en-GB"/>
        </w:rPr>
      </w:pPr>
      <w:r w:rsidRPr="006A6D19">
        <w:rPr>
          <w:lang w:val="en-GB"/>
        </w:rPr>
        <w:t>Current State &amp; Key Changes 2021–2026</w:t>
      </w:r>
    </w:p>
    <w:p w14:paraId="2F77EE31" w14:textId="77777777" w:rsidR="008A5841" w:rsidRPr="006A6D19" w:rsidRDefault="008A5841" w:rsidP="001609FA">
      <w:pPr>
        <w:rPr>
          <w:lang w:val="en-GB"/>
        </w:rPr>
      </w:pPr>
      <w:r w:rsidRPr="006A6D19">
        <w:rPr>
          <w:lang w:val="en-GB"/>
        </w:rPr>
        <w:t>Norway is well positioned to achieve the Sustainable Development Goals. The assessment of progress on the 17 SDGs conducted in this review confirms this overall picture. Norway performs particularly strongly on goals related to poverty (SDG 1), gender equality (SDG 5), energy (SDG7), equality (SDG 10), strong institutions (SDG 16) and partnerships (SDG 17). This reflects long-standing investments in welfare systems, high-quality public services, and inclusive governance. According to the SDG Index, Norway i</w:t>
      </w:r>
      <w:r w:rsidRPr="006A6D19">
        <w:rPr>
          <w:lang w:val="en-GB"/>
        </w:rPr>
        <w:t>s currently ranked number 7.</w:t>
      </w:r>
    </w:p>
    <w:p w14:paraId="26F9A9BD" w14:textId="799500D8" w:rsidR="008A5841" w:rsidRPr="006A6D19" w:rsidRDefault="008A5841" w:rsidP="001609FA">
      <w:pPr>
        <w:rPr>
          <w:lang w:val="en-GB"/>
        </w:rPr>
      </w:pPr>
      <w:r w:rsidRPr="006A6D19">
        <w:rPr>
          <w:lang w:val="en-GB"/>
        </w:rPr>
        <w:t>Since Norway’s previous VNR in 2021 substantial efforts have been made to con</w:t>
      </w:r>
      <w:r w:rsidRPr="006A6D19">
        <w:rPr>
          <w:lang w:val="en-GB"/>
        </w:rPr>
        <w:t>textualise the global goals within the national framework. A key policy initiative has been the development of national indicators. As national challenges are not fully captured by the global indicators, complementing them with nationally relevant measures provides a more accurate picture of progress. Since 2021, Statistics Norway has established a publicly available portal presenting both global and national indicators. This enables a more robust and analytical assessment of Norway’s progress. A detailed d</w:t>
      </w:r>
      <w:r w:rsidRPr="006A6D19">
        <w:rPr>
          <w:lang w:val="en-GB"/>
        </w:rPr>
        <w:t>escription for Norway’s monitoring and review mechanisms is provided chapter in 6.2.</w:t>
      </w:r>
    </w:p>
    <w:p w14:paraId="52F18CA1" w14:textId="6DA5E1F7" w:rsidR="008A5841" w:rsidRPr="006A6D19" w:rsidRDefault="008A5841" w:rsidP="001609FA">
      <w:pPr>
        <w:rPr>
          <w:lang w:val="en-GB"/>
        </w:rPr>
      </w:pPr>
      <w:r w:rsidRPr="006A6D19">
        <w:rPr>
          <w:lang w:val="en-GB"/>
        </w:rPr>
        <w:t>In this VNR the Government</w:t>
      </w:r>
      <w:r w:rsidR="001609FA" w:rsidRPr="006A6D19">
        <w:rPr>
          <w:lang w:val="en-GB"/>
        </w:rPr>
        <w:t xml:space="preserve"> </w:t>
      </w:r>
      <w:r w:rsidRPr="006A6D19">
        <w:rPr>
          <w:lang w:val="en-GB"/>
        </w:rPr>
        <w:t>has assessed all 169 targets. The assessment shows that Norway has fully met 97 targets while further efforts are required for the remaining 72 targets. Most of these targets are close to being achieved, however six targets require significant improvement namely target 3.8, 8.4, 11.1, 12.2, 12.5 and 14.5. The targets with the greatest need for improvement emphasise how Norway’s high standard of living and material consumption pose create clear challenges to sustainable development. These challenges are part</w:t>
      </w:r>
      <w:r w:rsidRPr="006A6D19">
        <w:rPr>
          <w:lang w:val="en-GB"/>
        </w:rPr>
        <w:t>icularly evident in targets related to resource use, waste management, climate action, biodiversity, and the relationship between economic growth and environmental degradation. Moreover, material consumption in Norway remains significantly higher than global and European averages, contributing to high levels of waste generation. Norway also has potential for improvement with regards to reducing marine litter and microplastics and strengthening marine conservation, ensuring access to affordable housing and d</w:t>
      </w:r>
      <w:r w:rsidRPr="006A6D19">
        <w:rPr>
          <w:lang w:val="en-GB"/>
        </w:rPr>
        <w:t>ental care.</w:t>
      </w:r>
    </w:p>
    <w:p w14:paraId="17ACD595" w14:textId="77777777" w:rsidR="008A5841" w:rsidRPr="006A6D19" w:rsidRDefault="008A5841" w:rsidP="001609FA">
      <w:pPr>
        <w:pStyle w:val="figur-tittel"/>
        <w:rPr>
          <w:lang w:val="en-GB"/>
        </w:rPr>
      </w:pPr>
      <w:r w:rsidRPr="006A6D19">
        <w:rPr>
          <w:lang w:val="en-GB"/>
        </w:rPr>
        <w:t>Status on the SDGs</w:t>
      </w:r>
    </w:p>
    <w:p w14:paraId="5C8A677B" w14:textId="453C0533" w:rsidR="008A5841" w:rsidRPr="006A6D19" w:rsidRDefault="00B765C1" w:rsidP="00B765C1">
      <w:pPr>
        <w:rPr>
          <w:lang w:val="en-GB"/>
        </w:rPr>
      </w:pPr>
      <w:r w:rsidRPr="006A6D19">
        <w:rPr>
          <w:noProof/>
          <w:lang w:val="en-GB"/>
        </w:rPr>
        <w:lastRenderedPageBreak/>
        <w:drawing>
          <wp:inline distT="0" distB="0" distL="0" distR="0" wp14:anchorId="44352DB9" wp14:editId="6265A681">
            <wp:extent cx="6638925" cy="3333750"/>
            <wp:effectExtent l="0" t="0" r="9525" b="0"/>
            <wp:docPr id="1774852067" name="Bilde 41" descr="Status on the SD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852067" name="Bilde 41" descr="Status on the SDG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38925" cy="3333750"/>
                    </a:xfrm>
                    <a:prstGeom prst="rect">
                      <a:avLst/>
                    </a:prstGeom>
                    <a:noFill/>
                    <a:ln>
                      <a:noFill/>
                    </a:ln>
                  </pic:spPr>
                </pic:pic>
              </a:graphicData>
            </a:graphic>
          </wp:inline>
        </w:drawing>
      </w:r>
    </w:p>
    <w:p w14:paraId="44B0B5EC" w14:textId="77777777" w:rsidR="008A5841" w:rsidRPr="006A6D19" w:rsidRDefault="008A5841" w:rsidP="001609FA">
      <w:pPr>
        <w:pStyle w:val="Kilde"/>
        <w:rPr>
          <w:lang w:val="en-GB"/>
        </w:rPr>
      </w:pPr>
      <w:r w:rsidRPr="006A6D19">
        <w:rPr>
          <w:lang w:val="en-GB"/>
        </w:rPr>
        <w:t>Source: Ministry of Digitalisation and Public Governance, 2026</w:t>
      </w:r>
    </w:p>
    <w:p w14:paraId="4A3FE936" w14:textId="77777777" w:rsidR="008A5841" w:rsidRPr="006A6D19" w:rsidRDefault="008A5841" w:rsidP="001609FA">
      <w:pPr>
        <w:rPr>
          <w:lang w:val="en-GB"/>
        </w:rPr>
      </w:pPr>
      <w:r w:rsidRPr="006A6D19">
        <w:rPr>
          <w:lang w:val="en-GB"/>
        </w:rPr>
        <w:t>Overall, the assessment indicates a positive development trend, with positive development for 87 targets and stagnated progress for further 74 targets, indicating maintained performance. Only eight targets show a negative trend, underscoring that most areas are either improving or holding steady, as shown in the figure below.</w:t>
      </w:r>
    </w:p>
    <w:p w14:paraId="10E2AB97" w14:textId="77777777" w:rsidR="008A5841" w:rsidRPr="006A6D19" w:rsidRDefault="008A5841" w:rsidP="001609FA">
      <w:pPr>
        <w:pStyle w:val="figur-tittel"/>
        <w:rPr>
          <w:lang w:val="en-GB"/>
        </w:rPr>
      </w:pPr>
      <w:r w:rsidRPr="006A6D19">
        <w:rPr>
          <w:lang w:val="en-GB"/>
        </w:rPr>
        <w:t>Development Trend on the SDGs</w:t>
      </w:r>
    </w:p>
    <w:p w14:paraId="62DD73B4" w14:textId="44C114A8" w:rsidR="008A5841" w:rsidRPr="006A6D19" w:rsidRDefault="00B765C1" w:rsidP="00B765C1">
      <w:pPr>
        <w:rPr>
          <w:lang w:val="en-GB"/>
        </w:rPr>
      </w:pPr>
      <w:r w:rsidRPr="006A6D19">
        <w:rPr>
          <w:noProof/>
          <w:lang w:val="en-GB"/>
        </w:rPr>
        <w:drawing>
          <wp:inline distT="0" distB="0" distL="0" distR="0" wp14:anchorId="30122CC0" wp14:editId="6224689D">
            <wp:extent cx="6638925" cy="3324225"/>
            <wp:effectExtent l="0" t="0" r="9525" b="9525"/>
            <wp:docPr id="1962898134" name="Bilde 42" descr="Development Trend on the SD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898134" name="Bilde 42" descr="Development Trend on the SDG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38925" cy="3324225"/>
                    </a:xfrm>
                    <a:prstGeom prst="rect">
                      <a:avLst/>
                    </a:prstGeom>
                    <a:noFill/>
                    <a:ln>
                      <a:noFill/>
                    </a:ln>
                  </pic:spPr>
                </pic:pic>
              </a:graphicData>
            </a:graphic>
          </wp:inline>
        </w:drawing>
      </w:r>
    </w:p>
    <w:p w14:paraId="64ACB4E7" w14:textId="77777777" w:rsidR="008A5841" w:rsidRPr="006A6D19" w:rsidRDefault="008A5841" w:rsidP="001609FA">
      <w:pPr>
        <w:pStyle w:val="Kilde"/>
        <w:rPr>
          <w:lang w:val="en-GB"/>
        </w:rPr>
      </w:pPr>
      <w:r w:rsidRPr="006A6D19">
        <w:rPr>
          <w:lang w:val="en-GB"/>
        </w:rPr>
        <w:t>Source: Ministry of Digitalisation and Public Governance, 2026</w:t>
      </w:r>
    </w:p>
    <w:p w14:paraId="50A4ED11" w14:textId="77777777" w:rsidR="008A5841" w:rsidRPr="006A6D19" w:rsidRDefault="008A5841" w:rsidP="001609FA">
      <w:pPr>
        <w:rPr>
          <w:lang w:val="en-GB"/>
        </w:rPr>
      </w:pPr>
      <w:r w:rsidRPr="006A6D19">
        <w:rPr>
          <w:lang w:val="en-GB"/>
        </w:rPr>
        <w:lastRenderedPageBreak/>
        <w:t>A comparison with the 2021 assessment indicates a slightly negative development of progress. 22 targets show regression, while 8 targets show progress. However, as the 2026 assessment is based on a more robust and expanded evidence base developed since 2021, direct comparisons are not well suited to draw firm conclusions about development over time.</w:t>
      </w:r>
    </w:p>
    <w:p w14:paraId="62277546" w14:textId="77777777" w:rsidR="008A5841" w:rsidRPr="006A6D19" w:rsidRDefault="008A5841" w:rsidP="00AA7749">
      <w:pPr>
        <w:pStyle w:val="Overskrift2"/>
        <w:rPr>
          <w:lang w:val="en-GB"/>
        </w:rPr>
      </w:pPr>
      <w:r w:rsidRPr="006A6D19">
        <w:rPr>
          <w:lang w:val="en-GB"/>
        </w:rPr>
        <w:t>Monitoring and Review Mechanisms</w:t>
      </w:r>
    </w:p>
    <w:p w14:paraId="1ECADEF1" w14:textId="644E5501" w:rsidR="008A5841" w:rsidRPr="006A6D19" w:rsidRDefault="008A5841" w:rsidP="001609FA">
      <w:pPr>
        <w:rPr>
          <w:lang w:val="en-GB"/>
        </w:rPr>
      </w:pPr>
      <w:r w:rsidRPr="006A6D19">
        <w:rPr>
          <w:lang w:val="en-GB"/>
        </w:rPr>
        <w:t xml:space="preserve">Since 2020, Statistics Norway (SSB), in cooperation with the public authorities, has published </w:t>
      </w:r>
      <w:hyperlink r:id="rId27" w:history="1">
        <w:r w:rsidRPr="006A6D19">
          <w:rPr>
            <w:rStyle w:val="Hyperkobling"/>
            <w:lang w:val="en-GB"/>
          </w:rPr>
          <w:t>global indicators</w:t>
        </w:r>
      </w:hyperlink>
      <w:r w:rsidRPr="006A6D19">
        <w:rPr>
          <w:lang w:val="en-GB"/>
        </w:rPr>
        <w:t xml:space="preserve"> for monitoring progress on the 17 Goals in </w:t>
      </w:r>
      <w:proofErr w:type="gramStart"/>
      <w:r w:rsidRPr="006A6D19">
        <w:rPr>
          <w:lang w:val="en-GB"/>
        </w:rPr>
        <w:t>a</w:t>
      </w:r>
      <w:proofErr w:type="gramEnd"/>
      <w:r w:rsidRPr="006A6D19">
        <w:rPr>
          <w:lang w:val="en-GB"/>
        </w:rPr>
        <w:t xml:space="preserve"> SDG indicator portal. From 2023, this was expanded to also include </w:t>
      </w:r>
      <w:hyperlink r:id="rId28" w:history="1">
        <w:r w:rsidRPr="006A6D19">
          <w:rPr>
            <w:rStyle w:val="Hyperkobling"/>
            <w:lang w:val="en-GB"/>
          </w:rPr>
          <w:t>national indicators</w:t>
        </w:r>
      </w:hyperlink>
      <w:r w:rsidRPr="006A6D19">
        <w:rPr>
          <w:lang w:val="en-GB"/>
        </w:rPr>
        <w:t>. Over the past five years considerable effort has been invested in developing a comprehensive and coherent set of indicators for national follow-up. As a result, Norway now has a significantly strengthened knowledge base. The systematisa</w:t>
      </w:r>
      <w:r w:rsidRPr="006A6D19">
        <w:rPr>
          <w:lang w:val="en-GB"/>
        </w:rPr>
        <w:t>tion of indicators enables a far more thorough assessment of Norway’s progress on the SDGs than was possible at the time of the previous VNR in 2021.</w:t>
      </w:r>
    </w:p>
    <w:p w14:paraId="67D7753A" w14:textId="77777777" w:rsidR="008A5841" w:rsidRPr="006A6D19" w:rsidRDefault="008A5841" w:rsidP="001609FA">
      <w:pPr>
        <w:rPr>
          <w:lang w:val="en-GB"/>
        </w:rPr>
      </w:pPr>
      <w:r w:rsidRPr="006A6D19">
        <w:rPr>
          <w:lang w:val="en-GB"/>
        </w:rPr>
        <w:t>The indicators are used by the Government both in the annual reporting on SDGs to Parliament, and in Norway’s reporting to the United Nations. The indicator portals published by SSB also play an important role in the work of many civil society actors and contribute to transparency regarding public authorities’ efforts to promote sustainable development.</w:t>
      </w:r>
    </w:p>
    <w:p w14:paraId="4FB91C51" w14:textId="77777777" w:rsidR="008A5841" w:rsidRPr="006A6D19" w:rsidRDefault="008A5841" w:rsidP="001609FA">
      <w:pPr>
        <w:rPr>
          <w:lang w:val="en-GB"/>
        </w:rPr>
      </w:pPr>
      <w:r w:rsidRPr="006A6D19">
        <w:rPr>
          <w:lang w:val="en-GB"/>
        </w:rPr>
        <w:t>As of May 2025, approximately 215 national indicators and 103 global indicators have been published. A detailed overview of the status on the global indicators is provided in the statistical annex to this report. To further strengthen sustainability efforts within the public administration and enable communication of the results to the public, there is a continuous need to enhance data quality on the SDGs and further develop the portal. This is a priority for the Government.</w:t>
      </w:r>
    </w:p>
    <w:p w14:paraId="0B803EFF" w14:textId="77777777" w:rsidR="008A5841" w:rsidRPr="006A6D19" w:rsidRDefault="008A5841" w:rsidP="001609FA">
      <w:pPr>
        <w:rPr>
          <w:lang w:val="en-GB"/>
        </w:rPr>
      </w:pPr>
      <w:r w:rsidRPr="006A6D19">
        <w:rPr>
          <w:lang w:val="en-GB"/>
        </w:rPr>
        <w:t xml:space="preserve">Access to quality data is also important for local and regional authorities. The Government has therefore supported the development of local- and regional-level indicators and reliable data collection. This helps local and regional authorities to measure progress towards SDG achievement. </w:t>
      </w:r>
    </w:p>
    <w:tbl>
      <w:tblPr>
        <w:tblStyle w:val="StandardBoks"/>
        <w:tblW w:w="5000" w:type="pct"/>
        <w:tblLook w:val="04A0" w:firstRow="1" w:lastRow="0" w:firstColumn="1" w:lastColumn="0" w:noHBand="0" w:noVBand="1"/>
      </w:tblPr>
      <w:tblGrid>
        <w:gridCol w:w="10466"/>
      </w:tblGrid>
      <w:tr w:rsidR="00000000" w:rsidRPr="006A6D19" w14:paraId="41445439" w14:textId="77777777" w:rsidTr="001609FA">
        <w:trPr>
          <w:trHeight w:val="60"/>
        </w:trPr>
        <w:tc>
          <w:tcPr>
            <w:tcW w:w="5000" w:type="pct"/>
          </w:tcPr>
          <w:p w14:paraId="51FD81DF" w14:textId="77777777" w:rsidR="008A5841" w:rsidRPr="006A6D19" w:rsidRDefault="008A5841" w:rsidP="00B765C1">
            <w:pPr>
              <w:pStyle w:val="avsnitt-undertittel"/>
              <w:rPr>
                <w:lang w:val="en-GB"/>
              </w:rPr>
            </w:pPr>
            <w:r w:rsidRPr="006A6D19">
              <w:rPr>
                <w:lang w:val="en-GB"/>
              </w:rPr>
              <w:lastRenderedPageBreak/>
              <w:t>Indicators for Local and Regional Authorities</w:t>
            </w:r>
          </w:p>
          <w:p w14:paraId="056C1B90" w14:textId="77777777" w:rsidR="008A5841" w:rsidRPr="006A6D19" w:rsidRDefault="008A5841" w:rsidP="001609FA">
            <w:pPr>
              <w:rPr>
                <w:lang w:val="en-GB"/>
              </w:rPr>
            </w:pPr>
            <w:r w:rsidRPr="006A6D19">
              <w:rPr>
                <w:lang w:val="en-GB"/>
              </w:rPr>
              <w:t>Initiated by KS and developed by Statistics Norway a classification model called “the taxonomy for SDG-related indicators” was designed to help local-, regional- and national-level policymakers and administrative bodies in selecting indicators that are most effective for measuring progress towards SDG achievement. The taxonomy was developed in close collaboration with local and regional authorities, which have been involved in testing how to best connect SDG localisation and progress monitoring to the indic</w:t>
            </w:r>
            <w:r w:rsidRPr="006A6D19">
              <w:rPr>
                <w:lang w:val="en-GB"/>
              </w:rPr>
              <w:t>ators already in use in municipal management. The taxonomy’s systematic framework organises indicators across three key dimensions: 1) Goal; 2) Perspective; and 3) Quality. Applying the same taxonomy to all the indicators helps in clarifying and comparing their uses and usability. KS is continuing the work by utilising the taxonomy to present a database of classified indicators, including a shortlist of relevant indicators for use in local and regional administrations.</w:t>
            </w:r>
          </w:p>
          <w:p w14:paraId="1F6A04BC" w14:textId="77777777" w:rsidR="008A5841" w:rsidRPr="006A6D19" w:rsidRDefault="008A5841" w:rsidP="001609FA">
            <w:pPr>
              <w:pStyle w:val="Kilde"/>
              <w:rPr>
                <w:lang w:val="en-GB"/>
              </w:rPr>
            </w:pPr>
            <w:r w:rsidRPr="006A6D19">
              <w:rPr>
                <w:lang w:val="en-GB"/>
              </w:rPr>
              <w:t xml:space="preserve">Source: KS, </w:t>
            </w:r>
            <w:hyperlink r:id="rId29" w:history="1">
              <w:r w:rsidRPr="006A6D19">
                <w:rPr>
                  <w:rStyle w:val="Hyperkobling"/>
                  <w:lang w:val="en-GB"/>
                </w:rPr>
                <w:t>Indicators and taxonomy for the SDGs</w:t>
              </w:r>
            </w:hyperlink>
          </w:p>
        </w:tc>
      </w:tr>
    </w:tbl>
    <w:p w14:paraId="755FE3D3" w14:textId="77777777" w:rsidR="008A5841" w:rsidRPr="006A6D19" w:rsidRDefault="008A5841" w:rsidP="001609FA">
      <w:pPr>
        <w:rPr>
          <w:lang w:val="en-GB"/>
        </w:rPr>
      </w:pPr>
    </w:p>
    <w:p w14:paraId="7AB3FCAD" w14:textId="77777777" w:rsidR="008A5841" w:rsidRPr="006A6D19" w:rsidRDefault="008A5841" w:rsidP="001609FA">
      <w:pPr>
        <w:pStyle w:val="Overskrift2"/>
        <w:rPr>
          <w:lang w:val="en-GB"/>
        </w:rPr>
      </w:pPr>
      <w:r w:rsidRPr="006A6D19">
        <w:rPr>
          <w:lang w:val="en-GB"/>
        </w:rPr>
        <w:t>Progress on the SDGs – Assessment by the Government and Civil Society</w:t>
      </w:r>
    </w:p>
    <w:p w14:paraId="65F16FC2" w14:textId="77777777" w:rsidR="008A5841" w:rsidRPr="006A6D19" w:rsidRDefault="008A5841" w:rsidP="001609FA">
      <w:pPr>
        <w:rPr>
          <w:lang w:val="en-GB"/>
        </w:rPr>
      </w:pPr>
      <w:r w:rsidRPr="006A6D19">
        <w:rPr>
          <w:lang w:val="en-GB"/>
        </w:rPr>
        <w:t xml:space="preserve">This progress report presents an overview of the status and progress in the SDGs since </w:t>
      </w:r>
      <w:hyperlink r:id="rId30" w:history="1">
        <w:r w:rsidRPr="006A6D19">
          <w:rPr>
            <w:rStyle w:val="Hyperkobling"/>
            <w:lang w:val="en-GB"/>
          </w:rPr>
          <w:t>Norway’s second VNR in 2021</w:t>
        </w:r>
      </w:hyperlink>
      <w:r w:rsidRPr="006A6D19">
        <w:rPr>
          <w:lang w:val="en-GB"/>
        </w:rPr>
        <w:t xml:space="preserve">. The Government’s assessment is based on available data, drawing primarily on the recent </w:t>
      </w:r>
      <w:hyperlink r:id="rId31" w:history="1">
        <w:r w:rsidRPr="006A6D19">
          <w:rPr>
            <w:rStyle w:val="Hyperkobling"/>
            <w:lang w:val="en-GB"/>
          </w:rPr>
          <w:t>White Paper on the SDGs</w:t>
        </w:r>
      </w:hyperlink>
      <w:r w:rsidRPr="006A6D19">
        <w:rPr>
          <w:lang w:val="en-GB"/>
        </w:rPr>
        <w:t xml:space="preserve">, and the </w:t>
      </w:r>
      <w:hyperlink r:id="rId32" w:history="1">
        <w:r w:rsidRPr="006A6D19">
          <w:rPr>
            <w:rStyle w:val="Hyperkobling"/>
            <w:lang w:val="en-GB"/>
          </w:rPr>
          <w:t>global indicators</w:t>
        </w:r>
      </w:hyperlink>
      <w:r w:rsidRPr="006A6D19">
        <w:rPr>
          <w:lang w:val="en-GB"/>
        </w:rPr>
        <w:t xml:space="preserve"> and </w:t>
      </w:r>
      <w:hyperlink r:id="rId33" w:history="1">
        <w:r w:rsidRPr="006A6D19">
          <w:rPr>
            <w:rStyle w:val="Hyperkobling"/>
            <w:lang w:val="en-GB"/>
          </w:rPr>
          <w:t>national indicators</w:t>
        </w:r>
      </w:hyperlink>
      <w:r w:rsidRPr="006A6D19">
        <w:rPr>
          <w:lang w:val="en-GB"/>
        </w:rPr>
        <w:t xml:space="preserve"> produced by Statistics Norway. The Government assessment is followed by an independent assessment by civil society organisations.</w:t>
      </w:r>
    </w:p>
    <w:p w14:paraId="7A594981" w14:textId="77777777" w:rsidR="008A5841" w:rsidRPr="006A6D19" w:rsidRDefault="008A5841" w:rsidP="001609FA">
      <w:pPr>
        <w:rPr>
          <w:lang w:val="en-GB"/>
        </w:rPr>
      </w:pPr>
      <w:r w:rsidRPr="006A6D19">
        <w:rPr>
          <w:lang w:val="en-GB"/>
        </w:rPr>
        <w:t>The assessments by the Government are illustrated using the following:</w:t>
      </w:r>
      <w:r w:rsidRPr="006A6D19">
        <w:rPr>
          <w:lang w:val="en-GB"/>
        </w:rPr>
        <w:tab/>
      </w:r>
    </w:p>
    <w:tbl>
      <w:tblPr>
        <w:tblW w:w="5000" w:type="pct"/>
        <w:tblCellMar>
          <w:left w:w="0" w:type="dxa"/>
          <w:right w:w="0" w:type="dxa"/>
        </w:tblCellMar>
        <w:tblLook w:val="0000" w:firstRow="0" w:lastRow="0" w:firstColumn="0" w:lastColumn="0" w:noHBand="0" w:noVBand="0"/>
      </w:tblPr>
      <w:tblGrid>
        <w:gridCol w:w="1075"/>
        <w:gridCol w:w="9375"/>
      </w:tblGrid>
      <w:tr w:rsidR="00000000" w:rsidRPr="006A6D19" w14:paraId="2FB61B80" w14:textId="77777777" w:rsidTr="001609FA">
        <w:tblPrEx>
          <w:tblCellMar>
            <w:top w:w="0" w:type="dxa"/>
            <w:left w:w="0" w:type="dxa"/>
            <w:bottom w:w="0" w:type="dxa"/>
            <w:right w:w="0" w:type="dxa"/>
          </w:tblCellMar>
        </w:tblPrEx>
        <w:trPr>
          <w:trHeight w:val="60"/>
        </w:trPr>
        <w:tc>
          <w:tcPr>
            <w:tcW w:w="331"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E65C682" w14:textId="110DD652" w:rsidR="008A5841" w:rsidRPr="006A6D19" w:rsidRDefault="00B0619C" w:rsidP="001609FA">
            <w:pPr>
              <w:rPr>
                <w:lang w:val="en-GB"/>
              </w:rPr>
            </w:pPr>
            <w:r>
              <w:rPr>
                <w:noProof/>
                <w:lang w:val="en-GB"/>
              </w:rPr>
              <w:drawing>
                <wp:inline distT="0" distB="0" distL="0" distR="0" wp14:anchorId="48FB4271" wp14:editId="764BA2E5">
                  <wp:extent cx="619125" cy="561975"/>
                  <wp:effectExtent l="0" t="0" r="9525" b="9525"/>
                  <wp:docPr id="994577467" name="Bilde 80" descr="Smiling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577467" name="Bilde 80" descr="Smiling fac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9125" cy="561975"/>
                          </a:xfrm>
                          <a:prstGeom prst="rect">
                            <a:avLst/>
                          </a:prstGeom>
                          <a:noFill/>
                          <a:ln>
                            <a:noFill/>
                          </a:ln>
                        </pic:spPr>
                      </pic:pic>
                    </a:graphicData>
                  </a:graphic>
                </wp:inline>
              </w:drawing>
            </w:r>
          </w:p>
        </w:tc>
        <w:tc>
          <w:tcPr>
            <w:tcW w:w="466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vAlign w:val="center"/>
          </w:tcPr>
          <w:p w14:paraId="317D51C1" w14:textId="77777777" w:rsidR="008A5841" w:rsidRPr="006A6D19" w:rsidRDefault="008A5841" w:rsidP="001609FA">
            <w:pPr>
              <w:rPr>
                <w:lang w:val="en-GB"/>
              </w:rPr>
            </w:pPr>
            <w:r w:rsidRPr="006A6D19">
              <w:rPr>
                <w:lang w:val="en-GB"/>
              </w:rPr>
              <w:t>Norway has met the target</w:t>
            </w:r>
          </w:p>
        </w:tc>
      </w:tr>
      <w:tr w:rsidR="00000000" w:rsidRPr="006A6D19" w14:paraId="0358CAE7" w14:textId="77777777" w:rsidTr="001609FA">
        <w:tblPrEx>
          <w:tblCellMar>
            <w:top w:w="0" w:type="dxa"/>
            <w:left w:w="0" w:type="dxa"/>
            <w:bottom w:w="0" w:type="dxa"/>
            <w:right w:w="0" w:type="dxa"/>
          </w:tblCellMar>
        </w:tblPrEx>
        <w:trPr>
          <w:trHeight w:val="60"/>
        </w:trPr>
        <w:tc>
          <w:tcPr>
            <w:tcW w:w="331"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7849D4CA" w14:textId="392A51D0" w:rsidR="008A5841" w:rsidRPr="006A6D19" w:rsidRDefault="00B0619C" w:rsidP="001609FA">
            <w:pPr>
              <w:rPr>
                <w:lang w:val="en-GB"/>
              </w:rPr>
            </w:pPr>
            <w:r>
              <w:rPr>
                <w:noProof/>
                <w:lang w:val="en-GB"/>
              </w:rPr>
              <w:drawing>
                <wp:inline distT="0" distB="0" distL="0" distR="0" wp14:anchorId="691DF65F" wp14:editId="5A19FBE9">
                  <wp:extent cx="619125" cy="561975"/>
                  <wp:effectExtent l="0" t="0" r="9525" b="9525"/>
                  <wp:docPr id="1320423754" name="Bilde 81" descr="Face with straight mo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423754" name="Bilde 81" descr="Face with straight mouth"/>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9125" cy="561975"/>
                          </a:xfrm>
                          <a:prstGeom prst="rect">
                            <a:avLst/>
                          </a:prstGeom>
                          <a:noFill/>
                          <a:ln>
                            <a:noFill/>
                          </a:ln>
                        </pic:spPr>
                      </pic:pic>
                    </a:graphicData>
                  </a:graphic>
                </wp:inline>
              </w:drawing>
            </w:r>
          </w:p>
        </w:tc>
        <w:tc>
          <w:tcPr>
            <w:tcW w:w="466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vAlign w:val="center"/>
          </w:tcPr>
          <w:p w14:paraId="43753AAD" w14:textId="77777777" w:rsidR="008A5841" w:rsidRPr="006A6D19" w:rsidRDefault="008A5841" w:rsidP="001609FA">
            <w:pPr>
              <w:rPr>
                <w:lang w:val="en-GB"/>
              </w:rPr>
            </w:pPr>
            <w:r w:rsidRPr="006A6D19">
              <w:rPr>
                <w:lang w:val="en-GB"/>
              </w:rPr>
              <w:t>Norway is close to meet the target, but there is room for improvement</w:t>
            </w:r>
          </w:p>
        </w:tc>
      </w:tr>
      <w:tr w:rsidR="00000000" w:rsidRPr="006A6D19" w14:paraId="4A6951BB" w14:textId="77777777" w:rsidTr="001609FA">
        <w:tblPrEx>
          <w:tblCellMar>
            <w:top w:w="0" w:type="dxa"/>
            <w:left w:w="0" w:type="dxa"/>
            <w:bottom w:w="0" w:type="dxa"/>
            <w:right w:w="0" w:type="dxa"/>
          </w:tblCellMar>
        </w:tblPrEx>
        <w:trPr>
          <w:trHeight w:val="60"/>
        </w:trPr>
        <w:tc>
          <w:tcPr>
            <w:tcW w:w="331"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006CC169" w14:textId="5295CB79" w:rsidR="008A5841" w:rsidRPr="006A6D19" w:rsidRDefault="00B0619C" w:rsidP="001609FA">
            <w:pPr>
              <w:rPr>
                <w:lang w:val="en-GB"/>
              </w:rPr>
            </w:pPr>
            <w:r>
              <w:rPr>
                <w:noProof/>
                <w:lang w:val="en-GB"/>
              </w:rPr>
              <w:drawing>
                <wp:inline distT="0" distB="0" distL="0" distR="0" wp14:anchorId="7AA02723" wp14:editId="2926675F">
                  <wp:extent cx="619125" cy="561975"/>
                  <wp:effectExtent l="0" t="0" r="9525" b="9525"/>
                  <wp:docPr id="209425212" name="Bilde 82" descr="Frowning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25212" name="Bilde 82" descr="Frowning fa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9125" cy="561975"/>
                          </a:xfrm>
                          <a:prstGeom prst="rect">
                            <a:avLst/>
                          </a:prstGeom>
                          <a:noFill/>
                          <a:ln>
                            <a:noFill/>
                          </a:ln>
                        </pic:spPr>
                      </pic:pic>
                    </a:graphicData>
                  </a:graphic>
                </wp:inline>
              </w:drawing>
            </w:r>
          </w:p>
        </w:tc>
        <w:tc>
          <w:tcPr>
            <w:tcW w:w="466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vAlign w:val="center"/>
          </w:tcPr>
          <w:p w14:paraId="6744832D" w14:textId="77777777" w:rsidR="008A5841" w:rsidRPr="006A6D19" w:rsidRDefault="008A5841" w:rsidP="001609FA">
            <w:pPr>
              <w:rPr>
                <w:lang w:val="en-GB"/>
              </w:rPr>
            </w:pPr>
            <w:r w:rsidRPr="006A6D19">
              <w:rPr>
                <w:lang w:val="en-GB"/>
              </w:rPr>
              <w:t>Norway has not met the target</w:t>
            </w:r>
          </w:p>
        </w:tc>
      </w:tr>
      <w:tr w:rsidR="00000000" w:rsidRPr="006A6D19" w14:paraId="742A5E48" w14:textId="77777777" w:rsidTr="001609FA">
        <w:tblPrEx>
          <w:tblCellMar>
            <w:top w:w="0" w:type="dxa"/>
            <w:left w:w="0" w:type="dxa"/>
            <w:bottom w:w="0" w:type="dxa"/>
            <w:right w:w="0" w:type="dxa"/>
          </w:tblCellMar>
        </w:tblPrEx>
        <w:trPr>
          <w:trHeight w:val="60"/>
        </w:trPr>
        <w:tc>
          <w:tcPr>
            <w:tcW w:w="331"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57145F4" w14:textId="59B71347" w:rsidR="008A5841" w:rsidRPr="006A6D19" w:rsidRDefault="00B0619C" w:rsidP="001609FA">
            <w:pPr>
              <w:rPr>
                <w:lang w:val="en-GB"/>
              </w:rPr>
            </w:pPr>
            <w:r>
              <w:rPr>
                <w:noProof/>
                <w:lang w:val="en-GB"/>
              </w:rPr>
              <w:lastRenderedPageBreak/>
              <w:drawing>
                <wp:inline distT="0" distB="0" distL="0" distR="0" wp14:anchorId="1E67D064" wp14:editId="5F0F6ABF">
                  <wp:extent cx="561975" cy="561975"/>
                  <wp:effectExtent l="0" t="0" r="9525" b="9525"/>
                  <wp:docPr id="795762014" name="Bilde 83" descr="Arrow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762014" name="Bilde 83" descr="Arrow up"/>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tc>
        <w:tc>
          <w:tcPr>
            <w:tcW w:w="466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vAlign w:val="center"/>
          </w:tcPr>
          <w:p w14:paraId="2595855F" w14:textId="77777777" w:rsidR="008A5841" w:rsidRPr="006A6D19" w:rsidRDefault="008A5841" w:rsidP="001609FA">
            <w:pPr>
              <w:rPr>
                <w:lang w:val="en-GB"/>
              </w:rPr>
            </w:pPr>
            <w:r w:rsidRPr="006A6D19">
              <w:rPr>
                <w:lang w:val="en-GB"/>
              </w:rPr>
              <w:t>The progress is positive</w:t>
            </w:r>
          </w:p>
        </w:tc>
      </w:tr>
      <w:tr w:rsidR="00000000" w:rsidRPr="006A6D19" w14:paraId="13DE87B2" w14:textId="77777777" w:rsidTr="001609FA">
        <w:tblPrEx>
          <w:tblCellMar>
            <w:top w:w="0" w:type="dxa"/>
            <w:left w:w="0" w:type="dxa"/>
            <w:bottom w:w="0" w:type="dxa"/>
            <w:right w:w="0" w:type="dxa"/>
          </w:tblCellMar>
        </w:tblPrEx>
        <w:trPr>
          <w:trHeight w:val="60"/>
        </w:trPr>
        <w:tc>
          <w:tcPr>
            <w:tcW w:w="331"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86FE905" w14:textId="401D6D0F" w:rsidR="008A5841" w:rsidRPr="006A6D19" w:rsidRDefault="00B0619C" w:rsidP="001609FA">
            <w:pPr>
              <w:rPr>
                <w:lang w:val="en-GB"/>
              </w:rPr>
            </w:pPr>
            <w:r>
              <w:rPr>
                <w:noProof/>
                <w:lang w:val="en-GB"/>
              </w:rPr>
              <w:drawing>
                <wp:inline distT="0" distB="0" distL="0" distR="0" wp14:anchorId="5C37C85E" wp14:editId="685FE20A">
                  <wp:extent cx="561975" cy="561975"/>
                  <wp:effectExtent l="0" t="0" r="9525" b="9525"/>
                  <wp:docPr id="568442347" name="Bilde 84" descr="Arrow sidew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442347" name="Bilde 84" descr="Arrow sideways"/>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tc>
        <w:tc>
          <w:tcPr>
            <w:tcW w:w="466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vAlign w:val="center"/>
          </w:tcPr>
          <w:p w14:paraId="184B17D8" w14:textId="77777777" w:rsidR="008A5841" w:rsidRPr="006A6D19" w:rsidRDefault="008A5841" w:rsidP="001609FA">
            <w:pPr>
              <w:rPr>
                <w:lang w:val="en-GB"/>
              </w:rPr>
            </w:pPr>
            <w:r w:rsidRPr="006A6D19">
              <w:rPr>
                <w:lang w:val="en-GB"/>
              </w:rPr>
              <w:t>The progress has stagnated</w:t>
            </w:r>
          </w:p>
        </w:tc>
      </w:tr>
      <w:tr w:rsidR="00000000" w:rsidRPr="006A6D19" w14:paraId="3B8444B7" w14:textId="77777777" w:rsidTr="001609FA">
        <w:tblPrEx>
          <w:tblCellMar>
            <w:top w:w="0" w:type="dxa"/>
            <w:left w:w="0" w:type="dxa"/>
            <w:bottom w:w="0" w:type="dxa"/>
            <w:right w:w="0" w:type="dxa"/>
          </w:tblCellMar>
        </w:tblPrEx>
        <w:trPr>
          <w:trHeight w:val="60"/>
        </w:trPr>
        <w:tc>
          <w:tcPr>
            <w:tcW w:w="331"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B08836A" w14:textId="75F935A8" w:rsidR="008A5841" w:rsidRPr="006A6D19" w:rsidRDefault="00B0619C" w:rsidP="001609FA">
            <w:pPr>
              <w:rPr>
                <w:lang w:val="en-GB"/>
              </w:rPr>
            </w:pPr>
            <w:r>
              <w:rPr>
                <w:noProof/>
                <w:lang w:val="en-GB"/>
              </w:rPr>
              <w:drawing>
                <wp:inline distT="0" distB="0" distL="0" distR="0" wp14:anchorId="0B037B64" wp14:editId="61DB1F9A">
                  <wp:extent cx="561975" cy="561975"/>
                  <wp:effectExtent l="0" t="0" r="9525" b="9525"/>
                  <wp:docPr id="844511570" name="Bilde 85" descr="Arrow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511570" name="Bilde 85" descr="Arrow down"/>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tc>
        <w:tc>
          <w:tcPr>
            <w:tcW w:w="466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vAlign w:val="center"/>
          </w:tcPr>
          <w:p w14:paraId="70A66BD9" w14:textId="77777777" w:rsidR="008A5841" w:rsidRPr="006A6D19" w:rsidRDefault="008A5841" w:rsidP="001609FA">
            <w:pPr>
              <w:rPr>
                <w:lang w:val="en-GB"/>
              </w:rPr>
            </w:pPr>
            <w:r w:rsidRPr="006A6D19">
              <w:rPr>
                <w:lang w:val="en-GB"/>
              </w:rPr>
              <w:t>The progress is negative</w:t>
            </w:r>
          </w:p>
        </w:tc>
      </w:tr>
    </w:tbl>
    <w:p w14:paraId="5C4CF513" w14:textId="77777777" w:rsidR="008A5841" w:rsidRPr="006A6D19" w:rsidRDefault="008A5841" w:rsidP="001609FA">
      <w:pPr>
        <w:rPr>
          <w:lang w:val="en-GB"/>
        </w:rPr>
      </w:pPr>
    </w:p>
    <w:p w14:paraId="0F62B684" w14:textId="77777777" w:rsidR="008A5841" w:rsidRPr="006A6D19" w:rsidRDefault="008A5841" w:rsidP="001609FA">
      <w:pPr>
        <w:rPr>
          <w:lang w:val="en-GB"/>
        </w:rPr>
      </w:pPr>
      <w:r w:rsidRPr="006A6D19">
        <w:rPr>
          <w:lang w:val="en-GB"/>
        </w:rPr>
        <w:t>The civil society assessments use the following symbols to indicate performance:</w:t>
      </w:r>
    </w:p>
    <w:tbl>
      <w:tblPr>
        <w:tblW w:w="5000" w:type="pct"/>
        <w:tblCellMar>
          <w:left w:w="0" w:type="dxa"/>
          <w:right w:w="0" w:type="dxa"/>
        </w:tblCellMar>
        <w:tblLook w:val="0000" w:firstRow="0" w:lastRow="0" w:firstColumn="0" w:lastColumn="0" w:noHBand="0" w:noVBand="0"/>
      </w:tblPr>
      <w:tblGrid>
        <w:gridCol w:w="985"/>
        <w:gridCol w:w="9465"/>
      </w:tblGrid>
      <w:tr w:rsidR="00000000" w:rsidRPr="006A6D19" w14:paraId="4728C5D0" w14:textId="77777777" w:rsidTr="001609FA">
        <w:tblPrEx>
          <w:tblCellMar>
            <w:top w:w="0" w:type="dxa"/>
            <w:left w:w="0" w:type="dxa"/>
            <w:bottom w:w="0" w:type="dxa"/>
            <w:right w:w="0" w:type="dxa"/>
          </w:tblCellMar>
        </w:tblPrEx>
        <w:trPr>
          <w:trHeight w:val="60"/>
        </w:trPr>
        <w:tc>
          <w:tcPr>
            <w:tcW w:w="27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900ACE9" w14:textId="0B23488B" w:rsidR="008A5841" w:rsidRPr="006A6D19" w:rsidRDefault="00B0619C" w:rsidP="001609FA">
            <w:pPr>
              <w:rPr>
                <w:lang w:val="en-GB"/>
              </w:rPr>
            </w:pPr>
            <w:r>
              <w:rPr>
                <w:noProof/>
                <w:lang w:val="en-GB"/>
              </w:rPr>
              <w:drawing>
                <wp:inline distT="0" distB="0" distL="0" distR="0" wp14:anchorId="63A2AE3F" wp14:editId="7303981A">
                  <wp:extent cx="561975" cy="561975"/>
                  <wp:effectExtent l="0" t="0" r="9525" b="9525"/>
                  <wp:docPr id="301639851" name="Bilde 83" descr="Arrow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762014" name="Bilde 83" descr="Arrow up"/>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tc>
        <w:tc>
          <w:tcPr>
            <w:tcW w:w="472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vAlign w:val="center"/>
          </w:tcPr>
          <w:p w14:paraId="09F64103" w14:textId="77777777" w:rsidR="008A5841" w:rsidRPr="006A6D19" w:rsidRDefault="008A5841" w:rsidP="001609FA">
            <w:pPr>
              <w:rPr>
                <w:lang w:val="en-GB"/>
              </w:rPr>
            </w:pPr>
            <w:r w:rsidRPr="006A6D19">
              <w:rPr>
                <w:lang w:val="en-GB"/>
              </w:rPr>
              <w:t>Norway has made positive progress towards achieving the goal</w:t>
            </w:r>
          </w:p>
        </w:tc>
      </w:tr>
      <w:tr w:rsidR="00000000" w:rsidRPr="006A6D19" w14:paraId="7236BB84" w14:textId="77777777" w:rsidTr="001609FA">
        <w:tblPrEx>
          <w:tblCellMar>
            <w:top w:w="0" w:type="dxa"/>
            <w:left w:w="0" w:type="dxa"/>
            <w:bottom w:w="0" w:type="dxa"/>
            <w:right w:w="0" w:type="dxa"/>
          </w:tblCellMar>
        </w:tblPrEx>
        <w:trPr>
          <w:trHeight w:val="60"/>
        </w:trPr>
        <w:tc>
          <w:tcPr>
            <w:tcW w:w="27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02399F79" w14:textId="5F2516A7" w:rsidR="008A5841" w:rsidRPr="006A6D19" w:rsidRDefault="00B0619C" w:rsidP="001609FA">
            <w:pPr>
              <w:rPr>
                <w:lang w:val="en-GB"/>
              </w:rPr>
            </w:pPr>
            <w:r>
              <w:rPr>
                <w:noProof/>
                <w:lang w:val="en-GB"/>
              </w:rPr>
              <w:drawing>
                <wp:inline distT="0" distB="0" distL="0" distR="0" wp14:anchorId="2CE2ED15" wp14:editId="18AE09B6">
                  <wp:extent cx="561975" cy="561975"/>
                  <wp:effectExtent l="0" t="0" r="9525" b="9525"/>
                  <wp:docPr id="294152741" name="Bilde 84" descr="Arrow sidew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442347" name="Bilde 84" descr="Arrow sideways"/>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tc>
        <w:tc>
          <w:tcPr>
            <w:tcW w:w="472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vAlign w:val="center"/>
          </w:tcPr>
          <w:p w14:paraId="77A78F70" w14:textId="77777777" w:rsidR="008A5841" w:rsidRPr="006A6D19" w:rsidRDefault="008A5841" w:rsidP="001609FA">
            <w:pPr>
              <w:rPr>
                <w:lang w:val="en-GB"/>
              </w:rPr>
            </w:pPr>
            <w:r w:rsidRPr="006A6D19">
              <w:rPr>
                <w:lang w:val="en-GB"/>
              </w:rPr>
              <w:t>Norway’s progress towards achieving the goal has stagnated</w:t>
            </w:r>
          </w:p>
        </w:tc>
      </w:tr>
      <w:tr w:rsidR="00000000" w:rsidRPr="006A6D19" w14:paraId="7D31BC3B" w14:textId="77777777" w:rsidTr="001609FA">
        <w:tblPrEx>
          <w:tblCellMar>
            <w:top w:w="0" w:type="dxa"/>
            <w:left w:w="0" w:type="dxa"/>
            <w:bottom w:w="0" w:type="dxa"/>
            <w:right w:w="0" w:type="dxa"/>
          </w:tblCellMar>
        </w:tblPrEx>
        <w:trPr>
          <w:trHeight w:val="60"/>
        </w:trPr>
        <w:tc>
          <w:tcPr>
            <w:tcW w:w="27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8C4A33A" w14:textId="244C39AF" w:rsidR="008A5841" w:rsidRPr="006A6D19" w:rsidRDefault="00B0619C" w:rsidP="001609FA">
            <w:pPr>
              <w:rPr>
                <w:lang w:val="en-GB"/>
              </w:rPr>
            </w:pPr>
            <w:r>
              <w:rPr>
                <w:noProof/>
                <w:lang w:val="en-GB"/>
              </w:rPr>
              <w:drawing>
                <wp:inline distT="0" distB="0" distL="0" distR="0" wp14:anchorId="1B4DAFFD" wp14:editId="0E654658">
                  <wp:extent cx="561975" cy="561975"/>
                  <wp:effectExtent l="0" t="0" r="9525" b="9525"/>
                  <wp:docPr id="1785698364" name="Bilde 85" descr="Arrow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511570" name="Bilde 85" descr="Arrow down"/>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tc>
        <w:tc>
          <w:tcPr>
            <w:tcW w:w="472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vAlign w:val="center"/>
          </w:tcPr>
          <w:p w14:paraId="6AB6ADAD" w14:textId="77777777" w:rsidR="008A5841" w:rsidRPr="006A6D19" w:rsidRDefault="008A5841" w:rsidP="001609FA">
            <w:pPr>
              <w:rPr>
                <w:lang w:val="en-GB"/>
              </w:rPr>
            </w:pPr>
            <w:r w:rsidRPr="006A6D19">
              <w:rPr>
                <w:lang w:val="en-GB"/>
              </w:rPr>
              <w:t>Norway’</w:t>
            </w:r>
            <w:r w:rsidRPr="006A6D19">
              <w:rPr>
                <w:lang w:val="en-GB"/>
              </w:rPr>
              <w:t>s progress towards achieving the goal has slowed down</w:t>
            </w:r>
          </w:p>
        </w:tc>
      </w:tr>
    </w:tbl>
    <w:p w14:paraId="780F2355" w14:textId="77777777" w:rsidR="008A5841" w:rsidRPr="006A6D19" w:rsidRDefault="008A5841" w:rsidP="001609FA">
      <w:pPr>
        <w:rPr>
          <w:lang w:val="en-GB"/>
        </w:rPr>
      </w:pPr>
    </w:p>
    <w:p w14:paraId="77CB767A" w14:textId="77777777" w:rsidR="008A5841" w:rsidRPr="006A6D19" w:rsidRDefault="008A5841" w:rsidP="001609FA">
      <w:pPr>
        <w:pStyle w:val="UnOverskrift3"/>
        <w:rPr>
          <w:lang w:val="en-GB"/>
        </w:rPr>
      </w:pPr>
      <w:r w:rsidRPr="006A6D19">
        <w:rPr>
          <w:lang w:val="en-GB"/>
        </w:rPr>
        <w:lastRenderedPageBreak/>
        <w:t>1 No Poverty</w:t>
      </w:r>
    </w:p>
    <w:p w14:paraId="538D173D" w14:textId="32441D95" w:rsidR="008A5841" w:rsidRPr="006A6D19" w:rsidRDefault="00BB2AF4" w:rsidP="001609FA">
      <w:pPr>
        <w:rPr>
          <w:lang w:val="en-GB"/>
        </w:rPr>
      </w:pPr>
      <w:r w:rsidRPr="006A6D19">
        <w:rPr>
          <w:noProof/>
          <w:lang w:val="en-GB"/>
        </w:rPr>
        <w:drawing>
          <wp:inline distT="0" distB="0" distL="0" distR="0" wp14:anchorId="3265B074" wp14:editId="2958CC44">
            <wp:extent cx="2857500" cy="2857500"/>
            <wp:effectExtent l="0" t="0" r="0" b="0"/>
            <wp:docPr id="650686330" name="Bilde 43" descr="Goa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686330" name="Bilde 43" descr="Goal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66C14ECF" w14:textId="77777777" w:rsidR="008A5841" w:rsidRPr="006A6D19" w:rsidRDefault="008A5841" w:rsidP="006B301F">
      <w:pPr>
        <w:pStyle w:val="Undertittel"/>
        <w:rPr>
          <w:lang w:val="en-GB"/>
        </w:rPr>
      </w:pPr>
      <w:r w:rsidRPr="006A6D19">
        <w:rPr>
          <w:lang w:val="en-GB"/>
        </w:rPr>
        <w:t>Government Assessment</w:t>
      </w:r>
    </w:p>
    <w:tbl>
      <w:tblPr>
        <w:tblW w:w="5000" w:type="pct"/>
        <w:tblCellMar>
          <w:left w:w="0" w:type="dxa"/>
          <w:right w:w="0" w:type="dxa"/>
        </w:tblCellMar>
        <w:tblLook w:val="0000" w:firstRow="0" w:lastRow="0" w:firstColumn="0" w:lastColumn="0" w:noHBand="0" w:noVBand="0"/>
      </w:tblPr>
      <w:tblGrid>
        <w:gridCol w:w="1235"/>
        <w:gridCol w:w="7570"/>
        <w:gridCol w:w="1645"/>
      </w:tblGrid>
      <w:tr w:rsidR="00000000" w:rsidRPr="006A6D19" w14:paraId="698A8D83" w14:textId="77777777" w:rsidTr="001609FA">
        <w:tblPrEx>
          <w:tblCellMar>
            <w:top w:w="0" w:type="dxa"/>
            <w:left w:w="0" w:type="dxa"/>
            <w:bottom w:w="0" w:type="dxa"/>
            <w:right w:w="0" w:type="dxa"/>
          </w:tblCellMar>
        </w:tblPrEx>
        <w:trPr>
          <w:trHeight w:val="60"/>
        </w:trPr>
        <w:tc>
          <w:tcPr>
            <w:tcW w:w="63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0F93843" w14:textId="77777777" w:rsidR="008A5841" w:rsidRPr="006A6D19" w:rsidRDefault="008A5841" w:rsidP="00B765C1">
            <w:pPr>
              <w:rPr>
                <w:lang w:val="en-GB"/>
              </w:rPr>
            </w:pPr>
            <w:r w:rsidRPr="006A6D19">
              <w:rPr>
                <w:rStyle w:val="halvfet"/>
                <w:lang w:val="en-GB"/>
              </w:rPr>
              <w:t xml:space="preserve">1.1 </w:t>
            </w:r>
          </w:p>
        </w:tc>
        <w:tc>
          <w:tcPr>
            <w:tcW w:w="3666"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3F02CBF" w14:textId="77777777" w:rsidR="008A5841" w:rsidRPr="006A6D19" w:rsidRDefault="008A5841" w:rsidP="00B765C1">
            <w:pPr>
              <w:rPr>
                <w:lang w:val="en-GB"/>
              </w:rPr>
            </w:pPr>
            <w:r w:rsidRPr="006A6D19">
              <w:rPr>
                <w:lang w:val="en-GB"/>
              </w:rPr>
              <w:t xml:space="preserve">No one lives in extreme poverty </w:t>
            </w:r>
            <w:proofErr w:type="gramStart"/>
            <w:r w:rsidRPr="006A6D19">
              <w:rPr>
                <w:lang w:val="en-GB"/>
              </w:rPr>
              <w:t>as a result of</w:t>
            </w:r>
            <w:proofErr w:type="gramEnd"/>
            <w:r w:rsidRPr="006A6D19">
              <w:rPr>
                <w:lang w:val="en-GB"/>
              </w:rPr>
              <w:t xml:space="preserve"> universal welfare schemes.</w:t>
            </w:r>
          </w:p>
        </w:tc>
        <w:tc>
          <w:tcPr>
            <w:tcW w:w="69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7FF15D05" w14:textId="6C4BB642" w:rsidR="008A5841" w:rsidRPr="006A6D19" w:rsidRDefault="00541482" w:rsidP="00B765C1">
            <w:pPr>
              <w:rPr>
                <w:lang w:val="en-GB"/>
              </w:rPr>
            </w:pPr>
            <w:r>
              <w:rPr>
                <w:noProof/>
              </w:rPr>
              <w:drawing>
                <wp:inline distT="0" distB="0" distL="0" distR="0" wp14:anchorId="2F9C034E" wp14:editId="0F378E99">
                  <wp:extent cx="990600" cy="447675"/>
                  <wp:effectExtent l="0" t="0" r="0" b="9525"/>
                  <wp:docPr id="995311348" name="Bilde 4" descr="Target m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11348" name="Bilde 4" descr="Target met. Progress stagn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33ADF920" w14:textId="77777777" w:rsidTr="001609FA">
        <w:tblPrEx>
          <w:tblCellMar>
            <w:top w:w="0" w:type="dxa"/>
            <w:left w:w="0" w:type="dxa"/>
            <w:bottom w:w="0" w:type="dxa"/>
            <w:right w:w="0" w:type="dxa"/>
          </w:tblCellMar>
        </w:tblPrEx>
        <w:trPr>
          <w:trHeight w:val="60"/>
        </w:trPr>
        <w:tc>
          <w:tcPr>
            <w:tcW w:w="63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0363CECF" w14:textId="77777777" w:rsidR="008A5841" w:rsidRPr="006A6D19" w:rsidRDefault="008A5841" w:rsidP="00B765C1">
            <w:pPr>
              <w:rPr>
                <w:lang w:val="en-GB"/>
              </w:rPr>
            </w:pPr>
            <w:r w:rsidRPr="006A6D19">
              <w:rPr>
                <w:rStyle w:val="halvfet"/>
                <w:lang w:val="en-GB"/>
              </w:rPr>
              <w:t xml:space="preserve">1.2 </w:t>
            </w:r>
          </w:p>
        </w:tc>
        <w:tc>
          <w:tcPr>
            <w:tcW w:w="3666"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701841D" w14:textId="77777777" w:rsidR="008A5841" w:rsidRPr="006A6D19" w:rsidRDefault="008A5841" w:rsidP="00B765C1">
            <w:pPr>
              <w:rPr>
                <w:lang w:val="en-GB"/>
              </w:rPr>
            </w:pPr>
            <w:r w:rsidRPr="006A6D19">
              <w:rPr>
                <w:lang w:val="en-GB"/>
              </w:rPr>
              <w:t xml:space="preserve">The share of population with persistent low income has increased somewhat after 2010. The increase in the number of children in families with persistent low income has tailed off. </w:t>
            </w:r>
          </w:p>
        </w:tc>
        <w:tc>
          <w:tcPr>
            <w:tcW w:w="69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003606C2" w14:textId="0B249C79" w:rsidR="008A5841" w:rsidRPr="006A6D19" w:rsidRDefault="007B3BCE" w:rsidP="00B765C1">
            <w:pPr>
              <w:rPr>
                <w:lang w:val="en-GB"/>
              </w:rPr>
            </w:pPr>
            <w:r>
              <w:rPr>
                <w:noProof/>
              </w:rPr>
              <w:drawing>
                <wp:inline distT="0" distB="0" distL="0" distR="0" wp14:anchorId="16938E19" wp14:editId="35BF1B24">
                  <wp:extent cx="990600" cy="447675"/>
                  <wp:effectExtent l="0" t="0" r="0" b="9525"/>
                  <wp:docPr id="163334566" name="Bilde 1" descr="Close to targ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34566" name="Bilde 1" descr="Close to target. Progress stagn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25291C5F" w14:textId="77777777" w:rsidTr="001609FA">
        <w:tblPrEx>
          <w:tblCellMar>
            <w:top w:w="0" w:type="dxa"/>
            <w:left w:w="0" w:type="dxa"/>
            <w:bottom w:w="0" w:type="dxa"/>
            <w:right w:w="0" w:type="dxa"/>
          </w:tblCellMar>
        </w:tblPrEx>
        <w:trPr>
          <w:trHeight w:val="60"/>
        </w:trPr>
        <w:tc>
          <w:tcPr>
            <w:tcW w:w="63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43B0064" w14:textId="77777777" w:rsidR="008A5841" w:rsidRPr="006A6D19" w:rsidRDefault="008A5841" w:rsidP="00B765C1">
            <w:pPr>
              <w:rPr>
                <w:lang w:val="en-GB"/>
              </w:rPr>
            </w:pPr>
            <w:r w:rsidRPr="006A6D19">
              <w:rPr>
                <w:rStyle w:val="halvfet"/>
                <w:lang w:val="en-GB"/>
              </w:rPr>
              <w:t xml:space="preserve">1.3 </w:t>
            </w:r>
          </w:p>
        </w:tc>
        <w:tc>
          <w:tcPr>
            <w:tcW w:w="3666"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68AD44B" w14:textId="77777777" w:rsidR="008A5841" w:rsidRPr="006A6D19" w:rsidRDefault="008A5841" w:rsidP="00B765C1">
            <w:pPr>
              <w:rPr>
                <w:lang w:val="en-GB"/>
              </w:rPr>
            </w:pPr>
            <w:r w:rsidRPr="006A6D19">
              <w:rPr>
                <w:lang w:val="en-GB"/>
              </w:rPr>
              <w:t xml:space="preserve">Norway has a comprehensive public welfare system that covers the entire population. </w:t>
            </w:r>
          </w:p>
        </w:tc>
        <w:tc>
          <w:tcPr>
            <w:tcW w:w="69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6FF2487" w14:textId="2642996C" w:rsidR="008A5841" w:rsidRPr="006A6D19" w:rsidRDefault="00541482" w:rsidP="00B765C1">
            <w:pPr>
              <w:rPr>
                <w:lang w:val="en-GB"/>
              </w:rPr>
            </w:pPr>
            <w:r>
              <w:rPr>
                <w:noProof/>
              </w:rPr>
              <w:drawing>
                <wp:inline distT="0" distB="0" distL="0" distR="0" wp14:anchorId="64048831" wp14:editId="1CE9B657">
                  <wp:extent cx="990600" cy="447675"/>
                  <wp:effectExtent l="0" t="0" r="0" b="9525"/>
                  <wp:docPr id="978977492" name="Bilde 4" descr="Target m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11348" name="Bilde 4" descr="Target met. Progress stagn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70B51E95" w14:textId="77777777" w:rsidTr="001609FA">
        <w:tblPrEx>
          <w:tblCellMar>
            <w:top w:w="0" w:type="dxa"/>
            <w:left w:w="0" w:type="dxa"/>
            <w:bottom w:w="0" w:type="dxa"/>
            <w:right w:w="0" w:type="dxa"/>
          </w:tblCellMar>
        </w:tblPrEx>
        <w:trPr>
          <w:trHeight w:val="937"/>
        </w:trPr>
        <w:tc>
          <w:tcPr>
            <w:tcW w:w="63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5322D5F" w14:textId="53D69F4F" w:rsidR="008A5841" w:rsidRPr="006A6D19" w:rsidRDefault="008A5841" w:rsidP="00B765C1">
            <w:pPr>
              <w:rPr>
                <w:lang w:val="en-GB"/>
              </w:rPr>
            </w:pPr>
            <w:r w:rsidRPr="006A6D19">
              <w:rPr>
                <w:rStyle w:val="halvfet"/>
                <w:lang w:val="en-GB"/>
              </w:rPr>
              <w:t>1.4</w:t>
            </w:r>
            <w:r w:rsidR="001609FA" w:rsidRPr="006A6D19">
              <w:rPr>
                <w:rStyle w:val="halvfet"/>
                <w:lang w:val="en-GB"/>
              </w:rPr>
              <w:t xml:space="preserve"> </w:t>
            </w:r>
          </w:p>
        </w:tc>
        <w:tc>
          <w:tcPr>
            <w:tcW w:w="3666"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61036C94" w14:textId="77777777" w:rsidR="008A5841" w:rsidRPr="006A6D19" w:rsidRDefault="008A5841" w:rsidP="00B765C1">
            <w:pPr>
              <w:rPr>
                <w:lang w:val="en-GB"/>
              </w:rPr>
            </w:pPr>
            <w:r w:rsidRPr="006A6D19">
              <w:rPr>
                <w:lang w:val="en-GB"/>
              </w:rPr>
              <w:t>The entire population has equal rights and access to economic resources, financial services, and basic welfare services such as healthcare and education.</w:t>
            </w:r>
          </w:p>
        </w:tc>
        <w:tc>
          <w:tcPr>
            <w:tcW w:w="69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B694627" w14:textId="4A6D79EC" w:rsidR="008A5841" w:rsidRPr="006A6D19" w:rsidRDefault="00541482" w:rsidP="00B765C1">
            <w:pPr>
              <w:rPr>
                <w:lang w:val="en-GB"/>
              </w:rPr>
            </w:pPr>
            <w:r>
              <w:rPr>
                <w:noProof/>
              </w:rPr>
              <w:drawing>
                <wp:inline distT="0" distB="0" distL="0" distR="0" wp14:anchorId="64EB399C" wp14:editId="2F0DFE93">
                  <wp:extent cx="990600" cy="447675"/>
                  <wp:effectExtent l="0" t="0" r="0" b="9525"/>
                  <wp:docPr id="57232134" name="Bilde 6" descr="Target met. Progres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2134" name="Bilde 6" descr="Target met. Progress positiv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25AD8C15" w14:textId="77777777" w:rsidTr="001609FA">
        <w:tblPrEx>
          <w:tblCellMar>
            <w:top w:w="0" w:type="dxa"/>
            <w:left w:w="0" w:type="dxa"/>
            <w:bottom w:w="0" w:type="dxa"/>
            <w:right w:w="0" w:type="dxa"/>
          </w:tblCellMar>
        </w:tblPrEx>
        <w:trPr>
          <w:trHeight w:val="60"/>
        </w:trPr>
        <w:tc>
          <w:tcPr>
            <w:tcW w:w="63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6F6320DA" w14:textId="77777777" w:rsidR="008A5841" w:rsidRPr="006A6D19" w:rsidRDefault="008A5841" w:rsidP="00B765C1">
            <w:pPr>
              <w:rPr>
                <w:lang w:val="en-GB"/>
              </w:rPr>
            </w:pPr>
            <w:r w:rsidRPr="006A6D19">
              <w:rPr>
                <w:rStyle w:val="halvfet"/>
                <w:lang w:val="en-GB"/>
              </w:rPr>
              <w:t xml:space="preserve">1.5 </w:t>
            </w:r>
          </w:p>
        </w:tc>
        <w:tc>
          <w:tcPr>
            <w:tcW w:w="3666"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8F04C99" w14:textId="77777777" w:rsidR="008A5841" w:rsidRPr="006A6D19" w:rsidRDefault="008A5841" w:rsidP="00B765C1">
            <w:pPr>
              <w:rPr>
                <w:lang w:val="en-GB"/>
              </w:rPr>
            </w:pPr>
            <w:r w:rsidRPr="006A6D19">
              <w:rPr>
                <w:lang w:val="en-GB"/>
              </w:rPr>
              <w:t>Norway has strong insurance schemes and systems for crisis management and emergency preparedness.</w:t>
            </w:r>
          </w:p>
        </w:tc>
        <w:tc>
          <w:tcPr>
            <w:tcW w:w="69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5B757BB" w14:textId="771D0B9E" w:rsidR="008A5841" w:rsidRPr="006A6D19" w:rsidRDefault="00541482" w:rsidP="00B765C1">
            <w:pPr>
              <w:rPr>
                <w:lang w:val="en-GB"/>
              </w:rPr>
            </w:pPr>
            <w:r>
              <w:rPr>
                <w:noProof/>
              </w:rPr>
              <w:drawing>
                <wp:inline distT="0" distB="0" distL="0" distR="0" wp14:anchorId="3053AC01" wp14:editId="14FA62BB">
                  <wp:extent cx="990600" cy="447675"/>
                  <wp:effectExtent l="0" t="0" r="0" b="9525"/>
                  <wp:docPr id="1923658197" name="Bilde 4" descr="Target m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11348" name="Bilde 4" descr="Target met. Progress stagn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763D8AA8" w14:textId="77777777" w:rsidTr="001609FA">
        <w:tblPrEx>
          <w:tblCellMar>
            <w:top w:w="0" w:type="dxa"/>
            <w:left w:w="0" w:type="dxa"/>
            <w:bottom w:w="0" w:type="dxa"/>
            <w:right w:w="0" w:type="dxa"/>
          </w:tblCellMar>
        </w:tblPrEx>
        <w:trPr>
          <w:trHeight w:val="60"/>
        </w:trPr>
        <w:tc>
          <w:tcPr>
            <w:tcW w:w="63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0DE3D1BB" w14:textId="77777777" w:rsidR="008A5841" w:rsidRPr="006A6D19" w:rsidRDefault="008A5841" w:rsidP="00B765C1">
            <w:pPr>
              <w:rPr>
                <w:lang w:val="en-GB"/>
              </w:rPr>
            </w:pPr>
            <w:r w:rsidRPr="006A6D19">
              <w:rPr>
                <w:rStyle w:val="halvfet"/>
                <w:lang w:val="en-GB"/>
              </w:rPr>
              <w:t xml:space="preserve">1.A </w:t>
            </w:r>
          </w:p>
        </w:tc>
        <w:tc>
          <w:tcPr>
            <w:tcW w:w="3666"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77F1AD13" w14:textId="77777777" w:rsidR="008A5841" w:rsidRPr="006A6D19" w:rsidRDefault="008A5841" w:rsidP="00B765C1">
            <w:pPr>
              <w:rPr>
                <w:lang w:val="en-GB"/>
              </w:rPr>
            </w:pPr>
            <w:r w:rsidRPr="006A6D19">
              <w:rPr>
                <w:lang w:val="en-GB"/>
              </w:rPr>
              <w:t>Norway’</w:t>
            </w:r>
            <w:r w:rsidRPr="006A6D19">
              <w:rPr>
                <w:lang w:val="en-GB"/>
              </w:rPr>
              <w:t xml:space="preserve">s development policy aims to eradicate poverty, reduce inequality, and promote sustainable growth by mobilising private capital, strengthening domestic resource mobilisation, and supporting key multilateral institutions. In 2025, Norway devoted 1,03% of its GNI to official development assistance. </w:t>
            </w:r>
          </w:p>
        </w:tc>
        <w:tc>
          <w:tcPr>
            <w:tcW w:w="69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0D89B04F" w14:textId="046B6917" w:rsidR="008A5841" w:rsidRPr="006A6D19" w:rsidRDefault="00541482" w:rsidP="00B765C1">
            <w:pPr>
              <w:rPr>
                <w:lang w:val="en-GB"/>
              </w:rPr>
            </w:pPr>
            <w:r>
              <w:rPr>
                <w:noProof/>
              </w:rPr>
              <w:drawing>
                <wp:inline distT="0" distB="0" distL="0" distR="0" wp14:anchorId="27AB3FE5" wp14:editId="6FBEF1EE">
                  <wp:extent cx="990600" cy="447675"/>
                  <wp:effectExtent l="0" t="0" r="0" b="9525"/>
                  <wp:docPr id="575532605" name="Bilde 4" descr="Target m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11348" name="Bilde 4" descr="Target met. Progress stagn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07931166" w14:textId="77777777" w:rsidTr="001609FA">
        <w:tblPrEx>
          <w:tblCellMar>
            <w:top w:w="0" w:type="dxa"/>
            <w:left w:w="0" w:type="dxa"/>
            <w:bottom w:w="0" w:type="dxa"/>
            <w:right w:w="0" w:type="dxa"/>
          </w:tblCellMar>
        </w:tblPrEx>
        <w:trPr>
          <w:trHeight w:val="60"/>
        </w:trPr>
        <w:tc>
          <w:tcPr>
            <w:tcW w:w="63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1FD4592" w14:textId="77777777" w:rsidR="008A5841" w:rsidRPr="006A6D19" w:rsidRDefault="008A5841" w:rsidP="00B765C1">
            <w:pPr>
              <w:rPr>
                <w:lang w:val="en-GB"/>
              </w:rPr>
            </w:pPr>
            <w:r w:rsidRPr="006A6D19">
              <w:rPr>
                <w:rStyle w:val="halvfet"/>
                <w:lang w:val="en-GB"/>
              </w:rPr>
              <w:lastRenderedPageBreak/>
              <w:t xml:space="preserve">1.B </w:t>
            </w:r>
          </w:p>
        </w:tc>
        <w:tc>
          <w:tcPr>
            <w:tcW w:w="3666"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C62B34D" w14:textId="77777777" w:rsidR="008A5841" w:rsidRPr="006A6D19" w:rsidRDefault="008A5841" w:rsidP="00B765C1">
            <w:pPr>
              <w:rPr>
                <w:lang w:val="en-GB"/>
              </w:rPr>
            </w:pPr>
            <w:r w:rsidRPr="006A6D19">
              <w:rPr>
                <w:lang w:val="en-GB"/>
              </w:rPr>
              <w:t xml:space="preserve">The Government has submitted a White Paper to the Parliament on social mobility and social equalisation among children, youth and families. Norway contributes to the OECD DAC review on how ODA can better mobilise private funding. </w:t>
            </w:r>
          </w:p>
        </w:tc>
        <w:tc>
          <w:tcPr>
            <w:tcW w:w="69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18572D4" w14:textId="732E5475" w:rsidR="008A5841" w:rsidRPr="006A6D19" w:rsidRDefault="00541482" w:rsidP="00B765C1">
            <w:pPr>
              <w:rPr>
                <w:lang w:val="en-GB"/>
              </w:rPr>
            </w:pPr>
            <w:r>
              <w:rPr>
                <w:noProof/>
              </w:rPr>
              <w:drawing>
                <wp:inline distT="0" distB="0" distL="0" distR="0" wp14:anchorId="536AF388" wp14:editId="490D78F4">
                  <wp:extent cx="990600" cy="447675"/>
                  <wp:effectExtent l="0" t="0" r="0" b="9525"/>
                  <wp:docPr id="829365902" name="Bilde 4" descr="Target m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11348" name="Bilde 4" descr="Target met. Progress stagn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bl>
    <w:p w14:paraId="300F3C7D" w14:textId="77777777" w:rsidR="008A5841" w:rsidRPr="006A6D19" w:rsidRDefault="008A5841" w:rsidP="00B765C1">
      <w:pPr>
        <w:rPr>
          <w:lang w:val="en-GB"/>
        </w:rPr>
      </w:pPr>
    </w:p>
    <w:p w14:paraId="5390575C" w14:textId="77777777" w:rsidR="008A5841" w:rsidRPr="006A6D19" w:rsidRDefault="008A5841" w:rsidP="00B765C1">
      <w:pPr>
        <w:rPr>
          <w:lang w:val="en-GB"/>
        </w:rPr>
      </w:pPr>
      <w:r w:rsidRPr="006A6D19">
        <w:rPr>
          <w:rStyle w:val="halvfet"/>
          <w:lang w:val="en-GB"/>
        </w:rPr>
        <w:t>General Status</w:t>
      </w:r>
      <w:r w:rsidRPr="006A6D19">
        <w:rPr>
          <w:lang w:val="en-GB"/>
        </w:rPr>
        <w:t>: Norway has among the lowest levels of income inequality and poverty, driven by high employment rates among women and men, free education and public welfare schemes, and sustained economic growth. A small share of the population has low income and poor living conditions. Norway has no official poverty line, but it is common to use a measure of persistent low income. The share with persistently low income has been relatively stable but has increased somewhat after 2010. In 2022–2024, 9.5 percent of the popu</w:t>
      </w:r>
      <w:r w:rsidRPr="006A6D19">
        <w:rPr>
          <w:lang w:val="en-GB"/>
        </w:rPr>
        <w:t>lation (excl. students) fell into this category. After rising from 2000 onwards, the share of children in families with persistent low income has tailed off. In 2022–2024, the figure was 10.2 percent.</w:t>
      </w:r>
    </w:p>
    <w:p w14:paraId="637436FE" w14:textId="77777777" w:rsidR="008A5841" w:rsidRPr="006A6D19" w:rsidRDefault="008A5841" w:rsidP="00B765C1">
      <w:pPr>
        <w:rPr>
          <w:rStyle w:val="Fotnotereferanse"/>
          <w:lang w:val="en-GB"/>
        </w:rPr>
      </w:pPr>
      <w:r w:rsidRPr="006A6D19">
        <w:rPr>
          <w:lang w:val="en-GB"/>
        </w:rPr>
        <w:t>Over time, average income within the low-income group has increased, but not in line with overall income growth. When the low-income threshold is fixed to a specific year and only adjusted with inflation, the share of people with low-income declines. However, rising living costs in recent years have disproportionately affected low-income households. This is illustrated by the figure below, which shows population living in households with a persistent low income 2007–2024 (EU scale 60 percent below median in</w:t>
      </w:r>
      <w:r w:rsidRPr="006A6D19">
        <w:rPr>
          <w:lang w:val="en-GB"/>
        </w:rPr>
        <w:t>come, three-year period). Fixed and current low-income threshold.</w:t>
      </w:r>
      <w:r w:rsidRPr="006A6D19">
        <w:rPr>
          <w:rStyle w:val="Fotnotereferanse"/>
          <w:lang w:val="en-GB"/>
        </w:rPr>
        <w:footnoteReference w:id="1"/>
      </w:r>
    </w:p>
    <w:p w14:paraId="7C6E8E8E" w14:textId="77777777" w:rsidR="008A5841" w:rsidRPr="006A6D19" w:rsidRDefault="008A5841" w:rsidP="00B765C1">
      <w:pPr>
        <w:pStyle w:val="figur-tittel"/>
        <w:rPr>
          <w:lang w:val="en-GB"/>
        </w:rPr>
      </w:pPr>
      <w:r w:rsidRPr="006A6D19">
        <w:rPr>
          <w:lang w:val="en-GB"/>
        </w:rPr>
        <w:t xml:space="preserve">Population Living in Households </w:t>
      </w:r>
      <w:proofErr w:type="gramStart"/>
      <w:r w:rsidRPr="006A6D19">
        <w:rPr>
          <w:lang w:val="en-GB"/>
        </w:rPr>
        <w:t>With</w:t>
      </w:r>
      <w:proofErr w:type="gramEnd"/>
      <w:r w:rsidRPr="006A6D19">
        <w:rPr>
          <w:lang w:val="en-GB"/>
        </w:rPr>
        <w:t xml:space="preserve"> Persistent Low Income</w:t>
      </w:r>
    </w:p>
    <w:p w14:paraId="385FC716" w14:textId="02A18B90" w:rsidR="008A5841" w:rsidRPr="006A6D19" w:rsidRDefault="00BB2AF4" w:rsidP="00B765C1">
      <w:pPr>
        <w:rPr>
          <w:lang w:val="en-GB"/>
        </w:rPr>
      </w:pPr>
      <w:r w:rsidRPr="006A6D19">
        <w:rPr>
          <w:noProof/>
          <w:lang w:val="en-GB"/>
        </w:rPr>
        <w:drawing>
          <wp:inline distT="0" distB="0" distL="0" distR="0" wp14:anchorId="263B2720" wp14:editId="634F37B0">
            <wp:extent cx="3819525" cy="3112611"/>
            <wp:effectExtent l="0" t="0" r="0" b="0"/>
            <wp:docPr id="146614180" name="Bilde 60" descr="Population Living in Households With Persistent Low In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14180" name="Bilde 60" descr="Population Living in Households With Persistent Low Incom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820844" cy="3113686"/>
                    </a:xfrm>
                    <a:prstGeom prst="rect">
                      <a:avLst/>
                    </a:prstGeom>
                    <a:noFill/>
                    <a:ln>
                      <a:noFill/>
                    </a:ln>
                  </pic:spPr>
                </pic:pic>
              </a:graphicData>
            </a:graphic>
          </wp:inline>
        </w:drawing>
      </w:r>
    </w:p>
    <w:p w14:paraId="4D65673D" w14:textId="77777777" w:rsidR="008A5841" w:rsidRPr="006A6D19" w:rsidRDefault="008A5841" w:rsidP="00B765C1">
      <w:pPr>
        <w:pStyle w:val="Kilde"/>
        <w:rPr>
          <w:lang w:val="en-GB"/>
        </w:rPr>
      </w:pPr>
      <w:r w:rsidRPr="006A6D19">
        <w:rPr>
          <w:lang w:val="en-GB"/>
        </w:rPr>
        <w:lastRenderedPageBreak/>
        <w:t>Source: Statistics Norway, 2025</w:t>
      </w:r>
    </w:p>
    <w:p w14:paraId="46367D9B" w14:textId="77777777" w:rsidR="008A5841" w:rsidRPr="006A6D19" w:rsidRDefault="008A5841" w:rsidP="00B765C1">
      <w:pPr>
        <w:rPr>
          <w:lang w:val="en-GB"/>
        </w:rPr>
      </w:pPr>
      <w:r w:rsidRPr="006A6D19">
        <w:rPr>
          <w:rStyle w:val="halvfet"/>
          <w:lang w:val="en-GB"/>
        </w:rPr>
        <w:t>Main Achievements:</w:t>
      </w:r>
      <w:r w:rsidRPr="006A6D19">
        <w:rPr>
          <w:lang w:val="en-GB"/>
        </w:rPr>
        <w:t xml:space="preserve"> All groups have experienced income growth, and the increase in children in families with persistent low income has tailed off. High labour market participation and increased child benefit have contributed to this. Universal welfare schemes have improved living conditions, particularly for low-income and vulnerable groups. Low income among the elderly has decreased. Families with children, especially single parents with small children, have had relatively good income development in recent years.</w:t>
      </w:r>
    </w:p>
    <w:p w14:paraId="337D731C" w14:textId="77777777" w:rsidR="008A5841" w:rsidRPr="006A6D19" w:rsidRDefault="008A5841" w:rsidP="00B765C1">
      <w:pPr>
        <w:rPr>
          <w:lang w:val="en-GB"/>
        </w:rPr>
      </w:pPr>
      <w:r w:rsidRPr="006A6D19">
        <w:rPr>
          <w:rStyle w:val="halvfet"/>
          <w:lang w:val="en-GB"/>
        </w:rPr>
        <w:t xml:space="preserve">Norway’s Challenges: </w:t>
      </w:r>
      <w:r w:rsidRPr="006A6D19">
        <w:rPr>
          <w:lang w:val="en-GB"/>
        </w:rPr>
        <w:t>Norway’</w:t>
      </w:r>
      <w:r w:rsidRPr="006A6D19">
        <w:rPr>
          <w:lang w:val="en-GB"/>
        </w:rPr>
        <w:t>s main challenges include keeping income disparities low, preventing poverty from being passed on to new generations, and increasing labour market participation among vulnerable groups. The share of children living in households with persistent low income, particularly among families with an immigrant background and single parents, is concerning. The number of homeless people is also increasing after several years of decline. Norway has a relatively high degree of social mobility, but promoting equal opport</w:t>
      </w:r>
      <w:r w:rsidRPr="006A6D19">
        <w:rPr>
          <w:lang w:val="en-GB"/>
        </w:rPr>
        <w:t>unities for all children remains essential to improve equity in educational and social outcomes.</w:t>
      </w:r>
    </w:p>
    <w:p w14:paraId="6EB5BDCE" w14:textId="77777777" w:rsidR="008A5841" w:rsidRPr="006A6D19" w:rsidRDefault="008A5841" w:rsidP="00B765C1">
      <w:pPr>
        <w:rPr>
          <w:lang w:val="en-GB"/>
        </w:rPr>
      </w:pPr>
      <w:r w:rsidRPr="006A6D19">
        <w:rPr>
          <w:rStyle w:val="halvfet"/>
          <w:lang w:val="en-GB"/>
        </w:rPr>
        <w:t>Global Responsibility</w:t>
      </w:r>
      <w:r w:rsidRPr="006A6D19">
        <w:rPr>
          <w:lang w:val="en-GB"/>
        </w:rPr>
        <w:t>: Norwegian development policy aims to promote societal change by combating inequality and poverty, and by fostering economic development and welfare in developing countries. Official development assistance from Norway (ODA) amounted to NOK 58.9 billion in 2025. As a share of GNI (gross national income), it stood at 1.03 percent in 2025. Norway was the only OECD country that contributed more than one percent of its gross national income to aid in 2025.</w:t>
      </w:r>
    </w:p>
    <w:p w14:paraId="4D3F705C" w14:textId="77777777" w:rsidR="008A5841" w:rsidRPr="006A6D19" w:rsidRDefault="008A5841" w:rsidP="006B301F">
      <w:pPr>
        <w:pStyle w:val="avsnitt-undertittel"/>
        <w:rPr>
          <w:lang w:val="en-GB"/>
        </w:rPr>
      </w:pPr>
      <w:r w:rsidRPr="006A6D19">
        <w:rPr>
          <w:lang w:val="en-GB"/>
        </w:rPr>
        <w:t>Main Policy Initiatives 2021–2026</w:t>
      </w:r>
    </w:p>
    <w:p w14:paraId="15C66240" w14:textId="77777777" w:rsidR="008A5841" w:rsidRPr="006A6D19" w:rsidRDefault="008A5841" w:rsidP="00B765C1">
      <w:pPr>
        <w:pStyle w:val="Listebombe"/>
        <w:rPr>
          <w:lang w:val="en-GB"/>
        </w:rPr>
      </w:pPr>
      <w:r w:rsidRPr="006A6D19">
        <w:rPr>
          <w:lang w:val="en-GB"/>
        </w:rPr>
        <w:t>Active labour market policy measures, including a youth guarantee from July 1, 2023.</w:t>
      </w:r>
    </w:p>
    <w:p w14:paraId="76B3E925" w14:textId="77777777" w:rsidR="008A5841" w:rsidRPr="006A6D19" w:rsidRDefault="008A5841" w:rsidP="00B765C1">
      <w:pPr>
        <w:pStyle w:val="Listebombe"/>
        <w:rPr>
          <w:lang w:val="en-GB"/>
        </w:rPr>
      </w:pPr>
      <w:r w:rsidRPr="006A6D19">
        <w:rPr>
          <w:lang w:val="en-GB"/>
        </w:rPr>
        <w:t>Increased efforts to include immigrants in working life and society.</w:t>
      </w:r>
    </w:p>
    <w:p w14:paraId="6F041D9C" w14:textId="77777777" w:rsidR="008A5841" w:rsidRPr="006A6D19" w:rsidRDefault="008A5841" w:rsidP="00B765C1">
      <w:pPr>
        <w:pStyle w:val="Listebombe"/>
        <w:rPr>
          <w:lang w:val="en-GB"/>
        </w:rPr>
      </w:pPr>
      <w:r w:rsidRPr="006A6D19">
        <w:rPr>
          <w:lang w:val="en-GB"/>
        </w:rPr>
        <w:t>Increased the universal child benefit.</w:t>
      </w:r>
    </w:p>
    <w:p w14:paraId="0BF0DC8A" w14:textId="77777777" w:rsidR="008A5841" w:rsidRPr="006A6D19" w:rsidRDefault="008A5841" w:rsidP="00B765C1">
      <w:pPr>
        <w:pStyle w:val="Listebombe"/>
        <w:rPr>
          <w:lang w:val="en-GB"/>
        </w:rPr>
      </w:pPr>
      <w:r w:rsidRPr="006A6D19">
        <w:rPr>
          <w:lang w:val="en-GB"/>
        </w:rPr>
        <w:t>Reduced maximum parental fee for kindergartens and lower parental fee for out-of-school care.</w:t>
      </w:r>
    </w:p>
    <w:p w14:paraId="32495F25" w14:textId="77777777" w:rsidR="008A5841" w:rsidRPr="006A6D19" w:rsidRDefault="008A5841" w:rsidP="00B765C1">
      <w:pPr>
        <w:pStyle w:val="Listebombe"/>
        <w:rPr>
          <w:lang w:val="en-GB"/>
        </w:rPr>
      </w:pPr>
      <w:r w:rsidRPr="006A6D19">
        <w:rPr>
          <w:lang w:val="en-GB"/>
        </w:rPr>
        <w:t>White Paper, Meld. St. 28 (2024–2025) Having Faith in the Future – Regardless of Background.</w:t>
      </w:r>
    </w:p>
    <w:p w14:paraId="43D3CD15" w14:textId="77777777" w:rsidR="008A5841" w:rsidRPr="006A6D19" w:rsidRDefault="008A5841" w:rsidP="00B765C1">
      <w:pPr>
        <w:pStyle w:val="Listebombe"/>
        <w:rPr>
          <w:lang w:val="en-GB"/>
        </w:rPr>
      </w:pPr>
      <w:r w:rsidRPr="006A6D19">
        <w:rPr>
          <w:lang w:val="en-GB"/>
        </w:rPr>
        <w:t xml:space="preserve">White Paper on long term strategy for Norwegian </w:t>
      </w:r>
      <w:proofErr w:type="spellStart"/>
      <w:r w:rsidRPr="006A6D19">
        <w:rPr>
          <w:lang w:val="en-GB"/>
        </w:rPr>
        <w:t>developement</w:t>
      </w:r>
      <w:proofErr w:type="spellEnd"/>
      <w:r w:rsidRPr="006A6D19">
        <w:rPr>
          <w:lang w:val="en-GB"/>
        </w:rPr>
        <w:t xml:space="preserve"> policy to be presented to Parliament in the spring session of 2027.</w:t>
      </w:r>
    </w:p>
    <w:p w14:paraId="2F6F72C6" w14:textId="77777777" w:rsidR="008A5841" w:rsidRPr="006A6D19" w:rsidRDefault="008A5841" w:rsidP="006B301F">
      <w:pPr>
        <w:pStyle w:val="Undertittel"/>
        <w:rPr>
          <w:lang w:val="en-GB"/>
        </w:rPr>
      </w:pPr>
      <w:r w:rsidRPr="006A6D19">
        <w:rPr>
          <w:lang w:val="en-GB"/>
        </w:rPr>
        <w:t>Assessment by Civil Society</w:t>
      </w:r>
    </w:p>
    <w:p w14:paraId="6192EF18" w14:textId="77777777" w:rsidR="008A5841" w:rsidRPr="006A6D19" w:rsidRDefault="008A5841" w:rsidP="00B765C1">
      <w:pPr>
        <w:rPr>
          <w:lang w:val="en-GB"/>
        </w:rPr>
      </w:pPr>
      <w:r w:rsidRPr="006A6D19">
        <w:rPr>
          <w:lang w:val="en-GB"/>
        </w:rPr>
        <w:t xml:space="preserve">The following organisations have participated in this assessment: </w:t>
      </w:r>
      <w:r w:rsidRPr="006A6D19">
        <w:rPr>
          <w:lang w:val="en-GB"/>
        </w:rPr>
        <w:t>The Salvation Army, Collaborative Forum Against Poverty, Forum for Development and Environment (</w:t>
      </w:r>
      <w:proofErr w:type="spellStart"/>
      <w:r w:rsidRPr="006A6D19">
        <w:rPr>
          <w:lang w:val="en-GB"/>
        </w:rPr>
        <w:t>ForUM</w:t>
      </w:r>
      <w:proofErr w:type="spellEnd"/>
      <w:r w:rsidRPr="006A6D19">
        <w:rPr>
          <w:lang w:val="en-GB"/>
        </w:rPr>
        <w:t>), Press – Save the Children Youth Norway.</w:t>
      </w:r>
    </w:p>
    <w:p w14:paraId="5CEB4B67" w14:textId="0F544522" w:rsidR="008A5841" w:rsidRPr="006A6D19" w:rsidRDefault="008A5841" w:rsidP="00B765C1">
      <w:pPr>
        <w:rPr>
          <w:lang w:val="en-GB"/>
        </w:rPr>
      </w:pPr>
      <w:r>
        <w:rPr>
          <w:noProof/>
          <w:lang w:val="en-GB"/>
        </w:rPr>
        <w:drawing>
          <wp:inline distT="0" distB="0" distL="0" distR="0" wp14:anchorId="08402878" wp14:editId="205D31AD">
            <wp:extent cx="561975" cy="561975"/>
            <wp:effectExtent l="0" t="0" r="9525" b="9525"/>
            <wp:docPr id="838893628" name="Bilde 85" descr="Arrow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511570" name="Bilde 85" descr="Arrow down"/>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r>
        <w:rPr>
          <w:rStyle w:val="halvfet"/>
          <w:lang w:val="en-GB"/>
        </w:rPr>
        <w:t xml:space="preserve"> </w:t>
      </w:r>
      <w:r w:rsidRPr="006A6D19">
        <w:rPr>
          <w:rStyle w:val="halvfet"/>
          <w:lang w:val="en-GB"/>
        </w:rPr>
        <w:t>Trend</w:t>
      </w:r>
      <w:r w:rsidRPr="006A6D19">
        <w:rPr>
          <w:lang w:val="en-GB"/>
        </w:rPr>
        <w:t>: Negative</w:t>
      </w:r>
      <w:r w:rsidR="001609FA" w:rsidRPr="006A6D19">
        <w:rPr>
          <w:lang w:val="en-GB"/>
        </w:rPr>
        <w:t xml:space="preserve"> </w:t>
      </w:r>
    </w:p>
    <w:p w14:paraId="49B88689" w14:textId="77777777" w:rsidR="008A5841" w:rsidRPr="006A6D19" w:rsidRDefault="008A5841" w:rsidP="00B765C1">
      <w:pPr>
        <w:rPr>
          <w:lang w:val="en-GB"/>
        </w:rPr>
      </w:pPr>
      <w:r w:rsidRPr="006A6D19">
        <w:rPr>
          <w:rStyle w:val="halvfet"/>
          <w:lang w:val="en-GB"/>
        </w:rPr>
        <w:t>Norway has succeeded</w:t>
      </w:r>
      <w:r w:rsidRPr="006A6D19">
        <w:rPr>
          <w:lang w:val="en-GB"/>
        </w:rPr>
        <w:t xml:space="preserve"> in maintaining comparatively low poverty by international standards: extreme poverty is near zero and the national</w:t>
      </w:r>
      <w:r w:rsidRPr="006A6D19">
        <w:rPr>
          <w:lang w:val="en-GB"/>
        </w:rPr>
        <w:noBreakHyphen/>
        <w:t>poverty</w:t>
      </w:r>
      <w:r w:rsidRPr="006A6D19">
        <w:rPr>
          <w:lang w:val="en-GB"/>
        </w:rPr>
        <w:noBreakHyphen/>
        <w:t xml:space="preserve">line rate stood at ~12.2 percent (2023). This is underpinned by a universal welfare state, high employment, and redistributive taxes. Income inequality </w:t>
      </w:r>
      <w:r w:rsidRPr="006A6D19">
        <w:rPr>
          <w:lang w:val="en-GB"/>
        </w:rPr>
        <w:lastRenderedPageBreak/>
        <w:t>in 2023 was at its lowest since 2014, and the overall at</w:t>
      </w:r>
      <w:r w:rsidRPr="006A6D19">
        <w:rPr>
          <w:lang w:val="en-GB"/>
        </w:rPr>
        <w:noBreakHyphen/>
        <w:t>risk</w:t>
      </w:r>
      <w:r w:rsidRPr="006A6D19">
        <w:rPr>
          <w:lang w:val="en-GB"/>
        </w:rPr>
        <w:noBreakHyphen/>
        <w:t>of</w:t>
      </w:r>
      <w:r w:rsidRPr="006A6D19">
        <w:rPr>
          <w:lang w:val="en-GB"/>
        </w:rPr>
        <w:noBreakHyphen/>
        <w:t>poverty rate remained about 10.9 percent.</w:t>
      </w:r>
    </w:p>
    <w:p w14:paraId="470E009F" w14:textId="77777777" w:rsidR="008A5841" w:rsidRPr="006A6D19" w:rsidRDefault="008A5841" w:rsidP="00B765C1">
      <w:pPr>
        <w:rPr>
          <w:lang w:val="en-GB"/>
        </w:rPr>
      </w:pPr>
      <w:r w:rsidRPr="006A6D19">
        <w:rPr>
          <w:lang w:val="en-GB"/>
        </w:rPr>
        <w:t>Internationally, Norway remains a top donor of ODA relative to GNI and prioritises poverty reduction, domestic resource mobilisation, and social protection through ODA. In 2024 Norway delivered ~1.02 percent of GNI in aid, even as global ODA fell.</w:t>
      </w:r>
    </w:p>
    <w:p w14:paraId="7F3ABF35" w14:textId="77777777" w:rsidR="008A5841" w:rsidRPr="006A6D19" w:rsidRDefault="008A5841" w:rsidP="00B765C1">
      <w:pPr>
        <w:rPr>
          <w:lang w:val="en-GB"/>
        </w:rPr>
      </w:pPr>
      <w:r w:rsidRPr="006A6D19">
        <w:rPr>
          <w:rStyle w:val="halvfet"/>
          <w:lang w:val="en-GB"/>
        </w:rPr>
        <w:t>Norway’s challenges</w:t>
      </w:r>
      <w:r w:rsidRPr="006A6D19">
        <w:rPr>
          <w:lang w:val="en-GB"/>
        </w:rPr>
        <w:t xml:space="preserve"> include stagnating or rising poverty risks since 2021. The share with persistent low income reached 9.5 percent (average 2022–2024). Vulnerability is concentrated among people with weak labour</w:t>
      </w:r>
      <w:r w:rsidRPr="006A6D19">
        <w:rPr>
          <w:lang w:val="en-GB"/>
        </w:rPr>
        <w:noBreakHyphen/>
        <w:t>market attachment, disability</w:t>
      </w:r>
      <w:r w:rsidRPr="006A6D19">
        <w:rPr>
          <w:lang w:val="en-GB"/>
        </w:rPr>
        <w:noBreakHyphen/>
        <w:t>benefit recipients, single adults, and immigrants. Material and social deprivation have increased during the cost</w:t>
      </w:r>
      <w:r w:rsidRPr="006A6D19">
        <w:rPr>
          <w:lang w:val="en-GB"/>
        </w:rPr>
        <w:noBreakHyphen/>
        <w:t>of</w:t>
      </w:r>
      <w:r w:rsidRPr="006A6D19">
        <w:rPr>
          <w:lang w:val="en-GB"/>
        </w:rPr>
        <w:noBreakHyphen/>
        <w:t>living crisis, underscored by a documented surge in charitable food distribution in 2023 – which is now stabilised at a high level, suggesting it has become a lasting supp</w:t>
      </w:r>
      <w:r w:rsidRPr="006A6D19">
        <w:rPr>
          <w:lang w:val="en-GB"/>
        </w:rPr>
        <w:t>lement to the welfare system rather than a temporary crisis measure.</w:t>
      </w:r>
    </w:p>
    <w:p w14:paraId="0BC6403B" w14:textId="77777777" w:rsidR="008A5841" w:rsidRPr="006A6D19" w:rsidRDefault="008A5841" w:rsidP="00B765C1">
      <w:pPr>
        <w:rPr>
          <w:lang w:val="en-GB"/>
        </w:rPr>
      </w:pPr>
      <w:r w:rsidRPr="006A6D19">
        <w:rPr>
          <w:lang w:val="en-GB"/>
        </w:rPr>
        <w:t>In a recent report from Q1 2026, 47 percent of households from the lowest income bracket report that their financial situation has worsened over the past six months, while only 15 percent report an improved financial situation. This confirms a consistent trend in the same study where a disproportionate number of low</w:t>
      </w:r>
      <w:r w:rsidRPr="006A6D19">
        <w:rPr>
          <w:lang w:val="en-GB"/>
        </w:rPr>
        <w:noBreakHyphen/>
        <w:t>income respondents report a worsening financial situation. In total, 8 percent of households surveyed in this report state that they do not have sufficient financial means to cover ordinary day</w:t>
      </w:r>
      <w:r w:rsidRPr="006A6D19">
        <w:rPr>
          <w:lang w:val="en-GB"/>
        </w:rPr>
        <w:noBreakHyphen/>
        <w:t>to</w:t>
      </w:r>
      <w:r w:rsidRPr="006A6D19">
        <w:rPr>
          <w:lang w:val="en-GB"/>
        </w:rPr>
        <w:noBreakHyphen/>
        <w:t>day living expenses, a proportion that has remained stable since 2023. Among households reporting low income, one in four (26 percent) say they have skipped meals, and 14 percent say they have gone to bed hungry because they could not afford to eat enough. Among those whose financial situation has worsened, 65 pe</w:t>
      </w:r>
      <w:r w:rsidRPr="006A6D19">
        <w:rPr>
          <w:lang w:val="en-GB"/>
        </w:rPr>
        <w:t>rcent report saving on electricity, 63 percent have bought less or less healthy food, 54 percent have avoided buying clothes, and 43 percent have refrained from or postponed seeking health services.</w:t>
      </w:r>
    </w:p>
    <w:p w14:paraId="4F9AC12B" w14:textId="77777777" w:rsidR="008A5841" w:rsidRPr="006A6D19" w:rsidRDefault="008A5841" w:rsidP="00B765C1">
      <w:pPr>
        <w:rPr>
          <w:lang w:val="en-GB"/>
        </w:rPr>
      </w:pPr>
      <w:r w:rsidRPr="006A6D19">
        <w:rPr>
          <w:lang w:val="en-GB"/>
        </w:rPr>
        <w:t xml:space="preserve">Internationally, although Norway continues to allocate a high share of GNI to ODA, total aid volumes declined in </w:t>
      </w:r>
      <w:proofErr w:type="gramStart"/>
      <w:r w:rsidRPr="006A6D19">
        <w:rPr>
          <w:lang w:val="en-GB"/>
        </w:rPr>
        <w:t>2024</w:t>
      </w:r>
      <w:proofErr w:type="gramEnd"/>
      <w:r w:rsidRPr="006A6D19">
        <w:rPr>
          <w:lang w:val="en-GB"/>
        </w:rPr>
        <w:t xml:space="preserve"> and a smaller share reached the poorest countries. Norad’s official statistics show that support to least</w:t>
      </w:r>
      <w:r w:rsidRPr="006A6D19">
        <w:rPr>
          <w:lang w:val="en-GB"/>
        </w:rPr>
        <w:noBreakHyphen/>
        <w:t>developed/poorest countries declined in both amount and share in 2024 (country</w:t>
      </w:r>
      <w:r w:rsidRPr="006A6D19">
        <w:rPr>
          <w:lang w:val="en-GB"/>
        </w:rPr>
        <w:noBreakHyphen/>
        <w:t>allocated aid share to these countries dropped from ~40 percent to ~31 percent), while Europe—driven by Ukraine—became the largest recipient region. This mirrors a wider international shift and raises concerns for SDG 1 impact in low</w:t>
      </w:r>
      <w:r w:rsidRPr="006A6D19">
        <w:rPr>
          <w:lang w:val="en-GB"/>
        </w:rPr>
        <w:noBreakHyphen/>
        <w:t>income settings.</w:t>
      </w:r>
    </w:p>
    <w:p w14:paraId="7EF16F20" w14:textId="77777777" w:rsidR="008A5841" w:rsidRPr="006A6D19" w:rsidRDefault="008A5841" w:rsidP="006B301F">
      <w:pPr>
        <w:pStyle w:val="avsnitt-undertittel"/>
        <w:rPr>
          <w:lang w:val="en-GB"/>
        </w:rPr>
      </w:pPr>
      <w:r w:rsidRPr="006A6D19">
        <w:rPr>
          <w:lang w:val="en-GB"/>
        </w:rPr>
        <w:t>Norway must:</w:t>
      </w:r>
    </w:p>
    <w:p w14:paraId="0F411D08" w14:textId="77777777" w:rsidR="008A5841" w:rsidRPr="006A6D19" w:rsidRDefault="008A5841" w:rsidP="00B765C1">
      <w:pPr>
        <w:pStyle w:val="Listebombe"/>
        <w:rPr>
          <w:lang w:val="en-GB"/>
        </w:rPr>
      </w:pPr>
      <w:r w:rsidRPr="006A6D19">
        <w:rPr>
          <w:lang w:val="en-GB"/>
        </w:rPr>
        <w:t>Introduce improved poverty metrics and data systems that reflect actual needs rather than income alone, recognising that income levels do not fully capture the experience of poverty.</w:t>
      </w:r>
    </w:p>
    <w:p w14:paraId="50037FDE" w14:textId="77777777" w:rsidR="008A5841" w:rsidRPr="006A6D19" w:rsidRDefault="008A5841" w:rsidP="00B765C1">
      <w:pPr>
        <w:pStyle w:val="Listebombe"/>
        <w:rPr>
          <w:lang w:val="en-GB"/>
        </w:rPr>
      </w:pPr>
      <w:r w:rsidRPr="006A6D19">
        <w:rPr>
          <w:lang w:val="en-GB"/>
        </w:rPr>
        <w:t>Legally mandate price indexation of all benefits (disability benefits, social assistance, AAP, child benefits etc) to ensure that vulnerable groups’ real incomes keep pace with living costs.</w:t>
      </w:r>
    </w:p>
    <w:p w14:paraId="314D37D3" w14:textId="77777777" w:rsidR="008A5841" w:rsidRPr="006A6D19" w:rsidRDefault="008A5841" w:rsidP="00B765C1">
      <w:pPr>
        <w:pStyle w:val="Listebombe"/>
        <w:rPr>
          <w:lang w:val="en-GB"/>
        </w:rPr>
      </w:pPr>
      <w:r w:rsidRPr="006A6D19">
        <w:rPr>
          <w:lang w:val="en-GB"/>
        </w:rPr>
        <w:t>Accelerate labour</w:t>
      </w:r>
      <w:r w:rsidRPr="006A6D19">
        <w:rPr>
          <w:lang w:val="en-GB"/>
        </w:rPr>
        <w:noBreakHyphen/>
        <w:t>market inclusion for groups with the highest poverty risk (young adults, immigrants/refugees, people with reduced work capacity).</w:t>
      </w:r>
    </w:p>
    <w:p w14:paraId="7A635AC3" w14:textId="77777777" w:rsidR="008A5841" w:rsidRPr="006A6D19" w:rsidRDefault="008A5841" w:rsidP="00B765C1">
      <w:pPr>
        <w:pStyle w:val="Listebombe"/>
        <w:rPr>
          <w:lang w:val="en-GB"/>
        </w:rPr>
      </w:pPr>
      <w:r w:rsidRPr="006A6D19">
        <w:rPr>
          <w:lang w:val="en-GB"/>
        </w:rPr>
        <w:t>Expand access to affordable child-care and after-school activities for low-income families.</w:t>
      </w:r>
    </w:p>
    <w:p w14:paraId="509DE51F" w14:textId="77777777" w:rsidR="008A5841" w:rsidRPr="006A6D19" w:rsidRDefault="008A5841" w:rsidP="00B765C1">
      <w:pPr>
        <w:pStyle w:val="Listebombe"/>
        <w:rPr>
          <w:lang w:val="en-GB"/>
        </w:rPr>
      </w:pPr>
      <w:r w:rsidRPr="006A6D19">
        <w:rPr>
          <w:lang w:val="en-GB"/>
        </w:rPr>
        <w:t>Target high</w:t>
      </w:r>
      <w:r w:rsidRPr="006A6D19">
        <w:rPr>
          <w:lang w:val="en-GB"/>
        </w:rPr>
        <w:noBreakHyphen/>
        <w:t>risk households (single adults, minimum disability pensioners, immigrants) with tailored support and activation pathways.</w:t>
      </w:r>
    </w:p>
    <w:p w14:paraId="546BC0E2" w14:textId="77777777" w:rsidR="008A5841" w:rsidRPr="006A6D19" w:rsidRDefault="008A5841" w:rsidP="00B765C1">
      <w:pPr>
        <w:pStyle w:val="Listebombe"/>
        <w:rPr>
          <w:lang w:val="en-GB"/>
        </w:rPr>
      </w:pPr>
      <w:r w:rsidRPr="006A6D19">
        <w:rPr>
          <w:lang w:val="en-GB"/>
        </w:rPr>
        <w:lastRenderedPageBreak/>
        <w:t>Expand affordable housing supply and reduce housing</w:t>
      </w:r>
      <w:r w:rsidRPr="006A6D19">
        <w:rPr>
          <w:lang w:val="en-GB"/>
        </w:rPr>
        <w:noBreakHyphen/>
        <w:t>cost burdens for low</w:t>
      </w:r>
      <w:r w:rsidRPr="006A6D19">
        <w:rPr>
          <w:lang w:val="en-GB"/>
        </w:rPr>
        <w:noBreakHyphen/>
        <w:t>income households.</w:t>
      </w:r>
    </w:p>
    <w:p w14:paraId="44D38A26" w14:textId="77777777" w:rsidR="008A5841" w:rsidRPr="006A6D19" w:rsidRDefault="008A5841" w:rsidP="00B765C1">
      <w:pPr>
        <w:pStyle w:val="Listebombe"/>
        <w:rPr>
          <w:lang w:val="en-GB"/>
        </w:rPr>
      </w:pPr>
      <w:r w:rsidRPr="006A6D19">
        <w:rPr>
          <w:lang w:val="en-GB"/>
        </w:rPr>
        <w:t>Reinforce child</w:t>
      </w:r>
      <w:r w:rsidRPr="006A6D19">
        <w:rPr>
          <w:lang w:val="en-GB"/>
        </w:rPr>
        <w:noBreakHyphen/>
        <w:t>poverty measures, especially for immigrant and single</w:t>
      </w:r>
      <w:r w:rsidRPr="006A6D19">
        <w:rPr>
          <w:lang w:val="en-GB"/>
        </w:rPr>
        <w:noBreakHyphen/>
        <w:t>parent families.</w:t>
      </w:r>
    </w:p>
    <w:p w14:paraId="0267AACD" w14:textId="77777777" w:rsidR="008A5841" w:rsidRPr="006A6D19" w:rsidRDefault="008A5841" w:rsidP="00B765C1">
      <w:pPr>
        <w:pStyle w:val="Listebombe"/>
        <w:rPr>
          <w:lang w:val="en-GB"/>
        </w:rPr>
      </w:pPr>
      <w:r w:rsidRPr="006A6D19">
        <w:rPr>
          <w:lang w:val="en-GB"/>
        </w:rPr>
        <w:t>Uphold high ODA levels and reverse the drop to the poorest countries by restoring/increasing the share and volume to LDCs/low</w:t>
      </w:r>
      <w:r w:rsidRPr="006A6D19">
        <w:rPr>
          <w:lang w:val="en-GB"/>
        </w:rPr>
        <w:noBreakHyphen/>
        <w:t>income countries, safeguarding humanitarian funding, and prioritising poverty</w:t>
      </w:r>
      <w:r w:rsidRPr="006A6D19">
        <w:rPr>
          <w:lang w:val="en-GB"/>
        </w:rPr>
        <w:noBreakHyphen/>
        <w:t>focused, country</w:t>
      </w:r>
      <w:r w:rsidRPr="006A6D19">
        <w:rPr>
          <w:lang w:val="en-GB"/>
        </w:rPr>
        <w:noBreakHyphen/>
        <w:t>owned programs.</w:t>
      </w:r>
    </w:p>
    <w:p w14:paraId="5E102987" w14:textId="77777777" w:rsidR="008A5841" w:rsidRPr="006A6D19" w:rsidRDefault="008A5841" w:rsidP="00B765C1">
      <w:pPr>
        <w:pStyle w:val="Listebombe"/>
        <w:rPr>
          <w:lang w:val="en-GB"/>
        </w:rPr>
      </w:pPr>
      <w:r w:rsidRPr="006A6D19">
        <w:rPr>
          <w:lang w:val="en-GB"/>
        </w:rPr>
        <w:t>Maintain leadership on fair taxation and domestic resource mobilisation in partner countries to reduce structural drivers of poverty.</w:t>
      </w:r>
    </w:p>
    <w:p w14:paraId="2D15FC95" w14:textId="77777777" w:rsidR="008A5841" w:rsidRPr="006A6D19" w:rsidRDefault="008A5841" w:rsidP="001609FA">
      <w:pPr>
        <w:rPr>
          <w:lang w:val="en-GB"/>
        </w:rPr>
      </w:pPr>
    </w:p>
    <w:p w14:paraId="3F87B71F" w14:textId="77777777" w:rsidR="008A5841" w:rsidRPr="006A6D19" w:rsidRDefault="008A5841" w:rsidP="00B765C1">
      <w:pPr>
        <w:rPr>
          <w:lang w:val="en-GB"/>
        </w:rPr>
      </w:pPr>
    </w:p>
    <w:p w14:paraId="5488F5AE" w14:textId="77777777" w:rsidR="008A5841" w:rsidRPr="006A6D19" w:rsidRDefault="008A5841" w:rsidP="001609FA">
      <w:pPr>
        <w:pStyle w:val="UnOverskrift3"/>
        <w:rPr>
          <w:lang w:val="en-GB"/>
        </w:rPr>
      </w:pPr>
      <w:r w:rsidRPr="006A6D19">
        <w:rPr>
          <w:lang w:val="en-GB"/>
        </w:rPr>
        <w:t>2 Zero Hunger</w:t>
      </w:r>
    </w:p>
    <w:p w14:paraId="2545F0C0" w14:textId="3D5ADBC3" w:rsidR="008A5841" w:rsidRPr="006A6D19" w:rsidRDefault="00BB2AF4" w:rsidP="001609FA">
      <w:pPr>
        <w:rPr>
          <w:lang w:val="en-GB"/>
        </w:rPr>
      </w:pPr>
      <w:r w:rsidRPr="006A6D19">
        <w:rPr>
          <w:noProof/>
          <w:lang w:val="en-GB"/>
        </w:rPr>
        <w:drawing>
          <wp:inline distT="0" distB="0" distL="0" distR="0" wp14:anchorId="14291B7C" wp14:editId="6E89D4FB">
            <wp:extent cx="2857500" cy="2857500"/>
            <wp:effectExtent l="0" t="0" r="0" b="0"/>
            <wp:docPr id="910353728" name="Bilde 44" descr="Go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353728" name="Bilde 44" descr="Goal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0731B5BE" w14:textId="77777777" w:rsidR="008A5841" w:rsidRPr="006A6D19" w:rsidRDefault="008A5841" w:rsidP="006B301F">
      <w:pPr>
        <w:pStyle w:val="Undertittel"/>
        <w:rPr>
          <w:lang w:val="en-GB"/>
        </w:rPr>
      </w:pPr>
      <w:r w:rsidRPr="006A6D19">
        <w:rPr>
          <w:lang w:val="en-GB"/>
        </w:rPr>
        <w:t>Government Assessment</w:t>
      </w:r>
    </w:p>
    <w:tbl>
      <w:tblPr>
        <w:tblW w:w="5000" w:type="pct"/>
        <w:tblCellMar>
          <w:left w:w="0" w:type="dxa"/>
          <w:right w:w="0" w:type="dxa"/>
        </w:tblCellMar>
        <w:tblLook w:val="0000" w:firstRow="0" w:lastRow="0" w:firstColumn="0" w:lastColumn="0" w:noHBand="0" w:noVBand="0"/>
      </w:tblPr>
      <w:tblGrid>
        <w:gridCol w:w="1419"/>
        <w:gridCol w:w="7319"/>
        <w:gridCol w:w="1712"/>
      </w:tblGrid>
      <w:tr w:rsidR="00000000" w:rsidRPr="006A6D19" w14:paraId="02224BC0" w14:textId="77777777" w:rsidTr="001609FA">
        <w:tblPrEx>
          <w:tblCellMar>
            <w:top w:w="0" w:type="dxa"/>
            <w:left w:w="0" w:type="dxa"/>
            <w:bottom w:w="0" w:type="dxa"/>
            <w:right w:w="0" w:type="dxa"/>
          </w:tblCellMar>
        </w:tblPrEx>
        <w:trPr>
          <w:trHeight w:val="60"/>
        </w:trPr>
        <w:tc>
          <w:tcPr>
            <w:tcW w:w="67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915F226" w14:textId="77777777" w:rsidR="008A5841" w:rsidRPr="006A6D19" w:rsidRDefault="008A5841" w:rsidP="00B765C1">
            <w:pPr>
              <w:rPr>
                <w:lang w:val="en-GB"/>
              </w:rPr>
            </w:pPr>
            <w:r w:rsidRPr="006A6D19">
              <w:rPr>
                <w:rStyle w:val="halvfet"/>
                <w:lang w:val="en-GB"/>
              </w:rPr>
              <w:t xml:space="preserve">2.1 </w:t>
            </w:r>
          </w:p>
        </w:tc>
        <w:tc>
          <w:tcPr>
            <w:tcW w:w="350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79F75127" w14:textId="77777777" w:rsidR="008A5841" w:rsidRPr="006A6D19" w:rsidRDefault="008A5841" w:rsidP="00B765C1">
            <w:pPr>
              <w:rPr>
                <w:lang w:val="en-GB"/>
              </w:rPr>
            </w:pPr>
            <w:r w:rsidRPr="006A6D19">
              <w:rPr>
                <w:lang w:val="en-GB"/>
              </w:rPr>
              <w:t xml:space="preserve">The food security status is good, with access to safe, nutritious and sufficient food that meets dietary needs and food preferences throughout the year. </w:t>
            </w:r>
          </w:p>
        </w:tc>
        <w:tc>
          <w:tcPr>
            <w:tcW w:w="82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FF12B99" w14:textId="258058C8" w:rsidR="008A5841" w:rsidRPr="006A6D19" w:rsidRDefault="00541482" w:rsidP="00B765C1">
            <w:pPr>
              <w:rPr>
                <w:lang w:val="en-GB"/>
              </w:rPr>
            </w:pPr>
            <w:r>
              <w:rPr>
                <w:noProof/>
              </w:rPr>
              <w:drawing>
                <wp:inline distT="0" distB="0" distL="0" distR="0" wp14:anchorId="47DAABC6" wp14:editId="2AFCB0D5">
                  <wp:extent cx="990600" cy="447675"/>
                  <wp:effectExtent l="0" t="0" r="0" b="9525"/>
                  <wp:docPr id="250977164" name="Bilde 6" descr="Target met. Progres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2134" name="Bilde 6" descr="Target met. Progress positiv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24E659CE" w14:textId="77777777" w:rsidTr="001609FA">
        <w:tblPrEx>
          <w:tblCellMar>
            <w:top w:w="0" w:type="dxa"/>
            <w:left w:w="0" w:type="dxa"/>
            <w:bottom w:w="0" w:type="dxa"/>
            <w:right w:w="0" w:type="dxa"/>
          </w:tblCellMar>
        </w:tblPrEx>
        <w:trPr>
          <w:trHeight w:val="60"/>
        </w:trPr>
        <w:tc>
          <w:tcPr>
            <w:tcW w:w="67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78C0BCF1" w14:textId="77777777" w:rsidR="008A5841" w:rsidRPr="006A6D19" w:rsidRDefault="008A5841" w:rsidP="00B765C1">
            <w:pPr>
              <w:rPr>
                <w:lang w:val="en-GB"/>
              </w:rPr>
            </w:pPr>
            <w:r w:rsidRPr="006A6D19">
              <w:rPr>
                <w:rStyle w:val="halvfet"/>
                <w:lang w:val="en-GB"/>
              </w:rPr>
              <w:t>2.2</w:t>
            </w:r>
            <w:r w:rsidRPr="006A6D19">
              <w:rPr>
                <w:lang w:val="en-GB"/>
              </w:rPr>
              <w:t xml:space="preserve"> </w:t>
            </w:r>
          </w:p>
        </w:tc>
        <w:tc>
          <w:tcPr>
            <w:tcW w:w="350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51D729A" w14:textId="2C1FEEFE" w:rsidR="008A5841" w:rsidRPr="006A6D19" w:rsidRDefault="008A5841" w:rsidP="00B765C1">
            <w:pPr>
              <w:rPr>
                <w:lang w:val="en-GB"/>
              </w:rPr>
            </w:pPr>
            <w:r w:rsidRPr="006A6D19">
              <w:rPr>
                <w:lang w:val="en-GB"/>
              </w:rPr>
              <w:t>The nutritional status in Norway is good. However, the prevalence of overweight and obesity is increasing, and frail older individuals are at higher risk of under</w:t>
            </w:r>
            <w:r w:rsidRPr="006A6D19">
              <w:rPr>
                <w:lang w:val="en-GB"/>
              </w:rPr>
              <w:t>nutrition. The proportion of mothers who exclusively breastfeed appears to be declining.</w:t>
            </w:r>
          </w:p>
        </w:tc>
        <w:tc>
          <w:tcPr>
            <w:tcW w:w="82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5C22A88" w14:textId="65F1F57B" w:rsidR="008A5841" w:rsidRPr="006A6D19" w:rsidRDefault="007B3BCE" w:rsidP="00B765C1">
            <w:pPr>
              <w:rPr>
                <w:lang w:val="en-GB"/>
              </w:rPr>
            </w:pPr>
            <w:r>
              <w:rPr>
                <w:noProof/>
              </w:rPr>
              <w:drawing>
                <wp:inline distT="0" distB="0" distL="0" distR="0" wp14:anchorId="0E63579D" wp14:editId="1424D30B">
                  <wp:extent cx="990600" cy="447675"/>
                  <wp:effectExtent l="0" t="0" r="0" b="9525"/>
                  <wp:docPr id="1872291388" name="Bilde 1" descr="Close to targ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34566" name="Bilde 1" descr="Close to target. Progress stagn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6D16FA98" w14:textId="77777777" w:rsidTr="001609FA">
        <w:tblPrEx>
          <w:tblCellMar>
            <w:top w:w="0" w:type="dxa"/>
            <w:left w:w="0" w:type="dxa"/>
            <w:bottom w:w="0" w:type="dxa"/>
            <w:right w:w="0" w:type="dxa"/>
          </w:tblCellMar>
        </w:tblPrEx>
        <w:trPr>
          <w:trHeight w:val="60"/>
        </w:trPr>
        <w:tc>
          <w:tcPr>
            <w:tcW w:w="67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41008BB" w14:textId="3FB4B473" w:rsidR="008A5841" w:rsidRPr="006A6D19" w:rsidRDefault="008A5841" w:rsidP="00B765C1">
            <w:pPr>
              <w:rPr>
                <w:lang w:val="en-GB"/>
              </w:rPr>
            </w:pPr>
            <w:r w:rsidRPr="006A6D19">
              <w:rPr>
                <w:rStyle w:val="halvfet"/>
                <w:lang w:val="en-GB"/>
              </w:rPr>
              <w:t>2.3</w:t>
            </w:r>
            <w:r w:rsidR="001609FA" w:rsidRPr="006A6D19">
              <w:rPr>
                <w:lang w:val="en-GB"/>
              </w:rPr>
              <w:t xml:space="preserve"> </w:t>
            </w:r>
          </w:p>
        </w:tc>
        <w:tc>
          <w:tcPr>
            <w:tcW w:w="350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662BC00E" w14:textId="77777777" w:rsidR="008A5841" w:rsidRPr="006A6D19" w:rsidRDefault="008A5841" w:rsidP="00B765C1">
            <w:pPr>
              <w:rPr>
                <w:lang w:val="en-GB"/>
              </w:rPr>
            </w:pPr>
            <w:r w:rsidRPr="006A6D19">
              <w:rPr>
                <w:lang w:val="en-GB"/>
              </w:rPr>
              <w:t>There are well-developed institutions in both the agricultural and seafood sectors that provide equal access to knowledge, financial services, technology and other productive resources.</w:t>
            </w:r>
          </w:p>
        </w:tc>
        <w:tc>
          <w:tcPr>
            <w:tcW w:w="82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773B5EC" w14:textId="3DC79B40" w:rsidR="008A5841" w:rsidRPr="006A6D19" w:rsidRDefault="00541482" w:rsidP="00B765C1">
            <w:pPr>
              <w:rPr>
                <w:lang w:val="en-GB"/>
              </w:rPr>
            </w:pPr>
            <w:r>
              <w:rPr>
                <w:noProof/>
              </w:rPr>
              <w:drawing>
                <wp:inline distT="0" distB="0" distL="0" distR="0" wp14:anchorId="2D9BB65A" wp14:editId="49AF54D7">
                  <wp:extent cx="990600" cy="447675"/>
                  <wp:effectExtent l="0" t="0" r="0" b="9525"/>
                  <wp:docPr id="592196210" name="Bilde 6" descr="Target met. Progres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2134" name="Bilde 6" descr="Target met. Progress positiv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33358490" w14:textId="77777777" w:rsidTr="001609FA">
        <w:tblPrEx>
          <w:tblCellMar>
            <w:top w:w="0" w:type="dxa"/>
            <w:left w:w="0" w:type="dxa"/>
            <w:bottom w:w="0" w:type="dxa"/>
            <w:right w:w="0" w:type="dxa"/>
          </w:tblCellMar>
        </w:tblPrEx>
        <w:trPr>
          <w:trHeight w:val="60"/>
        </w:trPr>
        <w:tc>
          <w:tcPr>
            <w:tcW w:w="67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5988D96" w14:textId="77777777" w:rsidR="008A5841" w:rsidRPr="006A6D19" w:rsidRDefault="008A5841" w:rsidP="00B765C1">
            <w:pPr>
              <w:rPr>
                <w:lang w:val="en-GB"/>
              </w:rPr>
            </w:pPr>
            <w:r w:rsidRPr="006A6D19">
              <w:rPr>
                <w:rStyle w:val="halvfet"/>
                <w:lang w:val="en-GB"/>
              </w:rPr>
              <w:lastRenderedPageBreak/>
              <w:t>2.4</w:t>
            </w:r>
            <w:r w:rsidRPr="006A6D19">
              <w:rPr>
                <w:lang w:val="en-GB"/>
              </w:rPr>
              <w:t xml:space="preserve"> </w:t>
            </w:r>
          </w:p>
        </w:tc>
        <w:tc>
          <w:tcPr>
            <w:tcW w:w="350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687C6A6A" w14:textId="77777777" w:rsidR="008A5841" w:rsidRPr="006A6D19" w:rsidRDefault="008A5841" w:rsidP="00B765C1">
            <w:pPr>
              <w:rPr>
                <w:lang w:val="en-GB"/>
              </w:rPr>
            </w:pPr>
            <w:r w:rsidRPr="006A6D19">
              <w:rPr>
                <w:lang w:val="en-GB"/>
              </w:rPr>
              <w:t>Food production must be adapted to climate and environmental challenges. Environmental pollution must be reduced while ensuring the production of safe and nutritious food. The use of pesticides and antibiotics remains consistently low, and pasture use is stable.</w:t>
            </w:r>
          </w:p>
        </w:tc>
        <w:tc>
          <w:tcPr>
            <w:tcW w:w="82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080B43D2" w14:textId="7FDC71A3" w:rsidR="008A5841" w:rsidRPr="006A6D19" w:rsidRDefault="007B3BCE" w:rsidP="00B765C1">
            <w:pPr>
              <w:rPr>
                <w:lang w:val="en-GB"/>
              </w:rPr>
            </w:pPr>
            <w:r>
              <w:rPr>
                <w:noProof/>
              </w:rPr>
              <w:drawing>
                <wp:inline distT="0" distB="0" distL="0" distR="0" wp14:anchorId="47006570" wp14:editId="754050D4">
                  <wp:extent cx="990600" cy="447675"/>
                  <wp:effectExtent l="0" t="0" r="0" b="9525"/>
                  <wp:docPr id="822804348" name="Bilde 3" descr="Close to target. Progress i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804348" name="Bilde 3" descr="Close to target. Progress is positiv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30351D92" w14:textId="77777777" w:rsidTr="001609FA">
        <w:tblPrEx>
          <w:tblCellMar>
            <w:top w:w="0" w:type="dxa"/>
            <w:left w:w="0" w:type="dxa"/>
            <w:bottom w:w="0" w:type="dxa"/>
            <w:right w:w="0" w:type="dxa"/>
          </w:tblCellMar>
        </w:tblPrEx>
        <w:trPr>
          <w:trHeight w:val="60"/>
        </w:trPr>
        <w:tc>
          <w:tcPr>
            <w:tcW w:w="67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72B67C6" w14:textId="77777777" w:rsidR="008A5841" w:rsidRPr="006A6D19" w:rsidRDefault="008A5841" w:rsidP="00B765C1">
            <w:pPr>
              <w:rPr>
                <w:lang w:val="en-GB"/>
              </w:rPr>
            </w:pPr>
            <w:r w:rsidRPr="006A6D19">
              <w:rPr>
                <w:rStyle w:val="halvfet"/>
                <w:lang w:val="en-GB"/>
              </w:rPr>
              <w:t>2.5</w:t>
            </w:r>
            <w:r w:rsidRPr="006A6D19">
              <w:rPr>
                <w:lang w:val="en-GB"/>
              </w:rPr>
              <w:t xml:space="preserve"> </w:t>
            </w:r>
          </w:p>
        </w:tc>
        <w:tc>
          <w:tcPr>
            <w:tcW w:w="350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738DA24" w14:textId="77777777" w:rsidR="008A5841" w:rsidRPr="006A6D19" w:rsidRDefault="008A5841" w:rsidP="00B765C1">
            <w:pPr>
              <w:rPr>
                <w:lang w:val="en-GB"/>
              </w:rPr>
            </w:pPr>
            <w:r w:rsidRPr="006A6D19">
              <w:rPr>
                <w:lang w:val="en-GB"/>
              </w:rPr>
              <w:t>Cultivated plants are maintained in a joint Nordic gene bank and national clone archives, and livestock worthy of preservation through conservation herds and subsidy schemes.</w:t>
            </w:r>
          </w:p>
        </w:tc>
        <w:tc>
          <w:tcPr>
            <w:tcW w:w="82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6B156E4B" w14:textId="604158A8" w:rsidR="008A5841" w:rsidRPr="006A6D19" w:rsidRDefault="00541482" w:rsidP="00B765C1">
            <w:pPr>
              <w:rPr>
                <w:lang w:val="en-GB"/>
              </w:rPr>
            </w:pPr>
            <w:r>
              <w:rPr>
                <w:noProof/>
              </w:rPr>
              <w:drawing>
                <wp:inline distT="0" distB="0" distL="0" distR="0" wp14:anchorId="45F317F9" wp14:editId="19EB775D">
                  <wp:extent cx="990600" cy="447675"/>
                  <wp:effectExtent l="0" t="0" r="0" b="9525"/>
                  <wp:docPr id="1988226730" name="Bilde 6" descr="Target met. Progres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2134" name="Bilde 6" descr="Target met. Progress positiv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472D4881" w14:textId="77777777" w:rsidTr="001609FA">
        <w:tblPrEx>
          <w:tblCellMar>
            <w:top w:w="0" w:type="dxa"/>
            <w:left w:w="0" w:type="dxa"/>
            <w:bottom w:w="0" w:type="dxa"/>
            <w:right w:w="0" w:type="dxa"/>
          </w:tblCellMar>
        </w:tblPrEx>
        <w:trPr>
          <w:trHeight w:val="60"/>
        </w:trPr>
        <w:tc>
          <w:tcPr>
            <w:tcW w:w="67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00BC3A4B" w14:textId="77777777" w:rsidR="008A5841" w:rsidRPr="006A6D19" w:rsidRDefault="008A5841" w:rsidP="00B765C1">
            <w:pPr>
              <w:rPr>
                <w:lang w:val="en-GB"/>
              </w:rPr>
            </w:pPr>
            <w:r w:rsidRPr="006A6D19">
              <w:rPr>
                <w:rStyle w:val="halvfet"/>
                <w:lang w:val="en-GB"/>
              </w:rPr>
              <w:t xml:space="preserve">2.A </w:t>
            </w:r>
          </w:p>
        </w:tc>
        <w:tc>
          <w:tcPr>
            <w:tcW w:w="350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014F0F7" w14:textId="77777777" w:rsidR="008A5841" w:rsidRPr="006A6D19" w:rsidRDefault="008A5841" w:rsidP="00B765C1">
            <w:pPr>
              <w:rPr>
                <w:lang w:val="en-GB"/>
              </w:rPr>
            </w:pPr>
            <w:r w:rsidRPr="006A6D19">
              <w:rPr>
                <w:lang w:val="en-GB"/>
              </w:rPr>
              <w:t>Norway remains a major ODA donor and partner for international development and humanitarian assistance for food security and nutrition, including through UN and multilateral agencies, FAO, WFP, IFAD, CGIAR and World Bank/IDA, and NGOs, in accordance with government strategy.</w:t>
            </w:r>
          </w:p>
        </w:tc>
        <w:tc>
          <w:tcPr>
            <w:tcW w:w="82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E6D0388" w14:textId="5BCA80AE" w:rsidR="008A5841" w:rsidRPr="006A6D19" w:rsidRDefault="007B3BCE" w:rsidP="00B765C1">
            <w:pPr>
              <w:rPr>
                <w:lang w:val="en-GB"/>
              </w:rPr>
            </w:pPr>
            <w:r>
              <w:rPr>
                <w:noProof/>
              </w:rPr>
              <w:drawing>
                <wp:inline distT="0" distB="0" distL="0" distR="0" wp14:anchorId="02B782A2" wp14:editId="551B3826">
                  <wp:extent cx="990600" cy="447675"/>
                  <wp:effectExtent l="0" t="0" r="0" b="9525"/>
                  <wp:docPr id="2027845424" name="Bilde 3" descr="Close to target. Progress i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804348" name="Bilde 3" descr="Close to target. Progress is positiv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6A1E6F29" w14:textId="77777777" w:rsidTr="001609FA">
        <w:tblPrEx>
          <w:tblCellMar>
            <w:top w:w="0" w:type="dxa"/>
            <w:left w:w="0" w:type="dxa"/>
            <w:bottom w:w="0" w:type="dxa"/>
            <w:right w:w="0" w:type="dxa"/>
          </w:tblCellMar>
        </w:tblPrEx>
        <w:trPr>
          <w:trHeight w:val="60"/>
        </w:trPr>
        <w:tc>
          <w:tcPr>
            <w:tcW w:w="67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F435D5F" w14:textId="77777777" w:rsidR="008A5841" w:rsidRPr="006A6D19" w:rsidRDefault="008A5841" w:rsidP="00B765C1">
            <w:pPr>
              <w:rPr>
                <w:lang w:val="en-GB"/>
              </w:rPr>
            </w:pPr>
            <w:r w:rsidRPr="006A6D19">
              <w:rPr>
                <w:rStyle w:val="halvfet"/>
                <w:lang w:val="en-GB"/>
              </w:rPr>
              <w:t xml:space="preserve">2.B </w:t>
            </w:r>
          </w:p>
        </w:tc>
        <w:tc>
          <w:tcPr>
            <w:tcW w:w="350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661DD8D" w14:textId="77777777" w:rsidR="008A5841" w:rsidRPr="006A6D19" w:rsidRDefault="008A5841" w:rsidP="00B765C1">
            <w:pPr>
              <w:rPr>
                <w:lang w:val="en-GB"/>
              </w:rPr>
            </w:pPr>
            <w:r w:rsidRPr="006A6D19">
              <w:rPr>
                <w:lang w:val="en-GB"/>
              </w:rPr>
              <w:t>Norway has phased out export subsidies on agricultural goods.</w:t>
            </w:r>
          </w:p>
        </w:tc>
        <w:tc>
          <w:tcPr>
            <w:tcW w:w="82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37D5479" w14:textId="0FD400A1" w:rsidR="008A5841" w:rsidRPr="006A6D19" w:rsidRDefault="00541482" w:rsidP="00B765C1">
            <w:pPr>
              <w:rPr>
                <w:lang w:val="en-GB"/>
              </w:rPr>
            </w:pPr>
            <w:r>
              <w:rPr>
                <w:noProof/>
              </w:rPr>
              <w:drawing>
                <wp:inline distT="0" distB="0" distL="0" distR="0" wp14:anchorId="5328EB7E" wp14:editId="63DF13CB">
                  <wp:extent cx="990600" cy="447675"/>
                  <wp:effectExtent l="0" t="0" r="0" b="9525"/>
                  <wp:docPr id="1010702428" name="Bilde 6" descr="Target met. Progres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2134" name="Bilde 6" descr="Target met. Progress positiv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48AAF454" w14:textId="77777777" w:rsidTr="001609FA">
        <w:tblPrEx>
          <w:tblCellMar>
            <w:top w:w="0" w:type="dxa"/>
            <w:left w:w="0" w:type="dxa"/>
            <w:bottom w:w="0" w:type="dxa"/>
            <w:right w:w="0" w:type="dxa"/>
          </w:tblCellMar>
        </w:tblPrEx>
        <w:trPr>
          <w:trHeight w:val="60"/>
        </w:trPr>
        <w:tc>
          <w:tcPr>
            <w:tcW w:w="67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C9B637E" w14:textId="77777777" w:rsidR="008A5841" w:rsidRPr="006A6D19" w:rsidRDefault="008A5841" w:rsidP="00B765C1">
            <w:pPr>
              <w:rPr>
                <w:lang w:val="en-GB"/>
              </w:rPr>
            </w:pPr>
            <w:r w:rsidRPr="006A6D19">
              <w:rPr>
                <w:rStyle w:val="halvfet"/>
                <w:lang w:val="en-GB"/>
              </w:rPr>
              <w:t xml:space="preserve">2.C </w:t>
            </w:r>
          </w:p>
        </w:tc>
        <w:tc>
          <w:tcPr>
            <w:tcW w:w="350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6044AC51" w14:textId="77777777" w:rsidR="008A5841" w:rsidRPr="006A6D19" w:rsidRDefault="008A5841" w:rsidP="00B765C1">
            <w:pPr>
              <w:rPr>
                <w:lang w:val="en-GB"/>
              </w:rPr>
            </w:pPr>
            <w:r w:rsidRPr="006A6D19">
              <w:rPr>
                <w:lang w:val="en-GB"/>
              </w:rPr>
              <w:t xml:space="preserve">Domestically, Norway has a market regulation system where the main participants are the Agricultural Agency and the agricultural cooperatives. Norway also supports international and multilateral market information efforts, including AMIS, and is a key contributor to the FAO. </w:t>
            </w:r>
          </w:p>
        </w:tc>
        <w:tc>
          <w:tcPr>
            <w:tcW w:w="82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5938D92" w14:textId="2B294C02" w:rsidR="008A5841" w:rsidRPr="006A6D19" w:rsidRDefault="00541482" w:rsidP="00B765C1">
            <w:pPr>
              <w:rPr>
                <w:lang w:val="en-GB"/>
              </w:rPr>
            </w:pPr>
            <w:r>
              <w:rPr>
                <w:noProof/>
              </w:rPr>
              <w:drawing>
                <wp:inline distT="0" distB="0" distL="0" distR="0" wp14:anchorId="6A55B680" wp14:editId="75473B2B">
                  <wp:extent cx="990600" cy="447675"/>
                  <wp:effectExtent l="0" t="0" r="0" b="9525"/>
                  <wp:docPr id="1581853924" name="Bilde 4" descr="Target m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11348" name="Bilde 4" descr="Target met. Progress stagn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bl>
    <w:p w14:paraId="616C0FA2" w14:textId="77777777" w:rsidR="008A5841" w:rsidRPr="006A6D19" w:rsidRDefault="008A5841" w:rsidP="00B765C1">
      <w:pPr>
        <w:rPr>
          <w:lang w:val="en-GB"/>
        </w:rPr>
      </w:pPr>
    </w:p>
    <w:p w14:paraId="09A0A0E2" w14:textId="77777777" w:rsidR="008A5841" w:rsidRPr="006A6D19" w:rsidRDefault="008A5841" w:rsidP="00B765C1">
      <w:pPr>
        <w:rPr>
          <w:lang w:val="en-GB"/>
        </w:rPr>
      </w:pPr>
      <w:r w:rsidRPr="006A6D19">
        <w:rPr>
          <w:rStyle w:val="halvfet"/>
          <w:lang w:val="en-GB"/>
        </w:rPr>
        <w:t xml:space="preserve">General Status: </w:t>
      </w:r>
      <w:r w:rsidRPr="006A6D19">
        <w:rPr>
          <w:lang w:val="en-GB"/>
        </w:rPr>
        <w:t>Food security is generally good in Norway, but there are challenges with overweight and obesity. The country is largely self</w:t>
      </w:r>
      <w:r w:rsidRPr="006A6D19">
        <w:rPr>
          <w:lang w:val="en-GB"/>
        </w:rPr>
        <w:noBreakHyphen/>
        <w:t>sufficient in meat, dairy products, and seafood. Norway also has frameworks to ensure that food is safe to eat. National food security depends on continuous food production, safeguarding the production foundation, and a well</w:t>
      </w:r>
      <w:r w:rsidRPr="006A6D19">
        <w:rPr>
          <w:lang w:val="en-GB"/>
        </w:rPr>
        <w:noBreakHyphen/>
        <w:t>functioning trading system. Sustainable food production in agriculture, fisheries, and aquaculture forms the basis of national food security. Reindeer husbandry i</w:t>
      </w:r>
      <w:r w:rsidRPr="006A6D19">
        <w:rPr>
          <w:lang w:val="en-GB"/>
        </w:rPr>
        <w:t>s an important Indigenous livelihood and a bearer of Sami culture and language.</w:t>
      </w:r>
    </w:p>
    <w:p w14:paraId="7248A835" w14:textId="77777777" w:rsidR="008A5841" w:rsidRPr="006A6D19" w:rsidRDefault="008A5841" w:rsidP="00B765C1">
      <w:pPr>
        <w:rPr>
          <w:lang w:val="en-GB"/>
        </w:rPr>
      </w:pPr>
      <w:r w:rsidRPr="006A6D19">
        <w:rPr>
          <w:rStyle w:val="halvfet"/>
          <w:lang w:val="en-GB"/>
        </w:rPr>
        <w:t xml:space="preserve">Main Achievements: </w:t>
      </w:r>
      <w:r w:rsidRPr="006A6D19">
        <w:rPr>
          <w:lang w:val="en-GB"/>
        </w:rPr>
        <w:t>Sustainable management of resources for food production, safe food from land and sea, and trade are the main pillars of Norwegian food security. The Norwegian fisheries, aquaculture and agricultural sectors are among the most value</w:t>
      </w:r>
      <w:r w:rsidRPr="006A6D19">
        <w:rPr>
          <w:lang w:val="en-GB"/>
        </w:rPr>
        <w:noBreakHyphen/>
        <w:t>creating primary industries in the world. These sectors have institutions providing access to knowledge, capital, technology, and other production resources. The total area used for cultivating crops for food and feed is stable. The Government has introduced measures to promote c</w:t>
      </w:r>
      <w:r w:rsidRPr="006A6D19">
        <w:rPr>
          <w:lang w:val="en-GB"/>
        </w:rPr>
        <w:t xml:space="preserve">limate adaptation and robust farming practices, including a climate agreement with the farmers unions, the establishment of </w:t>
      </w:r>
      <w:proofErr w:type="spellStart"/>
      <w:r w:rsidRPr="006A6D19">
        <w:rPr>
          <w:lang w:val="en-GB"/>
        </w:rPr>
        <w:t>Bionova</w:t>
      </w:r>
      <w:proofErr w:type="spellEnd"/>
      <w:r w:rsidRPr="006A6D19">
        <w:rPr>
          <w:lang w:val="en-GB"/>
        </w:rPr>
        <w:t xml:space="preserve"> in 2023 and the </w:t>
      </w:r>
      <w:r w:rsidRPr="006A6D19">
        <w:rPr>
          <w:lang w:val="en-GB"/>
        </w:rPr>
        <w:lastRenderedPageBreak/>
        <w:t>establishment of a Food System Commission that will propose measures to strengthen the sustainability of Norway’s food system.</w:t>
      </w:r>
    </w:p>
    <w:p w14:paraId="6869FC9A" w14:textId="77777777" w:rsidR="008A5841" w:rsidRPr="006A6D19" w:rsidRDefault="008A5841" w:rsidP="00B765C1">
      <w:pPr>
        <w:rPr>
          <w:lang w:val="en-GB"/>
        </w:rPr>
      </w:pPr>
      <w:r w:rsidRPr="006A6D19">
        <w:rPr>
          <w:rStyle w:val="halvfet"/>
          <w:lang w:val="en-GB"/>
        </w:rPr>
        <w:t xml:space="preserve">Norway’s Challenges: </w:t>
      </w:r>
      <w:r w:rsidRPr="006A6D19">
        <w:rPr>
          <w:lang w:val="en-GB"/>
        </w:rPr>
        <w:t>Unhealthy diets increase the risk of non</w:t>
      </w:r>
      <w:r w:rsidRPr="006A6D19">
        <w:rPr>
          <w:lang w:val="en-GB"/>
        </w:rPr>
        <w:noBreakHyphen/>
        <w:t>communicable diseases, overweight, obesity and premature death. Over 50 percent of the adult population are overweight or obese, while frail elderly individuals are at risk of undernutrition. In general, the population consumes too little fruit, berries, vegetables, whole grains, and fish, and too much salt, added sugar, saturated fat, and red and processed meat. Exclusive breastfeeding rates appear to be declining. Agriculture contributes to greenhouse gas emissions</w:t>
      </w:r>
      <w:r w:rsidRPr="006A6D19">
        <w:rPr>
          <w:lang w:val="en-GB"/>
        </w:rPr>
        <w:t xml:space="preserve"> but is also greatly challenged by climate and environmental changes. There is a need to adapt to these changes and to protect soil resources. The good status for animal and plant health must be maintained. Safeguarding national food production is a priority. Sustainable reindeer husbandry depends on sufficient grazing land, which is increasingly challenged by land use from other sectors. The aquaculture industry faces challenges with high mortality, mainly related to sea lice.</w:t>
      </w:r>
    </w:p>
    <w:p w14:paraId="450C89D2" w14:textId="77777777" w:rsidR="008A5841" w:rsidRPr="006A6D19" w:rsidRDefault="008A5841" w:rsidP="00B765C1">
      <w:pPr>
        <w:rPr>
          <w:lang w:val="en-GB"/>
        </w:rPr>
      </w:pPr>
      <w:r w:rsidRPr="006A6D19">
        <w:rPr>
          <w:rStyle w:val="halvfet"/>
          <w:lang w:val="en-GB"/>
        </w:rPr>
        <w:t>Global Responsibility:</w:t>
      </w:r>
      <w:r w:rsidRPr="006A6D19">
        <w:rPr>
          <w:lang w:val="en-GB"/>
        </w:rPr>
        <w:t xml:space="preserve"> Food security, including from aquatic foods, is a priority area in Norwegian development policy, following the Government’s strategy against hunger from 2022. Food security is also a priority in the revised humanitarian strategy launched in 2024. Development assistance to agriculture, fisheries, and food security amounted to NOK 2.1 billion in 2025, with the largest proportion channelled via UN and multilateral institutions (FAO, IFAD, WFP, CGIAR, World Bank).</w:t>
      </w:r>
    </w:p>
    <w:p w14:paraId="0D100A05" w14:textId="77777777" w:rsidR="008A5841" w:rsidRPr="006A6D19" w:rsidRDefault="008A5841" w:rsidP="006B301F">
      <w:pPr>
        <w:pStyle w:val="avsnitt-undertittel"/>
        <w:rPr>
          <w:lang w:val="en-GB"/>
        </w:rPr>
      </w:pPr>
      <w:r w:rsidRPr="006A6D19">
        <w:rPr>
          <w:lang w:val="en-GB"/>
        </w:rPr>
        <w:t>Main Policy Initiatives 2021–2026</w:t>
      </w:r>
    </w:p>
    <w:p w14:paraId="3B5D154B" w14:textId="77777777" w:rsidR="008A5841" w:rsidRPr="006A6D19" w:rsidRDefault="008A5841" w:rsidP="00B765C1">
      <w:pPr>
        <w:pStyle w:val="Listebombe"/>
        <w:rPr>
          <w:lang w:val="en-GB"/>
        </w:rPr>
      </w:pPr>
      <w:r w:rsidRPr="006A6D19">
        <w:rPr>
          <w:lang w:val="en-GB"/>
        </w:rPr>
        <w:t>Revised Soil Protection Strategy (2023).</w:t>
      </w:r>
    </w:p>
    <w:p w14:paraId="7D06AFEA" w14:textId="77777777" w:rsidR="008A5841" w:rsidRPr="006A6D19" w:rsidRDefault="008A5841" w:rsidP="00B765C1">
      <w:pPr>
        <w:pStyle w:val="Listebombe"/>
        <w:rPr>
          <w:lang w:val="en-GB"/>
        </w:rPr>
      </w:pPr>
      <w:r w:rsidRPr="006A6D19">
        <w:rPr>
          <w:lang w:val="en-GB"/>
        </w:rPr>
        <w:t>White Paper, Meld. St. 11 (2023–2024) Strategy for Increased Self-Sufficiency in Agricultural Goods.</w:t>
      </w:r>
    </w:p>
    <w:p w14:paraId="0497A3C4" w14:textId="77777777" w:rsidR="008A5841" w:rsidRPr="006A6D19" w:rsidRDefault="008A5841" w:rsidP="00B765C1">
      <w:pPr>
        <w:pStyle w:val="Listebombe"/>
        <w:rPr>
          <w:lang w:val="en-GB"/>
        </w:rPr>
      </w:pPr>
      <w:r w:rsidRPr="006A6D19">
        <w:rPr>
          <w:lang w:val="en-GB"/>
        </w:rPr>
        <w:t>Norway’s Path Towards a Sustainable Food System (2024).</w:t>
      </w:r>
    </w:p>
    <w:p w14:paraId="48723E24" w14:textId="77777777" w:rsidR="008A5841" w:rsidRPr="006A6D19" w:rsidRDefault="008A5841" w:rsidP="00B765C1">
      <w:pPr>
        <w:pStyle w:val="Listebombe"/>
        <w:rPr>
          <w:lang w:val="en-GB"/>
        </w:rPr>
      </w:pPr>
      <w:r w:rsidRPr="006A6D19">
        <w:rPr>
          <w:lang w:val="en-GB"/>
        </w:rPr>
        <w:t>National Strategy for Organic Agriculture 2025–2032.</w:t>
      </w:r>
    </w:p>
    <w:p w14:paraId="61C6BDCC" w14:textId="77777777" w:rsidR="008A5841" w:rsidRPr="006A6D19" w:rsidRDefault="008A5841" w:rsidP="00B765C1">
      <w:pPr>
        <w:pStyle w:val="Listebombe"/>
        <w:rPr>
          <w:lang w:val="en-GB"/>
        </w:rPr>
      </w:pPr>
      <w:r w:rsidRPr="006A6D19">
        <w:rPr>
          <w:lang w:val="en-GB"/>
        </w:rPr>
        <w:t>Roadmap for the Agriculture</w:t>
      </w:r>
      <w:r w:rsidRPr="006A6D19">
        <w:rPr>
          <w:lang w:val="en-GB"/>
        </w:rPr>
        <w:noBreakHyphen/>
        <w:t>Based Food Industry (2025).</w:t>
      </w:r>
    </w:p>
    <w:p w14:paraId="206C2955" w14:textId="77777777" w:rsidR="008A5841" w:rsidRPr="006A6D19" w:rsidRDefault="008A5841" w:rsidP="00B765C1">
      <w:pPr>
        <w:pStyle w:val="Listebombe"/>
        <w:rPr>
          <w:lang w:val="en-GB"/>
        </w:rPr>
      </w:pPr>
      <w:r w:rsidRPr="006A6D19">
        <w:rPr>
          <w:lang w:val="en-GB"/>
        </w:rPr>
        <w:t>White Paper, Meld. St. 24 (2024–2025) on the Future of the Aquaculture Industry.</w:t>
      </w:r>
    </w:p>
    <w:p w14:paraId="707A5CC5" w14:textId="77777777" w:rsidR="008A5841" w:rsidRPr="006A6D19" w:rsidRDefault="008A5841" w:rsidP="00B765C1">
      <w:pPr>
        <w:pStyle w:val="Listebombe"/>
        <w:rPr>
          <w:lang w:val="en-GB"/>
        </w:rPr>
      </w:pPr>
      <w:r w:rsidRPr="006A6D19">
        <w:rPr>
          <w:lang w:val="en-GB"/>
        </w:rPr>
        <w:t>White Paper, Meld. St. 15 (2022–2023) on Public Health – National Strategy to Reduce Social Health Inequalities.</w:t>
      </w:r>
    </w:p>
    <w:p w14:paraId="2145E8EE" w14:textId="77777777" w:rsidR="008A5841" w:rsidRPr="006A6D19" w:rsidRDefault="008A5841" w:rsidP="00B765C1">
      <w:pPr>
        <w:pStyle w:val="Listebombe"/>
        <w:rPr>
          <w:lang w:val="en-GB"/>
        </w:rPr>
      </w:pPr>
      <w:r w:rsidRPr="006A6D19">
        <w:rPr>
          <w:lang w:val="en-GB"/>
        </w:rPr>
        <w:t>White Paper, Meld. St. 8 (2024–2025) on Animal Welfare.</w:t>
      </w:r>
    </w:p>
    <w:p w14:paraId="1205B394" w14:textId="77777777" w:rsidR="008A5841" w:rsidRPr="006A6D19" w:rsidRDefault="008A5841" w:rsidP="00B765C1">
      <w:pPr>
        <w:rPr>
          <w:lang w:val="en-GB"/>
        </w:rPr>
      </w:pPr>
    </w:p>
    <w:p w14:paraId="7FC6E252" w14:textId="446CF08B" w:rsidR="008A5841" w:rsidRPr="006A6D19" w:rsidRDefault="008A5841" w:rsidP="006B301F">
      <w:pPr>
        <w:pStyle w:val="Undertittel"/>
        <w:rPr>
          <w:lang w:val="en-GB"/>
        </w:rPr>
      </w:pPr>
      <w:r w:rsidRPr="006A6D19">
        <w:rPr>
          <w:lang w:val="en-GB"/>
        </w:rPr>
        <w:t>Assessment by Civil Society</w:t>
      </w:r>
    </w:p>
    <w:p w14:paraId="0BE54E6A" w14:textId="77777777" w:rsidR="008A5841" w:rsidRPr="006A6D19" w:rsidRDefault="008A5841" w:rsidP="00B765C1">
      <w:pPr>
        <w:rPr>
          <w:lang w:val="en-GB"/>
        </w:rPr>
      </w:pPr>
      <w:r w:rsidRPr="006A6D19">
        <w:rPr>
          <w:lang w:val="en-GB"/>
        </w:rPr>
        <w:t xml:space="preserve">The following organisations have participated in this assessment: </w:t>
      </w:r>
      <w:r w:rsidRPr="006A6D19">
        <w:rPr>
          <w:lang w:val="en-GB"/>
        </w:rPr>
        <w:t>Caritas Norway, FIAN Norway, The Future in our Hands (FIVH), The Association for International Water Studies (FIVAS), The Royal Norwegian Society for Development, Norwegian Society for the Conversation of Nature, The Development Fund,</w:t>
      </w:r>
      <w:r w:rsidRPr="006A6D19">
        <w:rPr>
          <w:rFonts w:ascii="Arial" w:hAnsi="Arial" w:cs="Arial"/>
          <w:lang w:val="en-GB"/>
        </w:rPr>
        <w:t> </w:t>
      </w:r>
      <w:r w:rsidRPr="006A6D19">
        <w:rPr>
          <w:lang w:val="en-GB"/>
        </w:rPr>
        <w:t xml:space="preserve">Norwegian forum for Environment and Development. </w:t>
      </w:r>
    </w:p>
    <w:p w14:paraId="76FDFE43" w14:textId="6CBE55DE" w:rsidR="008A5841" w:rsidRPr="006A6D19" w:rsidRDefault="008A5841" w:rsidP="00B765C1">
      <w:pPr>
        <w:rPr>
          <w:lang w:val="en-GB"/>
        </w:rPr>
      </w:pPr>
      <w:r>
        <w:rPr>
          <w:noProof/>
          <w:lang w:val="en-GB"/>
        </w:rPr>
        <w:drawing>
          <wp:inline distT="0" distB="0" distL="0" distR="0" wp14:anchorId="6A8E4C0A" wp14:editId="70080B80">
            <wp:extent cx="561975" cy="561975"/>
            <wp:effectExtent l="0" t="0" r="9525" b="9525"/>
            <wp:docPr id="2108015259" name="Bilde 84" descr="Arrow sidew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442347" name="Bilde 84" descr="Arrow sideways"/>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r>
        <w:rPr>
          <w:rStyle w:val="halvfet"/>
          <w:lang w:val="en-GB"/>
        </w:rPr>
        <w:t xml:space="preserve"> </w:t>
      </w:r>
      <w:r w:rsidRPr="006A6D19">
        <w:rPr>
          <w:rStyle w:val="halvfet"/>
          <w:lang w:val="en-GB"/>
        </w:rPr>
        <w:t>Trend</w:t>
      </w:r>
      <w:r w:rsidRPr="006A6D19">
        <w:rPr>
          <w:lang w:val="en-GB"/>
        </w:rPr>
        <w:t>: Stagnant</w:t>
      </w:r>
      <w:r w:rsidR="001609FA" w:rsidRPr="006A6D19">
        <w:rPr>
          <w:lang w:val="en-GB"/>
        </w:rPr>
        <w:t xml:space="preserve"> </w:t>
      </w:r>
    </w:p>
    <w:p w14:paraId="091054AB" w14:textId="77777777" w:rsidR="008A5841" w:rsidRPr="006A6D19" w:rsidRDefault="008A5841" w:rsidP="00B765C1">
      <w:pPr>
        <w:rPr>
          <w:lang w:val="en-GB"/>
        </w:rPr>
      </w:pPr>
      <w:r w:rsidRPr="006A6D19">
        <w:rPr>
          <w:rStyle w:val="halvfet"/>
          <w:lang w:val="en-GB"/>
        </w:rPr>
        <w:lastRenderedPageBreak/>
        <w:t xml:space="preserve">Norway has succeeded </w:t>
      </w:r>
      <w:r w:rsidRPr="006A6D19">
        <w:rPr>
          <w:lang w:val="en-GB"/>
        </w:rPr>
        <w:t>in achieving</w:t>
      </w:r>
      <w:r w:rsidRPr="006A6D19">
        <w:rPr>
          <w:rStyle w:val="halvfet"/>
          <w:lang w:val="en-GB"/>
        </w:rPr>
        <w:t xml:space="preserve"> </w:t>
      </w:r>
      <w:r w:rsidRPr="006A6D19">
        <w:rPr>
          <w:lang w:val="en-GB"/>
        </w:rPr>
        <w:t xml:space="preserve">national food security. Hunger is effectively eradicated, and Norway maintains very low levels of food insecurity alongside high nutrition standards. </w:t>
      </w:r>
      <w:proofErr w:type="gramStart"/>
      <w:r w:rsidRPr="006A6D19">
        <w:rPr>
          <w:lang w:val="en-GB"/>
        </w:rPr>
        <w:t>The majority of</w:t>
      </w:r>
      <w:proofErr w:type="gramEnd"/>
      <w:r w:rsidRPr="006A6D19">
        <w:rPr>
          <w:lang w:val="en-GB"/>
        </w:rPr>
        <w:t xml:space="preserve"> the population has access to safe and nutritious food through well-functioning markets, high food safety standards, and universal welfare systems. Norway has also succeeded in establishing strong institutions supporting sustainable food systems. The country benefits from solid regulatory frameworks, stable agricultural systems, and effective go</w:t>
      </w:r>
      <w:r w:rsidRPr="006A6D19">
        <w:rPr>
          <w:lang w:val="en-GB"/>
        </w:rPr>
        <w:t>vernance arrangements, which contribute to high-quality food production and sustainable management of key natural resources for food and agriculture. In 2024, Parliament commissioned a public inquiry to prepare a report expected in 2026 with recommendations for developing more sustainable food systems in Norway. Norway has been an active advocate for global food security and has developed a comprehensive food</w:t>
      </w:r>
      <w:r w:rsidRPr="006A6D19">
        <w:rPr>
          <w:lang w:val="en-GB"/>
        </w:rPr>
        <w:noBreakHyphen/>
        <w:t xml:space="preserve">security strategy within its development cooperation, including support to smallholder farmers. It </w:t>
      </w:r>
      <w:r w:rsidRPr="006A6D19">
        <w:rPr>
          <w:lang w:val="en-GB"/>
        </w:rPr>
        <w:t>promotes farmers’ rights to seeds worldwide to strengthen food security, build climate resilience, and conserve crop diversity, and it is home to the Svalbard Global Seed Vault. Norway maintains close collaboration between civil society and government in multilateral food</w:t>
      </w:r>
      <w:r w:rsidRPr="006A6D19">
        <w:rPr>
          <w:lang w:val="en-GB"/>
        </w:rPr>
        <w:noBreakHyphen/>
        <w:t>security processes.</w:t>
      </w:r>
    </w:p>
    <w:p w14:paraId="528CCF34" w14:textId="77777777" w:rsidR="008A5841" w:rsidRPr="006A6D19" w:rsidRDefault="008A5841" w:rsidP="00B765C1">
      <w:pPr>
        <w:rPr>
          <w:lang w:val="en-GB"/>
        </w:rPr>
      </w:pPr>
      <w:r w:rsidRPr="006A6D19">
        <w:rPr>
          <w:rStyle w:val="halvfet"/>
          <w:lang w:val="en-GB"/>
        </w:rPr>
        <w:t>Norway’s challenges</w:t>
      </w:r>
      <w:r w:rsidRPr="006A6D19">
        <w:rPr>
          <w:lang w:val="en-GB"/>
        </w:rPr>
        <w:t xml:space="preserve"> include persistent malnutrition among vulnerable groups. Elderly and disabled patients in institutions remain undernourished or at risk of malnutrition due to insufficient nutrition competence, inadequate meals, and weak follow-up routines. This undermines the right to adequate food and quality care and is also relevant to SDG 3.8. Dietary patterns are unsustainable. Norwegians consume high levels of meat and low levels of fruits and vegetables, and adherence to national dietary guidelines remains low. Ove</w:t>
      </w:r>
      <w:r w:rsidRPr="006A6D19">
        <w:rPr>
          <w:lang w:val="en-GB"/>
        </w:rPr>
        <w:t>rweight and obesity are rising (15–20 percent of children are overweight), and unhealthy diets increase the risk of non-communicable diseases and premature death. Food consumption patterns are also environmentally unsustainable. Food waste is high, and low self-sufficiency, particularly for vegetables and plant protein, creates vulnerability while shifting environmental pressures, including deforestation and emissions, abroad through global food supply chains. Agricultural policy continues to prioritise pro</w:t>
      </w:r>
      <w:r w:rsidRPr="006A6D19">
        <w:rPr>
          <w:lang w:val="en-GB"/>
        </w:rPr>
        <w:t>ductivity growth, weakening rural livelihoods and long-term resilience. Many farms close, and farmland remains fallow. Aquaculture, although economically important, continues to cause pollution and environmental pressures, including high mortality in farmed fish, as documented in the 2026 Risk Report on Norwegian Fish Farming. Market concentration in the grocery sector and contract-based production systems limit farmers’ autonomy, weakening food system diversity and resilience. Rising food prices, aggressiv</w:t>
      </w:r>
      <w:r w:rsidRPr="006A6D19">
        <w:rPr>
          <w:lang w:val="en-GB"/>
        </w:rPr>
        <w:t>e marketing of unhealthy food, and insufficient social support contribute to increasing reliance on voluntary food assistance and rising nutritional inequalities. Greenhouse gas emissions from agriculture remain high, and land-use change, pollution, and erosion continue to undermine biodiversity and ecosystem resilience, threatening sustainable food production. Internationally, reduced prioritisation of long-term food security and climate adaptation in development cooperation amid shifting geopolitical prio</w:t>
      </w:r>
      <w:r w:rsidRPr="006A6D19">
        <w:rPr>
          <w:lang w:val="en-GB"/>
        </w:rPr>
        <w:t>rities risks weakening Norway’s contribution to global progress on SDG 2.</w:t>
      </w:r>
    </w:p>
    <w:p w14:paraId="7EF5E8BC" w14:textId="77777777" w:rsidR="008A5841" w:rsidRPr="006A6D19" w:rsidRDefault="008A5841" w:rsidP="006B301F">
      <w:pPr>
        <w:pStyle w:val="avsnitt-undertittel"/>
        <w:rPr>
          <w:lang w:val="en-GB"/>
        </w:rPr>
      </w:pPr>
      <w:r w:rsidRPr="006A6D19">
        <w:rPr>
          <w:lang w:val="en-GB"/>
        </w:rPr>
        <w:t>Norway must:</w:t>
      </w:r>
    </w:p>
    <w:p w14:paraId="3AEE7540" w14:textId="77777777" w:rsidR="008A5841" w:rsidRPr="006A6D19" w:rsidRDefault="008A5841" w:rsidP="00B765C1">
      <w:pPr>
        <w:pStyle w:val="Listebombe"/>
        <w:rPr>
          <w:lang w:val="en-GB"/>
        </w:rPr>
      </w:pPr>
      <w:r w:rsidRPr="006A6D19">
        <w:rPr>
          <w:lang w:val="en-GB"/>
        </w:rPr>
        <w:t>Strengthen nutrition competence and staffing capacity in institutions and home-based care to prevent malnutrition among vulnerable groups.</w:t>
      </w:r>
    </w:p>
    <w:p w14:paraId="6914E2F4" w14:textId="77777777" w:rsidR="008A5841" w:rsidRPr="006A6D19" w:rsidRDefault="008A5841" w:rsidP="00B765C1">
      <w:pPr>
        <w:pStyle w:val="Listebombe"/>
        <w:rPr>
          <w:lang w:val="en-GB"/>
        </w:rPr>
      </w:pPr>
      <w:r w:rsidRPr="006A6D19">
        <w:rPr>
          <w:lang w:val="en-GB"/>
        </w:rPr>
        <w:t>Promote healthier and more sustainable diets and substantially reduce food waste.</w:t>
      </w:r>
    </w:p>
    <w:p w14:paraId="61538826" w14:textId="77777777" w:rsidR="008A5841" w:rsidRPr="006A6D19" w:rsidRDefault="008A5841" w:rsidP="00B765C1">
      <w:pPr>
        <w:pStyle w:val="Listebombe"/>
        <w:rPr>
          <w:lang w:val="en-GB"/>
        </w:rPr>
      </w:pPr>
      <w:r w:rsidRPr="006A6D19">
        <w:rPr>
          <w:lang w:val="en-GB"/>
        </w:rPr>
        <w:lastRenderedPageBreak/>
        <w:t>Strengthen food literacy and practical cooking skills, particularly among children and young people, to promote healthy diets and reduce food waste.</w:t>
      </w:r>
    </w:p>
    <w:p w14:paraId="5C9B0E04" w14:textId="77777777" w:rsidR="008A5841" w:rsidRPr="006A6D19" w:rsidRDefault="008A5841" w:rsidP="00B765C1">
      <w:pPr>
        <w:pStyle w:val="Listebombe"/>
        <w:rPr>
          <w:lang w:val="en-GB"/>
        </w:rPr>
      </w:pPr>
      <w:r w:rsidRPr="006A6D19">
        <w:rPr>
          <w:lang w:val="en-GB"/>
        </w:rPr>
        <w:t>Increase domestic resilience by reducing dependency on imported livestock feed, while strengthening production of plant-based foods.</w:t>
      </w:r>
    </w:p>
    <w:p w14:paraId="4375A517" w14:textId="77777777" w:rsidR="008A5841" w:rsidRPr="006A6D19" w:rsidRDefault="008A5841" w:rsidP="00B765C1">
      <w:pPr>
        <w:pStyle w:val="Listebombe"/>
        <w:rPr>
          <w:lang w:val="en-GB"/>
        </w:rPr>
      </w:pPr>
      <w:r w:rsidRPr="006A6D19">
        <w:rPr>
          <w:lang w:val="en-GB"/>
        </w:rPr>
        <w:t>Significantly tighten regulation of aquaculture to reduce environmental damage and improve animal welfare.</w:t>
      </w:r>
    </w:p>
    <w:p w14:paraId="134B43F1" w14:textId="77777777" w:rsidR="008A5841" w:rsidRPr="006A6D19" w:rsidRDefault="008A5841" w:rsidP="00B765C1">
      <w:pPr>
        <w:pStyle w:val="Listebombe"/>
        <w:rPr>
          <w:lang w:val="en-GB"/>
        </w:rPr>
      </w:pPr>
      <w:r w:rsidRPr="006A6D19">
        <w:rPr>
          <w:lang w:val="en-GB"/>
        </w:rPr>
        <w:t>Reduce greenhouse gas emissions from agriculture and food systems and ensure alignment with climate and nature commitments.</w:t>
      </w:r>
    </w:p>
    <w:p w14:paraId="497A2D32" w14:textId="77777777" w:rsidR="008A5841" w:rsidRPr="006A6D19" w:rsidRDefault="008A5841" w:rsidP="00B765C1">
      <w:pPr>
        <w:pStyle w:val="Listebombe"/>
        <w:rPr>
          <w:lang w:val="en-GB"/>
        </w:rPr>
      </w:pPr>
      <w:r w:rsidRPr="006A6D19">
        <w:rPr>
          <w:lang w:val="en-GB"/>
        </w:rPr>
        <w:t>Strengthen conservation of agricultural biodiversity relevant to food systems, including seed security and genetic diversity.</w:t>
      </w:r>
    </w:p>
    <w:p w14:paraId="6F24BD4A" w14:textId="77777777" w:rsidR="008A5841" w:rsidRPr="006A6D19" w:rsidRDefault="008A5841" w:rsidP="00B765C1">
      <w:pPr>
        <w:pStyle w:val="Listebombe"/>
        <w:rPr>
          <w:lang w:val="en-GB"/>
        </w:rPr>
      </w:pPr>
      <w:r w:rsidRPr="006A6D19">
        <w:rPr>
          <w:lang w:val="en-GB"/>
        </w:rPr>
        <w:t>Increase and safeguard development assistance to food and nutrition security and agriculture, including support to smallholder farmers, particularly women and youth.</w:t>
      </w:r>
    </w:p>
    <w:p w14:paraId="6F7EAFD3" w14:textId="77777777" w:rsidR="008A5841" w:rsidRPr="006A6D19" w:rsidRDefault="008A5841" w:rsidP="00B765C1">
      <w:pPr>
        <w:rPr>
          <w:lang w:val="en-GB"/>
        </w:rPr>
      </w:pPr>
    </w:p>
    <w:p w14:paraId="6A2C19E0" w14:textId="77777777" w:rsidR="008A5841" w:rsidRPr="006A6D19" w:rsidRDefault="008A5841" w:rsidP="00B765C1">
      <w:pPr>
        <w:rPr>
          <w:lang w:val="en-GB"/>
        </w:rPr>
      </w:pPr>
    </w:p>
    <w:p w14:paraId="38E999B1" w14:textId="77777777" w:rsidR="008A5841" w:rsidRPr="006A6D19" w:rsidRDefault="008A5841" w:rsidP="001609FA">
      <w:pPr>
        <w:pStyle w:val="UnOverskrift3"/>
        <w:rPr>
          <w:lang w:val="en-GB"/>
        </w:rPr>
      </w:pPr>
      <w:r w:rsidRPr="006A6D19">
        <w:rPr>
          <w:lang w:val="en-GB"/>
        </w:rPr>
        <w:t>3 Good Health and Well-Being</w:t>
      </w:r>
    </w:p>
    <w:p w14:paraId="74B9E3AE" w14:textId="2BABC197" w:rsidR="008A5841" w:rsidRPr="006A6D19" w:rsidRDefault="00BB2AF4" w:rsidP="001609FA">
      <w:pPr>
        <w:rPr>
          <w:lang w:val="en-GB"/>
        </w:rPr>
      </w:pPr>
      <w:r w:rsidRPr="006A6D19">
        <w:rPr>
          <w:noProof/>
          <w:lang w:val="en-GB"/>
        </w:rPr>
        <w:drawing>
          <wp:inline distT="0" distB="0" distL="0" distR="0" wp14:anchorId="5B77A451" wp14:editId="52123D56">
            <wp:extent cx="2857500" cy="2857500"/>
            <wp:effectExtent l="0" t="0" r="0" b="0"/>
            <wp:docPr id="413816640" name="Bilde 45" descr="Goal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816640" name="Bilde 45" descr="Goal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1A6075E3" w14:textId="77777777" w:rsidR="008A5841" w:rsidRPr="006A6D19" w:rsidRDefault="008A5841" w:rsidP="006B301F">
      <w:pPr>
        <w:pStyle w:val="Undertittel"/>
        <w:rPr>
          <w:lang w:val="en-GB"/>
        </w:rPr>
      </w:pPr>
      <w:r w:rsidRPr="006A6D19">
        <w:rPr>
          <w:lang w:val="en-GB"/>
        </w:rPr>
        <w:t>Government Assessment</w:t>
      </w:r>
    </w:p>
    <w:tbl>
      <w:tblPr>
        <w:tblW w:w="5000" w:type="pct"/>
        <w:tblCellMar>
          <w:left w:w="0" w:type="dxa"/>
          <w:right w:w="0" w:type="dxa"/>
        </w:tblCellMar>
        <w:tblLook w:val="0000" w:firstRow="0" w:lastRow="0" w:firstColumn="0" w:lastColumn="0" w:noHBand="0" w:noVBand="0"/>
      </w:tblPr>
      <w:tblGrid>
        <w:gridCol w:w="1344"/>
        <w:gridCol w:w="7461"/>
        <w:gridCol w:w="1645"/>
      </w:tblGrid>
      <w:tr w:rsidR="00000000" w:rsidRPr="006A6D19" w14:paraId="5E3BCDD6" w14:textId="77777777" w:rsidTr="001609FA">
        <w:tblPrEx>
          <w:tblCellMar>
            <w:top w:w="0" w:type="dxa"/>
            <w:left w:w="0" w:type="dxa"/>
            <w:bottom w:w="0" w:type="dxa"/>
            <w:right w:w="0" w:type="dxa"/>
          </w:tblCellMar>
        </w:tblPrEx>
        <w:trPr>
          <w:trHeight w:val="60"/>
        </w:trPr>
        <w:tc>
          <w:tcPr>
            <w:tcW w:w="64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019739B2" w14:textId="77777777" w:rsidR="008A5841" w:rsidRPr="006A6D19" w:rsidRDefault="008A5841" w:rsidP="00B765C1">
            <w:pPr>
              <w:rPr>
                <w:lang w:val="en-GB"/>
              </w:rPr>
            </w:pPr>
            <w:r w:rsidRPr="006A6D19">
              <w:rPr>
                <w:rStyle w:val="halvfet"/>
                <w:lang w:val="en-GB"/>
              </w:rPr>
              <w:t xml:space="preserve">3.1 </w:t>
            </w:r>
          </w:p>
        </w:tc>
        <w:tc>
          <w:tcPr>
            <w:tcW w:w="357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18D05EE" w14:textId="77777777" w:rsidR="008A5841" w:rsidRPr="006A6D19" w:rsidRDefault="008A5841" w:rsidP="00B765C1">
            <w:pPr>
              <w:rPr>
                <w:lang w:val="en-GB"/>
              </w:rPr>
            </w:pPr>
            <w:r w:rsidRPr="006A6D19">
              <w:rPr>
                <w:lang w:val="en-GB"/>
              </w:rPr>
              <w:t>Norway has strong prenatal, maternity, and childbirth care, and very few women die in connection with pregnancy and childbirth.</w:t>
            </w:r>
          </w:p>
        </w:tc>
        <w:tc>
          <w:tcPr>
            <w:tcW w:w="783"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A295201" w14:textId="6C4D81BC" w:rsidR="008A5841" w:rsidRPr="006A6D19" w:rsidRDefault="00541482" w:rsidP="00B765C1">
            <w:pPr>
              <w:rPr>
                <w:lang w:val="en-GB"/>
              </w:rPr>
            </w:pPr>
            <w:r>
              <w:rPr>
                <w:noProof/>
              </w:rPr>
              <w:drawing>
                <wp:inline distT="0" distB="0" distL="0" distR="0" wp14:anchorId="7476EFF2" wp14:editId="11E0116D">
                  <wp:extent cx="990600" cy="447675"/>
                  <wp:effectExtent l="0" t="0" r="0" b="9525"/>
                  <wp:docPr id="257414488" name="Bilde 6" descr="Target met. Progres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2134" name="Bilde 6" descr="Target met. Progress positiv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5DD1F472" w14:textId="77777777" w:rsidTr="001609FA">
        <w:tblPrEx>
          <w:tblCellMar>
            <w:top w:w="0" w:type="dxa"/>
            <w:left w:w="0" w:type="dxa"/>
            <w:bottom w:w="0" w:type="dxa"/>
            <w:right w:w="0" w:type="dxa"/>
          </w:tblCellMar>
        </w:tblPrEx>
        <w:trPr>
          <w:trHeight w:val="60"/>
        </w:trPr>
        <w:tc>
          <w:tcPr>
            <w:tcW w:w="64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7546841" w14:textId="77777777" w:rsidR="008A5841" w:rsidRPr="006A6D19" w:rsidRDefault="008A5841" w:rsidP="00B765C1">
            <w:pPr>
              <w:rPr>
                <w:lang w:val="en-GB"/>
              </w:rPr>
            </w:pPr>
            <w:r w:rsidRPr="006A6D19">
              <w:rPr>
                <w:rStyle w:val="halvfet"/>
                <w:lang w:val="en-GB"/>
              </w:rPr>
              <w:t xml:space="preserve">3.2 </w:t>
            </w:r>
          </w:p>
        </w:tc>
        <w:tc>
          <w:tcPr>
            <w:tcW w:w="357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C305377" w14:textId="77777777" w:rsidR="008A5841" w:rsidRPr="006A6D19" w:rsidRDefault="008A5841" w:rsidP="00B765C1">
            <w:pPr>
              <w:rPr>
                <w:lang w:val="en-GB"/>
              </w:rPr>
            </w:pPr>
            <w:r w:rsidRPr="006A6D19">
              <w:rPr>
                <w:lang w:val="en-GB"/>
              </w:rPr>
              <w:t>Norway is among the countries in the world with the lowest neonatal mortality rates.</w:t>
            </w:r>
          </w:p>
        </w:tc>
        <w:tc>
          <w:tcPr>
            <w:tcW w:w="783"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4FECB82" w14:textId="29405392" w:rsidR="008A5841" w:rsidRPr="006A6D19" w:rsidRDefault="00541482" w:rsidP="00B765C1">
            <w:pPr>
              <w:rPr>
                <w:lang w:val="en-GB"/>
              </w:rPr>
            </w:pPr>
            <w:r>
              <w:rPr>
                <w:noProof/>
              </w:rPr>
              <w:drawing>
                <wp:inline distT="0" distB="0" distL="0" distR="0" wp14:anchorId="23D2BED0" wp14:editId="66EF02EF">
                  <wp:extent cx="990600" cy="447675"/>
                  <wp:effectExtent l="0" t="0" r="0" b="9525"/>
                  <wp:docPr id="1290439020" name="Bilde 6" descr="Target met. Progres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2134" name="Bilde 6" descr="Target met. Progress positiv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746681DC" w14:textId="77777777" w:rsidTr="001609FA">
        <w:tblPrEx>
          <w:tblCellMar>
            <w:top w:w="0" w:type="dxa"/>
            <w:left w:w="0" w:type="dxa"/>
            <w:bottom w:w="0" w:type="dxa"/>
            <w:right w:w="0" w:type="dxa"/>
          </w:tblCellMar>
        </w:tblPrEx>
        <w:trPr>
          <w:trHeight w:val="60"/>
        </w:trPr>
        <w:tc>
          <w:tcPr>
            <w:tcW w:w="64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A9B986C" w14:textId="77777777" w:rsidR="008A5841" w:rsidRPr="006A6D19" w:rsidRDefault="008A5841" w:rsidP="00B765C1">
            <w:pPr>
              <w:rPr>
                <w:lang w:val="en-GB"/>
              </w:rPr>
            </w:pPr>
            <w:r w:rsidRPr="006A6D19">
              <w:rPr>
                <w:rStyle w:val="halvfet"/>
                <w:lang w:val="en-GB"/>
              </w:rPr>
              <w:lastRenderedPageBreak/>
              <w:t xml:space="preserve">3.3 </w:t>
            </w:r>
          </w:p>
        </w:tc>
        <w:tc>
          <w:tcPr>
            <w:tcW w:w="357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E334D5D" w14:textId="77777777" w:rsidR="008A5841" w:rsidRPr="006A6D19" w:rsidRDefault="008A5841" w:rsidP="00B765C1">
            <w:pPr>
              <w:rPr>
                <w:lang w:val="en-GB"/>
              </w:rPr>
            </w:pPr>
            <w:r w:rsidRPr="006A6D19">
              <w:rPr>
                <w:lang w:val="en-GB"/>
              </w:rPr>
              <w:t>Deaths from infectious diseases are low, but there is potential to prevent more severe health outcomes within certain vulnerable groups.</w:t>
            </w:r>
          </w:p>
        </w:tc>
        <w:tc>
          <w:tcPr>
            <w:tcW w:w="783"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12BB25E" w14:textId="68E9CC4B" w:rsidR="008A5841" w:rsidRPr="006A6D19" w:rsidRDefault="007B3BCE" w:rsidP="00B765C1">
            <w:pPr>
              <w:rPr>
                <w:lang w:val="en-GB"/>
              </w:rPr>
            </w:pPr>
            <w:r>
              <w:rPr>
                <w:noProof/>
              </w:rPr>
              <w:drawing>
                <wp:inline distT="0" distB="0" distL="0" distR="0" wp14:anchorId="6C4F4F55" wp14:editId="39A353E9">
                  <wp:extent cx="990600" cy="447675"/>
                  <wp:effectExtent l="0" t="0" r="0" b="9525"/>
                  <wp:docPr id="1306972870" name="Bilde 3" descr="Close to target. Progress i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804348" name="Bilde 3" descr="Close to target. Progress is positiv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0FDDEC6F" w14:textId="77777777" w:rsidTr="001609FA">
        <w:tblPrEx>
          <w:tblCellMar>
            <w:top w:w="0" w:type="dxa"/>
            <w:left w:w="0" w:type="dxa"/>
            <w:bottom w:w="0" w:type="dxa"/>
            <w:right w:w="0" w:type="dxa"/>
          </w:tblCellMar>
        </w:tblPrEx>
        <w:trPr>
          <w:trHeight w:val="60"/>
        </w:trPr>
        <w:tc>
          <w:tcPr>
            <w:tcW w:w="64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B90BA3A" w14:textId="77777777" w:rsidR="008A5841" w:rsidRPr="006A6D19" w:rsidRDefault="008A5841" w:rsidP="00B765C1">
            <w:pPr>
              <w:rPr>
                <w:lang w:val="en-GB"/>
              </w:rPr>
            </w:pPr>
            <w:r w:rsidRPr="006A6D19">
              <w:rPr>
                <w:rStyle w:val="halvfet"/>
                <w:lang w:val="en-GB"/>
              </w:rPr>
              <w:t xml:space="preserve">3.4 </w:t>
            </w:r>
          </w:p>
        </w:tc>
        <w:tc>
          <w:tcPr>
            <w:tcW w:w="357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A450CBA" w14:textId="77777777" w:rsidR="008A5841" w:rsidRPr="006A6D19" w:rsidRDefault="008A5841" w:rsidP="00B765C1">
            <w:pPr>
              <w:rPr>
                <w:lang w:val="en-GB"/>
              </w:rPr>
            </w:pPr>
            <w:r w:rsidRPr="006A6D19">
              <w:rPr>
                <w:lang w:val="en-GB"/>
              </w:rPr>
              <w:t>Non-communicable diseases account for the largest share of Norway’s disease burden, but mortality has declined by 20% since 2015. There is room for improvement regarding diabetes for both genders and for chronic obstructive pulmonary disease for women. The suicide rate has increased, especially among men.</w:t>
            </w:r>
          </w:p>
        </w:tc>
        <w:tc>
          <w:tcPr>
            <w:tcW w:w="783"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66060440" w14:textId="70849843" w:rsidR="008A5841" w:rsidRPr="006A6D19" w:rsidRDefault="007B3BCE" w:rsidP="00B765C1">
            <w:pPr>
              <w:rPr>
                <w:lang w:val="en-GB"/>
              </w:rPr>
            </w:pPr>
            <w:r>
              <w:rPr>
                <w:noProof/>
              </w:rPr>
              <w:drawing>
                <wp:inline distT="0" distB="0" distL="0" distR="0" wp14:anchorId="29D22E2A" wp14:editId="7F41C36A">
                  <wp:extent cx="990600" cy="447675"/>
                  <wp:effectExtent l="0" t="0" r="0" b="9525"/>
                  <wp:docPr id="39462918" name="Bilde 3" descr="Close to target. Progress i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804348" name="Bilde 3" descr="Close to target. Progress is positiv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3B9B09A3" w14:textId="77777777" w:rsidTr="001609FA">
        <w:tblPrEx>
          <w:tblCellMar>
            <w:top w:w="0" w:type="dxa"/>
            <w:left w:w="0" w:type="dxa"/>
            <w:bottom w:w="0" w:type="dxa"/>
            <w:right w:w="0" w:type="dxa"/>
          </w:tblCellMar>
        </w:tblPrEx>
        <w:trPr>
          <w:trHeight w:val="60"/>
        </w:trPr>
        <w:tc>
          <w:tcPr>
            <w:tcW w:w="64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FC4285A" w14:textId="77777777" w:rsidR="008A5841" w:rsidRPr="006A6D19" w:rsidRDefault="008A5841" w:rsidP="00B765C1">
            <w:pPr>
              <w:rPr>
                <w:lang w:val="en-GB"/>
              </w:rPr>
            </w:pPr>
            <w:r w:rsidRPr="006A6D19">
              <w:rPr>
                <w:rStyle w:val="halvfet"/>
                <w:lang w:val="en-GB"/>
              </w:rPr>
              <w:t xml:space="preserve">3.5 </w:t>
            </w:r>
          </w:p>
        </w:tc>
        <w:tc>
          <w:tcPr>
            <w:tcW w:w="357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34CF038" w14:textId="77777777" w:rsidR="008A5841" w:rsidRPr="006A6D19" w:rsidRDefault="008A5841" w:rsidP="00B765C1">
            <w:pPr>
              <w:rPr>
                <w:lang w:val="en-GB"/>
              </w:rPr>
            </w:pPr>
            <w:r w:rsidRPr="006A6D19">
              <w:rPr>
                <w:lang w:val="en-GB"/>
              </w:rPr>
              <w:t xml:space="preserve">Alcohol remains the most used substance while cannabis is the most used illegal substance. Lately, there has been an increase in the use of cocaine. The number of overdose deaths remains high, and fatalities related to prescribed medications have increased. </w:t>
            </w:r>
          </w:p>
        </w:tc>
        <w:tc>
          <w:tcPr>
            <w:tcW w:w="783"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9A860EC" w14:textId="09CBEB96" w:rsidR="008A5841" w:rsidRPr="006A6D19" w:rsidRDefault="007B3BCE" w:rsidP="00B765C1">
            <w:pPr>
              <w:rPr>
                <w:lang w:val="en-GB"/>
              </w:rPr>
            </w:pPr>
            <w:r>
              <w:rPr>
                <w:noProof/>
              </w:rPr>
              <w:drawing>
                <wp:inline distT="0" distB="0" distL="0" distR="0" wp14:anchorId="6F199B20" wp14:editId="44611F53">
                  <wp:extent cx="990600" cy="447675"/>
                  <wp:effectExtent l="0" t="0" r="0" b="9525"/>
                  <wp:docPr id="981015406" name="Bilde 3" descr="Close to target. Progress i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804348" name="Bilde 3" descr="Close to target. Progress is positiv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63723839" w14:textId="77777777" w:rsidTr="001609FA">
        <w:tblPrEx>
          <w:tblCellMar>
            <w:top w:w="0" w:type="dxa"/>
            <w:left w:w="0" w:type="dxa"/>
            <w:bottom w:w="0" w:type="dxa"/>
            <w:right w:w="0" w:type="dxa"/>
          </w:tblCellMar>
        </w:tblPrEx>
        <w:trPr>
          <w:trHeight w:val="60"/>
        </w:trPr>
        <w:tc>
          <w:tcPr>
            <w:tcW w:w="64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5CD8C21" w14:textId="77777777" w:rsidR="008A5841" w:rsidRPr="006A6D19" w:rsidRDefault="008A5841" w:rsidP="00B765C1">
            <w:pPr>
              <w:rPr>
                <w:lang w:val="en-GB"/>
              </w:rPr>
            </w:pPr>
            <w:r w:rsidRPr="006A6D19">
              <w:rPr>
                <w:rStyle w:val="halvfet"/>
                <w:lang w:val="en-GB"/>
              </w:rPr>
              <w:t xml:space="preserve">3.6 </w:t>
            </w:r>
          </w:p>
        </w:tc>
        <w:tc>
          <w:tcPr>
            <w:tcW w:w="357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7985A6A0" w14:textId="77777777" w:rsidR="008A5841" w:rsidRPr="006A6D19" w:rsidRDefault="008A5841" w:rsidP="00B765C1">
            <w:pPr>
              <w:rPr>
                <w:lang w:val="en-GB"/>
              </w:rPr>
            </w:pPr>
            <w:r w:rsidRPr="006A6D19">
              <w:rPr>
                <w:lang w:val="en-GB"/>
              </w:rPr>
              <w:t>Deaths and injuries in traffic accidents have risen again after a decline during the pandemic but remain among the lowest in Europe. Approximately 600 people die or are seriously injured in traffic accidents each year.</w:t>
            </w:r>
          </w:p>
        </w:tc>
        <w:tc>
          <w:tcPr>
            <w:tcW w:w="783"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75643C2" w14:textId="020A3FCC" w:rsidR="008A5841" w:rsidRPr="006A6D19" w:rsidRDefault="007B3BCE" w:rsidP="00B765C1">
            <w:pPr>
              <w:rPr>
                <w:lang w:val="en-GB"/>
              </w:rPr>
            </w:pPr>
            <w:r>
              <w:rPr>
                <w:noProof/>
              </w:rPr>
              <w:drawing>
                <wp:inline distT="0" distB="0" distL="0" distR="0" wp14:anchorId="5E3E2284" wp14:editId="10BEFEA5">
                  <wp:extent cx="990600" cy="447675"/>
                  <wp:effectExtent l="0" t="0" r="0" b="9525"/>
                  <wp:docPr id="1796994044" name="Bilde 1" descr="Close to targ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34566" name="Bilde 1" descr="Close to target. Progress stagn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1F565838" w14:textId="77777777" w:rsidTr="001609FA">
        <w:tblPrEx>
          <w:tblCellMar>
            <w:top w:w="0" w:type="dxa"/>
            <w:left w:w="0" w:type="dxa"/>
            <w:bottom w:w="0" w:type="dxa"/>
            <w:right w:w="0" w:type="dxa"/>
          </w:tblCellMar>
        </w:tblPrEx>
        <w:trPr>
          <w:trHeight w:val="60"/>
        </w:trPr>
        <w:tc>
          <w:tcPr>
            <w:tcW w:w="64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FE3DF3D" w14:textId="77777777" w:rsidR="008A5841" w:rsidRPr="006A6D19" w:rsidRDefault="008A5841" w:rsidP="00B765C1">
            <w:pPr>
              <w:rPr>
                <w:lang w:val="en-GB"/>
              </w:rPr>
            </w:pPr>
            <w:r w:rsidRPr="006A6D19">
              <w:rPr>
                <w:rStyle w:val="halvfet"/>
                <w:lang w:val="en-GB"/>
              </w:rPr>
              <w:t xml:space="preserve">3.7 </w:t>
            </w:r>
          </w:p>
        </w:tc>
        <w:tc>
          <w:tcPr>
            <w:tcW w:w="357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3F7FCA7" w14:textId="77777777" w:rsidR="008A5841" w:rsidRPr="006A6D19" w:rsidRDefault="008A5841" w:rsidP="00B765C1">
            <w:pPr>
              <w:rPr>
                <w:lang w:val="en-GB"/>
              </w:rPr>
            </w:pPr>
            <w:r w:rsidRPr="006A6D19">
              <w:rPr>
                <w:lang w:val="en-GB"/>
              </w:rPr>
              <w:t>Access to sexual and reproductive health services is universal. The share of pregnancy terminations has increased in recent years.</w:t>
            </w:r>
          </w:p>
        </w:tc>
        <w:tc>
          <w:tcPr>
            <w:tcW w:w="783"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6BA4762C" w14:textId="7820DFC0" w:rsidR="008A5841" w:rsidRPr="006A6D19" w:rsidRDefault="00541482" w:rsidP="00B765C1">
            <w:pPr>
              <w:rPr>
                <w:lang w:val="en-GB"/>
              </w:rPr>
            </w:pPr>
            <w:r>
              <w:rPr>
                <w:noProof/>
              </w:rPr>
              <w:drawing>
                <wp:inline distT="0" distB="0" distL="0" distR="0" wp14:anchorId="2034AEF4" wp14:editId="20289731">
                  <wp:extent cx="990600" cy="447675"/>
                  <wp:effectExtent l="0" t="0" r="0" b="9525"/>
                  <wp:docPr id="1902678154" name="Bilde 5" descr="Target met. Progress neg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678154" name="Bilde 5" descr="Target met. Progress negativ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0573E87E" w14:textId="77777777" w:rsidTr="001609FA">
        <w:tblPrEx>
          <w:tblCellMar>
            <w:top w:w="0" w:type="dxa"/>
            <w:left w:w="0" w:type="dxa"/>
            <w:bottom w:w="0" w:type="dxa"/>
            <w:right w:w="0" w:type="dxa"/>
          </w:tblCellMar>
        </w:tblPrEx>
        <w:trPr>
          <w:trHeight w:val="60"/>
        </w:trPr>
        <w:tc>
          <w:tcPr>
            <w:tcW w:w="64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E8314EA" w14:textId="77777777" w:rsidR="008A5841" w:rsidRPr="006A6D19" w:rsidRDefault="008A5841" w:rsidP="00B765C1">
            <w:pPr>
              <w:rPr>
                <w:lang w:val="en-GB"/>
              </w:rPr>
            </w:pPr>
            <w:r w:rsidRPr="006A6D19">
              <w:rPr>
                <w:rStyle w:val="halvfet"/>
                <w:lang w:val="en-GB"/>
              </w:rPr>
              <w:t xml:space="preserve">3.8 </w:t>
            </w:r>
          </w:p>
        </w:tc>
        <w:tc>
          <w:tcPr>
            <w:tcW w:w="357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5C6342B" w14:textId="77777777" w:rsidR="008A5841" w:rsidRPr="006A6D19" w:rsidRDefault="008A5841" w:rsidP="00B765C1">
            <w:pPr>
              <w:rPr>
                <w:lang w:val="en-GB"/>
              </w:rPr>
            </w:pPr>
            <w:r w:rsidRPr="006A6D19">
              <w:rPr>
                <w:lang w:val="en-GB"/>
              </w:rPr>
              <w:t>The level of universal health coverage is high, with some cost-sharing requirements. However, about 5 % of residents over the age of 16 have an unmet need for dental services due to high costs.</w:t>
            </w:r>
          </w:p>
        </w:tc>
        <w:tc>
          <w:tcPr>
            <w:tcW w:w="783"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6FCC2352" w14:textId="4D476276" w:rsidR="008A5841" w:rsidRPr="006A6D19" w:rsidRDefault="008D2934" w:rsidP="00B765C1">
            <w:pPr>
              <w:rPr>
                <w:lang w:val="en-GB"/>
              </w:rPr>
            </w:pPr>
            <w:r>
              <w:rPr>
                <w:noProof/>
              </w:rPr>
              <w:drawing>
                <wp:inline distT="0" distB="0" distL="0" distR="0" wp14:anchorId="46992BEC" wp14:editId="7D36DB84">
                  <wp:extent cx="990600" cy="447675"/>
                  <wp:effectExtent l="0" t="0" r="0" b="9525"/>
                  <wp:docPr id="1840251433" name="Bilde 8" descr="Target not met. Progress neg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251433" name="Bilde 8" descr="Target not met. Progress negativ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37BC3667" w14:textId="77777777" w:rsidTr="001609FA">
        <w:tblPrEx>
          <w:tblCellMar>
            <w:top w:w="0" w:type="dxa"/>
            <w:left w:w="0" w:type="dxa"/>
            <w:bottom w:w="0" w:type="dxa"/>
            <w:right w:w="0" w:type="dxa"/>
          </w:tblCellMar>
        </w:tblPrEx>
        <w:trPr>
          <w:trHeight w:val="60"/>
        </w:trPr>
        <w:tc>
          <w:tcPr>
            <w:tcW w:w="64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AAAEC3C" w14:textId="77777777" w:rsidR="008A5841" w:rsidRPr="006A6D19" w:rsidRDefault="008A5841" w:rsidP="00B765C1">
            <w:pPr>
              <w:rPr>
                <w:lang w:val="en-GB"/>
              </w:rPr>
            </w:pPr>
            <w:r w:rsidRPr="006A6D19">
              <w:rPr>
                <w:rStyle w:val="halvfet"/>
                <w:lang w:val="en-GB"/>
              </w:rPr>
              <w:t xml:space="preserve">3.9 </w:t>
            </w:r>
          </w:p>
        </w:tc>
        <w:tc>
          <w:tcPr>
            <w:tcW w:w="357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A35980F" w14:textId="77777777" w:rsidR="008A5841" w:rsidRPr="006A6D19" w:rsidRDefault="008A5841" w:rsidP="00B765C1">
            <w:pPr>
              <w:rPr>
                <w:lang w:val="en-GB"/>
              </w:rPr>
            </w:pPr>
            <w:r w:rsidRPr="006A6D19">
              <w:rPr>
                <w:lang w:val="en-GB"/>
              </w:rPr>
              <w:t>Although air pollution poses a significant threat to health in Norway, it is not a major cause of mortality or morbidity.</w:t>
            </w:r>
          </w:p>
        </w:tc>
        <w:tc>
          <w:tcPr>
            <w:tcW w:w="783"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5173E42" w14:textId="29FC8BE6" w:rsidR="008A5841" w:rsidRPr="006A6D19" w:rsidRDefault="008D2934" w:rsidP="00B765C1">
            <w:pPr>
              <w:rPr>
                <w:lang w:val="en-GB"/>
              </w:rPr>
            </w:pPr>
            <w:r>
              <w:rPr>
                <w:noProof/>
              </w:rPr>
              <w:drawing>
                <wp:inline distT="0" distB="0" distL="0" distR="0" wp14:anchorId="588FBD5C" wp14:editId="1D606537">
                  <wp:extent cx="990600" cy="447675"/>
                  <wp:effectExtent l="0" t="0" r="0" b="9525"/>
                  <wp:docPr id="1681858309" name="Bilde 3" descr="Close to target. Progress i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804348" name="Bilde 3" descr="Close to target. Progress is positiv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387A2C47" w14:textId="77777777" w:rsidTr="001609FA">
        <w:tblPrEx>
          <w:tblCellMar>
            <w:top w:w="0" w:type="dxa"/>
            <w:left w:w="0" w:type="dxa"/>
            <w:bottom w:w="0" w:type="dxa"/>
            <w:right w:w="0" w:type="dxa"/>
          </w:tblCellMar>
        </w:tblPrEx>
        <w:trPr>
          <w:trHeight w:val="60"/>
        </w:trPr>
        <w:tc>
          <w:tcPr>
            <w:tcW w:w="64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A7FF1BF" w14:textId="77777777" w:rsidR="008A5841" w:rsidRPr="006A6D19" w:rsidRDefault="008A5841" w:rsidP="00B765C1">
            <w:pPr>
              <w:rPr>
                <w:lang w:val="en-GB"/>
              </w:rPr>
            </w:pPr>
            <w:r w:rsidRPr="006A6D19">
              <w:rPr>
                <w:rStyle w:val="halvfet"/>
                <w:lang w:val="en-GB"/>
              </w:rPr>
              <w:t xml:space="preserve">3.A </w:t>
            </w:r>
          </w:p>
        </w:tc>
        <w:tc>
          <w:tcPr>
            <w:tcW w:w="357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96A0E8B" w14:textId="77777777" w:rsidR="008A5841" w:rsidRPr="006A6D19" w:rsidRDefault="008A5841" w:rsidP="00B765C1">
            <w:pPr>
              <w:rPr>
                <w:lang w:val="en-GB"/>
              </w:rPr>
            </w:pPr>
            <w:r w:rsidRPr="006A6D19">
              <w:rPr>
                <w:lang w:val="en-GB"/>
              </w:rPr>
              <w:t xml:space="preserve">Norway has strengthened the implementation of the Framework Convention on Tobacco Control, both nationally and by supporting the </w:t>
            </w:r>
            <w:r w:rsidRPr="006A6D19">
              <w:rPr>
                <w:rStyle w:val="kursiv"/>
                <w:lang w:val="en-GB"/>
              </w:rPr>
              <w:t>FCTC 2030</w:t>
            </w:r>
            <w:r w:rsidRPr="006A6D19">
              <w:rPr>
                <w:lang w:val="en-GB"/>
              </w:rPr>
              <w:t>-project.</w:t>
            </w:r>
          </w:p>
        </w:tc>
        <w:tc>
          <w:tcPr>
            <w:tcW w:w="783"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64BCC263" w14:textId="0CBE2930" w:rsidR="008A5841" w:rsidRPr="006A6D19" w:rsidRDefault="00541482" w:rsidP="00B765C1">
            <w:pPr>
              <w:rPr>
                <w:lang w:val="en-GB"/>
              </w:rPr>
            </w:pPr>
            <w:r>
              <w:rPr>
                <w:noProof/>
              </w:rPr>
              <w:drawing>
                <wp:inline distT="0" distB="0" distL="0" distR="0" wp14:anchorId="763EDFDD" wp14:editId="651F21C9">
                  <wp:extent cx="990600" cy="447675"/>
                  <wp:effectExtent l="0" t="0" r="0" b="9525"/>
                  <wp:docPr id="1557908652" name="Bilde 4" descr="Target m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11348" name="Bilde 4" descr="Target met. Progress stagn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6A5A90A0" w14:textId="77777777" w:rsidTr="001609FA">
        <w:tblPrEx>
          <w:tblCellMar>
            <w:top w:w="0" w:type="dxa"/>
            <w:left w:w="0" w:type="dxa"/>
            <w:bottom w:w="0" w:type="dxa"/>
            <w:right w:w="0" w:type="dxa"/>
          </w:tblCellMar>
        </w:tblPrEx>
        <w:trPr>
          <w:trHeight w:val="60"/>
        </w:trPr>
        <w:tc>
          <w:tcPr>
            <w:tcW w:w="645" w:type="pct"/>
            <w:tcBorders>
              <w:top w:val="single" w:sz="6" w:space="0" w:color="000000"/>
              <w:left w:val="single" w:sz="6" w:space="0" w:color="000000"/>
              <w:bottom w:val="single" w:sz="6" w:space="0" w:color="000000"/>
              <w:right w:val="single" w:sz="6" w:space="0" w:color="000000"/>
            </w:tcBorders>
            <w:tcMar>
              <w:top w:w="85" w:type="dxa"/>
              <w:left w:w="0" w:type="dxa"/>
              <w:bottom w:w="170" w:type="dxa"/>
              <w:right w:w="85" w:type="dxa"/>
            </w:tcMar>
          </w:tcPr>
          <w:p w14:paraId="4201713D" w14:textId="77777777" w:rsidR="008A5841" w:rsidRPr="006A6D19" w:rsidRDefault="008A5841" w:rsidP="00B765C1">
            <w:pPr>
              <w:rPr>
                <w:lang w:val="en-GB"/>
              </w:rPr>
            </w:pPr>
            <w:r w:rsidRPr="006A6D19">
              <w:rPr>
                <w:rStyle w:val="halvfet"/>
                <w:lang w:val="en-GB"/>
              </w:rPr>
              <w:t xml:space="preserve">3.B </w:t>
            </w:r>
          </w:p>
        </w:tc>
        <w:tc>
          <w:tcPr>
            <w:tcW w:w="3572" w:type="pct"/>
            <w:tcBorders>
              <w:top w:val="single" w:sz="6" w:space="0" w:color="000000"/>
              <w:left w:val="single" w:sz="6" w:space="0" w:color="000000"/>
              <w:bottom w:val="single" w:sz="6" w:space="0" w:color="000000"/>
              <w:right w:val="single" w:sz="6" w:space="0" w:color="000000"/>
            </w:tcBorders>
            <w:tcMar>
              <w:top w:w="85" w:type="dxa"/>
              <w:left w:w="0" w:type="dxa"/>
              <w:bottom w:w="170" w:type="dxa"/>
              <w:right w:w="85" w:type="dxa"/>
            </w:tcMar>
          </w:tcPr>
          <w:p w14:paraId="4C621C02" w14:textId="77777777" w:rsidR="008A5841" w:rsidRPr="006A6D19" w:rsidRDefault="008A5841" w:rsidP="00B765C1">
            <w:pPr>
              <w:rPr>
                <w:lang w:val="en-GB"/>
              </w:rPr>
            </w:pPr>
            <w:r w:rsidRPr="006A6D19">
              <w:rPr>
                <w:lang w:val="en-GB"/>
              </w:rPr>
              <w:t>Norway has a national vaccine programme with high coverage. In 2024, more than 95% of the population completed the course of DTP, MMR and Pneumococcal vaccine, while HPV coverage was 92.5% for girls and 90.0% for boys.</w:t>
            </w:r>
          </w:p>
          <w:p w14:paraId="6AD95350" w14:textId="77777777" w:rsidR="008A5841" w:rsidRPr="006A6D19" w:rsidRDefault="008A5841" w:rsidP="00B765C1">
            <w:pPr>
              <w:rPr>
                <w:lang w:val="en-GB"/>
              </w:rPr>
            </w:pPr>
            <w:r w:rsidRPr="006A6D19">
              <w:rPr>
                <w:lang w:val="en-GB"/>
              </w:rPr>
              <w:lastRenderedPageBreak/>
              <w:t>Norway also supports international collaboration on medical research and development of, and access to, vaccines and medicines through our support to WHO, the Coalition for Epidemic Preparedness Innovations and the Pandemic Fund.</w:t>
            </w:r>
          </w:p>
        </w:tc>
        <w:tc>
          <w:tcPr>
            <w:tcW w:w="783" w:type="pct"/>
            <w:tcBorders>
              <w:top w:val="single" w:sz="6" w:space="0" w:color="000000"/>
              <w:left w:val="single" w:sz="6" w:space="0" w:color="000000"/>
              <w:bottom w:val="single" w:sz="6" w:space="0" w:color="000000"/>
              <w:right w:val="single" w:sz="6" w:space="0" w:color="000000"/>
            </w:tcBorders>
            <w:tcMar>
              <w:top w:w="85" w:type="dxa"/>
              <w:left w:w="0" w:type="dxa"/>
              <w:bottom w:w="170" w:type="dxa"/>
              <w:right w:w="85" w:type="dxa"/>
            </w:tcMar>
          </w:tcPr>
          <w:p w14:paraId="2E5E150E" w14:textId="0791ABCA" w:rsidR="008A5841" w:rsidRPr="006A6D19" w:rsidRDefault="00541482" w:rsidP="00B765C1">
            <w:pPr>
              <w:rPr>
                <w:lang w:val="en-GB"/>
              </w:rPr>
            </w:pPr>
            <w:r>
              <w:rPr>
                <w:noProof/>
              </w:rPr>
              <w:lastRenderedPageBreak/>
              <w:drawing>
                <wp:inline distT="0" distB="0" distL="0" distR="0" wp14:anchorId="7A7824BE" wp14:editId="6E268E59">
                  <wp:extent cx="990600" cy="447675"/>
                  <wp:effectExtent l="0" t="0" r="0" b="9525"/>
                  <wp:docPr id="1437866977" name="Bilde 4" descr="Target m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11348" name="Bilde 4" descr="Target met. Progress stagn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6E4669F3" w14:textId="77777777" w:rsidTr="001609FA">
        <w:tblPrEx>
          <w:tblCellMar>
            <w:top w:w="0" w:type="dxa"/>
            <w:left w:w="0" w:type="dxa"/>
            <w:bottom w:w="0" w:type="dxa"/>
            <w:right w:w="0" w:type="dxa"/>
          </w:tblCellMar>
        </w:tblPrEx>
        <w:trPr>
          <w:trHeight w:val="60"/>
        </w:trPr>
        <w:tc>
          <w:tcPr>
            <w:tcW w:w="64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F6B4276" w14:textId="77777777" w:rsidR="008A5841" w:rsidRPr="006A6D19" w:rsidRDefault="008A5841" w:rsidP="00B765C1">
            <w:pPr>
              <w:rPr>
                <w:lang w:val="en-GB"/>
              </w:rPr>
            </w:pPr>
            <w:r w:rsidRPr="006A6D19">
              <w:rPr>
                <w:rStyle w:val="halvfet"/>
                <w:lang w:val="en-GB"/>
              </w:rPr>
              <w:t xml:space="preserve">3.C </w:t>
            </w:r>
          </w:p>
        </w:tc>
        <w:tc>
          <w:tcPr>
            <w:tcW w:w="357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0E177C4" w14:textId="77777777" w:rsidR="008A5841" w:rsidRPr="006A6D19" w:rsidRDefault="008A5841" w:rsidP="00B765C1">
            <w:pPr>
              <w:rPr>
                <w:lang w:val="en-GB"/>
              </w:rPr>
            </w:pPr>
            <w:r w:rsidRPr="006A6D19">
              <w:rPr>
                <w:lang w:val="en-GB"/>
              </w:rPr>
              <w:t xml:space="preserve">Norway has one of the highest concentrations of doctors and nurses in Europe. With the demographic change, Norway is currently working on initiatives to address the expected lack of personnel in the future. Support to WHO is one of the most important contributions to strengthening the health workforce in developing countries. </w:t>
            </w:r>
          </w:p>
        </w:tc>
        <w:tc>
          <w:tcPr>
            <w:tcW w:w="783"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4BC7E4F" w14:textId="2AD6AAA4" w:rsidR="008A5841" w:rsidRPr="006A6D19" w:rsidRDefault="00541482" w:rsidP="00B765C1">
            <w:pPr>
              <w:rPr>
                <w:lang w:val="en-GB"/>
              </w:rPr>
            </w:pPr>
            <w:r>
              <w:rPr>
                <w:noProof/>
              </w:rPr>
              <w:drawing>
                <wp:inline distT="0" distB="0" distL="0" distR="0" wp14:anchorId="085D1772" wp14:editId="765916ED">
                  <wp:extent cx="990600" cy="447675"/>
                  <wp:effectExtent l="0" t="0" r="0" b="9525"/>
                  <wp:docPr id="1424889418" name="Bilde 4" descr="Target m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11348" name="Bilde 4" descr="Target met. Progress stagn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52EDC2E3" w14:textId="77777777" w:rsidTr="001609FA">
        <w:tblPrEx>
          <w:tblCellMar>
            <w:top w:w="0" w:type="dxa"/>
            <w:left w:w="0" w:type="dxa"/>
            <w:bottom w:w="0" w:type="dxa"/>
            <w:right w:w="0" w:type="dxa"/>
          </w:tblCellMar>
        </w:tblPrEx>
        <w:trPr>
          <w:trHeight w:val="60"/>
        </w:trPr>
        <w:tc>
          <w:tcPr>
            <w:tcW w:w="64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E5B7389" w14:textId="545774F0" w:rsidR="008A5841" w:rsidRPr="006A6D19" w:rsidRDefault="008A5841" w:rsidP="00B765C1">
            <w:pPr>
              <w:rPr>
                <w:lang w:val="en-GB"/>
              </w:rPr>
            </w:pPr>
            <w:r w:rsidRPr="006A6D19">
              <w:rPr>
                <w:rStyle w:val="halvfet"/>
                <w:lang w:val="en-GB"/>
              </w:rPr>
              <w:t>3.D</w:t>
            </w:r>
            <w:r w:rsidR="001609FA" w:rsidRPr="006A6D19">
              <w:rPr>
                <w:rStyle w:val="halvfet"/>
                <w:lang w:val="en-GB"/>
              </w:rPr>
              <w:t xml:space="preserve"> </w:t>
            </w:r>
          </w:p>
        </w:tc>
        <w:tc>
          <w:tcPr>
            <w:tcW w:w="357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56C03BF" w14:textId="77777777" w:rsidR="008A5841" w:rsidRPr="006A6D19" w:rsidRDefault="008A5841" w:rsidP="00B765C1">
            <w:pPr>
              <w:rPr>
                <w:lang w:val="en-GB"/>
              </w:rPr>
            </w:pPr>
            <w:r w:rsidRPr="006A6D19">
              <w:rPr>
                <w:lang w:val="en-GB"/>
              </w:rPr>
              <w:t>Both legislation and systems for the implementation of the International Health Regulations are in place. In 2024 Norway were above the global and regional averages for all indicators.</w:t>
            </w:r>
          </w:p>
          <w:p w14:paraId="0BD879FA" w14:textId="77777777" w:rsidR="008A5841" w:rsidRPr="006A6D19" w:rsidRDefault="008A5841" w:rsidP="00B765C1">
            <w:pPr>
              <w:rPr>
                <w:lang w:val="en-GB"/>
              </w:rPr>
            </w:pPr>
            <w:r w:rsidRPr="006A6D19">
              <w:rPr>
                <w:lang w:val="en-GB"/>
              </w:rPr>
              <w:t xml:space="preserve">Norway is maintaining a low percentage of antibiotic-resistant blood stream infections. In 2024 the percentage of blood stream infections due to MRSA was 1.1% and for ESBL E. coli 6.7%. </w:t>
            </w:r>
          </w:p>
        </w:tc>
        <w:tc>
          <w:tcPr>
            <w:tcW w:w="783"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0ACC1928" w14:textId="708B9660" w:rsidR="008A5841" w:rsidRPr="006A6D19" w:rsidRDefault="00541482" w:rsidP="00B765C1">
            <w:pPr>
              <w:rPr>
                <w:lang w:val="en-GB"/>
              </w:rPr>
            </w:pPr>
            <w:r>
              <w:rPr>
                <w:noProof/>
              </w:rPr>
              <w:drawing>
                <wp:inline distT="0" distB="0" distL="0" distR="0" wp14:anchorId="3614C1FC" wp14:editId="5562A39B">
                  <wp:extent cx="990600" cy="447675"/>
                  <wp:effectExtent l="0" t="0" r="0" b="9525"/>
                  <wp:docPr id="1756145615" name="Bilde 4" descr="Target m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11348" name="Bilde 4" descr="Target met. Progress stagn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bl>
    <w:p w14:paraId="065A5084" w14:textId="77777777" w:rsidR="008A5841" w:rsidRPr="006A6D19" w:rsidRDefault="008A5841" w:rsidP="00B765C1">
      <w:pPr>
        <w:rPr>
          <w:lang w:val="en-GB"/>
        </w:rPr>
      </w:pPr>
    </w:p>
    <w:p w14:paraId="51CF8775" w14:textId="77777777" w:rsidR="008A5841" w:rsidRPr="006A6D19" w:rsidRDefault="008A5841" w:rsidP="00B765C1">
      <w:pPr>
        <w:rPr>
          <w:lang w:val="en-GB"/>
        </w:rPr>
      </w:pPr>
      <w:r w:rsidRPr="006A6D19">
        <w:rPr>
          <w:rStyle w:val="halvfet"/>
          <w:lang w:val="en-GB"/>
        </w:rPr>
        <w:t>General Status</w:t>
      </w:r>
      <w:r w:rsidRPr="006A6D19">
        <w:rPr>
          <w:lang w:val="en-GB"/>
        </w:rPr>
        <w:t>: The population in Norway generally enjoys good health and a high quality of life. Systematic public health efforts and universal health and care services contribute significantly to this. Nevertheless, non-communicable diseases, overweight, obesity and social inequalities create public health challenges that must be taken seriously. Mental health disorders and issues account for a significant share of the disease burden, and their prevalence has increased in parts of the population. Deaths from infectious</w:t>
      </w:r>
      <w:r w:rsidRPr="006A6D19">
        <w:rPr>
          <w:lang w:val="en-GB"/>
        </w:rPr>
        <w:t xml:space="preserve"> diseases are low, but there is potential to prevent more severe health outcomes in certain vulnerable groups.</w:t>
      </w:r>
    </w:p>
    <w:p w14:paraId="218C737D" w14:textId="77777777" w:rsidR="008A5841" w:rsidRPr="006A6D19" w:rsidRDefault="008A5841" w:rsidP="00B765C1">
      <w:pPr>
        <w:rPr>
          <w:lang w:val="en-GB"/>
        </w:rPr>
      </w:pPr>
      <w:r w:rsidRPr="006A6D19">
        <w:rPr>
          <w:rStyle w:val="halvfet"/>
          <w:lang w:val="en-GB"/>
        </w:rPr>
        <w:t>Main Achievements</w:t>
      </w:r>
      <w:r w:rsidRPr="006A6D19">
        <w:rPr>
          <w:lang w:val="en-GB"/>
        </w:rPr>
        <w:t>: Overall life expectancy is high for both men and women: 81.6 years for men and 84.8 years for women in 2024. Declines in smoking and improved treatment have reduced the incidence of and mortality from cardiovascular diseases and cancer over recent decades. Access to sexual and reproductive health services is available to everyone. Prevention of infectious diseases such as HIV and hepatitis is also accessible. The decline in the number of HIV cases continues, and Norway is well on its way to eliminating he</w:t>
      </w:r>
      <w:r w:rsidRPr="006A6D19">
        <w:rPr>
          <w:lang w:val="en-GB"/>
        </w:rPr>
        <w:t>patitis C as a public health problem.</w:t>
      </w:r>
    </w:p>
    <w:p w14:paraId="2437500A" w14:textId="77777777" w:rsidR="008A5841" w:rsidRPr="006A6D19" w:rsidRDefault="008A5841" w:rsidP="00B765C1">
      <w:pPr>
        <w:rPr>
          <w:lang w:val="en-GB"/>
        </w:rPr>
      </w:pPr>
      <w:r w:rsidRPr="006A6D19">
        <w:rPr>
          <w:rStyle w:val="halvfet"/>
          <w:lang w:val="en-GB"/>
        </w:rPr>
        <w:t>Norway’s Challenges</w:t>
      </w:r>
      <w:r w:rsidRPr="006A6D19">
        <w:rPr>
          <w:lang w:val="en-GB"/>
        </w:rPr>
        <w:t>: Because the population is living longer, non-communicable diseases will continue to put increasing demands on health and care services. Despite a decline in the number of daily smokers, smoking remains the single factor that contributes most to disease and premature death. There are challenges and loss of healthy life years related to a high proportion of physically inactive individuals in the population, continued decline in physical activity levels, unhealthy diets and an increasing share of people with</w:t>
      </w:r>
      <w:r w:rsidRPr="006A6D19">
        <w:rPr>
          <w:lang w:val="en-GB"/>
        </w:rPr>
        <w:t xml:space="preserve"> overweight and obesity.</w:t>
      </w:r>
    </w:p>
    <w:p w14:paraId="79064A00" w14:textId="77777777" w:rsidR="008A5841" w:rsidRPr="006A6D19" w:rsidRDefault="008A5841" w:rsidP="00B765C1">
      <w:pPr>
        <w:rPr>
          <w:lang w:val="en-GB"/>
        </w:rPr>
      </w:pPr>
      <w:r w:rsidRPr="006A6D19">
        <w:rPr>
          <w:lang w:val="en-GB"/>
        </w:rPr>
        <w:lastRenderedPageBreak/>
        <w:t>Mental health problems are increasing, particularly among young people, and suicide is among the leading causes of premature death, especially among men. Alcohol consumption is a risk factor for loss of healthy life years, and the number of overdoses is very high. Social inequality contributes to health disparities. The population’s use of dental health services is another area with room for improvement. Further, there is room for improvement regarding vaccination and efforts to cou</w:t>
      </w:r>
      <w:r w:rsidRPr="006A6D19">
        <w:rPr>
          <w:lang w:val="en-GB"/>
        </w:rPr>
        <w:t>nter the rise in antimicrobial resistance.</w:t>
      </w:r>
    </w:p>
    <w:p w14:paraId="0151CEF3" w14:textId="77777777" w:rsidR="008A5841" w:rsidRPr="006A6D19" w:rsidRDefault="008A5841" w:rsidP="00B765C1">
      <w:pPr>
        <w:rPr>
          <w:lang w:val="en-GB"/>
        </w:rPr>
      </w:pPr>
      <w:r w:rsidRPr="006A6D19">
        <w:rPr>
          <w:rStyle w:val="halvfet"/>
          <w:lang w:val="en-GB"/>
        </w:rPr>
        <w:t xml:space="preserve">Global Responsibility: </w:t>
      </w:r>
      <w:r w:rsidRPr="006A6D19">
        <w:rPr>
          <w:lang w:val="en-GB"/>
        </w:rPr>
        <w:t>The Government is working to gradually shift efforts toward strengthening national health systems, pandemic preparedness and response, universal health coverage, and improved primary health care. The goal is to develop health services that can withstand climate change and manage an increase in climate-related diseases, as well as changes in the incidence and spread of both non-communicable and communicable diseases, including antimicrobial resistance.</w:t>
      </w:r>
    </w:p>
    <w:p w14:paraId="3A7CF7F3" w14:textId="77777777" w:rsidR="008A5841" w:rsidRPr="006A6D19" w:rsidRDefault="008A5841" w:rsidP="006B301F">
      <w:pPr>
        <w:pStyle w:val="avsnitt-undertittel"/>
        <w:rPr>
          <w:lang w:val="en-GB"/>
        </w:rPr>
      </w:pPr>
      <w:r w:rsidRPr="006A6D19">
        <w:rPr>
          <w:lang w:val="en-GB"/>
        </w:rPr>
        <w:t>Main Policy Initiatives 2021–2026</w:t>
      </w:r>
    </w:p>
    <w:p w14:paraId="6740FD8B" w14:textId="77777777" w:rsidR="008A5841" w:rsidRPr="006A6D19" w:rsidRDefault="008A5841" w:rsidP="00B765C1">
      <w:pPr>
        <w:pStyle w:val="Listebombe"/>
        <w:rPr>
          <w:lang w:val="en-GB"/>
        </w:rPr>
      </w:pPr>
      <w:r w:rsidRPr="006A6D19">
        <w:rPr>
          <w:lang w:val="en-GB"/>
        </w:rPr>
        <w:t>White Paper, Meld. St. 15 (2022–</w:t>
      </w:r>
      <w:r w:rsidRPr="006A6D19">
        <w:rPr>
          <w:lang w:val="en-GB"/>
        </w:rPr>
        <w:t>2023) on Public Health – National Strategy to Reduce Social Health Inequalities, including a National Tobacco Strategy.</w:t>
      </w:r>
    </w:p>
    <w:p w14:paraId="434BA1C0" w14:textId="77777777" w:rsidR="008A5841" w:rsidRPr="006A6D19" w:rsidRDefault="008A5841" w:rsidP="00B765C1">
      <w:pPr>
        <w:pStyle w:val="Listebombe"/>
        <w:rPr>
          <w:lang w:val="en-GB"/>
        </w:rPr>
      </w:pPr>
      <w:r w:rsidRPr="006A6D19">
        <w:rPr>
          <w:lang w:val="en-GB"/>
        </w:rPr>
        <w:t>White Paper, Meld. St. 5 (2023–2024) A Resilient Health Emergency Preparedness – From Pandemic to War in Europe.</w:t>
      </w:r>
    </w:p>
    <w:p w14:paraId="47891DF0" w14:textId="77777777" w:rsidR="008A5841" w:rsidRPr="006A6D19" w:rsidRDefault="008A5841" w:rsidP="00B765C1">
      <w:pPr>
        <w:pStyle w:val="Listebombe"/>
        <w:rPr>
          <w:lang w:val="en-GB"/>
        </w:rPr>
      </w:pPr>
      <w:r w:rsidRPr="006A6D19">
        <w:rPr>
          <w:lang w:val="en-GB"/>
        </w:rPr>
        <w:t>White Paper, Meld. St. 19 (2023–2024) National Health and Interaction Plan 2024–2027 – Our Common Health Service.</w:t>
      </w:r>
    </w:p>
    <w:p w14:paraId="724E5C32" w14:textId="77777777" w:rsidR="008A5841" w:rsidRPr="006A6D19" w:rsidRDefault="008A5841" w:rsidP="00B765C1">
      <w:pPr>
        <w:pStyle w:val="Listebombe"/>
        <w:rPr>
          <w:lang w:val="en-GB"/>
        </w:rPr>
      </w:pPr>
      <w:r w:rsidRPr="006A6D19">
        <w:rPr>
          <w:lang w:val="en-GB"/>
        </w:rPr>
        <w:t>White Paper, Meld. St. 21 (2024–2025) Health for All: Fair Prioritisation in Our Common Health Service.</w:t>
      </w:r>
    </w:p>
    <w:p w14:paraId="4333EC77" w14:textId="77777777" w:rsidR="008A5841" w:rsidRPr="006A6D19" w:rsidRDefault="008A5841" w:rsidP="00B765C1">
      <w:pPr>
        <w:pStyle w:val="Listebombe"/>
        <w:rPr>
          <w:lang w:val="en-GB"/>
        </w:rPr>
      </w:pPr>
      <w:r w:rsidRPr="006A6D19">
        <w:rPr>
          <w:lang w:val="en-GB"/>
        </w:rPr>
        <w:t>White Paper, Meld. St. 23 (2024–2025) Renew, Reinforce, Improve: The General Practitioner Services and Emergency Medical Services of the Future Outside Hospitals.</w:t>
      </w:r>
    </w:p>
    <w:p w14:paraId="3A036646" w14:textId="77777777" w:rsidR="008A5841" w:rsidRPr="006A6D19" w:rsidRDefault="008A5841" w:rsidP="00B765C1">
      <w:pPr>
        <w:pStyle w:val="Listebombe"/>
        <w:rPr>
          <w:lang w:val="en-GB"/>
        </w:rPr>
      </w:pPr>
      <w:r w:rsidRPr="006A6D19">
        <w:rPr>
          <w:lang w:val="en-GB"/>
        </w:rPr>
        <w:t>A child violence investigation scheme has been established within the Norwegian Board of Health Supervision in January 2025.</w:t>
      </w:r>
    </w:p>
    <w:p w14:paraId="2F776B7D" w14:textId="77777777" w:rsidR="008A5841" w:rsidRPr="006A6D19" w:rsidRDefault="008A5841" w:rsidP="00B765C1">
      <w:pPr>
        <w:rPr>
          <w:lang w:val="en-GB"/>
        </w:rPr>
      </w:pPr>
    </w:p>
    <w:p w14:paraId="2254E215" w14:textId="77777777" w:rsidR="006B301F" w:rsidRPr="006A6D19" w:rsidRDefault="006B301F" w:rsidP="006B301F">
      <w:pPr>
        <w:pStyle w:val="Undertittel"/>
        <w:rPr>
          <w:lang w:val="en-GB"/>
        </w:rPr>
      </w:pPr>
      <w:r w:rsidRPr="006A6D19">
        <w:rPr>
          <w:lang w:val="en-GB"/>
        </w:rPr>
        <w:t>Assessment by Civil Society</w:t>
      </w:r>
    </w:p>
    <w:p w14:paraId="68A655F9" w14:textId="77777777" w:rsidR="008A5841" w:rsidRPr="006A6D19" w:rsidRDefault="008A5841" w:rsidP="00B765C1">
      <w:pPr>
        <w:rPr>
          <w:rStyle w:val="kursiv"/>
          <w:lang w:val="en-GB"/>
        </w:rPr>
      </w:pPr>
      <w:r w:rsidRPr="006A6D19">
        <w:rPr>
          <w:lang w:val="en-GB"/>
        </w:rPr>
        <w:t xml:space="preserve">The following organisations have participated in this assessment: </w:t>
      </w:r>
      <w:r w:rsidRPr="006A6D19">
        <w:rPr>
          <w:lang w:val="en-GB"/>
        </w:rPr>
        <w:t>ILHI, FFO, The Norwegian Association of the Blind and Partially Sighted, the Norwegian Cancer Society, FIAN Norway, Norwegian Medical Students’ Association, The Norwegian forum for Environment and Development.</w:t>
      </w:r>
    </w:p>
    <w:p w14:paraId="503D1EC7" w14:textId="3B57D1C9" w:rsidR="008A5841" w:rsidRPr="006A6D19" w:rsidRDefault="008A5841" w:rsidP="00B765C1">
      <w:pPr>
        <w:rPr>
          <w:lang w:val="en-GB"/>
        </w:rPr>
      </w:pPr>
      <w:r>
        <w:rPr>
          <w:noProof/>
          <w:lang w:val="en-GB"/>
        </w:rPr>
        <w:drawing>
          <wp:inline distT="0" distB="0" distL="0" distR="0" wp14:anchorId="52DD2049" wp14:editId="082C7A3F">
            <wp:extent cx="561975" cy="561975"/>
            <wp:effectExtent l="0" t="0" r="9525" b="9525"/>
            <wp:docPr id="1736160932" name="Bilde 85" descr="Arrow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511570" name="Bilde 85" descr="Arrow down"/>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r>
        <w:rPr>
          <w:rStyle w:val="halvfet"/>
          <w:lang w:val="en-GB"/>
        </w:rPr>
        <w:t xml:space="preserve"> </w:t>
      </w:r>
      <w:r w:rsidRPr="006A6D19">
        <w:rPr>
          <w:rStyle w:val="halvfet"/>
          <w:lang w:val="en-GB"/>
        </w:rPr>
        <w:t>Trend</w:t>
      </w:r>
      <w:r w:rsidRPr="006A6D19">
        <w:rPr>
          <w:lang w:val="en-GB"/>
        </w:rPr>
        <w:t>: Negative</w:t>
      </w:r>
      <w:r w:rsidR="001609FA" w:rsidRPr="006A6D19">
        <w:rPr>
          <w:lang w:val="en-GB"/>
        </w:rPr>
        <w:t xml:space="preserve"> </w:t>
      </w:r>
    </w:p>
    <w:p w14:paraId="53D292A8" w14:textId="77777777" w:rsidR="008A5841" w:rsidRPr="006A6D19" w:rsidRDefault="008A5841" w:rsidP="00B765C1">
      <w:pPr>
        <w:rPr>
          <w:lang w:val="en-GB"/>
        </w:rPr>
      </w:pPr>
      <w:r w:rsidRPr="006A6D19">
        <w:rPr>
          <w:rStyle w:val="halvfet"/>
          <w:lang w:val="en-GB"/>
        </w:rPr>
        <w:t xml:space="preserve">Norway has succeeded </w:t>
      </w:r>
      <w:r w:rsidRPr="006A6D19">
        <w:rPr>
          <w:lang w:val="en-GB"/>
        </w:rPr>
        <w:t>in building</w:t>
      </w:r>
      <w:r w:rsidRPr="006A6D19">
        <w:rPr>
          <w:rStyle w:val="halvfet"/>
          <w:lang w:val="en-GB"/>
        </w:rPr>
        <w:t xml:space="preserve"> </w:t>
      </w:r>
      <w:r w:rsidRPr="006A6D19">
        <w:rPr>
          <w:lang w:val="en-GB"/>
        </w:rPr>
        <w:t>a well-functioning</w:t>
      </w:r>
      <w:r w:rsidRPr="006A6D19">
        <w:rPr>
          <w:rStyle w:val="halvfet"/>
          <w:lang w:val="en-GB"/>
        </w:rPr>
        <w:t xml:space="preserve"> </w:t>
      </w:r>
      <w:r w:rsidRPr="006A6D19">
        <w:rPr>
          <w:lang w:val="en-GB"/>
        </w:rPr>
        <w:t xml:space="preserve">universal healthcare system, and there is strong financial protection against medical expenses, except for dental health. Vaccine preventable diseases are low, with a high coverage of the Childhood Immunisation Programme. Norway has developed new strategies, i.e. for women’s health, reducing social health inequalities, mental health and antimicrobial resistance. CRPD is included in Norwegian law. Norway has played a central role in the development of the Lusaka Agenda. Sexual and reproductive health rights </w:t>
      </w:r>
      <w:r w:rsidRPr="006A6D19">
        <w:rPr>
          <w:lang w:val="en-GB"/>
        </w:rPr>
        <w:t>remain a priority in ODA.</w:t>
      </w:r>
    </w:p>
    <w:p w14:paraId="5051131E" w14:textId="77777777" w:rsidR="008A5841" w:rsidRPr="006A6D19" w:rsidRDefault="008A5841" w:rsidP="00B765C1">
      <w:pPr>
        <w:rPr>
          <w:lang w:val="en-GB"/>
        </w:rPr>
      </w:pPr>
      <w:r w:rsidRPr="006A6D19">
        <w:rPr>
          <w:rStyle w:val="halvfet"/>
          <w:lang w:val="en-GB"/>
        </w:rPr>
        <w:lastRenderedPageBreak/>
        <w:t xml:space="preserve">Norway’s challenge </w:t>
      </w:r>
      <w:r w:rsidRPr="006A6D19">
        <w:rPr>
          <w:lang w:val="en-GB"/>
        </w:rPr>
        <w:t>is social inequalities in health. The population with the lowest household income has significantly shorter life expectancy, and the proportion of children living in persistent poverty has tripled over the past 20 years. Access to health services is challenging for some population groups such as people living in very remote areas, people with disabilities and undocumented migrants. Racism and discrimination in health care services among both patients and health workers are documented. Infectious diseases li</w:t>
      </w:r>
      <w:r w:rsidRPr="006A6D19">
        <w:rPr>
          <w:lang w:val="en-GB"/>
        </w:rPr>
        <w:t xml:space="preserve">ke gonorrhoea, HIV, viral hepatitis and </w:t>
      </w:r>
      <w:proofErr w:type="gramStart"/>
      <w:r w:rsidRPr="006A6D19">
        <w:rPr>
          <w:lang w:val="en-GB"/>
        </w:rPr>
        <w:t>drug resistant</w:t>
      </w:r>
      <w:proofErr w:type="gramEnd"/>
      <w:r w:rsidRPr="006A6D19">
        <w:rPr>
          <w:lang w:val="en-GB"/>
        </w:rPr>
        <w:t xml:space="preserve"> tuberculosis have been in an upward trend. There is insufficient access to timely rehabilitation for persons with disabilities. Care for the elderly remains a challenge, with reports of involuntary treatment, violence and undernutrition. Inpatient beds for mental health care and substance use treatment have been reduced, and</w:t>
      </w:r>
      <w:r w:rsidRPr="006A6D19">
        <w:rPr>
          <w:rStyle w:val="halvfet"/>
          <w:lang w:val="en-GB"/>
        </w:rPr>
        <w:t xml:space="preserve"> </w:t>
      </w:r>
      <w:r w:rsidRPr="006A6D19">
        <w:rPr>
          <w:lang w:val="en-GB"/>
        </w:rPr>
        <w:t>the mortality among these groups has increased between 2019 to 2024. This hinders the progressive realisation of the right to health as stipulated in the Convention on economic, social and cultural rights. Norway has failed to demonstrate global health leadership. The grant to The Global Fund to Fight AIDS, tuberculosis and malaria has remained nominally constant over a decade, and the funding to GAVI and UNAIDS is reduced. Eye health care is not a priority. Armed conflict has become a fundamental determina</w:t>
      </w:r>
      <w:r w:rsidRPr="006A6D19">
        <w:rPr>
          <w:lang w:val="en-GB"/>
        </w:rPr>
        <w:t xml:space="preserve">nt of health. Despite Norway’s condemnations of attacks and the disruption of health facilities, ODA to global health remains unchanged. It is a concern that increased focus on global health security might skew resources from other global health priorities. </w:t>
      </w:r>
    </w:p>
    <w:p w14:paraId="515748CE" w14:textId="77777777" w:rsidR="008A5841" w:rsidRPr="006A6D19" w:rsidRDefault="008A5841" w:rsidP="006B301F">
      <w:pPr>
        <w:pStyle w:val="avsnitt-undertittel"/>
        <w:rPr>
          <w:lang w:val="en-GB"/>
        </w:rPr>
      </w:pPr>
      <w:r w:rsidRPr="006A6D19">
        <w:rPr>
          <w:lang w:val="en-GB"/>
        </w:rPr>
        <w:t>Norway must:</w:t>
      </w:r>
    </w:p>
    <w:p w14:paraId="1C90D7B0" w14:textId="77777777" w:rsidR="008A5841" w:rsidRPr="006A6D19" w:rsidRDefault="008A5841" w:rsidP="00B765C1">
      <w:pPr>
        <w:pStyle w:val="Listebombe"/>
        <w:rPr>
          <w:lang w:val="en-GB"/>
        </w:rPr>
      </w:pPr>
      <w:r w:rsidRPr="006A6D19">
        <w:rPr>
          <w:lang w:val="en-GB"/>
        </w:rPr>
        <w:t>Improve preventive health by addressing antimicrobial resistance and the commercial drivers of health (tobacco and nicotine products, alcohol, sugar-sweetened beverages, ultra processed food, etc.).</w:t>
      </w:r>
    </w:p>
    <w:p w14:paraId="7BAF2E09" w14:textId="77777777" w:rsidR="008A5841" w:rsidRPr="006A6D19" w:rsidRDefault="008A5841" w:rsidP="00B765C1">
      <w:pPr>
        <w:pStyle w:val="Listebombe"/>
        <w:rPr>
          <w:lang w:val="en-GB"/>
        </w:rPr>
      </w:pPr>
      <w:r w:rsidRPr="006A6D19">
        <w:rPr>
          <w:lang w:val="en-GB"/>
        </w:rPr>
        <w:t>Fully finance and implement its strategy to reduce social health inequalities (White Paper, Meld. St. 15 (2022–2023) on Public Health – National Strategy to Reduce Social Health Inequalities) and strengthen policies to reduce persistent poverty.</w:t>
      </w:r>
    </w:p>
    <w:p w14:paraId="0A860AD4" w14:textId="77777777" w:rsidR="008A5841" w:rsidRPr="006A6D19" w:rsidRDefault="008A5841" w:rsidP="00B765C1">
      <w:pPr>
        <w:pStyle w:val="Listebombe"/>
        <w:rPr>
          <w:lang w:val="en-GB"/>
        </w:rPr>
      </w:pPr>
      <w:r w:rsidRPr="006A6D19">
        <w:rPr>
          <w:lang w:val="en-GB"/>
        </w:rPr>
        <w:t xml:space="preserve"> Put in place systems to improve access to basic health services, including for reproductive and mental health, for refugees, immigrants and undocumented migrants.</w:t>
      </w:r>
    </w:p>
    <w:p w14:paraId="535A2EB9" w14:textId="77777777" w:rsidR="008A5841" w:rsidRPr="006A6D19" w:rsidRDefault="008A5841" w:rsidP="00B765C1">
      <w:pPr>
        <w:pStyle w:val="Listebombe"/>
        <w:rPr>
          <w:lang w:val="en-GB"/>
        </w:rPr>
      </w:pPr>
      <w:r w:rsidRPr="006A6D19">
        <w:rPr>
          <w:lang w:val="en-GB"/>
        </w:rPr>
        <w:t>Ensure inclusive and universal design of health services and improve health care for people with disabilities; establish more national health registers, including a national register for visually impaired.</w:t>
      </w:r>
    </w:p>
    <w:p w14:paraId="45BF4287" w14:textId="77777777" w:rsidR="008A5841" w:rsidRPr="006A6D19" w:rsidRDefault="008A5841" w:rsidP="00B765C1">
      <w:pPr>
        <w:pStyle w:val="Listebombe"/>
        <w:rPr>
          <w:lang w:val="en-GB"/>
        </w:rPr>
      </w:pPr>
      <w:r w:rsidRPr="006A6D19">
        <w:rPr>
          <w:lang w:val="en-GB"/>
        </w:rPr>
        <w:t>Combat/eliminate racism and discrimination in health- and social services and develop systems to expose and tackle it.</w:t>
      </w:r>
    </w:p>
    <w:p w14:paraId="55680E48" w14:textId="77777777" w:rsidR="008A5841" w:rsidRPr="006A6D19" w:rsidRDefault="008A5841" w:rsidP="00B765C1">
      <w:pPr>
        <w:pStyle w:val="Listebombe"/>
        <w:rPr>
          <w:lang w:val="en-GB"/>
        </w:rPr>
      </w:pPr>
      <w:r w:rsidRPr="006A6D19">
        <w:rPr>
          <w:lang w:val="en-GB"/>
        </w:rPr>
        <w:t>Strengthen sexuality education in schools and increase availability of low- cost, low threshold testing for sexually transmitted diseases.</w:t>
      </w:r>
    </w:p>
    <w:p w14:paraId="13F8C6D0" w14:textId="77777777" w:rsidR="008A5841" w:rsidRPr="006A6D19" w:rsidRDefault="008A5841" w:rsidP="00B765C1">
      <w:pPr>
        <w:pStyle w:val="Listebombe"/>
        <w:rPr>
          <w:lang w:val="en-GB"/>
        </w:rPr>
      </w:pPr>
      <w:r w:rsidRPr="006A6D19">
        <w:rPr>
          <w:lang w:val="en-GB"/>
        </w:rPr>
        <w:t>Prevent violence and abuse of older persons and take immediate action to address acute malnutrition among older persons in health and care institutions.</w:t>
      </w:r>
    </w:p>
    <w:p w14:paraId="49EFC732" w14:textId="77777777" w:rsidR="008A5841" w:rsidRPr="006A6D19" w:rsidRDefault="008A5841" w:rsidP="00B765C1">
      <w:pPr>
        <w:pStyle w:val="Listebombe"/>
        <w:rPr>
          <w:lang w:val="en-GB"/>
        </w:rPr>
      </w:pPr>
      <w:r w:rsidRPr="006A6D19">
        <w:rPr>
          <w:lang w:val="en-GB"/>
        </w:rPr>
        <w:t>Make urgent and significant efforts to improve prevention and care for people with mental health and substance use disorders.</w:t>
      </w:r>
    </w:p>
    <w:p w14:paraId="0EB99465" w14:textId="77777777" w:rsidR="008A5841" w:rsidRPr="006A6D19" w:rsidRDefault="008A5841" w:rsidP="00B765C1">
      <w:pPr>
        <w:pStyle w:val="Listebombe"/>
        <w:rPr>
          <w:lang w:val="en-GB"/>
        </w:rPr>
      </w:pPr>
      <w:r w:rsidRPr="006A6D19">
        <w:rPr>
          <w:lang w:val="en-GB"/>
        </w:rPr>
        <w:t>Prioritise and increase funding for global health to strengthen health systems, in line with the Lusaka Agenda, while ensuring the health rights and needs of vulnerable populations are protected and with meaningful community engagement.</w:t>
      </w:r>
    </w:p>
    <w:p w14:paraId="007EA842" w14:textId="77777777" w:rsidR="008A5841" w:rsidRPr="006A6D19" w:rsidRDefault="008A5841" w:rsidP="00B765C1">
      <w:pPr>
        <w:pStyle w:val="Listebombe"/>
        <w:rPr>
          <w:lang w:val="en-GB"/>
        </w:rPr>
      </w:pPr>
      <w:r w:rsidRPr="006A6D19">
        <w:rPr>
          <w:lang w:val="en-GB"/>
        </w:rPr>
        <w:lastRenderedPageBreak/>
        <w:t xml:space="preserve">Increase funding for universal health coverage, ensure equal access to prevention (i.e. vaccines) and treatment against HIV and TB, as well as prioritise global eye health care. </w:t>
      </w:r>
    </w:p>
    <w:p w14:paraId="16099CFC" w14:textId="77777777" w:rsidR="008A5841" w:rsidRPr="006A6D19" w:rsidRDefault="008A5841" w:rsidP="00B765C1">
      <w:pPr>
        <w:rPr>
          <w:lang w:val="en-GB"/>
        </w:rPr>
      </w:pPr>
    </w:p>
    <w:p w14:paraId="09D81B16" w14:textId="77777777" w:rsidR="008A5841" w:rsidRPr="006A6D19" w:rsidRDefault="008A5841" w:rsidP="001609FA">
      <w:pPr>
        <w:pStyle w:val="UnOverskrift3"/>
        <w:rPr>
          <w:lang w:val="en-GB"/>
        </w:rPr>
      </w:pPr>
      <w:r w:rsidRPr="006A6D19">
        <w:rPr>
          <w:lang w:val="en-GB"/>
        </w:rPr>
        <w:t>4 Quality Education</w:t>
      </w:r>
    </w:p>
    <w:p w14:paraId="4293C810" w14:textId="7BC6095D" w:rsidR="008A5841" w:rsidRPr="006A6D19" w:rsidRDefault="00BB2AF4" w:rsidP="001609FA">
      <w:pPr>
        <w:rPr>
          <w:lang w:val="en-GB"/>
        </w:rPr>
      </w:pPr>
      <w:r w:rsidRPr="006A6D19">
        <w:rPr>
          <w:noProof/>
          <w:lang w:val="en-GB"/>
        </w:rPr>
        <w:drawing>
          <wp:inline distT="0" distB="0" distL="0" distR="0" wp14:anchorId="04C9D554" wp14:editId="37F8E69E">
            <wp:extent cx="2857500" cy="2857500"/>
            <wp:effectExtent l="0" t="0" r="0" b="0"/>
            <wp:docPr id="1345468750" name="Bilde 46" descr="Goal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468750" name="Bilde 46" descr="Goal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3A6EDE53" w14:textId="77777777" w:rsidR="008A5841" w:rsidRPr="006A6D19" w:rsidRDefault="008A5841" w:rsidP="006B301F">
      <w:pPr>
        <w:pStyle w:val="Undertittel"/>
        <w:rPr>
          <w:lang w:val="en-GB"/>
        </w:rPr>
      </w:pPr>
      <w:r w:rsidRPr="006A6D19">
        <w:rPr>
          <w:lang w:val="en-GB"/>
        </w:rPr>
        <w:t>Government Assessment</w:t>
      </w:r>
    </w:p>
    <w:tbl>
      <w:tblPr>
        <w:tblW w:w="5000" w:type="pct"/>
        <w:tblCellMar>
          <w:left w:w="0" w:type="dxa"/>
          <w:right w:w="0" w:type="dxa"/>
        </w:tblCellMar>
        <w:tblLook w:val="0000" w:firstRow="0" w:lastRow="0" w:firstColumn="0" w:lastColumn="0" w:noHBand="0" w:noVBand="0"/>
      </w:tblPr>
      <w:tblGrid>
        <w:gridCol w:w="1313"/>
        <w:gridCol w:w="7482"/>
        <w:gridCol w:w="1655"/>
      </w:tblGrid>
      <w:tr w:rsidR="00000000" w:rsidRPr="006A6D19" w14:paraId="6CE109B2" w14:textId="77777777" w:rsidTr="001609FA">
        <w:tblPrEx>
          <w:tblCellMar>
            <w:top w:w="0" w:type="dxa"/>
            <w:left w:w="0" w:type="dxa"/>
            <w:bottom w:w="0" w:type="dxa"/>
            <w:right w:w="0" w:type="dxa"/>
          </w:tblCellMar>
        </w:tblPrEx>
        <w:trPr>
          <w:trHeight w:val="60"/>
        </w:trPr>
        <w:tc>
          <w:tcPr>
            <w:tcW w:w="62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A53E37A" w14:textId="6B108820" w:rsidR="008A5841" w:rsidRPr="006A6D19" w:rsidRDefault="008A5841" w:rsidP="00B765C1">
            <w:pPr>
              <w:rPr>
                <w:lang w:val="en-GB"/>
              </w:rPr>
            </w:pPr>
            <w:r w:rsidRPr="006A6D19">
              <w:rPr>
                <w:lang w:val="en-GB"/>
              </w:rPr>
              <w:t>4.1</w:t>
            </w:r>
            <w:r w:rsidR="001609FA" w:rsidRPr="006A6D19">
              <w:rPr>
                <w:lang w:val="en-GB"/>
              </w:rPr>
              <w:t xml:space="preserve"> </w:t>
            </w:r>
          </w:p>
        </w:tc>
        <w:tc>
          <w:tcPr>
            <w:tcW w:w="358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0F4AAA8C" w14:textId="77777777" w:rsidR="008A5841" w:rsidRPr="006A6D19" w:rsidRDefault="008A5841" w:rsidP="00B765C1">
            <w:pPr>
              <w:rPr>
                <w:lang w:val="en-GB"/>
              </w:rPr>
            </w:pPr>
            <w:r w:rsidRPr="006A6D19">
              <w:rPr>
                <w:lang w:val="en-GB"/>
              </w:rPr>
              <w:t>Primary, lower secondar</w:t>
            </w:r>
            <w:r w:rsidRPr="006A6D19">
              <w:rPr>
                <w:lang w:val="en-GB"/>
              </w:rPr>
              <w:t>y and upper secondary education is free and accessible to everyone. Completion of upper secondary education has never been higher, but improvement is still needed.</w:t>
            </w:r>
          </w:p>
        </w:tc>
        <w:tc>
          <w:tcPr>
            <w:tcW w:w="79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E7D6D90" w14:textId="2699731A" w:rsidR="008A5841" w:rsidRPr="006A6D19" w:rsidRDefault="007B3BCE" w:rsidP="00B765C1">
            <w:pPr>
              <w:rPr>
                <w:lang w:val="en-GB"/>
              </w:rPr>
            </w:pPr>
            <w:r>
              <w:rPr>
                <w:noProof/>
              </w:rPr>
              <w:drawing>
                <wp:inline distT="0" distB="0" distL="0" distR="0" wp14:anchorId="67E184DC" wp14:editId="51B2D2A6">
                  <wp:extent cx="990600" cy="447675"/>
                  <wp:effectExtent l="0" t="0" r="0" b="9525"/>
                  <wp:docPr id="575293713" name="Bilde 3" descr="Close to target. Progress i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804348" name="Bilde 3" descr="Close to target. Progress is positiv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0FA87116" w14:textId="77777777" w:rsidTr="001609FA">
        <w:tblPrEx>
          <w:tblCellMar>
            <w:top w:w="0" w:type="dxa"/>
            <w:left w:w="0" w:type="dxa"/>
            <w:bottom w:w="0" w:type="dxa"/>
            <w:right w:w="0" w:type="dxa"/>
          </w:tblCellMar>
        </w:tblPrEx>
        <w:trPr>
          <w:trHeight w:val="60"/>
        </w:trPr>
        <w:tc>
          <w:tcPr>
            <w:tcW w:w="62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03DF072" w14:textId="77777777" w:rsidR="008A5841" w:rsidRPr="006A6D19" w:rsidRDefault="008A5841" w:rsidP="00B765C1">
            <w:pPr>
              <w:rPr>
                <w:lang w:val="en-GB"/>
              </w:rPr>
            </w:pPr>
            <w:r w:rsidRPr="006A6D19">
              <w:rPr>
                <w:lang w:val="en-GB"/>
              </w:rPr>
              <w:t xml:space="preserve">4.2 </w:t>
            </w:r>
          </w:p>
        </w:tc>
        <w:tc>
          <w:tcPr>
            <w:tcW w:w="358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33E05C7" w14:textId="77777777" w:rsidR="008A5841" w:rsidRPr="006A6D19" w:rsidRDefault="008A5841" w:rsidP="00B765C1">
            <w:pPr>
              <w:rPr>
                <w:lang w:val="en-GB"/>
              </w:rPr>
            </w:pPr>
            <w:r w:rsidRPr="006A6D19">
              <w:rPr>
                <w:lang w:val="en-GB"/>
              </w:rPr>
              <w:t>All children have access to kindergarten, but the quality of the services varies.</w:t>
            </w:r>
          </w:p>
        </w:tc>
        <w:tc>
          <w:tcPr>
            <w:tcW w:w="79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6D707E41" w14:textId="25132C6B" w:rsidR="008A5841" w:rsidRPr="006A6D19" w:rsidRDefault="00541482" w:rsidP="00B765C1">
            <w:pPr>
              <w:rPr>
                <w:lang w:val="en-GB"/>
              </w:rPr>
            </w:pPr>
            <w:r>
              <w:rPr>
                <w:noProof/>
              </w:rPr>
              <w:drawing>
                <wp:inline distT="0" distB="0" distL="0" distR="0" wp14:anchorId="6B9BC7DB" wp14:editId="524F053C">
                  <wp:extent cx="990600" cy="447675"/>
                  <wp:effectExtent l="0" t="0" r="0" b="9525"/>
                  <wp:docPr id="1319362695" name="Bilde 6" descr="Target met. Progres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2134" name="Bilde 6" descr="Target met. Progress positiv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3ACB0148" w14:textId="77777777" w:rsidTr="001609FA">
        <w:tblPrEx>
          <w:tblCellMar>
            <w:top w:w="0" w:type="dxa"/>
            <w:left w:w="0" w:type="dxa"/>
            <w:bottom w:w="0" w:type="dxa"/>
            <w:right w:w="0" w:type="dxa"/>
          </w:tblCellMar>
        </w:tblPrEx>
        <w:trPr>
          <w:trHeight w:val="60"/>
        </w:trPr>
        <w:tc>
          <w:tcPr>
            <w:tcW w:w="62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C071B01" w14:textId="77777777" w:rsidR="008A5841" w:rsidRPr="006A6D19" w:rsidRDefault="008A5841" w:rsidP="00B765C1">
            <w:pPr>
              <w:rPr>
                <w:lang w:val="en-GB"/>
              </w:rPr>
            </w:pPr>
            <w:r w:rsidRPr="006A6D19">
              <w:rPr>
                <w:lang w:val="en-GB"/>
              </w:rPr>
              <w:t xml:space="preserve">4.3 </w:t>
            </w:r>
          </w:p>
        </w:tc>
        <w:tc>
          <w:tcPr>
            <w:tcW w:w="358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7A3D02D" w14:textId="77777777" w:rsidR="008A5841" w:rsidRPr="006A6D19" w:rsidRDefault="008A5841" w:rsidP="00B765C1">
            <w:pPr>
              <w:rPr>
                <w:lang w:val="en-GB"/>
              </w:rPr>
            </w:pPr>
            <w:r w:rsidRPr="006A6D19">
              <w:rPr>
                <w:lang w:val="en-GB"/>
              </w:rPr>
              <w:t>Higher education is of high quality, free, and accessible to all.</w:t>
            </w:r>
          </w:p>
        </w:tc>
        <w:tc>
          <w:tcPr>
            <w:tcW w:w="79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72762DE1" w14:textId="00F62096" w:rsidR="008A5841" w:rsidRPr="006A6D19" w:rsidRDefault="00541482" w:rsidP="00B765C1">
            <w:pPr>
              <w:rPr>
                <w:lang w:val="en-GB"/>
              </w:rPr>
            </w:pPr>
            <w:r>
              <w:rPr>
                <w:noProof/>
              </w:rPr>
              <w:drawing>
                <wp:inline distT="0" distB="0" distL="0" distR="0" wp14:anchorId="7D4CD54F" wp14:editId="07A02819">
                  <wp:extent cx="990600" cy="447675"/>
                  <wp:effectExtent l="0" t="0" r="0" b="9525"/>
                  <wp:docPr id="1007649600" name="Bilde 4" descr="Target m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11348" name="Bilde 4" descr="Target met. Progress stagn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1FD6E6BD" w14:textId="77777777" w:rsidTr="001609FA">
        <w:tblPrEx>
          <w:tblCellMar>
            <w:top w:w="0" w:type="dxa"/>
            <w:left w:w="0" w:type="dxa"/>
            <w:bottom w:w="0" w:type="dxa"/>
            <w:right w:w="0" w:type="dxa"/>
          </w:tblCellMar>
        </w:tblPrEx>
        <w:trPr>
          <w:trHeight w:val="60"/>
        </w:trPr>
        <w:tc>
          <w:tcPr>
            <w:tcW w:w="62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8FCFA67" w14:textId="5116DE8A" w:rsidR="008A5841" w:rsidRPr="006A6D19" w:rsidRDefault="008A5841" w:rsidP="00B765C1">
            <w:pPr>
              <w:rPr>
                <w:lang w:val="en-GB"/>
              </w:rPr>
            </w:pPr>
            <w:r w:rsidRPr="006A6D19">
              <w:rPr>
                <w:lang w:val="en-GB"/>
              </w:rPr>
              <w:t>4.4</w:t>
            </w:r>
            <w:r w:rsidR="001609FA" w:rsidRPr="006A6D19">
              <w:rPr>
                <w:lang w:val="en-GB"/>
              </w:rPr>
              <w:t xml:space="preserve"> </w:t>
            </w:r>
          </w:p>
        </w:tc>
        <w:tc>
          <w:tcPr>
            <w:tcW w:w="358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C1F13B1" w14:textId="77777777" w:rsidR="008A5841" w:rsidRPr="006A6D19" w:rsidRDefault="008A5841" w:rsidP="00B765C1">
            <w:pPr>
              <w:rPr>
                <w:lang w:val="en-GB"/>
              </w:rPr>
            </w:pPr>
            <w:r w:rsidRPr="006A6D19">
              <w:rPr>
                <w:lang w:val="en-GB"/>
              </w:rPr>
              <w:t xml:space="preserve">Completion of upper secondary education has never been higher. Improvement is still needed, particularly in vocational programs. </w:t>
            </w:r>
          </w:p>
        </w:tc>
        <w:tc>
          <w:tcPr>
            <w:tcW w:w="79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0F4331B7" w14:textId="56E12332" w:rsidR="008A5841" w:rsidRPr="006A6D19" w:rsidRDefault="007B3BCE" w:rsidP="00B765C1">
            <w:pPr>
              <w:rPr>
                <w:lang w:val="en-GB"/>
              </w:rPr>
            </w:pPr>
            <w:r>
              <w:rPr>
                <w:noProof/>
              </w:rPr>
              <w:drawing>
                <wp:inline distT="0" distB="0" distL="0" distR="0" wp14:anchorId="16101034" wp14:editId="014A68F8">
                  <wp:extent cx="990600" cy="447675"/>
                  <wp:effectExtent l="0" t="0" r="0" b="9525"/>
                  <wp:docPr id="1469847966" name="Bilde 3" descr="Close to target. Progress i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804348" name="Bilde 3" descr="Close to target. Progress is positiv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031C8218" w14:textId="77777777" w:rsidTr="001609FA">
        <w:tblPrEx>
          <w:tblCellMar>
            <w:top w:w="0" w:type="dxa"/>
            <w:left w:w="0" w:type="dxa"/>
            <w:bottom w:w="0" w:type="dxa"/>
            <w:right w:w="0" w:type="dxa"/>
          </w:tblCellMar>
        </w:tblPrEx>
        <w:trPr>
          <w:trHeight w:val="60"/>
        </w:trPr>
        <w:tc>
          <w:tcPr>
            <w:tcW w:w="62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25EAF6A" w14:textId="77777777" w:rsidR="008A5841" w:rsidRPr="006A6D19" w:rsidRDefault="008A5841" w:rsidP="00B765C1">
            <w:pPr>
              <w:rPr>
                <w:lang w:val="en-GB"/>
              </w:rPr>
            </w:pPr>
            <w:r w:rsidRPr="006A6D19">
              <w:rPr>
                <w:lang w:val="en-GB"/>
              </w:rPr>
              <w:t xml:space="preserve">4.5 </w:t>
            </w:r>
          </w:p>
        </w:tc>
        <w:tc>
          <w:tcPr>
            <w:tcW w:w="358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57C2550" w14:textId="77777777" w:rsidR="008A5841" w:rsidRPr="006A6D19" w:rsidRDefault="008A5841" w:rsidP="00B765C1">
            <w:pPr>
              <w:rPr>
                <w:lang w:val="en-GB"/>
              </w:rPr>
            </w:pPr>
            <w:r w:rsidRPr="006A6D19">
              <w:rPr>
                <w:lang w:val="en-GB"/>
              </w:rPr>
              <w:t>Access to education is universal, but gender disparities persist in technology, health, and teacher education programs.</w:t>
            </w:r>
          </w:p>
        </w:tc>
        <w:tc>
          <w:tcPr>
            <w:tcW w:w="79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6B0438F" w14:textId="6B93639B" w:rsidR="008A5841" w:rsidRPr="006A6D19" w:rsidRDefault="007B3BCE" w:rsidP="00B765C1">
            <w:pPr>
              <w:rPr>
                <w:lang w:val="en-GB"/>
              </w:rPr>
            </w:pPr>
            <w:r>
              <w:rPr>
                <w:noProof/>
              </w:rPr>
              <w:drawing>
                <wp:inline distT="0" distB="0" distL="0" distR="0" wp14:anchorId="1061291F" wp14:editId="7A734ED1">
                  <wp:extent cx="990600" cy="447675"/>
                  <wp:effectExtent l="0" t="0" r="0" b="9525"/>
                  <wp:docPr id="1317894014" name="Bilde 1" descr="Close to targ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34566" name="Bilde 1" descr="Close to target. Progress stagn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75A85974" w14:textId="77777777" w:rsidTr="001609FA">
        <w:tblPrEx>
          <w:tblCellMar>
            <w:top w:w="0" w:type="dxa"/>
            <w:left w:w="0" w:type="dxa"/>
            <w:bottom w:w="0" w:type="dxa"/>
            <w:right w:w="0" w:type="dxa"/>
          </w:tblCellMar>
        </w:tblPrEx>
        <w:trPr>
          <w:trHeight w:val="60"/>
        </w:trPr>
        <w:tc>
          <w:tcPr>
            <w:tcW w:w="62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77B78E95" w14:textId="77777777" w:rsidR="008A5841" w:rsidRPr="006A6D19" w:rsidRDefault="008A5841" w:rsidP="00B765C1">
            <w:pPr>
              <w:rPr>
                <w:lang w:val="en-GB"/>
              </w:rPr>
            </w:pPr>
            <w:r w:rsidRPr="006A6D19">
              <w:rPr>
                <w:lang w:val="en-GB"/>
              </w:rPr>
              <w:lastRenderedPageBreak/>
              <w:t xml:space="preserve">4.6 </w:t>
            </w:r>
          </w:p>
        </w:tc>
        <w:tc>
          <w:tcPr>
            <w:tcW w:w="358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7E5EF5A" w14:textId="77777777" w:rsidR="008A5841" w:rsidRPr="006A6D19" w:rsidRDefault="008A5841" w:rsidP="00B765C1">
            <w:pPr>
              <w:rPr>
                <w:lang w:val="en-GB"/>
              </w:rPr>
            </w:pPr>
            <w:r w:rsidRPr="006A6D19">
              <w:rPr>
                <w:lang w:val="en-GB"/>
              </w:rPr>
              <w:t>Reading and mathematics skills among Norwegian 15-year-olds have declined. Results for the adult population are generally good, but about 10% have weak reading, numeracy and problem-solving skills.</w:t>
            </w:r>
          </w:p>
        </w:tc>
        <w:tc>
          <w:tcPr>
            <w:tcW w:w="79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B1C3EF7" w14:textId="175C750F" w:rsidR="008A5841" w:rsidRPr="006A6D19" w:rsidRDefault="007B3BCE" w:rsidP="00B765C1">
            <w:pPr>
              <w:rPr>
                <w:lang w:val="en-GB"/>
              </w:rPr>
            </w:pPr>
            <w:r>
              <w:rPr>
                <w:noProof/>
              </w:rPr>
              <w:drawing>
                <wp:inline distT="0" distB="0" distL="0" distR="0" wp14:anchorId="51037F17" wp14:editId="0E2F6981">
                  <wp:extent cx="990600" cy="447675"/>
                  <wp:effectExtent l="0" t="0" r="0" b="9525"/>
                  <wp:docPr id="1914979786" name="Bilde 1" descr="Close to targ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34566" name="Bilde 1" descr="Close to target. Progress stagn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49922DF8" w14:textId="77777777" w:rsidTr="001609FA">
        <w:tblPrEx>
          <w:tblCellMar>
            <w:top w:w="0" w:type="dxa"/>
            <w:left w:w="0" w:type="dxa"/>
            <w:bottom w:w="0" w:type="dxa"/>
            <w:right w:w="0" w:type="dxa"/>
          </w:tblCellMar>
        </w:tblPrEx>
        <w:trPr>
          <w:trHeight w:val="60"/>
        </w:trPr>
        <w:tc>
          <w:tcPr>
            <w:tcW w:w="62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67C9B2B" w14:textId="77777777" w:rsidR="008A5841" w:rsidRPr="006A6D19" w:rsidRDefault="008A5841" w:rsidP="00B765C1">
            <w:pPr>
              <w:rPr>
                <w:lang w:val="en-GB"/>
              </w:rPr>
            </w:pPr>
            <w:r w:rsidRPr="006A6D19">
              <w:rPr>
                <w:lang w:val="en-GB"/>
              </w:rPr>
              <w:t xml:space="preserve">4.7 </w:t>
            </w:r>
          </w:p>
        </w:tc>
        <w:tc>
          <w:tcPr>
            <w:tcW w:w="358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0559AD59" w14:textId="77777777" w:rsidR="008A5841" w:rsidRPr="006A6D19" w:rsidRDefault="008A5841" w:rsidP="00B765C1">
            <w:pPr>
              <w:rPr>
                <w:lang w:val="en-GB"/>
              </w:rPr>
            </w:pPr>
            <w:r w:rsidRPr="006A6D19">
              <w:rPr>
                <w:lang w:val="en-GB"/>
              </w:rPr>
              <w:t>Sustainable development, public health and life skills, and democracy and citizenship are prioritised cross-curricular themes in primary and secondary education. A core purpose of higher education, according to national legislation, is to contribute to environmentally, socially and economically sustainable development.</w:t>
            </w:r>
          </w:p>
        </w:tc>
        <w:tc>
          <w:tcPr>
            <w:tcW w:w="79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C5BD1F3" w14:textId="6CA5E490" w:rsidR="008A5841" w:rsidRPr="006A6D19" w:rsidRDefault="00541482" w:rsidP="00B765C1">
            <w:pPr>
              <w:rPr>
                <w:lang w:val="en-GB"/>
              </w:rPr>
            </w:pPr>
            <w:r>
              <w:rPr>
                <w:noProof/>
              </w:rPr>
              <w:drawing>
                <wp:inline distT="0" distB="0" distL="0" distR="0" wp14:anchorId="333E6286" wp14:editId="7B566C0B">
                  <wp:extent cx="990600" cy="447675"/>
                  <wp:effectExtent l="0" t="0" r="0" b="9525"/>
                  <wp:docPr id="139373057" name="Bilde 6" descr="Target met. Progres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2134" name="Bilde 6" descr="Target met. Progress positiv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6ECE24B1" w14:textId="77777777" w:rsidTr="001609FA">
        <w:tblPrEx>
          <w:tblCellMar>
            <w:top w:w="0" w:type="dxa"/>
            <w:left w:w="0" w:type="dxa"/>
            <w:bottom w:w="0" w:type="dxa"/>
            <w:right w:w="0" w:type="dxa"/>
          </w:tblCellMar>
        </w:tblPrEx>
        <w:trPr>
          <w:trHeight w:val="60"/>
        </w:trPr>
        <w:tc>
          <w:tcPr>
            <w:tcW w:w="62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07FA6301" w14:textId="77777777" w:rsidR="008A5841" w:rsidRPr="006A6D19" w:rsidRDefault="008A5841" w:rsidP="00B765C1">
            <w:pPr>
              <w:rPr>
                <w:lang w:val="en-GB"/>
              </w:rPr>
            </w:pPr>
            <w:r w:rsidRPr="006A6D19">
              <w:rPr>
                <w:lang w:val="en-GB"/>
              </w:rPr>
              <w:t xml:space="preserve">4.A </w:t>
            </w:r>
          </w:p>
        </w:tc>
        <w:tc>
          <w:tcPr>
            <w:tcW w:w="358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BB4E406" w14:textId="77777777" w:rsidR="008A5841" w:rsidRPr="006A6D19" w:rsidRDefault="008A5841" w:rsidP="00B765C1">
            <w:pPr>
              <w:rPr>
                <w:lang w:val="en-GB"/>
              </w:rPr>
            </w:pPr>
            <w:r w:rsidRPr="006A6D19">
              <w:rPr>
                <w:lang w:val="en-GB"/>
              </w:rPr>
              <w:t>The Norwegian Directorates for Education and Training and for Higher Education and Skills provide guidance on universal design, individual accommodation and inclusive learning environments across the education system, from kindergartens and primary and secondary education to higher education institutions and vocational colleges, in accordance with Norwegian legal requirements.</w:t>
            </w:r>
          </w:p>
        </w:tc>
        <w:tc>
          <w:tcPr>
            <w:tcW w:w="79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59C78AB" w14:textId="1D6B1862" w:rsidR="008A5841" w:rsidRPr="006A6D19" w:rsidRDefault="00541482" w:rsidP="00B765C1">
            <w:pPr>
              <w:rPr>
                <w:lang w:val="en-GB"/>
              </w:rPr>
            </w:pPr>
            <w:r>
              <w:rPr>
                <w:noProof/>
              </w:rPr>
              <w:drawing>
                <wp:inline distT="0" distB="0" distL="0" distR="0" wp14:anchorId="30933993" wp14:editId="1B148B4E">
                  <wp:extent cx="990600" cy="447675"/>
                  <wp:effectExtent l="0" t="0" r="0" b="9525"/>
                  <wp:docPr id="1506665587" name="Bilde 4" descr="Target m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11348" name="Bilde 4" descr="Target met. Progress stagn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42A024A7" w14:textId="77777777" w:rsidTr="001609FA">
        <w:tblPrEx>
          <w:tblCellMar>
            <w:top w:w="0" w:type="dxa"/>
            <w:left w:w="0" w:type="dxa"/>
            <w:bottom w:w="0" w:type="dxa"/>
            <w:right w:w="0" w:type="dxa"/>
          </w:tblCellMar>
        </w:tblPrEx>
        <w:trPr>
          <w:trHeight w:val="60"/>
        </w:trPr>
        <w:tc>
          <w:tcPr>
            <w:tcW w:w="62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75627BB4" w14:textId="77777777" w:rsidR="008A5841" w:rsidRPr="006A6D19" w:rsidRDefault="008A5841" w:rsidP="00B765C1">
            <w:pPr>
              <w:rPr>
                <w:lang w:val="en-GB"/>
              </w:rPr>
            </w:pPr>
            <w:r w:rsidRPr="006A6D19">
              <w:rPr>
                <w:lang w:val="en-GB"/>
              </w:rPr>
              <w:t xml:space="preserve">4.B </w:t>
            </w:r>
          </w:p>
        </w:tc>
        <w:tc>
          <w:tcPr>
            <w:tcW w:w="358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E30ADB0" w14:textId="77777777" w:rsidR="008A5841" w:rsidRPr="006A6D19" w:rsidRDefault="008A5841" w:rsidP="00B765C1">
            <w:pPr>
              <w:rPr>
                <w:lang w:val="en-GB"/>
              </w:rPr>
            </w:pPr>
            <w:r w:rsidRPr="006A6D19">
              <w:rPr>
                <w:lang w:val="en-GB"/>
              </w:rPr>
              <w:t>Student mobility is an objective in Norway’s international cooperation. Student exchange with and within countries in the global south is included in the Norwegian programmes NORPART and NORHED, for global academic cooperation and capacity development in higher education and research for development. The scholarship programme NORSTIP provides scholarships for master students from countries in Africa, Asia and Latin America.</w:t>
            </w:r>
          </w:p>
        </w:tc>
        <w:tc>
          <w:tcPr>
            <w:tcW w:w="79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0C84182D" w14:textId="2DCC4612" w:rsidR="008A5841" w:rsidRPr="006A6D19" w:rsidRDefault="00541482" w:rsidP="00B765C1">
            <w:pPr>
              <w:rPr>
                <w:lang w:val="en-GB"/>
              </w:rPr>
            </w:pPr>
            <w:r>
              <w:rPr>
                <w:noProof/>
              </w:rPr>
              <w:drawing>
                <wp:inline distT="0" distB="0" distL="0" distR="0" wp14:anchorId="10A8DEF5" wp14:editId="397E1C3E">
                  <wp:extent cx="990600" cy="447675"/>
                  <wp:effectExtent l="0" t="0" r="0" b="9525"/>
                  <wp:docPr id="1523628122" name="Bilde 4" descr="Target m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11348" name="Bilde 4" descr="Target met. Progress stagn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18704C94" w14:textId="77777777" w:rsidTr="001609FA">
        <w:tblPrEx>
          <w:tblCellMar>
            <w:top w:w="0" w:type="dxa"/>
            <w:left w:w="0" w:type="dxa"/>
            <w:bottom w:w="0" w:type="dxa"/>
            <w:right w:w="0" w:type="dxa"/>
          </w:tblCellMar>
        </w:tblPrEx>
        <w:trPr>
          <w:trHeight w:val="60"/>
        </w:trPr>
        <w:tc>
          <w:tcPr>
            <w:tcW w:w="628" w:type="pct"/>
            <w:tcBorders>
              <w:top w:val="single" w:sz="6" w:space="0" w:color="000000"/>
              <w:left w:val="single" w:sz="6" w:space="0" w:color="000000"/>
              <w:bottom w:val="single" w:sz="6" w:space="0" w:color="000000"/>
              <w:right w:val="single" w:sz="6" w:space="0" w:color="000000"/>
            </w:tcBorders>
            <w:tcMar>
              <w:top w:w="102" w:type="dxa"/>
              <w:left w:w="0" w:type="dxa"/>
              <w:bottom w:w="170" w:type="dxa"/>
              <w:right w:w="85" w:type="dxa"/>
            </w:tcMar>
          </w:tcPr>
          <w:p w14:paraId="14AAFE40" w14:textId="1E36474A" w:rsidR="008A5841" w:rsidRPr="006A6D19" w:rsidRDefault="008A5841" w:rsidP="00B765C1">
            <w:pPr>
              <w:rPr>
                <w:lang w:val="en-GB"/>
              </w:rPr>
            </w:pPr>
            <w:r w:rsidRPr="006A6D19">
              <w:rPr>
                <w:lang w:val="en-GB"/>
              </w:rPr>
              <w:t>4.C</w:t>
            </w:r>
            <w:r w:rsidR="001609FA" w:rsidRPr="006A6D19">
              <w:rPr>
                <w:lang w:val="en-GB"/>
              </w:rPr>
              <w:t xml:space="preserve"> </w:t>
            </w:r>
          </w:p>
        </w:tc>
        <w:tc>
          <w:tcPr>
            <w:tcW w:w="3580" w:type="pct"/>
            <w:tcBorders>
              <w:top w:val="single" w:sz="6" w:space="0" w:color="000000"/>
              <w:left w:val="single" w:sz="6" w:space="0" w:color="000000"/>
              <w:bottom w:val="single" w:sz="6" w:space="0" w:color="000000"/>
              <w:right w:val="single" w:sz="6" w:space="0" w:color="000000"/>
            </w:tcBorders>
            <w:tcMar>
              <w:top w:w="102" w:type="dxa"/>
              <w:left w:w="0" w:type="dxa"/>
              <w:bottom w:w="170" w:type="dxa"/>
              <w:right w:w="85" w:type="dxa"/>
            </w:tcMar>
          </w:tcPr>
          <w:p w14:paraId="7EE8A015" w14:textId="602041C4" w:rsidR="008A5841" w:rsidRPr="006A6D19" w:rsidRDefault="008A5841" w:rsidP="00B765C1">
            <w:pPr>
              <w:rPr>
                <w:lang w:val="en-GB"/>
              </w:rPr>
            </w:pPr>
            <w:r w:rsidRPr="006A6D19">
              <w:rPr>
                <w:lang w:val="en-GB"/>
              </w:rPr>
              <w:t>Norway’s efforts to counter the global shortfall of qualified teachers include support for UNESCO’s global education programme. Norway has contributed to the training of 4.7 </w:t>
            </w:r>
            <w:r w:rsidRPr="006A6D19">
              <w:rPr>
                <w:lang w:val="en-GB"/>
              </w:rPr>
              <w:t xml:space="preserve">million. teachers in partner countries. Education Cannot Wait has trained more than 243 000 teachers with strong support from Norway. </w:t>
            </w:r>
          </w:p>
        </w:tc>
        <w:tc>
          <w:tcPr>
            <w:tcW w:w="792" w:type="pct"/>
            <w:tcBorders>
              <w:top w:val="single" w:sz="6" w:space="0" w:color="000000"/>
              <w:left w:val="single" w:sz="6" w:space="0" w:color="000000"/>
              <w:bottom w:val="single" w:sz="6" w:space="0" w:color="000000"/>
              <w:right w:val="single" w:sz="6" w:space="0" w:color="000000"/>
            </w:tcBorders>
            <w:tcMar>
              <w:top w:w="102" w:type="dxa"/>
              <w:left w:w="0" w:type="dxa"/>
              <w:bottom w:w="170" w:type="dxa"/>
              <w:right w:w="85" w:type="dxa"/>
            </w:tcMar>
          </w:tcPr>
          <w:p w14:paraId="3D5246BB" w14:textId="6CC4C2A8" w:rsidR="008A5841" w:rsidRPr="006A6D19" w:rsidRDefault="00541482" w:rsidP="00B765C1">
            <w:pPr>
              <w:rPr>
                <w:lang w:val="en-GB"/>
              </w:rPr>
            </w:pPr>
            <w:r>
              <w:rPr>
                <w:noProof/>
              </w:rPr>
              <w:drawing>
                <wp:inline distT="0" distB="0" distL="0" distR="0" wp14:anchorId="536C8A16" wp14:editId="05FA4CEE">
                  <wp:extent cx="990600" cy="447675"/>
                  <wp:effectExtent l="0" t="0" r="0" b="9525"/>
                  <wp:docPr id="8502575" name="Bilde 4" descr="Target m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11348" name="Bilde 4" descr="Target met. Progress stagn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bl>
    <w:p w14:paraId="273678AC" w14:textId="77777777" w:rsidR="008A5841" w:rsidRPr="006A6D19" w:rsidRDefault="008A5841" w:rsidP="00B765C1">
      <w:pPr>
        <w:rPr>
          <w:lang w:val="en-GB"/>
        </w:rPr>
      </w:pPr>
    </w:p>
    <w:p w14:paraId="6FC02D15" w14:textId="77777777" w:rsidR="008A5841" w:rsidRPr="006A6D19" w:rsidRDefault="008A5841" w:rsidP="00B765C1">
      <w:pPr>
        <w:rPr>
          <w:lang w:val="en-GB"/>
        </w:rPr>
      </w:pPr>
      <w:r w:rsidRPr="006A6D19">
        <w:rPr>
          <w:rStyle w:val="halvfet"/>
          <w:lang w:val="en-GB"/>
        </w:rPr>
        <w:t>General Status:</w:t>
      </w:r>
      <w:r w:rsidRPr="006A6D19">
        <w:rPr>
          <w:lang w:val="en-GB"/>
        </w:rPr>
        <w:t xml:space="preserve"> Access to early childhood education and care is high, and nearly all children aged 3–5 attend. Primary education is available to all, and of high quality. Everyone has the right, but not the obligation, to complete upper secondary education. An increasing share of students completed upper secondary school. In 2023, 42.6 percent of women and 32.3 percent of men in Norway had completed higher education.</w:t>
      </w:r>
    </w:p>
    <w:p w14:paraId="3A8E6D39" w14:textId="77777777" w:rsidR="008A5841" w:rsidRPr="006A6D19" w:rsidRDefault="008A5841" w:rsidP="00B765C1">
      <w:pPr>
        <w:rPr>
          <w:lang w:val="en-GB"/>
        </w:rPr>
      </w:pPr>
      <w:r w:rsidRPr="006A6D19">
        <w:rPr>
          <w:rStyle w:val="halvfet"/>
          <w:lang w:val="en-GB"/>
        </w:rPr>
        <w:t>Main Achievements:</w:t>
      </w:r>
      <w:r w:rsidRPr="006A6D19">
        <w:rPr>
          <w:lang w:val="en-GB"/>
        </w:rPr>
        <w:t xml:space="preserve"> The maximum kindergarten fee is historically low, and the Government has introduced free kindergarten in </w:t>
      </w:r>
      <w:proofErr w:type="spellStart"/>
      <w:r w:rsidRPr="006A6D19">
        <w:rPr>
          <w:lang w:val="en-GB"/>
        </w:rPr>
        <w:t>Finnmark</w:t>
      </w:r>
      <w:proofErr w:type="spellEnd"/>
      <w:r w:rsidRPr="006A6D19">
        <w:rPr>
          <w:lang w:val="en-GB"/>
        </w:rPr>
        <w:t xml:space="preserve"> and Northern Troms. The sibling discount has been </w:t>
      </w:r>
      <w:r w:rsidRPr="006A6D19">
        <w:rPr>
          <w:lang w:val="en-GB"/>
        </w:rPr>
        <w:lastRenderedPageBreak/>
        <w:t>strengthened so the third child of a family attends for free. The Government has introduced measures to support learning, well-being, and motivation, including a national program for practical learning, grants for school environment teams, and a new quality development system. Several measures have been introduced to strengthen children and stud</w:t>
      </w:r>
      <w:r w:rsidRPr="006A6D19">
        <w:rPr>
          <w:lang w:val="en-GB"/>
        </w:rPr>
        <w:t xml:space="preserve">ents’ reading skills and motivation to read. A reading commission has been appointed and there has been substantial funding to buy books in kindergartens and schools. It has been decided that schools should be especially restrictive in the use of tablets and digital devices and tools in their teaching of the youngest students. There are also strong recommendations for schools to regulate students’ access to mobile phones and smartwatches during school hours. All classrooms should be mobile-free. In primary </w:t>
      </w:r>
      <w:r w:rsidRPr="006A6D19">
        <w:rPr>
          <w:lang w:val="en-GB"/>
        </w:rPr>
        <w:t>schools, all breaks should also be mobile-free.</w:t>
      </w:r>
    </w:p>
    <w:p w14:paraId="05010172" w14:textId="77777777" w:rsidR="008A5841" w:rsidRPr="006A6D19" w:rsidRDefault="008A5841" w:rsidP="00B765C1">
      <w:pPr>
        <w:rPr>
          <w:lang w:val="en-GB"/>
        </w:rPr>
      </w:pPr>
      <w:r w:rsidRPr="006A6D19">
        <w:rPr>
          <w:lang w:val="en-GB"/>
        </w:rPr>
        <w:t>The share of students completing upper secondary education has increased by ten percentage points over the past decade. In 2025, around 97 percent progressed from lower secondary to upper secondary education. Participation in vocational colleges is increasing with enrolment doubling from 2017 to 2023.</w:t>
      </w:r>
    </w:p>
    <w:p w14:paraId="12A12ECF" w14:textId="77777777" w:rsidR="008A5841" w:rsidRPr="006A6D19" w:rsidRDefault="008A5841" w:rsidP="00B765C1">
      <w:pPr>
        <w:rPr>
          <w:lang w:val="en-GB"/>
        </w:rPr>
      </w:pPr>
      <w:r w:rsidRPr="006A6D19">
        <w:rPr>
          <w:rStyle w:val="halvfet"/>
          <w:lang w:val="en-GB"/>
        </w:rPr>
        <w:t>Norway’s Challenges:</w:t>
      </w:r>
      <w:r w:rsidRPr="006A6D19">
        <w:rPr>
          <w:lang w:val="en-GB"/>
        </w:rPr>
        <w:t xml:space="preserve"> The quality of kindergarten services varies greatly, and the sector has high doctor-certified sick leave. Also, there are challenges in recruiting and keeping kindergarten teachers. In schools, there has been a decline in learning outcomes in several subjects and skills. From 2018 to 2022, performance decreased in reading, mathematics, and science as measured by the PISA survey. PIRLS 2021 also showed a decline in the reading skills of Norwegian ten-year-olds. Norwegian students reported the lowest enjoyme</w:t>
      </w:r>
      <w:r w:rsidRPr="006A6D19">
        <w:rPr>
          <w:lang w:val="en-GB"/>
        </w:rPr>
        <w:t>nt of reading among all 65 countries that participated in PIRLS 2021. Completion rates remain lower in vocational programs, partly because they recruit more students with weaker lower secondary education skills. Boys with an immigrant background obtain apprenticeships and complete vocational education at lower rates, a gap not explained by absenteeism or grades. Children of parents with lower levels of education tend to perform worse in school and are less likely to pursue higher education.</w:t>
      </w:r>
    </w:p>
    <w:p w14:paraId="4C8D7E1C" w14:textId="77777777" w:rsidR="008A5841" w:rsidRPr="006A6D19" w:rsidRDefault="008A5841" w:rsidP="00B765C1">
      <w:pPr>
        <w:rPr>
          <w:lang w:val="en-GB"/>
        </w:rPr>
      </w:pPr>
      <w:r w:rsidRPr="006A6D19">
        <w:rPr>
          <w:rStyle w:val="halvfet"/>
          <w:lang w:val="en-GB"/>
        </w:rPr>
        <w:t>Global Responsibility:</w:t>
      </w:r>
      <w:r w:rsidRPr="006A6D19">
        <w:rPr>
          <w:lang w:val="en-GB"/>
        </w:rPr>
        <w:t xml:space="preserve"> Norway prioritises education in crisis and conflict, education for girls, comprehensive sexuality education, and partnerships in higher education. Key components include support for system and capacity strengthening, as well as programs to train and enhance the quality of teachers. Norway’s international cooperation to ensure quality education for all is mainly implemented by multilateral partners, in particular UNICEF, UNESCO, the Global Partnership for Education and Education Cannot Wait.</w:t>
      </w:r>
    </w:p>
    <w:p w14:paraId="6B2BD9E0" w14:textId="77777777" w:rsidR="008A5841" w:rsidRPr="006A6D19" w:rsidRDefault="008A5841" w:rsidP="006B301F">
      <w:pPr>
        <w:pStyle w:val="avsnitt-undertittel"/>
        <w:rPr>
          <w:lang w:val="en-GB"/>
        </w:rPr>
      </w:pPr>
      <w:r w:rsidRPr="006A6D19">
        <w:rPr>
          <w:lang w:val="en-GB"/>
        </w:rPr>
        <w:t>Main Policy Initiatives 2021–2026</w:t>
      </w:r>
    </w:p>
    <w:p w14:paraId="0C526130" w14:textId="77777777" w:rsidR="008A5841" w:rsidRPr="006A6D19" w:rsidRDefault="008A5841" w:rsidP="00B765C1">
      <w:pPr>
        <w:pStyle w:val="Listebombe"/>
        <w:rPr>
          <w:lang w:val="en-GB"/>
        </w:rPr>
      </w:pPr>
      <w:r w:rsidRPr="006A6D19">
        <w:rPr>
          <w:lang w:val="en-GB"/>
        </w:rPr>
        <w:t>The maximum kindergarten fee has been significantly lowered and there is financial support to strengthen staffing in kindergartens.</w:t>
      </w:r>
    </w:p>
    <w:p w14:paraId="4F6716D3" w14:textId="77777777" w:rsidR="008A5841" w:rsidRPr="006A6D19" w:rsidRDefault="008A5841" w:rsidP="00B765C1">
      <w:pPr>
        <w:pStyle w:val="Listebombe"/>
        <w:rPr>
          <w:lang w:val="en-GB"/>
        </w:rPr>
      </w:pPr>
      <w:r w:rsidRPr="006A6D19">
        <w:rPr>
          <w:lang w:val="en-GB"/>
        </w:rPr>
        <w:t>The Reading Initiative with several measures to strengthen children and students reading skills and motivation, including funding for books in kindergarten and schools, a Reading Commission and additional support to students with dyslexia.</w:t>
      </w:r>
    </w:p>
    <w:p w14:paraId="40E372D2" w14:textId="77777777" w:rsidR="008A5841" w:rsidRPr="006A6D19" w:rsidRDefault="008A5841" w:rsidP="00B765C1">
      <w:pPr>
        <w:pStyle w:val="Listebombe"/>
        <w:rPr>
          <w:lang w:val="en-GB"/>
        </w:rPr>
      </w:pPr>
      <w:r w:rsidRPr="006A6D19">
        <w:rPr>
          <w:lang w:val="en-GB"/>
        </w:rPr>
        <w:lastRenderedPageBreak/>
        <w:t>A new Education Act entered into force on August 1st, 2024. Under the Act, the right to upper secondary education applies until the individual has obtained academic or vocational qualifications.</w:t>
      </w:r>
    </w:p>
    <w:p w14:paraId="70B8B7C8" w14:textId="77777777" w:rsidR="008A5841" w:rsidRPr="006A6D19" w:rsidRDefault="008A5841" w:rsidP="00B765C1">
      <w:pPr>
        <w:pStyle w:val="Listebombe"/>
        <w:rPr>
          <w:lang w:val="en-GB"/>
        </w:rPr>
      </w:pPr>
      <w:r w:rsidRPr="006A6D19">
        <w:rPr>
          <w:lang w:val="en-GB"/>
        </w:rPr>
        <w:t>A scholarship programme for master students from partner countries in Africa, Asia and Latin America (NORSTIP) was established in 2023.</w:t>
      </w:r>
    </w:p>
    <w:p w14:paraId="796F5728" w14:textId="3F423667" w:rsidR="008A5841" w:rsidRPr="006A6D19" w:rsidRDefault="008A5841" w:rsidP="00B765C1">
      <w:pPr>
        <w:pStyle w:val="Listebombe"/>
        <w:rPr>
          <w:lang w:val="en-GB"/>
        </w:rPr>
      </w:pPr>
      <w:r w:rsidRPr="006A6D19">
        <w:rPr>
          <w:lang w:val="en-GB"/>
        </w:rPr>
        <w:t>Multi-year pledges to multilateral partner organisations’</w:t>
      </w:r>
      <w:r w:rsidR="001609FA" w:rsidRPr="006A6D19">
        <w:rPr>
          <w:lang w:val="en-GB"/>
        </w:rPr>
        <w:t xml:space="preserve"> </w:t>
      </w:r>
      <w:r w:rsidRPr="006A6D19">
        <w:rPr>
          <w:lang w:val="en-GB"/>
        </w:rPr>
        <w:t>strategic plans, such as the Global Partnership for Education 2021–2025, UNESCO’s education programmes 2023–2025, in addition to Education Cannot Wait 2023–2026.</w:t>
      </w:r>
    </w:p>
    <w:p w14:paraId="3F6FA220" w14:textId="77777777" w:rsidR="008A5841" w:rsidRPr="006A6D19" w:rsidRDefault="008A5841" w:rsidP="001609FA">
      <w:pPr>
        <w:rPr>
          <w:lang w:val="en-GB"/>
        </w:rPr>
      </w:pPr>
    </w:p>
    <w:p w14:paraId="38AB848F" w14:textId="77777777" w:rsidR="008A5841" w:rsidRPr="006A6D19" w:rsidRDefault="008A5841" w:rsidP="00B765C1">
      <w:pPr>
        <w:rPr>
          <w:lang w:val="en-GB"/>
        </w:rPr>
      </w:pPr>
    </w:p>
    <w:p w14:paraId="2D721473" w14:textId="77777777" w:rsidR="006B301F" w:rsidRPr="006A6D19" w:rsidRDefault="006B301F" w:rsidP="006B301F">
      <w:pPr>
        <w:pStyle w:val="Undertittel"/>
        <w:rPr>
          <w:lang w:val="en-GB"/>
        </w:rPr>
      </w:pPr>
      <w:r w:rsidRPr="006A6D19">
        <w:rPr>
          <w:lang w:val="en-GB"/>
        </w:rPr>
        <w:t>Assessment by Civil Society</w:t>
      </w:r>
    </w:p>
    <w:p w14:paraId="29139CE0" w14:textId="77777777" w:rsidR="008A5841" w:rsidRPr="006A6D19" w:rsidRDefault="008A5841" w:rsidP="00B765C1">
      <w:pPr>
        <w:rPr>
          <w:rStyle w:val="kursiv"/>
          <w:lang w:val="en-GB"/>
        </w:rPr>
      </w:pPr>
      <w:r w:rsidRPr="006A6D19">
        <w:rPr>
          <w:lang w:val="en-GB"/>
        </w:rPr>
        <w:t xml:space="preserve">The following organisations have participated in this assessment: </w:t>
      </w:r>
      <w:r w:rsidRPr="006A6D19">
        <w:rPr>
          <w:lang w:val="en-GB"/>
        </w:rPr>
        <w:t xml:space="preserve">The Norwegian Association of the Blind and Partially Sighted, Norwegian Library Association, The United Nations Association of Norway, ADRA Norway, The Atlas Alliance, </w:t>
      </w:r>
      <w:proofErr w:type="spellStart"/>
      <w:r w:rsidRPr="006A6D19">
        <w:rPr>
          <w:lang w:val="en-GB"/>
        </w:rPr>
        <w:t>Digni</w:t>
      </w:r>
      <w:proofErr w:type="spellEnd"/>
      <w:r w:rsidRPr="006A6D19">
        <w:rPr>
          <w:lang w:val="en-GB"/>
        </w:rPr>
        <w:t xml:space="preserve">, Norwegian Association of the Disabled, Operation Day’s Work (ODW), Plan International Norway, Save the Children Norway, Right to Play Norway, SAIH – The Norwegian Students’ and Academics’ International Assistance Fund, The Norwegian Association for Sexual and Reproductive Health and Rights, The Norwegian Union of School Employees, SOS </w:t>
      </w:r>
      <w:r w:rsidRPr="006A6D19">
        <w:rPr>
          <w:lang w:val="en-GB"/>
        </w:rPr>
        <w:t>Children’s Villages Norway, The Strømme Foundation, UNICEF Norway, The Norwegian Federation of Organisations of Persons with Disabilities, The National Union of Students in Norway, The Association for International Water Studies (FIVAS), The Norwegian forum for Development and the Environment (</w:t>
      </w:r>
      <w:proofErr w:type="spellStart"/>
      <w:r w:rsidRPr="006A6D19">
        <w:rPr>
          <w:lang w:val="en-GB"/>
        </w:rPr>
        <w:t>ForUM</w:t>
      </w:r>
      <w:proofErr w:type="spellEnd"/>
      <w:r w:rsidRPr="006A6D19">
        <w:rPr>
          <w:lang w:val="en-GB"/>
        </w:rPr>
        <w:t>).</w:t>
      </w:r>
    </w:p>
    <w:p w14:paraId="7075FEB6" w14:textId="70279B46" w:rsidR="008A5841" w:rsidRPr="006A6D19" w:rsidRDefault="008A5841" w:rsidP="00B765C1">
      <w:pPr>
        <w:rPr>
          <w:lang w:val="en-GB"/>
        </w:rPr>
      </w:pPr>
      <w:r>
        <w:rPr>
          <w:noProof/>
          <w:lang w:val="en-GB"/>
        </w:rPr>
        <w:drawing>
          <wp:inline distT="0" distB="0" distL="0" distR="0" wp14:anchorId="585B0D74" wp14:editId="381FEE50">
            <wp:extent cx="561975" cy="561975"/>
            <wp:effectExtent l="0" t="0" r="9525" b="9525"/>
            <wp:docPr id="1193551454" name="Bilde 84" descr="Arrow sidew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442347" name="Bilde 84" descr="Arrow sideways"/>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r>
        <w:rPr>
          <w:rStyle w:val="halvfet"/>
          <w:lang w:val="en-GB"/>
        </w:rPr>
        <w:t xml:space="preserve"> </w:t>
      </w:r>
      <w:r w:rsidRPr="006A6D19">
        <w:rPr>
          <w:rStyle w:val="halvfet"/>
          <w:lang w:val="en-GB"/>
        </w:rPr>
        <w:t>Trend:</w:t>
      </w:r>
      <w:r w:rsidRPr="006A6D19">
        <w:rPr>
          <w:lang w:val="en-GB"/>
        </w:rPr>
        <w:t xml:space="preserve"> Stagnant</w:t>
      </w:r>
      <w:r w:rsidR="001609FA" w:rsidRPr="006A6D19">
        <w:rPr>
          <w:lang w:val="en-GB"/>
        </w:rPr>
        <w:t xml:space="preserve"> </w:t>
      </w:r>
    </w:p>
    <w:p w14:paraId="79B974F0" w14:textId="77777777" w:rsidR="008A5841" w:rsidRPr="006A6D19" w:rsidRDefault="008A5841" w:rsidP="00B765C1">
      <w:pPr>
        <w:rPr>
          <w:lang w:val="en-GB"/>
        </w:rPr>
      </w:pPr>
      <w:r w:rsidRPr="006A6D19">
        <w:rPr>
          <w:rStyle w:val="halvfet"/>
          <w:lang w:val="en-GB"/>
        </w:rPr>
        <w:t>Norway has succeeded</w:t>
      </w:r>
      <w:r w:rsidRPr="006A6D19">
        <w:rPr>
          <w:lang w:val="en-GB"/>
        </w:rPr>
        <w:t xml:space="preserve"> in building a strong and inclusive education system. Primary and secondary schooling is free and compulsory, and lower kindergarten fees have made early childhood education more accessible. Upper</w:t>
      </w:r>
      <w:r w:rsidRPr="006A6D19">
        <w:rPr>
          <w:lang w:val="en-GB"/>
        </w:rPr>
        <w:noBreakHyphen/>
        <w:t>secondary completion has increased by 10 percentage points since 2015 and now stands at 82 percent. However, completion rates remain lower among Technical and Vocational Education and Training students, and fewer pupils transition directly from lower to upper secondary school compared to ten years ago (96.8 percen</w:t>
      </w:r>
      <w:r w:rsidRPr="006A6D19">
        <w:rPr>
          <w:lang w:val="en-GB"/>
        </w:rPr>
        <w:t>t in 2025 vs. 98.3 percent in 2014).</w:t>
      </w:r>
    </w:p>
    <w:p w14:paraId="5AC81FE2" w14:textId="77777777" w:rsidR="008A5841" w:rsidRPr="006A6D19" w:rsidRDefault="008A5841" w:rsidP="00B765C1">
      <w:pPr>
        <w:rPr>
          <w:lang w:val="en-GB"/>
        </w:rPr>
      </w:pPr>
      <w:r w:rsidRPr="006A6D19">
        <w:rPr>
          <w:lang w:val="en-GB"/>
        </w:rPr>
        <w:t>Internationally, Norway’s financial support for education has declined significantly. Official development assistance (ODA) to education fell by 33 percent between 2021 and 2024, and tuition fees were introduced for international students. On the positive side, the 2024 humanitarian strategy recognises education as life</w:t>
      </w:r>
      <w:r w:rsidRPr="006A6D19">
        <w:rPr>
          <w:lang w:val="en-GB"/>
        </w:rPr>
        <w:noBreakHyphen/>
        <w:t>saving, and Norway continues its strong commitment to the Safe Schools Declaration.</w:t>
      </w:r>
    </w:p>
    <w:p w14:paraId="4A7C1551" w14:textId="77777777" w:rsidR="008A5841" w:rsidRPr="006A6D19" w:rsidRDefault="008A5841" w:rsidP="00B765C1">
      <w:pPr>
        <w:rPr>
          <w:lang w:val="en-GB"/>
        </w:rPr>
      </w:pPr>
      <w:r w:rsidRPr="006A6D19">
        <w:rPr>
          <w:rStyle w:val="halvfet"/>
          <w:lang w:val="en-GB"/>
        </w:rPr>
        <w:t>Norway’s challenge</w:t>
      </w:r>
      <w:r w:rsidRPr="006A6D19">
        <w:rPr>
          <w:lang w:val="en-GB"/>
        </w:rPr>
        <w:t xml:space="preserve"> is, despite its strengths, that the Norwegian education system faces several persistent issues. There is a substantial shortage of teachers and support staff. Bullying remains widespread, and many school facilities and materials are not universally designed, limiting inclusion for children with disabilities.</w:t>
      </w:r>
    </w:p>
    <w:p w14:paraId="154A93B4" w14:textId="77777777" w:rsidR="008A5841" w:rsidRPr="006A6D19" w:rsidRDefault="008A5841" w:rsidP="00B765C1">
      <w:pPr>
        <w:rPr>
          <w:lang w:val="en-GB"/>
        </w:rPr>
      </w:pPr>
      <w:r w:rsidRPr="006A6D19">
        <w:rPr>
          <w:lang w:val="en-GB"/>
        </w:rPr>
        <w:lastRenderedPageBreak/>
        <w:t>Norway is experiencing a pronounced decl</w:t>
      </w:r>
      <w:r w:rsidRPr="006A6D19">
        <w:rPr>
          <w:lang w:val="en-GB"/>
        </w:rPr>
        <w:t>ine in reading proficiency. PISA 2022 shows Norwegian 15</w:t>
      </w:r>
      <w:r w:rsidRPr="006A6D19">
        <w:rPr>
          <w:lang w:val="en-GB"/>
        </w:rPr>
        <w:noBreakHyphen/>
        <w:t>year</w:t>
      </w:r>
      <w:r w:rsidRPr="006A6D19">
        <w:rPr>
          <w:lang w:val="en-GB"/>
        </w:rPr>
        <w:noBreakHyphen/>
        <w:t>olds scoring 477 points in reading—Norway’s lowest score ever and 22 points below 2018. National data confirm a 23</w:t>
      </w:r>
      <w:r w:rsidRPr="006A6D19">
        <w:rPr>
          <w:lang w:val="en-GB"/>
        </w:rPr>
        <w:noBreakHyphen/>
        <w:t>point decline from 2018 to 2022 and a rise in low performers, with students below proficiency level 2 increasing from 19 percent to 27 percent. These developments exacerbate socioeconomic inequalities, and uneven access to quality school libraries weakens support for struggling readers.</w:t>
      </w:r>
    </w:p>
    <w:p w14:paraId="69111A9C" w14:textId="77777777" w:rsidR="008A5841" w:rsidRPr="006A6D19" w:rsidRDefault="008A5841" w:rsidP="00B765C1">
      <w:pPr>
        <w:rPr>
          <w:lang w:val="en-GB"/>
        </w:rPr>
      </w:pPr>
      <w:r w:rsidRPr="006A6D19">
        <w:rPr>
          <w:lang w:val="en-GB"/>
        </w:rPr>
        <w:t>Progress on Education for Sustainable Developme</w:t>
      </w:r>
      <w:r w:rsidRPr="006A6D19">
        <w:rPr>
          <w:lang w:val="en-GB"/>
        </w:rPr>
        <w:t>nt (ESD) is also uneven. Findings show that the interdisciplinary topic of sustainable development is inconsistently implemented across schools. Many teachers lack the time, resources and pedagogical tools to translate curriculum intentions into practice. Whole</w:t>
      </w:r>
      <w:r w:rsidRPr="006A6D19">
        <w:rPr>
          <w:lang w:val="en-GB"/>
        </w:rPr>
        <w:noBreakHyphen/>
        <w:t>school approaches are only partly realised, and key ESD values—critical thinking, democratic participation, ethical reflection and systems thinking—are not systematically embedded. As a result, pupils have unequal opportunities to develop the compete</w:t>
      </w:r>
      <w:r w:rsidRPr="006A6D19">
        <w:rPr>
          <w:lang w:val="en-GB"/>
        </w:rPr>
        <w:t>ncies needed to understand and address complex societal and global challenges.</w:t>
      </w:r>
    </w:p>
    <w:p w14:paraId="5036B1AE" w14:textId="77777777" w:rsidR="008A5841" w:rsidRPr="006A6D19" w:rsidRDefault="008A5841" w:rsidP="006B301F">
      <w:pPr>
        <w:pStyle w:val="avsnitt-undertittel"/>
        <w:rPr>
          <w:lang w:val="en-GB"/>
        </w:rPr>
      </w:pPr>
      <w:r w:rsidRPr="006A6D19">
        <w:rPr>
          <w:lang w:val="en-GB"/>
        </w:rPr>
        <w:t>Norway must:</w:t>
      </w:r>
    </w:p>
    <w:p w14:paraId="5D4B4656" w14:textId="77777777" w:rsidR="008A5841" w:rsidRPr="006A6D19" w:rsidRDefault="008A5841" w:rsidP="00B765C1">
      <w:pPr>
        <w:pStyle w:val="Listebombe"/>
        <w:rPr>
          <w:lang w:val="en-GB"/>
        </w:rPr>
      </w:pPr>
      <w:r w:rsidRPr="006A6D19">
        <w:rPr>
          <w:lang w:val="en-GB"/>
        </w:rPr>
        <w:t>Ensure equal access to information and strengthen pupils’ critical thinking and reading skills.</w:t>
      </w:r>
    </w:p>
    <w:p w14:paraId="2BD64130" w14:textId="77777777" w:rsidR="008A5841" w:rsidRPr="006A6D19" w:rsidRDefault="008A5841" w:rsidP="00B765C1">
      <w:pPr>
        <w:pStyle w:val="Listebombe"/>
        <w:rPr>
          <w:lang w:val="en-GB"/>
        </w:rPr>
      </w:pPr>
      <w:r w:rsidRPr="006A6D19">
        <w:rPr>
          <w:lang w:val="en-GB"/>
        </w:rPr>
        <w:t>Identify reading difficulties earlier, with special attention to ethnic minority pupils.</w:t>
      </w:r>
    </w:p>
    <w:p w14:paraId="558F9026" w14:textId="77777777" w:rsidR="008A5841" w:rsidRPr="006A6D19" w:rsidRDefault="008A5841" w:rsidP="00B765C1">
      <w:pPr>
        <w:pStyle w:val="Listebombe"/>
        <w:rPr>
          <w:lang w:val="en-GB"/>
        </w:rPr>
      </w:pPr>
      <w:r w:rsidRPr="006A6D19">
        <w:rPr>
          <w:lang w:val="en-GB"/>
        </w:rPr>
        <w:t>Increase funding for school libraries and ensure they are staffed with qualified personnel to support equitable access to information and literacy development.</w:t>
      </w:r>
    </w:p>
    <w:p w14:paraId="7F99E71B" w14:textId="77777777" w:rsidR="008A5841" w:rsidRPr="006A6D19" w:rsidRDefault="008A5841" w:rsidP="00B765C1">
      <w:pPr>
        <w:pStyle w:val="Listebombe"/>
        <w:rPr>
          <w:lang w:val="en-GB"/>
        </w:rPr>
      </w:pPr>
      <w:r w:rsidRPr="006A6D19">
        <w:rPr>
          <w:lang w:val="en-GB"/>
        </w:rPr>
        <w:t>Strengthen adult education and lifelong learning through accessible, flexible, high</w:t>
      </w:r>
      <w:r w:rsidRPr="006A6D19">
        <w:rPr>
          <w:lang w:val="en-GB"/>
        </w:rPr>
        <w:noBreakHyphen/>
        <w:t>quality opportunities for adults with low basic skills in reading, writing, numeracy and digital competence.</w:t>
      </w:r>
    </w:p>
    <w:p w14:paraId="4E43E6D3" w14:textId="77777777" w:rsidR="008A5841" w:rsidRPr="006A6D19" w:rsidRDefault="008A5841" w:rsidP="00B765C1">
      <w:pPr>
        <w:pStyle w:val="Listebombe"/>
        <w:rPr>
          <w:lang w:val="en-GB"/>
        </w:rPr>
      </w:pPr>
      <w:r w:rsidRPr="006A6D19">
        <w:rPr>
          <w:lang w:val="en-GB"/>
        </w:rPr>
        <w:t>Integrate Education for Sustainable Development (ESD) and global citizenship education throughout the education system, enabling pupils to develop the competencies needed for sustainability, peace, human rights and democratic participation.</w:t>
      </w:r>
    </w:p>
    <w:p w14:paraId="1DFB1BC6" w14:textId="77777777" w:rsidR="008A5841" w:rsidRPr="006A6D19" w:rsidRDefault="008A5841" w:rsidP="00B765C1">
      <w:pPr>
        <w:pStyle w:val="Listebombe"/>
        <w:rPr>
          <w:lang w:val="en-GB"/>
        </w:rPr>
      </w:pPr>
      <w:r w:rsidRPr="006A6D19">
        <w:rPr>
          <w:lang w:val="en-GB"/>
        </w:rPr>
        <w:t>Improve teacher training and professional development in ESD, ensuring educators are equipped to teach sustainability, interdisciplinarity, critical thinking and systems thinking.</w:t>
      </w:r>
    </w:p>
    <w:p w14:paraId="45653CB7" w14:textId="77777777" w:rsidR="008A5841" w:rsidRPr="006A6D19" w:rsidRDefault="008A5841" w:rsidP="00B765C1">
      <w:pPr>
        <w:pStyle w:val="Listebombe"/>
        <w:rPr>
          <w:lang w:val="en-GB"/>
        </w:rPr>
      </w:pPr>
      <w:r w:rsidRPr="006A6D19">
        <w:rPr>
          <w:lang w:val="en-GB"/>
        </w:rPr>
        <w:t>Facilitate cooperation between kindergartens and public libraries to foster children’s joy of reading from an early age.</w:t>
      </w:r>
    </w:p>
    <w:p w14:paraId="57D724C0" w14:textId="77777777" w:rsidR="008A5841" w:rsidRPr="006A6D19" w:rsidRDefault="008A5841" w:rsidP="00B765C1">
      <w:pPr>
        <w:pStyle w:val="Listebombe"/>
        <w:rPr>
          <w:lang w:val="en-GB"/>
        </w:rPr>
      </w:pPr>
      <w:r w:rsidRPr="006A6D19">
        <w:rPr>
          <w:lang w:val="en-GB"/>
        </w:rPr>
        <w:t>Use legislation, regulations and targeted funding to ensure full inclusion of children with disabilities at all educational levels.</w:t>
      </w:r>
    </w:p>
    <w:p w14:paraId="73A9C5A5" w14:textId="77777777" w:rsidR="008A5841" w:rsidRPr="006A6D19" w:rsidRDefault="008A5841" w:rsidP="00B765C1">
      <w:pPr>
        <w:pStyle w:val="Listebombe"/>
        <w:rPr>
          <w:lang w:val="en-GB"/>
        </w:rPr>
      </w:pPr>
      <w:r w:rsidRPr="006A6D19">
        <w:rPr>
          <w:lang w:val="en-GB"/>
        </w:rPr>
        <w:t>Strengthen efforts to combat bullying, especially cyberbullying.</w:t>
      </w:r>
    </w:p>
    <w:p w14:paraId="53103A5C" w14:textId="77777777" w:rsidR="008A5841" w:rsidRPr="006A6D19" w:rsidRDefault="008A5841" w:rsidP="00B765C1">
      <w:pPr>
        <w:pStyle w:val="Listebombe"/>
        <w:rPr>
          <w:lang w:val="en-GB"/>
        </w:rPr>
      </w:pPr>
      <w:r w:rsidRPr="006A6D19">
        <w:rPr>
          <w:lang w:val="en-GB"/>
        </w:rPr>
        <w:t>Abolish tuition fees for international students.</w:t>
      </w:r>
    </w:p>
    <w:p w14:paraId="309BB929" w14:textId="77777777" w:rsidR="008A5841" w:rsidRPr="006A6D19" w:rsidRDefault="008A5841" w:rsidP="00B765C1">
      <w:pPr>
        <w:pStyle w:val="Listebombe"/>
        <w:rPr>
          <w:lang w:val="en-GB"/>
        </w:rPr>
      </w:pPr>
      <w:r w:rsidRPr="006A6D19">
        <w:rPr>
          <w:lang w:val="en-GB"/>
        </w:rPr>
        <w:t>Allocate 15 percent of development aid to education and increase support to education funds, UN organisations and civil society partners.</w:t>
      </w:r>
    </w:p>
    <w:p w14:paraId="611B1649" w14:textId="77777777" w:rsidR="008A5841" w:rsidRPr="006A6D19" w:rsidRDefault="008A5841" w:rsidP="00B765C1">
      <w:pPr>
        <w:pStyle w:val="Listebombe"/>
        <w:rPr>
          <w:lang w:val="en-GB"/>
        </w:rPr>
      </w:pPr>
      <w:r w:rsidRPr="006A6D19">
        <w:rPr>
          <w:lang w:val="en-GB"/>
        </w:rPr>
        <w:t>Prioritise free, inclusive, quality public education in development aid, in line with human rights and SDG 4.</w:t>
      </w:r>
    </w:p>
    <w:p w14:paraId="6732D7CB" w14:textId="77777777" w:rsidR="008A5841" w:rsidRPr="006A6D19" w:rsidRDefault="008A5841" w:rsidP="00B765C1">
      <w:pPr>
        <w:pStyle w:val="Listebombe"/>
        <w:rPr>
          <w:lang w:val="en-GB"/>
        </w:rPr>
      </w:pPr>
      <w:r w:rsidRPr="006A6D19">
        <w:rPr>
          <w:lang w:val="en-GB"/>
        </w:rPr>
        <w:t>Continue supporting the Safe Schools Declaration.</w:t>
      </w:r>
    </w:p>
    <w:p w14:paraId="248D6874" w14:textId="77777777" w:rsidR="008A5841" w:rsidRPr="006A6D19" w:rsidRDefault="008A5841" w:rsidP="00B765C1">
      <w:pPr>
        <w:pStyle w:val="Listebombe"/>
        <w:rPr>
          <w:lang w:val="en-GB"/>
        </w:rPr>
      </w:pPr>
      <w:r w:rsidRPr="006A6D19">
        <w:rPr>
          <w:lang w:val="en-GB"/>
        </w:rPr>
        <w:t>Champion the right to quality education globally by systematically promoting equality and accessibility.</w:t>
      </w:r>
    </w:p>
    <w:p w14:paraId="5FECFE95" w14:textId="77777777" w:rsidR="008A5841" w:rsidRPr="006A6D19" w:rsidRDefault="008A5841" w:rsidP="00B765C1">
      <w:pPr>
        <w:rPr>
          <w:lang w:val="en-GB"/>
        </w:rPr>
      </w:pPr>
    </w:p>
    <w:p w14:paraId="21EF8F2B" w14:textId="77777777" w:rsidR="008A5841" w:rsidRPr="006A6D19" w:rsidRDefault="008A5841" w:rsidP="001609FA">
      <w:pPr>
        <w:pStyle w:val="UnOverskrift3"/>
        <w:rPr>
          <w:lang w:val="en-GB"/>
        </w:rPr>
      </w:pPr>
      <w:r w:rsidRPr="006A6D19">
        <w:rPr>
          <w:lang w:val="en-GB"/>
        </w:rPr>
        <w:lastRenderedPageBreak/>
        <w:t>5 Gender Equality</w:t>
      </w:r>
    </w:p>
    <w:p w14:paraId="7E5433D1" w14:textId="251D6499" w:rsidR="008A5841" w:rsidRPr="006A6D19" w:rsidRDefault="00BB2AF4" w:rsidP="001609FA">
      <w:pPr>
        <w:rPr>
          <w:lang w:val="en-GB"/>
        </w:rPr>
      </w:pPr>
      <w:r w:rsidRPr="006A6D19">
        <w:rPr>
          <w:noProof/>
          <w:lang w:val="en-GB"/>
        </w:rPr>
        <w:drawing>
          <wp:inline distT="0" distB="0" distL="0" distR="0" wp14:anchorId="12BC7127" wp14:editId="1103AA1F">
            <wp:extent cx="2857500" cy="2857500"/>
            <wp:effectExtent l="0" t="0" r="0" b="0"/>
            <wp:docPr id="464185417" name="Bilde 47" descr="Goal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85417" name="Bilde 47" descr="Goal 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7F54D8E6" w14:textId="77777777" w:rsidR="008A5841" w:rsidRPr="006A6D19" w:rsidRDefault="008A5841" w:rsidP="006B301F">
      <w:pPr>
        <w:pStyle w:val="Undertittel"/>
        <w:rPr>
          <w:lang w:val="en-GB"/>
        </w:rPr>
      </w:pPr>
      <w:r w:rsidRPr="006A6D19">
        <w:rPr>
          <w:lang w:val="en-GB"/>
        </w:rPr>
        <w:t>Government Assessment</w:t>
      </w:r>
    </w:p>
    <w:tbl>
      <w:tblPr>
        <w:tblW w:w="5000" w:type="pct"/>
        <w:tblCellMar>
          <w:left w:w="0" w:type="dxa"/>
          <w:right w:w="0" w:type="dxa"/>
        </w:tblCellMar>
        <w:tblLook w:val="0000" w:firstRow="0" w:lastRow="0" w:firstColumn="0" w:lastColumn="0" w:noHBand="0" w:noVBand="0"/>
      </w:tblPr>
      <w:tblGrid>
        <w:gridCol w:w="1287"/>
        <w:gridCol w:w="7518"/>
        <w:gridCol w:w="1645"/>
      </w:tblGrid>
      <w:tr w:rsidR="00000000" w:rsidRPr="006A6D19" w14:paraId="5EFC9D4B" w14:textId="77777777" w:rsidTr="001609FA">
        <w:tblPrEx>
          <w:tblCellMar>
            <w:top w:w="0" w:type="dxa"/>
            <w:left w:w="0" w:type="dxa"/>
            <w:bottom w:w="0" w:type="dxa"/>
            <w:right w:w="0" w:type="dxa"/>
          </w:tblCellMar>
        </w:tblPrEx>
        <w:trPr>
          <w:trHeight w:val="60"/>
        </w:trPr>
        <w:tc>
          <w:tcPr>
            <w:tcW w:w="66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7511F90C" w14:textId="77777777" w:rsidR="008A5841" w:rsidRPr="006A6D19" w:rsidRDefault="008A5841" w:rsidP="00B765C1">
            <w:pPr>
              <w:rPr>
                <w:lang w:val="en-GB"/>
              </w:rPr>
            </w:pPr>
            <w:r w:rsidRPr="006A6D19">
              <w:rPr>
                <w:lang w:val="en-GB"/>
              </w:rPr>
              <w:t xml:space="preserve">5.1 </w:t>
            </w:r>
          </w:p>
        </w:tc>
        <w:tc>
          <w:tcPr>
            <w:tcW w:w="3646"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D8C2730" w14:textId="77777777" w:rsidR="008A5841" w:rsidRPr="006A6D19" w:rsidRDefault="008A5841" w:rsidP="00B765C1">
            <w:pPr>
              <w:rPr>
                <w:lang w:val="en-GB"/>
              </w:rPr>
            </w:pPr>
            <w:r w:rsidRPr="006A6D19">
              <w:rPr>
                <w:lang w:val="en-GB"/>
              </w:rPr>
              <w:t>Equality between women and men is high in Norway, but there is still room for improvement.</w:t>
            </w:r>
          </w:p>
        </w:tc>
        <w:tc>
          <w:tcPr>
            <w:tcW w:w="68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4C83096" w14:textId="16147A77" w:rsidR="008A5841" w:rsidRPr="006A6D19" w:rsidRDefault="007B3BCE" w:rsidP="00B765C1">
            <w:pPr>
              <w:rPr>
                <w:lang w:val="en-GB"/>
              </w:rPr>
            </w:pPr>
            <w:r>
              <w:rPr>
                <w:noProof/>
              </w:rPr>
              <w:drawing>
                <wp:inline distT="0" distB="0" distL="0" distR="0" wp14:anchorId="2AAAE86B" wp14:editId="79A32BC2">
                  <wp:extent cx="990600" cy="447675"/>
                  <wp:effectExtent l="0" t="0" r="0" b="9525"/>
                  <wp:docPr id="801852105" name="Bilde 3" descr="Close to target. Progress i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804348" name="Bilde 3" descr="Close to target. Progress is positiv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0F787BD9" w14:textId="77777777" w:rsidTr="001609FA">
        <w:tblPrEx>
          <w:tblCellMar>
            <w:top w:w="0" w:type="dxa"/>
            <w:left w:w="0" w:type="dxa"/>
            <w:bottom w:w="0" w:type="dxa"/>
            <w:right w:w="0" w:type="dxa"/>
          </w:tblCellMar>
        </w:tblPrEx>
        <w:trPr>
          <w:trHeight w:val="60"/>
        </w:trPr>
        <w:tc>
          <w:tcPr>
            <w:tcW w:w="66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C2B25EF" w14:textId="77777777" w:rsidR="008A5841" w:rsidRPr="006A6D19" w:rsidRDefault="008A5841" w:rsidP="00B765C1">
            <w:pPr>
              <w:rPr>
                <w:lang w:val="en-GB"/>
              </w:rPr>
            </w:pPr>
            <w:r w:rsidRPr="006A6D19">
              <w:rPr>
                <w:lang w:val="en-GB"/>
              </w:rPr>
              <w:t xml:space="preserve">5.2 </w:t>
            </w:r>
          </w:p>
        </w:tc>
        <w:tc>
          <w:tcPr>
            <w:tcW w:w="3646"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E5AF394" w14:textId="77777777" w:rsidR="008A5841" w:rsidRPr="006A6D19" w:rsidRDefault="008A5841" w:rsidP="00B765C1">
            <w:pPr>
              <w:rPr>
                <w:lang w:val="en-GB"/>
              </w:rPr>
            </w:pPr>
            <w:r w:rsidRPr="006A6D19">
              <w:rPr>
                <w:lang w:val="en-GB"/>
              </w:rPr>
              <w:t>Norway continues to face challenges related to violence against women and girls, but several initiatives have been implemented to reduce this.</w:t>
            </w:r>
          </w:p>
        </w:tc>
        <w:tc>
          <w:tcPr>
            <w:tcW w:w="68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23F3F9F" w14:textId="47F8B8BB" w:rsidR="008A5841" w:rsidRPr="006A6D19" w:rsidRDefault="007B3BCE" w:rsidP="00B765C1">
            <w:pPr>
              <w:rPr>
                <w:lang w:val="en-GB"/>
              </w:rPr>
            </w:pPr>
            <w:r>
              <w:rPr>
                <w:noProof/>
              </w:rPr>
              <w:drawing>
                <wp:inline distT="0" distB="0" distL="0" distR="0" wp14:anchorId="2BD3B5D3" wp14:editId="73F33BF6">
                  <wp:extent cx="990600" cy="447675"/>
                  <wp:effectExtent l="0" t="0" r="0" b="9525"/>
                  <wp:docPr id="1692224434" name="Bilde 3" descr="Close to target. Progress i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804348" name="Bilde 3" descr="Close to target. Progress is positiv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68274936" w14:textId="77777777" w:rsidTr="001609FA">
        <w:tblPrEx>
          <w:tblCellMar>
            <w:top w:w="0" w:type="dxa"/>
            <w:left w:w="0" w:type="dxa"/>
            <w:bottom w:w="0" w:type="dxa"/>
            <w:right w:w="0" w:type="dxa"/>
          </w:tblCellMar>
        </w:tblPrEx>
        <w:trPr>
          <w:trHeight w:val="60"/>
        </w:trPr>
        <w:tc>
          <w:tcPr>
            <w:tcW w:w="66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C33F971" w14:textId="77777777" w:rsidR="008A5841" w:rsidRPr="006A6D19" w:rsidRDefault="008A5841" w:rsidP="00B765C1">
            <w:pPr>
              <w:rPr>
                <w:lang w:val="en-GB"/>
              </w:rPr>
            </w:pPr>
            <w:r w:rsidRPr="006A6D19">
              <w:rPr>
                <w:lang w:val="en-GB"/>
              </w:rPr>
              <w:t xml:space="preserve">5.3 </w:t>
            </w:r>
          </w:p>
        </w:tc>
        <w:tc>
          <w:tcPr>
            <w:tcW w:w="3646"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0F53414" w14:textId="77777777" w:rsidR="008A5841" w:rsidRPr="006A6D19" w:rsidRDefault="008A5841" w:rsidP="00B765C1">
            <w:pPr>
              <w:rPr>
                <w:lang w:val="en-GB"/>
              </w:rPr>
            </w:pPr>
            <w:r w:rsidRPr="006A6D19">
              <w:rPr>
                <w:lang w:val="en-GB"/>
              </w:rPr>
              <w:t>In recent years, inquiries to the Competence Team against Negative Social Control and Honour-Based Violence have increased. This may be due to a rise in the actual number of cases but may also be due to greater awareness.</w:t>
            </w:r>
          </w:p>
        </w:tc>
        <w:tc>
          <w:tcPr>
            <w:tcW w:w="68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9DB9671" w14:textId="3D7FBAB5" w:rsidR="008A5841" w:rsidRPr="006A6D19" w:rsidRDefault="007B3BCE" w:rsidP="00B765C1">
            <w:pPr>
              <w:rPr>
                <w:lang w:val="en-GB"/>
              </w:rPr>
            </w:pPr>
            <w:r>
              <w:rPr>
                <w:noProof/>
              </w:rPr>
              <w:drawing>
                <wp:inline distT="0" distB="0" distL="0" distR="0" wp14:anchorId="682A824D" wp14:editId="41D5A7ED">
                  <wp:extent cx="990600" cy="447675"/>
                  <wp:effectExtent l="0" t="0" r="0" b="9525"/>
                  <wp:docPr id="1821793996" name="Bilde 3" descr="Close to target. Progress i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804348" name="Bilde 3" descr="Close to target. Progress is positiv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71E4FF46" w14:textId="77777777" w:rsidTr="001609FA">
        <w:tblPrEx>
          <w:tblCellMar>
            <w:top w:w="0" w:type="dxa"/>
            <w:left w:w="0" w:type="dxa"/>
            <w:bottom w:w="0" w:type="dxa"/>
            <w:right w:w="0" w:type="dxa"/>
          </w:tblCellMar>
        </w:tblPrEx>
        <w:trPr>
          <w:trHeight w:val="60"/>
        </w:trPr>
        <w:tc>
          <w:tcPr>
            <w:tcW w:w="66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630867E" w14:textId="77777777" w:rsidR="008A5841" w:rsidRPr="006A6D19" w:rsidRDefault="008A5841" w:rsidP="00B765C1">
            <w:pPr>
              <w:rPr>
                <w:lang w:val="en-GB"/>
              </w:rPr>
            </w:pPr>
            <w:r w:rsidRPr="006A6D19">
              <w:rPr>
                <w:lang w:val="en-GB"/>
              </w:rPr>
              <w:t xml:space="preserve">5.4 </w:t>
            </w:r>
          </w:p>
        </w:tc>
        <w:tc>
          <w:tcPr>
            <w:tcW w:w="3646"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EA45C80" w14:textId="77777777" w:rsidR="008A5841" w:rsidRPr="006A6D19" w:rsidRDefault="008A5841" w:rsidP="00B765C1">
            <w:pPr>
              <w:rPr>
                <w:lang w:val="en-GB"/>
              </w:rPr>
            </w:pPr>
            <w:r w:rsidRPr="006A6D19">
              <w:rPr>
                <w:lang w:val="en-GB"/>
              </w:rPr>
              <w:t>Public services and social rights in Norway ensure equal opportunities to work and to start a family. Parental leave is divided into three quotas; one for each parent, and one quota to be freely allocated between the parents.</w:t>
            </w:r>
          </w:p>
        </w:tc>
        <w:tc>
          <w:tcPr>
            <w:tcW w:w="68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27D7458" w14:textId="085D6475" w:rsidR="008A5841" w:rsidRPr="006A6D19" w:rsidRDefault="00541482" w:rsidP="00B765C1">
            <w:pPr>
              <w:rPr>
                <w:lang w:val="en-GB"/>
              </w:rPr>
            </w:pPr>
            <w:r>
              <w:rPr>
                <w:noProof/>
              </w:rPr>
              <w:drawing>
                <wp:inline distT="0" distB="0" distL="0" distR="0" wp14:anchorId="01E39B13" wp14:editId="13C0CEB8">
                  <wp:extent cx="990600" cy="447675"/>
                  <wp:effectExtent l="0" t="0" r="0" b="9525"/>
                  <wp:docPr id="935375454" name="Bilde 6" descr="Target met. Progres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2134" name="Bilde 6" descr="Target met. Progress positiv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355BD74F" w14:textId="77777777" w:rsidTr="001609FA">
        <w:tblPrEx>
          <w:tblCellMar>
            <w:top w:w="0" w:type="dxa"/>
            <w:left w:w="0" w:type="dxa"/>
            <w:bottom w:w="0" w:type="dxa"/>
            <w:right w:w="0" w:type="dxa"/>
          </w:tblCellMar>
        </w:tblPrEx>
        <w:trPr>
          <w:trHeight w:val="60"/>
        </w:trPr>
        <w:tc>
          <w:tcPr>
            <w:tcW w:w="66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7922202E" w14:textId="77777777" w:rsidR="008A5841" w:rsidRPr="006A6D19" w:rsidRDefault="008A5841" w:rsidP="00B765C1">
            <w:pPr>
              <w:rPr>
                <w:lang w:val="en-GB"/>
              </w:rPr>
            </w:pPr>
            <w:r w:rsidRPr="006A6D19">
              <w:rPr>
                <w:lang w:val="en-GB"/>
              </w:rPr>
              <w:t xml:space="preserve">5.5 </w:t>
            </w:r>
          </w:p>
        </w:tc>
        <w:tc>
          <w:tcPr>
            <w:tcW w:w="3646"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D397960" w14:textId="77777777" w:rsidR="008A5841" w:rsidRPr="006A6D19" w:rsidRDefault="008A5841" w:rsidP="00B765C1">
            <w:pPr>
              <w:rPr>
                <w:lang w:val="en-GB"/>
              </w:rPr>
            </w:pPr>
            <w:r w:rsidRPr="006A6D19">
              <w:rPr>
                <w:lang w:val="en-GB"/>
              </w:rPr>
              <w:t>Among top leaders in public administration, gender balance has been achieved, but there are still major disparities in the private sector. In politics, gender balance is largely in place, except among county mayors.</w:t>
            </w:r>
          </w:p>
        </w:tc>
        <w:tc>
          <w:tcPr>
            <w:tcW w:w="68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0F22AAD" w14:textId="34749088" w:rsidR="008A5841" w:rsidRPr="006A6D19" w:rsidRDefault="007B3BCE" w:rsidP="00B765C1">
            <w:pPr>
              <w:rPr>
                <w:lang w:val="en-GB"/>
              </w:rPr>
            </w:pPr>
            <w:r>
              <w:rPr>
                <w:noProof/>
              </w:rPr>
              <w:drawing>
                <wp:inline distT="0" distB="0" distL="0" distR="0" wp14:anchorId="76D978E3" wp14:editId="0FFF813F">
                  <wp:extent cx="990600" cy="447675"/>
                  <wp:effectExtent l="0" t="0" r="0" b="9525"/>
                  <wp:docPr id="784955627" name="Bilde 3" descr="Close to target. Progress i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804348" name="Bilde 3" descr="Close to target. Progress is positiv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15EBCE38" w14:textId="77777777" w:rsidTr="001609FA">
        <w:tblPrEx>
          <w:tblCellMar>
            <w:top w:w="0" w:type="dxa"/>
            <w:left w:w="0" w:type="dxa"/>
            <w:bottom w:w="0" w:type="dxa"/>
            <w:right w:w="0" w:type="dxa"/>
          </w:tblCellMar>
        </w:tblPrEx>
        <w:trPr>
          <w:trHeight w:val="60"/>
        </w:trPr>
        <w:tc>
          <w:tcPr>
            <w:tcW w:w="66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F5FCED6" w14:textId="77777777" w:rsidR="008A5841" w:rsidRPr="006A6D19" w:rsidRDefault="008A5841" w:rsidP="00B765C1">
            <w:pPr>
              <w:rPr>
                <w:lang w:val="en-GB"/>
              </w:rPr>
            </w:pPr>
            <w:r w:rsidRPr="006A6D19">
              <w:rPr>
                <w:lang w:val="en-GB"/>
              </w:rPr>
              <w:t xml:space="preserve">5.6 </w:t>
            </w:r>
          </w:p>
        </w:tc>
        <w:tc>
          <w:tcPr>
            <w:tcW w:w="3646"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98EB91D" w14:textId="77777777" w:rsidR="008A5841" w:rsidRPr="006A6D19" w:rsidRDefault="008A5841" w:rsidP="00B765C1">
            <w:pPr>
              <w:rPr>
                <w:lang w:val="en-GB"/>
              </w:rPr>
            </w:pPr>
            <w:r w:rsidRPr="006A6D19">
              <w:rPr>
                <w:lang w:val="en-GB"/>
              </w:rPr>
              <w:t>Everyone in Norway has access to good sexual and reproductive health services. Comprehensive sexuality education, contraception, and safe abortion services are easily accessible.</w:t>
            </w:r>
          </w:p>
        </w:tc>
        <w:tc>
          <w:tcPr>
            <w:tcW w:w="68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360716A" w14:textId="718CAB1C" w:rsidR="008A5841" w:rsidRPr="006A6D19" w:rsidRDefault="00541482" w:rsidP="00B765C1">
            <w:pPr>
              <w:rPr>
                <w:lang w:val="en-GB"/>
              </w:rPr>
            </w:pPr>
            <w:r>
              <w:rPr>
                <w:noProof/>
              </w:rPr>
              <w:drawing>
                <wp:inline distT="0" distB="0" distL="0" distR="0" wp14:anchorId="3C8D4922" wp14:editId="133B6FDA">
                  <wp:extent cx="990600" cy="447675"/>
                  <wp:effectExtent l="0" t="0" r="0" b="9525"/>
                  <wp:docPr id="18601872" name="Bilde 6" descr="Target met. Progres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2134" name="Bilde 6" descr="Target met. Progress positiv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25F7B552" w14:textId="77777777" w:rsidTr="001609FA">
        <w:tblPrEx>
          <w:tblCellMar>
            <w:top w:w="0" w:type="dxa"/>
            <w:left w:w="0" w:type="dxa"/>
            <w:bottom w:w="0" w:type="dxa"/>
            <w:right w:w="0" w:type="dxa"/>
          </w:tblCellMar>
        </w:tblPrEx>
        <w:trPr>
          <w:trHeight w:val="762"/>
        </w:trPr>
        <w:tc>
          <w:tcPr>
            <w:tcW w:w="66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253049A" w14:textId="77777777" w:rsidR="008A5841" w:rsidRPr="006A6D19" w:rsidRDefault="008A5841" w:rsidP="00B765C1">
            <w:pPr>
              <w:rPr>
                <w:lang w:val="en-GB"/>
              </w:rPr>
            </w:pPr>
            <w:r w:rsidRPr="006A6D19">
              <w:rPr>
                <w:lang w:val="en-GB"/>
              </w:rPr>
              <w:lastRenderedPageBreak/>
              <w:t xml:space="preserve">5.A </w:t>
            </w:r>
          </w:p>
        </w:tc>
        <w:tc>
          <w:tcPr>
            <w:tcW w:w="3646"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5E43BA6" w14:textId="77777777" w:rsidR="008A5841" w:rsidRPr="006A6D19" w:rsidRDefault="008A5841" w:rsidP="00B765C1">
            <w:pPr>
              <w:rPr>
                <w:lang w:val="en-GB"/>
              </w:rPr>
            </w:pPr>
            <w:r w:rsidRPr="006A6D19">
              <w:rPr>
                <w:lang w:val="en-GB"/>
              </w:rPr>
              <w:t>In 2025, 65.9% of women and 72.2 percent of men were employed (15–74 years old). The number of women who owned shares increased by 58% from 2006 to 2024. However, only 32% of shareholders are women (2024), and this gap has remained relatively stable.</w:t>
            </w:r>
          </w:p>
          <w:p w14:paraId="6FD10F84" w14:textId="77777777" w:rsidR="008A5841" w:rsidRPr="006A6D19" w:rsidRDefault="008A5841" w:rsidP="00B765C1">
            <w:pPr>
              <w:rPr>
                <w:lang w:val="en-GB"/>
              </w:rPr>
            </w:pPr>
            <w:r w:rsidRPr="006A6D19">
              <w:rPr>
                <w:lang w:val="en-GB"/>
              </w:rPr>
              <w:t xml:space="preserve">The proportion of female homeowners is roughly at the same level as that of men. After implementing gender quota rules for corporate boards in 2024, gender balance has increased at a significantly higher rate than previous years. </w:t>
            </w:r>
          </w:p>
        </w:tc>
        <w:tc>
          <w:tcPr>
            <w:tcW w:w="68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24D2E58" w14:textId="623F140C" w:rsidR="008A5841" w:rsidRPr="006A6D19" w:rsidRDefault="00541482" w:rsidP="00B765C1">
            <w:pPr>
              <w:rPr>
                <w:lang w:val="en-GB"/>
              </w:rPr>
            </w:pPr>
            <w:r>
              <w:rPr>
                <w:noProof/>
              </w:rPr>
              <w:drawing>
                <wp:inline distT="0" distB="0" distL="0" distR="0" wp14:anchorId="28F0EC39" wp14:editId="3DA314B5">
                  <wp:extent cx="990600" cy="447675"/>
                  <wp:effectExtent l="0" t="0" r="0" b="9525"/>
                  <wp:docPr id="1442358638" name="Bilde 4" descr="Target m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11348" name="Bilde 4" descr="Target met. Progress stagn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772E6808" w14:textId="77777777" w:rsidTr="001609FA">
        <w:tblPrEx>
          <w:tblCellMar>
            <w:top w:w="0" w:type="dxa"/>
            <w:left w:w="0" w:type="dxa"/>
            <w:bottom w:w="0" w:type="dxa"/>
            <w:right w:w="0" w:type="dxa"/>
          </w:tblCellMar>
        </w:tblPrEx>
        <w:trPr>
          <w:trHeight w:val="418"/>
        </w:trPr>
        <w:tc>
          <w:tcPr>
            <w:tcW w:w="66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AF3CBFA" w14:textId="77777777" w:rsidR="008A5841" w:rsidRPr="006A6D19" w:rsidRDefault="008A5841" w:rsidP="00B765C1">
            <w:pPr>
              <w:rPr>
                <w:lang w:val="en-GB"/>
              </w:rPr>
            </w:pPr>
            <w:r w:rsidRPr="006A6D19">
              <w:rPr>
                <w:lang w:val="en-GB"/>
              </w:rPr>
              <w:t xml:space="preserve">5.B </w:t>
            </w:r>
          </w:p>
        </w:tc>
        <w:tc>
          <w:tcPr>
            <w:tcW w:w="3646"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65E510B5" w14:textId="77777777" w:rsidR="008A5841" w:rsidRPr="006A6D19" w:rsidRDefault="008A5841" w:rsidP="00B765C1">
            <w:pPr>
              <w:rPr>
                <w:lang w:val="en-GB"/>
              </w:rPr>
            </w:pPr>
            <w:r w:rsidRPr="006A6D19">
              <w:rPr>
                <w:lang w:val="en-GB"/>
              </w:rPr>
              <w:t>98% of women in Norway own a mobile phone.</w:t>
            </w:r>
          </w:p>
        </w:tc>
        <w:tc>
          <w:tcPr>
            <w:tcW w:w="68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FBED642" w14:textId="20B6DEF6" w:rsidR="008A5841" w:rsidRPr="006A6D19" w:rsidRDefault="00541482" w:rsidP="00B765C1">
            <w:pPr>
              <w:rPr>
                <w:lang w:val="en-GB"/>
              </w:rPr>
            </w:pPr>
            <w:r>
              <w:rPr>
                <w:noProof/>
              </w:rPr>
              <w:drawing>
                <wp:inline distT="0" distB="0" distL="0" distR="0" wp14:anchorId="22944921" wp14:editId="2DC62E96">
                  <wp:extent cx="990600" cy="447675"/>
                  <wp:effectExtent l="0" t="0" r="0" b="9525"/>
                  <wp:docPr id="457266815" name="Bilde 6" descr="Target met. Progres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2134" name="Bilde 6" descr="Target met. Progress positiv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226735D8" w14:textId="77777777" w:rsidTr="001609FA">
        <w:tblPrEx>
          <w:tblCellMar>
            <w:top w:w="0" w:type="dxa"/>
            <w:left w:w="0" w:type="dxa"/>
            <w:bottom w:w="0" w:type="dxa"/>
            <w:right w:w="0" w:type="dxa"/>
          </w:tblCellMar>
        </w:tblPrEx>
        <w:trPr>
          <w:trHeight w:val="190"/>
        </w:trPr>
        <w:tc>
          <w:tcPr>
            <w:tcW w:w="66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A59F4BD" w14:textId="33164B23" w:rsidR="008A5841" w:rsidRPr="006A6D19" w:rsidRDefault="008A5841" w:rsidP="00B765C1">
            <w:pPr>
              <w:rPr>
                <w:lang w:val="en-GB"/>
              </w:rPr>
            </w:pPr>
            <w:r w:rsidRPr="006A6D19">
              <w:rPr>
                <w:lang w:val="en-GB"/>
              </w:rPr>
              <w:t>5.C</w:t>
            </w:r>
            <w:r w:rsidR="001609FA" w:rsidRPr="006A6D19">
              <w:rPr>
                <w:lang w:val="en-GB"/>
              </w:rPr>
              <w:t xml:space="preserve"> </w:t>
            </w:r>
          </w:p>
        </w:tc>
        <w:tc>
          <w:tcPr>
            <w:tcW w:w="3646"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780EDDFC" w14:textId="77777777" w:rsidR="008A5841" w:rsidRPr="006A6D19" w:rsidRDefault="008A5841" w:rsidP="00B765C1">
            <w:pPr>
              <w:rPr>
                <w:lang w:val="en-GB"/>
              </w:rPr>
            </w:pPr>
            <w:r w:rsidRPr="006A6D19">
              <w:rPr>
                <w:lang w:val="en-GB"/>
              </w:rPr>
              <w:t xml:space="preserve">Norway has comprehensive equality legislation and policies that promote gender equality. Public authorities are obligated to work to promote equality and to issue a statement on what they are doing to integrate considerations relating to gender and non-discrimination. </w:t>
            </w:r>
          </w:p>
        </w:tc>
        <w:tc>
          <w:tcPr>
            <w:tcW w:w="68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6D66F8E4" w14:textId="0CB07898" w:rsidR="008A5841" w:rsidRPr="006A6D19" w:rsidRDefault="00541482" w:rsidP="00B765C1">
            <w:pPr>
              <w:rPr>
                <w:lang w:val="en-GB"/>
              </w:rPr>
            </w:pPr>
            <w:r>
              <w:rPr>
                <w:noProof/>
              </w:rPr>
              <w:drawing>
                <wp:inline distT="0" distB="0" distL="0" distR="0" wp14:anchorId="690F15EA" wp14:editId="02C8A2C7">
                  <wp:extent cx="990600" cy="447675"/>
                  <wp:effectExtent l="0" t="0" r="0" b="9525"/>
                  <wp:docPr id="1617404866" name="Bilde 6" descr="Target met. Progres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2134" name="Bilde 6" descr="Target met. Progress positiv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bl>
    <w:p w14:paraId="6C897269" w14:textId="77777777" w:rsidR="008A5841" w:rsidRPr="006A6D19" w:rsidRDefault="008A5841" w:rsidP="00B765C1">
      <w:pPr>
        <w:rPr>
          <w:lang w:val="en-GB"/>
        </w:rPr>
      </w:pPr>
    </w:p>
    <w:p w14:paraId="6FF72944" w14:textId="77777777" w:rsidR="008A5841" w:rsidRPr="006A6D19" w:rsidRDefault="008A5841" w:rsidP="00B765C1">
      <w:pPr>
        <w:rPr>
          <w:lang w:val="en-GB"/>
        </w:rPr>
      </w:pPr>
      <w:r w:rsidRPr="006A6D19">
        <w:rPr>
          <w:rStyle w:val="halvfet"/>
          <w:lang w:val="en-GB"/>
        </w:rPr>
        <w:t xml:space="preserve">General Status: </w:t>
      </w:r>
      <w:r w:rsidRPr="006A6D19">
        <w:rPr>
          <w:lang w:val="en-GB"/>
        </w:rPr>
        <w:t>Norway is ranked third out of 146 countries in the World Economic Forum’</w:t>
      </w:r>
      <w:r w:rsidRPr="006A6D19">
        <w:rPr>
          <w:lang w:val="en-GB"/>
        </w:rPr>
        <w:t>s Gender Gap Report 2025. The report measures progress in economic participation, education, health, and political empowerment. Differences in employment rates between men and women are low, and among the smallest in OECD countries. Generous parental leave schemes, flexible work arrangements, and the right to a kindergarten place with a capped fee contribute to equal participation both at work and at home. In politics and among top leaders in public administration, gender balance is largely achieved. In the</w:t>
      </w:r>
      <w:r w:rsidRPr="006A6D19">
        <w:rPr>
          <w:lang w:val="en-GB"/>
        </w:rPr>
        <w:t xml:space="preserve"> private sector, however, disparities are substantial.</w:t>
      </w:r>
    </w:p>
    <w:p w14:paraId="77F7111B" w14:textId="77777777" w:rsidR="008A5841" w:rsidRPr="006A6D19" w:rsidRDefault="008A5841" w:rsidP="00B765C1">
      <w:pPr>
        <w:rPr>
          <w:lang w:val="en-GB"/>
        </w:rPr>
      </w:pPr>
      <w:r w:rsidRPr="006A6D19">
        <w:rPr>
          <w:rStyle w:val="halvfet"/>
          <w:lang w:val="en-GB"/>
        </w:rPr>
        <w:t xml:space="preserve">Main Achievements: </w:t>
      </w:r>
      <w:r w:rsidRPr="006A6D19">
        <w:rPr>
          <w:lang w:val="en-GB"/>
        </w:rPr>
        <w:t xml:space="preserve">Since 2015, the gender pay gap has narrowed. Women’s earnings amounted to an average of 87,9 percent of men’s earnings in 2025, up from 85.3 percent in 2015. Since 2014, the share of fathers who have taken all or more of the paternity quota has remained above 60 percent. In 2023, the Parliament adopted requirements stipulating that in certain companies, no more than 60 percent of board members may be of the same gender, with a phased implementation from 2024 until 1 July 2028. The proportion of boards with </w:t>
      </w:r>
      <w:r w:rsidRPr="006A6D19">
        <w:rPr>
          <w:lang w:val="en-GB"/>
        </w:rPr>
        <w:t>gender balance increased by 3 percentage points from 2024 to 2025.</w:t>
      </w:r>
    </w:p>
    <w:p w14:paraId="5C583F4E" w14:textId="77777777" w:rsidR="008A5841" w:rsidRPr="006A6D19" w:rsidRDefault="008A5841" w:rsidP="00B765C1">
      <w:pPr>
        <w:rPr>
          <w:lang w:val="en-GB"/>
        </w:rPr>
      </w:pPr>
      <w:r w:rsidRPr="006A6D19">
        <w:rPr>
          <w:lang w:val="en-GB"/>
        </w:rPr>
        <w:t xml:space="preserve">The Government has presented an escalation plan against violence and abuse of children and violence in close relationships for the period 2024–2028. The national competence team against negative social control and honour-related violence provided guidance in 1,402 individual cases in 2024, an increase of 23 percent from the year before. This may indicate greater awareness and expertise within the support system, and that more people at risk are receiving help than before. The Government has </w:t>
      </w:r>
      <w:r w:rsidRPr="006A6D19">
        <w:rPr>
          <w:lang w:val="en-GB"/>
        </w:rPr>
        <w:lastRenderedPageBreak/>
        <w:t>presented a plan against negative social control and honour-motivated violence for the period 2025–2028.</w:t>
      </w:r>
    </w:p>
    <w:p w14:paraId="40816EF9" w14:textId="77777777" w:rsidR="008A5841" w:rsidRPr="006A6D19" w:rsidRDefault="008A5841" w:rsidP="00B765C1">
      <w:pPr>
        <w:rPr>
          <w:lang w:val="en-GB"/>
        </w:rPr>
      </w:pPr>
      <w:r w:rsidRPr="006A6D19">
        <w:rPr>
          <w:rStyle w:val="halvfet"/>
          <w:lang w:val="en-GB"/>
        </w:rPr>
        <w:t xml:space="preserve">Norway’s Challenges: </w:t>
      </w:r>
      <w:r w:rsidRPr="006A6D19">
        <w:rPr>
          <w:lang w:val="en-GB"/>
        </w:rPr>
        <w:t>Women earn less than men and are more likely to work part-time. Even though the pay gap has narrowed over time, there was a small increase from 2024 to 2025 with 0,3 percentage. The labour market remains gender-segregated, with most women and men working in different sectors, occupations, and positions. There are far fewer women than men at the top levels of Norwegian businesses, and nearly all CEOs of the 200 largest Norwegian companies are men. Women are more often than men subjected to domestic violence,</w:t>
      </w:r>
      <w:r w:rsidRPr="006A6D19">
        <w:rPr>
          <w:lang w:val="en-GB"/>
        </w:rPr>
        <w:t xml:space="preserve"> sexual harassment, rape, negative social control, honour-based violence, and forced marriage. </w:t>
      </w:r>
      <w:proofErr w:type="gramStart"/>
      <w:r w:rsidRPr="006A6D19">
        <w:rPr>
          <w:lang w:val="en-GB"/>
        </w:rPr>
        <w:t>The majority of</w:t>
      </w:r>
      <w:proofErr w:type="gramEnd"/>
      <w:r w:rsidRPr="006A6D19">
        <w:rPr>
          <w:lang w:val="en-GB"/>
        </w:rPr>
        <w:t xml:space="preserve"> victims of intimate partner homicide are women.</w:t>
      </w:r>
    </w:p>
    <w:p w14:paraId="408B25EA" w14:textId="77777777" w:rsidR="008A5841" w:rsidRPr="006A6D19" w:rsidRDefault="008A5841" w:rsidP="00B765C1">
      <w:pPr>
        <w:rPr>
          <w:lang w:val="en-GB"/>
        </w:rPr>
      </w:pPr>
      <w:r w:rsidRPr="006A6D19">
        <w:rPr>
          <w:rStyle w:val="halvfet"/>
          <w:lang w:val="en-GB"/>
        </w:rPr>
        <w:t xml:space="preserve">Global Responsibility: </w:t>
      </w:r>
      <w:r w:rsidRPr="006A6D19">
        <w:rPr>
          <w:lang w:val="en-GB"/>
        </w:rPr>
        <w:t>Gender equality and women’s rights are central priorities in Norway’s foreign and development policy, with particular emphasis on sexual and reproductive health and rights. Combating violence against women, strengthening women’s economic and political participation, and enhancing women’s role in efforts related to food security, energy, and climate are also prioritised. Women, peace and security is also a priority. Norway works actively to promote women’s rights and gender equality in multilateral negotiati</w:t>
      </w:r>
      <w:r w:rsidRPr="006A6D19">
        <w:rPr>
          <w:lang w:val="en-GB"/>
        </w:rPr>
        <w:t>ons and in the work of multilateral organisations.</w:t>
      </w:r>
    </w:p>
    <w:p w14:paraId="353A6B95" w14:textId="77777777" w:rsidR="008A5841" w:rsidRPr="006A6D19" w:rsidRDefault="008A5841" w:rsidP="006B301F">
      <w:pPr>
        <w:pStyle w:val="avsnitt-undertittel"/>
        <w:rPr>
          <w:lang w:val="en-GB"/>
        </w:rPr>
      </w:pPr>
      <w:r w:rsidRPr="006A6D19">
        <w:rPr>
          <w:lang w:val="en-GB"/>
        </w:rPr>
        <w:t>Main Policy Initiatives 2021–2026</w:t>
      </w:r>
    </w:p>
    <w:p w14:paraId="1D3E0A59" w14:textId="77777777" w:rsidR="008A5841" w:rsidRPr="006A6D19" w:rsidRDefault="008A5841" w:rsidP="00B765C1">
      <w:pPr>
        <w:pStyle w:val="Listebombe"/>
        <w:rPr>
          <w:lang w:val="en-GB"/>
        </w:rPr>
      </w:pPr>
      <w:r w:rsidRPr="006A6D19">
        <w:rPr>
          <w:lang w:val="en-GB"/>
        </w:rPr>
        <w:t>Strategy for Gender Equality 2025–2030.</w:t>
      </w:r>
    </w:p>
    <w:p w14:paraId="701FBC4A" w14:textId="77777777" w:rsidR="008A5841" w:rsidRPr="006A6D19" w:rsidRDefault="008A5841" w:rsidP="00B765C1">
      <w:pPr>
        <w:pStyle w:val="Listebombe"/>
        <w:rPr>
          <w:lang w:val="en-GB"/>
        </w:rPr>
      </w:pPr>
      <w:r w:rsidRPr="006A6D19">
        <w:rPr>
          <w:lang w:val="en-GB"/>
        </w:rPr>
        <w:t>A White Paper on men’s equality challenges will be presented to Parliament in 2026.</w:t>
      </w:r>
    </w:p>
    <w:p w14:paraId="0C87596C" w14:textId="77777777" w:rsidR="008A5841" w:rsidRPr="006A6D19" w:rsidRDefault="008A5841" w:rsidP="00B765C1">
      <w:pPr>
        <w:pStyle w:val="Listebombe"/>
        <w:rPr>
          <w:lang w:val="en-GB"/>
        </w:rPr>
      </w:pPr>
      <w:r w:rsidRPr="006A6D19">
        <w:rPr>
          <w:lang w:val="en-GB"/>
        </w:rPr>
        <w:t>The new Act on Abortion (came into force on June 1, 2025).</w:t>
      </w:r>
    </w:p>
    <w:p w14:paraId="3F7E457F" w14:textId="77777777" w:rsidR="008A5841" w:rsidRPr="006A6D19" w:rsidRDefault="008A5841" w:rsidP="00B765C1">
      <w:pPr>
        <w:pStyle w:val="Listebombe"/>
        <w:rPr>
          <w:lang w:val="en-GB"/>
        </w:rPr>
      </w:pPr>
      <w:r w:rsidRPr="006A6D19">
        <w:rPr>
          <w:lang w:val="en-GB"/>
        </w:rPr>
        <w:t>Escalation Plan to Combat Violence and Abuse of Children and Domestic Violence (2024–2028).</w:t>
      </w:r>
    </w:p>
    <w:p w14:paraId="6A3CFAFE" w14:textId="77777777" w:rsidR="008A5841" w:rsidRPr="006A6D19" w:rsidRDefault="008A5841" w:rsidP="00B765C1">
      <w:pPr>
        <w:pStyle w:val="Listebombe"/>
        <w:rPr>
          <w:lang w:val="en-GB"/>
        </w:rPr>
      </w:pPr>
      <w:r w:rsidRPr="006A6D19">
        <w:rPr>
          <w:lang w:val="en-GB"/>
        </w:rPr>
        <w:t>A green paper NOU 2024: 4 “Rape – An Unsolved Societal Problem” was submitted to the Ministry of Justice and Public Security on 8 March 2024.</w:t>
      </w:r>
    </w:p>
    <w:p w14:paraId="4075C4A8" w14:textId="77777777" w:rsidR="008A5841" w:rsidRPr="006A6D19" w:rsidRDefault="008A5841" w:rsidP="00B765C1">
      <w:pPr>
        <w:pStyle w:val="Listebombe"/>
        <w:rPr>
          <w:lang w:val="en-GB"/>
        </w:rPr>
      </w:pPr>
      <w:r w:rsidRPr="006A6D19">
        <w:rPr>
          <w:lang w:val="en-GB"/>
        </w:rPr>
        <w:t>Action Plan for Women’s Rights and Gender Equality in Norway’s Foreign and Development Policy (2023–2030) A just World is an Equal World.</w:t>
      </w:r>
    </w:p>
    <w:p w14:paraId="01062778" w14:textId="77777777" w:rsidR="008A5841" w:rsidRPr="006A6D19" w:rsidRDefault="008A5841" w:rsidP="00B765C1">
      <w:pPr>
        <w:pStyle w:val="Listebombe"/>
        <w:rPr>
          <w:lang w:val="en-GB"/>
        </w:rPr>
      </w:pPr>
      <w:r w:rsidRPr="006A6D19">
        <w:rPr>
          <w:lang w:val="en-GB"/>
        </w:rPr>
        <w:t>National Action Plan on Women, Peace and Security (2023–2030).</w:t>
      </w:r>
    </w:p>
    <w:p w14:paraId="6424D02D" w14:textId="77777777" w:rsidR="008A5841" w:rsidRPr="006A6D19" w:rsidRDefault="008A5841" w:rsidP="00B765C1">
      <w:pPr>
        <w:rPr>
          <w:lang w:val="en-GB"/>
        </w:rPr>
      </w:pPr>
    </w:p>
    <w:p w14:paraId="0C874AEF" w14:textId="77777777" w:rsidR="006B301F" w:rsidRPr="006A6D19" w:rsidRDefault="006B301F" w:rsidP="006B301F">
      <w:pPr>
        <w:pStyle w:val="Undertittel"/>
        <w:rPr>
          <w:lang w:val="en-GB"/>
        </w:rPr>
      </w:pPr>
      <w:r w:rsidRPr="006A6D19">
        <w:rPr>
          <w:lang w:val="en-GB"/>
        </w:rPr>
        <w:t>Assessment by Civil Society</w:t>
      </w:r>
    </w:p>
    <w:p w14:paraId="5CE280E7" w14:textId="77777777" w:rsidR="008A5841" w:rsidRPr="006A6D19" w:rsidRDefault="008A5841" w:rsidP="00B765C1">
      <w:pPr>
        <w:rPr>
          <w:lang w:val="en-GB"/>
        </w:rPr>
      </w:pPr>
      <w:r w:rsidRPr="006A6D19">
        <w:rPr>
          <w:lang w:val="en-GB"/>
        </w:rPr>
        <w:t xml:space="preserve">The following organisations have participated in this assessment: </w:t>
      </w:r>
      <w:r w:rsidRPr="006A6D19">
        <w:rPr>
          <w:lang w:val="en-GB"/>
        </w:rPr>
        <w:t xml:space="preserve">The Norwegian Women’s Lobby, The Development Fund, The Norwegian Federation of Organisations of Persons with Disabilities (FFO), Legal Counselling for Women, Secretariat for the Crisis Centre Movement in </w:t>
      </w:r>
      <w:proofErr w:type="spellStart"/>
      <w:r w:rsidRPr="006A6D19">
        <w:rPr>
          <w:lang w:val="en-GB"/>
        </w:rPr>
        <w:t>Norway,The</w:t>
      </w:r>
      <w:proofErr w:type="spellEnd"/>
      <w:r w:rsidRPr="006A6D19">
        <w:rPr>
          <w:lang w:val="en-GB"/>
        </w:rPr>
        <w:t xml:space="preserve"> </w:t>
      </w:r>
      <w:proofErr w:type="spellStart"/>
      <w:r w:rsidRPr="006A6D19">
        <w:rPr>
          <w:lang w:val="en-GB"/>
        </w:rPr>
        <w:t>MiRA</w:t>
      </w:r>
      <w:proofErr w:type="spellEnd"/>
      <w:r w:rsidRPr="006A6D19">
        <w:rPr>
          <w:lang w:val="en-GB"/>
        </w:rPr>
        <w:t xml:space="preserve"> Centre, Nordic Women’s University, FRI – the Norwegian Association for Sexual and Gender Diversity, Sex og </w:t>
      </w:r>
      <w:proofErr w:type="spellStart"/>
      <w:r w:rsidRPr="006A6D19">
        <w:rPr>
          <w:lang w:val="en-GB"/>
        </w:rPr>
        <w:t>samfunn</w:t>
      </w:r>
      <w:proofErr w:type="spellEnd"/>
      <w:r w:rsidRPr="006A6D19">
        <w:rPr>
          <w:lang w:val="en-GB"/>
        </w:rPr>
        <w:t xml:space="preserve">, </w:t>
      </w:r>
      <w:proofErr w:type="spellStart"/>
      <w:r w:rsidRPr="006A6D19">
        <w:rPr>
          <w:lang w:val="en-GB"/>
        </w:rPr>
        <w:t>Amathea</w:t>
      </w:r>
      <w:proofErr w:type="spellEnd"/>
      <w:r w:rsidRPr="006A6D19">
        <w:rPr>
          <w:lang w:val="en-GB"/>
        </w:rPr>
        <w:t>, The Women’s Front of Norway, , The Norwegian Association for Women’s Rights (NKF), LO Norway – the Norwegian Confederation of Trade Unions, The Norwegian Forum for Dev</w:t>
      </w:r>
      <w:r w:rsidRPr="006A6D19">
        <w:rPr>
          <w:lang w:val="en-GB"/>
        </w:rPr>
        <w:t>elopment and Environment (</w:t>
      </w:r>
      <w:proofErr w:type="spellStart"/>
      <w:r w:rsidRPr="006A6D19">
        <w:rPr>
          <w:lang w:val="en-GB"/>
        </w:rPr>
        <w:t>ForUM</w:t>
      </w:r>
      <w:proofErr w:type="spellEnd"/>
      <w:r w:rsidRPr="006A6D19">
        <w:rPr>
          <w:lang w:val="en-GB"/>
        </w:rPr>
        <w:t>).</w:t>
      </w:r>
    </w:p>
    <w:p w14:paraId="7877FF8C" w14:textId="1489EA45" w:rsidR="008A5841" w:rsidRPr="006A6D19" w:rsidRDefault="008A5841" w:rsidP="00B765C1">
      <w:pPr>
        <w:rPr>
          <w:lang w:val="en-GB"/>
        </w:rPr>
      </w:pPr>
      <w:r>
        <w:rPr>
          <w:noProof/>
          <w:lang w:val="en-GB"/>
        </w:rPr>
        <w:drawing>
          <wp:inline distT="0" distB="0" distL="0" distR="0" wp14:anchorId="5C736642" wp14:editId="5226DBED">
            <wp:extent cx="561975" cy="561975"/>
            <wp:effectExtent l="0" t="0" r="9525" b="9525"/>
            <wp:docPr id="1369715919" name="Bilde 84" descr="Arrow sidew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442347" name="Bilde 84" descr="Arrow sideways"/>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r>
        <w:rPr>
          <w:rStyle w:val="halvfet"/>
          <w:lang w:val="en-GB"/>
        </w:rPr>
        <w:t xml:space="preserve"> </w:t>
      </w:r>
      <w:r w:rsidRPr="006A6D19">
        <w:rPr>
          <w:rStyle w:val="halvfet"/>
          <w:lang w:val="en-GB"/>
        </w:rPr>
        <w:t xml:space="preserve">Trend: </w:t>
      </w:r>
      <w:r w:rsidRPr="006A6D19">
        <w:rPr>
          <w:lang w:val="en-GB"/>
        </w:rPr>
        <w:t>Stagnant</w:t>
      </w:r>
      <w:r w:rsidR="001609FA" w:rsidRPr="006A6D19">
        <w:rPr>
          <w:lang w:val="en-GB"/>
        </w:rPr>
        <w:t xml:space="preserve"> </w:t>
      </w:r>
    </w:p>
    <w:p w14:paraId="2E9391B3" w14:textId="77777777" w:rsidR="008A5841" w:rsidRPr="006A6D19" w:rsidRDefault="008A5841" w:rsidP="00B765C1">
      <w:pPr>
        <w:rPr>
          <w:lang w:val="en-GB"/>
        </w:rPr>
      </w:pPr>
      <w:r w:rsidRPr="006A6D19">
        <w:rPr>
          <w:rStyle w:val="halvfet"/>
          <w:lang w:val="en-GB"/>
        </w:rPr>
        <w:lastRenderedPageBreak/>
        <w:t xml:space="preserve">Norway has succeeded </w:t>
      </w:r>
      <w:r w:rsidRPr="006A6D19">
        <w:rPr>
          <w:lang w:val="en-GB"/>
        </w:rPr>
        <w:t>in initiating action plans and committees to promote gender equality, notably the permanent Commission for Intimate Partner Homicides, the Committee on Sexual Assault (“</w:t>
      </w:r>
      <w:proofErr w:type="spellStart"/>
      <w:r w:rsidRPr="006A6D19">
        <w:rPr>
          <w:lang w:val="en-GB"/>
        </w:rPr>
        <w:t>Voldtektsutvalget</w:t>
      </w:r>
      <w:proofErr w:type="spellEnd"/>
      <w:r w:rsidRPr="006A6D19">
        <w:rPr>
          <w:lang w:val="en-GB"/>
        </w:rPr>
        <w:t>”), and the Commission on Women’s Occupational Health. Amendments to the Criminal Procedure Act have increased the use of reverse personal security alarms, shifting accountability to offenders and providing greater freedom to victims. The implementation of a new Abortion Law and consent-based rape legislation strengthens the</w:t>
      </w:r>
      <w:r w:rsidRPr="006A6D19">
        <w:rPr>
          <w:lang w:val="en-GB"/>
        </w:rPr>
        <w:t xml:space="preserve"> protection of women’s rights. </w:t>
      </w:r>
    </w:p>
    <w:p w14:paraId="6E4952F8" w14:textId="77777777" w:rsidR="008A5841" w:rsidRPr="006A6D19" w:rsidRDefault="008A5841" w:rsidP="00B765C1">
      <w:pPr>
        <w:rPr>
          <w:lang w:val="en-GB"/>
        </w:rPr>
      </w:pPr>
      <w:r w:rsidRPr="006A6D19">
        <w:rPr>
          <w:lang w:val="en-GB"/>
        </w:rPr>
        <w:t>Norway is an international advocate for gender equality and sexual and reproductive health and rights (SRHR). Universal welfare schemes promoting equality are strong, and around 60 percent of fathers take full parental leave.</w:t>
      </w:r>
    </w:p>
    <w:p w14:paraId="0E00F739" w14:textId="77777777" w:rsidR="008A5841" w:rsidRPr="006A6D19" w:rsidRDefault="008A5841" w:rsidP="00B765C1">
      <w:pPr>
        <w:rPr>
          <w:lang w:val="en-GB"/>
        </w:rPr>
      </w:pPr>
      <w:r w:rsidRPr="006A6D19">
        <w:rPr>
          <w:rStyle w:val="halvfet"/>
          <w:lang w:val="en-GB"/>
        </w:rPr>
        <w:t xml:space="preserve">Norway’s challenges </w:t>
      </w:r>
      <w:r w:rsidRPr="006A6D19">
        <w:rPr>
          <w:lang w:val="en-GB"/>
        </w:rPr>
        <w:t>are persistent gendered social and economic inequalities, disparities in women’s health and occupational health, and high rates of gender-based violence. Despite numerous action plans, committees, and legislative reforms, these efforts have yet to yield lasting systemic change in practice.</w:t>
      </w:r>
    </w:p>
    <w:p w14:paraId="5618F463" w14:textId="3DE9BEC2" w:rsidR="008A5841" w:rsidRPr="006A6D19" w:rsidRDefault="008A5841" w:rsidP="00B765C1">
      <w:pPr>
        <w:rPr>
          <w:lang w:val="en-GB"/>
        </w:rPr>
      </w:pPr>
      <w:r w:rsidRPr="006A6D19">
        <w:rPr>
          <w:lang w:val="en-GB"/>
        </w:rPr>
        <w:t>Gender-based violence remains a widespread challenge. Women experience domestic violence, sexual harassment, and sexual violence more often than men. One in five Norwegian women has experienced rape, and 85 percent of victims of intimate partner murders are women. Sámi women experience domestic violence more often than non-Sámi women, and minorities face barriers accessing help-services. Violent pornography and oversexualised</w:t>
      </w:r>
      <w:r w:rsidR="001609FA" w:rsidRPr="006A6D19">
        <w:rPr>
          <w:lang w:val="en-GB"/>
        </w:rPr>
        <w:t xml:space="preserve"> </w:t>
      </w:r>
      <w:r w:rsidRPr="006A6D19">
        <w:rPr>
          <w:lang w:val="en-GB"/>
        </w:rPr>
        <w:t>representations of women and LGBTQIA+ persons are easily accessible online, and digital violence and sexual extortion are increasing. Women and LGBTQIA+ persons are often targeted by hate crime and hate speech. Civil society organisations and crisis centres report constraints and insufficient financial and political prioritisation.</w:t>
      </w:r>
    </w:p>
    <w:p w14:paraId="16645A07" w14:textId="77777777" w:rsidR="008A5841" w:rsidRPr="006A6D19" w:rsidRDefault="008A5841" w:rsidP="00B765C1">
      <w:pPr>
        <w:rPr>
          <w:lang w:val="en-GB"/>
        </w:rPr>
      </w:pPr>
      <w:r w:rsidRPr="006A6D19">
        <w:rPr>
          <w:lang w:val="en-GB"/>
        </w:rPr>
        <w:t xml:space="preserve">As of 2025, the gender pay gap is increasing. The labour market and educational system remain </w:t>
      </w:r>
      <w:proofErr w:type="gramStart"/>
      <w:r w:rsidRPr="006A6D19">
        <w:rPr>
          <w:lang w:val="en-GB"/>
        </w:rPr>
        <w:t>gender-segregated</w:t>
      </w:r>
      <w:proofErr w:type="gramEnd"/>
      <w:r w:rsidRPr="006A6D19">
        <w:rPr>
          <w:lang w:val="en-GB"/>
        </w:rPr>
        <w:t xml:space="preserve">. Women are more often part-time employed, overrepresented in low-paid care sectors, and underrepresented in leadership positions. Discrimination related to parental leave is prevalent. These patterns intersect with ethnicity, migration status, disability, and socioeconomic background. Gender-neutral language in policies and legislation may hinder substantive equality. The decline in female representatives in Parliament challenges democratic inclusivity. Detention systems do not adequately </w:t>
      </w:r>
      <w:r w:rsidRPr="006A6D19">
        <w:rPr>
          <w:lang w:val="en-GB"/>
        </w:rPr>
        <w:t>safeguard gender-sensitive conditions. Imprisoned women and trans persons report discrimination, inadequate healthcare, and heightened vulnerability to violence.</w:t>
      </w:r>
    </w:p>
    <w:p w14:paraId="22DE6CC7" w14:textId="77777777" w:rsidR="008A5841" w:rsidRPr="006A6D19" w:rsidRDefault="008A5841" w:rsidP="00B765C1">
      <w:pPr>
        <w:rPr>
          <w:lang w:val="en-GB"/>
        </w:rPr>
      </w:pPr>
      <w:r w:rsidRPr="006A6D19">
        <w:rPr>
          <w:lang w:val="en-GB"/>
        </w:rPr>
        <w:t>At a global level, we observe a backlash against gender equality, women’s rights, and bodily autonomy. Geopolitical and financial uncertainties particularly affect women, and violence against women remains a pervasive barrier to gender equality.</w:t>
      </w:r>
    </w:p>
    <w:p w14:paraId="49FFC48A" w14:textId="77777777" w:rsidR="008A5841" w:rsidRPr="006A6D19" w:rsidRDefault="008A5841" w:rsidP="006B301F">
      <w:pPr>
        <w:pStyle w:val="avsnitt-undertittel"/>
        <w:rPr>
          <w:lang w:val="en-GB"/>
        </w:rPr>
      </w:pPr>
      <w:r w:rsidRPr="006A6D19">
        <w:rPr>
          <w:lang w:val="en-GB"/>
        </w:rPr>
        <w:t>Norway must:</w:t>
      </w:r>
    </w:p>
    <w:p w14:paraId="7423CF73" w14:textId="77777777" w:rsidR="008A5841" w:rsidRPr="006A6D19" w:rsidRDefault="008A5841" w:rsidP="00B765C1">
      <w:pPr>
        <w:pStyle w:val="Listebombe"/>
        <w:rPr>
          <w:lang w:val="en-GB"/>
        </w:rPr>
      </w:pPr>
      <w:r w:rsidRPr="006A6D19">
        <w:rPr>
          <w:lang w:val="en-GB"/>
        </w:rPr>
        <w:t xml:space="preserve">Eliminate gender-based violence and discrimination, ensuring legal reforms and action plans are supported by financial prioritisation and preventive efforts. </w:t>
      </w:r>
    </w:p>
    <w:p w14:paraId="1CDA6F82" w14:textId="77777777" w:rsidR="008A5841" w:rsidRPr="006A6D19" w:rsidRDefault="008A5841" w:rsidP="00B765C1">
      <w:pPr>
        <w:pStyle w:val="Listebombe"/>
        <w:rPr>
          <w:lang w:val="en-GB"/>
        </w:rPr>
      </w:pPr>
      <w:r w:rsidRPr="006A6D19">
        <w:rPr>
          <w:lang w:val="en-GB"/>
        </w:rPr>
        <w:t xml:space="preserve">Follow up on the review of the Crisis Centre Act of 2010 and the financing model for crisis centres. </w:t>
      </w:r>
    </w:p>
    <w:p w14:paraId="02F4841B" w14:textId="77777777" w:rsidR="008A5841" w:rsidRPr="006A6D19" w:rsidRDefault="008A5841" w:rsidP="00B765C1">
      <w:pPr>
        <w:pStyle w:val="Listebombe"/>
        <w:rPr>
          <w:lang w:val="en-GB"/>
        </w:rPr>
      </w:pPr>
      <w:r w:rsidRPr="006A6D19">
        <w:rPr>
          <w:lang w:val="en-GB"/>
        </w:rPr>
        <w:t>Incorporate the Istanbul Convention into domestic law.</w:t>
      </w:r>
    </w:p>
    <w:p w14:paraId="797CA3EC" w14:textId="77777777" w:rsidR="008A5841" w:rsidRPr="006A6D19" w:rsidRDefault="008A5841" w:rsidP="00B765C1">
      <w:pPr>
        <w:pStyle w:val="Listebombe"/>
        <w:rPr>
          <w:lang w:val="en-GB"/>
        </w:rPr>
      </w:pPr>
      <w:r w:rsidRPr="006A6D19">
        <w:rPr>
          <w:lang w:val="en-GB"/>
        </w:rPr>
        <w:lastRenderedPageBreak/>
        <w:t xml:space="preserve">Implement large-scale awareness campaigns on gender-based violence, digital violence and pornography, and help-services for victims and perpetrators. </w:t>
      </w:r>
    </w:p>
    <w:p w14:paraId="3DA983B5" w14:textId="77777777" w:rsidR="008A5841" w:rsidRPr="006A6D19" w:rsidRDefault="008A5841" w:rsidP="00B765C1">
      <w:pPr>
        <w:pStyle w:val="Listebombe"/>
        <w:rPr>
          <w:lang w:val="en-GB"/>
        </w:rPr>
      </w:pPr>
      <w:r w:rsidRPr="006A6D19">
        <w:rPr>
          <w:lang w:val="en-GB"/>
        </w:rPr>
        <w:t>Expand the use of reverse personal security alarms.</w:t>
      </w:r>
    </w:p>
    <w:p w14:paraId="2B2E819C" w14:textId="77777777" w:rsidR="008A5841" w:rsidRPr="006A6D19" w:rsidRDefault="008A5841" w:rsidP="00B765C1">
      <w:pPr>
        <w:pStyle w:val="Listebombe"/>
        <w:rPr>
          <w:lang w:val="en-GB"/>
        </w:rPr>
      </w:pPr>
      <w:r w:rsidRPr="006A6D19">
        <w:rPr>
          <w:lang w:val="en-GB"/>
        </w:rPr>
        <w:t>Ensure relevant actors are trained to recognise and investigate violence against women, including women with disabilities.</w:t>
      </w:r>
    </w:p>
    <w:p w14:paraId="322F02C2" w14:textId="77777777" w:rsidR="008A5841" w:rsidRPr="006A6D19" w:rsidRDefault="008A5841" w:rsidP="00B765C1">
      <w:pPr>
        <w:pStyle w:val="Listebombe"/>
        <w:rPr>
          <w:lang w:val="en-GB"/>
        </w:rPr>
      </w:pPr>
      <w:r w:rsidRPr="006A6D19">
        <w:rPr>
          <w:lang w:val="en-GB"/>
        </w:rPr>
        <w:t>Retain gender-specific language recognising women’s structural disadvantages in policies and legislation on violence and in the Equality and Anti-Discrimination Act.</w:t>
      </w:r>
    </w:p>
    <w:p w14:paraId="50899216" w14:textId="77777777" w:rsidR="008A5841" w:rsidRPr="006A6D19" w:rsidRDefault="008A5841" w:rsidP="00B765C1">
      <w:pPr>
        <w:pStyle w:val="Listebombe"/>
        <w:rPr>
          <w:lang w:val="en-GB"/>
        </w:rPr>
      </w:pPr>
      <w:r w:rsidRPr="006A6D19">
        <w:rPr>
          <w:lang w:val="en-GB"/>
        </w:rPr>
        <w:t xml:space="preserve">Strengthen research on women’s health and follow up on the Commission on Women’s Occupational Health. </w:t>
      </w:r>
    </w:p>
    <w:p w14:paraId="48B62604" w14:textId="77777777" w:rsidR="008A5841" w:rsidRPr="006A6D19" w:rsidRDefault="008A5841" w:rsidP="00B765C1">
      <w:pPr>
        <w:pStyle w:val="Listebombe"/>
        <w:rPr>
          <w:lang w:val="en-GB"/>
        </w:rPr>
      </w:pPr>
      <w:r w:rsidRPr="006A6D19">
        <w:rPr>
          <w:lang w:val="en-GB"/>
        </w:rPr>
        <w:t>Challenge gender stereotypes in education and occupation, and reduce the gender pay gap, including implementing the EU Pay Transparency Directive.</w:t>
      </w:r>
    </w:p>
    <w:p w14:paraId="0EDD40FF" w14:textId="77777777" w:rsidR="008A5841" w:rsidRPr="006A6D19" w:rsidRDefault="008A5841" w:rsidP="00B765C1">
      <w:pPr>
        <w:pStyle w:val="Listebombe"/>
        <w:rPr>
          <w:lang w:val="en-GB"/>
        </w:rPr>
      </w:pPr>
      <w:r w:rsidRPr="006A6D19">
        <w:rPr>
          <w:lang w:val="en-GB"/>
        </w:rPr>
        <w:t>Ensure safe, gender-sensitive, and non-discriminatory prison conditions for women, trans, and non-binary individuals.</w:t>
      </w:r>
    </w:p>
    <w:p w14:paraId="59132C6F" w14:textId="77777777" w:rsidR="008A5841" w:rsidRPr="006A6D19" w:rsidRDefault="008A5841" w:rsidP="00B765C1">
      <w:pPr>
        <w:pStyle w:val="Listebombe"/>
        <w:rPr>
          <w:lang w:val="en-GB"/>
        </w:rPr>
      </w:pPr>
      <w:r w:rsidRPr="006A6D19">
        <w:rPr>
          <w:lang w:val="en-GB"/>
        </w:rPr>
        <w:t>Adopt intersectional approaches to gender equality and policies beyond a binary model of gender.</w:t>
      </w:r>
    </w:p>
    <w:p w14:paraId="4F9C8833" w14:textId="77777777" w:rsidR="008A5841" w:rsidRPr="006A6D19" w:rsidRDefault="008A5841" w:rsidP="00B765C1">
      <w:pPr>
        <w:pStyle w:val="Listebombe"/>
        <w:rPr>
          <w:lang w:val="en-GB"/>
        </w:rPr>
      </w:pPr>
      <w:r w:rsidRPr="006A6D19">
        <w:rPr>
          <w:lang w:val="en-GB"/>
        </w:rPr>
        <w:t>Ensure and protect bodily autonomy and access to healthcare for marginalised groups.</w:t>
      </w:r>
    </w:p>
    <w:p w14:paraId="4321D941" w14:textId="77777777" w:rsidR="008A5841" w:rsidRPr="006A6D19" w:rsidRDefault="008A5841" w:rsidP="00B765C1">
      <w:pPr>
        <w:pStyle w:val="Listebombe"/>
        <w:rPr>
          <w:lang w:val="en-GB"/>
        </w:rPr>
      </w:pPr>
      <w:r w:rsidRPr="006A6D19">
        <w:rPr>
          <w:lang w:val="en-GB"/>
        </w:rPr>
        <w:t>Counter global trends undermining women’s rights and advocate for gender equality and SRHR.</w:t>
      </w:r>
    </w:p>
    <w:p w14:paraId="04986C75" w14:textId="77777777" w:rsidR="008A5841" w:rsidRPr="006A6D19" w:rsidRDefault="008A5841" w:rsidP="00B765C1">
      <w:pPr>
        <w:pStyle w:val="Listebombe"/>
        <w:rPr>
          <w:lang w:val="en-GB"/>
        </w:rPr>
      </w:pPr>
      <w:r w:rsidRPr="006A6D19">
        <w:rPr>
          <w:lang w:val="en-GB"/>
        </w:rPr>
        <w:t xml:space="preserve">Strengthen gender-sensitive asylum and migration policies, including protection for LGBTQIA+ asylum seekers and women at risk. </w:t>
      </w:r>
    </w:p>
    <w:p w14:paraId="66856FCF" w14:textId="77777777" w:rsidR="008A5841" w:rsidRPr="006A6D19" w:rsidRDefault="008A5841" w:rsidP="00B765C1">
      <w:pPr>
        <w:pStyle w:val="Listebombe"/>
        <w:rPr>
          <w:lang w:val="en-GB"/>
        </w:rPr>
      </w:pPr>
      <w:r w:rsidRPr="006A6D19">
        <w:rPr>
          <w:lang w:val="en-GB"/>
        </w:rPr>
        <w:t xml:space="preserve">Integrate gender perspectives into climate reports, action plans, and initiatives, including those on technology and just transitions. </w:t>
      </w:r>
    </w:p>
    <w:p w14:paraId="281F57F4" w14:textId="77777777" w:rsidR="008A5841" w:rsidRPr="006A6D19" w:rsidRDefault="008A5841" w:rsidP="00B765C1">
      <w:pPr>
        <w:rPr>
          <w:lang w:val="en-GB"/>
        </w:rPr>
      </w:pPr>
    </w:p>
    <w:p w14:paraId="557DF9DD" w14:textId="77777777" w:rsidR="008A5841" w:rsidRPr="006A6D19" w:rsidRDefault="008A5841" w:rsidP="001609FA">
      <w:pPr>
        <w:pStyle w:val="UnOverskrift3"/>
        <w:rPr>
          <w:lang w:val="en-GB"/>
        </w:rPr>
      </w:pPr>
      <w:r w:rsidRPr="006A6D19">
        <w:rPr>
          <w:lang w:val="en-GB"/>
        </w:rPr>
        <w:t>6 Clean Water and Sanitation</w:t>
      </w:r>
    </w:p>
    <w:p w14:paraId="5CE78566" w14:textId="373CD962" w:rsidR="008A5841" w:rsidRPr="006A6D19" w:rsidRDefault="00BB2AF4" w:rsidP="001609FA">
      <w:pPr>
        <w:rPr>
          <w:lang w:val="en-GB"/>
        </w:rPr>
      </w:pPr>
      <w:r w:rsidRPr="006A6D19">
        <w:rPr>
          <w:noProof/>
          <w:lang w:val="en-GB"/>
        </w:rPr>
        <w:drawing>
          <wp:inline distT="0" distB="0" distL="0" distR="0" wp14:anchorId="383EA5C2" wp14:editId="19F5265F">
            <wp:extent cx="2857500" cy="2857500"/>
            <wp:effectExtent l="0" t="0" r="0" b="0"/>
            <wp:docPr id="1962354740" name="Bilde 48" descr="Goal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354740" name="Bilde 48" descr="Goal 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38F58C65" w14:textId="77777777" w:rsidR="008A5841" w:rsidRPr="006A6D19" w:rsidRDefault="008A5841" w:rsidP="006B301F">
      <w:pPr>
        <w:pStyle w:val="Undertittel"/>
        <w:rPr>
          <w:lang w:val="en-GB"/>
        </w:rPr>
      </w:pPr>
      <w:r w:rsidRPr="006A6D19">
        <w:rPr>
          <w:lang w:val="en-GB"/>
        </w:rPr>
        <w:lastRenderedPageBreak/>
        <w:t>Government Assessment</w:t>
      </w:r>
    </w:p>
    <w:tbl>
      <w:tblPr>
        <w:tblW w:w="5000" w:type="pct"/>
        <w:tblCellMar>
          <w:left w:w="0" w:type="dxa"/>
          <w:right w:w="0" w:type="dxa"/>
        </w:tblCellMar>
        <w:tblLook w:val="0000" w:firstRow="0" w:lastRow="0" w:firstColumn="0" w:lastColumn="0" w:noHBand="0" w:noVBand="0"/>
      </w:tblPr>
      <w:tblGrid>
        <w:gridCol w:w="1307"/>
        <w:gridCol w:w="7498"/>
        <w:gridCol w:w="1645"/>
      </w:tblGrid>
      <w:tr w:rsidR="00000000" w:rsidRPr="006A6D19" w14:paraId="40EC2951" w14:textId="77777777" w:rsidTr="001609FA">
        <w:tblPrEx>
          <w:tblCellMar>
            <w:top w:w="0" w:type="dxa"/>
            <w:left w:w="0" w:type="dxa"/>
            <w:bottom w:w="0" w:type="dxa"/>
            <w:right w:w="0" w:type="dxa"/>
          </w:tblCellMar>
        </w:tblPrEx>
        <w:trPr>
          <w:trHeight w:val="60"/>
        </w:trPr>
        <w:tc>
          <w:tcPr>
            <w:tcW w:w="66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F17DF93" w14:textId="77777777" w:rsidR="008A5841" w:rsidRPr="006A6D19" w:rsidRDefault="008A5841" w:rsidP="00B765C1">
            <w:pPr>
              <w:rPr>
                <w:lang w:val="en-GB"/>
              </w:rPr>
            </w:pPr>
            <w:r w:rsidRPr="006A6D19">
              <w:rPr>
                <w:lang w:val="en-GB"/>
              </w:rPr>
              <w:t xml:space="preserve">6.1 </w:t>
            </w:r>
          </w:p>
        </w:tc>
        <w:tc>
          <w:tcPr>
            <w:tcW w:w="362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1E8DEED" w14:textId="77777777" w:rsidR="008A5841" w:rsidRPr="006A6D19" w:rsidRDefault="008A5841" w:rsidP="00B765C1">
            <w:pPr>
              <w:rPr>
                <w:lang w:val="en-GB"/>
              </w:rPr>
            </w:pPr>
            <w:r w:rsidRPr="006A6D19">
              <w:rPr>
                <w:lang w:val="en-GB"/>
              </w:rPr>
              <w:t>Norwegians have access to safe and affordable drinking water.</w:t>
            </w:r>
          </w:p>
        </w:tc>
        <w:tc>
          <w:tcPr>
            <w:tcW w:w="70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DBCD961" w14:textId="7622F744" w:rsidR="008A5841" w:rsidRPr="006A6D19" w:rsidRDefault="00541482" w:rsidP="00B765C1">
            <w:pPr>
              <w:rPr>
                <w:lang w:val="en-GB"/>
              </w:rPr>
            </w:pPr>
            <w:r>
              <w:rPr>
                <w:noProof/>
              </w:rPr>
              <w:drawing>
                <wp:inline distT="0" distB="0" distL="0" distR="0" wp14:anchorId="3674EDDB" wp14:editId="3ED5B1AA">
                  <wp:extent cx="990600" cy="447675"/>
                  <wp:effectExtent l="0" t="0" r="0" b="9525"/>
                  <wp:docPr id="2131498082" name="Bilde 6" descr="Target met. Progres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2134" name="Bilde 6" descr="Target met. Progress positiv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7E786755" w14:textId="77777777" w:rsidTr="001609FA">
        <w:tblPrEx>
          <w:tblCellMar>
            <w:top w:w="0" w:type="dxa"/>
            <w:left w:w="0" w:type="dxa"/>
            <w:bottom w:w="0" w:type="dxa"/>
            <w:right w:w="0" w:type="dxa"/>
          </w:tblCellMar>
        </w:tblPrEx>
        <w:trPr>
          <w:trHeight w:val="60"/>
        </w:trPr>
        <w:tc>
          <w:tcPr>
            <w:tcW w:w="66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EF9E26A" w14:textId="77777777" w:rsidR="008A5841" w:rsidRPr="006A6D19" w:rsidRDefault="008A5841" w:rsidP="00B765C1">
            <w:pPr>
              <w:rPr>
                <w:lang w:val="en-GB"/>
              </w:rPr>
            </w:pPr>
            <w:r w:rsidRPr="006A6D19">
              <w:rPr>
                <w:lang w:val="en-GB"/>
              </w:rPr>
              <w:t xml:space="preserve">6.2 </w:t>
            </w:r>
          </w:p>
        </w:tc>
        <w:tc>
          <w:tcPr>
            <w:tcW w:w="362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36FDC1F" w14:textId="77777777" w:rsidR="008A5841" w:rsidRPr="006A6D19" w:rsidRDefault="008A5841" w:rsidP="00B765C1">
            <w:pPr>
              <w:rPr>
                <w:lang w:val="en-GB"/>
              </w:rPr>
            </w:pPr>
            <w:r w:rsidRPr="006A6D19">
              <w:rPr>
                <w:lang w:val="en-GB"/>
              </w:rPr>
              <w:t>Norwegians have universal access to sanitation and hygiene for all.</w:t>
            </w:r>
          </w:p>
        </w:tc>
        <w:tc>
          <w:tcPr>
            <w:tcW w:w="70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55C3C0C" w14:textId="161B93EF" w:rsidR="008A5841" w:rsidRPr="006A6D19" w:rsidRDefault="00541482" w:rsidP="00B765C1">
            <w:pPr>
              <w:rPr>
                <w:lang w:val="en-GB"/>
              </w:rPr>
            </w:pPr>
            <w:r>
              <w:rPr>
                <w:noProof/>
              </w:rPr>
              <w:drawing>
                <wp:inline distT="0" distB="0" distL="0" distR="0" wp14:anchorId="3B06F1AB" wp14:editId="14720FA8">
                  <wp:extent cx="990600" cy="447675"/>
                  <wp:effectExtent l="0" t="0" r="0" b="9525"/>
                  <wp:docPr id="1370071612" name="Bilde 4" descr="Target m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11348" name="Bilde 4" descr="Target met. Progress stagn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2BAB5C98" w14:textId="77777777" w:rsidTr="001609FA">
        <w:tblPrEx>
          <w:tblCellMar>
            <w:top w:w="0" w:type="dxa"/>
            <w:left w:w="0" w:type="dxa"/>
            <w:bottom w:w="0" w:type="dxa"/>
            <w:right w:w="0" w:type="dxa"/>
          </w:tblCellMar>
        </w:tblPrEx>
        <w:trPr>
          <w:trHeight w:val="60"/>
        </w:trPr>
        <w:tc>
          <w:tcPr>
            <w:tcW w:w="66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6C2112F3" w14:textId="1E9B87F8" w:rsidR="008A5841" w:rsidRPr="006A6D19" w:rsidRDefault="008A5841" w:rsidP="00B765C1">
            <w:pPr>
              <w:rPr>
                <w:lang w:val="en-GB"/>
              </w:rPr>
            </w:pPr>
            <w:r w:rsidRPr="006A6D19">
              <w:rPr>
                <w:lang w:val="en-GB"/>
              </w:rPr>
              <w:t>6.3</w:t>
            </w:r>
            <w:r w:rsidR="001609FA" w:rsidRPr="006A6D19">
              <w:rPr>
                <w:lang w:val="en-GB"/>
              </w:rPr>
              <w:t xml:space="preserve"> </w:t>
            </w:r>
          </w:p>
        </w:tc>
        <w:tc>
          <w:tcPr>
            <w:tcW w:w="362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BE0E3D8" w14:textId="77777777" w:rsidR="008A5841" w:rsidRPr="006A6D19" w:rsidRDefault="008A5841" w:rsidP="00B765C1">
            <w:pPr>
              <w:rPr>
                <w:lang w:val="en-GB"/>
              </w:rPr>
            </w:pPr>
            <w:r w:rsidRPr="006A6D19">
              <w:rPr>
                <w:lang w:val="en-GB"/>
              </w:rPr>
              <w:t>The overall water quality is good, but there are challenges related to wastewater and pollution.</w:t>
            </w:r>
          </w:p>
        </w:tc>
        <w:tc>
          <w:tcPr>
            <w:tcW w:w="70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0D91C125" w14:textId="690031DE" w:rsidR="008A5841" w:rsidRPr="006A6D19" w:rsidRDefault="007B3BCE" w:rsidP="00B765C1">
            <w:pPr>
              <w:rPr>
                <w:lang w:val="en-GB"/>
              </w:rPr>
            </w:pPr>
            <w:r>
              <w:rPr>
                <w:noProof/>
              </w:rPr>
              <w:drawing>
                <wp:inline distT="0" distB="0" distL="0" distR="0" wp14:anchorId="4785F022" wp14:editId="785A2410">
                  <wp:extent cx="990600" cy="447675"/>
                  <wp:effectExtent l="0" t="0" r="0" b="9525"/>
                  <wp:docPr id="2124812112" name="Bilde 1" descr="Close to targ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34566" name="Bilde 1" descr="Close to target. Progress stagn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6FBD78DF" w14:textId="77777777" w:rsidTr="001609FA">
        <w:tblPrEx>
          <w:tblCellMar>
            <w:top w:w="0" w:type="dxa"/>
            <w:left w:w="0" w:type="dxa"/>
            <w:bottom w:w="0" w:type="dxa"/>
            <w:right w:w="0" w:type="dxa"/>
          </w:tblCellMar>
        </w:tblPrEx>
        <w:trPr>
          <w:trHeight w:val="60"/>
        </w:trPr>
        <w:tc>
          <w:tcPr>
            <w:tcW w:w="66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680BF6E0" w14:textId="76743F1B" w:rsidR="008A5841" w:rsidRPr="006A6D19" w:rsidRDefault="008A5841" w:rsidP="00B765C1">
            <w:pPr>
              <w:rPr>
                <w:lang w:val="en-GB"/>
              </w:rPr>
            </w:pPr>
            <w:r w:rsidRPr="006A6D19">
              <w:rPr>
                <w:lang w:val="en-GB"/>
              </w:rPr>
              <w:t>6.4</w:t>
            </w:r>
            <w:r w:rsidR="001609FA" w:rsidRPr="006A6D19">
              <w:rPr>
                <w:lang w:val="en-GB"/>
              </w:rPr>
              <w:t xml:space="preserve"> </w:t>
            </w:r>
          </w:p>
        </w:tc>
        <w:tc>
          <w:tcPr>
            <w:tcW w:w="362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E0AF067" w14:textId="77777777" w:rsidR="008A5841" w:rsidRPr="006A6D19" w:rsidRDefault="008A5841" w:rsidP="00B765C1">
            <w:pPr>
              <w:rPr>
                <w:lang w:val="en-GB"/>
              </w:rPr>
            </w:pPr>
            <w:r w:rsidRPr="006A6D19">
              <w:rPr>
                <w:lang w:val="en-GB"/>
              </w:rPr>
              <w:t>The supply of fresh water is good, but upgrades and adaptations to the water and sewage system have a significant backlog.</w:t>
            </w:r>
          </w:p>
        </w:tc>
        <w:tc>
          <w:tcPr>
            <w:tcW w:w="70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74B57103" w14:textId="29A80E0D" w:rsidR="008A5841" w:rsidRPr="006A6D19" w:rsidRDefault="007B3BCE" w:rsidP="00B765C1">
            <w:pPr>
              <w:rPr>
                <w:lang w:val="en-GB"/>
              </w:rPr>
            </w:pPr>
            <w:r>
              <w:rPr>
                <w:noProof/>
              </w:rPr>
              <w:drawing>
                <wp:inline distT="0" distB="0" distL="0" distR="0" wp14:anchorId="2F2FE170" wp14:editId="5AE861EC">
                  <wp:extent cx="990600" cy="447675"/>
                  <wp:effectExtent l="0" t="0" r="0" b="9525"/>
                  <wp:docPr id="1565714093" name="Bilde 1" descr="Close to targ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34566" name="Bilde 1" descr="Close to target. Progress stagn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2D9B594B" w14:textId="77777777" w:rsidTr="001609FA">
        <w:tblPrEx>
          <w:tblCellMar>
            <w:top w:w="0" w:type="dxa"/>
            <w:left w:w="0" w:type="dxa"/>
            <w:bottom w:w="0" w:type="dxa"/>
            <w:right w:w="0" w:type="dxa"/>
          </w:tblCellMar>
        </w:tblPrEx>
        <w:trPr>
          <w:trHeight w:val="60"/>
        </w:trPr>
        <w:tc>
          <w:tcPr>
            <w:tcW w:w="66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2D2FBB8" w14:textId="77777777" w:rsidR="008A5841" w:rsidRPr="006A6D19" w:rsidRDefault="008A5841" w:rsidP="00B765C1">
            <w:pPr>
              <w:rPr>
                <w:lang w:val="en-GB"/>
              </w:rPr>
            </w:pPr>
            <w:r w:rsidRPr="006A6D19">
              <w:rPr>
                <w:lang w:val="en-GB"/>
              </w:rPr>
              <w:t xml:space="preserve">6.5 </w:t>
            </w:r>
          </w:p>
        </w:tc>
        <w:tc>
          <w:tcPr>
            <w:tcW w:w="362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030FB3AA" w14:textId="77777777" w:rsidR="008A5841" w:rsidRPr="006A6D19" w:rsidRDefault="008A5841" w:rsidP="00B765C1">
            <w:pPr>
              <w:rPr>
                <w:lang w:val="en-GB"/>
              </w:rPr>
            </w:pPr>
            <w:r w:rsidRPr="006A6D19">
              <w:rPr>
                <w:lang w:val="en-GB"/>
              </w:rPr>
              <w:t>The goal of integrated water management has been achieved, including through the regional water management plans for 2022–2027.</w:t>
            </w:r>
          </w:p>
        </w:tc>
        <w:tc>
          <w:tcPr>
            <w:tcW w:w="70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0C6C30DE" w14:textId="7290A2C9" w:rsidR="008A5841" w:rsidRPr="006A6D19" w:rsidRDefault="00541482" w:rsidP="00B765C1">
            <w:pPr>
              <w:rPr>
                <w:lang w:val="en-GB"/>
              </w:rPr>
            </w:pPr>
            <w:r>
              <w:rPr>
                <w:noProof/>
              </w:rPr>
              <w:drawing>
                <wp:inline distT="0" distB="0" distL="0" distR="0" wp14:anchorId="31C1EB70" wp14:editId="7771E93F">
                  <wp:extent cx="990600" cy="447675"/>
                  <wp:effectExtent l="0" t="0" r="0" b="9525"/>
                  <wp:docPr id="1095985954" name="Bilde 6" descr="Target met. Progres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2134" name="Bilde 6" descr="Target met. Progress positiv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08977F29" w14:textId="77777777" w:rsidTr="001609FA">
        <w:tblPrEx>
          <w:tblCellMar>
            <w:top w:w="0" w:type="dxa"/>
            <w:left w:w="0" w:type="dxa"/>
            <w:bottom w:w="0" w:type="dxa"/>
            <w:right w:w="0" w:type="dxa"/>
          </w:tblCellMar>
        </w:tblPrEx>
        <w:trPr>
          <w:trHeight w:val="60"/>
        </w:trPr>
        <w:tc>
          <w:tcPr>
            <w:tcW w:w="66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BBD55E6" w14:textId="77777777" w:rsidR="008A5841" w:rsidRPr="006A6D19" w:rsidRDefault="008A5841" w:rsidP="00B765C1">
            <w:pPr>
              <w:rPr>
                <w:lang w:val="en-GB"/>
              </w:rPr>
            </w:pPr>
            <w:r w:rsidRPr="006A6D19">
              <w:rPr>
                <w:lang w:val="en-GB"/>
              </w:rPr>
              <w:t xml:space="preserve">6.6 </w:t>
            </w:r>
          </w:p>
        </w:tc>
        <w:tc>
          <w:tcPr>
            <w:tcW w:w="362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699523F8" w14:textId="77777777" w:rsidR="008A5841" w:rsidRPr="006A6D19" w:rsidRDefault="008A5841" w:rsidP="00B765C1">
            <w:pPr>
              <w:rPr>
                <w:lang w:val="en-GB"/>
              </w:rPr>
            </w:pPr>
            <w:r w:rsidRPr="006A6D19">
              <w:rPr>
                <w:lang w:val="en-GB"/>
              </w:rPr>
              <w:t>There is still a need for improvements, especially for forest protection, as well as the restoration of peat bogs, wetlands and rivers.</w:t>
            </w:r>
          </w:p>
        </w:tc>
        <w:tc>
          <w:tcPr>
            <w:tcW w:w="70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991C74C" w14:textId="1C6733CA" w:rsidR="008A5841" w:rsidRPr="006A6D19" w:rsidRDefault="001609FA" w:rsidP="00B765C1">
            <w:pPr>
              <w:rPr>
                <w:lang w:val="en-GB"/>
              </w:rPr>
            </w:pPr>
            <w:r w:rsidRPr="006A6D19">
              <w:rPr>
                <w:lang w:val="en-GB"/>
              </w:rPr>
              <w:t xml:space="preserve"> </w:t>
            </w:r>
            <w:r w:rsidR="007B3BCE">
              <w:rPr>
                <w:noProof/>
              </w:rPr>
              <w:drawing>
                <wp:inline distT="0" distB="0" distL="0" distR="0" wp14:anchorId="3E3A8062" wp14:editId="655C0BB0">
                  <wp:extent cx="990600" cy="447675"/>
                  <wp:effectExtent l="0" t="0" r="0" b="9525"/>
                  <wp:docPr id="826197200" name="Bilde 3" descr="Close to target. Progress i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804348" name="Bilde 3" descr="Close to target. Progress is positiv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75E8A7D3" w14:textId="77777777" w:rsidTr="001609FA">
        <w:tblPrEx>
          <w:tblCellMar>
            <w:top w:w="0" w:type="dxa"/>
            <w:left w:w="0" w:type="dxa"/>
            <w:bottom w:w="0" w:type="dxa"/>
            <w:right w:w="0" w:type="dxa"/>
          </w:tblCellMar>
        </w:tblPrEx>
        <w:trPr>
          <w:trHeight w:val="60"/>
        </w:trPr>
        <w:tc>
          <w:tcPr>
            <w:tcW w:w="66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6F6057D" w14:textId="230B033E" w:rsidR="008A5841" w:rsidRPr="006A6D19" w:rsidRDefault="008A5841" w:rsidP="00B765C1">
            <w:pPr>
              <w:rPr>
                <w:lang w:val="en-GB"/>
              </w:rPr>
            </w:pPr>
            <w:r w:rsidRPr="006A6D19">
              <w:rPr>
                <w:lang w:val="en-GB"/>
              </w:rPr>
              <w:t>6.A</w:t>
            </w:r>
            <w:r w:rsidR="001609FA" w:rsidRPr="006A6D19">
              <w:rPr>
                <w:lang w:val="en-GB"/>
              </w:rPr>
              <w:t xml:space="preserve"> </w:t>
            </w:r>
          </w:p>
        </w:tc>
        <w:tc>
          <w:tcPr>
            <w:tcW w:w="362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73D4BBA" w14:textId="77777777" w:rsidR="008A5841" w:rsidRPr="006A6D19" w:rsidRDefault="008A5841" w:rsidP="00B765C1">
            <w:pPr>
              <w:rPr>
                <w:lang w:val="en-GB"/>
              </w:rPr>
            </w:pPr>
            <w:r w:rsidRPr="006A6D19">
              <w:rPr>
                <w:lang w:val="en-GB"/>
              </w:rPr>
              <w:t xml:space="preserve">Norway supports international cooperation and capacity-building in water- and sanitation-related activities, including support for water, sanitation and hygiene projects through bilateral and multilateral channels (e.g. the Global Environment Facility). Norway supports measures to reduce plastic waste entering rivers and freshwater systems. </w:t>
            </w:r>
          </w:p>
        </w:tc>
        <w:tc>
          <w:tcPr>
            <w:tcW w:w="70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58EE4B5" w14:textId="7C82295E" w:rsidR="008A5841" w:rsidRPr="006A6D19" w:rsidRDefault="008A5841" w:rsidP="00B765C1">
            <w:pPr>
              <w:rPr>
                <w:lang w:val="en-GB"/>
              </w:rPr>
            </w:pPr>
            <w:r w:rsidRPr="006A6D19">
              <w:rPr>
                <w:lang w:val="en-GB"/>
              </w:rPr>
              <w:t xml:space="preserve"> </w:t>
            </w:r>
            <w:r w:rsidR="007B3BCE">
              <w:rPr>
                <w:noProof/>
              </w:rPr>
              <w:drawing>
                <wp:inline distT="0" distB="0" distL="0" distR="0" wp14:anchorId="2879FCED" wp14:editId="6AE8DAA6">
                  <wp:extent cx="990600" cy="447675"/>
                  <wp:effectExtent l="0" t="0" r="0" b="9525"/>
                  <wp:docPr id="838186747" name="Bilde 3" descr="Close to target. Progress i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804348" name="Bilde 3" descr="Close to target. Progress is positiv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1D040179" w14:textId="77777777" w:rsidTr="001609FA">
        <w:tblPrEx>
          <w:tblCellMar>
            <w:top w:w="0" w:type="dxa"/>
            <w:left w:w="0" w:type="dxa"/>
            <w:bottom w:w="0" w:type="dxa"/>
            <w:right w:w="0" w:type="dxa"/>
          </w:tblCellMar>
        </w:tblPrEx>
        <w:trPr>
          <w:trHeight w:val="60"/>
        </w:trPr>
        <w:tc>
          <w:tcPr>
            <w:tcW w:w="66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797B5311" w14:textId="77777777" w:rsidR="008A5841" w:rsidRPr="006A6D19" w:rsidRDefault="008A5841" w:rsidP="00B765C1">
            <w:pPr>
              <w:rPr>
                <w:lang w:val="en-GB"/>
              </w:rPr>
            </w:pPr>
            <w:r w:rsidRPr="006A6D19">
              <w:rPr>
                <w:lang w:val="en-GB"/>
              </w:rPr>
              <w:t xml:space="preserve">6.B </w:t>
            </w:r>
          </w:p>
        </w:tc>
        <w:tc>
          <w:tcPr>
            <w:tcW w:w="362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0B2EB87A" w14:textId="77777777" w:rsidR="008A5841" w:rsidRPr="006A6D19" w:rsidRDefault="008A5841" w:rsidP="00B765C1">
            <w:pPr>
              <w:rPr>
                <w:lang w:val="en-GB"/>
              </w:rPr>
            </w:pPr>
            <w:r w:rsidRPr="006A6D19">
              <w:rPr>
                <w:lang w:val="en-GB"/>
              </w:rPr>
              <w:t>Guidance is provided by and available on the websites of the Norwegian Food Safety Authority and the Norwegian Environment Agency. In addition, municipalities normally give guidance in sanitation management to their inhabitants.</w:t>
            </w:r>
          </w:p>
        </w:tc>
        <w:tc>
          <w:tcPr>
            <w:tcW w:w="70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A67D932" w14:textId="37A0B37B" w:rsidR="008A5841" w:rsidRPr="006A6D19" w:rsidRDefault="00541482" w:rsidP="00B765C1">
            <w:pPr>
              <w:rPr>
                <w:lang w:val="en-GB"/>
              </w:rPr>
            </w:pPr>
            <w:r>
              <w:rPr>
                <w:noProof/>
              </w:rPr>
              <w:drawing>
                <wp:inline distT="0" distB="0" distL="0" distR="0" wp14:anchorId="2B124F4D" wp14:editId="78790533">
                  <wp:extent cx="990600" cy="447675"/>
                  <wp:effectExtent l="0" t="0" r="0" b="9525"/>
                  <wp:docPr id="2119710285" name="Bilde 4" descr="Target m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11348" name="Bilde 4" descr="Target met. Progress stagn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bl>
    <w:p w14:paraId="3DB93C2D" w14:textId="77777777" w:rsidR="008A5841" w:rsidRPr="006A6D19" w:rsidRDefault="008A5841" w:rsidP="00B765C1">
      <w:pPr>
        <w:rPr>
          <w:lang w:val="en-GB"/>
        </w:rPr>
      </w:pPr>
    </w:p>
    <w:p w14:paraId="06464D30" w14:textId="77777777" w:rsidR="008A5841" w:rsidRPr="006A6D19" w:rsidRDefault="008A5841" w:rsidP="00B765C1">
      <w:pPr>
        <w:rPr>
          <w:lang w:val="en-GB"/>
        </w:rPr>
      </w:pPr>
      <w:r w:rsidRPr="006A6D19">
        <w:rPr>
          <w:rStyle w:val="halvfet"/>
          <w:lang w:val="en-GB"/>
        </w:rPr>
        <w:t>General Status</w:t>
      </w:r>
      <w:r w:rsidRPr="006A6D19">
        <w:rPr>
          <w:lang w:val="en-GB"/>
        </w:rPr>
        <w:t xml:space="preserve">: Generally, people in Norway has universal access to safe drinking water and good sanitation conditions. The quality of drinking water is high, but measures are needed to ensure good quality in the future. Urban wastewater is treated, and </w:t>
      </w:r>
      <w:proofErr w:type="gramStart"/>
      <w:r w:rsidRPr="006A6D19">
        <w:rPr>
          <w:lang w:val="en-GB"/>
        </w:rPr>
        <w:t>the majority of</w:t>
      </w:r>
      <w:proofErr w:type="gramEnd"/>
      <w:r w:rsidRPr="006A6D19">
        <w:rPr>
          <w:lang w:val="en-GB"/>
        </w:rPr>
        <w:t xml:space="preserve"> the population is connected to municipal treatment plants. Around 65 percent of the population is connected to treatment plants where urban wastewater is treated biologically and/or chemically. Approximately 75 percent of </w:t>
      </w:r>
      <w:r w:rsidRPr="006A6D19">
        <w:rPr>
          <w:lang w:val="en-GB"/>
        </w:rPr>
        <w:lastRenderedPageBreak/>
        <w:t>Norway’s natural water bodies have</w:t>
      </w:r>
      <w:r w:rsidRPr="006A6D19">
        <w:rPr>
          <w:lang w:val="en-GB"/>
        </w:rPr>
        <w:t xml:space="preserve"> good ecological status. Work remains to protect and restore water-related ecosystems such as forests and wetlands.</w:t>
      </w:r>
    </w:p>
    <w:p w14:paraId="520BDED0" w14:textId="77777777" w:rsidR="008A5841" w:rsidRPr="006A6D19" w:rsidRDefault="008A5841" w:rsidP="00B765C1">
      <w:pPr>
        <w:rPr>
          <w:lang w:val="en-GB"/>
        </w:rPr>
      </w:pPr>
      <w:r w:rsidRPr="006A6D19">
        <w:rPr>
          <w:rStyle w:val="halvfet"/>
          <w:lang w:val="en-GB"/>
        </w:rPr>
        <w:t>Main Achievements</w:t>
      </w:r>
      <w:r w:rsidRPr="006A6D19">
        <w:rPr>
          <w:lang w:val="en-GB"/>
        </w:rPr>
        <w:t xml:space="preserve">: Nearly 90 percent of Norway’s population receives water from a supply system serving more than 50 people, supplying them with clean, high-quality drinking water. About ten percent of Norway’s population either uses private wells or is connected to small private water systems. Most urban wastewater is treated, and </w:t>
      </w:r>
      <w:proofErr w:type="gramStart"/>
      <w:r w:rsidRPr="006A6D19">
        <w:rPr>
          <w:lang w:val="en-GB"/>
        </w:rPr>
        <w:t>the majority of</w:t>
      </w:r>
      <w:proofErr w:type="gramEnd"/>
      <w:r w:rsidRPr="006A6D19">
        <w:rPr>
          <w:lang w:val="en-GB"/>
        </w:rPr>
        <w:t xml:space="preserve"> the population is connected to wastewater systems.</w:t>
      </w:r>
    </w:p>
    <w:p w14:paraId="2C6FAA21" w14:textId="77777777" w:rsidR="008A5841" w:rsidRPr="006A6D19" w:rsidRDefault="008A5841" w:rsidP="00B765C1">
      <w:pPr>
        <w:rPr>
          <w:lang w:val="en-GB"/>
        </w:rPr>
      </w:pPr>
      <w:r w:rsidRPr="006A6D19">
        <w:rPr>
          <w:lang w:val="en-GB"/>
        </w:rPr>
        <w:t>Measures regarding urban wastewater treatment are included in the action plan for the Oslofjord (2021). In addition, a grant scheme has been established to support efforts to reduce nitrogen emissions from urban wastewater within the Oslofjord catchment area. In 2026, around NOK 90 million is allocated to this grant scheme. Water resources are managed in accordance with the EU Water Framework Directive, which is implemented through national legislation. In 2023, approximately NOK 35 million was allocated t</w:t>
      </w:r>
      <w:r w:rsidRPr="006A6D19">
        <w:rPr>
          <w:lang w:val="en-GB"/>
        </w:rPr>
        <w:t>o the restoration of peatlands and other wetlands.</w:t>
      </w:r>
    </w:p>
    <w:p w14:paraId="52DE824A" w14:textId="77777777" w:rsidR="008A5841" w:rsidRPr="006A6D19" w:rsidRDefault="008A5841" w:rsidP="00B765C1">
      <w:pPr>
        <w:rPr>
          <w:lang w:val="en-GB"/>
        </w:rPr>
      </w:pPr>
      <w:r w:rsidRPr="006A6D19">
        <w:rPr>
          <w:lang w:val="en-GB"/>
        </w:rPr>
        <w:t>It has been approved that the budget allocation for restoring peatlands and other wetlands may also finance restoration measures in other ecosystems. The budget for state-run restoration projects in these ecosystems amounted to around NOK 44 million in 2024. In addition, in 2024, grants totalling NOK 15 million were awarded for water environment measures across 59 river-basin projects.</w:t>
      </w:r>
    </w:p>
    <w:p w14:paraId="3D39239B" w14:textId="77777777" w:rsidR="008A5841" w:rsidRPr="006A6D19" w:rsidRDefault="008A5841" w:rsidP="00B765C1">
      <w:pPr>
        <w:rPr>
          <w:lang w:val="en-GB"/>
        </w:rPr>
      </w:pPr>
      <w:r w:rsidRPr="006A6D19">
        <w:rPr>
          <w:rStyle w:val="halvfet"/>
          <w:lang w:val="en-GB"/>
        </w:rPr>
        <w:t>Norway’s Challenges</w:t>
      </w:r>
      <w:r w:rsidRPr="006A6D19">
        <w:rPr>
          <w:lang w:val="en-GB"/>
        </w:rPr>
        <w:t>: Leaks can occur in the municipal pipeline network. On average, 29 percent of produced and treated drinking water leaks out before reaching consumers. Several wastewater treatment plants also fail to meet the treatment requirements set in pollution regulations. There is a need to reduce discharges of untreated wastewater due to insufficient treatment capacity, pipeline leaks, and overflow incidents. Furthermore, water supply systems may be vulnerable to unforeseen events such as floods, extreme weather, an</w:t>
      </w:r>
      <w:r w:rsidRPr="006A6D19">
        <w:rPr>
          <w:lang w:val="en-GB"/>
        </w:rPr>
        <w:t>d intentional harm.</w:t>
      </w:r>
    </w:p>
    <w:p w14:paraId="5417B92A" w14:textId="77777777" w:rsidR="008A5841" w:rsidRPr="006A6D19" w:rsidRDefault="008A5841" w:rsidP="00B765C1">
      <w:pPr>
        <w:rPr>
          <w:lang w:val="en-GB"/>
        </w:rPr>
      </w:pPr>
      <w:r w:rsidRPr="006A6D19">
        <w:rPr>
          <w:rStyle w:val="halvfet"/>
          <w:lang w:val="en-GB"/>
        </w:rPr>
        <w:t>Global</w:t>
      </w:r>
      <w:r w:rsidRPr="006A6D19">
        <w:rPr>
          <w:rStyle w:val="halvfet"/>
          <w:rFonts w:ascii="Arial" w:hAnsi="Arial" w:cs="Arial"/>
          <w:lang w:val="en-GB"/>
        </w:rPr>
        <w:t> </w:t>
      </w:r>
      <w:r w:rsidRPr="006A6D19">
        <w:rPr>
          <w:rStyle w:val="halvfet"/>
          <w:lang w:val="en-GB"/>
        </w:rPr>
        <w:t xml:space="preserve">Responsibility: </w:t>
      </w:r>
      <w:r w:rsidRPr="006A6D19">
        <w:rPr>
          <w:lang w:val="en-GB"/>
        </w:rPr>
        <w:t xml:space="preserve">In 2025, Norway spent approximately NOK 90 million on water and sanitation and waste management in developing countries. Water and sanitation </w:t>
      </w:r>
      <w:proofErr w:type="gramStart"/>
      <w:r w:rsidRPr="006A6D19">
        <w:rPr>
          <w:lang w:val="en-GB"/>
        </w:rPr>
        <w:t>is</w:t>
      </w:r>
      <w:proofErr w:type="gramEnd"/>
      <w:r w:rsidRPr="006A6D19">
        <w:rPr>
          <w:lang w:val="en-GB"/>
        </w:rPr>
        <w:t xml:space="preserve"> a component of Norway’s humanitarian support. Norwegian support contributed to supporting UNICEF’s global efforts for water and sanitary services. In 2024 UNICEF secured 9 000 schools and 4 000 health clinics with access to basic water and sanitary services. In total, 18 million people received access to basic sanitary services, and 33 million people were supported</w:t>
      </w:r>
      <w:r w:rsidRPr="006A6D19">
        <w:rPr>
          <w:lang w:val="en-GB"/>
        </w:rPr>
        <w:t xml:space="preserve"> with access to clean drinking water.</w:t>
      </w:r>
    </w:p>
    <w:p w14:paraId="2D276184" w14:textId="77777777" w:rsidR="008A5841" w:rsidRPr="006A6D19" w:rsidRDefault="008A5841" w:rsidP="006B301F">
      <w:pPr>
        <w:pStyle w:val="avsnitt-undertittel"/>
        <w:rPr>
          <w:lang w:val="en-GB"/>
        </w:rPr>
      </w:pPr>
      <w:r w:rsidRPr="006A6D19">
        <w:rPr>
          <w:lang w:val="en-GB"/>
        </w:rPr>
        <w:t>Main Policy Initiatives 2021–2026</w:t>
      </w:r>
    </w:p>
    <w:p w14:paraId="5AD4D5F3" w14:textId="77777777" w:rsidR="008A5841" w:rsidRPr="006A6D19" w:rsidRDefault="008A5841" w:rsidP="00B765C1">
      <w:pPr>
        <w:pStyle w:val="Listebombe"/>
        <w:rPr>
          <w:lang w:val="en-GB"/>
        </w:rPr>
      </w:pPr>
      <w:r w:rsidRPr="006A6D19">
        <w:rPr>
          <w:lang w:val="en-GB"/>
        </w:rPr>
        <w:t>Launched new Norwegian National Goals under Protocol for Water and Health (2024).</w:t>
      </w:r>
    </w:p>
    <w:p w14:paraId="3220B2AE" w14:textId="77777777" w:rsidR="008A5841" w:rsidRPr="006A6D19" w:rsidRDefault="008A5841" w:rsidP="00B765C1">
      <w:pPr>
        <w:pStyle w:val="Listebombe"/>
        <w:rPr>
          <w:lang w:val="en-GB"/>
        </w:rPr>
      </w:pPr>
      <w:r w:rsidRPr="006A6D19">
        <w:rPr>
          <w:lang w:val="en-GB"/>
        </w:rPr>
        <w:t>Action plan for the Oslofjord, including wastewater measures (2021).</w:t>
      </w:r>
    </w:p>
    <w:p w14:paraId="2B738A2A" w14:textId="77777777" w:rsidR="008A5841" w:rsidRPr="006A6D19" w:rsidRDefault="008A5841" w:rsidP="00B765C1">
      <w:pPr>
        <w:rPr>
          <w:lang w:val="en-GB"/>
        </w:rPr>
      </w:pPr>
    </w:p>
    <w:p w14:paraId="3D526D6B" w14:textId="77777777" w:rsidR="006B301F" w:rsidRPr="006A6D19" w:rsidRDefault="006B301F" w:rsidP="006B301F">
      <w:pPr>
        <w:pStyle w:val="Undertittel"/>
        <w:rPr>
          <w:lang w:val="en-GB"/>
        </w:rPr>
      </w:pPr>
      <w:r w:rsidRPr="006A6D19">
        <w:rPr>
          <w:lang w:val="en-GB"/>
        </w:rPr>
        <w:lastRenderedPageBreak/>
        <w:t>Assessment by Civil Society</w:t>
      </w:r>
    </w:p>
    <w:p w14:paraId="267E99E4" w14:textId="77777777" w:rsidR="008A5841" w:rsidRPr="006A6D19" w:rsidRDefault="008A5841" w:rsidP="00B765C1">
      <w:pPr>
        <w:rPr>
          <w:rStyle w:val="kursiv"/>
          <w:lang w:val="en-GB"/>
        </w:rPr>
      </w:pPr>
      <w:r w:rsidRPr="006A6D19">
        <w:rPr>
          <w:lang w:val="en-GB"/>
        </w:rPr>
        <w:t xml:space="preserve">The following organisations have participated in this assessment: </w:t>
      </w:r>
      <w:r w:rsidRPr="006A6D19">
        <w:rPr>
          <w:lang w:val="en-GB"/>
        </w:rPr>
        <w:t>Association for International Water Studies (FIVAS), FIAN Norway, The Norwegian Forum for Development and Environment (</w:t>
      </w:r>
      <w:proofErr w:type="spellStart"/>
      <w:r w:rsidRPr="006A6D19">
        <w:rPr>
          <w:lang w:val="en-GB"/>
        </w:rPr>
        <w:t>ForUM</w:t>
      </w:r>
      <w:proofErr w:type="spellEnd"/>
      <w:r w:rsidRPr="006A6D19">
        <w:rPr>
          <w:lang w:val="en-GB"/>
        </w:rPr>
        <w:t>), The Norwegian Biodiversity Network (</w:t>
      </w:r>
      <w:proofErr w:type="spellStart"/>
      <w:r w:rsidRPr="006A6D19">
        <w:rPr>
          <w:lang w:val="en-GB"/>
        </w:rPr>
        <w:t>Sabima</w:t>
      </w:r>
      <w:proofErr w:type="spellEnd"/>
      <w:r w:rsidRPr="006A6D19">
        <w:rPr>
          <w:lang w:val="en-GB"/>
        </w:rPr>
        <w:t>), WWF Norway, The Norwegian Trekking Association, The Norwegian Society for the Conservation of Nature, The Norwegian Association for Outdoor Organisations.</w:t>
      </w:r>
    </w:p>
    <w:p w14:paraId="61E273FA" w14:textId="47D6AC4F" w:rsidR="008A5841" w:rsidRPr="006A6D19" w:rsidRDefault="008A5841" w:rsidP="00B765C1">
      <w:pPr>
        <w:rPr>
          <w:lang w:val="en-GB"/>
        </w:rPr>
      </w:pPr>
      <w:r>
        <w:rPr>
          <w:noProof/>
          <w:lang w:val="en-GB"/>
        </w:rPr>
        <w:drawing>
          <wp:inline distT="0" distB="0" distL="0" distR="0" wp14:anchorId="68F54069" wp14:editId="23B4FA7A">
            <wp:extent cx="561975" cy="561975"/>
            <wp:effectExtent l="0" t="0" r="9525" b="9525"/>
            <wp:docPr id="234582997" name="Bilde 84" descr="Arrow sidew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442347" name="Bilde 84" descr="Arrow sideways"/>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r>
        <w:rPr>
          <w:rStyle w:val="halvfet"/>
          <w:lang w:val="en-GB"/>
        </w:rPr>
        <w:t xml:space="preserve"> </w:t>
      </w:r>
      <w:r w:rsidRPr="006A6D19">
        <w:rPr>
          <w:rStyle w:val="halvfet"/>
          <w:lang w:val="en-GB"/>
        </w:rPr>
        <w:t xml:space="preserve">Trend: </w:t>
      </w:r>
      <w:r w:rsidRPr="006A6D19">
        <w:rPr>
          <w:lang w:val="en-GB"/>
        </w:rPr>
        <w:t>Stagnant</w:t>
      </w:r>
      <w:r w:rsidR="001609FA" w:rsidRPr="006A6D19">
        <w:rPr>
          <w:lang w:val="en-GB"/>
        </w:rPr>
        <w:t xml:space="preserve"> </w:t>
      </w:r>
    </w:p>
    <w:p w14:paraId="478827D8" w14:textId="77777777" w:rsidR="008A5841" w:rsidRPr="006A6D19" w:rsidRDefault="008A5841" w:rsidP="00B765C1">
      <w:pPr>
        <w:rPr>
          <w:lang w:val="en-GB"/>
        </w:rPr>
      </w:pPr>
      <w:r w:rsidRPr="006A6D19">
        <w:rPr>
          <w:rStyle w:val="halvfet"/>
          <w:lang w:val="en-GB"/>
        </w:rPr>
        <w:t>Norway has succeeded</w:t>
      </w:r>
      <w:r w:rsidRPr="006A6D19">
        <w:rPr>
          <w:lang w:val="en-GB"/>
        </w:rPr>
        <w:t xml:space="preserve"> in achieving near-universal access to safe drinking water and sanitation services. Approximately 99 percent of the population is connected to regulated drinking water supplies, and sanitation coverage is similarly high. Drinking water quality is generally stable and monitored through national regulatory frameworks. Norway withdraws only around 2 percent of its renewable freshwater resources, indicating low national water stress. Integrated water resources management is implemented through river basin plann</w:t>
      </w:r>
      <w:r w:rsidRPr="006A6D19">
        <w:rPr>
          <w:lang w:val="en-GB"/>
        </w:rPr>
        <w:t>ing aligned with the EU Water Framework Directive. Concerning SDG 6 on public participation, regional differences remain in how well the administration accommodates participation, but more regions now have local and regional forums for interest groups. Norway has strong public institutions and financial capacity that provide a solid foundation for achieving SDG 6 domestically and supporting global water and sanitation efforts.</w:t>
      </w:r>
    </w:p>
    <w:p w14:paraId="4D6D6422" w14:textId="0A0CA9CF" w:rsidR="008A5841" w:rsidRPr="006A6D19" w:rsidRDefault="008A5841" w:rsidP="00B765C1">
      <w:pPr>
        <w:rPr>
          <w:lang w:val="en-GB"/>
        </w:rPr>
      </w:pPr>
      <w:r w:rsidRPr="006A6D19">
        <w:rPr>
          <w:rStyle w:val="halvfet"/>
          <w:lang w:val="en-GB"/>
        </w:rPr>
        <w:t xml:space="preserve">Norway’s challenges </w:t>
      </w:r>
      <w:r w:rsidRPr="006A6D19">
        <w:rPr>
          <w:lang w:val="en-GB"/>
        </w:rPr>
        <w:t>lie in achieving the environmental targets of SDG 6. While institutional frameworks for water management are established, progress in improving the ecological status of water bodies, as well as formally protecting valuable wetlands and restoring freshwater ecosystems, remains slow. Implementation gaps in the EU Water Framework Directive, combined with increasing climate pressures and an upgrading backlog of the water and wastewater infrastructure, risk delaying SDG 6 fulfilment beyond 2030.</w:t>
      </w:r>
      <w:r w:rsidRPr="006A6D19">
        <w:rPr>
          <w:rStyle w:val="halvfet"/>
          <w:lang w:val="en-GB"/>
        </w:rPr>
        <w:t xml:space="preserve"> </w:t>
      </w:r>
      <w:r w:rsidRPr="006A6D19">
        <w:rPr>
          <w:lang w:val="en-GB"/>
        </w:rPr>
        <w:t>One in four Norwegian water bodies still do not reach good ecological status, mainly due to hydropower, aquaculture, pollution and land-use changes. Hydropower accounts for more than 90 percent of Norway’s electricity generation and has significantly altered many freshwater ecosystems. About 13</w:t>
      </w:r>
      <w:r w:rsidR="006B301F" w:rsidRPr="006A6D19">
        <w:rPr>
          <w:lang w:val="en-GB"/>
        </w:rPr>
        <w:t xml:space="preserve"> </w:t>
      </w:r>
      <w:r w:rsidRPr="006A6D19">
        <w:rPr>
          <w:lang w:val="en-GB"/>
        </w:rPr>
        <w:t>percent of Norway’s surface water bodies are heavily modified, mostly due to hydropower. Modifications include dams/regulations, the transfer of rivers to other valleys/fjords, and river stretches that are dry.</w:t>
      </w:r>
    </w:p>
    <w:p w14:paraId="78A73DF2" w14:textId="77777777" w:rsidR="008A5841" w:rsidRPr="006A6D19" w:rsidRDefault="008A5841" w:rsidP="00B765C1">
      <w:pPr>
        <w:rPr>
          <w:lang w:val="en-GB"/>
        </w:rPr>
      </w:pPr>
      <w:r w:rsidRPr="006A6D19">
        <w:rPr>
          <w:lang w:val="en-GB"/>
        </w:rPr>
        <w:t xml:space="preserve">Municipal water infrastructure requires significant upgrades. Leakage from distribution networks remains around 30 percent of produced drinking water, which in Norway means more than 100 L per person per day. Despite the awareness, the renovation rate of the water and wastewater system is only about </w:t>
      </w:r>
      <w:r w:rsidRPr="006A6D19">
        <w:rPr>
          <w:lang w:val="en-GB"/>
        </w:rPr>
        <w:t>0,6 percent per year. Sewage treatment is expected to improve as the Government aims to implement the revised EU urban wastewater treatment directive. As 90 percent of Norwegian drinking water comes from surface sources, groundwater has received less attention, mainly focusing on quantity and hydrology. Data on its chemical status is fragmented.</w:t>
      </w:r>
    </w:p>
    <w:p w14:paraId="430065B3" w14:textId="77777777" w:rsidR="008A5841" w:rsidRPr="006A6D19" w:rsidRDefault="008A5841" w:rsidP="00B765C1">
      <w:pPr>
        <w:rPr>
          <w:lang w:val="en-GB"/>
        </w:rPr>
      </w:pPr>
      <w:r w:rsidRPr="006A6D19">
        <w:rPr>
          <w:lang w:val="en-GB"/>
        </w:rPr>
        <w:t xml:space="preserve">The Government Pension Fund Global has investments in water-intensive sectors, and Norway has the financial capacity to contribute more strongly to global progress </w:t>
      </w:r>
      <w:r w:rsidRPr="006A6D19">
        <w:rPr>
          <w:lang w:val="en-GB"/>
        </w:rPr>
        <w:t xml:space="preserve">on SDG 6. Strengthening </w:t>
      </w:r>
      <w:r w:rsidRPr="006A6D19">
        <w:rPr>
          <w:lang w:val="en-GB"/>
        </w:rPr>
        <w:lastRenderedPageBreak/>
        <w:t>expectations related to sustainable water management and water stewardship in investment portfolios remains an important opportunity.</w:t>
      </w:r>
    </w:p>
    <w:p w14:paraId="014A5661" w14:textId="77777777" w:rsidR="008A5841" w:rsidRPr="006A6D19" w:rsidRDefault="008A5841" w:rsidP="006B301F">
      <w:pPr>
        <w:pStyle w:val="avsnitt-undertittel"/>
        <w:rPr>
          <w:lang w:val="en-GB"/>
        </w:rPr>
      </w:pPr>
      <w:r w:rsidRPr="006A6D19">
        <w:rPr>
          <w:lang w:val="en-GB"/>
        </w:rPr>
        <w:t>Norway must:</w:t>
      </w:r>
    </w:p>
    <w:p w14:paraId="1BE06C41" w14:textId="77777777" w:rsidR="008A5841" w:rsidRPr="006A6D19" w:rsidRDefault="008A5841" w:rsidP="00B765C1">
      <w:pPr>
        <w:pStyle w:val="Listebombe"/>
        <w:rPr>
          <w:lang w:val="en-GB"/>
        </w:rPr>
      </w:pPr>
      <w:r w:rsidRPr="006A6D19">
        <w:rPr>
          <w:lang w:val="en-GB"/>
        </w:rPr>
        <w:t>Accelerate renewal of water and wastewater infrastructure, including national targets to reduce leakage and stronger financial support to municipalities.</w:t>
      </w:r>
    </w:p>
    <w:p w14:paraId="0BA5C91E" w14:textId="77777777" w:rsidR="008A5841" w:rsidRPr="006A6D19" w:rsidRDefault="008A5841" w:rsidP="00B765C1">
      <w:pPr>
        <w:pStyle w:val="Listebombe"/>
        <w:rPr>
          <w:lang w:val="en-GB"/>
        </w:rPr>
      </w:pPr>
      <w:r w:rsidRPr="006A6D19">
        <w:rPr>
          <w:lang w:val="en-GB"/>
        </w:rPr>
        <w:t>Strengthen implementation of the Water Framework Directive by reducing reliance on exemptions and ensuring that environmental objectives for water bodies are met.</w:t>
      </w:r>
    </w:p>
    <w:p w14:paraId="72213828" w14:textId="77777777" w:rsidR="008A5841" w:rsidRPr="006A6D19" w:rsidRDefault="008A5841" w:rsidP="00B765C1">
      <w:pPr>
        <w:pStyle w:val="Listebombe"/>
        <w:rPr>
          <w:lang w:val="en-GB"/>
        </w:rPr>
      </w:pPr>
      <w:r w:rsidRPr="006A6D19">
        <w:rPr>
          <w:lang w:val="en-GB"/>
        </w:rPr>
        <w:t>Scale up restoration of freshwater ecosystems, including rivers, wetlands and lakes affected by hydropower regulation and land-use change.</w:t>
      </w:r>
    </w:p>
    <w:p w14:paraId="7F745E2F" w14:textId="77777777" w:rsidR="008A5841" w:rsidRPr="006A6D19" w:rsidRDefault="008A5841" w:rsidP="00B765C1">
      <w:pPr>
        <w:pStyle w:val="Listebombe"/>
        <w:rPr>
          <w:lang w:val="en-GB"/>
        </w:rPr>
      </w:pPr>
      <w:r w:rsidRPr="006A6D19">
        <w:rPr>
          <w:lang w:val="en-GB"/>
        </w:rPr>
        <w:t>Upgrade wastewater treatment standards, particularly in smaller municipalities and decentralised systems.</w:t>
      </w:r>
    </w:p>
    <w:p w14:paraId="2E4E3F37" w14:textId="77777777" w:rsidR="008A5841" w:rsidRPr="006A6D19" w:rsidRDefault="008A5841" w:rsidP="00B765C1">
      <w:pPr>
        <w:pStyle w:val="Listebombe"/>
        <w:rPr>
          <w:lang w:val="en-GB"/>
        </w:rPr>
      </w:pPr>
      <w:r w:rsidRPr="006A6D19">
        <w:rPr>
          <w:lang w:val="en-GB"/>
        </w:rPr>
        <w:t>Strengthen climate resilience in water management, including river restoration and nature-based solutions when assessing stormwater systems and flood protection.</w:t>
      </w:r>
    </w:p>
    <w:p w14:paraId="0ADBEA7D" w14:textId="77777777" w:rsidR="008A5841" w:rsidRPr="006A6D19" w:rsidRDefault="008A5841" w:rsidP="00B765C1">
      <w:pPr>
        <w:pStyle w:val="Listebombe"/>
        <w:rPr>
          <w:lang w:val="en-GB"/>
        </w:rPr>
      </w:pPr>
      <w:r w:rsidRPr="006A6D19">
        <w:rPr>
          <w:lang w:val="en-GB"/>
        </w:rPr>
        <w:t>Increase international leadership on water and sanitation, including stronger support for WASH programmes and enhanced water stewardship requirements in sovereign wealth fund investments.</w:t>
      </w:r>
    </w:p>
    <w:p w14:paraId="31BF7828" w14:textId="77777777" w:rsidR="008A5841" w:rsidRPr="006A6D19" w:rsidRDefault="008A5841" w:rsidP="00B765C1">
      <w:pPr>
        <w:rPr>
          <w:lang w:val="en-GB"/>
        </w:rPr>
      </w:pPr>
    </w:p>
    <w:p w14:paraId="19715998" w14:textId="77777777" w:rsidR="008A5841" w:rsidRPr="006A6D19" w:rsidRDefault="008A5841" w:rsidP="001609FA">
      <w:pPr>
        <w:pStyle w:val="UnOverskrift3"/>
        <w:rPr>
          <w:lang w:val="en-GB"/>
        </w:rPr>
      </w:pPr>
      <w:r w:rsidRPr="006A6D19">
        <w:rPr>
          <w:lang w:val="en-GB"/>
        </w:rPr>
        <w:t>7 Affordable and Clean Energy</w:t>
      </w:r>
    </w:p>
    <w:p w14:paraId="2C86E580" w14:textId="1230AC93" w:rsidR="008A5841" w:rsidRPr="006A6D19" w:rsidRDefault="00BB2AF4" w:rsidP="001609FA">
      <w:pPr>
        <w:rPr>
          <w:lang w:val="en-GB"/>
        </w:rPr>
      </w:pPr>
      <w:r w:rsidRPr="006A6D19">
        <w:rPr>
          <w:noProof/>
          <w:lang w:val="en-GB"/>
        </w:rPr>
        <w:drawing>
          <wp:inline distT="0" distB="0" distL="0" distR="0" wp14:anchorId="7590E4DF" wp14:editId="5ABA87D9">
            <wp:extent cx="2857500" cy="2857500"/>
            <wp:effectExtent l="0" t="0" r="0" b="0"/>
            <wp:docPr id="306823438" name="Bilde 49" descr="Goal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823438" name="Bilde 49" descr="Goal 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4E1F2BB4" w14:textId="77777777" w:rsidR="008A5841" w:rsidRPr="006A6D19" w:rsidRDefault="008A5841" w:rsidP="006B301F">
      <w:pPr>
        <w:pStyle w:val="Undertittel"/>
        <w:rPr>
          <w:lang w:val="en-GB"/>
        </w:rPr>
      </w:pPr>
      <w:r w:rsidRPr="006A6D19">
        <w:rPr>
          <w:lang w:val="en-GB"/>
        </w:rPr>
        <w:t>Government Assessment</w:t>
      </w:r>
    </w:p>
    <w:tbl>
      <w:tblPr>
        <w:tblW w:w="5000" w:type="pct"/>
        <w:tblCellMar>
          <w:left w:w="0" w:type="dxa"/>
          <w:right w:w="0" w:type="dxa"/>
        </w:tblCellMar>
        <w:tblLook w:val="0000" w:firstRow="0" w:lastRow="0" w:firstColumn="0" w:lastColumn="0" w:noHBand="0" w:noVBand="0"/>
      </w:tblPr>
      <w:tblGrid>
        <w:gridCol w:w="1268"/>
        <w:gridCol w:w="7537"/>
        <w:gridCol w:w="1645"/>
      </w:tblGrid>
      <w:tr w:rsidR="00000000" w:rsidRPr="006A6D19" w14:paraId="3FEB0291" w14:textId="77777777" w:rsidTr="001609FA">
        <w:tblPrEx>
          <w:tblCellMar>
            <w:top w:w="0" w:type="dxa"/>
            <w:left w:w="0" w:type="dxa"/>
            <w:bottom w:w="0" w:type="dxa"/>
            <w:right w:w="0" w:type="dxa"/>
          </w:tblCellMar>
        </w:tblPrEx>
        <w:trPr>
          <w:trHeight w:val="60"/>
        </w:trPr>
        <w:tc>
          <w:tcPr>
            <w:tcW w:w="66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CDC67D1" w14:textId="77777777" w:rsidR="008A5841" w:rsidRPr="006A6D19" w:rsidRDefault="008A5841" w:rsidP="00B765C1">
            <w:pPr>
              <w:rPr>
                <w:lang w:val="en-GB"/>
              </w:rPr>
            </w:pPr>
            <w:r w:rsidRPr="006A6D19">
              <w:rPr>
                <w:lang w:val="en-GB"/>
              </w:rPr>
              <w:t xml:space="preserve">7.1 </w:t>
            </w:r>
          </w:p>
        </w:tc>
        <w:tc>
          <w:tcPr>
            <w:tcW w:w="3666"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E878515" w14:textId="77777777" w:rsidR="008A5841" w:rsidRPr="006A6D19" w:rsidRDefault="008A5841" w:rsidP="00B765C1">
            <w:pPr>
              <w:rPr>
                <w:lang w:val="en-GB"/>
              </w:rPr>
            </w:pPr>
            <w:r w:rsidRPr="006A6D19">
              <w:rPr>
                <w:lang w:val="en-GB"/>
              </w:rPr>
              <w:t>Norway has universal access to affordable, reliable and modern energy services. Electricity supply is highly reliable, and access to modern energy services is ensured for the entire population.</w:t>
            </w:r>
          </w:p>
        </w:tc>
        <w:tc>
          <w:tcPr>
            <w:tcW w:w="66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0094D65" w14:textId="31C95C05" w:rsidR="008A5841" w:rsidRPr="006A6D19" w:rsidRDefault="00541482" w:rsidP="00B765C1">
            <w:pPr>
              <w:rPr>
                <w:lang w:val="en-GB"/>
              </w:rPr>
            </w:pPr>
            <w:r>
              <w:rPr>
                <w:noProof/>
              </w:rPr>
              <w:drawing>
                <wp:inline distT="0" distB="0" distL="0" distR="0" wp14:anchorId="14DC0C7A" wp14:editId="58D763EF">
                  <wp:extent cx="990600" cy="447675"/>
                  <wp:effectExtent l="0" t="0" r="0" b="9525"/>
                  <wp:docPr id="1478090930" name="Bilde 4" descr="Target m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11348" name="Bilde 4" descr="Target met. Progress stagn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0E42DCF0" w14:textId="77777777" w:rsidTr="001609FA">
        <w:tblPrEx>
          <w:tblCellMar>
            <w:top w:w="0" w:type="dxa"/>
            <w:left w:w="0" w:type="dxa"/>
            <w:bottom w:w="0" w:type="dxa"/>
            <w:right w:w="0" w:type="dxa"/>
          </w:tblCellMar>
        </w:tblPrEx>
        <w:trPr>
          <w:trHeight w:val="60"/>
        </w:trPr>
        <w:tc>
          <w:tcPr>
            <w:tcW w:w="66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5CE5D94" w14:textId="77777777" w:rsidR="008A5841" w:rsidRPr="006A6D19" w:rsidRDefault="008A5841" w:rsidP="00B765C1">
            <w:pPr>
              <w:rPr>
                <w:lang w:val="en-GB"/>
              </w:rPr>
            </w:pPr>
            <w:r w:rsidRPr="006A6D19">
              <w:rPr>
                <w:lang w:val="en-GB"/>
              </w:rPr>
              <w:lastRenderedPageBreak/>
              <w:t xml:space="preserve">7.2 </w:t>
            </w:r>
          </w:p>
        </w:tc>
        <w:tc>
          <w:tcPr>
            <w:tcW w:w="3666"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8E8B5A1" w14:textId="77777777" w:rsidR="008A5841" w:rsidRPr="006A6D19" w:rsidRDefault="008A5841" w:rsidP="00B765C1">
            <w:pPr>
              <w:rPr>
                <w:lang w:val="en-GB"/>
              </w:rPr>
            </w:pPr>
            <w:r w:rsidRPr="006A6D19">
              <w:rPr>
                <w:lang w:val="en-GB"/>
              </w:rPr>
              <w:t>Norway has a very high share of renewable energy in its energy mix. Almost all electricity production is based on renewable energy sources, primarily hydropower, complemented by wind power.</w:t>
            </w:r>
          </w:p>
        </w:tc>
        <w:tc>
          <w:tcPr>
            <w:tcW w:w="66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28CCA8A" w14:textId="32275EB1" w:rsidR="008A5841" w:rsidRPr="006A6D19" w:rsidRDefault="00541482" w:rsidP="00B765C1">
            <w:pPr>
              <w:rPr>
                <w:lang w:val="en-GB"/>
              </w:rPr>
            </w:pPr>
            <w:r>
              <w:rPr>
                <w:noProof/>
              </w:rPr>
              <w:drawing>
                <wp:inline distT="0" distB="0" distL="0" distR="0" wp14:anchorId="2B6888C4" wp14:editId="64538039">
                  <wp:extent cx="990600" cy="447675"/>
                  <wp:effectExtent l="0" t="0" r="0" b="9525"/>
                  <wp:docPr id="204271153" name="Bilde 6" descr="Target met. Progres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2134" name="Bilde 6" descr="Target met. Progress positiv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43661FC7" w14:textId="77777777" w:rsidTr="001609FA">
        <w:tblPrEx>
          <w:tblCellMar>
            <w:top w:w="0" w:type="dxa"/>
            <w:left w:w="0" w:type="dxa"/>
            <w:bottom w:w="0" w:type="dxa"/>
            <w:right w:w="0" w:type="dxa"/>
          </w:tblCellMar>
        </w:tblPrEx>
        <w:trPr>
          <w:trHeight w:val="60"/>
        </w:trPr>
        <w:tc>
          <w:tcPr>
            <w:tcW w:w="66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6229DA2" w14:textId="77777777" w:rsidR="008A5841" w:rsidRPr="006A6D19" w:rsidRDefault="008A5841" w:rsidP="00B765C1">
            <w:pPr>
              <w:rPr>
                <w:lang w:val="en-GB"/>
              </w:rPr>
            </w:pPr>
            <w:r w:rsidRPr="006A6D19">
              <w:rPr>
                <w:lang w:val="en-GB"/>
              </w:rPr>
              <w:t xml:space="preserve">7.3 </w:t>
            </w:r>
          </w:p>
        </w:tc>
        <w:tc>
          <w:tcPr>
            <w:tcW w:w="3666"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69061D66" w14:textId="77777777" w:rsidR="008A5841" w:rsidRPr="006A6D19" w:rsidRDefault="008A5841" w:rsidP="00B765C1">
            <w:pPr>
              <w:rPr>
                <w:lang w:val="en-GB"/>
              </w:rPr>
            </w:pPr>
            <w:r w:rsidRPr="006A6D19">
              <w:rPr>
                <w:lang w:val="en-GB"/>
              </w:rPr>
              <w:t>In Norway, energy intensity is low and gradually improving.</w:t>
            </w:r>
          </w:p>
        </w:tc>
        <w:tc>
          <w:tcPr>
            <w:tcW w:w="66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AA2D22F" w14:textId="54F9DF58" w:rsidR="008A5841" w:rsidRPr="006A6D19" w:rsidRDefault="007B3BCE" w:rsidP="00B765C1">
            <w:pPr>
              <w:rPr>
                <w:lang w:val="en-GB"/>
              </w:rPr>
            </w:pPr>
            <w:r>
              <w:rPr>
                <w:noProof/>
              </w:rPr>
              <w:drawing>
                <wp:inline distT="0" distB="0" distL="0" distR="0" wp14:anchorId="10FA0E9C" wp14:editId="640F2FC4">
                  <wp:extent cx="990600" cy="447675"/>
                  <wp:effectExtent l="0" t="0" r="0" b="9525"/>
                  <wp:docPr id="990564173" name="Bilde 1" descr="Close to targ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34566" name="Bilde 1" descr="Close to target. Progress stagn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4AF6D133" w14:textId="77777777" w:rsidTr="001609FA">
        <w:tblPrEx>
          <w:tblCellMar>
            <w:top w:w="0" w:type="dxa"/>
            <w:left w:w="0" w:type="dxa"/>
            <w:bottom w:w="0" w:type="dxa"/>
            <w:right w:w="0" w:type="dxa"/>
          </w:tblCellMar>
        </w:tblPrEx>
        <w:trPr>
          <w:trHeight w:val="60"/>
        </w:trPr>
        <w:tc>
          <w:tcPr>
            <w:tcW w:w="66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FDDF2CE" w14:textId="77777777" w:rsidR="008A5841" w:rsidRPr="006A6D19" w:rsidRDefault="008A5841" w:rsidP="00B765C1">
            <w:pPr>
              <w:rPr>
                <w:lang w:val="en-GB"/>
              </w:rPr>
            </w:pPr>
            <w:r w:rsidRPr="006A6D19">
              <w:rPr>
                <w:lang w:val="en-GB"/>
              </w:rPr>
              <w:t xml:space="preserve">7.A </w:t>
            </w:r>
          </w:p>
        </w:tc>
        <w:tc>
          <w:tcPr>
            <w:tcW w:w="3666"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0B896B0" w14:textId="77777777" w:rsidR="008A5841" w:rsidRPr="006A6D19" w:rsidRDefault="008A5841" w:rsidP="00B765C1">
            <w:pPr>
              <w:rPr>
                <w:lang w:val="en-GB"/>
              </w:rPr>
            </w:pPr>
            <w:r w:rsidRPr="006A6D19">
              <w:rPr>
                <w:lang w:val="en-GB"/>
              </w:rPr>
              <w:t>Norway actively contributes to international cooperation on clean energy through research partnerships, technology development, and financial support, including initiatives related to renewable energy, energy efficiency, hydrogen, and carbon capture and storage.</w:t>
            </w:r>
          </w:p>
        </w:tc>
        <w:tc>
          <w:tcPr>
            <w:tcW w:w="66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0479AD37" w14:textId="6FE4C41E" w:rsidR="008A5841" w:rsidRPr="006A6D19" w:rsidRDefault="00541482" w:rsidP="00B765C1">
            <w:pPr>
              <w:rPr>
                <w:lang w:val="en-GB"/>
              </w:rPr>
            </w:pPr>
            <w:r>
              <w:rPr>
                <w:noProof/>
              </w:rPr>
              <w:drawing>
                <wp:inline distT="0" distB="0" distL="0" distR="0" wp14:anchorId="3644A803" wp14:editId="02EE5156">
                  <wp:extent cx="990600" cy="447675"/>
                  <wp:effectExtent l="0" t="0" r="0" b="9525"/>
                  <wp:docPr id="1004494331" name="Bilde 6" descr="Target met. Progres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2134" name="Bilde 6" descr="Target met. Progress positiv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74F3424C" w14:textId="77777777" w:rsidTr="001609FA">
        <w:tblPrEx>
          <w:tblCellMar>
            <w:top w:w="0" w:type="dxa"/>
            <w:left w:w="0" w:type="dxa"/>
            <w:bottom w:w="0" w:type="dxa"/>
            <w:right w:w="0" w:type="dxa"/>
          </w:tblCellMar>
        </w:tblPrEx>
        <w:trPr>
          <w:trHeight w:val="60"/>
        </w:trPr>
        <w:tc>
          <w:tcPr>
            <w:tcW w:w="66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79C47089" w14:textId="77777777" w:rsidR="008A5841" w:rsidRPr="006A6D19" w:rsidRDefault="008A5841" w:rsidP="00B765C1">
            <w:pPr>
              <w:rPr>
                <w:lang w:val="en-GB"/>
              </w:rPr>
            </w:pPr>
            <w:r w:rsidRPr="006A6D19">
              <w:rPr>
                <w:lang w:val="en-GB"/>
              </w:rPr>
              <w:t xml:space="preserve">7.B </w:t>
            </w:r>
          </w:p>
        </w:tc>
        <w:tc>
          <w:tcPr>
            <w:tcW w:w="3666"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001E1DE7" w14:textId="77777777" w:rsidR="008A5841" w:rsidRPr="006A6D19" w:rsidRDefault="008A5841" w:rsidP="00B765C1">
            <w:pPr>
              <w:rPr>
                <w:lang w:val="en-GB"/>
              </w:rPr>
            </w:pPr>
            <w:r w:rsidRPr="006A6D19">
              <w:rPr>
                <w:lang w:val="en-GB"/>
              </w:rPr>
              <w:t>Norway supports access to sustainable energy in developing countries through development cooperation, multilateral initiatives, and targeted programmes aimed at expanding energy infrastructure and promoting clean and reliable energy solutions.</w:t>
            </w:r>
          </w:p>
        </w:tc>
        <w:tc>
          <w:tcPr>
            <w:tcW w:w="66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E6DCA36" w14:textId="37415324" w:rsidR="008A5841" w:rsidRPr="006A6D19" w:rsidRDefault="00541482" w:rsidP="00B765C1">
            <w:pPr>
              <w:rPr>
                <w:lang w:val="en-GB"/>
              </w:rPr>
            </w:pPr>
            <w:r>
              <w:rPr>
                <w:noProof/>
              </w:rPr>
              <w:drawing>
                <wp:inline distT="0" distB="0" distL="0" distR="0" wp14:anchorId="601F4F23" wp14:editId="2C2BE15C">
                  <wp:extent cx="990600" cy="447675"/>
                  <wp:effectExtent l="0" t="0" r="0" b="9525"/>
                  <wp:docPr id="91751349" name="Bilde 6" descr="Target met. Progres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2134" name="Bilde 6" descr="Target met. Progress positiv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bl>
    <w:p w14:paraId="33434D2E" w14:textId="77777777" w:rsidR="008A5841" w:rsidRPr="006A6D19" w:rsidRDefault="008A5841" w:rsidP="00B765C1">
      <w:pPr>
        <w:rPr>
          <w:lang w:val="en-GB"/>
        </w:rPr>
      </w:pPr>
    </w:p>
    <w:p w14:paraId="37F4A305" w14:textId="77777777" w:rsidR="008A5841" w:rsidRPr="006A6D19" w:rsidRDefault="008A5841" w:rsidP="00B765C1">
      <w:pPr>
        <w:rPr>
          <w:lang w:val="en-GB"/>
        </w:rPr>
      </w:pPr>
      <w:r w:rsidRPr="006A6D19">
        <w:rPr>
          <w:rStyle w:val="halvfet"/>
          <w:lang w:val="en-GB"/>
        </w:rPr>
        <w:t>General Status</w:t>
      </w:r>
      <w:r w:rsidRPr="006A6D19">
        <w:rPr>
          <w:lang w:val="en-GB"/>
        </w:rPr>
        <w:t>: In Norway, virtually everyone has access to energy. The energy system ensures efficient resource use, high security of supply, and that electricity does not become more expensive than necessary. In 2025, the share of renewable energy in electricity production was 99 percent, of which hydropower accounted for about 90 percent. This is exceptionally high by international standards.</w:t>
      </w:r>
    </w:p>
    <w:p w14:paraId="3F1ED155" w14:textId="77777777" w:rsidR="008A5841" w:rsidRPr="006A6D19" w:rsidRDefault="008A5841" w:rsidP="00B765C1">
      <w:pPr>
        <w:rPr>
          <w:lang w:val="en-GB"/>
        </w:rPr>
      </w:pPr>
      <w:r w:rsidRPr="006A6D19">
        <w:rPr>
          <w:rStyle w:val="halvfet"/>
          <w:lang w:val="en-GB"/>
        </w:rPr>
        <w:t>Main Achievements</w:t>
      </w:r>
      <w:r w:rsidRPr="006A6D19">
        <w:rPr>
          <w:lang w:val="en-GB"/>
        </w:rPr>
        <w:t xml:space="preserve">: The share of renewable energy is very high. The most important energy source is hydropower, which will continue to make up </w:t>
      </w:r>
      <w:proofErr w:type="gramStart"/>
      <w:r w:rsidRPr="006A6D19">
        <w:rPr>
          <w:lang w:val="en-GB"/>
        </w:rPr>
        <w:t>the majority of</w:t>
      </w:r>
      <w:proofErr w:type="gramEnd"/>
      <w:r w:rsidRPr="006A6D19">
        <w:rPr>
          <w:lang w:val="en-GB"/>
        </w:rPr>
        <w:t xml:space="preserve"> the Norwegian power supply in the years ahead. Wind power constitutes a growing share of renewable energy in Norway, in 2025 production was about 14 TWh, making up around 8 percent of Norway’s capacity. The Government aims to allocate areas corresponding to 30 GW of offshore wind capacity by 2040. This would generate almost as much energy as the entire Norwegian hydrop</w:t>
      </w:r>
      <w:r w:rsidRPr="006A6D19">
        <w:rPr>
          <w:lang w:val="en-GB"/>
        </w:rPr>
        <w:t xml:space="preserve">ower system produces today. Three project areas have been awarded for offshore wind development on the Norwegian continental shelf: One area for bottom-fixed offshore wind in </w:t>
      </w:r>
      <w:proofErr w:type="spellStart"/>
      <w:r w:rsidRPr="006A6D19">
        <w:rPr>
          <w:lang w:val="en-GB"/>
        </w:rPr>
        <w:t>Sørlige</w:t>
      </w:r>
      <w:proofErr w:type="spellEnd"/>
      <w:r w:rsidRPr="006A6D19">
        <w:rPr>
          <w:lang w:val="en-GB"/>
        </w:rPr>
        <w:t xml:space="preserve"> Nordsjø II, and two areas for floating offshore wind in Utsira Nord.</w:t>
      </w:r>
    </w:p>
    <w:p w14:paraId="1C516D8B" w14:textId="77777777" w:rsidR="008A5841" w:rsidRPr="006A6D19" w:rsidRDefault="008A5841" w:rsidP="00B765C1">
      <w:pPr>
        <w:rPr>
          <w:lang w:val="en-GB"/>
        </w:rPr>
      </w:pPr>
      <w:r w:rsidRPr="006A6D19">
        <w:rPr>
          <w:lang w:val="en-GB"/>
        </w:rPr>
        <w:t>In a normal year, Norway has a power surplus of around 18 TWh. The Norwegian Water Resources and Energy Directorate (NVE) states in its latest analysis (2025) of the power system that the national power surplus will persist through 2030, though at a slightly lower level than today. Significant investments have been initiated to strengthen the electricity grid.</w:t>
      </w:r>
    </w:p>
    <w:p w14:paraId="7AE421CB" w14:textId="77777777" w:rsidR="008A5841" w:rsidRPr="006A6D19" w:rsidRDefault="008A5841" w:rsidP="00B765C1">
      <w:pPr>
        <w:rPr>
          <w:lang w:val="en-GB"/>
        </w:rPr>
      </w:pPr>
      <w:r w:rsidRPr="006A6D19">
        <w:rPr>
          <w:rStyle w:val="halvfet"/>
          <w:lang w:val="en-GB"/>
        </w:rPr>
        <w:t>Norway’s Challenges</w:t>
      </w:r>
      <w:r w:rsidRPr="006A6D19">
        <w:rPr>
          <w:lang w:val="en-GB"/>
        </w:rPr>
        <w:t xml:space="preserve">: The electrification of society—especially within industry and the transport sector—may significantly increase Norway’s electricity consumption over time. Without a corresponding increase in power production, this may weaken the power balance and, all else being equal, </w:t>
      </w:r>
      <w:r w:rsidRPr="006A6D19">
        <w:rPr>
          <w:lang w:val="en-GB"/>
        </w:rPr>
        <w:lastRenderedPageBreak/>
        <w:t>contribute to higher electricity prices and a greater need for energy efficiency. More production and consumption also require available capacity in the electricity grid. The global energy market is facing major changes, driven by new techno</w:t>
      </w:r>
      <w:r w:rsidRPr="006A6D19">
        <w:rPr>
          <w:lang w:val="en-GB"/>
        </w:rPr>
        <w:t>logies, stricter climate policy, and increasing demand. These developments will also affect the Norwegian energy market. In recent years, consumers in the southern price areas of Norway have experienced periods of high and fluctuating electricity prices, in comparison to historically low and stable prices.</w:t>
      </w:r>
    </w:p>
    <w:p w14:paraId="1CF160B5" w14:textId="77777777" w:rsidR="008A5841" w:rsidRPr="006A6D19" w:rsidRDefault="008A5841" w:rsidP="00B765C1">
      <w:pPr>
        <w:rPr>
          <w:lang w:val="en-GB"/>
        </w:rPr>
      </w:pPr>
      <w:r w:rsidRPr="006A6D19">
        <w:rPr>
          <w:lang w:val="en-GB"/>
        </w:rPr>
        <w:br/>
      </w:r>
      <w:r w:rsidRPr="006A6D19">
        <w:rPr>
          <w:rStyle w:val="halvfet"/>
          <w:lang w:val="en-GB"/>
        </w:rPr>
        <w:t>Global</w:t>
      </w:r>
      <w:r w:rsidRPr="006A6D19">
        <w:rPr>
          <w:rStyle w:val="halvfet"/>
          <w:rFonts w:ascii="Arial" w:hAnsi="Arial" w:cs="Arial"/>
          <w:lang w:val="en-GB"/>
        </w:rPr>
        <w:t> </w:t>
      </w:r>
      <w:r w:rsidRPr="006A6D19">
        <w:rPr>
          <w:rStyle w:val="halvfet"/>
          <w:lang w:val="en-GB"/>
        </w:rPr>
        <w:t>Responsibility</w:t>
      </w:r>
      <w:r w:rsidRPr="006A6D19">
        <w:rPr>
          <w:lang w:val="en-GB"/>
        </w:rPr>
        <w:t xml:space="preserve">: Norway supports access to affordable, sustainable and clean energy in many developing countries, both bilaterally and through multilateral partners. A key priority for Norway is to support access to energy, including for clean cooking, in Sub-Saharan Africa. The M300 initiative, established by the World Bank and the African Development Bank, is a key partner. </w:t>
      </w:r>
    </w:p>
    <w:p w14:paraId="7317D23F" w14:textId="77777777" w:rsidR="008A5841" w:rsidRPr="006A6D19" w:rsidRDefault="008A5841" w:rsidP="00B765C1">
      <w:pPr>
        <w:rPr>
          <w:lang w:val="en-GB"/>
        </w:rPr>
      </w:pPr>
      <w:r w:rsidRPr="006A6D19">
        <w:rPr>
          <w:lang w:val="en-GB"/>
        </w:rPr>
        <w:t>Norway has established several instruments to increase investments from private sector in renewable energy. The Norwegian Investment Fund for Devel</w:t>
      </w:r>
      <w:r w:rsidRPr="006A6D19">
        <w:rPr>
          <w:lang w:val="en-GB"/>
        </w:rPr>
        <w:t>oping Countries (</w:t>
      </w:r>
      <w:proofErr w:type="spellStart"/>
      <w:r w:rsidRPr="006A6D19">
        <w:rPr>
          <w:lang w:val="en-GB"/>
        </w:rPr>
        <w:t>Norfund</w:t>
      </w:r>
      <w:proofErr w:type="spellEnd"/>
      <w:r w:rsidRPr="006A6D19">
        <w:rPr>
          <w:lang w:val="en-GB"/>
        </w:rPr>
        <w:t xml:space="preserve">) provides equity to renewable energy projects. </w:t>
      </w:r>
      <w:proofErr w:type="spellStart"/>
      <w:r w:rsidRPr="006A6D19">
        <w:rPr>
          <w:lang w:val="en-GB"/>
        </w:rPr>
        <w:t>Norfund</w:t>
      </w:r>
      <w:proofErr w:type="spellEnd"/>
      <w:r w:rsidRPr="006A6D19">
        <w:rPr>
          <w:lang w:val="en-GB"/>
        </w:rPr>
        <w:t xml:space="preserve"> had a committed clean energy portfolio of NOK 12 billon by the end of 2024 </w:t>
      </w:r>
      <w:proofErr w:type="gramStart"/>
      <w:r w:rsidRPr="006A6D19">
        <w:rPr>
          <w:lang w:val="en-GB"/>
        </w:rPr>
        <w:t>and also</w:t>
      </w:r>
      <w:proofErr w:type="gramEnd"/>
      <w:r w:rsidRPr="006A6D19">
        <w:rPr>
          <w:lang w:val="en-GB"/>
        </w:rPr>
        <w:t xml:space="preserve"> manages the Climate Investment Fund with a portfolio of NOK 5.6 billion in 2024. Norway has also established a sovereign </w:t>
      </w:r>
      <w:proofErr w:type="gramStart"/>
      <w:r w:rsidRPr="006A6D19">
        <w:rPr>
          <w:lang w:val="en-GB"/>
        </w:rPr>
        <w:t>guarantee</w:t>
      </w:r>
      <w:proofErr w:type="gramEnd"/>
      <w:r w:rsidRPr="006A6D19">
        <w:rPr>
          <w:lang w:val="en-GB"/>
        </w:rPr>
        <w:t xml:space="preserve"> mechanism for renewable energy, signing the first guarantee agreement with the Inter-American Development Bank in December 2025.</w:t>
      </w:r>
    </w:p>
    <w:p w14:paraId="73E9BA90" w14:textId="77777777" w:rsidR="008A5841" w:rsidRPr="006A6D19" w:rsidRDefault="008A5841" w:rsidP="006B301F">
      <w:pPr>
        <w:pStyle w:val="avsnitt-undertittel"/>
        <w:rPr>
          <w:lang w:val="en-GB"/>
        </w:rPr>
      </w:pPr>
      <w:r w:rsidRPr="006A6D19">
        <w:rPr>
          <w:lang w:val="en-GB"/>
        </w:rPr>
        <w:t>Main Policy Initiatives 2021–2026</w:t>
      </w:r>
    </w:p>
    <w:p w14:paraId="68A713EE" w14:textId="77777777" w:rsidR="008A5841" w:rsidRPr="006A6D19" w:rsidRDefault="008A5841" w:rsidP="00B765C1">
      <w:pPr>
        <w:pStyle w:val="Listebombe"/>
        <w:rPr>
          <w:lang w:val="en-GB"/>
        </w:rPr>
      </w:pPr>
      <w:r w:rsidRPr="006A6D19">
        <w:rPr>
          <w:lang w:val="en-GB"/>
        </w:rPr>
        <w:t>White Paper, Meld. St. 36 (2020–2021) Energy for Work – Long-Term Value Creation from Norwegian Energy Resources.</w:t>
      </w:r>
    </w:p>
    <w:p w14:paraId="6CB487C5" w14:textId="77777777" w:rsidR="008A5841" w:rsidRPr="006A6D19" w:rsidRDefault="008A5841" w:rsidP="00B765C1">
      <w:pPr>
        <w:pStyle w:val="Listebombe"/>
        <w:rPr>
          <w:lang w:val="en-GB"/>
        </w:rPr>
      </w:pPr>
      <w:r w:rsidRPr="006A6D19">
        <w:rPr>
          <w:lang w:val="en-GB"/>
        </w:rPr>
        <w:t>White Paper, Meld. St. 11 (2022–2023) on Faster Grid Development and Improved Utilisation of the Power System.</w:t>
      </w:r>
    </w:p>
    <w:p w14:paraId="64C98980" w14:textId="77777777" w:rsidR="008A5841" w:rsidRPr="006A6D19" w:rsidRDefault="008A5841" w:rsidP="00B765C1">
      <w:pPr>
        <w:pStyle w:val="Listebombe"/>
        <w:rPr>
          <w:lang w:val="en-GB"/>
        </w:rPr>
      </w:pPr>
      <w:r w:rsidRPr="006A6D19">
        <w:rPr>
          <w:lang w:val="en-GB"/>
        </w:rPr>
        <w:t>White Paper, Meld. St. 25 (2022–2023) Industrial Policy for a Green Transition.</w:t>
      </w:r>
    </w:p>
    <w:p w14:paraId="22ACD3EF" w14:textId="77777777" w:rsidR="008A5841" w:rsidRPr="006A6D19" w:rsidRDefault="008A5841" w:rsidP="00B765C1">
      <w:pPr>
        <w:pStyle w:val="Listebombe"/>
        <w:rPr>
          <w:lang w:val="en-GB"/>
        </w:rPr>
      </w:pPr>
      <w:r w:rsidRPr="006A6D19">
        <w:rPr>
          <w:lang w:val="en-GB"/>
        </w:rPr>
        <w:t>Strategy for Offshore Wind (2023).</w:t>
      </w:r>
    </w:p>
    <w:p w14:paraId="5B4B48E5" w14:textId="77777777" w:rsidR="008A5841" w:rsidRPr="006A6D19" w:rsidRDefault="008A5841" w:rsidP="00B765C1">
      <w:pPr>
        <w:pStyle w:val="Listebombe"/>
        <w:rPr>
          <w:lang w:val="en-GB"/>
        </w:rPr>
      </w:pPr>
      <w:r w:rsidRPr="006A6D19">
        <w:rPr>
          <w:lang w:val="en-GB"/>
        </w:rPr>
        <w:t>Norway Price (“</w:t>
      </w:r>
      <w:proofErr w:type="spellStart"/>
      <w:r w:rsidRPr="006A6D19">
        <w:rPr>
          <w:lang w:val="en-GB"/>
        </w:rPr>
        <w:t>Norgespris</w:t>
      </w:r>
      <w:proofErr w:type="spellEnd"/>
      <w:r w:rsidRPr="006A6D19">
        <w:rPr>
          <w:lang w:val="en-GB"/>
        </w:rPr>
        <w:t>”) for electricity and district heating, proposed through Prop. 148 L (2024–2025).</w:t>
      </w:r>
    </w:p>
    <w:p w14:paraId="7238678F" w14:textId="77777777" w:rsidR="008A5841" w:rsidRPr="006A6D19" w:rsidRDefault="008A5841" w:rsidP="00B765C1">
      <w:pPr>
        <w:rPr>
          <w:lang w:val="en-GB"/>
        </w:rPr>
      </w:pPr>
    </w:p>
    <w:p w14:paraId="1E3C7D5C" w14:textId="77777777" w:rsidR="006B301F" w:rsidRPr="006A6D19" w:rsidRDefault="006B301F" w:rsidP="006B301F">
      <w:pPr>
        <w:pStyle w:val="Undertittel"/>
        <w:rPr>
          <w:lang w:val="en-GB"/>
        </w:rPr>
      </w:pPr>
      <w:r w:rsidRPr="006A6D19">
        <w:rPr>
          <w:lang w:val="en-GB"/>
        </w:rPr>
        <w:t>Assessment by Civil Society</w:t>
      </w:r>
    </w:p>
    <w:p w14:paraId="3BAFFC33" w14:textId="77777777" w:rsidR="008A5841" w:rsidRPr="006A6D19" w:rsidRDefault="008A5841" w:rsidP="00B765C1">
      <w:pPr>
        <w:rPr>
          <w:rStyle w:val="kursiv"/>
          <w:lang w:val="en-GB"/>
        </w:rPr>
      </w:pPr>
      <w:r w:rsidRPr="006A6D19">
        <w:rPr>
          <w:lang w:val="en-GB"/>
        </w:rPr>
        <w:t xml:space="preserve">The following organisations have participated in this assessment: </w:t>
      </w:r>
      <w:r w:rsidRPr="006A6D19">
        <w:rPr>
          <w:lang w:val="en-GB"/>
        </w:rPr>
        <w:t>Grandparents Climate Action (BKA), Association for International Water Studies (FIVAS), Changemaker, Debt Justice Norway, Norwegian Azerbaijanis’ Youth Organization (NAYO), Norwegian Development Fund, The Norwegian forum for Development and Environment (</w:t>
      </w:r>
      <w:proofErr w:type="spellStart"/>
      <w:r w:rsidRPr="006A6D19">
        <w:rPr>
          <w:lang w:val="en-GB"/>
        </w:rPr>
        <w:t>ForUM</w:t>
      </w:r>
      <w:proofErr w:type="spellEnd"/>
      <w:r w:rsidRPr="006A6D19">
        <w:rPr>
          <w:lang w:val="en-GB"/>
        </w:rPr>
        <w:t>).</w:t>
      </w:r>
    </w:p>
    <w:p w14:paraId="696AF263" w14:textId="72ACCB53" w:rsidR="008A5841" w:rsidRPr="006A6D19" w:rsidRDefault="008A5841" w:rsidP="00B765C1">
      <w:pPr>
        <w:rPr>
          <w:lang w:val="en-GB"/>
        </w:rPr>
      </w:pPr>
      <w:r>
        <w:rPr>
          <w:noProof/>
          <w:lang w:val="en-GB"/>
        </w:rPr>
        <w:drawing>
          <wp:inline distT="0" distB="0" distL="0" distR="0" wp14:anchorId="58351F9C" wp14:editId="090A9365">
            <wp:extent cx="561975" cy="561975"/>
            <wp:effectExtent l="0" t="0" r="9525" b="9525"/>
            <wp:docPr id="1218516647" name="Bilde 84" descr="Arrow sidew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442347" name="Bilde 84" descr="Arrow sideways"/>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r>
        <w:rPr>
          <w:rStyle w:val="halvfet"/>
          <w:lang w:val="en-GB"/>
        </w:rPr>
        <w:t xml:space="preserve"> </w:t>
      </w:r>
      <w:r w:rsidRPr="006A6D19">
        <w:rPr>
          <w:rStyle w:val="halvfet"/>
          <w:lang w:val="en-GB"/>
        </w:rPr>
        <w:t>Trend:</w:t>
      </w:r>
      <w:r w:rsidRPr="006A6D19">
        <w:rPr>
          <w:lang w:val="en-GB"/>
        </w:rPr>
        <w:t xml:space="preserve"> Stagnant</w:t>
      </w:r>
      <w:r w:rsidR="001609FA" w:rsidRPr="006A6D19">
        <w:rPr>
          <w:lang w:val="en-GB"/>
        </w:rPr>
        <w:t xml:space="preserve"> </w:t>
      </w:r>
    </w:p>
    <w:p w14:paraId="46E1B334" w14:textId="77777777" w:rsidR="008A5841" w:rsidRPr="006A6D19" w:rsidRDefault="008A5841" w:rsidP="00B765C1">
      <w:pPr>
        <w:rPr>
          <w:lang w:val="en-GB"/>
        </w:rPr>
      </w:pPr>
      <w:r w:rsidRPr="006A6D19">
        <w:rPr>
          <w:rStyle w:val="halvfet"/>
          <w:lang w:val="en-GB"/>
        </w:rPr>
        <w:t>Norway has achieved</w:t>
      </w:r>
      <w:r w:rsidRPr="006A6D19">
        <w:rPr>
          <w:lang w:val="en-GB"/>
        </w:rPr>
        <w:t xml:space="preserve"> high consumption of electricity coming from renewable resources, even though almost half of its energy consumption still comes from fossil fuels</w:t>
      </w:r>
      <w:r w:rsidRPr="006A6D19">
        <w:rPr>
          <w:rStyle w:val="halvfet"/>
          <w:lang w:val="en-GB"/>
        </w:rPr>
        <w:t xml:space="preserve">. </w:t>
      </w:r>
      <w:r w:rsidRPr="006A6D19">
        <w:rPr>
          <w:lang w:val="en-GB"/>
        </w:rPr>
        <w:t xml:space="preserve">Hydropower provides over 90 percent of electricity production, making almost all power generation renewable. This has created </w:t>
      </w:r>
      <w:r w:rsidRPr="006A6D19">
        <w:rPr>
          <w:lang w:val="en-GB"/>
        </w:rPr>
        <w:lastRenderedPageBreak/>
        <w:t>strong technical and institutional expertise in renewable energy, electrification, and grid management. An exception is the electricity used in the oil and gas sectors. Fossil fuels have been phased out in buildings and are being phased out in transport. The country has universal access to modern, reliable and affordable energy, with virtually no energy poverty. Norway has doubled it</w:t>
      </w:r>
      <w:r w:rsidRPr="006A6D19">
        <w:rPr>
          <w:lang w:val="en-GB"/>
        </w:rPr>
        <w:t xml:space="preserve">s climate finance since 2021, increasing support for renewable energy in low-income countries. Loans and guarantees for private investments, particularly through </w:t>
      </w:r>
      <w:proofErr w:type="spellStart"/>
      <w:r w:rsidRPr="006A6D19">
        <w:rPr>
          <w:lang w:val="en-GB"/>
        </w:rPr>
        <w:t>Norfund</w:t>
      </w:r>
      <w:proofErr w:type="spellEnd"/>
      <w:r w:rsidRPr="006A6D19">
        <w:rPr>
          <w:lang w:val="en-GB"/>
        </w:rPr>
        <w:t xml:space="preserve">, have been central. The Government’s annual contribution of NOK 1 billion to </w:t>
      </w:r>
      <w:proofErr w:type="spellStart"/>
      <w:r w:rsidRPr="006A6D19">
        <w:rPr>
          <w:lang w:val="en-GB"/>
        </w:rPr>
        <w:t>Norfund’s</w:t>
      </w:r>
      <w:proofErr w:type="spellEnd"/>
      <w:r w:rsidRPr="006A6D19">
        <w:rPr>
          <w:lang w:val="en-GB"/>
        </w:rPr>
        <w:t xml:space="preserve"> Climate Investment Fund over the past three years has provided 7 million households with renewable electricity and reduced or avoided 15 million tons of CO</w:t>
      </w:r>
      <w:r w:rsidRPr="006A6D19">
        <w:rPr>
          <w:rStyle w:val="skrift-senket"/>
          <w:lang w:val="en-GB"/>
        </w:rPr>
        <w:t>2</w:t>
      </w:r>
      <w:r w:rsidRPr="006A6D19">
        <w:rPr>
          <w:lang w:val="en-GB"/>
        </w:rPr>
        <w:t xml:space="preserve"> emissions per year, while also generating financial returns. The potential remains far greater.</w:t>
      </w:r>
    </w:p>
    <w:p w14:paraId="5BA4B9AA" w14:textId="77777777" w:rsidR="008A5841" w:rsidRPr="006A6D19" w:rsidRDefault="008A5841" w:rsidP="00B765C1">
      <w:pPr>
        <w:rPr>
          <w:lang w:val="en-GB"/>
        </w:rPr>
      </w:pPr>
      <w:r w:rsidRPr="006A6D19">
        <w:rPr>
          <w:rStyle w:val="halvfet"/>
          <w:lang w:val="en-GB"/>
        </w:rPr>
        <w:t xml:space="preserve">Norway’s challenges </w:t>
      </w:r>
      <w:r w:rsidRPr="006A6D19">
        <w:rPr>
          <w:lang w:val="en-GB"/>
        </w:rPr>
        <w:t>are above all that the use of energy in Norway is per capita amongst the highest in the world and around 3 times the average for the EU. The ongoing expansion of infrastructure – roads and airports, shopping centres, recreational houses, marinas and datacentres will demand ever more energy for construction, operation and use. If unabated it could in combination with further electrification to phase out fossil fuel use in Norway increase the need for electricity with figures up to 30–90 percent in 2050. An e</w:t>
      </w:r>
      <w:r w:rsidRPr="006A6D19">
        <w:rPr>
          <w:lang w:val="en-GB"/>
        </w:rPr>
        <w:t>xpansion of renewable energy production to electrify society, if not carefully planned, will increase conflicts and lead to further loss of nature. Yet a wide range of measures with large untapped potential, such as energy efficiency, waste</w:t>
      </w:r>
      <w:r w:rsidRPr="006A6D19">
        <w:rPr>
          <w:lang w:val="en-GB"/>
        </w:rPr>
        <w:noBreakHyphen/>
        <w:t>heat utilisation, rooftop solar, fjord</w:t>
      </w:r>
      <w:r w:rsidRPr="006A6D19">
        <w:rPr>
          <w:lang w:val="en-GB"/>
        </w:rPr>
        <w:noBreakHyphen/>
        <w:t>water heat pumps, geothermal solutions and industrial surplus heat, along with a less energy</w:t>
      </w:r>
      <w:r w:rsidRPr="006A6D19">
        <w:rPr>
          <w:lang w:val="en-GB"/>
        </w:rPr>
        <w:noBreakHyphen/>
        <w:t>intensive development path, remain weakly prioritised in Norwegian policy. This stands in contrast to the strong emphasis placed by the IPC</w:t>
      </w:r>
      <w:r w:rsidRPr="006A6D19">
        <w:rPr>
          <w:lang w:val="en-GB"/>
        </w:rPr>
        <w:t xml:space="preserve">C and IEA on efficiency and reduced energy use in wealthy countries, as well as the requirements of the EU Energy </w:t>
      </w:r>
      <w:proofErr w:type="spellStart"/>
      <w:r w:rsidRPr="006A6D19">
        <w:rPr>
          <w:lang w:val="en-GB"/>
        </w:rPr>
        <w:t>Efficie</w:t>
      </w:r>
      <w:proofErr w:type="spellEnd"/>
      <w:r w:rsidRPr="006A6D19">
        <w:rPr>
          <w:lang w:val="en-GB"/>
        </w:rPr>
        <w:t>. Financial support for energy efficiency in Norway remains relatively weak compared to its potential and to stated policy goals, with existing funding mechanisms not delivering the scale of energy savings needed. Norway’s exploitation of oil and gas conflicts with the Paris agreement, advised by IPCC and IEA as well as Norway’s global climate policy. Financial contribution to renewable e</w:t>
      </w:r>
      <w:r w:rsidRPr="006A6D19">
        <w:rPr>
          <w:lang w:val="en-GB"/>
        </w:rPr>
        <w:t>nergy in poor countries remains below 1 percent of Norway’s combined waste revenues from fossil fuels and the Norwegian Oil Fund. Lack of access to capital for poor countries is a main obstacle to the development of renewable fuel. Renewable energy expansion can create environmental and social conflicts if projects are poorly designed or implemented. Large infrastructure projects may affect ecosystems, Indigenous livelihoods and land rights. Ensuring that Norwegian-supported energy projects abroad respect I</w:t>
      </w:r>
      <w:r w:rsidRPr="006A6D19">
        <w:rPr>
          <w:lang w:val="en-GB"/>
        </w:rPr>
        <w:t xml:space="preserve">ndigenous rights, local participation and strong social safeguards </w:t>
      </w:r>
      <w:proofErr w:type="gramStart"/>
      <w:r w:rsidRPr="006A6D19">
        <w:rPr>
          <w:lang w:val="en-GB"/>
        </w:rPr>
        <w:t>remains</w:t>
      </w:r>
      <w:proofErr w:type="gramEnd"/>
      <w:r w:rsidRPr="006A6D19">
        <w:rPr>
          <w:lang w:val="en-GB"/>
        </w:rPr>
        <w:t xml:space="preserve"> an important challenge. At the same time, international energy transition scenarios emphasise that expanding renewable energy alone is not sufficient. The International Energy Agency and the IPCC highlight energy efficiency and reduced energy demand as central pillars of sustainable energy systems and net-zero pathways (IEA Net Zero by 2050; IPCC AR6). Norway’s very high energy consumption per capita therefore represents a structural</w:t>
      </w:r>
      <w:r w:rsidRPr="006A6D19">
        <w:rPr>
          <w:lang w:val="en-GB"/>
        </w:rPr>
        <w:t xml:space="preserve"> challenge for achieving SDG 7.</w:t>
      </w:r>
    </w:p>
    <w:p w14:paraId="59739E8D" w14:textId="77777777" w:rsidR="008A5841" w:rsidRPr="006A6D19" w:rsidRDefault="008A5841" w:rsidP="006B301F">
      <w:pPr>
        <w:pStyle w:val="avsnitt-undertittel"/>
        <w:rPr>
          <w:lang w:val="en-GB"/>
        </w:rPr>
      </w:pPr>
      <w:r w:rsidRPr="006A6D19">
        <w:rPr>
          <w:lang w:val="en-GB"/>
        </w:rPr>
        <w:t>Norway must:</w:t>
      </w:r>
    </w:p>
    <w:p w14:paraId="4396615D" w14:textId="77777777" w:rsidR="008A5841" w:rsidRPr="006A6D19" w:rsidRDefault="008A5841" w:rsidP="00B765C1">
      <w:pPr>
        <w:pStyle w:val="Listebombe"/>
        <w:rPr>
          <w:lang w:val="en-GB"/>
        </w:rPr>
      </w:pPr>
      <w:r w:rsidRPr="006A6D19">
        <w:rPr>
          <w:lang w:val="en-GB"/>
        </w:rPr>
        <w:t>Develop plans, measures and instruments for lower use of energy and natural resources in Norway, including the loss of natural areas.</w:t>
      </w:r>
    </w:p>
    <w:p w14:paraId="7B21F3F7" w14:textId="77777777" w:rsidR="008A5841" w:rsidRPr="006A6D19" w:rsidRDefault="008A5841" w:rsidP="00B765C1">
      <w:pPr>
        <w:pStyle w:val="Listebombe"/>
        <w:rPr>
          <w:lang w:val="en-GB"/>
        </w:rPr>
      </w:pPr>
      <w:r w:rsidRPr="006A6D19">
        <w:rPr>
          <w:lang w:val="en-GB"/>
        </w:rPr>
        <w:lastRenderedPageBreak/>
        <w:t>Identify and utilise the potential for increased energy efficiency, -saving and use of heat in fjord water, soil and rocks as well as surplus energy from industry. Central elements should be research, financial incentives, regulations and information.</w:t>
      </w:r>
    </w:p>
    <w:p w14:paraId="609939FF" w14:textId="77777777" w:rsidR="008A5841" w:rsidRPr="006A6D19" w:rsidRDefault="008A5841" w:rsidP="00B765C1">
      <w:pPr>
        <w:pStyle w:val="Listebombe"/>
        <w:rPr>
          <w:lang w:val="en-GB"/>
        </w:rPr>
      </w:pPr>
      <w:r w:rsidRPr="006A6D19">
        <w:rPr>
          <w:lang w:val="en-GB"/>
        </w:rPr>
        <w:t>Increase financial support to poor countries, especially the poorest to enable development with renewable instead of fossil energy. Strengthen international cooperation to mobilise other countries and institutions to scale up renewable energy investments and policies globally.</w:t>
      </w:r>
    </w:p>
    <w:p w14:paraId="7152E1CC" w14:textId="77777777" w:rsidR="008A5841" w:rsidRPr="006A6D19" w:rsidRDefault="008A5841" w:rsidP="00B765C1">
      <w:pPr>
        <w:pStyle w:val="Listebombe"/>
        <w:rPr>
          <w:lang w:val="en-GB"/>
        </w:rPr>
      </w:pPr>
      <w:r w:rsidRPr="006A6D19">
        <w:rPr>
          <w:lang w:val="en-GB"/>
        </w:rPr>
        <w:t xml:space="preserve">Contribute to a global roadmap for phasing out fossil fuels and </w:t>
      </w:r>
      <w:proofErr w:type="gramStart"/>
      <w:r w:rsidRPr="006A6D19">
        <w:rPr>
          <w:lang w:val="en-GB"/>
        </w:rPr>
        <w:t>making a plan</w:t>
      </w:r>
      <w:proofErr w:type="gramEnd"/>
      <w:r w:rsidRPr="006A6D19">
        <w:rPr>
          <w:lang w:val="en-GB"/>
        </w:rPr>
        <w:t xml:space="preserve"> for a fair and organised transition from fossil to renewable energy in Norway.</w:t>
      </w:r>
    </w:p>
    <w:p w14:paraId="13AD3A1C" w14:textId="77777777" w:rsidR="008A5841" w:rsidRPr="006A6D19" w:rsidRDefault="008A5841" w:rsidP="00B765C1">
      <w:pPr>
        <w:pStyle w:val="Listebombe"/>
        <w:rPr>
          <w:lang w:val="en-GB"/>
        </w:rPr>
      </w:pPr>
      <w:r w:rsidRPr="006A6D19">
        <w:rPr>
          <w:lang w:val="en-GB"/>
        </w:rPr>
        <w:t>Use Norwegian expertise in renewable energy systems to support sustainable energy development and reconstruction of energy infrastructure in post-conflict regions.</w:t>
      </w:r>
    </w:p>
    <w:p w14:paraId="779B0655" w14:textId="77777777" w:rsidR="008A5841" w:rsidRPr="006A6D19" w:rsidRDefault="008A5841" w:rsidP="00B765C1">
      <w:pPr>
        <w:pStyle w:val="Listebombe"/>
        <w:rPr>
          <w:lang w:val="en-GB"/>
        </w:rPr>
      </w:pPr>
      <w:r w:rsidRPr="006A6D19">
        <w:rPr>
          <w:lang w:val="en-GB"/>
        </w:rPr>
        <w:t>Ensure that Norwegian-supported renewable energy projects abroad respect Indigenous rights, including free prior and informed consent (FPIC), comply with international human rights standards, and prevent forced displacement of local communities.</w:t>
      </w:r>
    </w:p>
    <w:p w14:paraId="114ED3A2" w14:textId="77777777" w:rsidR="008A5841" w:rsidRPr="006A6D19" w:rsidRDefault="008A5841" w:rsidP="00B765C1">
      <w:pPr>
        <w:pStyle w:val="Listebombe"/>
        <w:rPr>
          <w:lang w:val="en-GB"/>
        </w:rPr>
      </w:pPr>
      <w:r w:rsidRPr="006A6D19">
        <w:rPr>
          <w:lang w:val="en-GB"/>
        </w:rPr>
        <w:t>Strengthen policies that prioritise energy efficiency and reduce energy demand, in line with international recommendations from the IEA and IPCC for achieving sustainable and climate-compatible energy systems.</w:t>
      </w:r>
    </w:p>
    <w:p w14:paraId="18199EEF" w14:textId="77777777" w:rsidR="008A5841" w:rsidRPr="006A6D19" w:rsidRDefault="008A5841" w:rsidP="00B765C1">
      <w:pPr>
        <w:rPr>
          <w:lang w:val="en-GB"/>
        </w:rPr>
      </w:pPr>
    </w:p>
    <w:p w14:paraId="29F2E954" w14:textId="77777777" w:rsidR="008A5841" w:rsidRPr="006A6D19" w:rsidRDefault="008A5841" w:rsidP="00B765C1">
      <w:pPr>
        <w:rPr>
          <w:lang w:val="en-GB"/>
        </w:rPr>
      </w:pPr>
    </w:p>
    <w:p w14:paraId="66EDFF53" w14:textId="77777777" w:rsidR="008A5841" w:rsidRPr="006A6D19" w:rsidRDefault="008A5841" w:rsidP="001609FA">
      <w:pPr>
        <w:pStyle w:val="UnOverskrift3"/>
        <w:rPr>
          <w:lang w:val="en-GB"/>
        </w:rPr>
      </w:pPr>
      <w:r w:rsidRPr="006A6D19">
        <w:rPr>
          <w:lang w:val="en-GB"/>
        </w:rPr>
        <w:t>8 Decent Work and Economic Growth</w:t>
      </w:r>
    </w:p>
    <w:p w14:paraId="5368FBC0" w14:textId="74FC76EF" w:rsidR="008A5841" w:rsidRPr="006A6D19" w:rsidRDefault="00BB2AF4" w:rsidP="001609FA">
      <w:pPr>
        <w:rPr>
          <w:lang w:val="en-GB"/>
        </w:rPr>
      </w:pPr>
      <w:r w:rsidRPr="006A6D19">
        <w:rPr>
          <w:noProof/>
          <w:lang w:val="en-GB"/>
        </w:rPr>
        <w:drawing>
          <wp:inline distT="0" distB="0" distL="0" distR="0" wp14:anchorId="231598C0" wp14:editId="2DCA8FF4">
            <wp:extent cx="2857500" cy="2857500"/>
            <wp:effectExtent l="0" t="0" r="0" b="0"/>
            <wp:docPr id="1410868101" name="Bilde 50" descr="Goal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868101" name="Bilde 50" descr="Goal 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7D8EE477" w14:textId="77777777" w:rsidR="008A5841" w:rsidRPr="006A6D19" w:rsidRDefault="008A5841" w:rsidP="006B301F">
      <w:pPr>
        <w:pStyle w:val="Undertittel"/>
        <w:rPr>
          <w:lang w:val="en-GB"/>
        </w:rPr>
      </w:pPr>
      <w:r w:rsidRPr="006A6D19">
        <w:rPr>
          <w:lang w:val="en-GB"/>
        </w:rPr>
        <w:t>Government Assessment</w:t>
      </w:r>
    </w:p>
    <w:tbl>
      <w:tblPr>
        <w:tblW w:w="5000" w:type="pct"/>
        <w:tblCellMar>
          <w:left w:w="0" w:type="dxa"/>
          <w:right w:w="0" w:type="dxa"/>
        </w:tblCellMar>
        <w:tblLook w:val="0000" w:firstRow="0" w:lastRow="0" w:firstColumn="0" w:lastColumn="0" w:noHBand="0" w:noVBand="0"/>
      </w:tblPr>
      <w:tblGrid>
        <w:gridCol w:w="1314"/>
        <w:gridCol w:w="7424"/>
        <w:gridCol w:w="1712"/>
      </w:tblGrid>
      <w:tr w:rsidR="00000000" w:rsidRPr="006A6D19" w14:paraId="496F1460" w14:textId="77777777" w:rsidTr="001609FA">
        <w:tblPrEx>
          <w:tblCellMar>
            <w:top w:w="0" w:type="dxa"/>
            <w:left w:w="0" w:type="dxa"/>
            <w:bottom w:w="0" w:type="dxa"/>
            <w:right w:w="0" w:type="dxa"/>
          </w:tblCellMar>
        </w:tblPrEx>
        <w:trPr>
          <w:trHeight w:val="60"/>
        </w:trPr>
        <w:tc>
          <w:tcPr>
            <w:tcW w:w="62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6DDFA2C3" w14:textId="77777777" w:rsidR="008A5841" w:rsidRPr="006A6D19" w:rsidRDefault="008A5841" w:rsidP="00B765C1">
            <w:pPr>
              <w:rPr>
                <w:lang w:val="en-GB"/>
              </w:rPr>
            </w:pPr>
            <w:r w:rsidRPr="006A6D19">
              <w:rPr>
                <w:lang w:val="en-GB"/>
              </w:rPr>
              <w:t xml:space="preserve">8.1 </w:t>
            </w:r>
          </w:p>
        </w:tc>
        <w:tc>
          <w:tcPr>
            <w:tcW w:w="355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77404A8" w14:textId="77777777" w:rsidR="008A5841" w:rsidRPr="006A6D19" w:rsidRDefault="008A5841" w:rsidP="00B765C1">
            <w:pPr>
              <w:rPr>
                <w:lang w:val="en-GB"/>
              </w:rPr>
            </w:pPr>
            <w:r w:rsidRPr="006A6D19">
              <w:rPr>
                <w:lang w:val="en-GB"/>
              </w:rPr>
              <w:t>Norway’s GDP per capita is among the highest in the world.</w:t>
            </w:r>
          </w:p>
        </w:tc>
        <w:tc>
          <w:tcPr>
            <w:tcW w:w="81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78E37792" w14:textId="52432FA3" w:rsidR="008A5841" w:rsidRPr="006A6D19" w:rsidRDefault="00541482" w:rsidP="00B765C1">
            <w:pPr>
              <w:rPr>
                <w:lang w:val="en-GB"/>
              </w:rPr>
            </w:pPr>
            <w:r>
              <w:rPr>
                <w:noProof/>
              </w:rPr>
              <w:drawing>
                <wp:inline distT="0" distB="0" distL="0" distR="0" wp14:anchorId="7687522F" wp14:editId="4068CA56">
                  <wp:extent cx="990600" cy="447675"/>
                  <wp:effectExtent l="0" t="0" r="0" b="9525"/>
                  <wp:docPr id="1815748987" name="Bilde 4" descr="Target m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11348" name="Bilde 4" descr="Target met. Progress stagn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0DC799FB" w14:textId="77777777" w:rsidTr="001609FA">
        <w:tblPrEx>
          <w:tblCellMar>
            <w:top w:w="0" w:type="dxa"/>
            <w:left w:w="0" w:type="dxa"/>
            <w:bottom w:w="0" w:type="dxa"/>
            <w:right w:w="0" w:type="dxa"/>
          </w:tblCellMar>
        </w:tblPrEx>
        <w:trPr>
          <w:trHeight w:val="60"/>
        </w:trPr>
        <w:tc>
          <w:tcPr>
            <w:tcW w:w="62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56D75ED" w14:textId="2637025F" w:rsidR="008A5841" w:rsidRPr="006A6D19" w:rsidRDefault="008A5841" w:rsidP="00B765C1">
            <w:pPr>
              <w:rPr>
                <w:lang w:val="en-GB"/>
              </w:rPr>
            </w:pPr>
            <w:r w:rsidRPr="006A6D19">
              <w:rPr>
                <w:lang w:val="en-GB"/>
              </w:rPr>
              <w:lastRenderedPageBreak/>
              <w:t>8.2</w:t>
            </w:r>
            <w:r w:rsidR="001609FA" w:rsidRPr="006A6D19">
              <w:rPr>
                <w:lang w:val="en-GB"/>
              </w:rPr>
              <w:t xml:space="preserve"> </w:t>
            </w:r>
          </w:p>
        </w:tc>
        <w:tc>
          <w:tcPr>
            <w:tcW w:w="355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351D0C7" w14:textId="77777777" w:rsidR="008A5841" w:rsidRPr="006A6D19" w:rsidRDefault="008A5841" w:rsidP="00B765C1">
            <w:pPr>
              <w:rPr>
                <w:lang w:val="en-GB"/>
              </w:rPr>
            </w:pPr>
            <w:r w:rsidRPr="006A6D19">
              <w:rPr>
                <w:lang w:val="en-GB"/>
              </w:rPr>
              <w:t>Norway’s productivity level is among the highest in the world.</w:t>
            </w:r>
          </w:p>
        </w:tc>
        <w:tc>
          <w:tcPr>
            <w:tcW w:w="81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4C3274D" w14:textId="282691B9" w:rsidR="008A5841" w:rsidRPr="006A6D19" w:rsidRDefault="00541482" w:rsidP="00B765C1">
            <w:pPr>
              <w:rPr>
                <w:lang w:val="en-GB"/>
              </w:rPr>
            </w:pPr>
            <w:r>
              <w:rPr>
                <w:noProof/>
              </w:rPr>
              <w:drawing>
                <wp:inline distT="0" distB="0" distL="0" distR="0" wp14:anchorId="6AB12897" wp14:editId="296F2683">
                  <wp:extent cx="990600" cy="447675"/>
                  <wp:effectExtent l="0" t="0" r="0" b="9525"/>
                  <wp:docPr id="1923809243" name="Bilde 4" descr="Target m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11348" name="Bilde 4" descr="Target met. Progress stagn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4852F07E" w14:textId="77777777" w:rsidTr="001609FA">
        <w:tblPrEx>
          <w:tblCellMar>
            <w:top w:w="0" w:type="dxa"/>
            <w:left w:w="0" w:type="dxa"/>
            <w:bottom w:w="0" w:type="dxa"/>
            <w:right w:w="0" w:type="dxa"/>
          </w:tblCellMar>
        </w:tblPrEx>
        <w:trPr>
          <w:trHeight w:val="60"/>
        </w:trPr>
        <w:tc>
          <w:tcPr>
            <w:tcW w:w="62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D6ADFF7" w14:textId="77777777" w:rsidR="008A5841" w:rsidRPr="006A6D19" w:rsidRDefault="008A5841" w:rsidP="00B765C1">
            <w:pPr>
              <w:rPr>
                <w:lang w:val="en-GB"/>
              </w:rPr>
            </w:pPr>
            <w:r w:rsidRPr="006A6D19">
              <w:rPr>
                <w:lang w:val="en-GB"/>
              </w:rPr>
              <w:t xml:space="preserve">8.3 </w:t>
            </w:r>
          </w:p>
        </w:tc>
        <w:tc>
          <w:tcPr>
            <w:tcW w:w="355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81EDFE5" w14:textId="77777777" w:rsidR="008A5841" w:rsidRPr="006A6D19" w:rsidRDefault="008A5841" w:rsidP="00B765C1">
            <w:pPr>
              <w:rPr>
                <w:lang w:val="en-GB"/>
              </w:rPr>
            </w:pPr>
            <w:r w:rsidRPr="006A6D19">
              <w:rPr>
                <w:lang w:val="en-GB"/>
              </w:rPr>
              <w:t>The Norwegian business sector has strong innovation capacity and a steady increase in the establishment of new enterprises.</w:t>
            </w:r>
          </w:p>
        </w:tc>
        <w:tc>
          <w:tcPr>
            <w:tcW w:w="81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638033DF" w14:textId="6C735FA2" w:rsidR="008A5841" w:rsidRPr="006A6D19" w:rsidRDefault="007B3BCE" w:rsidP="00B765C1">
            <w:pPr>
              <w:rPr>
                <w:lang w:val="en-GB"/>
              </w:rPr>
            </w:pPr>
            <w:r>
              <w:rPr>
                <w:noProof/>
              </w:rPr>
              <w:drawing>
                <wp:inline distT="0" distB="0" distL="0" distR="0" wp14:anchorId="2128BCF2" wp14:editId="32E54364">
                  <wp:extent cx="990600" cy="447675"/>
                  <wp:effectExtent l="0" t="0" r="0" b="9525"/>
                  <wp:docPr id="677683065" name="Bilde 3" descr="Close to target. Progress i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804348" name="Bilde 3" descr="Close to target. Progress is positiv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7D6CD51C" w14:textId="77777777" w:rsidTr="001609FA">
        <w:tblPrEx>
          <w:tblCellMar>
            <w:top w:w="0" w:type="dxa"/>
            <w:left w:w="0" w:type="dxa"/>
            <w:bottom w:w="0" w:type="dxa"/>
            <w:right w:w="0" w:type="dxa"/>
          </w:tblCellMar>
        </w:tblPrEx>
        <w:trPr>
          <w:trHeight w:val="60"/>
        </w:trPr>
        <w:tc>
          <w:tcPr>
            <w:tcW w:w="62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0E0DCA1" w14:textId="77777777" w:rsidR="008A5841" w:rsidRPr="006A6D19" w:rsidRDefault="008A5841" w:rsidP="00B765C1">
            <w:pPr>
              <w:rPr>
                <w:lang w:val="en-GB"/>
              </w:rPr>
            </w:pPr>
            <w:r w:rsidRPr="006A6D19">
              <w:rPr>
                <w:lang w:val="en-GB"/>
              </w:rPr>
              <w:t xml:space="preserve">8.4 </w:t>
            </w:r>
          </w:p>
        </w:tc>
        <w:tc>
          <w:tcPr>
            <w:tcW w:w="355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D7CD193" w14:textId="77777777" w:rsidR="008A5841" w:rsidRPr="006A6D19" w:rsidRDefault="008A5841" w:rsidP="00B765C1">
            <w:pPr>
              <w:rPr>
                <w:lang w:val="en-GB"/>
              </w:rPr>
            </w:pPr>
            <w:r w:rsidRPr="006A6D19">
              <w:rPr>
                <w:lang w:val="en-GB"/>
              </w:rPr>
              <w:t>Greenhouse gas emissions per unit of GDP have decreased over the past decades. However, Norway remains one of the countries in the world with the highest material consumption per capita.</w:t>
            </w:r>
          </w:p>
        </w:tc>
        <w:tc>
          <w:tcPr>
            <w:tcW w:w="81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7880BA02" w14:textId="52B77DB3" w:rsidR="008A5841" w:rsidRPr="006A6D19" w:rsidRDefault="008D2934" w:rsidP="00B765C1">
            <w:pPr>
              <w:rPr>
                <w:lang w:val="en-GB"/>
              </w:rPr>
            </w:pPr>
            <w:r>
              <w:rPr>
                <w:noProof/>
              </w:rPr>
              <w:drawing>
                <wp:inline distT="0" distB="0" distL="0" distR="0" wp14:anchorId="645E17F6" wp14:editId="08CA33B4">
                  <wp:extent cx="990600" cy="447675"/>
                  <wp:effectExtent l="0" t="0" r="0" b="9525"/>
                  <wp:docPr id="839552712" name="Bilde 7" descr="Target not m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552712" name="Bilde 7" descr="Target not met. Progress stagnated."/>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02A0458F" w14:textId="77777777" w:rsidTr="001609FA">
        <w:tblPrEx>
          <w:tblCellMar>
            <w:top w:w="0" w:type="dxa"/>
            <w:left w:w="0" w:type="dxa"/>
            <w:bottom w:w="0" w:type="dxa"/>
            <w:right w:w="0" w:type="dxa"/>
          </w:tblCellMar>
        </w:tblPrEx>
        <w:trPr>
          <w:trHeight w:val="60"/>
        </w:trPr>
        <w:tc>
          <w:tcPr>
            <w:tcW w:w="62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3389313" w14:textId="77777777" w:rsidR="008A5841" w:rsidRPr="006A6D19" w:rsidRDefault="008A5841" w:rsidP="00B765C1">
            <w:pPr>
              <w:rPr>
                <w:lang w:val="en-GB"/>
              </w:rPr>
            </w:pPr>
            <w:r w:rsidRPr="006A6D19">
              <w:rPr>
                <w:lang w:val="en-GB"/>
              </w:rPr>
              <w:t xml:space="preserve">8.5 </w:t>
            </w:r>
          </w:p>
        </w:tc>
        <w:tc>
          <w:tcPr>
            <w:tcW w:w="355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C6F1C24" w14:textId="77777777" w:rsidR="008A5841" w:rsidRPr="006A6D19" w:rsidRDefault="008A5841" w:rsidP="00B765C1">
            <w:pPr>
              <w:rPr>
                <w:lang w:val="en-GB"/>
              </w:rPr>
            </w:pPr>
            <w:r w:rsidRPr="006A6D19">
              <w:rPr>
                <w:lang w:val="en-GB"/>
              </w:rPr>
              <w:t>Norway has had high overall employment and low unemployment in recent decades. Compared with other countries, Norway has a relatively high number of people outside the labour force who receive a health-related benefit.</w:t>
            </w:r>
          </w:p>
        </w:tc>
        <w:tc>
          <w:tcPr>
            <w:tcW w:w="81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0D975B8F" w14:textId="7707D77E" w:rsidR="008A5841" w:rsidRPr="006A6D19" w:rsidRDefault="00541482" w:rsidP="00B765C1">
            <w:pPr>
              <w:rPr>
                <w:lang w:val="en-GB"/>
              </w:rPr>
            </w:pPr>
            <w:r>
              <w:rPr>
                <w:noProof/>
              </w:rPr>
              <w:drawing>
                <wp:inline distT="0" distB="0" distL="0" distR="0" wp14:anchorId="02E2FFFA" wp14:editId="5982CF65">
                  <wp:extent cx="990600" cy="447675"/>
                  <wp:effectExtent l="0" t="0" r="0" b="9525"/>
                  <wp:docPr id="66300413" name="Bilde 6" descr="Target met. Progres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2134" name="Bilde 6" descr="Target met. Progress positiv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0557690B" w14:textId="77777777" w:rsidTr="001609FA">
        <w:tblPrEx>
          <w:tblCellMar>
            <w:top w:w="0" w:type="dxa"/>
            <w:left w:w="0" w:type="dxa"/>
            <w:bottom w:w="0" w:type="dxa"/>
            <w:right w:w="0" w:type="dxa"/>
          </w:tblCellMar>
        </w:tblPrEx>
        <w:trPr>
          <w:trHeight w:val="60"/>
        </w:trPr>
        <w:tc>
          <w:tcPr>
            <w:tcW w:w="62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99932CC" w14:textId="77777777" w:rsidR="008A5841" w:rsidRPr="006A6D19" w:rsidRDefault="008A5841" w:rsidP="00B765C1">
            <w:pPr>
              <w:rPr>
                <w:lang w:val="en-GB"/>
              </w:rPr>
            </w:pPr>
            <w:r w:rsidRPr="006A6D19">
              <w:rPr>
                <w:lang w:val="en-GB"/>
              </w:rPr>
              <w:t xml:space="preserve">8.6 </w:t>
            </w:r>
          </w:p>
        </w:tc>
        <w:tc>
          <w:tcPr>
            <w:tcW w:w="355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653EB0A0" w14:textId="77777777" w:rsidR="008A5841" w:rsidRPr="006A6D19" w:rsidRDefault="008A5841" w:rsidP="00B765C1">
            <w:pPr>
              <w:rPr>
                <w:lang w:val="en-GB"/>
              </w:rPr>
            </w:pPr>
            <w:r w:rsidRPr="006A6D19">
              <w:rPr>
                <w:lang w:val="en-GB"/>
              </w:rPr>
              <w:t xml:space="preserve">Since 2021, the share of young people below 30 who are neither employed in education nor training has decreased. However, the inflow into various health-related benefits among youth remains a major challenge. </w:t>
            </w:r>
          </w:p>
        </w:tc>
        <w:tc>
          <w:tcPr>
            <w:tcW w:w="81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10AC5EA" w14:textId="5ABF2C81" w:rsidR="008A5841" w:rsidRPr="006A6D19" w:rsidRDefault="007B3BCE" w:rsidP="00B765C1">
            <w:pPr>
              <w:rPr>
                <w:lang w:val="en-GB"/>
              </w:rPr>
            </w:pPr>
            <w:r>
              <w:rPr>
                <w:noProof/>
              </w:rPr>
              <w:drawing>
                <wp:inline distT="0" distB="0" distL="0" distR="0" wp14:anchorId="731B38F0" wp14:editId="7664347D">
                  <wp:extent cx="990600" cy="447675"/>
                  <wp:effectExtent l="0" t="0" r="0" b="9525"/>
                  <wp:docPr id="1831881031" name="Bilde 1" descr="Close to targ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34566" name="Bilde 1" descr="Close to target. Progress stagn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6F81903D" w14:textId="77777777" w:rsidTr="001609FA">
        <w:tblPrEx>
          <w:tblCellMar>
            <w:top w:w="0" w:type="dxa"/>
            <w:left w:w="0" w:type="dxa"/>
            <w:bottom w:w="0" w:type="dxa"/>
            <w:right w:w="0" w:type="dxa"/>
          </w:tblCellMar>
        </w:tblPrEx>
        <w:trPr>
          <w:trHeight w:val="60"/>
        </w:trPr>
        <w:tc>
          <w:tcPr>
            <w:tcW w:w="62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056585F8" w14:textId="77777777" w:rsidR="008A5841" w:rsidRPr="006A6D19" w:rsidRDefault="008A5841" w:rsidP="00B765C1">
            <w:pPr>
              <w:rPr>
                <w:lang w:val="en-GB"/>
              </w:rPr>
            </w:pPr>
            <w:r w:rsidRPr="006A6D19">
              <w:rPr>
                <w:lang w:val="en-GB"/>
              </w:rPr>
              <w:t xml:space="preserve">8.7 </w:t>
            </w:r>
          </w:p>
        </w:tc>
        <w:tc>
          <w:tcPr>
            <w:tcW w:w="355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2D12CB3" w14:textId="77777777" w:rsidR="008A5841" w:rsidRPr="006A6D19" w:rsidRDefault="008A5841" w:rsidP="00B765C1">
            <w:pPr>
              <w:rPr>
                <w:lang w:val="en-GB"/>
              </w:rPr>
            </w:pPr>
            <w:r w:rsidRPr="006A6D19">
              <w:rPr>
                <w:lang w:val="en-GB"/>
              </w:rPr>
              <w:t xml:space="preserve">Norway is partner to Alliance 8.7 to end forced labour, modern slavery and human trafficking. The Government has introduced a National Strategy against Human Trafficking for the period 2025–2030, which includes measures to strengthen coordination of efforts for prevention, protection and prosecution. </w:t>
            </w:r>
          </w:p>
        </w:tc>
        <w:tc>
          <w:tcPr>
            <w:tcW w:w="81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DAC8BF2" w14:textId="75E0C8E8" w:rsidR="008A5841" w:rsidRPr="006A6D19" w:rsidRDefault="00541482" w:rsidP="00B765C1">
            <w:pPr>
              <w:rPr>
                <w:lang w:val="en-GB"/>
              </w:rPr>
            </w:pPr>
            <w:r>
              <w:rPr>
                <w:noProof/>
              </w:rPr>
              <w:drawing>
                <wp:inline distT="0" distB="0" distL="0" distR="0" wp14:anchorId="4B885D1F" wp14:editId="49695D61">
                  <wp:extent cx="990600" cy="447675"/>
                  <wp:effectExtent l="0" t="0" r="0" b="9525"/>
                  <wp:docPr id="1258021242" name="Bilde 4" descr="Target m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11348" name="Bilde 4" descr="Target met. Progress stagn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7B30DA88" w14:textId="77777777" w:rsidTr="001609FA">
        <w:tblPrEx>
          <w:tblCellMar>
            <w:top w:w="0" w:type="dxa"/>
            <w:left w:w="0" w:type="dxa"/>
            <w:bottom w:w="0" w:type="dxa"/>
            <w:right w:w="0" w:type="dxa"/>
          </w:tblCellMar>
        </w:tblPrEx>
        <w:trPr>
          <w:trHeight w:val="60"/>
        </w:trPr>
        <w:tc>
          <w:tcPr>
            <w:tcW w:w="62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8875F62" w14:textId="77777777" w:rsidR="008A5841" w:rsidRPr="006A6D19" w:rsidRDefault="008A5841" w:rsidP="00B765C1">
            <w:pPr>
              <w:rPr>
                <w:lang w:val="en-GB"/>
              </w:rPr>
            </w:pPr>
            <w:r w:rsidRPr="006A6D19">
              <w:rPr>
                <w:lang w:val="en-GB"/>
              </w:rPr>
              <w:t xml:space="preserve">8.8 </w:t>
            </w:r>
          </w:p>
        </w:tc>
        <w:tc>
          <w:tcPr>
            <w:tcW w:w="355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C6309BE" w14:textId="77777777" w:rsidR="008A5841" w:rsidRPr="006A6D19" w:rsidRDefault="008A5841" w:rsidP="00B765C1">
            <w:pPr>
              <w:rPr>
                <w:lang w:val="en-GB"/>
              </w:rPr>
            </w:pPr>
            <w:r w:rsidRPr="006A6D19">
              <w:rPr>
                <w:lang w:val="en-GB"/>
              </w:rPr>
              <w:t xml:space="preserve">The Government has introduced an Action Plan against social dumping and work-related crime. Overall, the working environmental standard remains high. Workplace accidents resulting in death have declined since 2020. </w:t>
            </w:r>
          </w:p>
        </w:tc>
        <w:tc>
          <w:tcPr>
            <w:tcW w:w="81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E79A160" w14:textId="79B6C2DC" w:rsidR="008A5841" w:rsidRPr="006A6D19" w:rsidRDefault="00541482" w:rsidP="00B765C1">
            <w:pPr>
              <w:rPr>
                <w:lang w:val="en-GB"/>
              </w:rPr>
            </w:pPr>
            <w:r>
              <w:rPr>
                <w:noProof/>
              </w:rPr>
              <w:drawing>
                <wp:inline distT="0" distB="0" distL="0" distR="0" wp14:anchorId="735E757E" wp14:editId="09CE617B">
                  <wp:extent cx="990600" cy="447675"/>
                  <wp:effectExtent l="0" t="0" r="0" b="9525"/>
                  <wp:docPr id="964215214" name="Bilde 4" descr="Target m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11348" name="Bilde 4" descr="Target met. Progress stagn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5F6509B8" w14:textId="77777777" w:rsidTr="001609FA">
        <w:tblPrEx>
          <w:tblCellMar>
            <w:top w:w="0" w:type="dxa"/>
            <w:left w:w="0" w:type="dxa"/>
            <w:bottom w:w="0" w:type="dxa"/>
            <w:right w:w="0" w:type="dxa"/>
          </w:tblCellMar>
        </w:tblPrEx>
        <w:trPr>
          <w:trHeight w:val="60"/>
        </w:trPr>
        <w:tc>
          <w:tcPr>
            <w:tcW w:w="62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C3C7A83" w14:textId="77777777" w:rsidR="008A5841" w:rsidRPr="006A6D19" w:rsidRDefault="008A5841" w:rsidP="00B765C1">
            <w:pPr>
              <w:rPr>
                <w:lang w:val="en-GB"/>
              </w:rPr>
            </w:pPr>
            <w:r w:rsidRPr="006A6D19">
              <w:rPr>
                <w:lang w:val="en-GB"/>
              </w:rPr>
              <w:t xml:space="preserve">8.9 </w:t>
            </w:r>
          </w:p>
        </w:tc>
        <w:tc>
          <w:tcPr>
            <w:tcW w:w="355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734A4AB" w14:textId="77777777" w:rsidR="008A5841" w:rsidRPr="006A6D19" w:rsidRDefault="008A5841" w:rsidP="00B765C1">
            <w:pPr>
              <w:rPr>
                <w:lang w:val="en-GB"/>
              </w:rPr>
            </w:pPr>
            <w:r w:rsidRPr="006A6D19">
              <w:rPr>
                <w:lang w:val="en-GB"/>
              </w:rPr>
              <w:t>Norway offers guidance and certification for sustainable destinations. From 2021–2025 a total of 40 destinations were included. By 2026 the scheme includes 61 destinations and more than 158 municipalities, meaning half of all municipalities are now involved in destination development efforts.</w:t>
            </w:r>
          </w:p>
        </w:tc>
        <w:tc>
          <w:tcPr>
            <w:tcW w:w="81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99E0CFD" w14:textId="2004A793" w:rsidR="008A5841" w:rsidRPr="006A6D19" w:rsidRDefault="007B3BCE" w:rsidP="00B765C1">
            <w:pPr>
              <w:rPr>
                <w:lang w:val="en-GB"/>
              </w:rPr>
            </w:pPr>
            <w:r>
              <w:rPr>
                <w:noProof/>
              </w:rPr>
              <w:drawing>
                <wp:inline distT="0" distB="0" distL="0" distR="0" wp14:anchorId="6D9D7310" wp14:editId="4C5423A6">
                  <wp:extent cx="990600" cy="447675"/>
                  <wp:effectExtent l="0" t="0" r="0" b="9525"/>
                  <wp:docPr id="238357309" name="Bilde 3" descr="Close to target. Progress i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804348" name="Bilde 3" descr="Close to target. Progress is positiv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6CF223F6" w14:textId="77777777" w:rsidTr="001609FA">
        <w:tblPrEx>
          <w:tblCellMar>
            <w:top w:w="0" w:type="dxa"/>
            <w:left w:w="0" w:type="dxa"/>
            <w:bottom w:w="0" w:type="dxa"/>
            <w:right w:w="0" w:type="dxa"/>
          </w:tblCellMar>
        </w:tblPrEx>
        <w:trPr>
          <w:trHeight w:val="60"/>
        </w:trPr>
        <w:tc>
          <w:tcPr>
            <w:tcW w:w="62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232C072" w14:textId="77777777" w:rsidR="008A5841" w:rsidRPr="006A6D19" w:rsidRDefault="008A5841" w:rsidP="00B765C1">
            <w:pPr>
              <w:rPr>
                <w:lang w:val="en-GB"/>
              </w:rPr>
            </w:pPr>
            <w:r w:rsidRPr="006A6D19">
              <w:rPr>
                <w:lang w:val="en-GB"/>
              </w:rPr>
              <w:t xml:space="preserve">8.10 </w:t>
            </w:r>
          </w:p>
        </w:tc>
        <w:tc>
          <w:tcPr>
            <w:tcW w:w="355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00D9EC5" w14:textId="77777777" w:rsidR="008A5841" w:rsidRPr="006A6D19" w:rsidRDefault="008A5841" w:rsidP="00B765C1">
            <w:pPr>
              <w:rPr>
                <w:lang w:val="en-GB"/>
              </w:rPr>
            </w:pPr>
            <w:r w:rsidRPr="006A6D19">
              <w:rPr>
                <w:lang w:val="en-GB"/>
              </w:rPr>
              <w:t>Norway scores very highly on indicators such as access to a bank account and the use of digital payments.</w:t>
            </w:r>
          </w:p>
        </w:tc>
        <w:tc>
          <w:tcPr>
            <w:tcW w:w="81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590BEBD" w14:textId="5ED08694" w:rsidR="008A5841" w:rsidRPr="006A6D19" w:rsidRDefault="00541482" w:rsidP="00B765C1">
            <w:pPr>
              <w:rPr>
                <w:lang w:val="en-GB"/>
              </w:rPr>
            </w:pPr>
            <w:r>
              <w:rPr>
                <w:noProof/>
              </w:rPr>
              <w:drawing>
                <wp:inline distT="0" distB="0" distL="0" distR="0" wp14:anchorId="00C7C4F8" wp14:editId="0ADC1DF0">
                  <wp:extent cx="990600" cy="447675"/>
                  <wp:effectExtent l="0" t="0" r="0" b="9525"/>
                  <wp:docPr id="1311912048" name="Bilde 6" descr="Target met. Progres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2134" name="Bilde 6" descr="Target met. Progress positiv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0E7DD39E" w14:textId="77777777" w:rsidTr="001609FA">
        <w:tblPrEx>
          <w:tblCellMar>
            <w:top w:w="0" w:type="dxa"/>
            <w:left w:w="0" w:type="dxa"/>
            <w:bottom w:w="0" w:type="dxa"/>
            <w:right w:w="0" w:type="dxa"/>
          </w:tblCellMar>
        </w:tblPrEx>
        <w:trPr>
          <w:trHeight w:val="60"/>
        </w:trPr>
        <w:tc>
          <w:tcPr>
            <w:tcW w:w="62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05A8343" w14:textId="77777777" w:rsidR="008A5841" w:rsidRPr="006A6D19" w:rsidRDefault="008A5841" w:rsidP="00B765C1">
            <w:pPr>
              <w:rPr>
                <w:lang w:val="en-GB"/>
              </w:rPr>
            </w:pPr>
            <w:r w:rsidRPr="006A6D19">
              <w:rPr>
                <w:lang w:val="en-GB"/>
              </w:rPr>
              <w:lastRenderedPageBreak/>
              <w:t xml:space="preserve">8.A </w:t>
            </w:r>
          </w:p>
        </w:tc>
        <w:tc>
          <w:tcPr>
            <w:tcW w:w="355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B6A7496" w14:textId="77777777" w:rsidR="008A5841" w:rsidRPr="006A6D19" w:rsidRDefault="008A5841" w:rsidP="00B765C1">
            <w:pPr>
              <w:rPr>
                <w:lang w:val="en-GB"/>
              </w:rPr>
            </w:pPr>
            <w:r w:rsidRPr="006A6D19">
              <w:rPr>
                <w:lang w:val="en-GB"/>
              </w:rPr>
              <w:t>Norway has supported the Enhanced Integrated Framework for Trade-Related Technical Assistance to Least Developed Countries (EIF) in the interim between phase 2 and phase 3, and support for phase 3 remains a priority, though new funds are scarce.</w:t>
            </w:r>
          </w:p>
        </w:tc>
        <w:tc>
          <w:tcPr>
            <w:tcW w:w="81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E0770C3" w14:textId="2A6FB533" w:rsidR="008A5841" w:rsidRPr="006A6D19" w:rsidRDefault="007B3BCE" w:rsidP="00B765C1">
            <w:pPr>
              <w:rPr>
                <w:lang w:val="en-GB"/>
              </w:rPr>
            </w:pPr>
            <w:r>
              <w:rPr>
                <w:noProof/>
              </w:rPr>
              <w:drawing>
                <wp:inline distT="0" distB="0" distL="0" distR="0" wp14:anchorId="1A872332" wp14:editId="4D5DFB72">
                  <wp:extent cx="990600" cy="447675"/>
                  <wp:effectExtent l="0" t="0" r="0" b="9525"/>
                  <wp:docPr id="655492415" name="Bilde 1" descr="Close to targ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34566" name="Bilde 1" descr="Close to target. Progress stagn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65126225" w14:textId="77777777" w:rsidTr="001609FA">
        <w:tblPrEx>
          <w:tblCellMar>
            <w:top w:w="0" w:type="dxa"/>
            <w:left w:w="0" w:type="dxa"/>
            <w:bottom w:w="0" w:type="dxa"/>
            <w:right w:w="0" w:type="dxa"/>
          </w:tblCellMar>
        </w:tblPrEx>
        <w:trPr>
          <w:trHeight w:val="60"/>
        </w:trPr>
        <w:tc>
          <w:tcPr>
            <w:tcW w:w="62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0C2C01A9" w14:textId="77777777" w:rsidR="008A5841" w:rsidRPr="006A6D19" w:rsidRDefault="008A5841" w:rsidP="00B765C1">
            <w:pPr>
              <w:rPr>
                <w:lang w:val="en-GB"/>
              </w:rPr>
            </w:pPr>
            <w:r w:rsidRPr="006A6D19">
              <w:rPr>
                <w:lang w:val="en-GB"/>
              </w:rPr>
              <w:t xml:space="preserve">8.B </w:t>
            </w:r>
          </w:p>
        </w:tc>
        <w:tc>
          <w:tcPr>
            <w:tcW w:w="355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0F4858C9" w14:textId="77777777" w:rsidR="008A5841" w:rsidRPr="006A6D19" w:rsidRDefault="008A5841" w:rsidP="00B765C1">
            <w:pPr>
              <w:rPr>
                <w:lang w:val="en-GB"/>
              </w:rPr>
            </w:pPr>
            <w:r w:rsidRPr="006A6D19">
              <w:rPr>
                <w:lang w:val="en-GB"/>
              </w:rPr>
              <w:t>The Government has launched a commitment to youth – Youth Employment Initiative (“</w:t>
            </w:r>
            <w:proofErr w:type="spellStart"/>
            <w:r w:rsidRPr="006A6D19">
              <w:rPr>
                <w:lang w:val="en-GB"/>
              </w:rPr>
              <w:t>Ungdomsløftet</w:t>
            </w:r>
            <w:proofErr w:type="spellEnd"/>
            <w:r w:rsidRPr="006A6D19">
              <w:rPr>
                <w:lang w:val="en-GB"/>
              </w:rPr>
              <w:t>”</w:t>
            </w:r>
            <w:r w:rsidRPr="006A6D19">
              <w:rPr>
                <w:lang w:val="en-GB"/>
              </w:rPr>
              <w:t xml:space="preserve">), which is </w:t>
            </w:r>
            <w:proofErr w:type="gramStart"/>
            <w:r w:rsidRPr="006A6D19">
              <w:rPr>
                <w:lang w:val="en-GB"/>
              </w:rPr>
              <w:t>a number of</w:t>
            </w:r>
            <w:proofErr w:type="gramEnd"/>
            <w:r w:rsidRPr="006A6D19">
              <w:rPr>
                <w:lang w:val="en-GB"/>
              </w:rPr>
              <w:t xml:space="preserve"> initiatives focusing on youth employment. </w:t>
            </w:r>
          </w:p>
        </w:tc>
        <w:tc>
          <w:tcPr>
            <w:tcW w:w="81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6582C6D2" w14:textId="2546DB6F" w:rsidR="008A5841" w:rsidRPr="006A6D19" w:rsidRDefault="00541482" w:rsidP="00B765C1">
            <w:pPr>
              <w:rPr>
                <w:lang w:val="en-GB"/>
              </w:rPr>
            </w:pPr>
            <w:r>
              <w:rPr>
                <w:noProof/>
              </w:rPr>
              <w:drawing>
                <wp:inline distT="0" distB="0" distL="0" distR="0" wp14:anchorId="2A5CFBA8" wp14:editId="4C2F16B3">
                  <wp:extent cx="990600" cy="447675"/>
                  <wp:effectExtent l="0" t="0" r="0" b="9525"/>
                  <wp:docPr id="871593972" name="Bilde 6" descr="Target met. Progres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2134" name="Bilde 6" descr="Target met. Progress positiv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bl>
    <w:p w14:paraId="0D4C08F3" w14:textId="77777777" w:rsidR="008A5841" w:rsidRPr="006A6D19" w:rsidRDefault="008A5841" w:rsidP="00B765C1">
      <w:pPr>
        <w:rPr>
          <w:lang w:val="en-GB"/>
        </w:rPr>
      </w:pPr>
    </w:p>
    <w:p w14:paraId="39000E25" w14:textId="77777777" w:rsidR="008A5841" w:rsidRPr="006A6D19" w:rsidRDefault="008A5841" w:rsidP="00B765C1">
      <w:pPr>
        <w:rPr>
          <w:lang w:val="en-GB"/>
        </w:rPr>
      </w:pPr>
      <w:r w:rsidRPr="006A6D19">
        <w:rPr>
          <w:rStyle w:val="halvfet"/>
          <w:lang w:val="en-GB"/>
        </w:rPr>
        <w:t>General Status:</w:t>
      </w:r>
      <w:r w:rsidRPr="006A6D19">
        <w:rPr>
          <w:lang w:val="en-GB"/>
        </w:rPr>
        <w:t xml:space="preserve"> In recent decades, Norway has experienced high economic growth and low unemployment. In 2025, the employment rate among people aged 15–74 was one percentage point higher than in 2019. Norway’s productivity level is among the highest in the world and is a key reason for its high standard of living. An open economy, strong competition, stable framework conditions for businesses, and incentives to work, invest, and pursue education form the basis for achieving sustainable economic growth and high employment.</w:t>
      </w:r>
    </w:p>
    <w:p w14:paraId="522B804D" w14:textId="77777777" w:rsidR="008A5841" w:rsidRPr="006A6D19" w:rsidRDefault="008A5841" w:rsidP="00B765C1">
      <w:pPr>
        <w:rPr>
          <w:lang w:val="en-GB"/>
        </w:rPr>
      </w:pPr>
      <w:r w:rsidRPr="006A6D19">
        <w:rPr>
          <w:rStyle w:val="halvfet"/>
          <w:lang w:val="en-GB"/>
        </w:rPr>
        <w:t>Main Achievements:</w:t>
      </w:r>
      <w:r w:rsidRPr="006A6D19">
        <w:rPr>
          <w:lang w:val="en-GB"/>
        </w:rPr>
        <w:t xml:space="preserve"> The Norwegian labour market model protects workers’ rights and is designed to ensure a safe working environment for everyone. Compared with other countries, Norway has high employment levels. In 2025, approximately 3 million people were employed in Norway, corresponding to nearly 70 percent of the population aged 15–74. This figure includes both full-time and part-time employees. Since 2021, the share of young people below 30 who are neither employed, in education, nor training has decreased, as shown in t</w:t>
      </w:r>
      <w:r w:rsidRPr="006A6D19">
        <w:rPr>
          <w:lang w:val="en-GB"/>
        </w:rPr>
        <w:t>he figure below. However, the inflow into various health related benefits among the younger population remains a concern.</w:t>
      </w:r>
    </w:p>
    <w:p w14:paraId="69E5E229" w14:textId="77777777" w:rsidR="008A5841" w:rsidRPr="006A6D19" w:rsidRDefault="008A5841" w:rsidP="00B765C1">
      <w:pPr>
        <w:pStyle w:val="figur-tittel"/>
        <w:rPr>
          <w:lang w:val="en-GB"/>
        </w:rPr>
      </w:pPr>
      <w:r w:rsidRPr="006A6D19">
        <w:rPr>
          <w:lang w:val="en-GB"/>
        </w:rPr>
        <w:t>Population aged 15–29, not in Employment, Education or Training</w:t>
      </w:r>
    </w:p>
    <w:p w14:paraId="33223715" w14:textId="5999795B" w:rsidR="008A5841" w:rsidRPr="006A6D19" w:rsidRDefault="00A17B3B" w:rsidP="00A17B3B">
      <w:pPr>
        <w:rPr>
          <w:lang w:val="en-GB"/>
        </w:rPr>
      </w:pPr>
      <w:r>
        <w:rPr>
          <w:noProof/>
          <w:lang w:val="en-GB"/>
        </w:rPr>
        <w:drawing>
          <wp:inline distT="0" distB="0" distL="0" distR="0" wp14:anchorId="36D6F249" wp14:editId="6D205E71">
            <wp:extent cx="4667250" cy="2357062"/>
            <wp:effectExtent l="0" t="0" r="0" b="5715"/>
            <wp:docPr id="1071644671" name="Bilde 62" descr="Population aged 15–29, not in Employment, Education or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644671" name="Bilde 62" descr="Population aged 15–29, not in Employment, Education or Traini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676894" cy="2361932"/>
                    </a:xfrm>
                    <a:prstGeom prst="rect">
                      <a:avLst/>
                    </a:prstGeom>
                    <a:noFill/>
                    <a:ln>
                      <a:noFill/>
                    </a:ln>
                  </pic:spPr>
                </pic:pic>
              </a:graphicData>
            </a:graphic>
          </wp:inline>
        </w:drawing>
      </w:r>
    </w:p>
    <w:p w14:paraId="42A7E198" w14:textId="77777777" w:rsidR="008A5841" w:rsidRPr="006A6D19" w:rsidRDefault="008A5841" w:rsidP="00B765C1">
      <w:pPr>
        <w:pStyle w:val="Kilde"/>
        <w:rPr>
          <w:lang w:val="en-GB"/>
        </w:rPr>
      </w:pPr>
      <w:r w:rsidRPr="006A6D19">
        <w:rPr>
          <w:lang w:val="en-GB"/>
        </w:rPr>
        <w:t>Source: Statistics Norway Labour Force Survey (LFS), 2026</w:t>
      </w:r>
    </w:p>
    <w:p w14:paraId="3D864A34" w14:textId="77777777" w:rsidR="008A5841" w:rsidRPr="006A6D19" w:rsidRDefault="008A5841" w:rsidP="00B765C1">
      <w:pPr>
        <w:rPr>
          <w:lang w:val="en-GB"/>
        </w:rPr>
      </w:pPr>
      <w:r w:rsidRPr="006A6D19">
        <w:rPr>
          <w:rStyle w:val="halvfet"/>
          <w:lang w:val="en-GB"/>
        </w:rPr>
        <w:lastRenderedPageBreak/>
        <w:t>Norway’s Challenges:</w:t>
      </w:r>
      <w:r w:rsidRPr="006A6D19">
        <w:rPr>
          <w:lang w:val="en-GB"/>
        </w:rPr>
        <w:t xml:space="preserve"> Norway faces challenges related to an ageing population. To increase labour supply, more people outside the labour market must be mobilised, and more individuals must remain at work for a longer period.</w:t>
      </w:r>
    </w:p>
    <w:p w14:paraId="63D97964" w14:textId="77777777" w:rsidR="008A5841" w:rsidRPr="006A6D19" w:rsidRDefault="008A5841" w:rsidP="00B765C1">
      <w:pPr>
        <w:rPr>
          <w:lang w:val="en-GB"/>
        </w:rPr>
      </w:pPr>
      <w:r w:rsidRPr="006A6D19">
        <w:rPr>
          <w:rStyle w:val="halvfet"/>
          <w:lang w:val="en-GB"/>
        </w:rPr>
        <w:t>Global</w:t>
      </w:r>
      <w:r w:rsidRPr="006A6D19">
        <w:rPr>
          <w:rStyle w:val="halvfet"/>
          <w:rFonts w:ascii="Arial" w:hAnsi="Arial" w:cs="Arial"/>
          <w:lang w:val="en-GB"/>
        </w:rPr>
        <w:t> </w:t>
      </w:r>
      <w:r w:rsidRPr="006A6D19">
        <w:rPr>
          <w:rStyle w:val="halvfet"/>
          <w:lang w:val="en-GB"/>
        </w:rPr>
        <w:t>Responsibility:</w:t>
      </w:r>
      <w:r w:rsidRPr="006A6D19">
        <w:rPr>
          <w:lang w:val="en-GB"/>
        </w:rPr>
        <w:t xml:space="preserve"> Promoting free international trade, creating decent jobs and promoting worker’s rights, and strengthening support for vulnerable groups are key international priorities. Norway supports, among other initiatives, the Enhanced Integrated Framework and several developments programs under the International Labour Organization (ILO). Through its development mandate, </w:t>
      </w:r>
      <w:proofErr w:type="spellStart"/>
      <w:r w:rsidRPr="006A6D19">
        <w:rPr>
          <w:lang w:val="en-GB"/>
        </w:rPr>
        <w:t>Norfund</w:t>
      </w:r>
      <w:proofErr w:type="spellEnd"/>
      <w:r w:rsidRPr="006A6D19">
        <w:rPr>
          <w:lang w:val="en-GB"/>
        </w:rPr>
        <w:t xml:space="preserve"> is one of Norway’s most important instruments for job creation.</w:t>
      </w:r>
    </w:p>
    <w:p w14:paraId="2912DCA1" w14:textId="77777777" w:rsidR="008A5841" w:rsidRPr="006A6D19" w:rsidRDefault="008A5841" w:rsidP="006B301F">
      <w:pPr>
        <w:pStyle w:val="avsnitt-undertittel"/>
        <w:rPr>
          <w:rStyle w:val="halvfet"/>
          <w:lang w:val="en-GB"/>
        </w:rPr>
      </w:pPr>
      <w:r w:rsidRPr="006A6D19">
        <w:rPr>
          <w:rStyle w:val="halvfet"/>
          <w:lang w:val="en-GB"/>
        </w:rPr>
        <w:t>Main Policy Initiatives 2021–2026</w:t>
      </w:r>
    </w:p>
    <w:p w14:paraId="53A6C429" w14:textId="77777777" w:rsidR="008A5841" w:rsidRPr="006A6D19" w:rsidRDefault="008A5841" w:rsidP="00B765C1">
      <w:pPr>
        <w:pStyle w:val="Listebombe"/>
        <w:rPr>
          <w:lang w:val="en-GB"/>
        </w:rPr>
      </w:pPr>
      <w:r w:rsidRPr="006A6D19">
        <w:rPr>
          <w:lang w:val="en-GB"/>
        </w:rPr>
        <w:t>The Government has launched a packet of initiatives aimed at improving youth employment, collective referred to as the Youth Employment Initiative (‘</w:t>
      </w:r>
      <w:proofErr w:type="spellStart"/>
      <w:r w:rsidRPr="006A6D19">
        <w:rPr>
          <w:lang w:val="en-GB"/>
        </w:rPr>
        <w:t>Ungdomsløftet</w:t>
      </w:r>
      <w:proofErr w:type="spellEnd"/>
      <w:r w:rsidRPr="006A6D19">
        <w:rPr>
          <w:lang w:val="en-GB"/>
        </w:rPr>
        <w:t>’).</w:t>
      </w:r>
    </w:p>
    <w:p w14:paraId="3FC03129" w14:textId="77777777" w:rsidR="008A5841" w:rsidRPr="006A6D19" w:rsidRDefault="008A5841" w:rsidP="00B765C1">
      <w:pPr>
        <w:pStyle w:val="Listebombe"/>
        <w:rPr>
          <w:lang w:val="en-GB"/>
        </w:rPr>
      </w:pPr>
      <w:r w:rsidRPr="006A6D19">
        <w:rPr>
          <w:lang w:val="en-GB"/>
        </w:rPr>
        <w:t>The Government announced in a White Paper on labour market policy that it would increase and improve the labour market measures to get more people into work and reduce the number of people on health benefits.</w:t>
      </w:r>
    </w:p>
    <w:p w14:paraId="4B2ACAAF" w14:textId="77777777" w:rsidR="008A5841" w:rsidRPr="006A6D19" w:rsidRDefault="008A5841" w:rsidP="001609FA">
      <w:pPr>
        <w:rPr>
          <w:lang w:val="en-GB"/>
        </w:rPr>
      </w:pPr>
    </w:p>
    <w:p w14:paraId="43AE7EC8" w14:textId="77777777" w:rsidR="008A5841" w:rsidRPr="006A6D19" w:rsidRDefault="008A5841" w:rsidP="001609FA">
      <w:pPr>
        <w:rPr>
          <w:lang w:val="en-GB"/>
        </w:rPr>
      </w:pPr>
    </w:p>
    <w:p w14:paraId="18428504" w14:textId="77777777" w:rsidR="008A5841" w:rsidRPr="006A6D19" w:rsidRDefault="008A5841" w:rsidP="001609FA">
      <w:pPr>
        <w:rPr>
          <w:lang w:val="en-GB"/>
        </w:rPr>
      </w:pPr>
    </w:p>
    <w:p w14:paraId="4AF5B36F" w14:textId="77777777" w:rsidR="008A5841" w:rsidRPr="006A6D19" w:rsidRDefault="008A5841" w:rsidP="00B765C1">
      <w:pPr>
        <w:rPr>
          <w:lang w:val="en-GB"/>
        </w:rPr>
      </w:pPr>
    </w:p>
    <w:p w14:paraId="11A203F2" w14:textId="77777777" w:rsidR="006B301F" w:rsidRPr="006A6D19" w:rsidRDefault="006B301F" w:rsidP="006B301F">
      <w:pPr>
        <w:pStyle w:val="Undertittel"/>
        <w:rPr>
          <w:lang w:val="en-GB"/>
        </w:rPr>
      </w:pPr>
      <w:r w:rsidRPr="006A6D19">
        <w:rPr>
          <w:lang w:val="en-GB"/>
        </w:rPr>
        <w:t>Assessment by Civil Society</w:t>
      </w:r>
    </w:p>
    <w:p w14:paraId="21C8F95D" w14:textId="77777777" w:rsidR="008A5841" w:rsidRPr="006A6D19" w:rsidRDefault="008A5841" w:rsidP="00B765C1">
      <w:pPr>
        <w:rPr>
          <w:rStyle w:val="kursiv"/>
          <w:lang w:val="en-GB"/>
        </w:rPr>
      </w:pPr>
      <w:r w:rsidRPr="006A6D19">
        <w:rPr>
          <w:lang w:val="en-GB"/>
        </w:rPr>
        <w:t xml:space="preserve">The following organisations have participated in this assessment: </w:t>
      </w:r>
      <w:r w:rsidRPr="006A6D19">
        <w:rPr>
          <w:lang w:val="en-GB"/>
        </w:rPr>
        <w:t>Future in our hands (FIVH), Norwegian Forum for Development and Environment (</w:t>
      </w:r>
      <w:proofErr w:type="spellStart"/>
      <w:r w:rsidRPr="006A6D19">
        <w:rPr>
          <w:lang w:val="en-GB"/>
        </w:rPr>
        <w:t>ForUM</w:t>
      </w:r>
      <w:proofErr w:type="spellEnd"/>
      <w:r w:rsidRPr="006A6D19">
        <w:rPr>
          <w:lang w:val="en-GB"/>
        </w:rPr>
        <w:t>), The Norwegian Federation of Organisations of Persons with Disabilities (FFO), The Norwegian Association of the Blind and Partially Sighted, Caritas Norway, Amnesty International Norway, The Norwegian Christian Counsil, The Association for International Water Studies (FIVAS).</w:t>
      </w:r>
    </w:p>
    <w:p w14:paraId="36132B72" w14:textId="3B9B2C07" w:rsidR="008A5841" w:rsidRPr="006A6D19" w:rsidRDefault="008A5841" w:rsidP="00B765C1">
      <w:pPr>
        <w:rPr>
          <w:lang w:val="en-GB"/>
        </w:rPr>
      </w:pPr>
      <w:r>
        <w:rPr>
          <w:noProof/>
          <w:lang w:val="en-GB"/>
        </w:rPr>
        <w:drawing>
          <wp:inline distT="0" distB="0" distL="0" distR="0" wp14:anchorId="4AE16376" wp14:editId="43B190B7">
            <wp:extent cx="561975" cy="561975"/>
            <wp:effectExtent l="0" t="0" r="9525" b="9525"/>
            <wp:docPr id="1444420856" name="Bilde 84" descr="Arrow sidew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442347" name="Bilde 84" descr="Arrow sideways"/>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r>
        <w:rPr>
          <w:rStyle w:val="halvfet"/>
          <w:lang w:val="en-GB"/>
        </w:rPr>
        <w:t xml:space="preserve"> </w:t>
      </w:r>
      <w:r w:rsidRPr="006A6D19">
        <w:rPr>
          <w:rStyle w:val="halvfet"/>
          <w:lang w:val="en-GB"/>
        </w:rPr>
        <w:t xml:space="preserve">Trend: </w:t>
      </w:r>
      <w:r w:rsidRPr="006A6D19">
        <w:rPr>
          <w:lang w:val="en-GB"/>
        </w:rPr>
        <w:t>Stagnant</w:t>
      </w:r>
      <w:r w:rsidR="001609FA" w:rsidRPr="006A6D19">
        <w:rPr>
          <w:lang w:val="en-GB"/>
        </w:rPr>
        <w:t xml:space="preserve"> </w:t>
      </w:r>
    </w:p>
    <w:p w14:paraId="187672E8" w14:textId="77777777" w:rsidR="008A5841" w:rsidRPr="006A6D19" w:rsidRDefault="008A5841" w:rsidP="00B765C1">
      <w:pPr>
        <w:rPr>
          <w:lang w:val="en-GB"/>
        </w:rPr>
      </w:pPr>
      <w:r w:rsidRPr="006A6D19">
        <w:rPr>
          <w:rStyle w:val="halvfet"/>
          <w:lang w:val="en-GB"/>
        </w:rPr>
        <w:t>Norway has succeeded</w:t>
      </w:r>
      <w:r w:rsidRPr="006A6D19">
        <w:rPr>
          <w:lang w:val="en-GB"/>
        </w:rPr>
        <w:t xml:space="preserve"> in turning the Transparency Act into force. In 2022 the “Act relating to enterprises’ transparency and work on fundamental human rights and decent working conditions” became part of Norwegian law. This due diligence law requires all larger </w:t>
      </w:r>
      <w:proofErr w:type="gramStart"/>
      <w:r w:rsidRPr="006A6D19">
        <w:rPr>
          <w:lang w:val="en-GB"/>
        </w:rPr>
        <w:t>companies</w:t>
      </w:r>
      <w:proofErr w:type="gramEnd"/>
      <w:r w:rsidRPr="006A6D19">
        <w:rPr>
          <w:lang w:val="en-GB"/>
        </w:rPr>
        <w:t xml:space="preserve"> resident in Norway or larger foreign enterprises liable to tax to Norway to disclose information about their due diligence assessments to prevent, mitigate and remediate negative impacts on human and workers’ rights. In addition, the Act states that upon writte</w:t>
      </w:r>
      <w:r w:rsidRPr="006A6D19">
        <w:rPr>
          <w:lang w:val="en-GB"/>
        </w:rPr>
        <w:t xml:space="preserve">n request, any person has the right to information from an enterprise regarding how the enterprise addresses actual and potential adverse impacts pursuant to their due diligence assessments. This includes both general information and information relating to a specific product or service offered by the enterprise. The Act is a hallmark for human rights in global supply chains and a recent evaluation by KPMG (initiated by the Ministry of Children and Families) </w:t>
      </w:r>
      <w:r w:rsidRPr="006A6D19">
        <w:rPr>
          <w:lang w:val="en-GB"/>
        </w:rPr>
        <w:lastRenderedPageBreak/>
        <w:t>shows that the act has strengthened corporate gov</w:t>
      </w:r>
      <w:r w:rsidRPr="006A6D19">
        <w:rPr>
          <w:lang w:val="en-GB"/>
        </w:rPr>
        <w:t>ernance regarding human rights and working conditions, that companies are achieving better oversight and more responsible purchasing practices, resulting in concrete actions like improved employment terms, and that businesses highly value the ability to focus efforts on areas with the highest risk of negative consequences. Norway has also incorporated article 27 in the CRPD and started initiatives to increase youth employment.</w:t>
      </w:r>
    </w:p>
    <w:p w14:paraId="1322F47E" w14:textId="4358B80A" w:rsidR="008A5841" w:rsidRPr="006A6D19" w:rsidRDefault="008A5841" w:rsidP="00B765C1">
      <w:pPr>
        <w:rPr>
          <w:lang w:val="en-GB"/>
        </w:rPr>
      </w:pPr>
      <w:r w:rsidRPr="006A6D19">
        <w:rPr>
          <w:rStyle w:val="halvfet"/>
          <w:lang w:val="en-GB"/>
        </w:rPr>
        <w:t xml:space="preserve">Norway’s challenge </w:t>
      </w:r>
      <w:r w:rsidRPr="006A6D19">
        <w:rPr>
          <w:lang w:val="en-GB"/>
        </w:rPr>
        <w:t>is still a lack of coherence between different policies related to SDG 8.</w:t>
      </w:r>
      <w:r w:rsidR="001609FA" w:rsidRPr="006A6D19">
        <w:rPr>
          <w:lang w:val="en-GB"/>
        </w:rPr>
        <w:t xml:space="preserve"> </w:t>
      </w:r>
      <w:r w:rsidRPr="006A6D19">
        <w:rPr>
          <w:lang w:val="en-GB"/>
        </w:rPr>
        <w:t xml:space="preserve">For instance, there is a great concern that human rights, workers’ rights and environmental rights repeatedly lose out to trade interests when Norway negotiates trade agreements with countries where these rights are at serious risk. Nationally, there are vulnerable groups in Norwegian society who face exploitation in the job market. Government agencies have still limited resources to supervise businesses or regulate the market, creating opportunities for rogue actors to violate workers’ rights </w:t>
      </w:r>
      <w:proofErr w:type="gramStart"/>
      <w:r w:rsidRPr="006A6D19">
        <w:rPr>
          <w:lang w:val="en-GB"/>
        </w:rPr>
        <w:t>in order to</w:t>
      </w:r>
      <w:proofErr w:type="gramEnd"/>
      <w:r w:rsidRPr="006A6D19">
        <w:rPr>
          <w:lang w:val="en-GB"/>
        </w:rPr>
        <w:t xml:space="preserve"> m</w:t>
      </w:r>
      <w:r w:rsidRPr="006A6D19">
        <w:rPr>
          <w:lang w:val="en-GB"/>
        </w:rPr>
        <w:t>aximise profits.</w:t>
      </w:r>
    </w:p>
    <w:p w14:paraId="3F0A40D1" w14:textId="77777777" w:rsidR="008A5841" w:rsidRPr="006A6D19" w:rsidRDefault="008A5841" w:rsidP="00B765C1">
      <w:pPr>
        <w:rPr>
          <w:lang w:val="en-GB"/>
        </w:rPr>
      </w:pPr>
      <w:r w:rsidRPr="006A6D19">
        <w:rPr>
          <w:lang w:val="en-GB"/>
        </w:rPr>
        <w:t>One of the most important challenges Norway is facing is how to increase labour market participation. At the end of 2024, 700,000 people of working age were outside employment and education. 114,000 young adults between the ages of 20 and 29 were outside employment and education. The employment rate is lower for people with disabilities than for the rest of the population. The proportion of young people in Norway receiving work assessment allowance and disability benefits is also higher tha</w:t>
      </w:r>
      <w:r w:rsidRPr="006A6D19">
        <w:rPr>
          <w:lang w:val="en-GB"/>
        </w:rPr>
        <w:t>n in other OECD countries. The absence of universal design in ICT can constitute a barrier to participation in the labour market. Universal design of ICT can contribute to increased employment among persons with disabilities.</w:t>
      </w:r>
    </w:p>
    <w:p w14:paraId="076570DD" w14:textId="77777777" w:rsidR="008A5841" w:rsidRPr="006A6D19" w:rsidRDefault="008A5841" w:rsidP="006B301F">
      <w:pPr>
        <w:pStyle w:val="avsnitt-undertittel"/>
        <w:rPr>
          <w:lang w:val="en-GB"/>
        </w:rPr>
      </w:pPr>
      <w:r w:rsidRPr="006A6D19">
        <w:rPr>
          <w:lang w:val="en-GB"/>
        </w:rPr>
        <w:t xml:space="preserve">Norway must: </w:t>
      </w:r>
    </w:p>
    <w:p w14:paraId="59A78714" w14:textId="77777777" w:rsidR="008A5841" w:rsidRPr="006A6D19" w:rsidRDefault="008A5841" w:rsidP="00B765C1">
      <w:pPr>
        <w:pStyle w:val="Listebombe"/>
        <w:rPr>
          <w:lang w:val="en-GB"/>
        </w:rPr>
      </w:pPr>
      <w:r w:rsidRPr="006A6D19">
        <w:rPr>
          <w:lang w:val="en-GB"/>
        </w:rPr>
        <w:t>Protect and enact ambitious corporate responsibility legislation with due diligence in mandatory and gender-responsive human rights. Due diligence legislation should also include environmental risks, and the duty to inform consumers and any other enquirers on value chains and production sites. The current wave of de-regulation of human rights and environmental standards in EU must not undermine legislation in the same areas in Norway.</w:t>
      </w:r>
    </w:p>
    <w:p w14:paraId="0AF5FE55" w14:textId="77777777" w:rsidR="008A5841" w:rsidRPr="006A6D19" w:rsidRDefault="008A5841" w:rsidP="00B765C1">
      <w:pPr>
        <w:pStyle w:val="Listebombe"/>
        <w:rPr>
          <w:lang w:val="en-GB"/>
        </w:rPr>
      </w:pPr>
      <w:r w:rsidRPr="006A6D19">
        <w:rPr>
          <w:lang w:val="en-GB"/>
        </w:rPr>
        <w:t xml:space="preserve">Enact appropriate requirements for employers to ensure that all employees, including foreign workers, enjoy Norwegian standards of workers’ rights. </w:t>
      </w:r>
    </w:p>
    <w:p w14:paraId="1A2AC438" w14:textId="77777777" w:rsidR="008A5841" w:rsidRPr="006A6D19" w:rsidRDefault="008A5841" w:rsidP="00B765C1">
      <w:pPr>
        <w:pStyle w:val="Listebombe"/>
        <w:rPr>
          <w:lang w:val="en-GB"/>
        </w:rPr>
      </w:pPr>
      <w:r w:rsidRPr="006A6D19">
        <w:rPr>
          <w:lang w:val="en-GB"/>
        </w:rPr>
        <w:t>Increase funding of governmental agencies, such as the Norwegian Labour Inspection Authority, to ensure that workers’ rights are respected and prevent worker exploitation.</w:t>
      </w:r>
    </w:p>
    <w:p w14:paraId="75B65ACD" w14:textId="77777777" w:rsidR="008A5841" w:rsidRPr="006A6D19" w:rsidRDefault="008A5841" w:rsidP="00B765C1">
      <w:pPr>
        <w:pStyle w:val="Listebombe"/>
        <w:rPr>
          <w:lang w:val="en-GB"/>
        </w:rPr>
      </w:pPr>
      <w:r w:rsidRPr="006A6D19">
        <w:rPr>
          <w:lang w:val="en-GB"/>
        </w:rPr>
        <w:t xml:space="preserve">Implement stricter sustainability requirements for the Government Pension Fund </w:t>
      </w:r>
      <w:proofErr w:type="spellStart"/>
      <w:r w:rsidRPr="006A6D19">
        <w:rPr>
          <w:lang w:val="en-GB"/>
        </w:rPr>
        <w:t>Global’s</w:t>
      </w:r>
      <w:proofErr w:type="spellEnd"/>
      <w:r w:rsidRPr="006A6D19">
        <w:rPr>
          <w:lang w:val="en-GB"/>
        </w:rPr>
        <w:t xml:space="preserve"> investment policy, ensuring that companies breaching core ILO conventions are excluded from the fund.</w:t>
      </w:r>
    </w:p>
    <w:p w14:paraId="6FC66F18" w14:textId="77777777" w:rsidR="008A5841" w:rsidRPr="006A6D19" w:rsidRDefault="008A5841" w:rsidP="00B765C1">
      <w:pPr>
        <w:pStyle w:val="Listebombe"/>
        <w:rPr>
          <w:lang w:val="en-GB"/>
        </w:rPr>
      </w:pPr>
      <w:r w:rsidRPr="006A6D19">
        <w:rPr>
          <w:lang w:val="en-GB"/>
        </w:rPr>
        <w:t>Include environmental sustainability standards and adherence to ILO core conventions in trade treaties.</w:t>
      </w:r>
    </w:p>
    <w:p w14:paraId="2AA0D90A" w14:textId="4B1CA6DF" w:rsidR="008A5841" w:rsidRPr="006A6D19" w:rsidRDefault="008A5841" w:rsidP="00B765C1">
      <w:pPr>
        <w:pStyle w:val="Listebombe"/>
        <w:rPr>
          <w:lang w:val="en-GB"/>
        </w:rPr>
      </w:pPr>
      <w:r w:rsidRPr="006A6D19">
        <w:rPr>
          <w:lang w:val="en-GB"/>
        </w:rPr>
        <w:t>Ensure equality in the labour force for persons with special needs/disabilities and ensure that the resources and time allocated to accommodations are tailored to individual needs.</w:t>
      </w:r>
      <w:r w:rsidR="006B301F" w:rsidRPr="006A6D19">
        <w:rPr>
          <w:lang w:val="en-GB"/>
        </w:rPr>
        <w:t xml:space="preserve"> </w:t>
      </w:r>
    </w:p>
    <w:p w14:paraId="77B32F11" w14:textId="77777777" w:rsidR="008A5841" w:rsidRPr="006A6D19" w:rsidRDefault="008A5841" w:rsidP="00B765C1">
      <w:pPr>
        <w:rPr>
          <w:lang w:val="en-GB"/>
        </w:rPr>
      </w:pPr>
    </w:p>
    <w:p w14:paraId="3021A898" w14:textId="77777777" w:rsidR="008A5841" w:rsidRPr="006A6D19" w:rsidRDefault="008A5841" w:rsidP="001609FA">
      <w:pPr>
        <w:pStyle w:val="UnOverskrift3"/>
        <w:rPr>
          <w:lang w:val="en-GB"/>
        </w:rPr>
      </w:pPr>
      <w:r w:rsidRPr="006A6D19">
        <w:rPr>
          <w:lang w:val="en-GB"/>
        </w:rPr>
        <w:lastRenderedPageBreak/>
        <w:t>9 Industry, Innovation and Infrastructure</w:t>
      </w:r>
    </w:p>
    <w:p w14:paraId="164DAE28" w14:textId="04E85E2E" w:rsidR="008A5841" w:rsidRPr="006A6D19" w:rsidRDefault="00BB2AF4" w:rsidP="001609FA">
      <w:pPr>
        <w:rPr>
          <w:lang w:val="en-GB"/>
        </w:rPr>
      </w:pPr>
      <w:r w:rsidRPr="006A6D19">
        <w:rPr>
          <w:noProof/>
          <w:lang w:val="en-GB"/>
        </w:rPr>
        <w:drawing>
          <wp:inline distT="0" distB="0" distL="0" distR="0" wp14:anchorId="476A4CB7" wp14:editId="163E88C4">
            <wp:extent cx="2857500" cy="2857500"/>
            <wp:effectExtent l="0" t="0" r="0" b="0"/>
            <wp:docPr id="1474655740" name="Bilde 51" descr="Goal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655740" name="Bilde 51" descr="Goal 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3D1EED54" w14:textId="77777777" w:rsidR="008A5841" w:rsidRPr="006A6D19" w:rsidRDefault="008A5841" w:rsidP="006B301F">
      <w:pPr>
        <w:pStyle w:val="Undertittel"/>
        <w:rPr>
          <w:lang w:val="en-GB"/>
        </w:rPr>
      </w:pPr>
      <w:r w:rsidRPr="006A6D19">
        <w:rPr>
          <w:lang w:val="en-GB"/>
        </w:rPr>
        <w:t>Government Assessment</w:t>
      </w:r>
    </w:p>
    <w:tbl>
      <w:tblPr>
        <w:tblW w:w="5000" w:type="pct"/>
        <w:tblCellMar>
          <w:left w:w="0" w:type="dxa"/>
          <w:right w:w="0" w:type="dxa"/>
        </w:tblCellMar>
        <w:tblLook w:val="0000" w:firstRow="0" w:lastRow="0" w:firstColumn="0" w:lastColumn="0" w:noHBand="0" w:noVBand="0"/>
      </w:tblPr>
      <w:tblGrid>
        <w:gridCol w:w="1317"/>
        <w:gridCol w:w="7488"/>
        <w:gridCol w:w="1645"/>
      </w:tblGrid>
      <w:tr w:rsidR="00000000" w:rsidRPr="006A6D19" w14:paraId="7DC44187" w14:textId="77777777" w:rsidTr="001609FA">
        <w:tblPrEx>
          <w:tblCellMar>
            <w:top w:w="0" w:type="dxa"/>
            <w:left w:w="0" w:type="dxa"/>
            <w:bottom w:w="0" w:type="dxa"/>
            <w:right w:w="0" w:type="dxa"/>
          </w:tblCellMar>
        </w:tblPrEx>
        <w:trPr>
          <w:trHeight w:val="60"/>
        </w:trPr>
        <w:tc>
          <w:tcPr>
            <w:tcW w:w="65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66837D37" w14:textId="77777777" w:rsidR="008A5841" w:rsidRPr="006A6D19" w:rsidRDefault="008A5841" w:rsidP="00B765C1">
            <w:pPr>
              <w:rPr>
                <w:lang w:val="en-GB"/>
              </w:rPr>
            </w:pPr>
            <w:r w:rsidRPr="006A6D19">
              <w:rPr>
                <w:lang w:val="en-GB"/>
              </w:rPr>
              <w:t xml:space="preserve">9.1 </w:t>
            </w:r>
          </w:p>
        </w:tc>
        <w:tc>
          <w:tcPr>
            <w:tcW w:w="360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D678EAE" w14:textId="77777777" w:rsidR="008A5841" w:rsidRPr="006A6D19" w:rsidRDefault="008A5841" w:rsidP="00B765C1">
            <w:pPr>
              <w:rPr>
                <w:lang w:val="en-GB"/>
              </w:rPr>
            </w:pPr>
            <w:r w:rsidRPr="006A6D19">
              <w:rPr>
                <w:lang w:val="en-GB"/>
              </w:rPr>
              <w:t>Norway has a well-developed infrastructure that is accessible to everyone. However, it is challenging to protect this infrastructure from landslides and flooding.</w:t>
            </w:r>
          </w:p>
        </w:tc>
        <w:tc>
          <w:tcPr>
            <w:tcW w:w="73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68D99209" w14:textId="57E96F29" w:rsidR="008A5841" w:rsidRPr="006A6D19" w:rsidRDefault="008D2934" w:rsidP="00B765C1">
            <w:pPr>
              <w:rPr>
                <w:lang w:val="en-GB"/>
              </w:rPr>
            </w:pPr>
            <w:r>
              <w:rPr>
                <w:noProof/>
              </w:rPr>
              <w:drawing>
                <wp:inline distT="0" distB="0" distL="0" distR="0" wp14:anchorId="315A4F1D" wp14:editId="7099CF7E">
                  <wp:extent cx="990600" cy="447675"/>
                  <wp:effectExtent l="0" t="0" r="0" b="9525"/>
                  <wp:docPr id="1276428910" name="Bilde 3" descr="Close to target. Progress i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804348" name="Bilde 3" descr="Close to target. Progress is positiv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08FB6318" w14:textId="77777777" w:rsidTr="001609FA">
        <w:tblPrEx>
          <w:tblCellMar>
            <w:top w:w="0" w:type="dxa"/>
            <w:left w:w="0" w:type="dxa"/>
            <w:bottom w:w="0" w:type="dxa"/>
            <w:right w:w="0" w:type="dxa"/>
          </w:tblCellMar>
        </w:tblPrEx>
        <w:trPr>
          <w:trHeight w:val="60"/>
        </w:trPr>
        <w:tc>
          <w:tcPr>
            <w:tcW w:w="65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6D12C536" w14:textId="77777777" w:rsidR="008A5841" w:rsidRPr="006A6D19" w:rsidRDefault="008A5841" w:rsidP="00B765C1">
            <w:pPr>
              <w:rPr>
                <w:lang w:val="en-GB"/>
              </w:rPr>
            </w:pPr>
            <w:r w:rsidRPr="006A6D19">
              <w:rPr>
                <w:lang w:val="en-GB"/>
              </w:rPr>
              <w:t xml:space="preserve">9.2 </w:t>
            </w:r>
          </w:p>
        </w:tc>
        <w:tc>
          <w:tcPr>
            <w:tcW w:w="360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04249B7C" w14:textId="77777777" w:rsidR="008A5841" w:rsidRPr="006A6D19" w:rsidRDefault="008A5841" w:rsidP="00B765C1">
            <w:pPr>
              <w:rPr>
                <w:lang w:val="en-GB"/>
              </w:rPr>
            </w:pPr>
            <w:r w:rsidRPr="006A6D19">
              <w:rPr>
                <w:lang w:val="en-GB"/>
              </w:rPr>
              <w:t>Norwegian industry and businesses have for many years been adapting in a more sustainable direction.</w:t>
            </w:r>
          </w:p>
        </w:tc>
        <w:tc>
          <w:tcPr>
            <w:tcW w:w="73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0B6DA90F" w14:textId="4F63DA1E" w:rsidR="008A5841" w:rsidRPr="006A6D19" w:rsidRDefault="00541482" w:rsidP="00B765C1">
            <w:pPr>
              <w:rPr>
                <w:lang w:val="en-GB"/>
              </w:rPr>
            </w:pPr>
            <w:r>
              <w:rPr>
                <w:noProof/>
              </w:rPr>
              <w:drawing>
                <wp:inline distT="0" distB="0" distL="0" distR="0" wp14:anchorId="44B38A5D" wp14:editId="36CFE6FB">
                  <wp:extent cx="990600" cy="447675"/>
                  <wp:effectExtent l="0" t="0" r="0" b="9525"/>
                  <wp:docPr id="1868744515" name="Bilde 4" descr="Target m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11348" name="Bilde 4" descr="Target met. Progress stagn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1DA4CC2B" w14:textId="77777777" w:rsidTr="001609FA">
        <w:tblPrEx>
          <w:tblCellMar>
            <w:top w:w="0" w:type="dxa"/>
            <w:left w:w="0" w:type="dxa"/>
            <w:bottom w:w="0" w:type="dxa"/>
            <w:right w:w="0" w:type="dxa"/>
          </w:tblCellMar>
        </w:tblPrEx>
        <w:trPr>
          <w:trHeight w:val="60"/>
        </w:trPr>
        <w:tc>
          <w:tcPr>
            <w:tcW w:w="65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F153D80" w14:textId="03F8F889" w:rsidR="008A5841" w:rsidRPr="006A6D19" w:rsidRDefault="008A5841" w:rsidP="00B765C1">
            <w:pPr>
              <w:rPr>
                <w:lang w:val="en-GB"/>
              </w:rPr>
            </w:pPr>
            <w:r w:rsidRPr="006A6D19">
              <w:rPr>
                <w:lang w:val="en-GB"/>
              </w:rPr>
              <w:t>9.3</w:t>
            </w:r>
            <w:r w:rsidR="001609FA" w:rsidRPr="006A6D19">
              <w:rPr>
                <w:lang w:val="en-GB"/>
              </w:rPr>
              <w:t xml:space="preserve"> </w:t>
            </w:r>
          </w:p>
        </w:tc>
        <w:tc>
          <w:tcPr>
            <w:tcW w:w="360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CE530AA" w14:textId="77777777" w:rsidR="008A5841" w:rsidRPr="006A6D19" w:rsidRDefault="008A5841" w:rsidP="00B765C1">
            <w:pPr>
              <w:rPr>
                <w:lang w:val="en-GB"/>
              </w:rPr>
            </w:pPr>
            <w:r w:rsidRPr="006A6D19">
              <w:rPr>
                <w:lang w:val="en-GB"/>
              </w:rPr>
              <w:t>The Norwegian capital market is considered relatively well-functioning, with most companies having good access to financing through banks and capital markets. Access to finance can be more challenging for small and medium-sized businesses, than for larger companies.</w:t>
            </w:r>
          </w:p>
        </w:tc>
        <w:tc>
          <w:tcPr>
            <w:tcW w:w="73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F88C971" w14:textId="14CF62EC" w:rsidR="008A5841" w:rsidRPr="006A6D19" w:rsidRDefault="00541482" w:rsidP="00B765C1">
            <w:pPr>
              <w:rPr>
                <w:lang w:val="en-GB"/>
              </w:rPr>
            </w:pPr>
            <w:r>
              <w:rPr>
                <w:noProof/>
              </w:rPr>
              <w:drawing>
                <wp:inline distT="0" distB="0" distL="0" distR="0" wp14:anchorId="7312BFAA" wp14:editId="314FC4FC">
                  <wp:extent cx="990600" cy="447675"/>
                  <wp:effectExtent l="0" t="0" r="0" b="9525"/>
                  <wp:docPr id="2131866449" name="Bilde 4" descr="Target m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11348" name="Bilde 4" descr="Target met. Progress stagn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18C3C86E" w14:textId="77777777" w:rsidTr="001609FA">
        <w:tblPrEx>
          <w:tblCellMar>
            <w:top w:w="0" w:type="dxa"/>
            <w:left w:w="0" w:type="dxa"/>
            <w:bottom w:w="0" w:type="dxa"/>
            <w:right w:w="0" w:type="dxa"/>
          </w:tblCellMar>
        </w:tblPrEx>
        <w:trPr>
          <w:trHeight w:val="60"/>
        </w:trPr>
        <w:tc>
          <w:tcPr>
            <w:tcW w:w="65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6395879" w14:textId="77777777" w:rsidR="008A5841" w:rsidRPr="006A6D19" w:rsidRDefault="008A5841" w:rsidP="00B765C1">
            <w:pPr>
              <w:rPr>
                <w:lang w:val="en-GB"/>
              </w:rPr>
            </w:pPr>
            <w:r w:rsidRPr="006A6D19">
              <w:rPr>
                <w:lang w:val="en-GB"/>
              </w:rPr>
              <w:t xml:space="preserve">9.4 </w:t>
            </w:r>
          </w:p>
        </w:tc>
        <w:tc>
          <w:tcPr>
            <w:tcW w:w="360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71040567" w14:textId="77777777" w:rsidR="008A5841" w:rsidRPr="006A6D19" w:rsidRDefault="008A5841" w:rsidP="00B765C1">
            <w:pPr>
              <w:rPr>
                <w:lang w:val="en-GB"/>
              </w:rPr>
            </w:pPr>
            <w:r w:rsidRPr="006A6D19">
              <w:rPr>
                <w:lang w:val="en-GB"/>
              </w:rPr>
              <w:t>Several measures are in place to reduce emissions from industry, including participation in the EU Emissions Trading System (ETS), and Enova’s efforts to reduce point-source emissions in industry. Emissions from passenger car traffic have declined in recent years.</w:t>
            </w:r>
          </w:p>
        </w:tc>
        <w:tc>
          <w:tcPr>
            <w:tcW w:w="73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2502C64" w14:textId="3E10EB59" w:rsidR="008A5841" w:rsidRPr="006A6D19" w:rsidRDefault="008D2934" w:rsidP="00B765C1">
            <w:pPr>
              <w:rPr>
                <w:lang w:val="en-GB"/>
              </w:rPr>
            </w:pPr>
            <w:r>
              <w:rPr>
                <w:noProof/>
              </w:rPr>
              <w:drawing>
                <wp:inline distT="0" distB="0" distL="0" distR="0" wp14:anchorId="2A219491" wp14:editId="654D5358">
                  <wp:extent cx="990600" cy="447675"/>
                  <wp:effectExtent l="0" t="0" r="0" b="9525"/>
                  <wp:docPr id="730015594" name="Bilde 3" descr="Close to target. Progress i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804348" name="Bilde 3" descr="Close to target. Progress is positiv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26F4D2FC" w14:textId="77777777" w:rsidTr="001609FA">
        <w:tblPrEx>
          <w:tblCellMar>
            <w:top w:w="0" w:type="dxa"/>
            <w:left w:w="0" w:type="dxa"/>
            <w:bottom w:w="0" w:type="dxa"/>
            <w:right w:w="0" w:type="dxa"/>
          </w:tblCellMar>
        </w:tblPrEx>
        <w:trPr>
          <w:trHeight w:val="60"/>
        </w:trPr>
        <w:tc>
          <w:tcPr>
            <w:tcW w:w="65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9ECDE1B" w14:textId="77777777" w:rsidR="008A5841" w:rsidRPr="006A6D19" w:rsidRDefault="008A5841" w:rsidP="00B765C1">
            <w:pPr>
              <w:rPr>
                <w:lang w:val="en-GB"/>
              </w:rPr>
            </w:pPr>
            <w:r w:rsidRPr="006A6D19">
              <w:rPr>
                <w:lang w:val="en-GB"/>
              </w:rPr>
              <w:t xml:space="preserve">9.5 </w:t>
            </w:r>
          </w:p>
        </w:tc>
        <w:tc>
          <w:tcPr>
            <w:tcW w:w="360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7F1189D9" w14:textId="77777777" w:rsidR="008A5841" w:rsidRPr="006A6D19" w:rsidRDefault="008A5841" w:rsidP="00B765C1">
            <w:pPr>
              <w:rPr>
                <w:lang w:val="en-GB"/>
              </w:rPr>
            </w:pPr>
            <w:r w:rsidRPr="006A6D19">
              <w:rPr>
                <w:lang w:val="en-GB"/>
              </w:rPr>
              <w:t xml:space="preserve">Norway has a high share of publicly funded research and development (R&amp;D), but it is still far from reaching the goal of R&amp;D investments amounting to 3% of GDP R&amp;D expenditure as a proportion of GDP and R&amp;D workers per 1 million inhabitants have declined. </w:t>
            </w:r>
          </w:p>
        </w:tc>
        <w:tc>
          <w:tcPr>
            <w:tcW w:w="73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EE23414" w14:textId="20CB0175" w:rsidR="008A5841" w:rsidRPr="006A6D19" w:rsidRDefault="008A5841" w:rsidP="00B765C1">
            <w:pPr>
              <w:rPr>
                <w:lang w:val="en-GB"/>
              </w:rPr>
            </w:pPr>
            <w:r w:rsidRPr="006A6D19">
              <w:rPr>
                <w:lang w:val="en-GB"/>
              </w:rPr>
              <w:t xml:space="preserve"> </w:t>
            </w:r>
            <w:r w:rsidR="007B3BCE">
              <w:rPr>
                <w:noProof/>
              </w:rPr>
              <w:drawing>
                <wp:inline distT="0" distB="0" distL="0" distR="0" wp14:anchorId="2703B06F" wp14:editId="53945E60">
                  <wp:extent cx="990600" cy="447675"/>
                  <wp:effectExtent l="0" t="0" r="0" b="9525"/>
                  <wp:docPr id="1715314996" name="Bilde 1" descr="Close to targ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34566" name="Bilde 1" descr="Close to target. Progress stagn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2E8E367E" w14:textId="77777777" w:rsidTr="001609FA">
        <w:tblPrEx>
          <w:tblCellMar>
            <w:top w:w="0" w:type="dxa"/>
            <w:left w:w="0" w:type="dxa"/>
            <w:bottom w:w="0" w:type="dxa"/>
            <w:right w:w="0" w:type="dxa"/>
          </w:tblCellMar>
        </w:tblPrEx>
        <w:trPr>
          <w:trHeight w:val="60"/>
        </w:trPr>
        <w:tc>
          <w:tcPr>
            <w:tcW w:w="65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94EE0B8" w14:textId="58F67B25" w:rsidR="008A5841" w:rsidRPr="006A6D19" w:rsidRDefault="008A5841" w:rsidP="00B765C1">
            <w:pPr>
              <w:rPr>
                <w:lang w:val="en-GB"/>
              </w:rPr>
            </w:pPr>
            <w:r w:rsidRPr="006A6D19">
              <w:rPr>
                <w:lang w:val="en-GB"/>
              </w:rPr>
              <w:lastRenderedPageBreak/>
              <w:t>9.A</w:t>
            </w:r>
            <w:r w:rsidR="001609FA" w:rsidRPr="006A6D19">
              <w:rPr>
                <w:lang w:val="en-GB"/>
              </w:rPr>
              <w:t xml:space="preserve"> </w:t>
            </w:r>
          </w:p>
        </w:tc>
        <w:tc>
          <w:tcPr>
            <w:tcW w:w="360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020FBE27" w14:textId="77777777" w:rsidR="008A5841" w:rsidRPr="006A6D19" w:rsidRDefault="008A5841" w:rsidP="00B765C1">
            <w:pPr>
              <w:rPr>
                <w:lang w:val="en-GB"/>
              </w:rPr>
            </w:pPr>
            <w:r w:rsidRPr="006A6D19">
              <w:rPr>
                <w:lang w:val="en-GB"/>
              </w:rPr>
              <w:t>Norway scores very highly on indicators such as access to a bank account and the use of digital payments.</w:t>
            </w:r>
          </w:p>
        </w:tc>
        <w:tc>
          <w:tcPr>
            <w:tcW w:w="73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0FE8056" w14:textId="21987C39" w:rsidR="008A5841" w:rsidRPr="006A6D19" w:rsidRDefault="008D2934" w:rsidP="00B765C1">
            <w:pPr>
              <w:rPr>
                <w:lang w:val="en-GB"/>
              </w:rPr>
            </w:pPr>
            <w:r>
              <w:rPr>
                <w:noProof/>
              </w:rPr>
              <w:drawing>
                <wp:inline distT="0" distB="0" distL="0" distR="0" wp14:anchorId="71E25BDD" wp14:editId="13EB203A">
                  <wp:extent cx="990600" cy="447675"/>
                  <wp:effectExtent l="0" t="0" r="0" b="9525"/>
                  <wp:docPr id="215140302" name="Bilde 3" descr="Close to target. Progress i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804348" name="Bilde 3" descr="Close to target. Progress is positiv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2F61C5B2" w14:textId="77777777" w:rsidTr="001609FA">
        <w:tblPrEx>
          <w:tblCellMar>
            <w:top w:w="0" w:type="dxa"/>
            <w:left w:w="0" w:type="dxa"/>
            <w:bottom w:w="0" w:type="dxa"/>
            <w:right w:w="0" w:type="dxa"/>
          </w:tblCellMar>
        </w:tblPrEx>
        <w:trPr>
          <w:trHeight w:val="60"/>
        </w:trPr>
        <w:tc>
          <w:tcPr>
            <w:tcW w:w="65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0CD42B0" w14:textId="77777777" w:rsidR="008A5841" w:rsidRPr="006A6D19" w:rsidRDefault="008A5841" w:rsidP="00B765C1">
            <w:pPr>
              <w:rPr>
                <w:lang w:val="en-GB"/>
              </w:rPr>
            </w:pPr>
            <w:r w:rsidRPr="006A6D19">
              <w:rPr>
                <w:lang w:val="en-GB"/>
              </w:rPr>
              <w:t xml:space="preserve">9.B </w:t>
            </w:r>
          </w:p>
        </w:tc>
        <w:tc>
          <w:tcPr>
            <w:tcW w:w="360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7D841547" w14:textId="77777777" w:rsidR="008A5841" w:rsidRPr="006A6D19" w:rsidRDefault="008A5841" w:rsidP="00B765C1">
            <w:pPr>
              <w:rPr>
                <w:lang w:val="en-GB"/>
              </w:rPr>
            </w:pPr>
            <w:r w:rsidRPr="006A6D19">
              <w:rPr>
                <w:lang w:val="en-GB"/>
              </w:rPr>
              <w:t>Norway supports developing countries through the Alliance for digital public goods. More developing countries have joined the Alliance.</w:t>
            </w:r>
          </w:p>
        </w:tc>
        <w:tc>
          <w:tcPr>
            <w:tcW w:w="73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F313F9A" w14:textId="228DB45E" w:rsidR="008A5841" w:rsidRPr="006A6D19" w:rsidRDefault="008D2934" w:rsidP="00B765C1">
            <w:pPr>
              <w:rPr>
                <w:lang w:val="en-GB"/>
              </w:rPr>
            </w:pPr>
            <w:r>
              <w:rPr>
                <w:noProof/>
              </w:rPr>
              <w:drawing>
                <wp:inline distT="0" distB="0" distL="0" distR="0" wp14:anchorId="314D33D8" wp14:editId="79CABA0F">
                  <wp:extent cx="990600" cy="447675"/>
                  <wp:effectExtent l="0" t="0" r="0" b="9525"/>
                  <wp:docPr id="785716722" name="Bilde 3" descr="Close to target. Progress i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804348" name="Bilde 3" descr="Close to target. Progress is positiv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2AD41F30" w14:textId="77777777" w:rsidTr="001609FA">
        <w:tblPrEx>
          <w:tblCellMar>
            <w:top w:w="0" w:type="dxa"/>
            <w:left w:w="0" w:type="dxa"/>
            <w:bottom w:w="0" w:type="dxa"/>
            <w:right w:w="0" w:type="dxa"/>
          </w:tblCellMar>
        </w:tblPrEx>
        <w:trPr>
          <w:trHeight w:val="60"/>
        </w:trPr>
        <w:tc>
          <w:tcPr>
            <w:tcW w:w="65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4EA13D5" w14:textId="77777777" w:rsidR="008A5841" w:rsidRPr="006A6D19" w:rsidRDefault="008A5841" w:rsidP="00B765C1">
            <w:pPr>
              <w:rPr>
                <w:lang w:val="en-GB"/>
              </w:rPr>
            </w:pPr>
            <w:r w:rsidRPr="006A6D19">
              <w:rPr>
                <w:lang w:val="en-GB"/>
              </w:rPr>
              <w:t xml:space="preserve">9.C </w:t>
            </w:r>
          </w:p>
        </w:tc>
        <w:tc>
          <w:tcPr>
            <w:tcW w:w="360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307A7E0" w14:textId="77777777" w:rsidR="008A5841" w:rsidRPr="006A6D19" w:rsidRDefault="008A5841" w:rsidP="00B765C1">
            <w:pPr>
              <w:rPr>
                <w:lang w:val="en-GB"/>
              </w:rPr>
            </w:pPr>
            <w:r w:rsidRPr="006A6D19">
              <w:rPr>
                <w:lang w:val="en-GB"/>
              </w:rPr>
              <w:t>Over 99% of Norwegian househ</w:t>
            </w:r>
            <w:r w:rsidRPr="006A6D19">
              <w:rPr>
                <w:lang w:val="en-GB"/>
              </w:rPr>
              <w:t xml:space="preserve">olds now have access to 5G networks, and overs 99% have access to high-speed broadband. </w:t>
            </w:r>
          </w:p>
        </w:tc>
        <w:tc>
          <w:tcPr>
            <w:tcW w:w="739"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7BFF984" w14:textId="4594DBE9" w:rsidR="008A5841" w:rsidRPr="006A6D19" w:rsidRDefault="00541482" w:rsidP="00B765C1">
            <w:pPr>
              <w:rPr>
                <w:lang w:val="en-GB"/>
              </w:rPr>
            </w:pPr>
            <w:r>
              <w:rPr>
                <w:noProof/>
              </w:rPr>
              <w:drawing>
                <wp:inline distT="0" distB="0" distL="0" distR="0" wp14:anchorId="7AC5501C" wp14:editId="7E9F3389">
                  <wp:extent cx="990600" cy="447675"/>
                  <wp:effectExtent l="0" t="0" r="0" b="9525"/>
                  <wp:docPr id="1965433406" name="Bilde 6" descr="Target met. Progres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2134" name="Bilde 6" descr="Target met. Progress positiv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bl>
    <w:p w14:paraId="26BD2CEF" w14:textId="77777777" w:rsidR="008A5841" w:rsidRPr="006A6D19" w:rsidRDefault="008A5841" w:rsidP="00B765C1">
      <w:pPr>
        <w:rPr>
          <w:lang w:val="en-GB"/>
        </w:rPr>
      </w:pPr>
    </w:p>
    <w:p w14:paraId="4271A504" w14:textId="468983B8" w:rsidR="008A5841" w:rsidRPr="006A6D19" w:rsidRDefault="008A5841" w:rsidP="00B765C1">
      <w:pPr>
        <w:rPr>
          <w:lang w:val="en-GB"/>
        </w:rPr>
      </w:pPr>
      <w:r w:rsidRPr="006A6D19">
        <w:rPr>
          <w:rStyle w:val="halvfet"/>
          <w:lang w:val="en-GB"/>
        </w:rPr>
        <w:t>General Status</w:t>
      </w:r>
      <w:r w:rsidRPr="006A6D19">
        <w:rPr>
          <w:lang w:val="en-GB"/>
        </w:rPr>
        <w:t>: Norway has a well-developed infrastructure for transport and digital network services. This is a prerequisite for a functioning society and a competitive and innovative business sector. In spring 2024, the Government presented the National Transport Plan 2025–2036. One of the government’s main measures in the transport plan is to shift resources in the upcoming planning period toward more operation and maintenance of infrastructure, and fewer investments. During the planning period, the Government’s</w:t>
      </w:r>
      <w:r w:rsidR="001609FA" w:rsidRPr="006A6D19">
        <w:rPr>
          <w:lang w:val="en-GB"/>
        </w:rPr>
        <w:t xml:space="preserve"> </w:t>
      </w:r>
      <w:r w:rsidRPr="006A6D19">
        <w:rPr>
          <w:lang w:val="en-GB"/>
        </w:rPr>
        <w:t>approach is to take care of what we have, improve where possible, make better use of the capacity in both existing infrastructure and transport systems, and build new infrastructure where necessary.</w:t>
      </w:r>
    </w:p>
    <w:p w14:paraId="1CD45C47" w14:textId="77777777" w:rsidR="008A5841" w:rsidRPr="006A6D19" w:rsidRDefault="008A5841" w:rsidP="00B765C1">
      <w:pPr>
        <w:rPr>
          <w:lang w:val="en-GB"/>
        </w:rPr>
      </w:pPr>
      <w:r w:rsidRPr="006A6D19">
        <w:rPr>
          <w:rStyle w:val="halvfet"/>
          <w:lang w:val="en-GB"/>
        </w:rPr>
        <w:t>Main Achievements</w:t>
      </w:r>
      <w:r w:rsidRPr="006A6D19">
        <w:rPr>
          <w:lang w:val="en-GB"/>
        </w:rPr>
        <w:t>: Over 99 percent of Norwegian households now have access to 5G networks, and over 99 percent have access to high-speed broadband. The Government’s goal is that all households and businesses should have access to high-speed broadband with at least 100 Mbps download speed by the end of 2025. The share of electric vehicles more than doubled from 2020 to 2024, and emissions from road traffic fell by 6.5 percent from 2023 to 2024.</w:t>
      </w:r>
    </w:p>
    <w:p w14:paraId="19E4D0C2" w14:textId="77777777" w:rsidR="008A5841" w:rsidRPr="006A6D19" w:rsidRDefault="008A5841" w:rsidP="00B765C1">
      <w:pPr>
        <w:rPr>
          <w:lang w:val="en-GB"/>
        </w:rPr>
      </w:pPr>
      <w:r w:rsidRPr="006A6D19">
        <w:rPr>
          <w:rStyle w:val="halvfet"/>
          <w:lang w:val="en-GB"/>
        </w:rPr>
        <w:t>Norway’s Challenges</w:t>
      </w:r>
      <w:r w:rsidRPr="006A6D19">
        <w:rPr>
          <w:lang w:val="en-GB"/>
        </w:rPr>
        <w:t>: Industry in Norway accounts for around 25 percent of the country’s total emissions, with a significant share coming from point sources. To reach climate targets, greenhouse gas emissions in industry must continue to be reduced. Participation in the EU Emissions Trading System (ETS) is the most important instrument to achieve this. The Government aims to contribute to increased value creation, facilitate profitable private investments, and support a more adaptable business sector.</w:t>
      </w:r>
    </w:p>
    <w:p w14:paraId="7A296875" w14:textId="77777777" w:rsidR="008A5841" w:rsidRPr="006A6D19" w:rsidRDefault="008A5841" w:rsidP="00B765C1">
      <w:pPr>
        <w:rPr>
          <w:lang w:val="en-GB"/>
        </w:rPr>
      </w:pPr>
      <w:r w:rsidRPr="006A6D19">
        <w:rPr>
          <w:rStyle w:val="halvfet"/>
          <w:lang w:val="en-GB"/>
        </w:rPr>
        <w:t>Global</w:t>
      </w:r>
      <w:r w:rsidRPr="006A6D19">
        <w:rPr>
          <w:rStyle w:val="halvfet"/>
          <w:rFonts w:ascii="Arial" w:hAnsi="Arial" w:cs="Arial"/>
          <w:lang w:val="en-GB"/>
        </w:rPr>
        <w:t> </w:t>
      </w:r>
      <w:r w:rsidRPr="006A6D19">
        <w:rPr>
          <w:rStyle w:val="halvfet"/>
          <w:lang w:val="en-GB"/>
        </w:rPr>
        <w:t>Responsibility</w:t>
      </w:r>
      <w:r w:rsidRPr="006A6D19">
        <w:rPr>
          <w:lang w:val="en-GB"/>
        </w:rPr>
        <w:t>: Norway promotes digital solutions in developing countries to make data, such as ocean data, forest data, and health information systems more accessible. Open models for artificial intelligence should be a foundation for sustainable development. Norway supports the Global Digital Compact, adopted at the UN Future Summit on 22 September 2024. The Government also contributes to supporting investments in infrastructure—within energy, transport, and digitalisation including through core support to multilateral</w:t>
      </w:r>
      <w:r w:rsidRPr="006A6D19">
        <w:rPr>
          <w:lang w:val="en-GB"/>
        </w:rPr>
        <w:t xml:space="preserve"> development banks such as the World Bank. Within innovation and entrepreneurship, Norway supports several incubators and accelerators active in Southern Africa.</w:t>
      </w:r>
    </w:p>
    <w:p w14:paraId="2199435F" w14:textId="77777777" w:rsidR="008A5841" w:rsidRPr="006A6D19" w:rsidRDefault="008A5841" w:rsidP="006B301F">
      <w:pPr>
        <w:pStyle w:val="avsnitt-undertittel"/>
        <w:rPr>
          <w:lang w:val="en-GB"/>
        </w:rPr>
      </w:pPr>
      <w:r w:rsidRPr="006A6D19">
        <w:rPr>
          <w:lang w:val="en-GB"/>
        </w:rPr>
        <w:lastRenderedPageBreak/>
        <w:t>Main Policy Initiatives 2021–2026</w:t>
      </w:r>
    </w:p>
    <w:p w14:paraId="0FBA5886" w14:textId="77777777" w:rsidR="008A5841" w:rsidRPr="006A6D19" w:rsidRDefault="008A5841" w:rsidP="00B765C1">
      <w:pPr>
        <w:pStyle w:val="Listebombe"/>
        <w:rPr>
          <w:lang w:val="en-GB"/>
        </w:rPr>
      </w:pPr>
      <w:r w:rsidRPr="006A6D19">
        <w:rPr>
          <w:lang w:val="en-GB"/>
        </w:rPr>
        <w:t>White Paper, Meld. St. 16 (2024–2025) Industry – Competitiveness for a New Era, which outlines updated challenges and opportunities across the entire industrial sector.</w:t>
      </w:r>
    </w:p>
    <w:p w14:paraId="7AE2CB51" w14:textId="77777777" w:rsidR="008A5841" w:rsidRPr="006A6D19" w:rsidRDefault="008A5841" w:rsidP="00B765C1">
      <w:pPr>
        <w:rPr>
          <w:lang w:val="en-GB"/>
        </w:rPr>
      </w:pPr>
    </w:p>
    <w:p w14:paraId="699EDCEE" w14:textId="77777777" w:rsidR="008A5841" w:rsidRPr="006A6D19" w:rsidRDefault="008A5841" w:rsidP="00B765C1">
      <w:pPr>
        <w:rPr>
          <w:lang w:val="en-GB"/>
        </w:rPr>
      </w:pPr>
      <w:r w:rsidRPr="006A6D19">
        <w:rPr>
          <w:lang w:val="en-GB"/>
        </w:rPr>
        <w:t xml:space="preserve">Assessment by Civil Society </w:t>
      </w:r>
    </w:p>
    <w:p w14:paraId="0E8E9611" w14:textId="77777777" w:rsidR="008A5841" w:rsidRPr="006A6D19" w:rsidRDefault="008A5841" w:rsidP="00B765C1">
      <w:pPr>
        <w:rPr>
          <w:rStyle w:val="kursiv"/>
          <w:lang w:val="en-GB"/>
        </w:rPr>
      </w:pPr>
      <w:r w:rsidRPr="006A6D19">
        <w:rPr>
          <w:lang w:val="en-GB"/>
        </w:rPr>
        <w:t xml:space="preserve">The following organisations have participated in this assessment: </w:t>
      </w:r>
      <w:r w:rsidRPr="006A6D19">
        <w:rPr>
          <w:lang w:val="en-GB"/>
        </w:rPr>
        <w:t>Norwegian Seafarers Union, Norwegian forum for Development and the Environment, The Association for International Water Studies (FIVAS), The Freight Transport Coalition of Norway – Towards a more sustainable freight system.</w:t>
      </w:r>
    </w:p>
    <w:p w14:paraId="0F1FCA78" w14:textId="2A24DF71" w:rsidR="008A5841" w:rsidRPr="006A6D19" w:rsidRDefault="008A5841" w:rsidP="00B765C1">
      <w:pPr>
        <w:rPr>
          <w:lang w:val="en-GB"/>
        </w:rPr>
      </w:pPr>
      <w:r>
        <w:rPr>
          <w:noProof/>
          <w:lang w:val="en-GB"/>
        </w:rPr>
        <w:drawing>
          <wp:inline distT="0" distB="0" distL="0" distR="0" wp14:anchorId="2BEEC5B2" wp14:editId="0222F9B0">
            <wp:extent cx="561975" cy="561975"/>
            <wp:effectExtent l="0" t="0" r="9525" b="9525"/>
            <wp:docPr id="1099479151" name="Bilde 84" descr="Arrow sidew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442347" name="Bilde 84" descr="Arrow sideways"/>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r>
        <w:rPr>
          <w:rStyle w:val="halvfet"/>
          <w:lang w:val="en-GB"/>
        </w:rPr>
        <w:t xml:space="preserve"> </w:t>
      </w:r>
      <w:r w:rsidRPr="006A6D19">
        <w:rPr>
          <w:rStyle w:val="halvfet"/>
          <w:lang w:val="en-GB"/>
        </w:rPr>
        <w:t>Trend:</w:t>
      </w:r>
      <w:r w:rsidRPr="006A6D19">
        <w:rPr>
          <w:lang w:val="en-GB"/>
        </w:rPr>
        <w:t xml:space="preserve"> Stagnant</w:t>
      </w:r>
      <w:r w:rsidR="001609FA" w:rsidRPr="006A6D19">
        <w:rPr>
          <w:lang w:val="en-GB"/>
        </w:rPr>
        <w:t xml:space="preserve"> </w:t>
      </w:r>
    </w:p>
    <w:p w14:paraId="51A70B39" w14:textId="77777777" w:rsidR="008A5841" w:rsidRPr="006A6D19" w:rsidRDefault="008A5841" w:rsidP="00B765C1">
      <w:pPr>
        <w:rPr>
          <w:lang w:val="en-GB"/>
        </w:rPr>
      </w:pPr>
      <w:r w:rsidRPr="006A6D19">
        <w:rPr>
          <w:rStyle w:val="halvfet"/>
          <w:lang w:val="en-GB"/>
        </w:rPr>
        <w:t>Norway has succeeded</w:t>
      </w:r>
      <w:r w:rsidRPr="006A6D19">
        <w:rPr>
          <w:lang w:val="en-GB"/>
        </w:rPr>
        <w:t xml:space="preserve"> with initiatives for a rapid electrification of the carpool to reduce emissions from the transport sector and building digital infrastructure. Norway signed the Global Digital Compact in 2024 recognising the digital divide and the importance of digitalisation in societal development. Grant schemes facilitating business engagement in innovation and development projects have been a positive initiative for engaging businesses in the 2030 Agenda.</w:t>
      </w:r>
    </w:p>
    <w:p w14:paraId="10667B4D" w14:textId="77777777" w:rsidR="008A5841" w:rsidRPr="006A6D19" w:rsidRDefault="008A5841" w:rsidP="00B765C1">
      <w:pPr>
        <w:rPr>
          <w:lang w:val="en-GB"/>
        </w:rPr>
      </w:pPr>
      <w:r w:rsidRPr="006A6D19">
        <w:rPr>
          <w:rStyle w:val="halvfet"/>
          <w:lang w:val="en-GB"/>
        </w:rPr>
        <w:t>Norway’s challenge</w:t>
      </w:r>
      <w:r w:rsidRPr="006A6D19">
        <w:rPr>
          <w:lang w:val="en-GB"/>
        </w:rPr>
        <w:t xml:space="preserve"> is that the long-term transportation plan proposed by the Government, </w:t>
      </w:r>
      <w:r w:rsidRPr="006A6D19">
        <w:rPr>
          <w:rStyle w:val="kursiv"/>
          <w:lang w:val="en-GB"/>
        </w:rPr>
        <w:t>National Transportation plan (NTP),</w:t>
      </w:r>
      <w:r w:rsidRPr="006A6D19">
        <w:rPr>
          <w:lang w:val="en-GB"/>
        </w:rPr>
        <w:t xml:space="preserve"> in this period has not been efficient in building a sustainable transportation sector – both when it comes to building the infrastructure and how the new infrastructure affects the transport patterns in Norway. To reduce climate change and the destruction of nature, it is vitally important to make a modal shift from road to sea or railway in freight transport in Norway. Investment in already existing harbours could make sea freight more efficient and reduce the need to build new roads. By improving railway</w:t>
      </w:r>
      <w:r w:rsidRPr="006A6D19">
        <w:rPr>
          <w:lang w:val="en-GB"/>
        </w:rPr>
        <w:t>s and terminals, it would be possible to increase freight transport capacity on the rail system without building new tracks.</w:t>
      </w:r>
      <w:r w:rsidRPr="006A6D19">
        <w:rPr>
          <w:rFonts w:ascii="Arial" w:hAnsi="Arial" w:cs="Arial"/>
          <w:lang w:val="en-GB"/>
        </w:rPr>
        <w:t> </w:t>
      </w:r>
      <w:r w:rsidRPr="006A6D19">
        <w:rPr>
          <w:lang w:val="en-GB"/>
        </w:rPr>
        <w:t>It remains to be seen if the latest NTP from 2025</w:t>
      </w:r>
      <w:r w:rsidRPr="006A6D19">
        <w:rPr>
          <w:rFonts w:cs="Open Sans"/>
          <w:lang w:val="en-GB"/>
        </w:rPr>
        <w:t>–</w:t>
      </w:r>
      <w:r w:rsidRPr="006A6D19">
        <w:rPr>
          <w:lang w:val="en-GB"/>
        </w:rPr>
        <w:t>2036 will make sufficient improvements regarding these challenges. Norway is dependent on importing medical specialists. Many newly approved specialists in Norway have received their specialty training in other Nordic countries or the EU. This is not sustainable in the long run and Norway should take a greater responsibility in educating the medical specialists we need. Norway is highly dependent on foreign medical companies for import of essential medical supplies in emergencies and lacks adequate producti</w:t>
      </w:r>
      <w:r w:rsidRPr="006A6D19">
        <w:rPr>
          <w:lang w:val="en-GB"/>
        </w:rPr>
        <w:t>on capacity to take a role in the current need for increased production of vaccines. There is also a need for more attention in medical research, innovation, and investment into addressing women’s health.</w:t>
      </w:r>
      <w:r w:rsidRPr="006A6D19">
        <w:rPr>
          <w:rFonts w:ascii="Arial" w:hAnsi="Arial" w:cs="Arial"/>
          <w:lang w:val="en-GB"/>
        </w:rPr>
        <w:t> </w:t>
      </w:r>
    </w:p>
    <w:p w14:paraId="4694FA89" w14:textId="77777777" w:rsidR="008A5841" w:rsidRPr="006A6D19" w:rsidRDefault="008A5841" w:rsidP="00B765C1">
      <w:pPr>
        <w:rPr>
          <w:lang w:val="en-GB"/>
        </w:rPr>
      </w:pPr>
      <w:r w:rsidRPr="006A6D19">
        <w:rPr>
          <w:lang w:val="en-GB"/>
        </w:rPr>
        <w:t>Internationally, Norway has been moving against regulations facilitating technology transfer in the e-commerce negotiations taking place in the WTO. Depriving countries in the global south the opportunity to transfer knowledge and technology from the multinational technology companies operating in these countries impedes the development of poor countries’ own digital industry.</w:t>
      </w:r>
    </w:p>
    <w:p w14:paraId="5C5C3122" w14:textId="77777777" w:rsidR="008A5841" w:rsidRPr="006A6D19" w:rsidRDefault="008A5841" w:rsidP="00B765C1">
      <w:pPr>
        <w:rPr>
          <w:lang w:val="en-GB"/>
        </w:rPr>
      </w:pPr>
      <w:r w:rsidRPr="006A6D19">
        <w:rPr>
          <w:lang w:val="en-GB"/>
        </w:rPr>
        <w:t xml:space="preserve">Grant schemes financing innovation projects for sustainable development should not be used as a tool for promoting Norwegian business abroad but rather place emphasis on promoting innovation and transfer of competence to developing countries. Strict commercial requirements for Norwegian </w:t>
      </w:r>
      <w:r w:rsidRPr="006A6D19">
        <w:rPr>
          <w:lang w:val="en-GB"/>
        </w:rPr>
        <w:lastRenderedPageBreak/>
        <w:t>businesses in these schemes are a barrier for engaging companies in projects with considerable socio-economic benefits in developing countries.</w:t>
      </w:r>
      <w:r w:rsidRPr="006A6D19">
        <w:rPr>
          <w:rFonts w:ascii="Arial" w:hAnsi="Arial" w:cs="Arial"/>
          <w:lang w:val="en-GB"/>
        </w:rPr>
        <w:t> </w:t>
      </w:r>
      <w:r w:rsidRPr="006A6D19">
        <w:rPr>
          <w:lang w:val="en-GB"/>
        </w:rPr>
        <w:t xml:space="preserve"> </w:t>
      </w:r>
    </w:p>
    <w:p w14:paraId="57D5DD9C" w14:textId="77777777" w:rsidR="008A5841" w:rsidRPr="006A6D19" w:rsidRDefault="008A5841" w:rsidP="006B301F">
      <w:pPr>
        <w:pStyle w:val="avsnitt-undertittel"/>
        <w:rPr>
          <w:lang w:val="en-GB"/>
        </w:rPr>
      </w:pPr>
      <w:r w:rsidRPr="006A6D19">
        <w:rPr>
          <w:lang w:val="en-GB"/>
        </w:rPr>
        <w:t>Norway must:</w:t>
      </w:r>
    </w:p>
    <w:p w14:paraId="42A397F7" w14:textId="77777777" w:rsidR="008A5841" w:rsidRPr="006A6D19" w:rsidRDefault="008A5841" w:rsidP="00B765C1">
      <w:pPr>
        <w:pStyle w:val="Listebombe"/>
        <w:rPr>
          <w:lang w:val="en-GB"/>
        </w:rPr>
      </w:pPr>
      <w:r w:rsidRPr="006A6D19">
        <w:rPr>
          <w:lang w:val="en-GB"/>
        </w:rPr>
        <w:t>Change mode of freight transport from road to sea or rail by investing in the existing rail infrastructure and existing harbours to increase the capacity for freight transport and make it more efficient.</w:t>
      </w:r>
      <w:r w:rsidRPr="006A6D19">
        <w:rPr>
          <w:rFonts w:ascii="Arial" w:hAnsi="Arial" w:cs="Arial"/>
          <w:lang w:val="en-GB"/>
        </w:rPr>
        <w:t> </w:t>
      </w:r>
      <w:r w:rsidRPr="006A6D19">
        <w:rPr>
          <w:lang w:val="en-GB"/>
        </w:rPr>
        <w:t xml:space="preserve"> </w:t>
      </w:r>
    </w:p>
    <w:p w14:paraId="1909C6F5" w14:textId="77777777" w:rsidR="008A5841" w:rsidRPr="006A6D19" w:rsidRDefault="008A5841" w:rsidP="00B765C1">
      <w:pPr>
        <w:pStyle w:val="Listebombe"/>
        <w:rPr>
          <w:lang w:val="en-GB"/>
        </w:rPr>
      </w:pPr>
      <w:r w:rsidRPr="006A6D19">
        <w:rPr>
          <w:lang w:val="en-GB"/>
        </w:rPr>
        <w:t xml:space="preserve">Increase support to programs developing new ships that are all electric, hybrid or have hydrogen propulsion with strongly reduced climate emissions. </w:t>
      </w:r>
    </w:p>
    <w:p w14:paraId="272271E2" w14:textId="77777777" w:rsidR="008A5841" w:rsidRPr="006A6D19" w:rsidRDefault="008A5841" w:rsidP="00B765C1">
      <w:pPr>
        <w:pStyle w:val="Listebombe"/>
        <w:rPr>
          <w:lang w:val="en-GB"/>
        </w:rPr>
      </w:pPr>
      <w:r w:rsidRPr="006A6D19">
        <w:rPr>
          <w:lang w:val="en-GB"/>
        </w:rPr>
        <w:t xml:space="preserve">Ensure better framework conditions for medical research and professional development, to ensure better quality and safety in health services provided. </w:t>
      </w:r>
    </w:p>
    <w:p w14:paraId="6F77AC83" w14:textId="77777777" w:rsidR="008A5841" w:rsidRPr="006A6D19" w:rsidRDefault="008A5841" w:rsidP="00B765C1">
      <w:pPr>
        <w:pStyle w:val="Listebombe"/>
        <w:rPr>
          <w:lang w:val="en-GB"/>
        </w:rPr>
      </w:pPr>
      <w:r w:rsidRPr="006A6D19">
        <w:rPr>
          <w:lang w:val="en-GB"/>
        </w:rPr>
        <w:t xml:space="preserve">Build competence and domestic production capacity of critical medicines, infection control equipment and medical equipment, as well as strengthen Nordic and international cooperation to ensure better access. </w:t>
      </w:r>
    </w:p>
    <w:p w14:paraId="5D220D62" w14:textId="77777777" w:rsidR="008A5841" w:rsidRPr="006A6D19" w:rsidRDefault="008A5841" w:rsidP="00B765C1">
      <w:pPr>
        <w:pStyle w:val="Listebombe"/>
        <w:rPr>
          <w:lang w:val="en-GB"/>
        </w:rPr>
      </w:pPr>
      <w:r w:rsidRPr="006A6D19">
        <w:rPr>
          <w:lang w:val="en-GB"/>
        </w:rPr>
        <w:t>Focus on exporting the infrastructure and expertise we can offer to help the world’s poorest countries to benefit from new technology, such as broadband, cloud storage and server capacity, as well as supporting regional data centres.</w:t>
      </w:r>
      <w:r w:rsidRPr="006A6D19">
        <w:rPr>
          <w:rFonts w:ascii="Arial" w:hAnsi="Arial" w:cs="Arial"/>
          <w:lang w:val="en-GB"/>
        </w:rPr>
        <w:t> </w:t>
      </w:r>
      <w:r w:rsidRPr="006A6D19">
        <w:rPr>
          <w:lang w:val="en-GB"/>
        </w:rPr>
        <w:t xml:space="preserve"> </w:t>
      </w:r>
    </w:p>
    <w:p w14:paraId="7E6842BD" w14:textId="77777777" w:rsidR="008A5841" w:rsidRPr="006A6D19" w:rsidRDefault="008A5841" w:rsidP="00B765C1">
      <w:pPr>
        <w:pStyle w:val="Listebombe"/>
        <w:rPr>
          <w:lang w:val="en-GB"/>
        </w:rPr>
      </w:pPr>
      <w:r w:rsidRPr="006A6D19">
        <w:rPr>
          <w:lang w:val="en-GB"/>
        </w:rPr>
        <w:t>Support regulations in international trade agreements facilitating technology transfers to developing countries. Countries should have access to demand local storage of data collected domestically and leeway for regulation of their digital development.</w:t>
      </w:r>
      <w:r w:rsidRPr="006A6D19">
        <w:rPr>
          <w:rFonts w:ascii="Arial" w:hAnsi="Arial" w:cs="Arial"/>
          <w:lang w:val="en-GB"/>
        </w:rPr>
        <w:t> </w:t>
      </w:r>
      <w:r w:rsidRPr="006A6D19">
        <w:rPr>
          <w:lang w:val="en-GB"/>
        </w:rPr>
        <w:t xml:space="preserve"> </w:t>
      </w:r>
    </w:p>
    <w:p w14:paraId="00D53A36" w14:textId="77777777" w:rsidR="008A5841" w:rsidRPr="006A6D19" w:rsidRDefault="008A5841" w:rsidP="00B765C1">
      <w:pPr>
        <w:pStyle w:val="Listebombe"/>
        <w:rPr>
          <w:lang w:val="en-GB"/>
        </w:rPr>
      </w:pPr>
      <w:r w:rsidRPr="006A6D19">
        <w:rPr>
          <w:lang w:val="en-GB"/>
        </w:rPr>
        <w:t xml:space="preserve">Adjust grant schemes for innovation and development projects to facilitate businesses’ engagement in sustainable development projects in partnership with NGOs. </w:t>
      </w:r>
    </w:p>
    <w:p w14:paraId="0F26CC50" w14:textId="77777777" w:rsidR="008A5841" w:rsidRPr="006A6D19" w:rsidRDefault="008A5841" w:rsidP="00B765C1">
      <w:pPr>
        <w:rPr>
          <w:lang w:val="en-GB"/>
        </w:rPr>
      </w:pPr>
    </w:p>
    <w:p w14:paraId="5E78D05C" w14:textId="77777777" w:rsidR="008A5841" w:rsidRPr="006A6D19" w:rsidRDefault="008A5841" w:rsidP="001609FA">
      <w:pPr>
        <w:pStyle w:val="UnOverskrift3"/>
        <w:rPr>
          <w:lang w:val="en-GB"/>
        </w:rPr>
      </w:pPr>
      <w:r w:rsidRPr="006A6D19">
        <w:rPr>
          <w:lang w:val="en-GB"/>
        </w:rPr>
        <w:t>10 Reduced Inequalities</w:t>
      </w:r>
    </w:p>
    <w:p w14:paraId="5BDE40B6" w14:textId="45BF8D05" w:rsidR="008A5841" w:rsidRPr="006A6D19" w:rsidRDefault="00BB2AF4" w:rsidP="001609FA">
      <w:pPr>
        <w:rPr>
          <w:lang w:val="en-GB"/>
        </w:rPr>
      </w:pPr>
      <w:r w:rsidRPr="006A6D19">
        <w:rPr>
          <w:noProof/>
          <w:lang w:val="en-GB"/>
        </w:rPr>
        <w:drawing>
          <wp:inline distT="0" distB="0" distL="0" distR="0" wp14:anchorId="3EB1B27F" wp14:editId="50CFCECA">
            <wp:extent cx="2857500" cy="2857500"/>
            <wp:effectExtent l="0" t="0" r="0" b="0"/>
            <wp:docPr id="1422207306" name="Bilde 52" descr="Goal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207306" name="Bilde 52" descr="Goal 1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78655BD5" w14:textId="77777777" w:rsidR="008A5841" w:rsidRPr="006A6D19" w:rsidRDefault="008A5841" w:rsidP="006B301F">
      <w:pPr>
        <w:pStyle w:val="Undertittel"/>
        <w:rPr>
          <w:lang w:val="en-GB"/>
        </w:rPr>
      </w:pPr>
      <w:r w:rsidRPr="006A6D19">
        <w:rPr>
          <w:lang w:val="en-GB"/>
        </w:rPr>
        <w:lastRenderedPageBreak/>
        <w:t>Government Assessment</w:t>
      </w:r>
    </w:p>
    <w:tbl>
      <w:tblPr>
        <w:tblW w:w="5000" w:type="pct"/>
        <w:tblCellMar>
          <w:left w:w="0" w:type="dxa"/>
          <w:right w:w="0" w:type="dxa"/>
        </w:tblCellMar>
        <w:tblLook w:val="0000" w:firstRow="0" w:lastRow="0" w:firstColumn="0" w:lastColumn="0" w:noHBand="0" w:noVBand="0"/>
      </w:tblPr>
      <w:tblGrid>
        <w:gridCol w:w="1296"/>
        <w:gridCol w:w="7509"/>
        <w:gridCol w:w="1645"/>
      </w:tblGrid>
      <w:tr w:rsidR="00000000" w:rsidRPr="006A6D19" w14:paraId="278B5D51" w14:textId="77777777" w:rsidTr="001609FA">
        <w:tblPrEx>
          <w:tblCellMar>
            <w:top w:w="0" w:type="dxa"/>
            <w:left w:w="0" w:type="dxa"/>
            <w:bottom w:w="0" w:type="dxa"/>
            <w:right w:w="0" w:type="dxa"/>
          </w:tblCellMar>
        </w:tblPrEx>
        <w:trPr>
          <w:trHeight w:val="60"/>
        </w:trPr>
        <w:tc>
          <w:tcPr>
            <w:tcW w:w="62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6380F2C9" w14:textId="77777777" w:rsidR="008A5841" w:rsidRPr="006A6D19" w:rsidRDefault="008A5841" w:rsidP="00B765C1">
            <w:pPr>
              <w:rPr>
                <w:lang w:val="en-GB"/>
              </w:rPr>
            </w:pPr>
            <w:r w:rsidRPr="006A6D19">
              <w:rPr>
                <w:lang w:val="en-GB"/>
              </w:rPr>
              <w:t xml:space="preserve">10.1 </w:t>
            </w:r>
          </w:p>
        </w:tc>
        <w:tc>
          <w:tcPr>
            <w:tcW w:w="3593"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64EF0553" w14:textId="77777777" w:rsidR="008A5841" w:rsidRPr="006A6D19" w:rsidRDefault="008A5841" w:rsidP="00B765C1">
            <w:pPr>
              <w:rPr>
                <w:lang w:val="en-GB"/>
              </w:rPr>
            </w:pPr>
            <w:r w:rsidRPr="006A6D19">
              <w:rPr>
                <w:lang w:val="en-GB"/>
              </w:rPr>
              <w:t>Income inequality in Norway is low, and in 2023 it was at roughly the same level as in 2014. The share of population with persistent low income has increased somewhat after 2010. Real wages fell in both 2022 and 2023 but increased in 2024.</w:t>
            </w:r>
          </w:p>
        </w:tc>
        <w:tc>
          <w:tcPr>
            <w:tcW w:w="78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0AC281B" w14:textId="38250194" w:rsidR="008A5841" w:rsidRPr="006A6D19" w:rsidRDefault="00541482" w:rsidP="00B765C1">
            <w:pPr>
              <w:rPr>
                <w:lang w:val="en-GB"/>
              </w:rPr>
            </w:pPr>
            <w:r>
              <w:rPr>
                <w:noProof/>
              </w:rPr>
              <w:drawing>
                <wp:inline distT="0" distB="0" distL="0" distR="0" wp14:anchorId="7EBA4EB9" wp14:editId="4C6B05BE">
                  <wp:extent cx="990600" cy="447675"/>
                  <wp:effectExtent l="0" t="0" r="0" b="9525"/>
                  <wp:docPr id="1567549493" name="Bilde 4" descr="Target m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11348" name="Bilde 4" descr="Target met. Progress stagn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750F36ED" w14:textId="77777777" w:rsidTr="001609FA">
        <w:tblPrEx>
          <w:tblCellMar>
            <w:top w:w="0" w:type="dxa"/>
            <w:left w:w="0" w:type="dxa"/>
            <w:bottom w:w="0" w:type="dxa"/>
            <w:right w:w="0" w:type="dxa"/>
          </w:tblCellMar>
        </w:tblPrEx>
        <w:trPr>
          <w:trHeight w:val="60"/>
        </w:trPr>
        <w:tc>
          <w:tcPr>
            <w:tcW w:w="62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887A72C" w14:textId="77777777" w:rsidR="008A5841" w:rsidRPr="006A6D19" w:rsidRDefault="008A5841" w:rsidP="00B765C1">
            <w:pPr>
              <w:rPr>
                <w:lang w:val="en-GB"/>
              </w:rPr>
            </w:pPr>
            <w:r w:rsidRPr="006A6D19">
              <w:rPr>
                <w:lang w:val="en-GB"/>
              </w:rPr>
              <w:t xml:space="preserve">10.2 </w:t>
            </w:r>
          </w:p>
        </w:tc>
        <w:tc>
          <w:tcPr>
            <w:tcW w:w="3593"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7725060B" w14:textId="77777777" w:rsidR="008A5841" w:rsidRPr="006A6D19" w:rsidRDefault="008A5841" w:rsidP="00B765C1">
            <w:pPr>
              <w:rPr>
                <w:lang w:val="en-GB"/>
              </w:rPr>
            </w:pPr>
            <w:r w:rsidRPr="006A6D19">
              <w:rPr>
                <w:lang w:val="en-GB"/>
              </w:rPr>
              <w:t xml:space="preserve">Norway has a high level of equality. However, challenges related to racism and discrimination are still present. </w:t>
            </w:r>
          </w:p>
        </w:tc>
        <w:tc>
          <w:tcPr>
            <w:tcW w:w="78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6265C3A3" w14:textId="23FF9093" w:rsidR="008A5841" w:rsidRPr="006A6D19" w:rsidRDefault="007B3BCE" w:rsidP="00B765C1">
            <w:pPr>
              <w:rPr>
                <w:lang w:val="en-GB"/>
              </w:rPr>
            </w:pPr>
            <w:r>
              <w:rPr>
                <w:noProof/>
              </w:rPr>
              <w:drawing>
                <wp:inline distT="0" distB="0" distL="0" distR="0" wp14:anchorId="1E5A2EFF" wp14:editId="04C9B895">
                  <wp:extent cx="990600" cy="447675"/>
                  <wp:effectExtent l="0" t="0" r="0" b="9525"/>
                  <wp:docPr id="2042729777" name="Bilde 1" descr="Close to targ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34566" name="Bilde 1" descr="Close to target. Progress stagn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54A79C6A" w14:textId="77777777" w:rsidTr="001609FA">
        <w:tblPrEx>
          <w:tblCellMar>
            <w:top w:w="0" w:type="dxa"/>
            <w:left w:w="0" w:type="dxa"/>
            <w:bottom w:w="0" w:type="dxa"/>
            <w:right w:w="0" w:type="dxa"/>
          </w:tblCellMar>
        </w:tblPrEx>
        <w:trPr>
          <w:trHeight w:val="60"/>
        </w:trPr>
        <w:tc>
          <w:tcPr>
            <w:tcW w:w="62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63BB25D2" w14:textId="77777777" w:rsidR="008A5841" w:rsidRPr="006A6D19" w:rsidRDefault="008A5841" w:rsidP="00B765C1">
            <w:pPr>
              <w:rPr>
                <w:lang w:val="en-GB"/>
              </w:rPr>
            </w:pPr>
            <w:r w:rsidRPr="006A6D19">
              <w:rPr>
                <w:lang w:val="en-GB"/>
              </w:rPr>
              <w:t xml:space="preserve">10.3 </w:t>
            </w:r>
          </w:p>
        </w:tc>
        <w:tc>
          <w:tcPr>
            <w:tcW w:w="3593"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DA6CFB8" w14:textId="77777777" w:rsidR="008A5841" w:rsidRPr="006A6D19" w:rsidRDefault="008A5841" w:rsidP="00B765C1">
            <w:pPr>
              <w:rPr>
                <w:lang w:val="en-GB"/>
              </w:rPr>
            </w:pPr>
            <w:r w:rsidRPr="006A6D19">
              <w:rPr>
                <w:lang w:val="en-GB"/>
              </w:rPr>
              <w:t>The principles of equal opportunities and social mobility underpin the Norwegian welfare system. Social disparities in schools remain a concern.</w:t>
            </w:r>
          </w:p>
        </w:tc>
        <w:tc>
          <w:tcPr>
            <w:tcW w:w="78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37B84EF" w14:textId="2C9EE305" w:rsidR="008A5841" w:rsidRPr="006A6D19" w:rsidRDefault="007B3BCE" w:rsidP="00B765C1">
            <w:pPr>
              <w:rPr>
                <w:lang w:val="en-GB"/>
              </w:rPr>
            </w:pPr>
            <w:r>
              <w:rPr>
                <w:noProof/>
              </w:rPr>
              <w:drawing>
                <wp:inline distT="0" distB="0" distL="0" distR="0" wp14:anchorId="667807A9" wp14:editId="25CADE39">
                  <wp:extent cx="990600" cy="447675"/>
                  <wp:effectExtent l="0" t="0" r="0" b="9525"/>
                  <wp:docPr id="1492670856" name="Bilde 1" descr="Close to targ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34566" name="Bilde 1" descr="Close to target. Progress stagn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016A006C" w14:textId="77777777" w:rsidTr="001609FA">
        <w:tblPrEx>
          <w:tblCellMar>
            <w:top w:w="0" w:type="dxa"/>
            <w:left w:w="0" w:type="dxa"/>
            <w:bottom w:w="0" w:type="dxa"/>
            <w:right w:w="0" w:type="dxa"/>
          </w:tblCellMar>
        </w:tblPrEx>
        <w:trPr>
          <w:trHeight w:val="60"/>
        </w:trPr>
        <w:tc>
          <w:tcPr>
            <w:tcW w:w="62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D28754F" w14:textId="77777777" w:rsidR="008A5841" w:rsidRPr="006A6D19" w:rsidRDefault="008A5841" w:rsidP="00B765C1">
            <w:pPr>
              <w:rPr>
                <w:lang w:val="en-GB"/>
              </w:rPr>
            </w:pPr>
            <w:r w:rsidRPr="006A6D19">
              <w:rPr>
                <w:lang w:val="en-GB"/>
              </w:rPr>
              <w:t xml:space="preserve">10.4 </w:t>
            </w:r>
          </w:p>
        </w:tc>
        <w:tc>
          <w:tcPr>
            <w:tcW w:w="3593"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42939A1" w14:textId="77777777" w:rsidR="008A5841" w:rsidRPr="006A6D19" w:rsidRDefault="008A5841" w:rsidP="00B765C1">
            <w:pPr>
              <w:rPr>
                <w:lang w:val="en-GB"/>
              </w:rPr>
            </w:pPr>
            <w:r w:rsidRPr="006A6D19">
              <w:rPr>
                <w:lang w:val="en-GB"/>
              </w:rPr>
              <w:t>Several measures were implemented in the period 2021–2025 to increase redistribution through taxes and transfers. Taxes and duties contribute to financing public services, which also have an equalising effect.</w:t>
            </w:r>
          </w:p>
        </w:tc>
        <w:tc>
          <w:tcPr>
            <w:tcW w:w="78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C94BED6" w14:textId="1E492E13" w:rsidR="008A5841" w:rsidRPr="006A6D19" w:rsidRDefault="00541482" w:rsidP="00B765C1">
            <w:pPr>
              <w:rPr>
                <w:lang w:val="en-GB"/>
              </w:rPr>
            </w:pPr>
            <w:r>
              <w:rPr>
                <w:noProof/>
              </w:rPr>
              <w:drawing>
                <wp:inline distT="0" distB="0" distL="0" distR="0" wp14:anchorId="7879593A" wp14:editId="62610D77">
                  <wp:extent cx="990600" cy="447675"/>
                  <wp:effectExtent l="0" t="0" r="0" b="9525"/>
                  <wp:docPr id="1640822312" name="Bilde 6" descr="Target met. Progres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2134" name="Bilde 6" descr="Target met. Progress positiv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7F43DB9D" w14:textId="77777777" w:rsidTr="001609FA">
        <w:tblPrEx>
          <w:tblCellMar>
            <w:top w:w="0" w:type="dxa"/>
            <w:left w:w="0" w:type="dxa"/>
            <w:bottom w:w="0" w:type="dxa"/>
            <w:right w:w="0" w:type="dxa"/>
          </w:tblCellMar>
        </w:tblPrEx>
        <w:trPr>
          <w:trHeight w:val="60"/>
        </w:trPr>
        <w:tc>
          <w:tcPr>
            <w:tcW w:w="62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A9ED931" w14:textId="77777777" w:rsidR="008A5841" w:rsidRPr="006A6D19" w:rsidRDefault="008A5841" w:rsidP="00B765C1">
            <w:pPr>
              <w:rPr>
                <w:lang w:val="en-GB"/>
              </w:rPr>
            </w:pPr>
            <w:r w:rsidRPr="006A6D19">
              <w:rPr>
                <w:lang w:val="en-GB"/>
              </w:rPr>
              <w:t xml:space="preserve">10.5 </w:t>
            </w:r>
          </w:p>
        </w:tc>
        <w:tc>
          <w:tcPr>
            <w:tcW w:w="3593"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AFF2238" w14:textId="77777777" w:rsidR="008A5841" w:rsidRPr="006A6D19" w:rsidRDefault="008A5841" w:rsidP="00B765C1">
            <w:pPr>
              <w:rPr>
                <w:lang w:val="en-GB"/>
              </w:rPr>
            </w:pPr>
            <w:r w:rsidRPr="006A6D19">
              <w:rPr>
                <w:lang w:val="en-GB"/>
              </w:rPr>
              <w:t>Banks have strengthened their solvency and liquidity. New regulations for bank crisis management have been implemented.</w:t>
            </w:r>
          </w:p>
        </w:tc>
        <w:tc>
          <w:tcPr>
            <w:tcW w:w="78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8D06F1F" w14:textId="62EA6931" w:rsidR="008A5841" w:rsidRPr="006A6D19" w:rsidRDefault="00541482" w:rsidP="00B765C1">
            <w:pPr>
              <w:rPr>
                <w:lang w:val="en-GB"/>
              </w:rPr>
            </w:pPr>
            <w:r>
              <w:rPr>
                <w:noProof/>
              </w:rPr>
              <w:drawing>
                <wp:inline distT="0" distB="0" distL="0" distR="0" wp14:anchorId="55D25630" wp14:editId="01416408">
                  <wp:extent cx="990600" cy="447675"/>
                  <wp:effectExtent l="0" t="0" r="0" b="9525"/>
                  <wp:docPr id="168043107" name="Bilde 6" descr="Target met. Progres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2134" name="Bilde 6" descr="Target met. Progress positiv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53241065" w14:textId="77777777" w:rsidTr="001609FA">
        <w:tblPrEx>
          <w:tblCellMar>
            <w:top w:w="0" w:type="dxa"/>
            <w:left w:w="0" w:type="dxa"/>
            <w:bottom w:w="0" w:type="dxa"/>
            <w:right w:w="0" w:type="dxa"/>
          </w:tblCellMar>
        </w:tblPrEx>
        <w:trPr>
          <w:trHeight w:val="60"/>
        </w:trPr>
        <w:tc>
          <w:tcPr>
            <w:tcW w:w="62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694D10B1" w14:textId="77777777" w:rsidR="008A5841" w:rsidRPr="006A6D19" w:rsidRDefault="008A5841" w:rsidP="00B765C1">
            <w:pPr>
              <w:rPr>
                <w:lang w:val="en-GB"/>
              </w:rPr>
            </w:pPr>
            <w:r w:rsidRPr="006A6D19">
              <w:rPr>
                <w:lang w:val="en-GB"/>
              </w:rPr>
              <w:t xml:space="preserve">10.6 </w:t>
            </w:r>
          </w:p>
        </w:tc>
        <w:tc>
          <w:tcPr>
            <w:tcW w:w="3593"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C863D7A" w14:textId="77777777" w:rsidR="008A5841" w:rsidRPr="006A6D19" w:rsidRDefault="008A5841" w:rsidP="00B765C1">
            <w:pPr>
              <w:rPr>
                <w:lang w:val="en-GB"/>
              </w:rPr>
            </w:pPr>
            <w:r w:rsidRPr="006A6D19">
              <w:rPr>
                <w:lang w:val="en-GB"/>
              </w:rPr>
              <w:t>Norway has supported increased representation of developing countries in decision-making processes in international economic and financial institutions.</w:t>
            </w:r>
          </w:p>
          <w:p w14:paraId="54F14FBB" w14:textId="77777777" w:rsidR="008A5841" w:rsidRPr="006A6D19" w:rsidRDefault="008A5841" w:rsidP="00B765C1">
            <w:pPr>
              <w:rPr>
                <w:lang w:val="en-GB"/>
              </w:rPr>
            </w:pPr>
            <w:r w:rsidRPr="006A6D19">
              <w:rPr>
                <w:lang w:val="en-GB"/>
              </w:rPr>
              <w:t>Norway supports the inclusion of participation from non-DAC countries in the work of OECD DAC.</w:t>
            </w:r>
          </w:p>
        </w:tc>
        <w:tc>
          <w:tcPr>
            <w:tcW w:w="78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88C8DAD" w14:textId="4AB56981" w:rsidR="008A5841" w:rsidRPr="006A6D19" w:rsidRDefault="00541482" w:rsidP="00B765C1">
            <w:pPr>
              <w:rPr>
                <w:lang w:val="en-GB"/>
              </w:rPr>
            </w:pPr>
            <w:r>
              <w:rPr>
                <w:noProof/>
              </w:rPr>
              <w:drawing>
                <wp:inline distT="0" distB="0" distL="0" distR="0" wp14:anchorId="2C9D4FA8" wp14:editId="2A05B90C">
                  <wp:extent cx="990600" cy="447675"/>
                  <wp:effectExtent l="0" t="0" r="0" b="9525"/>
                  <wp:docPr id="1931964970" name="Bilde 6" descr="Target met. Progres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2134" name="Bilde 6" descr="Target met. Progress positiv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10B378C0" w14:textId="77777777" w:rsidTr="001609FA">
        <w:tblPrEx>
          <w:tblCellMar>
            <w:top w:w="0" w:type="dxa"/>
            <w:left w:w="0" w:type="dxa"/>
            <w:bottom w:w="0" w:type="dxa"/>
            <w:right w:w="0" w:type="dxa"/>
          </w:tblCellMar>
        </w:tblPrEx>
        <w:trPr>
          <w:trHeight w:val="60"/>
        </w:trPr>
        <w:tc>
          <w:tcPr>
            <w:tcW w:w="62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995D7C5" w14:textId="77777777" w:rsidR="008A5841" w:rsidRPr="006A6D19" w:rsidRDefault="008A5841" w:rsidP="00B765C1">
            <w:pPr>
              <w:rPr>
                <w:lang w:val="en-GB"/>
              </w:rPr>
            </w:pPr>
            <w:r w:rsidRPr="006A6D19">
              <w:rPr>
                <w:lang w:val="en-GB"/>
              </w:rPr>
              <w:t xml:space="preserve">10.7 </w:t>
            </w:r>
          </w:p>
        </w:tc>
        <w:tc>
          <w:tcPr>
            <w:tcW w:w="3593"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74837BAD" w14:textId="77777777" w:rsidR="008A5841" w:rsidRPr="006A6D19" w:rsidRDefault="008A5841" w:rsidP="00B765C1">
            <w:pPr>
              <w:rPr>
                <w:lang w:val="en-GB"/>
              </w:rPr>
            </w:pPr>
            <w:r w:rsidRPr="006A6D19">
              <w:rPr>
                <w:lang w:val="en-GB"/>
              </w:rPr>
              <w:t>Norway has a well-functioning migration system that seeks to respond and adapt to challenges related to migration.</w:t>
            </w:r>
          </w:p>
        </w:tc>
        <w:tc>
          <w:tcPr>
            <w:tcW w:w="78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732C9740" w14:textId="1A69C9EE" w:rsidR="008A5841" w:rsidRPr="006A6D19" w:rsidRDefault="00541482" w:rsidP="00B765C1">
            <w:pPr>
              <w:rPr>
                <w:lang w:val="en-GB"/>
              </w:rPr>
            </w:pPr>
            <w:r>
              <w:rPr>
                <w:noProof/>
              </w:rPr>
              <w:drawing>
                <wp:inline distT="0" distB="0" distL="0" distR="0" wp14:anchorId="67746BED" wp14:editId="785D5356">
                  <wp:extent cx="990600" cy="447675"/>
                  <wp:effectExtent l="0" t="0" r="0" b="9525"/>
                  <wp:docPr id="1343169210" name="Bilde 4" descr="Target m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11348" name="Bilde 4" descr="Target met. Progress stagn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0E74669A" w14:textId="77777777" w:rsidTr="001609FA">
        <w:tblPrEx>
          <w:tblCellMar>
            <w:top w:w="0" w:type="dxa"/>
            <w:left w:w="0" w:type="dxa"/>
            <w:bottom w:w="0" w:type="dxa"/>
            <w:right w:w="0" w:type="dxa"/>
          </w:tblCellMar>
        </w:tblPrEx>
        <w:trPr>
          <w:trHeight w:val="60"/>
        </w:trPr>
        <w:tc>
          <w:tcPr>
            <w:tcW w:w="62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02C1306" w14:textId="288448EC" w:rsidR="008A5841" w:rsidRPr="006A6D19" w:rsidRDefault="008A5841" w:rsidP="00B765C1">
            <w:pPr>
              <w:rPr>
                <w:lang w:val="en-GB"/>
              </w:rPr>
            </w:pPr>
            <w:r w:rsidRPr="006A6D19">
              <w:rPr>
                <w:lang w:val="en-GB"/>
              </w:rPr>
              <w:t>10.A</w:t>
            </w:r>
            <w:r w:rsidR="001609FA" w:rsidRPr="006A6D19">
              <w:rPr>
                <w:lang w:val="en-GB"/>
              </w:rPr>
              <w:t xml:space="preserve"> </w:t>
            </w:r>
          </w:p>
        </w:tc>
        <w:tc>
          <w:tcPr>
            <w:tcW w:w="3593"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5E2ACA3" w14:textId="77777777" w:rsidR="008A5841" w:rsidRPr="006A6D19" w:rsidRDefault="008A5841" w:rsidP="00B765C1">
            <w:pPr>
              <w:rPr>
                <w:lang w:val="en-GB"/>
              </w:rPr>
            </w:pPr>
            <w:r w:rsidRPr="006A6D19">
              <w:rPr>
                <w:lang w:val="en-GB"/>
              </w:rPr>
              <w:t>Norway provides duty-free and quota-free market access for least developed countries.</w:t>
            </w:r>
          </w:p>
        </w:tc>
        <w:tc>
          <w:tcPr>
            <w:tcW w:w="78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405D2CA" w14:textId="41E18A47" w:rsidR="008A5841" w:rsidRPr="006A6D19" w:rsidRDefault="00541482" w:rsidP="00B765C1">
            <w:pPr>
              <w:rPr>
                <w:lang w:val="en-GB"/>
              </w:rPr>
            </w:pPr>
            <w:r>
              <w:rPr>
                <w:noProof/>
              </w:rPr>
              <w:drawing>
                <wp:inline distT="0" distB="0" distL="0" distR="0" wp14:anchorId="0482A93A" wp14:editId="23A2CAF9">
                  <wp:extent cx="990600" cy="447675"/>
                  <wp:effectExtent l="0" t="0" r="0" b="9525"/>
                  <wp:docPr id="2000855117" name="Bilde 4" descr="Target m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11348" name="Bilde 4" descr="Target met. Progress stagn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7756B351" w14:textId="77777777" w:rsidTr="001609FA">
        <w:tblPrEx>
          <w:tblCellMar>
            <w:top w:w="0" w:type="dxa"/>
            <w:left w:w="0" w:type="dxa"/>
            <w:bottom w:w="0" w:type="dxa"/>
            <w:right w:w="0" w:type="dxa"/>
          </w:tblCellMar>
        </w:tblPrEx>
        <w:trPr>
          <w:trHeight w:val="60"/>
        </w:trPr>
        <w:tc>
          <w:tcPr>
            <w:tcW w:w="62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290E5E8" w14:textId="77777777" w:rsidR="008A5841" w:rsidRPr="006A6D19" w:rsidRDefault="008A5841" w:rsidP="00B765C1">
            <w:pPr>
              <w:rPr>
                <w:lang w:val="en-GB"/>
              </w:rPr>
            </w:pPr>
            <w:r w:rsidRPr="006A6D19">
              <w:rPr>
                <w:lang w:val="en-GB"/>
              </w:rPr>
              <w:t xml:space="preserve">10.B </w:t>
            </w:r>
          </w:p>
        </w:tc>
        <w:tc>
          <w:tcPr>
            <w:tcW w:w="3593"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BD0C575" w14:textId="77777777" w:rsidR="008A5841" w:rsidRPr="006A6D19" w:rsidRDefault="008A5841" w:rsidP="00B765C1">
            <w:pPr>
              <w:rPr>
                <w:lang w:val="en-GB"/>
              </w:rPr>
            </w:pPr>
            <w:r w:rsidRPr="006A6D19">
              <w:rPr>
                <w:lang w:val="en-GB"/>
              </w:rPr>
              <w:t xml:space="preserve">Norway remains among the leading providers of official development assistance relative to national income. Aid includes targeted support to least developed countries, fragile states and vulnerable groups, complemented by efforts to mobilise additional financing. One example is </w:t>
            </w:r>
            <w:r w:rsidRPr="006A6D19">
              <w:rPr>
                <w:lang w:val="en-GB"/>
              </w:rPr>
              <w:lastRenderedPageBreak/>
              <w:t>Norway’s contribution to IDA21, which amounts to over USD 5 billion for 2026–2028.</w:t>
            </w:r>
          </w:p>
        </w:tc>
        <w:tc>
          <w:tcPr>
            <w:tcW w:w="78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0333DA9F" w14:textId="5C6EE9F2" w:rsidR="008A5841" w:rsidRPr="006A6D19" w:rsidRDefault="00541482" w:rsidP="00B765C1">
            <w:pPr>
              <w:rPr>
                <w:lang w:val="en-GB"/>
              </w:rPr>
            </w:pPr>
            <w:r>
              <w:rPr>
                <w:noProof/>
              </w:rPr>
              <w:lastRenderedPageBreak/>
              <w:drawing>
                <wp:inline distT="0" distB="0" distL="0" distR="0" wp14:anchorId="2611C8C0" wp14:editId="134F2D71">
                  <wp:extent cx="990600" cy="447675"/>
                  <wp:effectExtent l="0" t="0" r="0" b="9525"/>
                  <wp:docPr id="195134736" name="Bilde 4" descr="Target m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11348" name="Bilde 4" descr="Target met. Progress stagn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23979AC9" w14:textId="77777777" w:rsidTr="001609FA">
        <w:tblPrEx>
          <w:tblCellMar>
            <w:top w:w="0" w:type="dxa"/>
            <w:left w:w="0" w:type="dxa"/>
            <w:bottom w:w="0" w:type="dxa"/>
            <w:right w:w="0" w:type="dxa"/>
          </w:tblCellMar>
        </w:tblPrEx>
        <w:trPr>
          <w:trHeight w:val="60"/>
        </w:trPr>
        <w:tc>
          <w:tcPr>
            <w:tcW w:w="62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42A150D" w14:textId="77777777" w:rsidR="008A5841" w:rsidRPr="006A6D19" w:rsidRDefault="008A5841" w:rsidP="00B765C1">
            <w:pPr>
              <w:rPr>
                <w:lang w:val="en-GB"/>
              </w:rPr>
            </w:pPr>
            <w:r w:rsidRPr="006A6D19">
              <w:rPr>
                <w:lang w:val="en-GB"/>
              </w:rPr>
              <w:t xml:space="preserve">10.C </w:t>
            </w:r>
          </w:p>
        </w:tc>
        <w:tc>
          <w:tcPr>
            <w:tcW w:w="3593"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6D767068" w14:textId="77777777" w:rsidR="008A5841" w:rsidRPr="006A6D19" w:rsidRDefault="008A5841" w:rsidP="00B765C1">
            <w:pPr>
              <w:rPr>
                <w:lang w:val="en-GB"/>
              </w:rPr>
            </w:pPr>
            <w:r w:rsidRPr="006A6D19">
              <w:rPr>
                <w:lang w:val="en-GB"/>
              </w:rPr>
              <w:t>On 1 January 2025 the price for transfers to a sample of countries was about 1.9% of a payment of NOK 5 000 through banks and somewhat higher through other types of financial institutions.</w:t>
            </w:r>
          </w:p>
        </w:tc>
        <w:tc>
          <w:tcPr>
            <w:tcW w:w="78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73C33A11" w14:textId="336073EC" w:rsidR="008A5841" w:rsidRPr="006A6D19" w:rsidRDefault="00541482" w:rsidP="00B765C1">
            <w:pPr>
              <w:rPr>
                <w:lang w:val="en-GB"/>
              </w:rPr>
            </w:pPr>
            <w:r>
              <w:rPr>
                <w:noProof/>
              </w:rPr>
              <w:drawing>
                <wp:inline distT="0" distB="0" distL="0" distR="0" wp14:anchorId="164BFA9B" wp14:editId="7BD9C5ED">
                  <wp:extent cx="990600" cy="447675"/>
                  <wp:effectExtent l="0" t="0" r="0" b="9525"/>
                  <wp:docPr id="959792488" name="Bilde 4" descr="Target m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11348" name="Bilde 4" descr="Target met. Progress stagn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bl>
    <w:p w14:paraId="0A19C732" w14:textId="77777777" w:rsidR="008A5841" w:rsidRPr="006A6D19" w:rsidRDefault="008A5841" w:rsidP="00B765C1">
      <w:pPr>
        <w:rPr>
          <w:lang w:val="en-GB"/>
        </w:rPr>
      </w:pPr>
    </w:p>
    <w:p w14:paraId="19FB8928" w14:textId="77777777" w:rsidR="008A5841" w:rsidRPr="006A6D19" w:rsidRDefault="008A5841" w:rsidP="00B765C1">
      <w:pPr>
        <w:rPr>
          <w:lang w:val="en-GB"/>
        </w:rPr>
      </w:pPr>
    </w:p>
    <w:p w14:paraId="61C97BA7" w14:textId="77777777" w:rsidR="008A5841" w:rsidRPr="006A6D19" w:rsidRDefault="008A5841" w:rsidP="00B765C1">
      <w:pPr>
        <w:rPr>
          <w:lang w:val="en-GB"/>
        </w:rPr>
      </w:pPr>
      <w:r w:rsidRPr="006A6D19">
        <w:rPr>
          <w:rStyle w:val="halvfet"/>
          <w:lang w:val="en-GB"/>
        </w:rPr>
        <w:t>General Status</w:t>
      </w:r>
      <w:r w:rsidRPr="006A6D19">
        <w:rPr>
          <w:lang w:val="en-GB"/>
        </w:rPr>
        <w:t>: Norway is one of the countries in the world with the lowest social and economic inequality. This includes low-income inequality and generally high quality of life. Income inequality in Norway has increased somewhat over the past 30 years, but in 2023 it remained roughly at the same level as in 2014. 9.5 percent of the population (excl. students) had persistent low income in the three-year period 2022–2024. This share increased somewhat after 2010 but has declined slightly again following a peak in 2018–20</w:t>
      </w:r>
      <w:r w:rsidRPr="006A6D19">
        <w:rPr>
          <w:lang w:val="en-GB"/>
        </w:rPr>
        <w:t>20. The share of children living in low-income households has also decreased somewhat since the 2018–2020 period. Wealth inequality, however, remains high.</w:t>
      </w:r>
    </w:p>
    <w:p w14:paraId="09999162" w14:textId="77777777" w:rsidR="008A5841" w:rsidRPr="006A6D19" w:rsidRDefault="008A5841" w:rsidP="00B765C1">
      <w:pPr>
        <w:rPr>
          <w:lang w:val="en-GB"/>
        </w:rPr>
      </w:pPr>
      <w:r w:rsidRPr="006A6D19">
        <w:rPr>
          <w:rStyle w:val="halvfet"/>
          <w:lang w:val="en-GB"/>
        </w:rPr>
        <w:t>Main Achievements</w:t>
      </w:r>
      <w:r w:rsidRPr="006A6D19">
        <w:rPr>
          <w:lang w:val="en-GB"/>
        </w:rPr>
        <w:t>: The progressive tax system is a central tool for reducing income inequality in Norwegian society. Taxes and transfers help reduce income inequality by approximately 40 percent. The welfare system compensates for income loss due to illness, old age, and unemployment. Everyone has access to free education and universal health services.</w:t>
      </w:r>
    </w:p>
    <w:p w14:paraId="636B1CAA" w14:textId="77777777" w:rsidR="008A5841" w:rsidRPr="006A6D19" w:rsidRDefault="008A5841" w:rsidP="00B765C1">
      <w:pPr>
        <w:rPr>
          <w:lang w:val="en-GB"/>
        </w:rPr>
      </w:pPr>
      <w:r w:rsidRPr="006A6D19">
        <w:rPr>
          <w:rStyle w:val="halvfet"/>
          <w:lang w:val="en-GB"/>
        </w:rPr>
        <w:t xml:space="preserve">Norway’s Challenges: </w:t>
      </w:r>
      <w:r w:rsidRPr="006A6D19">
        <w:rPr>
          <w:lang w:val="en-GB"/>
        </w:rPr>
        <w:t>The share of employed persons is relatively high in an international context. At the same time, many people remain outside the labour force and receive health-related benefits. The share of people receiving such benefits has increased significantly since before the pandemic. At the end of 2024, around 15 percent of the population aged 18–66 received either work assessment allowance or disability benefits.</w:t>
      </w:r>
    </w:p>
    <w:p w14:paraId="1F378B37" w14:textId="77777777" w:rsidR="008A5841" w:rsidRPr="006A6D19" w:rsidRDefault="008A5841" w:rsidP="00B765C1">
      <w:pPr>
        <w:rPr>
          <w:lang w:val="en-GB"/>
        </w:rPr>
      </w:pPr>
      <w:r w:rsidRPr="006A6D19">
        <w:rPr>
          <w:lang w:val="en-GB"/>
        </w:rPr>
        <w:t>Main challenges include keeping income disparities low and increasing labour market participation among</w:t>
      </w:r>
      <w:r w:rsidRPr="006A6D19">
        <w:rPr>
          <w:lang w:val="en-GB"/>
        </w:rPr>
        <w:t xml:space="preserve"> vulnerable groups. Labour market participation among immigrant women, including Norwegian-born women with immigrant parents has increased, as shown in the figure below. However, immigrant women still have a lower employment rate than the rest of the female population. The number of children living in households with persistent low-income, particularly among families with an immigrant background and single parents, is concerning. Measures that can help prevent this include further adapting the education sys</w:t>
      </w:r>
      <w:r w:rsidRPr="006A6D19">
        <w:rPr>
          <w:lang w:val="en-GB"/>
        </w:rPr>
        <w:t>tem to better support disadvantaged groups. The tax system and welfare schemes must also encourage value creation and participation in the labour market.</w:t>
      </w:r>
    </w:p>
    <w:p w14:paraId="30E46E36" w14:textId="77777777" w:rsidR="008A5841" w:rsidRPr="006A6D19" w:rsidRDefault="008A5841" w:rsidP="00B765C1">
      <w:pPr>
        <w:pStyle w:val="figur-tittel"/>
        <w:rPr>
          <w:lang w:val="en-GB"/>
        </w:rPr>
      </w:pPr>
      <w:r w:rsidRPr="006A6D19">
        <w:rPr>
          <w:lang w:val="en-GB"/>
        </w:rPr>
        <w:t>Employed Women by Immigration Category</w:t>
      </w:r>
    </w:p>
    <w:p w14:paraId="4664CE0E" w14:textId="5D7193FD" w:rsidR="008A5841" w:rsidRPr="006A6D19" w:rsidRDefault="00A17B3B" w:rsidP="00A17B3B">
      <w:pPr>
        <w:rPr>
          <w:lang w:val="en-GB"/>
        </w:rPr>
      </w:pPr>
      <w:r>
        <w:rPr>
          <w:noProof/>
          <w:lang w:val="en-GB"/>
        </w:rPr>
        <w:lastRenderedPageBreak/>
        <w:drawing>
          <wp:inline distT="0" distB="0" distL="0" distR="0" wp14:anchorId="594E961F" wp14:editId="3BEE3425">
            <wp:extent cx="4371975" cy="2465116"/>
            <wp:effectExtent l="0" t="0" r="0" b="0"/>
            <wp:docPr id="147086507" name="Bilde 63" descr="Employed Women by Immigration Categ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86507" name="Bilde 63" descr="Employed Women by Immigration Category"/>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78606" cy="2468855"/>
                    </a:xfrm>
                    <a:prstGeom prst="rect">
                      <a:avLst/>
                    </a:prstGeom>
                    <a:noFill/>
                    <a:ln>
                      <a:noFill/>
                    </a:ln>
                  </pic:spPr>
                </pic:pic>
              </a:graphicData>
            </a:graphic>
          </wp:inline>
        </w:drawing>
      </w:r>
    </w:p>
    <w:p w14:paraId="2441D105" w14:textId="77777777" w:rsidR="008A5841" w:rsidRPr="006A6D19" w:rsidRDefault="008A5841" w:rsidP="00B765C1">
      <w:pPr>
        <w:pStyle w:val="Kilde"/>
        <w:rPr>
          <w:lang w:val="en-GB"/>
        </w:rPr>
      </w:pPr>
      <w:r w:rsidRPr="006A6D19">
        <w:rPr>
          <w:lang w:val="en-GB"/>
        </w:rPr>
        <w:t>Source: Statistics Norway, table number 11711, 2026</w:t>
      </w:r>
    </w:p>
    <w:p w14:paraId="0BFC6FCE" w14:textId="77777777" w:rsidR="008A5841" w:rsidRPr="006A6D19" w:rsidRDefault="008A5841" w:rsidP="00B765C1">
      <w:pPr>
        <w:rPr>
          <w:lang w:val="en-GB"/>
        </w:rPr>
      </w:pPr>
      <w:r w:rsidRPr="006A6D19">
        <w:rPr>
          <w:rStyle w:val="halvfet"/>
          <w:lang w:val="en-GB"/>
        </w:rPr>
        <w:t>Global</w:t>
      </w:r>
      <w:r w:rsidRPr="006A6D19">
        <w:rPr>
          <w:rStyle w:val="halvfet"/>
          <w:rFonts w:ascii="Arial" w:hAnsi="Arial" w:cs="Arial"/>
          <w:lang w:val="en-GB"/>
        </w:rPr>
        <w:t> </w:t>
      </w:r>
      <w:r w:rsidRPr="006A6D19">
        <w:rPr>
          <w:rStyle w:val="halvfet"/>
          <w:lang w:val="en-GB"/>
        </w:rPr>
        <w:t xml:space="preserve">Responsibility: </w:t>
      </w:r>
      <w:r w:rsidRPr="006A6D19">
        <w:rPr>
          <w:lang w:val="en-GB"/>
        </w:rPr>
        <w:t>Norwegian development policy aims to contribute to societal change by combating inequality and poverty, and by promoting economic development and welfare in developing countries. Human rights form a core foundation of Norwegian development assistance, emphasising participation, non-discrimination, gender equality and human dignity. Norway works to promote inclusive trade systems and tax rules, counteract illicit financial flows and corruption, and contribute to a fair distribution of burdens in the global r</w:t>
      </w:r>
      <w:r w:rsidRPr="006A6D19">
        <w:rPr>
          <w:lang w:val="en-GB"/>
        </w:rPr>
        <w:t>esponse to climate change. In developing countries, Norway supports efforts to prevent and combat corruption, strengthen tax administrations, and promote inclusive welfare systems.</w:t>
      </w:r>
    </w:p>
    <w:p w14:paraId="6E59F425" w14:textId="77777777" w:rsidR="008A5841" w:rsidRPr="006A6D19" w:rsidRDefault="008A5841" w:rsidP="006B301F">
      <w:pPr>
        <w:pStyle w:val="avsnitt-undertittel"/>
        <w:rPr>
          <w:lang w:val="en-GB"/>
        </w:rPr>
      </w:pPr>
      <w:r w:rsidRPr="006A6D19">
        <w:rPr>
          <w:lang w:val="en-GB"/>
        </w:rPr>
        <w:t>Main Policy Initiatives 2021–2026</w:t>
      </w:r>
    </w:p>
    <w:p w14:paraId="0BF82622" w14:textId="77777777" w:rsidR="008A5841" w:rsidRPr="006A6D19" w:rsidRDefault="008A5841" w:rsidP="001609FA">
      <w:pPr>
        <w:pStyle w:val="avsnitt-under-undertittel"/>
        <w:rPr>
          <w:lang w:val="en-GB"/>
        </w:rPr>
      </w:pPr>
      <w:r w:rsidRPr="006A6D19">
        <w:rPr>
          <w:lang w:val="en-GB"/>
        </w:rPr>
        <w:t>Action plans:</w:t>
      </w:r>
    </w:p>
    <w:p w14:paraId="49DB8F0A" w14:textId="77777777" w:rsidR="008A5841" w:rsidRPr="006A6D19" w:rsidRDefault="008A5841" w:rsidP="00B765C1">
      <w:pPr>
        <w:pStyle w:val="Listebombe"/>
        <w:rPr>
          <w:lang w:val="en-GB"/>
        </w:rPr>
      </w:pPr>
      <w:r w:rsidRPr="006A6D19">
        <w:rPr>
          <w:lang w:val="en-GB"/>
        </w:rPr>
        <w:t>to Combat Anti-Muslim Racism 2025–2030.</w:t>
      </w:r>
    </w:p>
    <w:p w14:paraId="070B3E50" w14:textId="77777777" w:rsidR="008A5841" w:rsidRPr="006A6D19" w:rsidRDefault="008A5841" w:rsidP="00B765C1">
      <w:pPr>
        <w:pStyle w:val="Listebombe"/>
        <w:rPr>
          <w:lang w:val="en-GB"/>
        </w:rPr>
      </w:pPr>
      <w:r w:rsidRPr="006A6D19">
        <w:rPr>
          <w:lang w:val="en-GB"/>
        </w:rPr>
        <w:t>to Combat Harassment and Discrimination of the Sami 2025–2030.</w:t>
      </w:r>
    </w:p>
    <w:p w14:paraId="55624812" w14:textId="77777777" w:rsidR="008A5841" w:rsidRPr="006A6D19" w:rsidRDefault="008A5841" w:rsidP="00B765C1">
      <w:pPr>
        <w:pStyle w:val="Listebombe"/>
        <w:rPr>
          <w:lang w:val="en-GB"/>
        </w:rPr>
      </w:pPr>
      <w:r w:rsidRPr="006A6D19">
        <w:rPr>
          <w:lang w:val="en-GB"/>
        </w:rPr>
        <w:t>against Antisemitism 2025–2030.</w:t>
      </w:r>
    </w:p>
    <w:p w14:paraId="3673BF8B" w14:textId="77777777" w:rsidR="008A5841" w:rsidRPr="006A6D19" w:rsidRDefault="008A5841" w:rsidP="00B765C1">
      <w:pPr>
        <w:pStyle w:val="Listebombe"/>
        <w:rPr>
          <w:lang w:val="en-GB"/>
        </w:rPr>
      </w:pPr>
      <w:r w:rsidRPr="006A6D19">
        <w:rPr>
          <w:lang w:val="en-GB"/>
        </w:rPr>
        <w:t>on Gender and Sexual Diversity 2023–2026.</w:t>
      </w:r>
    </w:p>
    <w:p w14:paraId="11880BA5" w14:textId="77777777" w:rsidR="008A5841" w:rsidRPr="006A6D19" w:rsidRDefault="008A5841" w:rsidP="00B765C1">
      <w:pPr>
        <w:pStyle w:val="Listebombe"/>
        <w:rPr>
          <w:lang w:val="en-GB"/>
        </w:rPr>
      </w:pPr>
      <w:r w:rsidRPr="006A6D19">
        <w:rPr>
          <w:lang w:val="en-GB"/>
        </w:rPr>
        <w:t>against Racism and Discrimination, renewed efforts 2024–2027.</w:t>
      </w:r>
    </w:p>
    <w:p w14:paraId="2B336BBF" w14:textId="77777777" w:rsidR="008A5841" w:rsidRPr="006A6D19" w:rsidRDefault="008A5841" w:rsidP="00B765C1">
      <w:pPr>
        <w:pStyle w:val="Listebombe"/>
        <w:rPr>
          <w:lang w:val="en-GB"/>
        </w:rPr>
      </w:pPr>
      <w:r w:rsidRPr="006A6D19">
        <w:rPr>
          <w:lang w:val="en-GB"/>
        </w:rPr>
        <w:t>for Universal Design, extended until 2026.</w:t>
      </w:r>
    </w:p>
    <w:p w14:paraId="6EB937B4" w14:textId="77777777" w:rsidR="008A5841" w:rsidRPr="006A6D19" w:rsidRDefault="008A5841" w:rsidP="001609FA">
      <w:pPr>
        <w:pStyle w:val="avsnitt-under-undertittel"/>
        <w:rPr>
          <w:lang w:val="en-GB"/>
        </w:rPr>
      </w:pPr>
      <w:r w:rsidRPr="006A6D19">
        <w:rPr>
          <w:lang w:val="en-GB"/>
        </w:rPr>
        <w:t>Strategies:</w:t>
      </w:r>
    </w:p>
    <w:p w14:paraId="529AF2DE" w14:textId="77777777" w:rsidR="008A5841" w:rsidRPr="006A6D19" w:rsidRDefault="008A5841" w:rsidP="00B765C1">
      <w:pPr>
        <w:pStyle w:val="Listebombe"/>
        <w:rPr>
          <w:lang w:val="en-GB"/>
        </w:rPr>
      </w:pPr>
      <w:r w:rsidRPr="006A6D19">
        <w:rPr>
          <w:lang w:val="en-GB"/>
        </w:rPr>
        <w:t>The Government is revising its Strategy for Equality for People with Disabilities.</w:t>
      </w:r>
    </w:p>
    <w:p w14:paraId="1D641FDE" w14:textId="77777777" w:rsidR="008A5841" w:rsidRPr="006A6D19" w:rsidRDefault="008A5841" w:rsidP="00B765C1">
      <w:pPr>
        <w:rPr>
          <w:lang w:val="en-GB"/>
        </w:rPr>
      </w:pPr>
    </w:p>
    <w:p w14:paraId="0F7E265F" w14:textId="77777777" w:rsidR="006B301F" w:rsidRPr="006A6D19" w:rsidRDefault="006B301F" w:rsidP="006B301F">
      <w:pPr>
        <w:pStyle w:val="Undertittel"/>
        <w:rPr>
          <w:lang w:val="en-GB"/>
        </w:rPr>
      </w:pPr>
      <w:r w:rsidRPr="006A6D19">
        <w:rPr>
          <w:lang w:val="en-GB"/>
        </w:rPr>
        <w:t>Assessment by Civil Society</w:t>
      </w:r>
    </w:p>
    <w:p w14:paraId="6FB78DE7" w14:textId="77777777" w:rsidR="008A5841" w:rsidRPr="006A6D19" w:rsidRDefault="008A5841" w:rsidP="00B765C1">
      <w:pPr>
        <w:rPr>
          <w:rStyle w:val="kursiv"/>
          <w:lang w:val="en-GB"/>
        </w:rPr>
      </w:pPr>
      <w:r w:rsidRPr="006A6D19">
        <w:rPr>
          <w:lang w:val="en-GB"/>
        </w:rPr>
        <w:t xml:space="preserve">The following organisations have participated in this assessment: </w:t>
      </w:r>
      <w:r w:rsidRPr="006A6D19">
        <w:rPr>
          <w:lang w:val="en-GB"/>
        </w:rPr>
        <w:t>Tax Justice Norway, Debt Justice Norway, The Norwegian Forum for Development and Environment (</w:t>
      </w:r>
      <w:proofErr w:type="spellStart"/>
      <w:r w:rsidRPr="006A6D19">
        <w:rPr>
          <w:lang w:val="en-GB"/>
        </w:rPr>
        <w:t>ForUM</w:t>
      </w:r>
      <w:proofErr w:type="spellEnd"/>
      <w:r w:rsidRPr="006A6D19">
        <w:rPr>
          <w:lang w:val="en-GB"/>
        </w:rPr>
        <w:t>), Norwegian Library Association, Press – Save the Children Youth Norway.</w:t>
      </w:r>
    </w:p>
    <w:p w14:paraId="6FCBCD4D" w14:textId="10BEE358" w:rsidR="008A5841" w:rsidRPr="006A6D19" w:rsidRDefault="008A5841" w:rsidP="00B765C1">
      <w:pPr>
        <w:rPr>
          <w:lang w:val="en-GB"/>
        </w:rPr>
      </w:pPr>
      <w:r>
        <w:rPr>
          <w:noProof/>
          <w:lang w:val="en-GB"/>
        </w:rPr>
        <w:lastRenderedPageBreak/>
        <w:drawing>
          <wp:inline distT="0" distB="0" distL="0" distR="0" wp14:anchorId="36755F1F" wp14:editId="4FCEF86F">
            <wp:extent cx="561975" cy="561975"/>
            <wp:effectExtent l="0" t="0" r="9525" b="9525"/>
            <wp:docPr id="709700047" name="Bilde 85" descr="Arrow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511570" name="Bilde 85" descr="Arrow down"/>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r>
        <w:rPr>
          <w:rStyle w:val="halvfet"/>
          <w:lang w:val="en-GB"/>
        </w:rPr>
        <w:t xml:space="preserve"> </w:t>
      </w:r>
      <w:r w:rsidRPr="006A6D19">
        <w:rPr>
          <w:rStyle w:val="halvfet"/>
          <w:lang w:val="en-GB"/>
        </w:rPr>
        <w:t xml:space="preserve">Trend: </w:t>
      </w:r>
      <w:r w:rsidRPr="006A6D19">
        <w:rPr>
          <w:lang w:val="en-GB"/>
        </w:rPr>
        <w:t>Negative</w:t>
      </w:r>
      <w:r w:rsidR="001609FA" w:rsidRPr="006A6D19">
        <w:rPr>
          <w:lang w:val="en-GB"/>
        </w:rPr>
        <w:t xml:space="preserve"> </w:t>
      </w:r>
    </w:p>
    <w:p w14:paraId="789002DF" w14:textId="77777777" w:rsidR="008A5841" w:rsidRPr="006A6D19" w:rsidRDefault="008A5841" w:rsidP="00B765C1">
      <w:pPr>
        <w:rPr>
          <w:lang w:val="en-GB"/>
        </w:rPr>
      </w:pPr>
      <w:r w:rsidRPr="006A6D19">
        <w:rPr>
          <w:rStyle w:val="halvfet"/>
          <w:lang w:val="en-GB"/>
        </w:rPr>
        <w:t>Norway has succeeded</w:t>
      </w:r>
      <w:r w:rsidRPr="006A6D19">
        <w:rPr>
          <w:lang w:val="en-GB"/>
        </w:rPr>
        <w:t xml:space="preserve"> in maintaining a low level of economic inequality compared to many other countries. Norwegian society is characterised by high social trust, strong redistributive mechanisms, and universal access to essential welfare services. High employment rates, broad inclusion in the labour market, and robust social safety nets help prevent poverty and promote economic and social security. The Norwegian welfare state and tax system play a crucial role in reducing disparities through universal benefits and progressive </w:t>
      </w:r>
      <w:r w:rsidRPr="006A6D19">
        <w:rPr>
          <w:lang w:val="en-GB"/>
        </w:rPr>
        <w:t>taxation.</w:t>
      </w:r>
    </w:p>
    <w:p w14:paraId="47CB279D" w14:textId="77777777" w:rsidR="008A5841" w:rsidRPr="006A6D19" w:rsidRDefault="008A5841" w:rsidP="00B765C1">
      <w:pPr>
        <w:rPr>
          <w:lang w:val="en-GB"/>
        </w:rPr>
      </w:pPr>
      <w:r w:rsidRPr="006A6D19">
        <w:rPr>
          <w:lang w:val="en-GB"/>
        </w:rPr>
        <w:t>Internationally, Norway has contributed to strengthening other countries’ capacity to mobilise domestic resources by supporting fair taxation, combating tax havens, and advancing initiatives for sustainable development financing.</w:t>
      </w:r>
    </w:p>
    <w:p w14:paraId="57BB7C96" w14:textId="77777777" w:rsidR="008A5841" w:rsidRPr="006A6D19" w:rsidRDefault="008A5841" w:rsidP="00B765C1">
      <w:pPr>
        <w:rPr>
          <w:lang w:val="en-GB"/>
        </w:rPr>
      </w:pPr>
      <w:r w:rsidRPr="006A6D19">
        <w:rPr>
          <w:rStyle w:val="halvfet"/>
          <w:lang w:val="en-GB"/>
        </w:rPr>
        <w:t>Norway’s challenges</w:t>
      </w:r>
      <w:r w:rsidRPr="006A6D19">
        <w:rPr>
          <w:lang w:val="en-GB"/>
        </w:rPr>
        <w:t xml:space="preserve"> include several growing forms of inequality. Economic disparities in the housing market make it increasingly difficult for young people and low</w:t>
      </w:r>
      <w:r w:rsidRPr="006A6D19">
        <w:rPr>
          <w:lang w:val="en-GB"/>
        </w:rPr>
        <w:noBreakHyphen/>
        <w:t>income households to enter or remain securely in the market. Labour</w:t>
      </w:r>
      <w:r w:rsidRPr="006A6D19">
        <w:rPr>
          <w:lang w:val="en-GB"/>
        </w:rPr>
        <w:noBreakHyphen/>
        <w:t>market exclusion persists, particularly among young adults, immigrants, and people with health</w:t>
      </w:r>
      <w:r w:rsidRPr="006A6D19">
        <w:rPr>
          <w:lang w:val="en-GB"/>
        </w:rPr>
        <w:noBreakHyphen/>
        <w:t>related barriers. Rising prices and inflation affect low</w:t>
      </w:r>
      <w:r w:rsidRPr="006A6D19">
        <w:rPr>
          <w:lang w:val="en-GB"/>
        </w:rPr>
        <w:noBreakHyphen/>
        <w:t>income groups disproportionately, while wealth and capital continue to concentrate at the top. At the same time, the tax system has become less pro</w:t>
      </w:r>
      <w:r w:rsidRPr="006A6D19">
        <w:rPr>
          <w:lang w:val="en-GB"/>
        </w:rPr>
        <w:t>gressive for high</w:t>
      </w:r>
      <w:r w:rsidRPr="006A6D19">
        <w:rPr>
          <w:lang w:val="en-GB"/>
        </w:rPr>
        <w:noBreakHyphen/>
        <w:t>income and high</w:t>
      </w:r>
      <w:r w:rsidRPr="006A6D19">
        <w:rPr>
          <w:lang w:val="en-GB"/>
        </w:rPr>
        <w:noBreakHyphen/>
        <w:t>wealth groups, and social mobility appears to be stagnating. Additionally, the number of people living with persistently low income increased from 2023 to 2024, according to Statistics Norway.</w:t>
      </w:r>
    </w:p>
    <w:p w14:paraId="4EA77C6E" w14:textId="77777777" w:rsidR="008A5841" w:rsidRPr="006A6D19" w:rsidRDefault="008A5841" w:rsidP="006B301F">
      <w:pPr>
        <w:pStyle w:val="avsnitt-undertittel"/>
        <w:rPr>
          <w:lang w:val="en-GB"/>
        </w:rPr>
      </w:pPr>
      <w:r w:rsidRPr="006A6D19">
        <w:rPr>
          <w:lang w:val="en-GB"/>
        </w:rPr>
        <w:t>Norway must:</w:t>
      </w:r>
    </w:p>
    <w:p w14:paraId="0A5D5E0F" w14:textId="77777777" w:rsidR="008A5841" w:rsidRPr="006A6D19" w:rsidRDefault="008A5841" w:rsidP="00B765C1">
      <w:pPr>
        <w:pStyle w:val="Listebombe"/>
        <w:rPr>
          <w:lang w:val="en-GB"/>
        </w:rPr>
      </w:pPr>
      <w:r w:rsidRPr="006A6D19">
        <w:rPr>
          <w:lang w:val="en-GB"/>
        </w:rPr>
        <w:t>Take a leading role in the development and future implementation of the UN Framework Convention on International Tax Cooperation, ensuring that the perspectives and needs of developing countries are strongly prioritised.</w:t>
      </w:r>
    </w:p>
    <w:p w14:paraId="3AEE0D9D" w14:textId="77777777" w:rsidR="008A5841" w:rsidRPr="006A6D19" w:rsidRDefault="008A5841" w:rsidP="00B765C1">
      <w:pPr>
        <w:pStyle w:val="Listebombe"/>
        <w:rPr>
          <w:lang w:val="en-GB"/>
        </w:rPr>
      </w:pPr>
      <w:r w:rsidRPr="006A6D19">
        <w:rPr>
          <w:lang w:val="en-GB"/>
        </w:rPr>
        <w:t>Implement a strong and comprehensive framework for country</w:t>
      </w:r>
      <w:r w:rsidRPr="006A6D19">
        <w:rPr>
          <w:lang w:val="en-GB"/>
        </w:rPr>
        <w:noBreakHyphen/>
        <w:t>by</w:t>
      </w:r>
      <w:r w:rsidRPr="006A6D19">
        <w:rPr>
          <w:lang w:val="en-GB"/>
        </w:rPr>
        <w:noBreakHyphen/>
        <w:t>country reporting, including reporting from all jurisdictions, to address aggressive tax planning and reduce profit shifting to tax havens.</w:t>
      </w:r>
    </w:p>
    <w:p w14:paraId="598D014C" w14:textId="77777777" w:rsidR="008A5841" w:rsidRPr="006A6D19" w:rsidRDefault="008A5841" w:rsidP="00B765C1">
      <w:pPr>
        <w:pStyle w:val="Listebombe"/>
        <w:rPr>
          <w:lang w:val="en-GB"/>
        </w:rPr>
      </w:pPr>
      <w:r w:rsidRPr="006A6D19">
        <w:rPr>
          <w:lang w:val="en-GB"/>
        </w:rPr>
        <w:t>Ensure more progressive taxation at the top of the income and wealth distribution in Norway.</w:t>
      </w:r>
    </w:p>
    <w:p w14:paraId="1177A278" w14:textId="77777777" w:rsidR="008A5841" w:rsidRPr="006A6D19" w:rsidRDefault="008A5841" w:rsidP="00B765C1">
      <w:pPr>
        <w:pStyle w:val="Listebombe"/>
        <w:rPr>
          <w:lang w:val="en-GB"/>
        </w:rPr>
      </w:pPr>
      <w:r w:rsidRPr="006A6D19">
        <w:rPr>
          <w:lang w:val="en-GB"/>
        </w:rPr>
        <w:t>Strengthen measures to reduce labour</w:t>
      </w:r>
      <w:r w:rsidRPr="006A6D19">
        <w:rPr>
          <w:lang w:val="en-GB"/>
        </w:rPr>
        <w:noBreakHyphen/>
        <w:t>market exclusion, particularly targeting young people, immigrants, and individuals with health</w:t>
      </w:r>
      <w:r w:rsidRPr="006A6D19">
        <w:rPr>
          <w:lang w:val="en-GB"/>
        </w:rPr>
        <w:noBreakHyphen/>
        <w:t>related barriers to employment.</w:t>
      </w:r>
    </w:p>
    <w:p w14:paraId="35A0919D" w14:textId="77777777" w:rsidR="008A5841" w:rsidRPr="006A6D19" w:rsidRDefault="008A5841" w:rsidP="00B765C1">
      <w:pPr>
        <w:pStyle w:val="Listebombe"/>
        <w:rPr>
          <w:lang w:val="en-GB"/>
        </w:rPr>
      </w:pPr>
      <w:r w:rsidRPr="006A6D19">
        <w:rPr>
          <w:lang w:val="en-GB"/>
        </w:rPr>
        <w:t>Pursue policies that counter widening housing inequalities and increase access to affordable and secure housing.</w:t>
      </w:r>
    </w:p>
    <w:p w14:paraId="6BFEFA77" w14:textId="77777777" w:rsidR="008A5841" w:rsidRPr="006A6D19" w:rsidRDefault="008A5841" w:rsidP="00B765C1">
      <w:pPr>
        <w:pStyle w:val="Listebombe"/>
        <w:rPr>
          <w:lang w:val="en-GB"/>
        </w:rPr>
      </w:pPr>
      <w:r w:rsidRPr="006A6D19">
        <w:rPr>
          <w:lang w:val="en-GB"/>
        </w:rPr>
        <w:t>Intensify efforts to reduce social health inequalities, including through preventive measures, accessible services, and strong universal welfare schemes.</w:t>
      </w:r>
    </w:p>
    <w:p w14:paraId="2FDB9D8B" w14:textId="77777777" w:rsidR="008A5841" w:rsidRPr="006A6D19" w:rsidRDefault="008A5841" w:rsidP="00B765C1">
      <w:pPr>
        <w:pStyle w:val="Listebombe"/>
        <w:rPr>
          <w:lang w:val="en-GB"/>
        </w:rPr>
      </w:pPr>
      <w:r w:rsidRPr="006A6D19">
        <w:rPr>
          <w:lang w:val="en-GB"/>
        </w:rPr>
        <w:t>Ensure that social policies and welfare benefits adequately compensate low</w:t>
      </w:r>
      <w:r w:rsidRPr="006A6D19">
        <w:rPr>
          <w:lang w:val="en-GB"/>
        </w:rPr>
        <w:noBreakHyphen/>
        <w:t>income households for rising living costs.</w:t>
      </w:r>
    </w:p>
    <w:p w14:paraId="1737B025" w14:textId="77777777" w:rsidR="008A5841" w:rsidRPr="006A6D19" w:rsidRDefault="008A5841" w:rsidP="00B765C1">
      <w:pPr>
        <w:pStyle w:val="Listebombe"/>
        <w:rPr>
          <w:lang w:val="en-GB"/>
        </w:rPr>
      </w:pPr>
      <w:r w:rsidRPr="006A6D19">
        <w:rPr>
          <w:lang w:val="en-GB"/>
        </w:rPr>
        <w:t>Continue and strengthen interna</w:t>
      </w:r>
      <w:r w:rsidRPr="006A6D19">
        <w:rPr>
          <w:lang w:val="en-GB"/>
        </w:rPr>
        <w:t>tional efforts to reduce global inequality, especially through fair taxation, debt sustainability initiatives, and development financing.</w:t>
      </w:r>
    </w:p>
    <w:p w14:paraId="4E6D3C54" w14:textId="77777777" w:rsidR="008A5841" w:rsidRPr="006A6D19" w:rsidRDefault="008A5841" w:rsidP="00B765C1">
      <w:pPr>
        <w:rPr>
          <w:lang w:val="en-GB"/>
        </w:rPr>
      </w:pPr>
    </w:p>
    <w:p w14:paraId="4FB047E5" w14:textId="77777777" w:rsidR="008A5841" w:rsidRPr="006A6D19" w:rsidRDefault="008A5841" w:rsidP="001609FA">
      <w:pPr>
        <w:pStyle w:val="UnOverskrift3"/>
        <w:rPr>
          <w:lang w:val="en-GB"/>
        </w:rPr>
      </w:pPr>
      <w:r w:rsidRPr="006A6D19">
        <w:rPr>
          <w:lang w:val="en-GB"/>
        </w:rPr>
        <w:lastRenderedPageBreak/>
        <w:t>11 Sustainable Cities and Communities</w:t>
      </w:r>
    </w:p>
    <w:p w14:paraId="38C2ECD1" w14:textId="5B28EB38" w:rsidR="008A5841" w:rsidRPr="006A6D19" w:rsidRDefault="00BB2AF4" w:rsidP="001609FA">
      <w:pPr>
        <w:rPr>
          <w:lang w:val="en-GB"/>
        </w:rPr>
      </w:pPr>
      <w:r w:rsidRPr="006A6D19">
        <w:rPr>
          <w:noProof/>
          <w:lang w:val="en-GB"/>
        </w:rPr>
        <w:drawing>
          <wp:inline distT="0" distB="0" distL="0" distR="0" wp14:anchorId="6E45DC90" wp14:editId="399E19C1">
            <wp:extent cx="2857500" cy="2857500"/>
            <wp:effectExtent l="0" t="0" r="0" b="0"/>
            <wp:docPr id="1245150180" name="Bilde 53" descr="Goal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150180" name="Bilde 53" descr="Goal 1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2903D27D" w14:textId="77777777" w:rsidR="008A5841" w:rsidRPr="006A6D19" w:rsidRDefault="008A5841" w:rsidP="006B301F">
      <w:pPr>
        <w:pStyle w:val="Undertittel"/>
        <w:rPr>
          <w:lang w:val="en-GB"/>
        </w:rPr>
      </w:pPr>
      <w:r w:rsidRPr="006A6D19">
        <w:rPr>
          <w:lang w:val="en-GB"/>
        </w:rPr>
        <w:t>Government Assessment</w:t>
      </w:r>
    </w:p>
    <w:tbl>
      <w:tblPr>
        <w:tblW w:w="5000" w:type="pct"/>
        <w:tblCellMar>
          <w:left w:w="0" w:type="dxa"/>
          <w:right w:w="0" w:type="dxa"/>
        </w:tblCellMar>
        <w:tblLook w:val="0000" w:firstRow="0" w:lastRow="0" w:firstColumn="0" w:lastColumn="0" w:noHBand="0" w:noVBand="0"/>
      </w:tblPr>
      <w:tblGrid>
        <w:gridCol w:w="1320"/>
        <w:gridCol w:w="7485"/>
        <w:gridCol w:w="1645"/>
      </w:tblGrid>
      <w:tr w:rsidR="00000000" w:rsidRPr="006A6D19" w14:paraId="0ED574EC" w14:textId="77777777" w:rsidTr="001609FA">
        <w:tblPrEx>
          <w:tblCellMar>
            <w:top w:w="0" w:type="dxa"/>
            <w:left w:w="0" w:type="dxa"/>
            <w:bottom w:w="0" w:type="dxa"/>
            <w:right w:w="0" w:type="dxa"/>
          </w:tblCellMar>
        </w:tblPrEx>
        <w:trPr>
          <w:trHeight w:val="60"/>
        </w:trPr>
        <w:tc>
          <w:tcPr>
            <w:tcW w:w="67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2AEC09B" w14:textId="77777777" w:rsidR="008A5841" w:rsidRPr="006A6D19" w:rsidRDefault="008A5841" w:rsidP="00B765C1">
            <w:pPr>
              <w:rPr>
                <w:lang w:val="en-GB"/>
              </w:rPr>
            </w:pPr>
            <w:r w:rsidRPr="006A6D19">
              <w:rPr>
                <w:lang w:val="en-GB"/>
              </w:rPr>
              <w:t xml:space="preserve">11.1 </w:t>
            </w:r>
          </w:p>
        </w:tc>
        <w:tc>
          <w:tcPr>
            <w:tcW w:w="362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51FC0D1" w14:textId="77777777" w:rsidR="008A5841" w:rsidRPr="006A6D19" w:rsidRDefault="008A5841" w:rsidP="00B765C1">
            <w:pPr>
              <w:rPr>
                <w:lang w:val="en-GB"/>
              </w:rPr>
            </w:pPr>
            <w:r w:rsidRPr="006A6D19">
              <w:rPr>
                <w:lang w:val="en-GB"/>
              </w:rPr>
              <w:t xml:space="preserve">The housing market and rental market are under pressure. A record number of refugees have been settled in recent years. Low construction activity reduces the supply of affordable houses and drives prices up, making it harder for vulnerable groups to find and keep suitable housing. The number of homeless people is low but increasing. </w:t>
            </w:r>
          </w:p>
        </w:tc>
        <w:tc>
          <w:tcPr>
            <w:tcW w:w="70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E34E8D8" w14:textId="5235E907" w:rsidR="008A5841" w:rsidRPr="006A6D19" w:rsidRDefault="008D2934" w:rsidP="00B765C1">
            <w:pPr>
              <w:rPr>
                <w:lang w:val="en-GB"/>
              </w:rPr>
            </w:pPr>
            <w:r>
              <w:rPr>
                <w:noProof/>
              </w:rPr>
              <w:drawing>
                <wp:inline distT="0" distB="0" distL="0" distR="0" wp14:anchorId="793996FE" wp14:editId="31628C3B">
                  <wp:extent cx="990600" cy="447675"/>
                  <wp:effectExtent l="0" t="0" r="0" b="9525"/>
                  <wp:docPr id="1450304246" name="Bilde 8" descr="Target not met. Progress neg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251433" name="Bilde 8" descr="Target not met. Progress negativ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4D21F81B" w14:textId="77777777" w:rsidTr="001609FA">
        <w:tblPrEx>
          <w:tblCellMar>
            <w:top w:w="0" w:type="dxa"/>
            <w:left w:w="0" w:type="dxa"/>
            <w:bottom w:w="0" w:type="dxa"/>
            <w:right w:w="0" w:type="dxa"/>
          </w:tblCellMar>
        </w:tblPrEx>
        <w:trPr>
          <w:trHeight w:val="60"/>
        </w:trPr>
        <w:tc>
          <w:tcPr>
            <w:tcW w:w="67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DF33C08" w14:textId="77777777" w:rsidR="008A5841" w:rsidRPr="006A6D19" w:rsidRDefault="008A5841" w:rsidP="00B765C1">
            <w:pPr>
              <w:rPr>
                <w:lang w:val="en-GB"/>
              </w:rPr>
            </w:pPr>
            <w:r w:rsidRPr="006A6D19">
              <w:rPr>
                <w:lang w:val="en-GB"/>
              </w:rPr>
              <w:t xml:space="preserve">11.2 </w:t>
            </w:r>
          </w:p>
        </w:tc>
        <w:tc>
          <w:tcPr>
            <w:tcW w:w="362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6752BE85" w14:textId="77777777" w:rsidR="008A5841" w:rsidRPr="006A6D19" w:rsidRDefault="008A5841" w:rsidP="00B765C1">
            <w:pPr>
              <w:rPr>
                <w:lang w:val="en-GB"/>
              </w:rPr>
            </w:pPr>
            <w:r w:rsidRPr="006A6D19">
              <w:rPr>
                <w:lang w:val="en-GB"/>
              </w:rPr>
              <w:t xml:space="preserve">Norway has a well-developed public transport system in certain urban areas, but there are large differences both between cities and between urban and rural areas. All new transport infrastructure must be built with universal design. A key challenge in the transport sector is ensuring universal design in existing infrastructure and vehicles. </w:t>
            </w:r>
          </w:p>
        </w:tc>
        <w:tc>
          <w:tcPr>
            <w:tcW w:w="70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6C63D652" w14:textId="2B2DEDC1" w:rsidR="008A5841" w:rsidRPr="006A6D19" w:rsidRDefault="008D2934" w:rsidP="00B765C1">
            <w:pPr>
              <w:rPr>
                <w:lang w:val="en-GB"/>
              </w:rPr>
            </w:pPr>
            <w:r>
              <w:rPr>
                <w:noProof/>
              </w:rPr>
              <w:drawing>
                <wp:inline distT="0" distB="0" distL="0" distR="0" wp14:anchorId="1C06C481" wp14:editId="4AAD55F7">
                  <wp:extent cx="990600" cy="447675"/>
                  <wp:effectExtent l="0" t="0" r="0" b="9525"/>
                  <wp:docPr id="1035149836" name="Bilde 3" descr="Close to target. Progress i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804348" name="Bilde 3" descr="Close to target. Progress is positiv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1F2DFD0B" w14:textId="77777777" w:rsidTr="001609FA">
        <w:tblPrEx>
          <w:tblCellMar>
            <w:top w:w="0" w:type="dxa"/>
            <w:left w:w="0" w:type="dxa"/>
            <w:bottom w:w="0" w:type="dxa"/>
            <w:right w:w="0" w:type="dxa"/>
          </w:tblCellMar>
        </w:tblPrEx>
        <w:trPr>
          <w:trHeight w:val="60"/>
        </w:trPr>
        <w:tc>
          <w:tcPr>
            <w:tcW w:w="67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B380870" w14:textId="77777777" w:rsidR="008A5841" w:rsidRPr="006A6D19" w:rsidRDefault="008A5841" w:rsidP="00B765C1">
            <w:pPr>
              <w:rPr>
                <w:lang w:val="en-GB"/>
              </w:rPr>
            </w:pPr>
            <w:r w:rsidRPr="006A6D19">
              <w:rPr>
                <w:lang w:val="en-GB"/>
              </w:rPr>
              <w:t xml:space="preserve">11.3 </w:t>
            </w:r>
          </w:p>
        </w:tc>
        <w:tc>
          <w:tcPr>
            <w:tcW w:w="362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FA8885B" w14:textId="77777777" w:rsidR="008A5841" w:rsidRPr="006A6D19" w:rsidRDefault="008A5841" w:rsidP="00B765C1">
            <w:pPr>
              <w:rPr>
                <w:lang w:val="en-GB"/>
              </w:rPr>
            </w:pPr>
            <w:r w:rsidRPr="006A6D19">
              <w:rPr>
                <w:lang w:val="en-GB"/>
              </w:rPr>
              <w:t>The Planning and Building Act and how it is practiced need to be developed to meet ambitious goals related to climate change, nature management, and social challenges.</w:t>
            </w:r>
          </w:p>
        </w:tc>
        <w:tc>
          <w:tcPr>
            <w:tcW w:w="70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F83D278" w14:textId="633445CA" w:rsidR="008A5841" w:rsidRPr="006A6D19" w:rsidRDefault="007B3BCE" w:rsidP="00B765C1">
            <w:pPr>
              <w:rPr>
                <w:lang w:val="en-GB"/>
              </w:rPr>
            </w:pPr>
            <w:r>
              <w:rPr>
                <w:noProof/>
              </w:rPr>
              <w:drawing>
                <wp:inline distT="0" distB="0" distL="0" distR="0" wp14:anchorId="676647F9" wp14:editId="59E40362">
                  <wp:extent cx="990600" cy="447675"/>
                  <wp:effectExtent l="0" t="0" r="0" b="9525"/>
                  <wp:docPr id="1313565882" name="Bilde 1" descr="Close to targ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34566" name="Bilde 1" descr="Close to target. Progress stagn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4E9F7AF3" w14:textId="77777777" w:rsidTr="001609FA">
        <w:tblPrEx>
          <w:tblCellMar>
            <w:top w:w="0" w:type="dxa"/>
            <w:left w:w="0" w:type="dxa"/>
            <w:bottom w:w="0" w:type="dxa"/>
            <w:right w:w="0" w:type="dxa"/>
          </w:tblCellMar>
        </w:tblPrEx>
        <w:trPr>
          <w:trHeight w:val="60"/>
        </w:trPr>
        <w:tc>
          <w:tcPr>
            <w:tcW w:w="67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251525B" w14:textId="77777777" w:rsidR="008A5841" w:rsidRPr="006A6D19" w:rsidRDefault="008A5841" w:rsidP="00B765C1">
            <w:pPr>
              <w:rPr>
                <w:lang w:val="en-GB"/>
              </w:rPr>
            </w:pPr>
            <w:r w:rsidRPr="006A6D19">
              <w:rPr>
                <w:lang w:val="en-GB"/>
              </w:rPr>
              <w:t xml:space="preserve">11.4 </w:t>
            </w:r>
          </w:p>
        </w:tc>
        <w:tc>
          <w:tcPr>
            <w:tcW w:w="362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4D15236" w14:textId="77777777" w:rsidR="008A5841" w:rsidRPr="006A6D19" w:rsidRDefault="008A5841" w:rsidP="00B765C1">
            <w:pPr>
              <w:rPr>
                <w:lang w:val="en-GB"/>
              </w:rPr>
            </w:pPr>
            <w:r w:rsidRPr="006A6D19">
              <w:rPr>
                <w:lang w:val="en-GB"/>
              </w:rPr>
              <w:t>There are well functioning management systems for cultural and natural heritage, but changes in land use and climate change put pressure on these resources.</w:t>
            </w:r>
          </w:p>
        </w:tc>
        <w:tc>
          <w:tcPr>
            <w:tcW w:w="70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D4BC3B3" w14:textId="5F03C649" w:rsidR="008A5841" w:rsidRPr="006A6D19" w:rsidRDefault="00541482" w:rsidP="00B765C1">
            <w:pPr>
              <w:rPr>
                <w:lang w:val="en-GB"/>
              </w:rPr>
            </w:pPr>
            <w:r>
              <w:rPr>
                <w:noProof/>
              </w:rPr>
              <w:drawing>
                <wp:inline distT="0" distB="0" distL="0" distR="0" wp14:anchorId="2EDABB82" wp14:editId="18582DAA">
                  <wp:extent cx="990600" cy="447675"/>
                  <wp:effectExtent l="0" t="0" r="0" b="9525"/>
                  <wp:docPr id="1562438845" name="Bilde 4" descr="Target m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11348" name="Bilde 4" descr="Target met. Progress stagn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24992C08" w14:textId="77777777" w:rsidTr="001609FA">
        <w:tblPrEx>
          <w:tblCellMar>
            <w:top w:w="0" w:type="dxa"/>
            <w:left w:w="0" w:type="dxa"/>
            <w:bottom w:w="0" w:type="dxa"/>
            <w:right w:w="0" w:type="dxa"/>
          </w:tblCellMar>
        </w:tblPrEx>
        <w:trPr>
          <w:trHeight w:val="60"/>
        </w:trPr>
        <w:tc>
          <w:tcPr>
            <w:tcW w:w="67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73C9CB5" w14:textId="77777777" w:rsidR="008A5841" w:rsidRPr="006A6D19" w:rsidRDefault="008A5841" w:rsidP="00B765C1">
            <w:pPr>
              <w:rPr>
                <w:lang w:val="en-GB"/>
              </w:rPr>
            </w:pPr>
            <w:r w:rsidRPr="006A6D19">
              <w:rPr>
                <w:lang w:val="en-GB"/>
              </w:rPr>
              <w:t xml:space="preserve">11.5 </w:t>
            </w:r>
          </w:p>
        </w:tc>
        <w:tc>
          <w:tcPr>
            <w:tcW w:w="362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B54C330" w14:textId="77777777" w:rsidR="008A5841" w:rsidRPr="006A6D19" w:rsidRDefault="008A5841" w:rsidP="00B765C1">
            <w:pPr>
              <w:rPr>
                <w:lang w:val="en-GB"/>
              </w:rPr>
            </w:pPr>
            <w:r w:rsidRPr="006A6D19">
              <w:rPr>
                <w:lang w:val="en-GB"/>
              </w:rPr>
              <w:t xml:space="preserve">There are no complete overview of deaths and people affected by disaster in Norway. The numbers remain low and stable over time. Since 2015, the cost of natural hazard–related damages in Norway have </w:t>
            </w:r>
            <w:r w:rsidRPr="006A6D19">
              <w:rPr>
                <w:lang w:val="en-GB"/>
              </w:rPr>
              <w:lastRenderedPageBreak/>
              <w:t>increased significantly. The trend has accelerated in recent years, driven mainly by extreme rainfall, flooding, storms, and landslides.</w:t>
            </w:r>
          </w:p>
        </w:tc>
        <w:tc>
          <w:tcPr>
            <w:tcW w:w="70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0DD0F6CF" w14:textId="459792D2" w:rsidR="008A5841" w:rsidRPr="006A6D19" w:rsidRDefault="007B3BCE" w:rsidP="00B765C1">
            <w:pPr>
              <w:rPr>
                <w:lang w:val="en-GB"/>
              </w:rPr>
            </w:pPr>
            <w:r>
              <w:rPr>
                <w:noProof/>
              </w:rPr>
              <w:lastRenderedPageBreak/>
              <w:drawing>
                <wp:inline distT="0" distB="0" distL="0" distR="0" wp14:anchorId="62E849C5" wp14:editId="0462EF59">
                  <wp:extent cx="990600" cy="447675"/>
                  <wp:effectExtent l="0" t="0" r="0" b="9525"/>
                  <wp:docPr id="245710246" name="Bilde 2" descr="Close to target. Progress is neg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10246" name="Bilde 2" descr="Close to target. Progress is negativ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5E9F3119" w14:textId="77777777" w:rsidTr="001609FA">
        <w:tblPrEx>
          <w:tblCellMar>
            <w:top w:w="0" w:type="dxa"/>
            <w:left w:w="0" w:type="dxa"/>
            <w:bottom w:w="0" w:type="dxa"/>
            <w:right w:w="0" w:type="dxa"/>
          </w:tblCellMar>
        </w:tblPrEx>
        <w:trPr>
          <w:trHeight w:val="60"/>
        </w:trPr>
        <w:tc>
          <w:tcPr>
            <w:tcW w:w="67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33AF7AA" w14:textId="77777777" w:rsidR="008A5841" w:rsidRPr="006A6D19" w:rsidRDefault="008A5841" w:rsidP="00B765C1">
            <w:pPr>
              <w:rPr>
                <w:lang w:val="en-GB"/>
              </w:rPr>
            </w:pPr>
            <w:r w:rsidRPr="006A6D19">
              <w:rPr>
                <w:lang w:val="en-GB"/>
              </w:rPr>
              <w:t xml:space="preserve">11.6 </w:t>
            </w:r>
          </w:p>
        </w:tc>
        <w:tc>
          <w:tcPr>
            <w:tcW w:w="362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83BF68C" w14:textId="77777777" w:rsidR="008A5841" w:rsidRPr="006A6D19" w:rsidRDefault="008A5841" w:rsidP="00B765C1">
            <w:pPr>
              <w:rPr>
                <w:lang w:val="en-GB"/>
              </w:rPr>
            </w:pPr>
            <w:r w:rsidRPr="006A6D19">
              <w:rPr>
                <w:lang w:val="en-GB"/>
              </w:rPr>
              <w:t>Urban settlements and cities periodically experience challenges with bad air quality that affect public health.</w:t>
            </w:r>
          </w:p>
        </w:tc>
        <w:tc>
          <w:tcPr>
            <w:tcW w:w="70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F6E1EC5" w14:textId="25558D2E" w:rsidR="008A5841" w:rsidRPr="006A6D19" w:rsidRDefault="007B3BCE" w:rsidP="00B765C1">
            <w:pPr>
              <w:rPr>
                <w:lang w:val="en-GB"/>
              </w:rPr>
            </w:pPr>
            <w:r>
              <w:rPr>
                <w:noProof/>
              </w:rPr>
              <w:drawing>
                <wp:inline distT="0" distB="0" distL="0" distR="0" wp14:anchorId="5E15D77B" wp14:editId="06F86540">
                  <wp:extent cx="990600" cy="447675"/>
                  <wp:effectExtent l="0" t="0" r="0" b="9525"/>
                  <wp:docPr id="1056048221" name="Bilde 1" descr="Close to targ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34566" name="Bilde 1" descr="Close to target. Progress stagn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1204D39C" w14:textId="77777777" w:rsidTr="001609FA">
        <w:tblPrEx>
          <w:tblCellMar>
            <w:top w:w="0" w:type="dxa"/>
            <w:left w:w="0" w:type="dxa"/>
            <w:bottom w:w="0" w:type="dxa"/>
            <w:right w:w="0" w:type="dxa"/>
          </w:tblCellMar>
        </w:tblPrEx>
        <w:trPr>
          <w:trHeight w:val="60"/>
        </w:trPr>
        <w:tc>
          <w:tcPr>
            <w:tcW w:w="67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C2B7B81" w14:textId="77777777" w:rsidR="008A5841" w:rsidRPr="006A6D19" w:rsidRDefault="008A5841" w:rsidP="00B765C1">
            <w:pPr>
              <w:rPr>
                <w:lang w:val="en-GB"/>
              </w:rPr>
            </w:pPr>
            <w:r w:rsidRPr="006A6D19">
              <w:rPr>
                <w:lang w:val="en-GB"/>
              </w:rPr>
              <w:t xml:space="preserve">11.7 </w:t>
            </w:r>
          </w:p>
        </w:tc>
        <w:tc>
          <w:tcPr>
            <w:tcW w:w="362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B2DBB29" w14:textId="77777777" w:rsidR="008A5841" w:rsidRPr="006A6D19" w:rsidRDefault="008A5841" w:rsidP="00B765C1">
            <w:pPr>
              <w:rPr>
                <w:lang w:val="en-GB"/>
              </w:rPr>
            </w:pPr>
            <w:r w:rsidRPr="006A6D19">
              <w:rPr>
                <w:lang w:val="en-GB"/>
              </w:rPr>
              <w:t>Safe, open, and accessible areas for public use are relatively widespread.</w:t>
            </w:r>
          </w:p>
        </w:tc>
        <w:tc>
          <w:tcPr>
            <w:tcW w:w="70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471EFAF" w14:textId="7E2CA0F3" w:rsidR="008A5841" w:rsidRPr="006A6D19" w:rsidRDefault="008D2934" w:rsidP="00B765C1">
            <w:pPr>
              <w:rPr>
                <w:lang w:val="en-GB"/>
              </w:rPr>
            </w:pPr>
            <w:r>
              <w:rPr>
                <w:noProof/>
              </w:rPr>
              <w:drawing>
                <wp:inline distT="0" distB="0" distL="0" distR="0" wp14:anchorId="11278071" wp14:editId="337733C3">
                  <wp:extent cx="990600" cy="447675"/>
                  <wp:effectExtent l="0" t="0" r="0" b="9525"/>
                  <wp:docPr id="1648713694" name="Bilde 3" descr="Close to target. Progress i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804348" name="Bilde 3" descr="Close to target. Progress is positiv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4195E7B2" w14:textId="77777777" w:rsidTr="001609FA">
        <w:tblPrEx>
          <w:tblCellMar>
            <w:top w:w="0" w:type="dxa"/>
            <w:left w:w="0" w:type="dxa"/>
            <w:bottom w:w="0" w:type="dxa"/>
            <w:right w:w="0" w:type="dxa"/>
          </w:tblCellMar>
        </w:tblPrEx>
        <w:trPr>
          <w:trHeight w:val="60"/>
        </w:trPr>
        <w:tc>
          <w:tcPr>
            <w:tcW w:w="67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E36C2A4" w14:textId="77777777" w:rsidR="008A5841" w:rsidRPr="006A6D19" w:rsidRDefault="008A5841" w:rsidP="00B765C1">
            <w:pPr>
              <w:rPr>
                <w:lang w:val="en-GB"/>
              </w:rPr>
            </w:pPr>
            <w:r w:rsidRPr="006A6D19">
              <w:rPr>
                <w:lang w:val="en-GB"/>
              </w:rPr>
              <w:t xml:space="preserve">11.A </w:t>
            </w:r>
          </w:p>
        </w:tc>
        <w:tc>
          <w:tcPr>
            <w:tcW w:w="362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75D5E58A" w14:textId="77777777" w:rsidR="008A5841" w:rsidRPr="006A6D19" w:rsidRDefault="008A5841" w:rsidP="00B765C1">
            <w:pPr>
              <w:rPr>
                <w:lang w:val="en-GB"/>
              </w:rPr>
            </w:pPr>
            <w:r w:rsidRPr="006A6D19">
              <w:rPr>
                <w:lang w:val="en-GB"/>
              </w:rPr>
              <w:t>The legal framework for regional planning is formalised in The Planning and Building Act. Furthermore, regional planning is emphasised in national expectations regarding planning and in the central government planning guidelines for land use and mobility.</w:t>
            </w:r>
          </w:p>
        </w:tc>
        <w:tc>
          <w:tcPr>
            <w:tcW w:w="70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9D3E8C7" w14:textId="3CC8CA2E" w:rsidR="008A5841" w:rsidRPr="006A6D19" w:rsidRDefault="007B3BCE" w:rsidP="00B765C1">
            <w:pPr>
              <w:rPr>
                <w:lang w:val="en-GB"/>
              </w:rPr>
            </w:pPr>
            <w:r>
              <w:rPr>
                <w:noProof/>
              </w:rPr>
              <w:drawing>
                <wp:inline distT="0" distB="0" distL="0" distR="0" wp14:anchorId="7E01130F" wp14:editId="0A452A2D">
                  <wp:extent cx="990600" cy="447675"/>
                  <wp:effectExtent l="0" t="0" r="0" b="9525"/>
                  <wp:docPr id="1803209525" name="Bilde 1" descr="Close to targ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34566" name="Bilde 1" descr="Close to target. Progress stagn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79EEA533" w14:textId="77777777" w:rsidTr="001609FA">
        <w:tblPrEx>
          <w:tblCellMar>
            <w:top w:w="0" w:type="dxa"/>
            <w:left w:w="0" w:type="dxa"/>
            <w:bottom w:w="0" w:type="dxa"/>
            <w:right w:w="0" w:type="dxa"/>
          </w:tblCellMar>
        </w:tblPrEx>
        <w:trPr>
          <w:trHeight w:val="60"/>
        </w:trPr>
        <w:tc>
          <w:tcPr>
            <w:tcW w:w="67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EE6637E" w14:textId="77777777" w:rsidR="008A5841" w:rsidRPr="006A6D19" w:rsidRDefault="008A5841" w:rsidP="00B765C1">
            <w:pPr>
              <w:rPr>
                <w:lang w:val="en-GB"/>
              </w:rPr>
            </w:pPr>
            <w:r w:rsidRPr="006A6D19">
              <w:rPr>
                <w:lang w:val="en-GB"/>
              </w:rPr>
              <w:t xml:space="preserve">11.B </w:t>
            </w:r>
          </w:p>
        </w:tc>
        <w:tc>
          <w:tcPr>
            <w:tcW w:w="362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783ABB8" w14:textId="77777777" w:rsidR="008A5841" w:rsidRPr="006A6D19" w:rsidRDefault="008A5841" w:rsidP="00B765C1">
            <w:pPr>
              <w:rPr>
                <w:lang w:val="en-GB"/>
              </w:rPr>
            </w:pPr>
            <w:r w:rsidRPr="006A6D19">
              <w:rPr>
                <w:lang w:val="en-GB"/>
              </w:rPr>
              <w:t>The 2025 Municipal Survey shows that 99% of Norwegian municipalities report having a comprehensive risk and vulnerability analysis (ROS). There is a positive development in the number of municipalities with an updated ROS, however only 68 % of the municipalities meet all the minimum requirements for such analyses.</w:t>
            </w:r>
          </w:p>
        </w:tc>
        <w:tc>
          <w:tcPr>
            <w:tcW w:w="70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715F8E9A" w14:textId="481F192B" w:rsidR="008A5841" w:rsidRPr="006A6D19" w:rsidRDefault="00541482" w:rsidP="00B765C1">
            <w:pPr>
              <w:rPr>
                <w:lang w:val="en-GB"/>
              </w:rPr>
            </w:pPr>
            <w:r>
              <w:rPr>
                <w:noProof/>
              </w:rPr>
              <w:drawing>
                <wp:inline distT="0" distB="0" distL="0" distR="0" wp14:anchorId="6C155F42" wp14:editId="0AF4629D">
                  <wp:extent cx="990600" cy="447675"/>
                  <wp:effectExtent l="0" t="0" r="0" b="9525"/>
                  <wp:docPr id="1681400872" name="Bilde 6" descr="Target met. Progres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2134" name="Bilde 6" descr="Target met. Progress positiv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567DB576" w14:textId="77777777" w:rsidTr="001609FA">
        <w:tblPrEx>
          <w:tblCellMar>
            <w:top w:w="0" w:type="dxa"/>
            <w:left w:w="0" w:type="dxa"/>
            <w:bottom w:w="0" w:type="dxa"/>
            <w:right w:w="0" w:type="dxa"/>
          </w:tblCellMar>
        </w:tblPrEx>
        <w:trPr>
          <w:trHeight w:val="60"/>
        </w:trPr>
        <w:tc>
          <w:tcPr>
            <w:tcW w:w="67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3448E16" w14:textId="77777777" w:rsidR="008A5841" w:rsidRPr="006A6D19" w:rsidRDefault="008A5841" w:rsidP="00B765C1">
            <w:pPr>
              <w:rPr>
                <w:lang w:val="en-GB"/>
              </w:rPr>
            </w:pPr>
            <w:r w:rsidRPr="006A6D19">
              <w:rPr>
                <w:lang w:val="en-GB"/>
              </w:rPr>
              <w:t xml:space="preserve">11.C </w:t>
            </w:r>
          </w:p>
        </w:tc>
        <w:tc>
          <w:tcPr>
            <w:tcW w:w="362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080BC5E0" w14:textId="77777777" w:rsidR="008A5841" w:rsidRPr="006A6D19" w:rsidRDefault="008A5841" w:rsidP="00B765C1">
            <w:pPr>
              <w:rPr>
                <w:lang w:val="en-GB"/>
              </w:rPr>
            </w:pPr>
            <w:r w:rsidRPr="006A6D19">
              <w:rPr>
                <w:lang w:val="en-GB"/>
              </w:rPr>
              <w:t xml:space="preserve">Norwegian support to least developed countries is channelled through multinational development banks and programs, including the World Bank, WTO and UNESCO, and UN-Habitat projects in Ghana and Mozambique. </w:t>
            </w:r>
          </w:p>
        </w:tc>
        <w:tc>
          <w:tcPr>
            <w:tcW w:w="70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6B2DAB9" w14:textId="686EA381" w:rsidR="008A5841" w:rsidRPr="006A6D19" w:rsidRDefault="007B3BCE" w:rsidP="00B765C1">
            <w:pPr>
              <w:rPr>
                <w:lang w:val="en-GB"/>
              </w:rPr>
            </w:pPr>
            <w:r>
              <w:rPr>
                <w:noProof/>
              </w:rPr>
              <w:drawing>
                <wp:inline distT="0" distB="0" distL="0" distR="0" wp14:anchorId="77838671" wp14:editId="0BC9A38D">
                  <wp:extent cx="990600" cy="447675"/>
                  <wp:effectExtent l="0" t="0" r="0" b="9525"/>
                  <wp:docPr id="486985982" name="Bilde 1" descr="Close to targ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34566" name="Bilde 1" descr="Close to target. Progress stagn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bl>
    <w:p w14:paraId="2FA749EF" w14:textId="77777777" w:rsidR="008A5841" w:rsidRPr="006A6D19" w:rsidRDefault="008A5841" w:rsidP="00B765C1">
      <w:pPr>
        <w:rPr>
          <w:lang w:val="en-GB"/>
        </w:rPr>
      </w:pPr>
    </w:p>
    <w:p w14:paraId="3FCC160A" w14:textId="77777777" w:rsidR="008A5841" w:rsidRPr="006A6D19" w:rsidRDefault="008A5841" w:rsidP="00B765C1">
      <w:pPr>
        <w:rPr>
          <w:lang w:val="en-GB"/>
        </w:rPr>
      </w:pPr>
      <w:r w:rsidRPr="006A6D19">
        <w:rPr>
          <w:rStyle w:val="halvfet"/>
          <w:lang w:val="en-GB"/>
        </w:rPr>
        <w:t>General Status:</w:t>
      </w:r>
      <w:r w:rsidRPr="006A6D19">
        <w:rPr>
          <w:lang w:val="en-GB"/>
        </w:rPr>
        <w:t xml:space="preserve"> 83 percent of Norwegians live in cities and urban areas. More than 80 percent own their own home, but high prices are making housing less affordable. The majority experience a high standard of living with access to basic health and welfare services, waste management, transport systems, and good air quality. There is room for improvement for people with disabilities and strengthening crisis management in response to increased risk of floods, landslides, or pandemics.</w:t>
      </w:r>
    </w:p>
    <w:p w14:paraId="13764AAA" w14:textId="77777777" w:rsidR="008A5841" w:rsidRPr="006A6D19" w:rsidRDefault="008A5841" w:rsidP="00B765C1">
      <w:pPr>
        <w:rPr>
          <w:lang w:val="en-GB"/>
        </w:rPr>
      </w:pPr>
      <w:r w:rsidRPr="006A6D19">
        <w:rPr>
          <w:rStyle w:val="halvfet"/>
          <w:lang w:val="en-GB"/>
        </w:rPr>
        <w:t>Main Achievements</w:t>
      </w:r>
      <w:r w:rsidRPr="006A6D19">
        <w:rPr>
          <w:lang w:val="en-GB"/>
        </w:rPr>
        <w:t>: Cities and urban areas have low levels of air pollution, and local air quality has improved over the past decade. The number of people experiencing premature death due to road traffic emissions is among the lowest in Europe.</w:t>
      </w:r>
    </w:p>
    <w:p w14:paraId="3C1B04BF" w14:textId="77777777" w:rsidR="008A5841" w:rsidRPr="006A6D19" w:rsidRDefault="008A5841" w:rsidP="00B765C1">
      <w:pPr>
        <w:rPr>
          <w:lang w:val="en-GB"/>
        </w:rPr>
      </w:pPr>
      <w:r w:rsidRPr="006A6D19">
        <w:rPr>
          <w:rStyle w:val="halvfet"/>
          <w:lang w:val="en-GB"/>
        </w:rPr>
        <w:t>Norway’s Challenges</w:t>
      </w:r>
      <w:r w:rsidRPr="006A6D19">
        <w:rPr>
          <w:lang w:val="en-GB"/>
        </w:rPr>
        <w:t xml:space="preserve">: Increased risk of flooding, landslides, and heatwaves affects infrastructure and land use. Growing land-use pressures in built-up areas lead to more conflicts between development, protecting green spaces and outdoor areas, and managing climate-related risks, while increasing pressure on coastal areas, creates similar conflicts with nature, outdoor recreation, and climate adaptation </w:t>
      </w:r>
      <w:r w:rsidRPr="006A6D19">
        <w:rPr>
          <w:lang w:val="en-GB"/>
        </w:rPr>
        <w:lastRenderedPageBreak/>
        <w:t>needs. More remote areas are experiencing population decline combined with an increasing share of older residents.</w:t>
      </w:r>
    </w:p>
    <w:p w14:paraId="7391D492" w14:textId="77777777" w:rsidR="008A5841" w:rsidRPr="006A6D19" w:rsidRDefault="008A5841" w:rsidP="00B765C1">
      <w:pPr>
        <w:rPr>
          <w:lang w:val="en-GB"/>
        </w:rPr>
      </w:pPr>
      <w:r w:rsidRPr="006A6D19">
        <w:rPr>
          <w:lang w:val="en-GB"/>
        </w:rPr>
        <w:t>Ensuring a</w:t>
      </w:r>
      <w:r w:rsidRPr="006A6D19">
        <w:rPr>
          <w:lang w:val="en-GB"/>
        </w:rPr>
        <w:t>ffordable, adequate, and accessible housing for low-income groups, older people, and people with disabilities is a challenge, particularly in larger cities, but also in rural municipalities where the housing supply may be limited. Low levels of housing construction over time, combined with rising prices and population growth, implies a need for increased housing construction, particularly in larger cities. Larger cities experience higher levels of air pollution. Some urban areas face challenges related to c</w:t>
      </w:r>
      <w:r w:rsidRPr="006A6D19">
        <w:rPr>
          <w:lang w:val="en-GB"/>
        </w:rPr>
        <w:t>oncentrations of poor socioeconomic conditions and crime.</w:t>
      </w:r>
    </w:p>
    <w:p w14:paraId="3C94E64A" w14:textId="77777777" w:rsidR="008A5841" w:rsidRPr="006A6D19" w:rsidRDefault="008A5841" w:rsidP="00B765C1">
      <w:pPr>
        <w:rPr>
          <w:lang w:val="en-GB"/>
        </w:rPr>
      </w:pPr>
      <w:r w:rsidRPr="006A6D19">
        <w:rPr>
          <w:rStyle w:val="halvfet"/>
          <w:lang w:val="en-GB"/>
        </w:rPr>
        <w:t>Global</w:t>
      </w:r>
      <w:r w:rsidRPr="006A6D19">
        <w:rPr>
          <w:rStyle w:val="halvfet"/>
          <w:rFonts w:ascii="Arial" w:hAnsi="Arial" w:cs="Arial"/>
          <w:lang w:val="en-GB"/>
        </w:rPr>
        <w:t> </w:t>
      </w:r>
      <w:r w:rsidRPr="006A6D19">
        <w:rPr>
          <w:rStyle w:val="halvfet"/>
          <w:lang w:val="en-GB"/>
        </w:rPr>
        <w:t>Responsibility</w:t>
      </w:r>
      <w:r w:rsidRPr="006A6D19">
        <w:rPr>
          <w:lang w:val="en-GB"/>
        </w:rPr>
        <w:t>: Norwegian support for reducing emissions in cities and urban areas is channelled through the World Trade Organization, the World Bank, and the Climate and Clean Air Coalition. Norway is also an active contributor to UNESCO, both financially and through activities that support the implementation of the conventions Norway has joined – particularly the World Heritage Convention protecting cultural and natural heritage. Norway supports capacity building and the preservation of natural and cultural heritage gl</w:t>
      </w:r>
      <w:r w:rsidRPr="006A6D19">
        <w:rPr>
          <w:lang w:val="en-GB"/>
        </w:rPr>
        <w:t>obally through initiatives such as the World Heritage Leadership Programme, as well as measures promoting smart cities, climate adaptation, and improved living conditions for internally displaced people.</w:t>
      </w:r>
    </w:p>
    <w:p w14:paraId="37538B76" w14:textId="77777777" w:rsidR="008A5841" w:rsidRPr="006A6D19" w:rsidRDefault="008A5841" w:rsidP="006B301F">
      <w:pPr>
        <w:pStyle w:val="avsnitt-undertittel"/>
        <w:rPr>
          <w:lang w:val="en-GB"/>
        </w:rPr>
      </w:pPr>
      <w:r w:rsidRPr="006A6D19">
        <w:rPr>
          <w:lang w:val="en-GB"/>
        </w:rPr>
        <w:t>Main Policy Initiatives 2021–2026</w:t>
      </w:r>
    </w:p>
    <w:p w14:paraId="1B19FAE5" w14:textId="77777777" w:rsidR="008A5841" w:rsidRPr="006A6D19" w:rsidRDefault="008A5841" w:rsidP="00B765C1">
      <w:pPr>
        <w:pStyle w:val="Listebombe"/>
        <w:rPr>
          <w:lang w:val="en-GB"/>
        </w:rPr>
      </w:pPr>
      <w:r w:rsidRPr="006A6D19">
        <w:rPr>
          <w:lang w:val="en-GB"/>
        </w:rPr>
        <w:t>White Paper, Meld. St. 13 (2023–2024) The Housing White Paper, A Comprehensive and Active Housing Policy for the Whole Country.</w:t>
      </w:r>
    </w:p>
    <w:p w14:paraId="4EBAF28A" w14:textId="77777777" w:rsidR="008A5841" w:rsidRPr="006A6D19" w:rsidRDefault="008A5841" w:rsidP="00B765C1">
      <w:pPr>
        <w:pStyle w:val="Listebombe"/>
        <w:rPr>
          <w:lang w:val="en-GB"/>
        </w:rPr>
      </w:pPr>
      <w:r w:rsidRPr="006A6D19">
        <w:rPr>
          <w:lang w:val="en-GB"/>
        </w:rPr>
        <w:t>State Planning Guidelines for Land Use and Mobility – The purpose of the guidelines is to promote sustainable development through coordinating building of houses and infrastructure, reduced need of transport and strengthen public transport, biking and walking.</w:t>
      </w:r>
    </w:p>
    <w:p w14:paraId="74F77FAE" w14:textId="77777777" w:rsidR="008A5841" w:rsidRPr="006A6D19" w:rsidRDefault="008A5841" w:rsidP="00B765C1">
      <w:pPr>
        <w:pStyle w:val="Listebombe"/>
        <w:rPr>
          <w:lang w:val="en-GB"/>
        </w:rPr>
      </w:pPr>
      <w:r w:rsidRPr="006A6D19">
        <w:rPr>
          <w:lang w:val="en-GB"/>
        </w:rPr>
        <w:t>The National Architectural Strategy Space for Quality (2025) defines national ambitions for varied neighbourhoods, a prudent use of resources, beautiful surroundings and enduring qualities.</w:t>
      </w:r>
    </w:p>
    <w:p w14:paraId="55EA3776" w14:textId="77777777" w:rsidR="008A5841" w:rsidRPr="006A6D19" w:rsidRDefault="008A5841" w:rsidP="00B765C1">
      <w:pPr>
        <w:pStyle w:val="Listebombe"/>
        <w:rPr>
          <w:lang w:val="en-GB"/>
        </w:rPr>
      </w:pPr>
      <w:r w:rsidRPr="006A6D19">
        <w:rPr>
          <w:lang w:val="en-GB"/>
        </w:rPr>
        <w:t xml:space="preserve">A new Cultural Heritage Act is currently being developed to better respond to contemporary challenges. </w:t>
      </w:r>
      <w:r w:rsidRPr="006A6D19">
        <w:rPr>
          <w:lang w:val="en-GB"/>
        </w:rPr>
        <w:t>The new act will replace the existing legislation from 1978.</w:t>
      </w:r>
    </w:p>
    <w:p w14:paraId="155E9072" w14:textId="77777777" w:rsidR="008A5841" w:rsidRPr="006A6D19" w:rsidRDefault="008A5841" w:rsidP="00B765C1">
      <w:pPr>
        <w:pStyle w:val="Listebombe"/>
        <w:rPr>
          <w:lang w:val="en-GB"/>
        </w:rPr>
      </w:pPr>
      <w:r w:rsidRPr="006A6D19">
        <w:rPr>
          <w:lang w:val="en-GB"/>
        </w:rPr>
        <w:t>Sustainability and Equal Opportunities, A Universally Designed Norway (2021–2025) is extended to 2026.</w:t>
      </w:r>
    </w:p>
    <w:p w14:paraId="67D83270" w14:textId="77777777" w:rsidR="008A5841" w:rsidRPr="006A6D19" w:rsidRDefault="008A5841" w:rsidP="00B765C1">
      <w:pPr>
        <w:rPr>
          <w:lang w:val="en-GB"/>
        </w:rPr>
      </w:pPr>
    </w:p>
    <w:p w14:paraId="7592BA9D" w14:textId="77777777" w:rsidR="006B301F" w:rsidRPr="006A6D19" w:rsidRDefault="006B301F" w:rsidP="006B301F">
      <w:pPr>
        <w:pStyle w:val="Undertittel"/>
        <w:rPr>
          <w:lang w:val="en-GB"/>
        </w:rPr>
      </w:pPr>
      <w:r w:rsidRPr="006A6D19">
        <w:rPr>
          <w:lang w:val="en-GB"/>
        </w:rPr>
        <w:t>Assessment by Civil Society</w:t>
      </w:r>
    </w:p>
    <w:p w14:paraId="52C7789B" w14:textId="77777777" w:rsidR="008A5841" w:rsidRPr="006A6D19" w:rsidRDefault="008A5841" w:rsidP="00B765C1">
      <w:pPr>
        <w:rPr>
          <w:rStyle w:val="kursiv"/>
          <w:lang w:val="en-GB"/>
        </w:rPr>
      </w:pPr>
      <w:r w:rsidRPr="006A6D19">
        <w:rPr>
          <w:lang w:val="en-GB"/>
        </w:rPr>
        <w:t xml:space="preserve">The following organisations have participated in this assessment: </w:t>
      </w:r>
      <w:r w:rsidRPr="006A6D19">
        <w:rPr>
          <w:lang w:val="en-GB"/>
        </w:rPr>
        <w:t>Habitat Norway (part of the Norwegian Housing and Planning Association), The Norwegian Federation of Organisations of Persons with Disabilities (FFO), The Freight Transport Coalition of Norway (</w:t>
      </w:r>
      <w:proofErr w:type="spellStart"/>
      <w:r w:rsidRPr="006A6D19">
        <w:rPr>
          <w:lang w:val="en-GB"/>
        </w:rPr>
        <w:t>Godsalliansen</w:t>
      </w:r>
      <w:proofErr w:type="spellEnd"/>
      <w:r w:rsidRPr="006A6D19">
        <w:rPr>
          <w:lang w:val="en-GB"/>
        </w:rPr>
        <w:t>), GRID Arendal, Norwegian Housing Association (LBF), Norwegian Forum for Development and the Environment.</w:t>
      </w:r>
    </w:p>
    <w:p w14:paraId="496AAD59" w14:textId="102A2245" w:rsidR="008A5841" w:rsidRPr="006A6D19" w:rsidRDefault="008A5841" w:rsidP="00B765C1">
      <w:pPr>
        <w:rPr>
          <w:lang w:val="en-GB"/>
        </w:rPr>
      </w:pPr>
      <w:r>
        <w:rPr>
          <w:noProof/>
          <w:lang w:val="en-GB"/>
        </w:rPr>
        <w:drawing>
          <wp:inline distT="0" distB="0" distL="0" distR="0" wp14:anchorId="3A75472F" wp14:editId="4038A44D">
            <wp:extent cx="561975" cy="561975"/>
            <wp:effectExtent l="0" t="0" r="9525" b="9525"/>
            <wp:docPr id="1947812403" name="Bilde 85" descr="Arrow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511570" name="Bilde 85" descr="Arrow down"/>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r>
        <w:rPr>
          <w:rStyle w:val="halvfet"/>
          <w:lang w:val="en-GB"/>
        </w:rPr>
        <w:t xml:space="preserve"> </w:t>
      </w:r>
      <w:r w:rsidRPr="006A6D19">
        <w:rPr>
          <w:rStyle w:val="halvfet"/>
          <w:lang w:val="en-GB"/>
        </w:rPr>
        <w:t>Trend:</w:t>
      </w:r>
      <w:r w:rsidRPr="006A6D19">
        <w:rPr>
          <w:lang w:val="en-GB"/>
        </w:rPr>
        <w:t xml:space="preserve"> Negative</w:t>
      </w:r>
      <w:r w:rsidR="001609FA" w:rsidRPr="006A6D19">
        <w:rPr>
          <w:lang w:val="en-GB"/>
        </w:rPr>
        <w:t xml:space="preserve"> </w:t>
      </w:r>
    </w:p>
    <w:p w14:paraId="1C88FD69" w14:textId="77777777" w:rsidR="008A5841" w:rsidRPr="006A6D19" w:rsidRDefault="008A5841" w:rsidP="00B765C1">
      <w:pPr>
        <w:rPr>
          <w:lang w:val="en-GB"/>
        </w:rPr>
      </w:pPr>
      <w:r w:rsidRPr="006A6D19">
        <w:rPr>
          <w:rStyle w:val="halvfet"/>
          <w:lang w:val="en-GB"/>
        </w:rPr>
        <w:lastRenderedPageBreak/>
        <w:t>Norway has succeeded in</w:t>
      </w:r>
      <w:r w:rsidRPr="006A6D19">
        <w:rPr>
          <w:lang w:val="en-GB"/>
        </w:rPr>
        <w:t xml:space="preserve"> local leadership and innovation. Larger cities such as Oslo, Trondheim, Stavanger, and Bergen have strengthened climate budgeting, expanded cycling infrastructure, piloted circular economy initiatives, and digital participation tools. These examples demonstrate the potential for transformative urban policy when political will and local capacity align. Research projects and other international planning initiatives are going in the right direction. Cities are engaged in larger projects, for example the EU-fu</w:t>
      </w:r>
      <w:r w:rsidRPr="006A6D19">
        <w:rPr>
          <w:lang w:val="en-GB"/>
        </w:rPr>
        <w:t xml:space="preserve">nded New European Bauhaus Stavanger and </w:t>
      </w:r>
      <w:proofErr w:type="spellStart"/>
      <w:r w:rsidRPr="006A6D19">
        <w:rPr>
          <w:lang w:val="en-GB"/>
        </w:rPr>
        <w:t>ReHousIn</w:t>
      </w:r>
      <w:proofErr w:type="spellEnd"/>
      <w:r w:rsidRPr="006A6D19">
        <w:rPr>
          <w:lang w:val="en-GB"/>
        </w:rPr>
        <w:t xml:space="preserve">, which examines housing inequalities in Norway through case studies in three distinct types of areas. This research provides insights into housing challenges, policy responses, and the impact of economic, social, and environmental factors. </w:t>
      </w:r>
    </w:p>
    <w:p w14:paraId="4E6E62F6" w14:textId="77777777" w:rsidR="008A5841" w:rsidRPr="006A6D19" w:rsidRDefault="008A5841" w:rsidP="00B765C1">
      <w:pPr>
        <w:rPr>
          <w:lang w:val="en-GB"/>
        </w:rPr>
      </w:pPr>
      <w:r w:rsidRPr="006A6D19">
        <w:rPr>
          <w:lang w:val="en-GB"/>
        </w:rPr>
        <w:t>Public awareness on climate adaptation and the debate on nature loss and public</w:t>
      </w:r>
      <w:r w:rsidRPr="006A6D19">
        <w:rPr>
          <w:lang w:val="en-GB"/>
        </w:rPr>
        <w:t xml:space="preserve"> participation has intensified. Some municipalities have improved ecological mapping, climate adaptation planning, and accessibility audits. Improved participation tools such as digital and hybrid participation platforms have expanded, enabling broader engagement from youth and minority residents who previously faced barriers to participation. Some cities have worked consistently with SDG localisation in recent years. These advances, however, remain isolated and dependent on local initiatives rather than na</w:t>
      </w:r>
      <w:r w:rsidRPr="006A6D19">
        <w:rPr>
          <w:lang w:val="en-GB"/>
        </w:rPr>
        <w:t>tional policy.</w:t>
      </w:r>
    </w:p>
    <w:p w14:paraId="7BD74B95" w14:textId="77777777" w:rsidR="008A5841" w:rsidRPr="006A6D19" w:rsidRDefault="008A5841" w:rsidP="00B765C1">
      <w:pPr>
        <w:rPr>
          <w:lang w:val="en-GB"/>
        </w:rPr>
      </w:pPr>
      <w:r w:rsidRPr="006A6D19">
        <w:rPr>
          <w:rStyle w:val="halvfet"/>
          <w:lang w:val="en-GB"/>
        </w:rPr>
        <w:t>Norway’s challenges</w:t>
      </w:r>
      <w:r w:rsidRPr="006A6D19">
        <w:rPr>
          <w:lang w:val="en-GB"/>
        </w:rPr>
        <w:t xml:space="preserve"> are many and civil society organisations observe that Norway has not made sufficient progress toward SDG 11 since 2021. The Nordic Sustainable Development Report (NSDR) 2025 presents Norway as a high overall SDG performer where SDG 11 is largely on track, but the CSO perspectives foregrounded here identify implementation gaps, governance incoherence, and the urban context of vulnerable groups in Norwegian cities, rather than the average national performance. While several municipalities continue to innovat</w:t>
      </w:r>
      <w:r w:rsidRPr="006A6D19">
        <w:rPr>
          <w:lang w:val="en-GB"/>
        </w:rPr>
        <w:t>e, national policy remains fragmented, underfunded, and insufficiently aligned with the SDGs. Responsibilities are increasingly delegated to municipalities without adequate financial or technical support, undermining their ability to deliver sustainable, inclusive, and climate resilient urban development.</w:t>
      </w:r>
    </w:p>
    <w:p w14:paraId="0D7B99A1" w14:textId="77777777" w:rsidR="008A5841" w:rsidRPr="006A6D19" w:rsidRDefault="008A5841" w:rsidP="00B765C1">
      <w:pPr>
        <w:rPr>
          <w:lang w:val="en-GB"/>
        </w:rPr>
      </w:pPr>
      <w:r w:rsidRPr="006A6D19">
        <w:rPr>
          <w:lang w:val="en-GB"/>
        </w:rPr>
        <w:t>Urbanisation is accelerating globally, yet Norway’s domestic and international policies do not reflect the scale or urgency of urban challenges. While the Government published a national strategy on archit</w:t>
      </w:r>
      <w:r w:rsidRPr="006A6D19">
        <w:rPr>
          <w:lang w:val="en-GB"/>
        </w:rPr>
        <w:t>ecture in 2025, the lack of an equivalent or combined urban (and social housing) strategy continues to hinder coordinated action of the built environment and ensuring inclusion. Norway’s plan for the development of transport infrastructure (NTP – the National Transport Plan) is not sustainable. According to a report by The Norwegian Institute of Transport Economics, where the transition to a low-emission society requires a changed approach, the NTP process tends to deliver “more of the same”.</w:t>
      </w:r>
    </w:p>
    <w:p w14:paraId="59C16AC3" w14:textId="77777777" w:rsidR="008A5841" w:rsidRPr="006A6D19" w:rsidRDefault="008A5841" w:rsidP="006B301F">
      <w:pPr>
        <w:pStyle w:val="avsnitt-undertittel"/>
        <w:rPr>
          <w:lang w:val="en-GB"/>
        </w:rPr>
      </w:pPr>
      <w:r w:rsidRPr="006A6D19">
        <w:rPr>
          <w:lang w:val="en-GB"/>
        </w:rPr>
        <w:t>Norway must:</w:t>
      </w:r>
    </w:p>
    <w:p w14:paraId="6C299A4C" w14:textId="77777777" w:rsidR="008A5841" w:rsidRPr="006A6D19" w:rsidRDefault="008A5841" w:rsidP="00B765C1">
      <w:pPr>
        <w:pStyle w:val="Listebombe"/>
        <w:rPr>
          <w:lang w:val="en-GB"/>
        </w:rPr>
      </w:pPr>
      <w:r w:rsidRPr="006A6D19">
        <w:rPr>
          <w:lang w:val="en-GB"/>
        </w:rPr>
        <w:t>Enhance support to international organisations advancing SDG 11, while promoting the global visibility and uptake of Norwegian best practices in sustainable urban development.</w:t>
      </w:r>
    </w:p>
    <w:p w14:paraId="13113F30" w14:textId="77777777" w:rsidR="008A5841" w:rsidRPr="006A6D19" w:rsidRDefault="008A5841" w:rsidP="00B765C1">
      <w:pPr>
        <w:pStyle w:val="Listebombe"/>
        <w:rPr>
          <w:lang w:val="en-GB"/>
        </w:rPr>
      </w:pPr>
      <w:r w:rsidRPr="006A6D19">
        <w:rPr>
          <w:lang w:val="en-GB"/>
        </w:rPr>
        <w:t>Strengthen the capacity to absorb and apply international best practices in local planning.</w:t>
      </w:r>
    </w:p>
    <w:p w14:paraId="17B1C55E" w14:textId="77777777" w:rsidR="008A5841" w:rsidRPr="006A6D19" w:rsidRDefault="008A5841" w:rsidP="00B765C1">
      <w:pPr>
        <w:pStyle w:val="Listebombe"/>
        <w:rPr>
          <w:lang w:val="en-GB"/>
        </w:rPr>
      </w:pPr>
      <w:r w:rsidRPr="006A6D19">
        <w:rPr>
          <w:lang w:val="en-GB"/>
        </w:rPr>
        <w:t>Ensure predictable and adequate municipal financing to address structural inequalities and strengthen participatory mechanisms.</w:t>
      </w:r>
    </w:p>
    <w:p w14:paraId="19ED7214" w14:textId="77777777" w:rsidR="008A5841" w:rsidRPr="006A6D19" w:rsidRDefault="008A5841" w:rsidP="00B765C1">
      <w:pPr>
        <w:pStyle w:val="Listebombe"/>
        <w:rPr>
          <w:lang w:val="en-GB"/>
        </w:rPr>
      </w:pPr>
      <w:r w:rsidRPr="006A6D19">
        <w:rPr>
          <w:lang w:val="en-GB"/>
        </w:rPr>
        <w:lastRenderedPageBreak/>
        <w:t>Close implementation gaps in climate and urban development policy, ensuring stronger alignment between targets and delivery.</w:t>
      </w:r>
    </w:p>
    <w:p w14:paraId="453E3551" w14:textId="77777777" w:rsidR="008A5841" w:rsidRPr="006A6D19" w:rsidRDefault="008A5841" w:rsidP="00B765C1">
      <w:pPr>
        <w:pStyle w:val="Listebombe"/>
        <w:rPr>
          <w:lang w:val="en-GB"/>
        </w:rPr>
      </w:pPr>
      <w:r w:rsidRPr="006A6D19">
        <w:rPr>
          <w:lang w:val="en-GB"/>
        </w:rPr>
        <w:t xml:space="preserve">Align transport investments with climate and equity goals, and base transport planning on </w:t>
      </w:r>
      <w:proofErr w:type="spellStart"/>
      <w:r w:rsidRPr="006A6D19">
        <w:rPr>
          <w:lang w:val="en-GB"/>
        </w:rPr>
        <w:t>backcasting</w:t>
      </w:r>
      <w:proofErr w:type="spellEnd"/>
      <w:r w:rsidRPr="006A6D19">
        <w:rPr>
          <w:lang w:val="en-GB"/>
        </w:rPr>
        <w:t xml:space="preserve"> principles consistent with a low-emission society.</w:t>
      </w:r>
    </w:p>
    <w:p w14:paraId="7E904C46" w14:textId="77777777" w:rsidR="008A5841" w:rsidRPr="006A6D19" w:rsidRDefault="008A5841" w:rsidP="00B765C1">
      <w:pPr>
        <w:pStyle w:val="Listebombe"/>
        <w:rPr>
          <w:lang w:val="en-GB"/>
        </w:rPr>
      </w:pPr>
      <w:r w:rsidRPr="006A6D19">
        <w:rPr>
          <w:lang w:val="en-GB"/>
        </w:rPr>
        <w:t>Improve and integrate fragmented data systems across nature, housing, and accessibility to support evidence-based decision-making.</w:t>
      </w:r>
    </w:p>
    <w:p w14:paraId="00CB1032" w14:textId="77777777" w:rsidR="008A5841" w:rsidRPr="006A6D19" w:rsidRDefault="008A5841" w:rsidP="00B765C1">
      <w:pPr>
        <w:pStyle w:val="Listebombe"/>
        <w:rPr>
          <w:lang w:val="en-GB"/>
        </w:rPr>
      </w:pPr>
      <w:r w:rsidRPr="006A6D19">
        <w:rPr>
          <w:lang w:val="en-GB"/>
        </w:rPr>
        <w:t xml:space="preserve">Address the housing crisis through structural reforms, including affordability measures, a non-profit third housing sector, and a stronger focus on adaptation and reuse in urban areas as well as measures to combat homelessness. </w:t>
      </w:r>
    </w:p>
    <w:p w14:paraId="0938FDE6" w14:textId="77777777" w:rsidR="008A5841" w:rsidRPr="006A6D19" w:rsidRDefault="008A5841" w:rsidP="00B765C1">
      <w:pPr>
        <w:pStyle w:val="Listebombe"/>
        <w:rPr>
          <w:lang w:val="en-GB"/>
        </w:rPr>
      </w:pPr>
      <w:r w:rsidRPr="006A6D19">
        <w:rPr>
          <w:lang w:val="en-GB"/>
        </w:rPr>
        <w:t>Strengthen multilevel governance and policy coherence, promoting integrated, cross-sectoral urban planning across land use, transport, housing, and climate.</w:t>
      </w:r>
    </w:p>
    <w:p w14:paraId="6A7108B7" w14:textId="77777777" w:rsidR="008A5841" w:rsidRPr="006A6D19" w:rsidRDefault="008A5841" w:rsidP="00B765C1">
      <w:pPr>
        <w:pStyle w:val="Listebombe"/>
        <w:rPr>
          <w:lang w:val="en-GB"/>
        </w:rPr>
      </w:pPr>
      <w:r w:rsidRPr="006A6D19">
        <w:rPr>
          <w:lang w:val="en-GB"/>
        </w:rPr>
        <w:t>Advance inclusive, resilient, and nature-positive urban development, including participatory governance and scaled-up nature-based solutions.</w:t>
      </w:r>
    </w:p>
    <w:p w14:paraId="0D68479C" w14:textId="77777777" w:rsidR="008A5841" w:rsidRPr="006A6D19" w:rsidRDefault="008A5841" w:rsidP="00B765C1">
      <w:pPr>
        <w:pStyle w:val="Listebombe"/>
        <w:rPr>
          <w:lang w:val="en-GB"/>
        </w:rPr>
      </w:pPr>
      <w:r w:rsidRPr="006A6D19">
        <w:rPr>
          <w:lang w:val="en-GB"/>
        </w:rPr>
        <w:t>Leverage digitalisation, data systems, and knowledge exchange, alongside expanding sustainable and innovative financing mechanisms and circular economy approaches in cities.</w:t>
      </w:r>
    </w:p>
    <w:p w14:paraId="748FF5D9" w14:textId="77777777" w:rsidR="008A5841" w:rsidRPr="006A6D19" w:rsidRDefault="008A5841" w:rsidP="00B765C1">
      <w:pPr>
        <w:pStyle w:val="Listebombe"/>
        <w:rPr>
          <w:lang w:val="en-GB"/>
        </w:rPr>
      </w:pPr>
      <w:r w:rsidRPr="006A6D19">
        <w:rPr>
          <w:lang w:val="en-GB"/>
        </w:rPr>
        <w:t>Deepen cooperation with cities in the Global South through partnerships, knowledge exchange, and joint urban innovation.</w:t>
      </w:r>
    </w:p>
    <w:p w14:paraId="51D77F4A" w14:textId="77777777" w:rsidR="008A5841" w:rsidRPr="006A6D19" w:rsidRDefault="008A5841" w:rsidP="00B765C1">
      <w:pPr>
        <w:rPr>
          <w:lang w:val="en-GB"/>
        </w:rPr>
      </w:pPr>
    </w:p>
    <w:p w14:paraId="533B24A8" w14:textId="77777777" w:rsidR="008A5841" w:rsidRPr="006A6D19" w:rsidRDefault="008A5841" w:rsidP="001609FA">
      <w:pPr>
        <w:pStyle w:val="UnOverskrift3"/>
        <w:rPr>
          <w:lang w:val="en-GB"/>
        </w:rPr>
      </w:pPr>
      <w:r w:rsidRPr="006A6D19">
        <w:rPr>
          <w:lang w:val="en-GB"/>
        </w:rPr>
        <w:t>12 Responsible Consumption and Production</w:t>
      </w:r>
    </w:p>
    <w:p w14:paraId="1EFA14A7" w14:textId="30117231" w:rsidR="008A5841" w:rsidRPr="006A6D19" w:rsidRDefault="00BB2AF4" w:rsidP="001609FA">
      <w:pPr>
        <w:rPr>
          <w:lang w:val="en-GB"/>
        </w:rPr>
      </w:pPr>
      <w:r w:rsidRPr="006A6D19">
        <w:rPr>
          <w:noProof/>
          <w:lang w:val="en-GB"/>
        </w:rPr>
        <w:drawing>
          <wp:inline distT="0" distB="0" distL="0" distR="0" wp14:anchorId="4BAC40CE" wp14:editId="246F843B">
            <wp:extent cx="2857500" cy="2857500"/>
            <wp:effectExtent l="0" t="0" r="0" b="0"/>
            <wp:docPr id="1131301077" name="Bilde 54" descr="Goal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301077" name="Bilde 54" descr="Goal 1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7AF7196A" w14:textId="77777777" w:rsidR="008A5841" w:rsidRPr="006A6D19" w:rsidRDefault="008A5841" w:rsidP="006B301F">
      <w:pPr>
        <w:pStyle w:val="Undertittel"/>
        <w:rPr>
          <w:lang w:val="en-GB"/>
        </w:rPr>
      </w:pPr>
      <w:r w:rsidRPr="006A6D19">
        <w:rPr>
          <w:lang w:val="en-GB"/>
        </w:rPr>
        <w:t>Government Assessment</w:t>
      </w:r>
    </w:p>
    <w:tbl>
      <w:tblPr>
        <w:tblW w:w="5000" w:type="pct"/>
        <w:tblCellMar>
          <w:left w:w="0" w:type="dxa"/>
          <w:right w:w="0" w:type="dxa"/>
        </w:tblCellMar>
        <w:tblLook w:val="0000" w:firstRow="0" w:lastRow="0" w:firstColumn="0" w:lastColumn="0" w:noHBand="0" w:noVBand="0"/>
      </w:tblPr>
      <w:tblGrid>
        <w:gridCol w:w="1344"/>
        <w:gridCol w:w="7461"/>
        <w:gridCol w:w="1645"/>
      </w:tblGrid>
      <w:tr w:rsidR="00000000" w:rsidRPr="006A6D19" w14:paraId="7C9C9BDE" w14:textId="77777777" w:rsidTr="001609FA">
        <w:tblPrEx>
          <w:tblCellMar>
            <w:top w:w="0" w:type="dxa"/>
            <w:left w:w="0" w:type="dxa"/>
            <w:bottom w:w="0" w:type="dxa"/>
            <w:right w:w="0" w:type="dxa"/>
          </w:tblCellMar>
        </w:tblPrEx>
        <w:trPr>
          <w:trHeight w:val="60"/>
        </w:trPr>
        <w:tc>
          <w:tcPr>
            <w:tcW w:w="64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7496F409" w14:textId="77777777" w:rsidR="008A5841" w:rsidRPr="006A6D19" w:rsidRDefault="008A5841" w:rsidP="00B765C1">
            <w:pPr>
              <w:rPr>
                <w:lang w:val="en-GB"/>
              </w:rPr>
            </w:pPr>
            <w:r w:rsidRPr="006A6D19">
              <w:rPr>
                <w:lang w:val="en-GB"/>
              </w:rPr>
              <w:t xml:space="preserve">12.1 </w:t>
            </w:r>
          </w:p>
        </w:tc>
        <w:tc>
          <w:tcPr>
            <w:tcW w:w="3573"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E1CF946" w14:textId="77777777" w:rsidR="008A5841" w:rsidRPr="006A6D19" w:rsidRDefault="008A5841" w:rsidP="00B765C1">
            <w:pPr>
              <w:rPr>
                <w:lang w:val="en-GB"/>
              </w:rPr>
            </w:pPr>
            <w:r w:rsidRPr="006A6D19">
              <w:rPr>
                <w:lang w:val="en-GB"/>
              </w:rPr>
              <w:t>Norway support 10YFP/One Planet Network. Published an action plan for the circular economy in 2024 and launched a national mission for circular economy in 2025.</w:t>
            </w:r>
          </w:p>
        </w:tc>
        <w:tc>
          <w:tcPr>
            <w:tcW w:w="77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893E3F3" w14:textId="0B866662" w:rsidR="008A5841" w:rsidRPr="006A6D19" w:rsidRDefault="00541482" w:rsidP="00B765C1">
            <w:pPr>
              <w:rPr>
                <w:lang w:val="en-GB"/>
              </w:rPr>
            </w:pPr>
            <w:r>
              <w:rPr>
                <w:noProof/>
              </w:rPr>
              <w:drawing>
                <wp:inline distT="0" distB="0" distL="0" distR="0" wp14:anchorId="3E127EF1" wp14:editId="669CA603">
                  <wp:extent cx="990600" cy="447675"/>
                  <wp:effectExtent l="0" t="0" r="0" b="9525"/>
                  <wp:docPr id="1367459206" name="Bilde 6" descr="Target met. Progres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2134" name="Bilde 6" descr="Target met. Progress positiv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5099BD35" w14:textId="77777777" w:rsidTr="001609FA">
        <w:tblPrEx>
          <w:tblCellMar>
            <w:top w:w="0" w:type="dxa"/>
            <w:left w:w="0" w:type="dxa"/>
            <w:bottom w:w="0" w:type="dxa"/>
            <w:right w:w="0" w:type="dxa"/>
          </w:tblCellMar>
        </w:tblPrEx>
        <w:trPr>
          <w:trHeight w:val="60"/>
        </w:trPr>
        <w:tc>
          <w:tcPr>
            <w:tcW w:w="64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F149580" w14:textId="77777777" w:rsidR="008A5841" w:rsidRPr="006A6D19" w:rsidRDefault="008A5841" w:rsidP="00B765C1">
            <w:pPr>
              <w:rPr>
                <w:lang w:val="en-GB"/>
              </w:rPr>
            </w:pPr>
            <w:r w:rsidRPr="006A6D19">
              <w:rPr>
                <w:lang w:val="en-GB"/>
              </w:rPr>
              <w:lastRenderedPageBreak/>
              <w:t xml:space="preserve">12.2 </w:t>
            </w:r>
          </w:p>
        </w:tc>
        <w:tc>
          <w:tcPr>
            <w:tcW w:w="3573"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73B82118" w14:textId="77777777" w:rsidR="008A5841" w:rsidRPr="006A6D19" w:rsidRDefault="008A5841" w:rsidP="00B765C1">
            <w:pPr>
              <w:rPr>
                <w:lang w:val="en-GB"/>
              </w:rPr>
            </w:pPr>
            <w:r w:rsidRPr="006A6D19">
              <w:rPr>
                <w:lang w:val="en-GB"/>
              </w:rPr>
              <w:t>Material consumption per capita is far above the global and European averages.</w:t>
            </w:r>
          </w:p>
        </w:tc>
        <w:tc>
          <w:tcPr>
            <w:tcW w:w="77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79DA8E80" w14:textId="3D2D14C7" w:rsidR="008A5841" w:rsidRPr="006A6D19" w:rsidRDefault="008D2934" w:rsidP="00B765C1">
            <w:pPr>
              <w:rPr>
                <w:lang w:val="en-GB"/>
              </w:rPr>
            </w:pPr>
            <w:r>
              <w:rPr>
                <w:noProof/>
              </w:rPr>
              <w:drawing>
                <wp:inline distT="0" distB="0" distL="0" distR="0" wp14:anchorId="0582D889" wp14:editId="07B9A2C4">
                  <wp:extent cx="990600" cy="447675"/>
                  <wp:effectExtent l="0" t="0" r="0" b="9525"/>
                  <wp:docPr id="1894471234" name="Bilde 7" descr="Target not m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552712" name="Bilde 7" descr="Target not met. Progress stagnated."/>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08FA80F5" w14:textId="77777777" w:rsidTr="001609FA">
        <w:tblPrEx>
          <w:tblCellMar>
            <w:top w:w="0" w:type="dxa"/>
            <w:left w:w="0" w:type="dxa"/>
            <w:bottom w:w="0" w:type="dxa"/>
            <w:right w:w="0" w:type="dxa"/>
          </w:tblCellMar>
        </w:tblPrEx>
        <w:trPr>
          <w:trHeight w:val="60"/>
        </w:trPr>
        <w:tc>
          <w:tcPr>
            <w:tcW w:w="64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4FC8C12" w14:textId="77777777" w:rsidR="008A5841" w:rsidRPr="006A6D19" w:rsidRDefault="008A5841" w:rsidP="00B765C1">
            <w:pPr>
              <w:rPr>
                <w:lang w:val="en-GB"/>
              </w:rPr>
            </w:pPr>
            <w:r w:rsidRPr="006A6D19">
              <w:rPr>
                <w:lang w:val="en-GB"/>
              </w:rPr>
              <w:t xml:space="preserve">12.3 </w:t>
            </w:r>
          </w:p>
        </w:tc>
        <w:tc>
          <w:tcPr>
            <w:tcW w:w="3573"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7966501" w14:textId="77777777" w:rsidR="008A5841" w:rsidRPr="006A6D19" w:rsidRDefault="008A5841" w:rsidP="00B765C1">
            <w:pPr>
              <w:rPr>
                <w:lang w:val="en-GB"/>
              </w:rPr>
            </w:pPr>
            <w:r w:rsidRPr="006A6D19">
              <w:rPr>
                <w:lang w:val="en-GB"/>
              </w:rPr>
              <w:t>A 24% reduction in food waste was achieved in the period 2015–2024.</w:t>
            </w:r>
          </w:p>
        </w:tc>
        <w:tc>
          <w:tcPr>
            <w:tcW w:w="77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FADC8BB" w14:textId="33CB83E7" w:rsidR="008A5841" w:rsidRPr="006A6D19" w:rsidRDefault="008D2934" w:rsidP="00B765C1">
            <w:pPr>
              <w:rPr>
                <w:lang w:val="en-GB"/>
              </w:rPr>
            </w:pPr>
            <w:r>
              <w:rPr>
                <w:noProof/>
              </w:rPr>
              <w:drawing>
                <wp:inline distT="0" distB="0" distL="0" distR="0" wp14:anchorId="218FF7C2" wp14:editId="2B2081DA">
                  <wp:extent cx="990600" cy="447675"/>
                  <wp:effectExtent l="0" t="0" r="0" b="9525"/>
                  <wp:docPr id="634910264" name="Bilde 3" descr="Close to target. Progress i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804348" name="Bilde 3" descr="Close to target. Progress is positiv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521142C4" w14:textId="77777777" w:rsidTr="001609FA">
        <w:tblPrEx>
          <w:tblCellMar>
            <w:top w:w="0" w:type="dxa"/>
            <w:left w:w="0" w:type="dxa"/>
            <w:bottom w:w="0" w:type="dxa"/>
            <w:right w:w="0" w:type="dxa"/>
          </w:tblCellMar>
        </w:tblPrEx>
        <w:trPr>
          <w:trHeight w:val="60"/>
        </w:trPr>
        <w:tc>
          <w:tcPr>
            <w:tcW w:w="64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0D31F460" w14:textId="77777777" w:rsidR="008A5841" w:rsidRPr="006A6D19" w:rsidRDefault="008A5841" w:rsidP="00B765C1">
            <w:pPr>
              <w:rPr>
                <w:lang w:val="en-GB"/>
              </w:rPr>
            </w:pPr>
            <w:r w:rsidRPr="006A6D19">
              <w:rPr>
                <w:lang w:val="en-GB"/>
              </w:rPr>
              <w:t xml:space="preserve">12.4 </w:t>
            </w:r>
          </w:p>
        </w:tc>
        <w:tc>
          <w:tcPr>
            <w:tcW w:w="3573"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078B149" w14:textId="77777777" w:rsidR="008A5841" w:rsidRPr="006A6D19" w:rsidRDefault="008A5841" w:rsidP="00B765C1">
            <w:pPr>
              <w:rPr>
                <w:lang w:val="en-GB"/>
              </w:rPr>
            </w:pPr>
            <w:r w:rsidRPr="006A6D19">
              <w:rPr>
                <w:lang w:val="en-GB"/>
              </w:rPr>
              <w:t>The progress in the management of hazardous chemicals and waste is positive. However, there is still a need to strengthen regulations and measures.</w:t>
            </w:r>
          </w:p>
        </w:tc>
        <w:tc>
          <w:tcPr>
            <w:tcW w:w="77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1361004" w14:textId="68468D4C" w:rsidR="008A5841" w:rsidRPr="006A6D19" w:rsidRDefault="008D2934" w:rsidP="00B765C1">
            <w:pPr>
              <w:rPr>
                <w:lang w:val="en-GB"/>
              </w:rPr>
            </w:pPr>
            <w:r>
              <w:rPr>
                <w:noProof/>
              </w:rPr>
              <w:drawing>
                <wp:inline distT="0" distB="0" distL="0" distR="0" wp14:anchorId="75A796AA" wp14:editId="394BF3D7">
                  <wp:extent cx="990600" cy="447675"/>
                  <wp:effectExtent l="0" t="0" r="0" b="9525"/>
                  <wp:docPr id="2011408325" name="Bilde 3" descr="Close to target. Progress i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804348" name="Bilde 3" descr="Close to target. Progress is positiv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7AFF4815" w14:textId="77777777" w:rsidTr="001609FA">
        <w:tblPrEx>
          <w:tblCellMar>
            <w:top w:w="0" w:type="dxa"/>
            <w:left w:w="0" w:type="dxa"/>
            <w:bottom w:w="0" w:type="dxa"/>
            <w:right w:w="0" w:type="dxa"/>
          </w:tblCellMar>
        </w:tblPrEx>
        <w:trPr>
          <w:trHeight w:val="60"/>
        </w:trPr>
        <w:tc>
          <w:tcPr>
            <w:tcW w:w="64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7B3B46D2" w14:textId="77777777" w:rsidR="008A5841" w:rsidRPr="006A6D19" w:rsidRDefault="008A5841" w:rsidP="00B765C1">
            <w:pPr>
              <w:rPr>
                <w:lang w:val="en-GB"/>
              </w:rPr>
            </w:pPr>
            <w:r w:rsidRPr="006A6D19">
              <w:rPr>
                <w:lang w:val="en-GB"/>
              </w:rPr>
              <w:t xml:space="preserve">12.5 </w:t>
            </w:r>
          </w:p>
        </w:tc>
        <w:tc>
          <w:tcPr>
            <w:tcW w:w="3573"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C18DC87" w14:textId="77777777" w:rsidR="008A5841" w:rsidRPr="006A6D19" w:rsidRDefault="008A5841" w:rsidP="00B765C1">
            <w:pPr>
              <w:rPr>
                <w:lang w:val="en-GB"/>
              </w:rPr>
            </w:pPr>
            <w:r w:rsidRPr="006A6D19">
              <w:rPr>
                <w:lang w:val="en-GB"/>
              </w:rPr>
              <w:t>Norway has a high volume of waste compared with the EU and OECD. The amount of household waste has declined in recent years.</w:t>
            </w:r>
          </w:p>
        </w:tc>
        <w:tc>
          <w:tcPr>
            <w:tcW w:w="77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0D0F2CB" w14:textId="505F0F3E" w:rsidR="008A5841" w:rsidRPr="006A6D19" w:rsidRDefault="008D2934" w:rsidP="00B765C1">
            <w:pPr>
              <w:rPr>
                <w:lang w:val="en-GB"/>
              </w:rPr>
            </w:pPr>
            <w:r>
              <w:rPr>
                <w:noProof/>
              </w:rPr>
              <w:drawing>
                <wp:inline distT="0" distB="0" distL="0" distR="0" wp14:anchorId="69D89EB4" wp14:editId="364D4FC9">
                  <wp:extent cx="990600" cy="447675"/>
                  <wp:effectExtent l="0" t="0" r="0" b="9525"/>
                  <wp:docPr id="1986727807" name="Bilde 9" descr="Target not met. Progress neg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727807" name="Bilde 9" descr="Target not met. Progress negativ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6A4905B5" w14:textId="77777777" w:rsidTr="001609FA">
        <w:tblPrEx>
          <w:tblCellMar>
            <w:top w:w="0" w:type="dxa"/>
            <w:left w:w="0" w:type="dxa"/>
            <w:bottom w:w="0" w:type="dxa"/>
            <w:right w:w="0" w:type="dxa"/>
          </w:tblCellMar>
        </w:tblPrEx>
        <w:trPr>
          <w:trHeight w:val="60"/>
        </w:trPr>
        <w:tc>
          <w:tcPr>
            <w:tcW w:w="64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E7D54E0" w14:textId="77777777" w:rsidR="008A5841" w:rsidRPr="006A6D19" w:rsidRDefault="008A5841" w:rsidP="00B765C1">
            <w:pPr>
              <w:rPr>
                <w:lang w:val="en-GB"/>
              </w:rPr>
            </w:pPr>
            <w:r w:rsidRPr="006A6D19">
              <w:rPr>
                <w:lang w:val="en-GB"/>
              </w:rPr>
              <w:t xml:space="preserve">12.6 </w:t>
            </w:r>
          </w:p>
        </w:tc>
        <w:tc>
          <w:tcPr>
            <w:tcW w:w="3573"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92DE9F9" w14:textId="77777777" w:rsidR="008A5841" w:rsidRPr="006A6D19" w:rsidRDefault="008A5841" w:rsidP="00B765C1">
            <w:pPr>
              <w:rPr>
                <w:lang w:val="en-GB"/>
              </w:rPr>
            </w:pPr>
            <w:r w:rsidRPr="006A6D19">
              <w:rPr>
                <w:lang w:val="en-GB"/>
              </w:rPr>
              <w:t>The Transparency Act, introduced in 2022, has been evaluated to identify strengths and weaknesses. The EU’s Corporate Sustainability Reporting Directive (CSRD) has been implemented in Norwegian law.</w:t>
            </w:r>
          </w:p>
        </w:tc>
        <w:tc>
          <w:tcPr>
            <w:tcW w:w="77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175ABB5" w14:textId="6AB402C0" w:rsidR="008A5841" w:rsidRPr="006A6D19" w:rsidRDefault="008D2934" w:rsidP="00B765C1">
            <w:pPr>
              <w:rPr>
                <w:lang w:val="en-GB"/>
              </w:rPr>
            </w:pPr>
            <w:r>
              <w:rPr>
                <w:noProof/>
              </w:rPr>
              <w:drawing>
                <wp:inline distT="0" distB="0" distL="0" distR="0" wp14:anchorId="16DA82E1" wp14:editId="57DBA045">
                  <wp:extent cx="990600" cy="447675"/>
                  <wp:effectExtent l="0" t="0" r="0" b="9525"/>
                  <wp:docPr id="1910044756" name="Bilde 3" descr="Close to target. Progress i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804348" name="Bilde 3" descr="Close to target. Progress is positiv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679289CD" w14:textId="77777777" w:rsidTr="001609FA">
        <w:tblPrEx>
          <w:tblCellMar>
            <w:top w:w="0" w:type="dxa"/>
            <w:left w:w="0" w:type="dxa"/>
            <w:bottom w:w="0" w:type="dxa"/>
            <w:right w:w="0" w:type="dxa"/>
          </w:tblCellMar>
        </w:tblPrEx>
        <w:trPr>
          <w:trHeight w:val="60"/>
        </w:trPr>
        <w:tc>
          <w:tcPr>
            <w:tcW w:w="64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0E6CF17C" w14:textId="77777777" w:rsidR="008A5841" w:rsidRPr="006A6D19" w:rsidRDefault="008A5841" w:rsidP="00B765C1">
            <w:pPr>
              <w:rPr>
                <w:lang w:val="en-GB"/>
              </w:rPr>
            </w:pPr>
            <w:r w:rsidRPr="006A6D19">
              <w:rPr>
                <w:lang w:val="en-GB"/>
              </w:rPr>
              <w:t xml:space="preserve">12.7 </w:t>
            </w:r>
          </w:p>
        </w:tc>
        <w:tc>
          <w:tcPr>
            <w:tcW w:w="3573"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0478D7C6" w14:textId="77777777" w:rsidR="008A5841" w:rsidRPr="006A6D19" w:rsidRDefault="008A5841" w:rsidP="00B765C1">
            <w:pPr>
              <w:rPr>
                <w:lang w:val="en-GB"/>
              </w:rPr>
            </w:pPr>
            <w:r w:rsidRPr="006A6D19">
              <w:rPr>
                <w:lang w:val="en-GB"/>
              </w:rPr>
              <w:t>Legislative and administrative frameworks related to green and innovative public procurement are in place, including guidance for public purchasers.</w:t>
            </w:r>
          </w:p>
        </w:tc>
        <w:tc>
          <w:tcPr>
            <w:tcW w:w="77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AFA8379" w14:textId="50026A1D" w:rsidR="008A5841" w:rsidRPr="006A6D19" w:rsidRDefault="00541482" w:rsidP="00B765C1">
            <w:pPr>
              <w:rPr>
                <w:lang w:val="en-GB"/>
              </w:rPr>
            </w:pPr>
            <w:r>
              <w:rPr>
                <w:noProof/>
              </w:rPr>
              <w:drawing>
                <wp:inline distT="0" distB="0" distL="0" distR="0" wp14:anchorId="07ADB08E" wp14:editId="2D5AFF25">
                  <wp:extent cx="990600" cy="447675"/>
                  <wp:effectExtent l="0" t="0" r="0" b="9525"/>
                  <wp:docPr id="355605170" name="Bilde 6" descr="Target met. Progres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2134" name="Bilde 6" descr="Target met. Progress positiv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6C2C26D5" w14:textId="77777777" w:rsidTr="001609FA">
        <w:tblPrEx>
          <w:tblCellMar>
            <w:top w:w="0" w:type="dxa"/>
            <w:left w:w="0" w:type="dxa"/>
            <w:bottom w:w="0" w:type="dxa"/>
            <w:right w:w="0" w:type="dxa"/>
          </w:tblCellMar>
        </w:tblPrEx>
        <w:trPr>
          <w:trHeight w:val="60"/>
        </w:trPr>
        <w:tc>
          <w:tcPr>
            <w:tcW w:w="64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7BBD7D4C" w14:textId="77777777" w:rsidR="008A5841" w:rsidRPr="006A6D19" w:rsidRDefault="008A5841" w:rsidP="00B765C1">
            <w:pPr>
              <w:rPr>
                <w:lang w:val="en-GB"/>
              </w:rPr>
            </w:pPr>
            <w:r w:rsidRPr="006A6D19">
              <w:rPr>
                <w:lang w:val="en-GB"/>
              </w:rPr>
              <w:t xml:space="preserve">12.8 </w:t>
            </w:r>
          </w:p>
        </w:tc>
        <w:tc>
          <w:tcPr>
            <w:tcW w:w="3573"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F7CC82B" w14:textId="77777777" w:rsidR="008A5841" w:rsidRPr="006A6D19" w:rsidRDefault="008A5841" w:rsidP="00B765C1">
            <w:pPr>
              <w:rPr>
                <w:lang w:val="en-GB"/>
              </w:rPr>
            </w:pPr>
            <w:r w:rsidRPr="006A6D19">
              <w:rPr>
                <w:lang w:val="en-GB"/>
              </w:rPr>
              <w:t>Sustainable development is integrated at all levels of education.</w:t>
            </w:r>
          </w:p>
        </w:tc>
        <w:tc>
          <w:tcPr>
            <w:tcW w:w="77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6117E153" w14:textId="0092EF60" w:rsidR="008A5841" w:rsidRPr="006A6D19" w:rsidRDefault="00541482" w:rsidP="00B765C1">
            <w:pPr>
              <w:rPr>
                <w:lang w:val="en-GB"/>
              </w:rPr>
            </w:pPr>
            <w:r>
              <w:rPr>
                <w:noProof/>
              </w:rPr>
              <w:drawing>
                <wp:inline distT="0" distB="0" distL="0" distR="0" wp14:anchorId="1FF5DB91" wp14:editId="35F50B2A">
                  <wp:extent cx="990600" cy="447675"/>
                  <wp:effectExtent l="0" t="0" r="0" b="9525"/>
                  <wp:docPr id="1003904722" name="Bilde 4" descr="Target m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11348" name="Bilde 4" descr="Target met. Progress stagn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45250BA6" w14:textId="77777777" w:rsidTr="001609FA">
        <w:tblPrEx>
          <w:tblCellMar>
            <w:top w:w="0" w:type="dxa"/>
            <w:left w:w="0" w:type="dxa"/>
            <w:bottom w:w="0" w:type="dxa"/>
            <w:right w:w="0" w:type="dxa"/>
          </w:tblCellMar>
        </w:tblPrEx>
        <w:trPr>
          <w:trHeight w:val="60"/>
        </w:trPr>
        <w:tc>
          <w:tcPr>
            <w:tcW w:w="64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74DAB8FB" w14:textId="77777777" w:rsidR="008A5841" w:rsidRPr="006A6D19" w:rsidRDefault="008A5841" w:rsidP="00B765C1">
            <w:pPr>
              <w:rPr>
                <w:lang w:val="en-GB"/>
              </w:rPr>
            </w:pPr>
            <w:r w:rsidRPr="006A6D19">
              <w:rPr>
                <w:lang w:val="en-GB"/>
              </w:rPr>
              <w:t xml:space="preserve">12.A </w:t>
            </w:r>
          </w:p>
        </w:tc>
        <w:tc>
          <w:tcPr>
            <w:tcW w:w="3573"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05F75BEA" w14:textId="77777777" w:rsidR="008A5841" w:rsidRPr="006A6D19" w:rsidRDefault="008A5841" w:rsidP="00B765C1">
            <w:pPr>
              <w:rPr>
                <w:lang w:val="en-GB"/>
              </w:rPr>
            </w:pPr>
            <w:r w:rsidRPr="006A6D19">
              <w:rPr>
                <w:lang w:val="en-GB"/>
              </w:rPr>
              <w:t>Norway supports developing countries’</w:t>
            </w:r>
            <w:r w:rsidRPr="006A6D19">
              <w:rPr>
                <w:lang w:val="en-GB"/>
              </w:rPr>
              <w:t xml:space="preserve"> scientific and technological capacity for sustainable consumption and production through funding to UNEP, the One Planet Network and the Global Environment Facility (GEF).</w:t>
            </w:r>
          </w:p>
        </w:tc>
        <w:tc>
          <w:tcPr>
            <w:tcW w:w="77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7D8DD4AE" w14:textId="3C9E73B1" w:rsidR="008A5841" w:rsidRPr="006A6D19" w:rsidRDefault="008D2934" w:rsidP="00B765C1">
            <w:pPr>
              <w:rPr>
                <w:lang w:val="en-GB"/>
              </w:rPr>
            </w:pPr>
            <w:r>
              <w:rPr>
                <w:noProof/>
              </w:rPr>
              <w:drawing>
                <wp:inline distT="0" distB="0" distL="0" distR="0" wp14:anchorId="25C91562" wp14:editId="2E462067">
                  <wp:extent cx="990600" cy="447675"/>
                  <wp:effectExtent l="0" t="0" r="0" b="9525"/>
                  <wp:docPr id="907197088" name="Bilde 3" descr="Close to target. Progress i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804348" name="Bilde 3" descr="Close to target. Progress is positiv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083C9DCA" w14:textId="77777777" w:rsidTr="001609FA">
        <w:tblPrEx>
          <w:tblCellMar>
            <w:top w:w="0" w:type="dxa"/>
            <w:left w:w="0" w:type="dxa"/>
            <w:bottom w:w="0" w:type="dxa"/>
            <w:right w:w="0" w:type="dxa"/>
          </w:tblCellMar>
        </w:tblPrEx>
        <w:trPr>
          <w:trHeight w:val="60"/>
        </w:trPr>
        <w:tc>
          <w:tcPr>
            <w:tcW w:w="64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93CC3A2" w14:textId="77777777" w:rsidR="008A5841" w:rsidRPr="006A6D19" w:rsidRDefault="008A5841" w:rsidP="00B765C1">
            <w:pPr>
              <w:rPr>
                <w:lang w:val="en-GB"/>
              </w:rPr>
            </w:pPr>
            <w:r w:rsidRPr="006A6D19">
              <w:rPr>
                <w:lang w:val="en-GB"/>
              </w:rPr>
              <w:t xml:space="preserve">12.B </w:t>
            </w:r>
          </w:p>
        </w:tc>
        <w:tc>
          <w:tcPr>
            <w:tcW w:w="3573"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6B2A0001" w14:textId="77777777" w:rsidR="008A5841" w:rsidRPr="006A6D19" w:rsidRDefault="008A5841" w:rsidP="00B765C1">
            <w:pPr>
              <w:rPr>
                <w:lang w:val="en-GB"/>
              </w:rPr>
            </w:pPr>
            <w:r w:rsidRPr="006A6D19">
              <w:rPr>
                <w:lang w:val="en-GB"/>
              </w:rPr>
              <w:t xml:space="preserve">The Sustainable Destination label includes indicators that measure status, as well as performance indicators that require ongoing development and improvement for the destination to be re-certified. By 2026 the scheme includes 61 destinations and 158 municipalities. </w:t>
            </w:r>
          </w:p>
        </w:tc>
        <w:tc>
          <w:tcPr>
            <w:tcW w:w="77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54F249E" w14:textId="28CDB4B6" w:rsidR="008A5841" w:rsidRPr="006A6D19" w:rsidRDefault="008D2934" w:rsidP="00B765C1">
            <w:pPr>
              <w:rPr>
                <w:lang w:val="en-GB"/>
              </w:rPr>
            </w:pPr>
            <w:r>
              <w:rPr>
                <w:noProof/>
              </w:rPr>
              <w:drawing>
                <wp:inline distT="0" distB="0" distL="0" distR="0" wp14:anchorId="769A6A41" wp14:editId="1CEB2C09">
                  <wp:extent cx="990600" cy="447675"/>
                  <wp:effectExtent l="0" t="0" r="0" b="9525"/>
                  <wp:docPr id="1769821442" name="Bilde 3" descr="Close to target. Progress i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804348" name="Bilde 3" descr="Close to target. Progress is positiv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5BC1310B" w14:textId="77777777" w:rsidTr="001609FA">
        <w:tblPrEx>
          <w:tblCellMar>
            <w:top w:w="0" w:type="dxa"/>
            <w:left w:w="0" w:type="dxa"/>
            <w:bottom w:w="0" w:type="dxa"/>
            <w:right w:w="0" w:type="dxa"/>
          </w:tblCellMar>
        </w:tblPrEx>
        <w:trPr>
          <w:trHeight w:val="60"/>
        </w:trPr>
        <w:tc>
          <w:tcPr>
            <w:tcW w:w="64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87E0070" w14:textId="77777777" w:rsidR="008A5841" w:rsidRPr="006A6D19" w:rsidRDefault="008A5841" w:rsidP="00B765C1">
            <w:pPr>
              <w:rPr>
                <w:lang w:val="en-GB"/>
              </w:rPr>
            </w:pPr>
            <w:r w:rsidRPr="006A6D19">
              <w:rPr>
                <w:lang w:val="en-GB"/>
              </w:rPr>
              <w:t xml:space="preserve">12.C </w:t>
            </w:r>
          </w:p>
        </w:tc>
        <w:tc>
          <w:tcPr>
            <w:tcW w:w="3573"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4E3890D" w14:textId="77777777" w:rsidR="008A5841" w:rsidRPr="006A6D19" w:rsidRDefault="008A5841" w:rsidP="00B765C1">
            <w:pPr>
              <w:rPr>
                <w:lang w:val="en-GB"/>
              </w:rPr>
            </w:pPr>
            <w:r w:rsidRPr="006A6D19">
              <w:rPr>
                <w:lang w:val="en-GB"/>
              </w:rPr>
              <w:t>Norway has no fossil-fuel subsidies. All combustion emissions from the use of mineral products are priced through a CO</w:t>
            </w:r>
            <w:r w:rsidRPr="006A6D19">
              <w:rPr>
                <w:rStyle w:val="skrift-senket"/>
                <w:lang w:val="en-GB"/>
              </w:rPr>
              <w:t>2</w:t>
            </w:r>
            <w:r w:rsidRPr="006A6D19">
              <w:rPr>
                <w:lang w:val="en-GB"/>
              </w:rPr>
              <w:t xml:space="preserve"> tax or EU ETS. </w:t>
            </w:r>
          </w:p>
        </w:tc>
        <w:tc>
          <w:tcPr>
            <w:tcW w:w="77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80D92B0" w14:textId="3D9AC75B" w:rsidR="008A5841" w:rsidRPr="006A6D19" w:rsidRDefault="00541482" w:rsidP="00B765C1">
            <w:pPr>
              <w:rPr>
                <w:lang w:val="en-GB"/>
              </w:rPr>
            </w:pPr>
            <w:r>
              <w:rPr>
                <w:noProof/>
              </w:rPr>
              <w:drawing>
                <wp:inline distT="0" distB="0" distL="0" distR="0" wp14:anchorId="75DECC9D" wp14:editId="7F5CAC13">
                  <wp:extent cx="990600" cy="447675"/>
                  <wp:effectExtent l="0" t="0" r="0" b="9525"/>
                  <wp:docPr id="2049110365" name="Bilde 4" descr="Target m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11348" name="Bilde 4" descr="Target met. Progress stagn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bl>
    <w:p w14:paraId="1D835B4C" w14:textId="77777777" w:rsidR="008A5841" w:rsidRPr="006A6D19" w:rsidRDefault="008A5841" w:rsidP="00B765C1">
      <w:pPr>
        <w:rPr>
          <w:lang w:val="en-GB"/>
        </w:rPr>
      </w:pPr>
    </w:p>
    <w:p w14:paraId="53524674" w14:textId="77777777" w:rsidR="008A5841" w:rsidRPr="006A6D19" w:rsidRDefault="008A5841" w:rsidP="00B765C1">
      <w:pPr>
        <w:rPr>
          <w:lang w:val="en-GB"/>
        </w:rPr>
      </w:pPr>
      <w:r w:rsidRPr="006A6D19">
        <w:rPr>
          <w:rStyle w:val="halvfet"/>
          <w:lang w:val="en-GB"/>
        </w:rPr>
        <w:lastRenderedPageBreak/>
        <w:t xml:space="preserve">General Status: </w:t>
      </w:r>
      <w:r w:rsidRPr="006A6D19">
        <w:rPr>
          <w:lang w:val="en-GB"/>
        </w:rPr>
        <w:t>Norway has a high standard of living and is among the countries with the highest material consumption in the world. Achieving more sustainable consumption is one of Norway’s main challenges in reaching the Sustainable Development Goals.</w:t>
      </w:r>
    </w:p>
    <w:p w14:paraId="1665B3CC" w14:textId="77777777" w:rsidR="008A5841" w:rsidRPr="006A6D19" w:rsidRDefault="008A5841" w:rsidP="00B765C1">
      <w:pPr>
        <w:rPr>
          <w:lang w:val="en-GB"/>
        </w:rPr>
      </w:pPr>
      <w:r w:rsidRPr="006A6D19">
        <w:rPr>
          <w:rStyle w:val="halvfet"/>
          <w:lang w:val="en-GB"/>
        </w:rPr>
        <w:t xml:space="preserve">Main Achievements: </w:t>
      </w:r>
      <w:r w:rsidRPr="006A6D19">
        <w:rPr>
          <w:lang w:val="en-GB"/>
        </w:rPr>
        <w:t>The Government’s Action Plan for the Circular Economy (2024–2025) support the national transition to a circular economy. The new Act on Sustainable Products and Value Chains entered into force in 2024 and aims to promote more sustainable products tailored for a circular economy.</w:t>
      </w:r>
    </w:p>
    <w:p w14:paraId="56AF62EA" w14:textId="77777777" w:rsidR="008A5841" w:rsidRPr="006A6D19" w:rsidRDefault="008A5841" w:rsidP="00B765C1">
      <w:pPr>
        <w:rPr>
          <w:lang w:val="en-GB"/>
        </w:rPr>
      </w:pPr>
      <w:r w:rsidRPr="006A6D19">
        <w:rPr>
          <w:lang w:val="en-GB"/>
        </w:rPr>
        <w:t>In February 2025, the National Citizens’</w:t>
      </w:r>
      <w:r w:rsidRPr="006A6D19">
        <w:rPr>
          <w:lang w:val="en-GB"/>
        </w:rPr>
        <w:t xml:space="preserve"> Panel submitted recommendations to the Government on reducing overconsumption. In May 2025, a national expert group launched its report, “Not Straightforward”, on instruments to promote a more circular economy. The Government launched a national mission for circular economy in 2025.</w:t>
      </w:r>
    </w:p>
    <w:p w14:paraId="217281A1" w14:textId="77777777" w:rsidR="008A5841" w:rsidRPr="006A6D19" w:rsidRDefault="008A5841" w:rsidP="00B765C1">
      <w:pPr>
        <w:rPr>
          <w:lang w:val="en-GB"/>
        </w:rPr>
      </w:pPr>
      <w:r w:rsidRPr="006A6D19">
        <w:rPr>
          <w:lang w:val="en-GB"/>
        </w:rPr>
        <w:t>Norway’s Plastics Strategy (2021) aims to reduce plastic pollution and ensure sustainable use of plastic, the Action Plan for a toxic-free environment was revised in 2025, and the Action Plan for Climate- and Environment-Friend</w:t>
      </w:r>
      <w:r w:rsidRPr="006A6D19">
        <w:rPr>
          <w:lang w:val="en-GB"/>
        </w:rPr>
        <w:t>ly Public Procurement and Green Innovation was revised the same year.</w:t>
      </w:r>
    </w:p>
    <w:p w14:paraId="40E3B011" w14:textId="77777777" w:rsidR="008A5841" w:rsidRPr="006A6D19" w:rsidRDefault="008A5841" w:rsidP="00B765C1">
      <w:pPr>
        <w:rPr>
          <w:lang w:val="en-GB"/>
        </w:rPr>
      </w:pPr>
      <w:r w:rsidRPr="006A6D19">
        <w:rPr>
          <w:rStyle w:val="halvfet"/>
          <w:lang w:val="en-GB"/>
        </w:rPr>
        <w:t>Norway’s Challenges:</w:t>
      </w:r>
      <w:r w:rsidRPr="006A6D19">
        <w:rPr>
          <w:lang w:val="en-GB"/>
        </w:rPr>
        <w:t xml:space="preserve"> Sub-goals 12.2, 12.3, 12.5, and 12.6 have significant room for improvement. Norway is among the countries in the world with the highest material consumption per capita. Although substantial progress has been made, much work remains. Food waste remains high, natural resources must be used more efficiently, and waste volumes are still too large. The circular material use rate for Norway has remained stable at a low level over time. Further, the circular material use rate for Norway is generally lower than th</w:t>
      </w:r>
      <w:r w:rsidRPr="006A6D19">
        <w:rPr>
          <w:lang w:val="en-GB"/>
        </w:rPr>
        <w:t>e Nordic countries and the EU average, as seen by the figure below.</w:t>
      </w:r>
    </w:p>
    <w:p w14:paraId="79E646F3" w14:textId="77777777" w:rsidR="008A5841" w:rsidRPr="006A6D19" w:rsidRDefault="008A5841" w:rsidP="00B765C1">
      <w:pPr>
        <w:pStyle w:val="figur-tittel"/>
        <w:rPr>
          <w:lang w:val="en-GB"/>
        </w:rPr>
      </w:pPr>
      <w:r w:rsidRPr="006A6D19">
        <w:rPr>
          <w:lang w:val="en-GB"/>
        </w:rPr>
        <w:t>Circular Material Use Rate, per cent</w:t>
      </w:r>
    </w:p>
    <w:p w14:paraId="123CE31F" w14:textId="47911EEF" w:rsidR="008A5841" w:rsidRPr="006A6D19" w:rsidRDefault="00A17B3B" w:rsidP="00A17B3B">
      <w:pPr>
        <w:rPr>
          <w:lang w:val="en-GB"/>
        </w:rPr>
      </w:pPr>
      <w:r>
        <w:rPr>
          <w:noProof/>
          <w:lang w:val="en-GB"/>
        </w:rPr>
        <w:drawing>
          <wp:inline distT="0" distB="0" distL="0" distR="0" wp14:anchorId="1E9C5CAA" wp14:editId="56A8B420">
            <wp:extent cx="5029200" cy="3550024"/>
            <wp:effectExtent l="0" t="0" r="0" b="0"/>
            <wp:docPr id="204305334" name="Bilde 64" descr="Circular Material Use Rate, per 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05334" name="Bilde 64" descr="Circular Material Use Rate, per cent"/>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033398" cy="3552987"/>
                    </a:xfrm>
                    <a:prstGeom prst="rect">
                      <a:avLst/>
                    </a:prstGeom>
                    <a:noFill/>
                    <a:ln>
                      <a:noFill/>
                    </a:ln>
                  </pic:spPr>
                </pic:pic>
              </a:graphicData>
            </a:graphic>
          </wp:inline>
        </w:drawing>
      </w:r>
    </w:p>
    <w:p w14:paraId="44E1E611" w14:textId="77777777" w:rsidR="008A5841" w:rsidRPr="006A6D19" w:rsidRDefault="008A5841" w:rsidP="00B765C1">
      <w:pPr>
        <w:pStyle w:val="Kilde"/>
        <w:rPr>
          <w:lang w:val="en-GB"/>
        </w:rPr>
      </w:pPr>
      <w:r w:rsidRPr="006A6D19">
        <w:rPr>
          <w:lang w:val="en-GB"/>
        </w:rPr>
        <w:lastRenderedPageBreak/>
        <w:t>Source: Eurostat, Statistics Norway, 2024</w:t>
      </w:r>
    </w:p>
    <w:p w14:paraId="2943F0CB" w14:textId="4C7D55C6" w:rsidR="008A5841" w:rsidRPr="006A6D19" w:rsidRDefault="008A5841" w:rsidP="00B765C1">
      <w:pPr>
        <w:rPr>
          <w:lang w:val="en-GB"/>
        </w:rPr>
      </w:pPr>
      <w:r w:rsidRPr="006A6D19">
        <w:rPr>
          <w:rStyle w:val="halvfet"/>
          <w:lang w:val="en-GB"/>
        </w:rPr>
        <w:t>Global</w:t>
      </w:r>
      <w:r w:rsidRPr="006A6D19">
        <w:rPr>
          <w:rStyle w:val="halvfet"/>
          <w:rFonts w:ascii="Arial" w:hAnsi="Arial" w:cs="Arial"/>
          <w:lang w:val="en-GB"/>
        </w:rPr>
        <w:t> </w:t>
      </w:r>
      <w:r w:rsidRPr="006A6D19">
        <w:rPr>
          <w:rStyle w:val="halvfet"/>
          <w:lang w:val="en-GB"/>
        </w:rPr>
        <w:t>Responsibility:</w:t>
      </w:r>
      <w:r w:rsidRPr="006A6D19">
        <w:rPr>
          <w:lang w:val="en-GB"/>
        </w:rPr>
        <w:t xml:space="preserve"> Internationally, Norway supports several initiatives that aim to protect the environment and prioritise sustainable production and consumption. Norway is working toward an ambitious </w:t>
      </w:r>
      <w:proofErr w:type="spellStart"/>
      <w:r w:rsidRPr="006A6D19">
        <w:rPr>
          <w:lang w:val="en-GB"/>
        </w:rPr>
        <w:t>glob</w:t>
      </w:r>
      <w:r w:rsidR="008F7045">
        <w:rPr>
          <w:lang w:val="en-GB"/>
        </w:rPr>
        <w:t>h</w:t>
      </w:r>
      <w:r w:rsidRPr="006A6D19">
        <w:rPr>
          <w:lang w:val="en-GB"/>
        </w:rPr>
        <w:t>al</w:t>
      </w:r>
      <w:proofErr w:type="spellEnd"/>
      <w:r w:rsidRPr="006A6D19">
        <w:rPr>
          <w:lang w:val="en-GB"/>
        </w:rPr>
        <w:t xml:space="preserve"> agreement on plastic pollution and co-leads, together with Rwanda, a coalition of 76 countries pushing to raise the level of ambition in negotiations. Norway is a strong advocate for phasing out hazardous substances and strengthening international regulations on the control of chemicals that pose risks to health and the environment. In the period 2026–2029, UN member states, including Norway, have decided that the UN Environment Programme should prioritise sustainable consumption and production, includin</w:t>
      </w:r>
      <w:r w:rsidRPr="006A6D19">
        <w:rPr>
          <w:lang w:val="en-GB"/>
        </w:rPr>
        <w:t>g through circular approaches.</w:t>
      </w:r>
    </w:p>
    <w:p w14:paraId="2E7974B0" w14:textId="77777777" w:rsidR="008A5841" w:rsidRPr="006A6D19" w:rsidRDefault="008A5841" w:rsidP="006B301F">
      <w:pPr>
        <w:pStyle w:val="avsnitt-undertittel"/>
        <w:rPr>
          <w:lang w:val="en-GB"/>
        </w:rPr>
      </w:pPr>
      <w:r w:rsidRPr="006A6D19">
        <w:rPr>
          <w:lang w:val="en-GB"/>
        </w:rPr>
        <w:t>Main Policy Initiatives 2021–2026</w:t>
      </w:r>
    </w:p>
    <w:p w14:paraId="047E4EB8" w14:textId="77777777" w:rsidR="008A5841" w:rsidRPr="006A6D19" w:rsidRDefault="008A5841" w:rsidP="00B765C1">
      <w:pPr>
        <w:pStyle w:val="Listebombe"/>
        <w:rPr>
          <w:lang w:val="en-GB"/>
        </w:rPr>
      </w:pPr>
      <w:r w:rsidRPr="006A6D19">
        <w:rPr>
          <w:lang w:val="en-GB"/>
        </w:rPr>
        <w:t>National Action Plan for the Circular Economy (2024).</w:t>
      </w:r>
    </w:p>
    <w:p w14:paraId="7C9EA6F5" w14:textId="77777777" w:rsidR="008A5841" w:rsidRPr="006A6D19" w:rsidRDefault="008A5841" w:rsidP="00B765C1">
      <w:pPr>
        <w:pStyle w:val="Listebombe"/>
        <w:rPr>
          <w:lang w:val="en-GB"/>
        </w:rPr>
      </w:pPr>
      <w:r w:rsidRPr="006A6D19">
        <w:rPr>
          <w:lang w:val="en-GB"/>
        </w:rPr>
        <w:t>National Mission for Circular Economy (2025).</w:t>
      </w:r>
    </w:p>
    <w:p w14:paraId="6D77F518" w14:textId="77777777" w:rsidR="008A5841" w:rsidRPr="006A6D19" w:rsidRDefault="008A5841" w:rsidP="00B765C1">
      <w:pPr>
        <w:rPr>
          <w:lang w:val="en-GB"/>
        </w:rPr>
      </w:pPr>
    </w:p>
    <w:p w14:paraId="190E0A68" w14:textId="77777777" w:rsidR="006B301F" w:rsidRPr="006A6D19" w:rsidRDefault="006B301F" w:rsidP="006B301F">
      <w:pPr>
        <w:pStyle w:val="Undertittel"/>
        <w:rPr>
          <w:lang w:val="en-GB"/>
        </w:rPr>
      </w:pPr>
      <w:r w:rsidRPr="006A6D19">
        <w:rPr>
          <w:lang w:val="en-GB"/>
        </w:rPr>
        <w:t>Assessment by Civil Society</w:t>
      </w:r>
    </w:p>
    <w:p w14:paraId="3350D612" w14:textId="77777777" w:rsidR="008A5841" w:rsidRPr="006A6D19" w:rsidRDefault="008A5841" w:rsidP="00B765C1">
      <w:pPr>
        <w:rPr>
          <w:rStyle w:val="kursiv"/>
          <w:lang w:val="en-GB"/>
        </w:rPr>
      </w:pPr>
      <w:r w:rsidRPr="006A6D19">
        <w:rPr>
          <w:lang w:val="en-GB"/>
        </w:rPr>
        <w:t xml:space="preserve">The following organisations have participated in this assessment: </w:t>
      </w:r>
      <w:r w:rsidRPr="006A6D19">
        <w:rPr>
          <w:lang w:val="en-GB"/>
        </w:rPr>
        <w:t>The Norwegian Forum for Development and Environment (</w:t>
      </w:r>
      <w:proofErr w:type="spellStart"/>
      <w:r w:rsidRPr="006A6D19">
        <w:rPr>
          <w:lang w:val="en-GB"/>
        </w:rPr>
        <w:t>ForUM</w:t>
      </w:r>
      <w:proofErr w:type="spellEnd"/>
      <w:r w:rsidRPr="006A6D19">
        <w:rPr>
          <w:lang w:val="en-GB"/>
        </w:rPr>
        <w:t>), Association for International Water Studies (FIVAS) Changemaker, Debt Justice Norway, Norwegian Azerbaijanis’ Youth Organization (NAYO), The future in Our Hands (FIVH), WWF Norway.</w:t>
      </w:r>
    </w:p>
    <w:p w14:paraId="3F3141E9" w14:textId="2E4982A1" w:rsidR="008A5841" w:rsidRPr="006A6D19" w:rsidRDefault="008A5841" w:rsidP="00B765C1">
      <w:pPr>
        <w:rPr>
          <w:lang w:val="en-GB"/>
        </w:rPr>
      </w:pPr>
      <w:r>
        <w:rPr>
          <w:noProof/>
          <w:lang w:val="en-GB"/>
        </w:rPr>
        <w:drawing>
          <wp:inline distT="0" distB="0" distL="0" distR="0" wp14:anchorId="08D77269" wp14:editId="4C4CEE73">
            <wp:extent cx="561975" cy="561975"/>
            <wp:effectExtent l="0" t="0" r="9525" b="9525"/>
            <wp:docPr id="1828131013" name="Bilde 85" descr="Arrow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511570" name="Bilde 85" descr="Arrow down"/>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r>
        <w:rPr>
          <w:rStyle w:val="halvfet"/>
          <w:lang w:val="en-GB"/>
        </w:rPr>
        <w:t xml:space="preserve"> </w:t>
      </w:r>
      <w:r w:rsidRPr="006A6D19">
        <w:rPr>
          <w:rStyle w:val="halvfet"/>
          <w:lang w:val="en-GB"/>
        </w:rPr>
        <w:t>Trend:</w:t>
      </w:r>
      <w:r w:rsidRPr="006A6D19">
        <w:rPr>
          <w:lang w:val="en-GB"/>
        </w:rPr>
        <w:t xml:space="preserve"> Negative</w:t>
      </w:r>
      <w:r w:rsidR="001609FA" w:rsidRPr="006A6D19">
        <w:rPr>
          <w:lang w:val="en-GB"/>
        </w:rPr>
        <w:t xml:space="preserve"> </w:t>
      </w:r>
    </w:p>
    <w:p w14:paraId="5FBA6B86" w14:textId="77777777" w:rsidR="008A5841" w:rsidRPr="006A6D19" w:rsidRDefault="008A5841" w:rsidP="00B765C1">
      <w:pPr>
        <w:rPr>
          <w:lang w:val="en-GB"/>
        </w:rPr>
      </w:pPr>
      <w:r w:rsidRPr="006A6D19">
        <w:rPr>
          <w:rStyle w:val="halvfet"/>
          <w:lang w:val="en-GB"/>
        </w:rPr>
        <w:t xml:space="preserve">Norway has succeeded </w:t>
      </w:r>
      <w:r w:rsidRPr="006A6D19">
        <w:rPr>
          <w:lang w:val="en-GB"/>
        </w:rPr>
        <w:t>in</w:t>
      </w:r>
      <w:r w:rsidRPr="006A6D19">
        <w:rPr>
          <w:rStyle w:val="halvfet"/>
          <w:lang w:val="en-GB"/>
        </w:rPr>
        <w:t xml:space="preserve"> </w:t>
      </w:r>
      <w:r w:rsidRPr="006A6D19">
        <w:rPr>
          <w:lang w:val="en-GB"/>
        </w:rPr>
        <w:t>strengthening its policy framework for the circular economy. Following the national strategy of 2021, the Government launched a Circular Economy Action Plan in 2024 and a national circularity mission in 2025, creating a more coherent foundation for systemic change. An expert group for the circular economy was also established in 2025 and has made several recommendations for circular measures that are now under consideration. Norway continues to maintain stable systems for hazardous</w:t>
      </w:r>
      <w:r w:rsidRPr="006A6D19">
        <w:rPr>
          <w:lang w:val="en-GB"/>
        </w:rPr>
        <w:noBreakHyphen/>
        <w:t>waste management and repo</w:t>
      </w:r>
      <w:r w:rsidRPr="006A6D19">
        <w:rPr>
          <w:lang w:val="en-GB"/>
        </w:rPr>
        <w:t>rting, fulfilling international obligations under multilateral agreements. Updated national data show hazardous waste generation at 303 kg per capita in 2023, indicating consistent monitoring across sectors. The national recycling rate reached 40.9 percent in 2023, supported by well</w:t>
      </w:r>
      <w:r w:rsidRPr="006A6D19">
        <w:rPr>
          <w:lang w:val="en-GB"/>
        </w:rPr>
        <w:noBreakHyphen/>
        <w:t>functioning systems for glass and metal recycling and high collection rates through the deposit</w:t>
      </w:r>
      <w:r w:rsidRPr="006A6D19">
        <w:rPr>
          <w:lang w:val="en-GB"/>
        </w:rPr>
        <w:noBreakHyphen/>
        <w:t>return scheme for single</w:t>
      </w:r>
      <w:r w:rsidRPr="006A6D19">
        <w:rPr>
          <w:lang w:val="en-GB"/>
        </w:rPr>
        <w:noBreakHyphen/>
        <w:t>use beverage containers. These remain strong pillars in Norway’s waste system. Circularity analyses also in</w:t>
      </w:r>
      <w:r w:rsidRPr="006A6D19">
        <w:rPr>
          <w:lang w:val="en-GB"/>
        </w:rPr>
        <w:t>dicate early signs of reduced fossil</w:t>
      </w:r>
      <w:r w:rsidRPr="006A6D19">
        <w:rPr>
          <w:lang w:val="en-GB"/>
        </w:rPr>
        <w:noBreakHyphen/>
        <w:t>fuel use and increased use of secondary materials in parts of the economy, although these improvements have not yet substantially increased the country’s overall circularity rate.</w:t>
      </w:r>
    </w:p>
    <w:p w14:paraId="0DBBD264" w14:textId="77777777" w:rsidR="008A5841" w:rsidRPr="006A6D19" w:rsidRDefault="008A5841" w:rsidP="00B765C1">
      <w:pPr>
        <w:rPr>
          <w:lang w:val="en-GB"/>
        </w:rPr>
      </w:pPr>
      <w:r w:rsidRPr="006A6D19">
        <w:rPr>
          <w:rStyle w:val="halvfet"/>
          <w:lang w:val="en-GB"/>
        </w:rPr>
        <w:t xml:space="preserve">Norway’s challenge is </w:t>
      </w:r>
      <w:r w:rsidRPr="006A6D19">
        <w:rPr>
          <w:lang w:val="en-GB"/>
        </w:rPr>
        <w:t>that</w:t>
      </w:r>
      <w:r w:rsidRPr="006A6D19">
        <w:rPr>
          <w:rStyle w:val="halvfet"/>
          <w:lang w:val="en-GB"/>
        </w:rPr>
        <w:t xml:space="preserve"> </w:t>
      </w:r>
      <w:r w:rsidRPr="006A6D19">
        <w:rPr>
          <w:lang w:val="en-GB"/>
        </w:rPr>
        <w:t xml:space="preserve">Norway continues to have one of the world’s highest levels of resource consumption. The national material footprint increased by 6 percent between 2018 and 2022, reaching 208 million tonnes, of which 77 percent is imported. This shifts environmental burdens abroad and increases exposure to geopolitical and supply-chain instability. The country remains among </w:t>
      </w:r>
      <w:r w:rsidRPr="006A6D19">
        <w:rPr>
          <w:lang w:val="en-GB"/>
        </w:rPr>
        <w:lastRenderedPageBreak/>
        <w:t>Europe’s least circular economies. Norway is 2 percent circular according to the 2025 Circularity Gap Report, while earlier assessments showed 2.4 perce</w:t>
      </w:r>
      <w:r w:rsidRPr="006A6D19">
        <w:rPr>
          <w:lang w:val="en-GB"/>
        </w:rPr>
        <w:t>nt, both significantly below European averages. A growing majority of Norway’s consumption</w:t>
      </w:r>
      <w:r w:rsidRPr="006A6D19">
        <w:rPr>
          <w:lang w:val="en-GB"/>
        </w:rPr>
        <w:noBreakHyphen/>
        <w:t>based emissions now occur outside its borders. According to the latest figures, 71 percent of emissions from goods and services consumed in Norway take place abroad, up from 66 percent in 2018, demonstrating the limitations of territorial</w:t>
      </w:r>
      <w:r w:rsidRPr="006A6D19">
        <w:rPr>
          <w:lang w:val="en-GB"/>
        </w:rPr>
        <w:noBreakHyphen/>
        <w:t>based climate accounting. Municipal waste generation remains high. Since 2016, municipal solid waste has exceeded 700 kg per capita, far above the EU average of 513 kg in 2022. Chang</w:t>
      </w:r>
      <w:r w:rsidRPr="006A6D19">
        <w:rPr>
          <w:lang w:val="en-GB"/>
        </w:rPr>
        <w:t>es in reporting practices partly explain this increase, but the underlying trend still reflects a high</w:t>
      </w:r>
      <w:r w:rsidRPr="006A6D19">
        <w:rPr>
          <w:lang w:val="en-GB"/>
        </w:rPr>
        <w:noBreakHyphen/>
        <w:t>consumption society. Food waste remains substantial. In 2021, total food waste was estimated at around 450,000 tonnes, with the grocery sector alone responsible for more than 60,000 tonnes and significant untapped potential for feed and biogas conversion. Nordic</w:t>
      </w:r>
      <w:r w:rsidRPr="006A6D19">
        <w:rPr>
          <w:lang w:val="en-GB"/>
        </w:rPr>
        <w:noBreakHyphen/>
        <w:t>level assessments show stagnation. The Nordic Sustainable Development Report (2025) identifies persistent challenges under SDG 12 across the regio</w:t>
      </w:r>
      <w:r w:rsidRPr="006A6D19">
        <w:rPr>
          <w:lang w:val="en-GB"/>
        </w:rPr>
        <w:t>n, and international benchmarking through the 2025 SDG Index highlights Norway’s notably high environmental spillover impacts.</w:t>
      </w:r>
    </w:p>
    <w:p w14:paraId="79831094" w14:textId="77777777" w:rsidR="008A5841" w:rsidRPr="006A6D19" w:rsidRDefault="008A5841" w:rsidP="006B301F">
      <w:pPr>
        <w:pStyle w:val="avsnitt-undertittel"/>
        <w:rPr>
          <w:lang w:val="en-GB"/>
        </w:rPr>
      </w:pPr>
      <w:r w:rsidRPr="006A6D19">
        <w:rPr>
          <w:lang w:val="en-GB"/>
        </w:rPr>
        <w:t>Norway must:</w:t>
      </w:r>
    </w:p>
    <w:p w14:paraId="341FFE32" w14:textId="77777777" w:rsidR="008A5841" w:rsidRPr="006A6D19" w:rsidRDefault="008A5841" w:rsidP="00B765C1">
      <w:pPr>
        <w:pStyle w:val="Listebombe"/>
        <w:rPr>
          <w:lang w:val="en-GB"/>
        </w:rPr>
      </w:pPr>
      <w:r w:rsidRPr="006A6D19">
        <w:rPr>
          <w:lang w:val="en-GB"/>
        </w:rPr>
        <w:t>Prepare and implement binding measures under the 2024 Circular Economy Action Plan, ensuring strong incentives for reuse, repair, sharing and extended product lifetimes.</w:t>
      </w:r>
    </w:p>
    <w:p w14:paraId="4A678487" w14:textId="77777777" w:rsidR="008A5841" w:rsidRPr="006A6D19" w:rsidRDefault="008A5841" w:rsidP="00B765C1">
      <w:pPr>
        <w:pStyle w:val="Listebombe"/>
        <w:rPr>
          <w:lang w:val="en-GB"/>
        </w:rPr>
      </w:pPr>
      <w:r w:rsidRPr="006A6D19">
        <w:rPr>
          <w:lang w:val="en-GB"/>
        </w:rPr>
        <w:t>Integrate consumption</w:t>
      </w:r>
      <w:r w:rsidRPr="006A6D19">
        <w:rPr>
          <w:lang w:val="en-GB"/>
        </w:rPr>
        <w:noBreakHyphen/>
        <w:t>based emissions into national planning and indicator systems, given that most emissions now occur abroad.</w:t>
      </w:r>
    </w:p>
    <w:p w14:paraId="00540A03" w14:textId="77777777" w:rsidR="008A5841" w:rsidRPr="006A6D19" w:rsidRDefault="008A5841" w:rsidP="00B765C1">
      <w:pPr>
        <w:pStyle w:val="Listebombe"/>
        <w:rPr>
          <w:lang w:val="en-GB"/>
        </w:rPr>
      </w:pPr>
      <w:r w:rsidRPr="006A6D19">
        <w:rPr>
          <w:lang w:val="en-GB"/>
        </w:rPr>
        <w:t>Develop national reduction targets for the consumption- and material footprint indicators that Norway is reporting on to EU.</w:t>
      </w:r>
    </w:p>
    <w:p w14:paraId="3310B5D6" w14:textId="77777777" w:rsidR="008A5841" w:rsidRPr="006A6D19" w:rsidRDefault="008A5841" w:rsidP="00B765C1">
      <w:pPr>
        <w:pStyle w:val="Listebombe"/>
        <w:rPr>
          <w:lang w:val="en-GB"/>
        </w:rPr>
      </w:pPr>
      <w:r w:rsidRPr="006A6D19">
        <w:rPr>
          <w:lang w:val="en-GB"/>
        </w:rPr>
        <w:t>Move from voluntary to legally binding targets to reduce food waste, while scaling infrastructure for feed and biogas conversion.</w:t>
      </w:r>
    </w:p>
    <w:p w14:paraId="231C94AF" w14:textId="77777777" w:rsidR="008A5841" w:rsidRPr="006A6D19" w:rsidRDefault="008A5841" w:rsidP="00B765C1">
      <w:pPr>
        <w:pStyle w:val="Listebombe"/>
        <w:rPr>
          <w:lang w:val="en-GB"/>
        </w:rPr>
      </w:pPr>
      <w:r w:rsidRPr="006A6D19">
        <w:rPr>
          <w:lang w:val="en-GB"/>
        </w:rPr>
        <w:t>Strengthen consumer rights and circular markets by ensuring access to spare parts, the right to repair and minimum requirements for product durability.</w:t>
      </w:r>
    </w:p>
    <w:p w14:paraId="1A80B972" w14:textId="77777777" w:rsidR="008A5841" w:rsidRPr="006A6D19" w:rsidRDefault="008A5841" w:rsidP="00B765C1">
      <w:pPr>
        <w:pStyle w:val="Listebombe"/>
        <w:rPr>
          <w:lang w:val="en-GB"/>
        </w:rPr>
      </w:pPr>
      <w:r w:rsidRPr="006A6D19">
        <w:rPr>
          <w:lang w:val="en-GB"/>
        </w:rPr>
        <w:t>Reform the tax system to incentivise circular consumption models such as leasing, reuse and sharing, while discouraging resource</w:t>
      </w:r>
      <w:r w:rsidRPr="006A6D19">
        <w:rPr>
          <w:lang w:val="en-GB"/>
        </w:rPr>
        <w:noBreakHyphen/>
        <w:t>intensive consumption.</w:t>
      </w:r>
    </w:p>
    <w:p w14:paraId="575702E9" w14:textId="77777777" w:rsidR="008A5841" w:rsidRPr="006A6D19" w:rsidRDefault="008A5841" w:rsidP="00B765C1">
      <w:pPr>
        <w:pStyle w:val="Listebombe"/>
        <w:rPr>
          <w:lang w:val="en-GB"/>
        </w:rPr>
      </w:pPr>
      <w:r w:rsidRPr="006A6D19">
        <w:rPr>
          <w:lang w:val="en-GB"/>
        </w:rPr>
        <w:t>Use public procurement strategically to accelerate the transition to circular and non</w:t>
      </w:r>
      <w:r w:rsidRPr="006A6D19">
        <w:rPr>
          <w:lang w:val="en-GB"/>
        </w:rPr>
        <w:noBreakHyphen/>
        <w:t>toxic material cycles.</w:t>
      </w:r>
    </w:p>
    <w:p w14:paraId="40177CD6" w14:textId="77777777" w:rsidR="008A5841" w:rsidRPr="006A6D19" w:rsidRDefault="008A5841" w:rsidP="00B765C1">
      <w:pPr>
        <w:pStyle w:val="Listebombe"/>
        <w:rPr>
          <w:lang w:val="en-GB"/>
        </w:rPr>
      </w:pPr>
      <w:r w:rsidRPr="006A6D19">
        <w:rPr>
          <w:lang w:val="en-GB"/>
        </w:rPr>
        <w:t>Restore and expand publicly accessible chemical</w:t>
      </w:r>
      <w:r w:rsidRPr="006A6D19">
        <w:rPr>
          <w:lang w:val="en-GB"/>
        </w:rPr>
        <w:noBreakHyphen/>
        <w:t>information systems to support safe consumer choices.</w:t>
      </w:r>
    </w:p>
    <w:p w14:paraId="601CEF90" w14:textId="77777777" w:rsidR="008A5841" w:rsidRPr="006A6D19" w:rsidRDefault="008A5841" w:rsidP="00B765C1">
      <w:pPr>
        <w:rPr>
          <w:lang w:val="en-GB"/>
        </w:rPr>
      </w:pPr>
    </w:p>
    <w:p w14:paraId="511F4EA3" w14:textId="77777777" w:rsidR="008A5841" w:rsidRPr="006A6D19" w:rsidRDefault="008A5841" w:rsidP="001609FA">
      <w:pPr>
        <w:pStyle w:val="UnOverskrift3"/>
        <w:rPr>
          <w:lang w:val="en-GB"/>
        </w:rPr>
      </w:pPr>
      <w:r w:rsidRPr="006A6D19">
        <w:rPr>
          <w:lang w:val="en-GB"/>
        </w:rPr>
        <w:lastRenderedPageBreak/>
        <w:t>13 Climate Action</w:t>
      </w:r>
    </w:p>
    <w:p w14:paraId="3918AF90" w14:textId="7DBE8827" w:rsidR="008A5841" w:rsidRPr="006A6D19" w:rsidRDefault="00BB2AF4" w:rsidP="001609FA">
      <w:pPr>
        <w:rPr>
          <w:lang w:val="en-GB"/>
        </w:rPr>
      </w:pPr>
      <w:r w:rsidRPr="006A6D19">
        <w:rPr>
          <w:noProof/>
          <w:lang w:val="en-GB"/>
        </w:rPr>
        <w:drawing>
          <wp:inline distT="0" distB="0" distL="0" distR="0" wp14:anchorId="57EDD064" wp14:editId="00F55E1C">
            <wp:extent cx="2857500" cy="2857500"/>
            <wp:effectExtent l="0" t="0" r="0" b="0"/>
            <wp:docPr id="655662877" name="Bilde 55" descr="Goal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662877" name="Bilde 55" descr="Goal 1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0313F3D1" w14:textId="77777777" w:rsidR="008A5841" w:rsidRPr="006A6D19" w:rsidRDefault="008A5841" w:rsidP="006B301F">
      <w:pPr>
        <w:pStyle w:val="Undertittel"/>
        <w:rPr>
          <w:lang w:val="en-GB"/>
        </w:rPr>
      </w:pPr>
      <w:r w:rsidRPr="006A6D19">
        <w:rPr>
          <w:lang w:val="en-GB"/>
        </w:rPr>
        <w:t>Government Assessment</w:t>
      </w:r>
    </w:p>
    <w:tbl>
      <w:tblPr>
        <w:tblW w:w="5000" w:type="pct"/>
        <w:tblCellMar>
          <w:left w:w="0" w:type="dxa"/>
          <w:right w:w="0" w:type="dxa"/>
        </w:tblCellMar>
        <w:tblLook w:val="0000" w:firstRow="0" w:lastRow="0" w:firstColumn="0" w:lastColumn="0" w:noHBand="0" w:noVBand="0"/>
      </w:tblPr>
      <w:tblGrid>
        <w:gridCol w:w="1337"/>
        <w:gridCol w:w="7468"/>
        <w:gridCol w:w="1645"/>
      </w:tblGrid>
      <w:tr w:rsidR="00000000" w:rsidRPr="006A6D19" w14:paraId="781CA93A" w14:textId="77777777" w:rsidTr="001609FA">
        <w:tblPrEx>
          <w:tblCellMar>
            <w:top w:w="0" w:type="dxa"/>
            <w:left w:w="0" w:type="dxa"/>
            <w:bottom w:w="0" w:type="dxa"/>
            <w:right w:w="0" w:type="dxa"/>
          </w:tblCellMar>
        </w:tblPrEx>
        <w:trPr>
          <w:trHeight w:val="60"/>
        </w:trPr>
        <w:tc>
          <w:tcPr>
            <w:tcW w:w="64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F7D5DDC" w14:textId="77777777" w:rsidR="008A5841" w:rsidRPr="006A6D19" w:rsidRDefault="008A5841" w:rsidP="00B765C1">
            <w:pPr>
              <w:rPr>
                <w:lang w:val="en-GB"/>
              </w:rPr>
            </w:pPr>
            <w:r w:rsidRPr="006A6D19">
              <w:rPr>
                <w:lang w:val="en-GB"/>
              </w:rPr>
              <w:t xml:space="preserve">13.1 </w:t>
            </w:r>
          </w:p>
        </w:tc>
        <w:tc>
          <w:tcPr>
            <w:tcW w:w="357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77869EF5" w14:textId="77777777" w:rsidR="008A5841" w:rsidRPr="006A6D19" w:rsidRDefault="008A5841" w:rsidP="00B765C1">
            <w:pPr>
              <w:rPr>
                <w:lang w:val="en-GB"/>
              </w:rPr>
            </w:pPr>
            <w:r w:rsidRPr="006A6D19">
              <w:rPr>
                <w:lang w:val="en-GB"/>
              </w:rPr>
              <w:t>Norway is relatively resilient and has strong capacity to adapt to climate change and natural disasters. Climate change will create a greater need for climate adaptation in the years ahead, and costs are expected to rise.</w:t>
            </w:r>
          </w:p>
        </w:tc>
        <w:tc>
          <w:tcPr>
            <w:tcW w:w="783"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028D0C47" w14:textId="3A721DC1" w:rsidR="008A5841" w:rsidRPr="006A6D19" w:rsidRDefault="008D2934" w:rsidP="00B765C1">
            <w:pPr>
              <w:rPr>
                <w:lang w:val="en-GB"/>
              </w:rPr>
            </w:pPr>
            <w:r>
              <w:rPr>
                <w:noProof/>
              </w:rPr>
              <w:drawing>
                <wp:inline distT="0" distB="0" distL="0" distR="0" wp14:anchorId="46EC3FAB" wp14:editId="705352B1">
                  <wp:extent cx="990600" cy="447675"/>
                  <wp:effectExtent l="0" t="0" r="0" b="9525"/>
                  <wp:docPr id="205440453" name="Bilde 3" descr="Close to target. Progress i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804348" name="Bilde 3" descr="Close to target. Progress is positiv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738CF7C7" w14:textId="77777777" w:rsidTr="001609FA">
        <w:tblPrEx>
          <w:tblCellMar>
            <w:top w:w="0" w:type="dxa"/>
            <w:left w:w="0" w:type="dxa"/>
            <w:bottom w:w="0" w:type="dxa"/>
            <w:right w:w="0" w:type="dxa"/>
          </w:tblCellMar>
        </w:tblPrEx>
        <w:trPr>
          <w:trHeight w:val="60"/>
        </w:trPr>
        <w:tc>
          <w:tcPr>
            <w:tcW w:w="64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7E950111" w14:textId="77777777" w:rsidR="008A5841" w:rsidRPr="006A6D19" w:rsidRDefault="008A5841" w:rsidP="00B765C1">
            <w:pPr>
              <w:rPr>
                <w:lang w:val="en-GB"/>
              </w:rPr>
            </w:pPr>
            <w:r w:rsidRPr="006A6D19">
              <w:rPr>
                <w:lang w:val="en-GB"/>
              </w:rPr>
              <w:t xml:space="preserve">13.2 </w:t>
            </w:r>
          </w:p>
        </w:tc>
        <w:tc>
          <w:tcPr>
            <w:tcW w:w="357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556E8C8" w14:textId="77777777" w:rsidR="008A5841" w:rsidRPr="006A6D19" w:rsidRDefault="008A5841" w:rsidP="00B765C1">
            <w:pPr>
              <w:rPr>
                <w:lang w:val="en-GB"/>
              </w:rPr>
            </w:pPr>
            <w:r w:rsidRPr="006A6D19">
              <w:rPr>
                <w:lang w:val="en-GB"/>
              </w:rPr>
              <w:t>Climate measures are integrated into national policies and strategies. A large share of emissions in Norway is covered by economic instruments. Emissions are regulated through the Pollution Control Act, standards, agreements, and subsidies for emission-reducing measures.</w:t>
            </w:r>
          </w:p>
        </w:tc>
        <w:tc>
          <w:tcPr>
            <w:tcW w:w="783"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622D0105" w14:textId="0FDC9A16" w:rsidR="008A5841" w:rsidRPr="006A6D19" w:rsidRDefault="008D2934" w:rsidP="00B765C1">
            <w:pPr>
              <w:rPr>
                <w:lang w:val="en-GB"/>
              </w:rPr>
            </w:pPr>
            <w:r>
              <w:rPr>
                <w:noProof/>
              </w:rPr>
              <w:drawing>
                <wp:inline distT="0" distB="0" distL="0" distR="0" wp14:anchorId="1D0FF8BD" wp14:editId="08C63B61">
                  <wp:extent cx="990600" cy="447675"/>
                  <wp:effectExtent l="0" t="0" r="0" b="9525"/>
                  <wp:docPr id="293423821" name="Bilde 3" descr="Close to target. Progress i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804348" name="Bilde 3" descr="Close to target. Progress is positiv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685A6548" w14:textId="77777777" w:rsidTr="001609FA">
        <w:tblPrEx>
          <w:tblCellMar>
            <w:top w:w="0" w:type="dxa"/>
            <w:left w:w="0" w:type="dxa"/>
            <w:bottom w:w="0" w:type="dxa"/>
            <w:right w:w="0" w:type="dxa"/>
          </w:tblCellMar>
        </w:tblPrEx>
        <w:trPr>
          <w:trHeight w:val="60"/>
        </w:trPr>
        <w:tc>
          <w:tcPr>
            <w:tcW w:w="64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020A7AC4" w14:textId="77777777" w:rsidR="008A5841" w:rsidRPr="006A6D19" w:rsidRDefault="008A5841" w:rsidP="00B765C1">
            <w:pPr>
              <w:rPr>
                <w:lang w:val="en-GB"/>
              </w:rPr>
            </w:pPr>
            <w:r w:rsidRPr="006A6D19">
              <w:rPr>
                <w:lang w:val="en-GB"/>
              </w:rPr>
              <w:t xml:space="preserve">13.3 </w:t>
            </w:r>
          </w:p>
        </w:tc>
        <w:tc>
          <w:tcPr>
            <w:tcW w:w="357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67147337" w14:textId="77777777" w:rsidR="008A5841" w:rsidRPr="006A6D19" w:rsidRDefault="008A5841" w:rsidP="00B765C1">
            <w:pPr>
              <w:rPr>
                <w:lang w:val="en-GB"/>
              </w:rPr>
            </w:pPr>
            <w:r w:rsidRPr="006A6D19">
              <w:rPr>
                <w:lang w:val="en-GB"/>
              </w:rPr>
              <w:t>The Government is working to make society less vulnerable to climate change, including by making knowledge available to municipal authorities and other stakeholders, for example through Klimatilpasning.no.</w:t>
            </w:r>
          </w:p>
        </w:tc>
        <w:tc>
          <w:tcPr>
            <w:tcW w:w="783"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694DFCC" w14:textId="72D1D11C" w:rsidR="008A5841" w:rsidRPr="006A6D19" w:rsidRDefault="008D2934" w:rsidP="00B765C1">
            <w:pPr>
              <w:rPr>
                <w:lang w:val="en-GB"/>
              </w:rPr>
            </w:pPr>
            <w:r>
              <w:rPr>
                <w:noProof/>
              </w:rPr>
              <w:drawing>
                <wp:inline distT="0" distB="0" distL="0" distR="0" wp14:anchorId="7650267D" wp14:editId="7BE18B68">
                  <wp:extent cx="990600" cy="447675"/>
                  <wp:effectExtent l="0" t="0" r="0" b="9525"/>
                  <wp:docPr id="1429215758" name="Bilde 3" descr="Close to target. Progress i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804348" name="Bilde 3" descr="Close to target. Progress is positiv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7DA0218E" w14:textId="77777777" w:rsidTr="001609FA">
        <w:tblPrEx>
          <w:tblCellMar>
            <w:top w:w="0" w:type="dxa"/>
            <w:left w:w="0" w:type="dxa"/>
            <w:bottom w:w="0" w:type="dxa"/>
            <w:right w:w="0" w:type="dxa"/>
          </w:tblCellMar>
        </w:tblPrEx>
        <w:trPr>
          <w:trHeight w:val="60"/>
        </w:trPr>
        <w:tc>
          <w:tcPr>
            <w:tcW w:w="64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6EEC62A1" w14:textId="4591FD81" w:rsidR="008A5841" w:rsidRPr="006A6D19" w:rsidRDefault="008A5841" w:rsidP="00B765C1">
            <w:pPr>
              <w:rPr>
                <w:lang w:val="en-GB"/>
              </w:rPr>
            </w:pPr>
            <w:r w:rsidRPr="006A6D19">
              <w:rPr>
                <w:lang w:val="en-GB"/>
              </w:rPr>
              <w:t>13.A</w:t>
            </w:r>
            <w:r w:rsidR="001609FA" w:rsidRPr="006A6D19">
              <w:rPr>
                <w:lang w:val="en-GB"/>
              </w:rPr>
              <w:t xml:space="preserve"> </w:t>
            </w:r>
          </w:p>
        </w:tc>
        <w:tc>
          <w:tcPr>
            <w:tcW w:w="357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7D90B4C5" w14:textId="77777777" w:rsidR="008A5841" w:rsidRPr="006A6D19" w:rsidRDefault="008A5841" w:rsidP="00B765C1">
            <w:pPr>
              <w:rPr>
                <w:lang w:val="en-GB"/>
              </w:rPr>
            </w:pPr>
            <w:r w:rsidRPr="006A6D19">
              <w:rPr>
                <w:lang w:val="en-GB"/>
              </w:rPr>
              <w:t>Norwegian climate finance totalled around NOK 18.7 billion in 2024. The Green Climate Fund (GCF) is fully operational, and Norway has provided about USD 1 billion to its capitalisation.</w:t>
            </w:r>
          </w:p>
        </w:tc>
        <w:tc>
          <w:tcPr>
            <w:tcW w:w="783"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373D431" w14:textId="7A97CF59" w:rsidR="008A5841" w:rsidRPr="006A6D19" w:rsidRDefault="008D2934" w:rsidP="00B765C1">
            <w:pPr>
              <w:rPr>
                <w:lang w:val="en-GB"/>
              </w:rPr>
            </w:pPr>
            <w:r>
              <w:rPr>
                <w:noProof/>
              </w:rPr>
              <w:drawing>
                <wp:inline distT="0" distB="0" distL="0" distR="0" wp14:anchorId="2CFA8B8F" wp14:editId="22C8BB1A">
                  <wp:extent cx="990600" cy="447675"/>
                  <wp:effectExtent l="0" t="0" r="0" b="9525"/>
                  <wp:docPr id="1595692683" name="Bilde 3" descr="Close to target. Progress i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804348" name="Bilde 3" descr="Close to target. Progress is positiv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0E7125EE" w14:textId="77777777" w:rsidTr="001609FA">
        <w:tblPrEx>
          <w:tblCellMar>
            <w:top w:w="0" w:type="dxa"/>
            <w:left w:w="0" w:type="dxa"/>
            <w:bottom w:w="0" w:type="dxa"/>
            <w:right w:w="0" w:type="dxa"/>
          </w:tblCellMar>
        </w:tblPrEx>
        <w:trPr>
          <w:trHeight w:val="60"/>
        </w:trPr>
        <w:tc>
          <w:tcPr>
            <w:tcW w:w="64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033448EA" w14:textId="77777777" w:rsidR="008A5841" w:rsidRPr="006A6D19" w:rsidRDefault="008A5841" w:rsidP="00B765C1">
            <w:pPr>
              <w:rPr>
                <w:lang w:val="en-GB"/>
              </w:rPr>
            </w:pPr>
            <w:r w:rsidRPr="006A6D19">
              <w:rPr>
                <w:lang w:val="en-GB"/>
              </w:rPr>
              <w:t xml:space="preserve">13.B </w:t>
            </w:r>
          </w:p>
        </w:tc>
        <w:tc>
          <w:tcPr>
            <w:tcW w:w="3575"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07DDE418" w14:textId="77777777" w:rsidR="008A5841" w:rsidRPr="006A6D19" w:rsidRDefault="008A5841" w:rsidP="00B765C1">
            <w:pPr>
              <w:rPr>
                <w:lang w:val="en-GB"/>
              </w:rPr>
            </w:pPr>
            <w:r w:rsidRPr="006A6D19">
              <w:rPr>
                <w:lang w:val="en-GB"/>
              </w:rPr>
              <w:t>GCF’s Readiness Programme has a particular focus on LDCs and SIDS. Norway contributes to this through its strong and reliable support to GCF.</w:t>
            </w:r>
          </w:p>
          <w:p w14:paraId="66843134" w14:textId="77777777" w:rsidR="008A5841" w:rsidRPr="006A6D19" w:rsidRDefault="008A5841" w:rsidP="00B765C1">
            <w:pPr>
              <w:rPr>
                <w:lang w:val="en-GB"/>
              </w:rPr>
            </w:pPr>
            <w:r w:rsidRPr="006A6D19">
              <w:rPr>
                <w:lang w:val="en-GB"/>
              </w:rPr>
              <w:t>Norway supports capacity building for participation in negotiations to LDCs and AOSIS through UNDP. Women are prioritised.</w:t>
            </w:r>
          </w:p>
          <w:p w14:paraId="78608978" w14:textId="77777777" w:rsidR="008A5841" w:rsidRPr="006A6D19" w:rsidRDefault="008A5841" w:rsidP="00B765C1">
            <w:pPr>
              <w:rPr>
                <w:lang w:val="en-GB"/>
              </w:rPr>
            </w:pPr>
            <w:r w:rsidRPr="006A6D19">
              <w:rPr>
                <w:lang w:val="en-GB"/>
              </w:rPr>
              <w:lastRenderedPageBreak/>
              <w:t xml:space="preserve">Norway is a strong and reliable supporter of Global Environmental Facility (GEF) that supports Enhanced Transparency Framework (ETF) through Capacity-Building Initiative (CBIT). </w:t>
            </w:r>
          </w:p>
        </w:tc>
        <w:tc>
          <w:tcPr>
            <w:tcW w:w="783"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A86BF99" w14:textId="5B9DD025" w:rsidR="008A5841" w:rsidRPr="006A6D19" w:rsidRDefault="00541482" w:rsidP="00B765C1">
            <w:pPr>
              <w:rPr>
                <w:lang w:val="en-GB"/>
              </w:rPr>
            </w:pPr>
            <w:r>
              <w:rPr>
                <w:noProof/>
              </w:rPr>
              <w:lastRenderedPageBreak/>
              <w:drawing>
                <wp:inline distT="0" distB="0" distL="0" distR="0" wp14:anchorId="5046F701" wp14:editId="4D7EB9DA">
                  <wp:extent cx="990600" cy="447675"/>
                  <wp:effectExtent l="0" t="0" r="0" b="9525"/>
                  <wp:docPr id="1198429223" name="Bilde 4" descr="Target m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11348" name="Bilde 4" descr="Target met. Progress stagn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bl>
    <w:p w14:paraId="25C8CAAB" w14:textId="77777777" w:rsidR="008A5841" w:rsidRPr="006A6D19" w:rsidRDefault="008A5841" w:rsidP="00B765C1">
      <w:pPr>
        <w:rPr>
          <w:lang w:val="en-GB"/>
        </w:rPr>
      </w:pPr>
    </w:p>
    <w:p w14:paraId="2313C63C" w14:textId="77777777" w:rsidR="008A5841" w:rsidRPr="006A6D19" w:rsidRDefault="008A5841" w:rsidP="00B765C1">
      <w:pPr>
        <w:rPr>
          <w:lang w:val="en-GB"/>
        </w:rPr>
      </w:pPr>
      <w:r w:rsidRPr="006A6D19">
        <w:rPr>
          <w:rStyle w:val="halvfet"/>
          <w:lang w:val="en-GB"/>
        </w:rPr>
        <w:t xml:space="preserve">General Status: </w:t>
      </w:r>
      <w:r w:rsidRPr="006A6D19">
        <w:rPr>
          <w:lang w:val="en-GB"/>
        </w:rPr>
        <w:t>Follow-up of the Paris Agreement is the foundation for achieving Goal 13. Norway’s climate target for 2030 under the Paris Agreement is to reduce total greenhouse gas emissions by at least 55 percent compared with the 1990 level. This target is enshrined in the Norwegian Climate Change Act. The Government intends to continue its climate cooperation with the EU and is working on the basis that the 2030 target under the Paris Agreement will be achieved in collaboration with the EU. If necessary, Norway will u</w:t>
      </w:r>
      <w:r w:rsidRPr="006A6D19">
        <w:rPr>
          <w:lang w:val="en-GB"/>
        </w:rPr>
        <w:t>se voluntary cooperation under Article 6 of the Paris Agreement to fulfil the part that goes beyond what is achieved through the climate cooperation with the European Union.</w:t>
      </w:r>
    </w:p>
    <w:p w14:paraId="48A8A38B" w14:textId="77777777" w:rsidR="008A5841" w:rsidRPr="006A6D19" w:rsidRDefault="008A5841" w:rsidP="00B765C1">
      <w:pPr>
        <w:rPr>
          <w:lang w:val="en-GB"/>
        </w:rPr>
      </w:pPr>
      <w:r w:rsidRPr="006A6D19">
        <w:rPr>
          <w:lang w:val="en-GB"/>
        </w:rPr>
        <w:t xml:space="preserve">As a Party to the Paris Agreement, Norway submitted a new, strengthened climate target for 2035. In </w:t>
      </w:r>
      <w:r w:rsidRPr="006A6D19">
        <w:rPr>
          <w:rStyle w:val="kursiv"/>
          <w:lang w:val="en-GB"/>
        </w:rPr>
        <w:t>Legislative</w:t>
      </w:r>
      <w:r w:rsidRPr="006A6D19">
        <w:rPr>
          <w:lang w:val="en-GB"/>
        </w:rPr>
        <w:t xml:space="preserve"> </w:t>
      </w:r>
      <w:r w:rsidRPr="006A6D19">
        <w:rPr>
          <w:rStyle w:val="kursiv"/>
          <w:lang w:val="en-GB"/>
        </w:rPr>
        <w:t>Proposition 129 L (2024–2025) Amendments to the Climate Change Act (Climate Target for 2035)</w:t>
      </w:r>
      <w:r w:rsidRPr="006A6D19">
        <w:rPr>
          <w:lang w:val="en-GB"/>
        </w:rPr>
        <w:t>, the Government proposed that the new target should be to reduce emissions by at least 70–75 percent compared to 1990 levels. This was adopted by the Norwegian Parliament in June 2025 and enshrined in the Climate Change Act. Norway plans to fulfil the climate target for 2035 through domestic measures and in cooperation with the European Union in accordance with Article 6 of the Paris Agreement. If deemed necessary, achievement of the target can be supported by Internationally Transferred Mitigation Outcome</w:t>
      </w:r>
      <w:r w:rsidRPr="006A6D19">
        <w:rPr>
          <w:lang w:val="en-GB"/>
        </w:rPr>
        <w:t>s (ITMOs) acquired outside the European Economic Area (EEA).</w:t>
      </w:r>
    </w:p>
    <w:p w14:paraId="0896EABC" w14:textId="77777777" w:rsidR="008A5841" w:rsidRPr="006A6D19" w:rsidRDefault="008A5841" w:rsidP="00B765C1">
      <w:pPr>
        <w:rPr>
          <w:lang w:val="en-GB"/>
        </w:rPr>
      </w:pPr>
      <w:r w:rsidRPr="006A6D19">
        <w:rPr>
          <w:lang w:val="en-GB"/>
        </w:rPr>
        <w:t>Norway has a legally binding target of becoming a low-emission society by 2050. This means that by 2050, Norway must reduce greenhouse gas emissions by 90–95 percent compared with 1990 levels. In assessing target achievement, the effects of the EU Emissions Trading System (ETS) must be considered.</w:t>
      </w:r>
    </w:p>
    <w:p w14:paraId="20B7DC9B" w14:textId="77777777" w:rsidR="008A5841" w:rsidRPr="006A6D19" w:rsidRDefault="008A5841" w:rsidP="00B765C1">
      <w:pPr>
        <w:rPr>
          <w:lang w:val="en-GB"/>
        </w:rPr>
      </w:pPr>
      <w:r w:rsidRPr="006A6D19">
        <w:rPr>
          <w:rStyle w:val="halvfet"/>
          <w:lang w:val="en-GB"/>
        </w:rPr>
        <w:t>Main Achievements</w:t>
      </w:r>
      <w:r w:rsidRPr="006A6D19">
        <w:rPr>
          <w:lang w:val="en-GB"/>
        </w:rPr>
        <w:t>: In 2024, Norwegian greenhouse gas emissions totalled 44.6 million tonnes of CO</w:t>
      </w:r>
      <w:r w:rsidRPr="006A6D19">
        <w:rPr>
          <w:rStyle w:val="skrift-senket"/>
          <w:lang w:val="en-GB"/>
        </w:rPr>
        <w:t>2</w:t>
      </w:r>
      <w:r w:rsidRPr="006A6D19">
        <w:rPr>
          <w:lang w:val="en-GB"/>
        </w:rPr>
        <w:t xml:space="preserve"> equivalents. This is about 21 percent below the peak in 2007, and a reduction of 12.6 million tonnes since 1990. However, Norway’s cooperation with the EU means that Norwegian emissions cannot be assessed in isolation. The climate effect of Norway’s participation in the three pillars of the EU climate framework must also be included: the Effort Sharing Regulation, the Emissions Trading System, and the LULUCF regulation for forestry and land use. The instruments used to reduce emissions are described in the</w:t>
      </w:r>
      <w:r w:rsidRPr="006A6D19">
        <w:rPr>
          <w:lang w:val="en-GB"/>
        </w:rPr>
        <w:t xml:space="preserve"> Government’s Climate Status and Plan and in the Climate Report.</w:t>
      </w:r>
    </w:p>
    <w:p w14:paraId="4896E386" w14:textId="77777777" w:rsidR="008A5841" w:rsidRPr="006A6D19" w:rsidRDefault="008A5841" w:rsidP="00B765C1">
      <w:pPr>
        <w:rPr>
          <w:lang w:val="en-GB"/>
        </w:rPr>
      </w:pPr>
      <w:r w:rsidRPr="006A6D19">
        <w:rPr>
          <w:lang w:val="en-GB"/>
        </w:rPr>
        <w:t>Norway has governance systems for both climate mitigation and climate adaptation, aimed at ensuring better coordination between sectors, the development of national climate vulnerability assessments, updates to the adaptation policy, reporting, and regular evaluation of progress. The Government’s Climate Status and Plan outlines how Norway will fulfil its climate commitments for 2030.</w:t>
      </w:r>
    </w:p>
    <w:p w14:paraId="5FA374E1" w14:textId="77777777" w:rsidR="008A5841" w:rsidRPr="006A6D19" w:rsidRDefault="008A5841" w:rsidP="00B765C1">
      <w:pPr>
        <w:rPr>
          <w:lang w:val="en-GB"/>
        </w:rPr>
      </w:pPr>
      <w:r w:rsidRPr="006A6D19">
        <w:rPr>
          <w:rStyle w:val="halvfet"/>
          <w:lang w:val="en-GB"/>
        </w:rPr>
        <w:t>Norway’s Challenges</w:t>
      </w:r>
      <w:r w:rsidRPr="006A6D19">
        <w:rPr>
          <w:lang w:val="en-GB"/>
        </w:rPr>
        <w:t xml:space="preserve">: Emission projections show that with the continuation of existing policies, emissions in 2030 are expected to be about 26 percent lower than in 1990. The projection is uncertain and does not reflect the Government’s targets or the effects of new climate policies but shows that more </w:t>
      </w:r>
      <w:r w:rsidRPr="006A6D19">
        <w:rPr>
          <w:lang w:val="en-GB"/>
        </w:rPr>
        <w:lastRenderedPageBreak/>
        <w:t>action is needed to reach the 2030 target. The Government’s Climate Status and Plan for 2026 shows that planned policies are expected to further reduce emissions. The plan demonstrates how Norway, through a combination of existi</w:t>
      </w:r>
      <w:r w:rsidRPr="006A6D19">
        <w:rPr>
          <w:lang w:val="en-GB"/>
        </w:rPr>
        <w:t>ng policies, strengthened measures, and flexible mechanisms, can reduce emissions covered by the Effort Sharing Regulation by 50 percent by 2030.</w:t>
      </w:r>
    </w:p>
    <w:p w14:paraId="1CC7B67B" w14:textId="77777777" w:rsidR="008A5841" w:rsidRPr="006A6D19" w:rsidRDefault="008A5841" w:rsidP="00B765C1">
      <w:pPr>
        <w:rPr>
          <w:lang w:val="en-GB"/>
        </w:rPr>
      </w:pPr>
      <w:r w:rsidRPr="006A6D19">
        <w:rPr>
          <w:rStyle w:val="halvfet"/>
          <w:lang w:val="en-GB"/>
        </w:rPr>
        <w:t>Global</w:t>
      </w:r>
      <w:r w:rsidRPr="006A6D19">
        <w:rPr>
          <w:rStyle w:val="halvfet"/>
          <w:rFonts w:ascii="Arial" w:hAnsi="Arial" w:cs="Arial"/>
          <w:lang w:val="en-GB"/>
        </w:rPr>
        <w:t> </w:t>
      </w:r>
      <w:r w:rsidRPr="006A6D19">
        <w:rPr>
          <w:rStyle w:val="halvfet"/>
          <w:lang w:val="en-GB"/>
        </w:rPr>
        <w:t>Responsibility</w:t>
      </w:r>
      <w:r w:rsidRPr="006A6D19">
        <w:rPr>
          <w:lang w:val="en-GB"/>
        </w:rPr>
        <w:t>: Support for climate action is a high priority in Norwegian foreign, development, and climate policy. At the Glasgow Climate Summit in 2021, Norway announced its goal to double climate finance to NOK 14 billion annually by 2026 at the latest, including mobilised private capital. Within this framework, support for climate adaptation is to be at least tripled. Norwegian climate finance amounted to approximately NOK 18.7 billion in 2024. Financing international climate action is becoming increasingly importan</w:t>
      </w:r>
      <w:r w:rsidRPr="006A6D19">
        <w:rPr>
          <w:lang w:val="en-GB"/>
        </w:rPr>
        <w:t>t for achieving the goals of the Paris Agreement, and Norway contributes through multilateral, regional, and bilateral partners.</w:t>
      </w:r>
    </w:p>
    <w:p w14:paraId="34B03EE3" w14:textId="77777777" w:rsidR="008A5841" w:rsidRPr="006A6D19" w:rsidRDefault="008A5841" w:rsidP="00B765C1">
      <w:pPr>
        <w:rPr>
          <w:lang w:val="en-GB"/>
        </w:rPr>
      </w:pPr>
      <w:r w:rsidRPr="006A6D19">
        <w:rPr>
          <w:lang w:val="en-GB"/>
        </w:rPr>
        <w:t xml:space="preserve">The International Climate and Forest Initiative is Norway’s largest international climate effort. The initiative aims to reduce and reverse the loss of tropical forests, contributing to a more stable climate, biodiversity conservation, and sustainable development. In 2022, the Government established a new Climate Investment Fund, managed by </w:t>
      </w:r>
      <w:proofErr w:type="spellStart"/>
      <w:r w:rsidRPr="006A6D19">
        <w:rPr>
          <w:lang w:val="en-GB"/>
        </w:rPr>
        <w:t>Norfund</w:t>
      </w:r>
      <w:proofErr w:type="spellEnd"/>
      <w:r w:rsidRPr="006A6D19">
        <w:rPr>
          <w:lang w:val="en-GB"/>
        </w:rPr>
        <w:t>. The fund aims to invest in renewable energy in developing countries with high emissions from coal and other fossil power production. In the period 2022–2024, the fund helped finance 7.9 GW of renewable capacity, which will avoid 17.6 million tonnes of CO</w:t>
      </w:r>
      <w:r w:rsidRPr="006A6D19">
        <w:rPr>
          <w:rStyle w:val="skrift-senket"/>
          <w:lang w:val="en-GB"/>
        </w:rPr>
        <w:t>2</w:t>
      </w:r>
      <w:r w:rsidRPr="006A6D19">
        <w:rPr>
          <w:lang w:val="en-GB"/>
        </w:rPr>
        <w:t xml:space="preserve"> annually when the power plants are operational.</w:t>
      </w:r>
    </w:p>
    <w:p w14:paraId="686958C3" w14:textId="77777777" w:rsidR="008A5841" w:rsidRPr="006A6D19" w:rsidRDefault="008A5841" w:rsidP="006B301F">
      <w:pPr>
        <w:pStyle w:val="avsnitt-undertittel"/>
        <w:rPr>
          <w:lang w:val="en-GB"/>
        </w:rPr>
      </w:pPr>
      <w:r w:rsidRPr="006A6D19">
        <w:rPr>
          <w:lang w:val="en-GB"/>
        </w:rPr>
        <w:t>Main Policy Initiatives 2021–2026</w:t>
      </w:r>
    </w:p>
    <w:p w14:paraId="2C7F29ED" w14:textId="77777777" w:rsidR="008A5841" w:rsidRPr="006A6D19" w:rsidRDefault="008A5841" w:rsidP="00B765C1">
      <w:pPr>
        <w:pStyle w:val="Listebombe"/>
        <w:rPr>
          <w:lang w:val="en-GB"/>
        </w:rPr>
      </w:pPr>
      <w:r w:rsidRPr="006A6D19">
        <w:rPr>
          <w:lang w:val="en-GB"/>
        </w:rPr>
        <w:t>White Paper, Meld. St. 26 (2022–2023) A Changing Climate – Together for a Climate-Resilient Society.</w:t>
      </w:r>
    </w:p>
    <w:p w14:paraId="257830F5" w14:textId="77777777" w:rsidR="008A5841" w:rsidRPr="006A6D19" w:rsidRDefault="008A5841" w:rsidP="00B765C1">
      <w:pPr>
        <w:pStyle w:val="Listebombe"/>
        <w:rPr>
          <w:lang w:val="en-GB"/>
        </w:rPr>
      </w:pPr>
      <w:r w:rsidRPr="006A6D19">
        <w:rPr>
          <w:lang w:val="en-GB"/>
        </w:rPr>
        <w:t>White Paper, Meld. St. 27 (2023–2024) A Safer Future</w:t>
      </w:r>
      <w:r w:rsidRPr="006A6D19">
        <w:rPr>
          <w:rStyle w:val="kursiv"/>
          <w:lang w:val="en-GB"/>
        </w:rPr>
        <w:t xml:space="preserve"> – </w:t>
      </w:r>
      <w:r w:rsidRPr="006A6D19">
        <w:rPr>
          <w:lang w:val="en-GB"/>
        </w:rPr>
        <w:t>Prepared for Floods and Landslides.</w:t>
      </w:r>
    </w:p>
    <w:p w14:paraId="0EFAE1E7" w14:textId="77777777" w:rsidR="008A5841" w:rsidRPr="006A6D19" w:rsidRDefault="008A5841" w:rsidP="00B765C1">
      <w:pPr>
        <w:pStyle w:val="Listebombe"/>
        <w:rPr>
          <w:lang w:val="en-GB"/>
        </w:rPr>
      </w:pPr>
      <w:r w:rsidRPr="006A6D19">
        <w:rPr>
          <w:lang w:val="en-GB"/>
        </w:rPr>
        <w:t xml:space="preserve">The Government established an expert committee in July 2024 to gather more knowledge about the economic consequences of climate change in Norway. </w:t>
      </w:r>
      <w:r w:rsidRPr="006A6D19">
        <w:rPr>
          <w:lang w:val="en-GB"/>
        </w:rPr>
        <w:t>The report will be published before 1 July 2026.</w:t>
      </w:r>
    </w:p>
    <w:p w14:paraId="49B9058D" w14:textId="77777777" w:rsidR="008A5841" w:rsidRPr="006A6D19" w:rsidRDefault="008A5841" w:rsidP="00B765C1">
      <w:pPr>
        <w:pStyle w:val="Listebombe"/>
        <w:rPr>
          <w:lang w:val="en-GB"/>
        </w:rPr>
      </w:pPr>
      <w:r w:rsidRPr="006A6D19">
        <w:rPr>
          <w:lang w:val="en-GB"/>
        </w:rPr>
        <w:t>White Paper, Meld. St. 25 (2024–2025) Climate Report 2035 – Towards a Low-Emission Society.</w:t>
      </w:r>
    </w:p>
    <w:p w14:paraId="5A16D99F" w14:textId="77777777" w:rsidR="008A5841" w:rsidRPr="006A6D19" w:rsidRDefault="008A5841" w:rsidP="00B765C1">
      <w:pPr>
        <w:rPr>
          <w:lang w:val="en-GB"/>
        </w:rPr>
      </w:pPr>
    </w:p>
    <w:p w14:paraId="4AB1E483" w14:textId="77777777" w:rsidR="006B301F" w:rsidRPr="006A6D19" w:rsidRDefault="006B301F" w:rsidP="006B301F">
      <w:pPr>
        <w:pStyle w:val="Undertittel"/>
        <w:rPr>
          <w:lang w:val="en-GB"/>
        </w:rPr>
      </w:pPr>
      <w:r w:rsidRPr="006A6D19">
        <w:rPr>
          <w:lang w:val="en-GB"/>
        </w:rPr>
        <w:t>Assessment by Civil Society</w:t>
      </w:r>
    </w:p>
    <w:p w14:paraId="6E1B73A5" w14:textId="77777777" w:rsidR="008A5841" w:rsidRPr="006A6D19" w:rsidRDefault="008A5841" w:rsidP="00B765C1">
      <w:pPr>
        <w:rPr>
          <w:rStyle w:val="kursiv"/>
          <w:lang w:val="en-GB"/>
        </w:rPr>
      </w:pPr>
      <w:r w:rsidRPr="006A6D19">
        <w:rPr>
          <w:lang w:val="en-GB"/>
        </w:rPr>
        <w:t xml:space="preserve">The following organisations have participated in this assessment: </w:t>
      </w:r>
      <w:r w:rsidRPr="006A6D19">
        <w:rPr>
          <w:lang w:val="en-GB"/>
        </w:rPr>
        <w:t>The Norwegian Forum for Development and Environment (</w:t>
      </w:r>
      <w:proofErr w:type="spellStart"/>
      <w:r w:rsidRPr="006A6D19">
        <w:rPr>
          <w:lang w:val="en-GB"/>
        </w:rPr>
        <w:t>ForUM</w:t>
      </w:r>
      <w:proofErr w:type="spellEnd"/>
      <w:r w:rsidRPr="006A6D19">
        <w:rPr>
          <w:lang w:val="en-GB"/>
        </w:rPr>
        <w:t>), The Development Fund, WWF Norway, Association for International Water Studies (FIVAS), FFO, Save the Children Norway, Changemaker, Debt Justice Norway, Norwegian Azerbaijanis’ Youth Organization (NAYO).</w:t>
      </w:r>
    </w:p>
    <w:p w14:paraId="2E306C9D" w14:textId="60228B73" w:rsidR="008A5841" w:rsidRPr="006A6D19" w:rsidRDefault="008A5841" w:rsidP="00B765C1">
      <w:pPr>
        <w:rPr>
          <w:lang w:val="en-GB"/>
        </w:rPr>
      </w:pPr>
      <w:r>
        <w:rPr>
          <w:noProof/>
          <w:lang w:val="en-GB"/>
        </w:rPr>
        <w:drawing>
          <wp:inline distT="0" distB="0" distL="0" distR="0" wp14:anchorId="0D308195" wp14:editId="18E7DEFD">
            <wp:extent cx="561975" cy="561975"/>
            <wp:effectExtent l="0" t="0" r="9525" b="9525"/>
            <wp:docPr id="533861019" name="Bilde 84" descr="Arrow sidew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442347" name="Bilde 84" descr="Arrow sideways"/>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r>
        <w:rPr>
          <w:rStyle w:val="halvfet"/>
          <w:lang w:val="en-GB"/>
        </w:rPr>
        <w:t xml:space="preserve"> </w:t>
      </w:r>
      <w:r w:rsidRPr="006A6D19">
        <w:rPr>
          <w:rStyle w:val="halvfet"/>
          <w:lang w:val="en-GB"/>
        </w:rPr>
        <w:t>Trend:</w:t>
      </w:r>
      <w:r w:rsidRPr="006A6D19">
        <w:rPr>
          <w:lang w:val="en-GB"/>
        </w:rPr>
        <w:t xml:space="preserve"> Stagnant</w:t>
      </w:r>
      <w:r w:rsidR="001609FA" w:rsidRPr="006A6D19">
        <w:rPr>
          <w:lang w:val="en-GB"/>
        </w:rPr>
        <w:t xml:space="preserve"> </w:t>
      </w:r>
    </w:p>
    <w:p w14:paraId="12C39DA0" w14:textId="77777777" w:rsidR="008A5841" w:rsidRPr="006A6D19" w:rsidRDefault="008A5841" w:rsidP="00B765C1">
      <w:pPr>
        <w:rPr>
          <w:lang w:val="en-GB"/>
        </w:rPr>
      </w:pPr>
      <w:r w:rsidRPr="006A6D19">
        <w:rPr>
          <w:rStyle w:val="halvfet"/>
          <w:lang w:val="en-GB"/>
        </w:rPr>
        <w:t xml:space="preserve">Norway has succeeded </w:t>
      </w:r>
      <w:r w:rsidRPr="006A6D19">
        <w:rPr>
          <w:lang w:val="en-GB"/>
        </w:rPr>
        <w:t>in</w:t>
      </w:r>
      <w:r w:rsidRPr="006A6D19">
        <w:rPr>
          <w:rStyle w:val="halvfet"/>
          <w:lang w:val="en-GB"/>
        </w:rPr>
        <w:t xml:space="preserve"> </w:t>
      </w:r>
      <w:r w:rsidRPr="006A6D19">
        <w:rPr>
          <w:lang w:val="en-GB"/>
        </w:rPr>
        <w:t>continued strengthening of climate policy instruments, including raising CO</w:t>
      </w:r>
      <w:r w:rsidRPr="006A6D19">
        <w:rPr>
          <w:rStyle w:val="skrift-senket"/>
          <w:lang w:val="en-GB"/>
        </w:rPr>
        <w:t>2</w:t>
      </w:r>
      <w:r w:rsidRPr="006A6D19">
        <w:rPr>
          <w:lang w:val="en-GB"/>
        </w:rPr>
        <w:t xml:space="preserve"> taxes and maintaining incentives for zero</w:t>
      </w:r>
      <w:r w:rsidRPr="006A6D19">
        <w:rPr>
          <w:lang w:val="en-GB"/>
        </w:rPr>
        <w:noBreakHyphen/>
        <w:t xml:space="preserve">emission vehicles, which remain supported by tax exemptions and reduced road tolls. Climate targets have been revised and anchored in the Climate </w:t>
      </w:r>
      <w:r w:rsidRPr="006A6D19">
        <w:rPr>
          <w:lang w:val="en-GB"/>
        </w:rPr>
        <w:lastRenderedPageBreak/>
        <w:t>Change Act, which now specifies at least 55 percent emission reduction by 2030, 70–75 percent reduction by 2035, and 90–95 percent reduction by 2050. These binding targets were formally incorporated through legislative amendments adopted in 2025. Norway has also proposed a 70–75 percent reduction for the Nationally Determ</w:t>
      </w:r>
      <w:r w:rsidRPr="006A6D19">
        <w:rPr>
          <w:lang w:val="en-GB"/>
        </w:rPr>
        <w:t>ined Contribution to be included in the Climate Change Act, ensuring long</w:t>
      </w:r>
      <w:r w:rsidRPr="006A6D19">
        <w:rPr>
          <w:lang w:val="en-GB"/>
        </w:rPr>
        <w:noBreakHyphen/>
        <w:t>term alignment with the Paris Agreement. Norway has strengthened its national preparedness through the adoption of the Total Preparedness Report.</w:t>
      </w:r>
    </w:p>
    <w:p w14:paraId="7582CDC0" w14:textId="77777777" w:rsidR="008A5841" w:rsidRPr="006A6D19" w:rsidRDefault="008A5841" w:rsidP="00B765C1">
      <w:pPr>
        <w:rPr>
          <w:lang w:val="en-GB"/>
        </w:rPr>
      </w:pPr>
      <w:r w:rsidRPr="006A6D19">
        <w:rPr>
          <w:rStyle w:val="halvfet"/>
          <w:lang w:val="en-GB"/>
        </w:rPr>
        <w:t xml:space="preserve">Norway’s challenges </w:t>
      </w:r>
      <w:r w:rsidRPr="006A6D19">
        <w:rPr>
          <w:lang w:val="en-GB"/>
        </w:rPr>
        <w:t>are struggles to establish coherent climate policies. While some sectoral climate measures are strong, Norway remains a major producer and exporter of oil and gas. Fossil fuel exports generate downstream emissions more than ten times Norway’s domestic emissions, actively contributing to climate change and undermining domestic efforts. Progress on domestic emission reductions has been slow. In 2024, Norway emitted 44.6 Mt</w:t>
      </w:r>
      <w:r w:rsidRPr="006A6D19">
        <w:rPr>
          <w:rFonts w:ascii="Arial" w:hAnsi="Arial" w:cs="Arial"/>
          <w:lang w:val="en-GB"/>
        </w:rPr>
        <w:t> </w:t>
      </w:r>
      <w:r w:rsidRPr="006A6D19">
        <w:rPr>
          <w:lang w:val="en-GB"/>
        </w:rPr>
        <w:t>CO</w:t>
      </w:r>
      <w:r w:rsidRPr="006A6D19">
        <w:rPr>
          <w:rStyle w:val="skrift-senket"/>
          <w:lang w:val="en-GB"/>
        </w:rPr>
        <w:t>2</w:t>
      </w:r>
      <w:r w:rsidRPr="006A6D19">
        <w:rPr>
          <w:lang w:val="en-GB"/>
        </w:rPr>
        <w:noBreakHyphen/>
        <w:t xml:space="preserve">eq, representing only a </w:t>
      </w:r>
      <w:proofErr w:type="gramStart"/>
      <w:r w:rsidRPr="006A6D19">
        <w:rPr>
          <w:lang w:val="en-GB"/>
        </w:rPr>
        <w:t>12.8</w:t>
      </w:r>
      <w:r w:rsidRPr="006A6D19">
        <w:rPr>
          <w:rFonts w:ascii="Arial" w:hAnsi="Arial" w:cs="Arial"/>
          <w:lang w:val="en-GB"/>
        </w:rPr>
        <w:t> </w:t>
      </w:r>
      <w:r w:rsidRPr="006A6D19">
        <w:rPr>
          <w:lang w:val="en-GB"/>
        </w:rPr>
        <w:t xml:space="preserve"> percent</w:t>
      </w:r>
      <w:proofErr w:type="gramEnd"/>
      <w:r w:rsidRPr="006A6D19">
        <w:rPr>
          <w:lang w:val="en-GB"/>
        </w:rPr>
        <w:t xml:space="preserve"> reduction relative to 1990. Emissions remain far above the trajectory required to reach the 2030 target of a </w:t>
      </w:r>
      <w:proofErr w:type="gramStart"/>
      <w:r w:rsidRPr="006A6D19">
        <w:rPr>
          <w:lang w:val="en-GB"/>
        </w:rPr>
        <w:t>55</w:t>
      </w:r>
      <w:r w:rsidRPr="006A6D19">
        <w:rPr>
          <w:rFonts w:ascii="Arial" w:hAnsi="Arial" w:cs="Arial"/>
          <w:lang w:val="en-GB"/>
        </w:rPr>
        <w:t> </w:t>
      </w:r>
      <w:r w:rsidRPr="006A6D19">
        <w:rPr>
          <w:lang w:val="en-GB"/>
        </w:rPr>
        <w:t xml:space="preserve"> percent</w:t>
      </w:r>
      <w:proofErr w:type="gramEnd"/>
      <w:r w:rsidRPr="006A6D19">
        <w:rPr>
          <w:lang w:val="en-GB"/>
        </w:rPr>
        <w:t xml:space="preserve"> reduction and 2035 target. Reaching this target therefore means purchasing more international carbon credits, instead of transformative emissions cuts across sectors such as oil and gas, transport, and industry. Norway has not yet met its COP26 pledge to </w:t>
      </w:r>
      <w:r w:rsidRPr="006A6D19">
        <w:rPr>
          <w:rStyle w:val="kursiv"/>
          <w:lang w:val="en-GB"/>
        </w:rPr>
        <w:t>triple climate adaptation finance by 2026</w:t>
      </w:r>
      <w:r w:rsidRPr="006A6D19">
        <w:rPr>
          <w:lang w:val="en-GB"/>
        </w:rPr>
        <w:t xml:space="preserve">. An independent evaluation by the National Audit Office of Norway in late 2025 found that, although adaptation finance had increased, Norway still lacked both a complete overview of results and evidence that adaptation funding was being scaled sufficiently to meet the tripling commitment. At the same time, Norway has exceeded its 2023 pledge to double total climate finance, reaching NOK 16.5 billion in 2023, surpassing the COP26 doubling target of NOK 14 billion by 2026. However, the distribution of funds </w:t>
      </w:r>
      <w:r w:rsidRPr="006A6D19">
        <w:rPr>
          <w:lang w:val="en-GB"/>
        </w:rPr>
        <w:t>remains uneven: Mitigation receives a disproportionately large share, while adaptation and loss</w:t>
      </w:r>
      <w:r w:rsidRPr="006A6D19">
        <w:rPr>
          <w:lang w:val="en-GB"/>
        </w:rPr>
        <w:noBreakHyphen/>
        <w:t>and</w:t>
      </w:r>
      <w:r w:rsidRPr="006A6D19">
        <w:rPr>
          <w:lang w:val="en-GB"/>
        </w:rPr>
        <w:noBreakHyphen/>
        <w:t xml:space="preserve">damage finance </w:t>
      </w:r>
      <w:proofErr w:type="gramStart"/>
      <w:r w:rsidRPr="006A6D19">
        <w:rPr>
          <w:lang w:val="en-GB"/>
        </w:rPr>
        <w:t>lag behind</w:t>
      </w:r>
      <w:proofErr w:type="gramEnd"/>
      <w:r w:rsidRPr="006A6D19">
        <w:rPr>
          <w:lang w:val="en-GB"/>
        </w:rPr>
        <w:t>, according to the Ministry of Foreign Affairs and the Norwegian Environment Agency.</w:t>
      </w:r>
    </w:p>
    <w:p w14:paraId="361C3BA8" w14:textId="77777777" w:rsidR="008A5841" w:rsidRPr="006A6D19" w:rsidRDefault="008A5841" w:rsidP="00B765C1">
      <w:pPr>
        <w:rPr>
          <w:lang w:val="en-GB"/>
        </w:rPr>
      </w:pPr>
      <w:r w:rsidRPr="006A6D19">
        <w:rPr>
          <w:lang w:val="en-GB"/>
        </w:rPr>
        <w:t>Yet the Total Preparedness Report does not explicitly mention vulnerable groups. This creates a risk that people in vulnerable situations will not be sufficiently protected.</w:t>
      </w:r>
    </w:p>
    <w:p w14:paraId="74296E13" w14:textId="77777777" w:rsidR="008A5841" w:rsidRPr="006A6D19" w:rsidRDefault="008A5841" w:rsidP="006B301F">
      <w:pPr>
        <w:pStyle w:val="avsnitt-undertittel"/>
        <w:rPr>
          <w:rStyle w:val="halvfet"/>
          <w:lang w:val="en-GB"/>
        </w:rPr>
      </w:pPr>
      <w:r w:rsidRPr="006A6D19">
        <w:rPr>
          <w:rStyle w:val="halvfet"/>
          <w:lang w:val="en-GB"/>
        </w:rPr>
        <w:t>Norway must:</w:t>
      </w:r>
    </w:p>
    <w:p w14:paraId="7470CB21" w14:textId="77777777" w:rsidR="008A5841" w:rsidRPr="006A6D19" w:rsidRDefault="008A5841" w:rsidP="00B765C1">
      <w:pPr>
        <w:pStyle w:val="Listebombe"/>
        <w:rPr>
          <w:lang w:val="en-GB"/>
        </w:rPr>
      </w:pPr>
      <w:r w:rsidRPr="006A6D19">
        <w:rPr>
          <w:lang w:val="en-GB"/>
        </w:rPr>
        <w:t>Develop a national plan for phasing out oil and gas in Norway and support a global roadmap on phasing out fossil fuels.</w:t>
      </w:r>
    </w:p>
    <w:p w14:paraId="262DB77D" w14:textId="77777777" w:rsidR="008A5841" w:rsidRPr="006A6D19" w:rsidRDefault="008A5841" w:rsidP="00B765C1">
      <w:pPr>
        <w:pStyle w:val="Listebombe"/>
        <w:rPr>
          <w:lang w:val="en-GB"/>
        </w:rPr>
      </w:pPr>
      <w:r w:rsidRPr="006A6D19">
        <w:rPr>
          <w:lang w:val="en-GB"/>
        </w:rPr>
        <w:t>Achieve the 2030 target through real domestic emissions reductions, not international offsets, while contributing its fair share of climate finance.</w:t>
      </w:r>
    </w:p>
    <w:p w14:paraId="42E4EBAF" w14:textId="77777777" w:rsidR="008A5841" w:rsidRPr="006A6D19" w:rsidRDefault="008A5841" w:rsidP="00B765C1">
      <w:pPr>
        <w:pStyle w:val="Listebombe"/>
        <w:rPr>
          <w:lang w:val="en-GB"/>
        </w:rPr>
      </w:pPr>
      <w:r w:rsidRPr="006A6D19">
        <w:rPr>
          <w:lang w:val="en-GB"/>
        </w:rPr>
        <w:t>Increase climate finance, particularly for adaptation, in line with Norway’s historical responsibility and its Baku-climate goal of tripling adaptation finance by 2035.</w:t>
      </w:r>
    </w:p>
    <w:p w14:paraId="63327808" w14:textId="77777777" w:rsidR="008A5841" w:rsidRPr="006A6D19" w:rsidRDefault="008A5841" w:rsidP="00B765C1">
      <w:pPr>
        <w:pStyle w:val="Listebombe"/>
        <w:rPr>
          <w:lang w:val="en-GB"/>
        </w:rPr>
      </w:pPr>
      <w:r w:rsidRPr="006A6D19">
        <w:rPr>
          <w:lang w:val="en-GB"/>
        </w:rPr>
        <w:t xml:space="preserve">Increase climate finance to low-income countries to a level which meets Norway’s fair share of support to climate action based on its historical contribution to global </w:t>
      </w:r>
      <w:proofErr w:type="gramStart"/>
      <w:r w:rsidRPr="006A6D19">
        <w:rPr>
          <w:lang w:val="en-GB"/>
        </w:rPr>
        <w:t>warming, and</w:t>
      </w:r>
      <w:proofErr w:type="gramEnd"/>
      <w:r w:rsidRPr="006A6D19">
        <w:rPr>
          <w:lang w:val="en-GB"/>
        </w:rPr>
        <w:t xml:space="preserve"> meet its commitment to a 50/50 split between finance to adaptation and mitigation.</w:t>
      </w:r>
    </w:p>
    <w:p w14:paraId="2233B47B" w14:textId="77777777" w:rsidR="008A5841" w:rsidRPr="006A6D19" w:rsidRDefault="008A5841" w:rsidP="00B765C1">
      <w:pPr>
        <w:pStyle w:val="Listebombe"/>
        <w:rPr>
          <w:lang w:val="en-GB"/>
        </w:rPr>
      </w:pPr>
      <w:r w:rsidRPr="006A6D19">
        <w:rPr>
          <w:lang w:val="en-GB"/>
        </w:rPr>
        <w:t>Redirect investments from oil and gas extraction toward renewable energy, energy efficiency and sustainable industry development.</w:t>
      </w:r>
    </w:p>
    <w:p w14:paraId="349FA9E7" w14:textId="77777777" w:rsidR="008A5841" w:rsidRPr="006A6D19" w:rsidRDefault="008A5841" w:rsidP="00B765C1">
      <w:pPr>
        <w:pStyle w:val="Listebombe"/>
        <w:rPr>
          <w:lang w:val="en-GB"/>
        </w:rPr>
      </w:pPr>
      <w:r w:rsidRPr="006A6D19">
        <w:rPr>
          <w:lang w:val="en-GB"/>
        </w:rPr>
        <w:t>Cease new oil and gas exploration and reform the petroleum tax system, phasing out subsidies and tax benefits that promote unprofitable or emissions</w:t>
      </w:r>
      <w:r w:rsidRPr="006A6D19">
        <w:rPr>
          <w:lang w:val="en-GB"/>
        </w:rPr>
        <w:noBreakHyphen/>
        <w:t>intensive fossil</w:t>
      </w:r>
      <w:r w:rsidRPr="006A6D19">
        <w:rPr>
          <w:lang w:val="en-GB"/>
        </w:rPr>
        <w:noBreakHyphen/>
        <w:t>fuel projects.</w:t>
      </w:r>
    </w:p>
    <w:p w14:paraId="6C45C6E0" w14:textId="77777777" w:rsidR="008A5841" w:rsidRPr="006A6D19" w:rsidRDefault="008A5841" w:rsidP="00B765C1">
      <w:pPr>
        <w:pStyle w:val="Listebombe"/>
        <w:rPr>
          <w:lang w:val="en-GB"/>
        </w:rPr>
      </w:pPr>
      <w:r w:rsidRPr="006A6D19">
        <w:rPr>
          <w:lang w:val="en-GB"/>
        </w:rPr>
        <w:lastRenderedPageBreak/>
        <w:t>Transform food production and consumption, reducing agricultural emissions and environmental impacts both domestically and globally.</w:t>
      </w:r>
    </w:p>
    <w:p w14:paraId="4BEB75E9" w14:textId="77777777" w:rsidR="008A5841" w:rsidRPr="006A6D19" w:rsidRDefault="008A5841" w:rsidP="00B765C1">
      <w:pPr>
        <w:pStyle w:val="Listebombe"/>
        <w:rPr>
          <w:lang w:val="en-GB"/>
        </w:rPr>
      </w:pPr>
      <w:r w:rsidRPr="006A6D19">
        <w:rPr>
          <w:lang w:val="en-GB"/>
        </w:rPr>
        <w:t xml:space="preserve">Integrate a </w:t>
      </w:r>
      <w:proofErr w:type="gramStart"/>
      <w:r w:rsidRPr="006A6D19">
        <w:rPr>
          <w:lang w:val="en-GB"/>
        </w:rPr>
        <w:t>clear human rights</w:t>
      </w:r>
      <w:proofErr w:type="gramEnd"/>
      <w:r w:rsidRPr="006A6D19">
        <w:rPr>
          <w:lang w:val="en-GB"/>
        </w:rPr>
        <w:t xml:space="preserve"> and gender equality perspective into all climate and preparedness work, with explicit measures for vulnerable groups.</w:t>
      </w:r>
    </w:p>
    <w:p w14:paraId="23175346" w14:textId="77777777" w:rsidR="008A5841" w:rsidRPr="006A6D19" w:rsidRDefault="008A5841" w:rsidP="00B765C1">
      <w:pPr>
        <w:rPr>
          <w:lang w:val="en-GB"/>
        </w:rPr>
      </w:pPr>
    </w:p>
    <w:p w14:paraId="50E25FEC" w14:textId="77777777" w:rsidR="008A5841" w:rsidRPr="006A6D19" w:rsidRDefault="008A5841" w:rsidP="001609FA">
      <w:pPr>
        <w:pStyle w:val="UnOverskrift3"/>
        <w:rPr>
          <w:lang w:val="en-GB"/>
        </w:rPr>
      </w:pPr>
      <w:r w:rsidRPr="006A6D19">
        <w:rPr>
          <w:lang w:val="en-GB"/>
        </w:rPr>
        <w:t>14 Life Below Water</w:t>
      </w:r>
    </w:p>
    <w:p w14:paraId="1786C31E" w14:textId="7C95C644" w:rsidR="008A5841" w:rsidRPr="006A6D19" w:rsidRDefault="00BB2AF4" w:rsidP="001609FA">
      <w:pPr>
        <w:rPr>
          <w:lang w:val="en-GB"/>
        </w:rPr>
      </w:pPr>
      <w:r w:rsidRPr="006A6D19">
        <w:rPr>
          <w:noProof/>
          <w:lang w:val="en-GB"/>
        </w:rPr>
        <w:drawing>
          <wp:inline distT="0" distB="0" distL="0" distR="0" wp14:anchorId="44E688CF" wp14:editId="5E9E1598">
            <wp:extent cx="2857500" cy="2857500"/>
            <wp:effectExtent l="0" t="0" r="0" b="0"/>
            <wp:docPr id="631917784" name="Bilde 56" descr="Goal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917784" name="Bilde 56" descr="Goal 1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27F81C55" w14:textId="77777777" w:rsidR="008A5841" w:rsidRPr="006A6D19" w:rsidRDefault="008A5841" w:rsidP="006B301F">
      <w:pPr>
        <w:pStyle w:val="Undertittel"/>
        <w:rPr>
          <w:lang w:val="en-GB"/>
        </w:rPr>
      </w:pPr>
      <w:r w:rsidRPr="006A6D19">
        <w:rPr>
          <w:lang w:val="en-GB"/>
        </w:rPr>
        <w:t>Government Assessment</w:t>
      </w:r>
    </w:p>
    <w:tbl>
      <w:tblPr>
        <w:tblW w:w="5000" w:type="pct"/>
        <w:tblCellMar>
          <w:left w:w="0" w:type="dxa"/>
          <w:right w:w="0" w:type="dxa"/>
        </w:tblCellMar>
        <w:tblLook w:val="0000" w:firstRow="0" w:lastRow="0" w:firstColumn="0" w:lastColumn="0" w:noHBand="0" w:noVBand="0"/>
      </w:tblPr>
      <w:tblGrid>
        <w:gridCol w:w="1292"/>
        <w:gridCol w:w="7440"/>
        <w:gridCol w:w="1718"/>
      </w:tblGrid>
      <w:tr w:rsidR="00000000" w:rsidRPr="006A6D19" w14:paraId="76942E2B" w14:textId="77777777" w:rsidTr="001609FA">
        <w:tblPrEx>
          <w:tblCellMar>
            <w:top w:w="0" w:type="dxa"/>
            <w:left w:w="0" w:type="dxa"/>
            <w:bottom w:w="0" w:type="dxa"/>
            <w:right w:w="0" w:type="dxa"/>
          </w:tblCellMar>
        </w:tblPrEx>
        <w:trPr>
          <w:trHeight w:val="60"/>
        </w:trPr>
        <w:tc>
          <w:tcPr>
            <w:tcW w:w="61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7463B8D3" w14:textId="77777777" w:rsidR="008A5841" w:rsidRPr="006A6D19" w:rsidRDefault="008A5841" w:rsidP="00B765C1">
            <w:pPr>
              <w:rPr>
                <w:lang w:val="en-GB"/>
              </w:rPr>
            </w:pPr>
            <w:r w:rsidRPr="006A6D19">
              <w:rPr>
                <w:lang w:val="en-GB"/>
              </w:rPr>
              <w:t xml:space="preserve">14.1 </w:t>
            </w:r>
          </w:p>
        </w:tc>
        <w:tc>
          <w:tcPr>
            <w:tcW w:w="356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0B66F96" w14:textId="77777777" w:rsidR="008A5841" w:rsidRPr="006A6D19" w:rsidRDefault="008A5841" w:rsidP="00B765C1">
            <w:pPr>
              <w:rPr>
                <w:lang w:val="en-GB"/>
              </w:rPr>
            </w:pPr>
            <w:r w:rsidRPr="006A6D19">
              <w:rPr>
                <w:lang w:val="en-GB"/>
              </w:rPr>
              <w:t>Norway has implemented measures to prevent and reduce marine litter and microplastics from land-based sources, but data remains limited. Pollution levels are reported to be stable or declining in Norwegian marine areas.</w:t>
            </w:r>
          </w:p>
        </w:tc>
        <w:tc>
          <w:tcPr>
            <w:tcW w:w="82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61E3ADEC" w14:textId="369B33D9" w:rsidR="008A5841" w:rsidRPr="006A6D19" w:rsidRDefault="008D2934" w:rsidP="00B765C1">
            <w:pPr>
              <w:rPr>
                <w:lang w:val="en-GB"/>
              </w:rPr>
            </w:pPr>
            <w:r>
              <w:rPr>
                <w:noProof/>
              </w:rPr>
              <w:drawing>
                <wp:inline distT="0" distB="0" distL="0" distR="0" wp14:anchorId="7B20CCCB" wp14:editId="345D7418">
                  <wp:extent cx="990600" cy="447675"/>
                  <wp:effectExtent l="0" t="0" r="0" b="9525"/>
                  <wp:docPr id="1410761795" name="Bilde 3" descr="Close to target. Progress i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804348" name="Bilde 3" descr="Close to target. Progress is positiv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4E33B45A" w14:textId="77777777" w:rsidTr="001609FA">
        <w:tblPrEx>
          <w:tblCellMar>
            <w:top w:w="0" w:type="dxa"/>
            <w:left w:w="0" w:type="dxa"/>
            <w:bottom w:w="0" w:type="dxa"/>
            <w:right w:w="0" w:type="dxa"/>
          </w:tblCellMar>
        </w:tblPrEx>
        <w:trPr>
          <w:trHeight w:val="60"/>
        </w:trPr>
        <w:tc>
          <w:tcPr>
            <w:tcW w:w="61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DBC15FE" w14:textId="77777777" w:rsidR="008A5841" w:rsidRPr="006A6D19" w:rsidRDefault="008A5841" w:rsidP="00B765C1">
            <w:pPr>
              <w:rPr>
                <w:lang w:val="en-GB"/>
              </w:rPr>
            </w:pPr>
            <w:r w:rsidRPr="006A6D19">
              <w:rPr>
                <w:lang w:val="en-GB"/>
              </w:rPr>
              <w:t xml:space="preserve">14.2 </w:t>
            </w:r>
          </w:p>
        </w:tc>
        <w:tc>
          <w:tcPr>
            <w:tcW w:w="356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3A47A2E" w14:textId="77777777" w:rsidR="008A5841" w:rsidRPr="006A6D19" w:rsidRDefault="008A5841" w:rsidP="00B765C1">
            <w:pPr>
              <w:rPr>
                <w:lang w:val="en-GB"/>
              </w:rPr>
            </w:pPr>
            <w:r w:rsidRPr="006A6D19">
              <w:rPr>
                <w:lang w:val="en-GB"/>
              </w:rPr>
              <w:t>Norway pursues a comprehensive approach to ocean and coastal management that promotes the conservation and sustainable use of marine ecosystems and supports a sustainable ocean economy.</w:t>
            </w:r>
          </w:p>
        </w:tc>
        <w:tc>
          <w:tcPr>
            <w:tcW w:w="82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77F0066E" w14:textId="589DC9A3" w:rsidR="008A5841" w:rsidRPr="006A6D19" w:rsidRDefault="008D2934" w:rsidP="00B765C1">
            <w:pPr>
              <w:rPr>
                <w:lang w:val="en-GB"/>
              </w:rPr>
            </w:pPr>
            <w:r>
              <w:rPr>
                <w:noProof/>
              </w:rPr>
              <w:drawing>
                <wp:inline distT="0" distB="0" distL="0" distR="0" wp14:anchorId="384D50ED" wp14:editId="09265E5B">
                  <wp:extent cx="990600" cy="447675"/>
                  <wp:effectExtent l="0" t="0" r="0" b="9525"/>
                  <wp:docPr id="314148060" name="Bilde 3" descr="Close to target. Progress i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804348" name="Bilde 3" descr="Close to target. Progress is positiv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14F7DB60" w14:textId="77777777" w:rsidTr="001609FA">
        <w:tblPrEx>
          <w:tblCellMar>
            <w:top w:w="0" w:type="dxa"/>
            <w:left w:w="0" w:type="dxa"/>
            <w:bottom w:w="0" w:type="dxa"/>
            <w:right w:w="0" w:type="dxa"/>
          </w:tblCellMar>
        </w:tblPrEx>
        <w:trPr>
          <w:trHeight w:val="60"/>
        </w:trPr>
        <w:tc>
          <w:tcPr>
            <w:tcW w:w="61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09ACD6B" w14:textId="77777777" w:rsidR="008A5841" w:rsidRPr="006A6D19" w:rsidRDefault="008A5841" w:rsidP="00B765C1">
            <w:pPr>
              <w:rPr>
                <w:lang w:val="en-GB"/>
              </w:rPr>
            </w:pPr>
            <w:r w:rsidRPr="006A6D19">
              <w:rPr>
                <w:lang w:val="en-GB"/>
              </w:rPr>
              <w:t xml:space="preserve">14.3 </w:t>
            </w:r>
          </w:p>
        </w:tc>
        <w:tc>
          <w:tcPr>
            <w:tcW w:w="356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DC74ADA" w14:textId="77777777" w:rsidR="008A5841" w:rsidRPr="006A6D19" w:rsidRDefault="008A5841" w:rsidP="00B765C1">
            <w:pPr>
              <w:rPr>
                <w:lang w:val="en-GB"/>
              </w:rPr>
            </w:pPr>
            <w:r w:rsidRPr="006A6D19">
              <w:rPr>
                <w:lang w:val="en-GB"/>
              </w:rPr>
              <w:t>The Government is working to make society less vulnerable to climate change, including by making knowledge available to municipal authorities and other stakeholders.</w:t>
            </w:r>
          </w:p>
        </w:tc>
        <w:tc>
          <w:tcPr>
            <w:tcW w:w="82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18F63E4" w14:textId="50CCF342" w:rsidR="008A5841" w:rsidRPr="006A6D19" w:rsidRDefault="007B3BCE" w:rsidP="00B765C1">
            <w:pPr>
              <w:rPr>
                <w:lang w:val="en-GB"/>
              </w:rPr>
            </w:pPr>
            <w:r>
              <w:rPr>
                <w:noProof/>
              </w:rPr>
              <w:drawing>
                <wp:inline distT="0" distB="0" distL="0" distR="0" wp14:anchorId="619D1A9E" wp14:editId="631311F6">
                  <wp:extent cx="990600" cy="447675"/>
                  <wp:effectExtent l="0" t="0" r="0" b="9525"/>
                  <wp:docPr id="1670430669" name="Bilde 1" descr="Close to targ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34566" name="Bilde 1" descr="Close to target. Progress stagn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2F1FFA44" w14:textId="77777777" w:rsidTr="001609FA">
        <w:tblPrEx>
          <w:tblCellMar>
            <w:top w:w="0" w:type="dxa"/>
            <w:left w:w="0" w:type="dxa"/>
            <w:bottom w:w="0" w:type="dxa"/>
            <w:right w:w="0" w:type="dxa"/>
          </w:tblCellMar>
        </w:tblPrEx>
        <w:trPr>
          <w:trHeight w:val="60"/>
        </w:trPr>
        <w:tc>
          <w:tcPr>
            <w:tcW w:w="61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03A7B889" w14:textId="77777777" w:rsidR="008A5841" w:rsidRPr="006A6D19" w:rsidRDefault="008A5841" w:rsidP="00B765C1">
            <w:pPr>
              <w:rPr>
                <w:lang w:val="en-GB"/>
              </w:rPr>
            </w:pPr>
            <w:r w:rsidRPr="006A6D19">
              <w:rPr>
                <w:lang w:val="en-GB"/>
              </w:rPr>
              <w:t xml:space="preserve">14.4 </w:t>
            </w:r>
          </w:p>
        </w:tc>
        <w:tc>
          <w:tcPr>
            <w:tcW w:w="356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45F1E42" w14:textId="77777777" w:rsidR="008A5841" w:rsidRPr="006A6D19" w:rsidRDefault="008A5841" w:rsidP="00B765C1">
            <w:pPr>
              <w:rPr>
                <w:lang w:val="en-GB"/>
              </w:rPr>
            </w:pPr>
            <w:proofErr w:type="gramStart"/>
            <w:r w:rsidRPr="006A6D19">
              <w:rPr>
                <w:lang w:val="en-GB"/>
              </w:rPr>
              <w:t>The majority of</w:t>
            </w:r>
            <w:proofErr w:type="gramEnd"/>
            <w:r w:rsidRPr="006A6D19">
              <w:rPr>
                <w:lang w:val="en-GB"/>
              </w:rPr>
              <w:t xml:space="preserve"> commercial Norwegian fish stocks remain above the precautionary biomass level.</w:t>
            </w:r>
          </w:p>
        </w:tc>
        <w:tc>
          <w:tcPr>
            <w:tcW w:w="82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6018B68C" w14:textId="41703F9E" w:rsidR="008A5841" w:rsidRPr="006A6D19" w:rsidRDefault="00541482" w:rsidP="00B765C1">
            <w:pPr>
              <w:rPr>
                <w:lang w:val="en-GB"/>
              </w:rPr>
            </w:pPr>
            <w:r>
              <w:rPr>
                <w:noProof/>
              </w:rPr>
              <w:drawing>
                <wp:inline distT="0" distB="0" distL="0" distR="0" wp14:anchorId="0A4561D9" wp14:editId="22C78652">
                  <wp:extent cx="990600" cy="447675"/>
                  <wp:effectExtent l="0" t="0" r="0" b="9525"/>
                  <wp:docPr id="245808040" name="Bilde 6" descr="Target met. Progres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2134" name="Bilde 6" descr="Target met. Progress positiv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096A2FD9" w14:textId="77777777" w:rsidTr="001609FA">
        <w:tblPrEx>
          <w:tblCellMar>
            <w:top w:w="0" w:type="dxa"/>
            <w:left w:w="0" w:type="dxa"/>
            <w:bottom w:w="0" w:type="dxa"/>
            <w:right w:w="0" w:type="dxa"/>
          </w:tblCellMar>
        </w:tblPrEx>
        <w:trPr>
          <w:trHeight w:val="60"/>
        </w:trPr>
        <w:tc>
          <w:tcPr>
            <w:tcW w:w="61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78D0E1A2" w14:textId="77777777" w:rsidR="008A5841" w:rsidRPr="006A6D19" w:rsidRDefault="008A5841" w:rsidP="00B765C1">
            <w:pPr>
              <w:rPr>
                <w:lang w:val="en-GB"/>
              </w:rPr>
            </w:pPr>
            <w:r w:rsidRPr="006A6D19">
              <w:rPr>
                <w:lang w:val="en-GB"/>
              </w:rPr>
              <w:lastRenderedPageBreak/>
              <w:t xml:space="preserve">14.5 </w:t>
            </w:r>
          </w:p>
        </w:tc>
        <w:tc>
          <w:tcPr>
            <w:tcW w:w="356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006D0961" w14:textId="77777777" w:rsidR="008A5841" w:rsidRPr="006A6D19" w:rsidRDefault="008A5841" w:rsidP="00B765C1">
            <w:pPr>
              <w:rPr>
                <w:lang w:val="en-GB"/>
              </w:rPr>
            </w:pPr>
            <w:r w:rsidRPr="006A6D19">
              <w:rPr>
                <w:lang w:val="en-GB"/>
              </w:rPr>
              <w:t xml:space="preserve">Norway continues efforts to conserve important marine areas. Approximately 4.5% of Norway’s marine areas fall under protected areas, national parks, and conservation zones. </w:t>
            </w:r>
          </w:p>
        </w:tc>
        <w:tc>
          <w:tcPr>
            <w:tcW w:w="82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720D75B9" w14:textId="02CB4558" w:rsidR="008A5841" w:rsidRPr="006A6D19" w:rsidRDefault="008D2934" w:rsidP="00B765C1">
            <w:pPr>
              <w:rPr>
                <w:lang w:val="en-GB"/>
              </w:rPr>
            </w:pPr>
            <w:r>
              <w:rPr>
                <w:noProof/>
              </w:rPr>
              <w:drawing>
                <wp:inline distT="0" distB="0" distL="0" distR="0" wp14:anchorId="4B2FEF46" wp14:editId="08FB3404">
                  <wp:extent cx="990600" cy="447675"/>
                  <wp:effectExtent l="0" t="0" r="0" b="9525"/>
                  <wp:docPr id="2144702171" name="Bilde 9" descr="Target not met. Progress neg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727807" name="Bilde 9" descr="Target not met. Progress negativ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3C7FDD9E" w14:textId="77777777" w:rsidTr="001609FA">
        <w:tblPrEx>
          <w:tblCellMar>
            <w:top w:w="0" w:type="dxa"/>
            <w:left w:w="0" w:type="dxa"/>
            <w:bottom w:w="0" w:type="dxa"/>
            <w:right w:w="0" w:type="dxa"/>
          </w:tblCellMar>
        </w:tblPrEx>
        <w:trPr>
          <w:trHeight w:val="60"/>
        </w:trPr>
        <w:tc>
          <w:tcPr>
            <w:tcW w:w="61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9BA5D97" w14:textId="77777777" w:rsidR="008A5841" w:rsidRPr="006A6D19" w:rsidRDefault="008A5841" w:rsidP="00B765C1">
            <w:pPr>
              <w:rPr>
                <w:lang w:val="en-GB"/>
              </w:rPr>
            </w:pPr>
            <w:r w:rsidRPr="006A6D19">
              <w:rPr>
                <w:lang w:val="en-GB"/>
              </w:rPr>
              <w:t xml:space="preserve">14.6 </w:t>
            </w:r>
          </w:p>
        </w:tc>
        <w:tc>
          <w:tcPr>
            <w:tcW w:w="356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0DA547D2" w14:textId="77777777" w:rsidR="008A5841" w:rsidRPr="006A6D19" w:rsidRDefault="008A5841" w:rsidP="00B765C1">
            <w:pPr>
              <w:rPr>
                <w:lang w:val="en-GB"/>
              </w:rPr>
            </w:pPr>
            <w:r w:rsidRPr="006A6D19">
              <w:rPr>
                <w:lang w:val="en-GB"/>
              </w:rPr>
              <w:t xml:space="preserve">No subsidies are provided to illegal, unreported, or unregulated (IUU) fishing. The World Trade Organization’s Agreement on Fisheries Subsidies entered into force September 2025 and implementation is underway according to its provisions. </w:t>
            </w:r>
          </w:p>
        </w:tc>
        <w:tc>
          <w:tcPr>
            <w:tcW w:w="82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8C0EE3A" w14:textId="67A3661D" w:rsidR="008A5841" w:rsidRPr="006A6D19" w:rsidRDefault="008D2934" w:rsidP="00B765C1">
            <w:pPr>
              <w:rPr>
                <w:lang w:val="en-GB"/>
              </w:rPr>
            </w:pPr>
            <w:r>
              <w:rPr>
                <w:noProof/>
              </w:rPr>
              <w:drawing>
                <wp:inline distT="0" distB="0" distL="0" distR="0" wp14:anchorId="02915702" wp14:editId="1CC38D7E">
                  <wp:extent cx="990600" cy="447675"/>
                  <wp:effectExtent l="0" t="0" r="0" b="9525"/>
                  <wp:docPr id="784023605" name="Bilde 3" descr="Close to target. Progress i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804348" name="Bilde 3" descr="Close to target. Progress is positiv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3CE68D20" w14:textId="77777777" w:rsidTr="001609FA">
        <w:tblPrEx>
          <w:tblCellMar>
            <w:top w:w="0" w:type="dxa"/>
            <w:left w:w="0" w:type="dxa"/>
            <w:bottom w:w="0" w:type="dxa"/>
            <w:right w:w="0" w:type="dxa"/>
          </w:tblCellMar>
        </w:tblPrEx>
        <w:trPr>
          <w:trHeight w:val="60"/>
        </w:trPr>
        <w:tc>
          <w:tcPr>
            <w:tcW w:w="61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065D93B" w14:textId="77777777" w:rsidR="008A5841" w:rsidRPr="006A6D19" w:rsidRDefault="008A5841" w:rsidP="00B765C1">
            <w:pPr>
              <w:rPr>
                <w:lang w:val="en-GB"/>
              </w:rPr>
            </w:pPr>
            <w:r w:rsidRPr="006A6D19">
              <w:rPr>
                <w:lang w:val="en-GB"/>
              </w:rPr>
              <w:t xml:space="preserve">14.7 </w:t>
            </w:r>
          </w:p>
        </w:tc>
        <w:tc>
          <w:tcPr>
            <w:tcW w:w="356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E4B7650" w14:textId="77777777" w:rsidR="008A5841" w:rsidRPr="006A6D19" w:rsidRDefault="008A5841" w:rsidP="00B765C1">
            <w:pPr>
              <w:rPr>
                <w:lang w:val="en-GB"/>
              </w:rPr>
            </w:pPr>
            <w:r w:rsidRPr="006A6D19">
              <w:rPr>
                <w:lang w:val="en-GB"/>
              </w:rPr>
              <w:t>Norway supports small island developing states in implementing UNCLOS, building ocean-management capacity, combating IUU fishing, and adapting to climate change.</w:t>
            </w:r>
          </w:p>
        </w:tc>
        <w:tc>
          <w:tcPr>
            <w:tcW w:w="82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006B8A6" w14:textId="101ABF1A" w:rsidR="008A5841" w:rsidRPr="006A6D19" w:rsidRDefault="00541482" w:rsidP="00B765C1">
            <w:pPr>
              <w:rPr>
                <w:lang w:val="en-GB"/>
              </w:rPr>
            </w:pPr>
            <w:r>
              <w:rPr>
                <w:noProof/>
              </w:rPr>
              <w:drawing>
                <wp:inline distT="0" distB="0" distL="0" distR="0" wp14:anchorId="6D220E20" wp14:editId="4E84DEFB">
                  <wp:extent cx="990600" cy="447675"/>
                  <wp:effectExtent l="0" t="0" r="0" b="9525"/>
                  <wp:docPr id="1807547678" name="Bilde 6" descr="Target met. Progres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2134" name="Bilde 6" descr="Target met. Progress positiv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3613BE76" w14:textId="77777777" w:rsidTr="001609FA">
        <w:tblPrEx>
          <w:tblCellMar>
            <w:top w:w="0" w:type="dxa"/>
            <w:left w:w="0" w:type="dxa"/>
            <w:bottom w:w="0" w:type="dxa"/>
            <w:right w:w="0" w:type="dxa"/>
          </w:tblCellMar>
        </w:tblPrEx>
        <w:trPr>
          <w:trHeight w:val="60"/>
        </w:trPr>
        <w:tc>
          <w:tcPr>
            <w:tcW w:w="61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73C0CFC6" w14:textId="025FE80A" w:rsidR="008A5841" w:rsidRPr="006A6D19" w:rsidRDefault="008A5841" w:rsidP="00B765C1">
            <w:pPr>
              <w:rPr>
                <w:lang w:val="en-GB"/>
              </w:rPr>
            </w:pPr>
            <w:r w:rsidRPr="006A6D19">
              <w:rPr>
                <w:lang w:val="en-GB"/>
              </w:rPr>
              <w:t>14.A</w:t>
            </w:r>
            <w:r w:rsidR="001609FA" w:rsidRPr="006A6D19">
              <w:rPr>
                <w:lang w:val="en-GB"/>
              </w:rPr>
              <w:t xml:space="preserve"> </w:t>
            </w:r>
          </w:p>
        </w:tc>
        <w:tc>
          <w:tcPr>
            <w:tcW w:w="356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6EFE640" w14:textId="77777777" w:rsidR="008A5841" w:rsidRPr="006A6D19" w:rsidRDefault="008A5841" w:rsidP="00B765C1">
            <w:pPr>
              <w:rPr>
                <w:lang w:val="en-GB"/>
              </w:rPr>
            </w:pPr>
            <w:r w:rsidRPr="006A6D19">
              <w:rPr>
                <w:lang w:val="en-GB"/>
              </w:rPr>
              <w:t>Norway provides extensive ocean-related development assistance that strengthens scientific knowledge, research capacity and marine technology transfer in developing countries, in particular small island developing states and least developed countries. Norway supports IOC’s secretariat and through Norad support is also given to IOC’s capacity development programs and to the UN Decade for Ocean Science.</w:t>
            </w:r>
          </w:p>
          <w:p w14:paraId="7C6100E2" w14:textId="77777777" w:rsidR="008A5841" w:rsidRPr="006A6D19" w:rsidRDefault="008A5841" w:rsidP="00B765C1">
            <w:pPr>
              <w:rPr>
                <w:lang w:val="en-GB"/>
              </w:rPr>
            </w:pPr>
            <w:r w:rsidRPr="006A6D19">
              <w:rPr>
                <w:lang w:val="en-GB"/>
              </w:rPr>
              <w:t xml:space="preserve">In 2025 the Government launched the large programme Arctic Ocean 2050 (NOK 100 million annually for 10 years, 18 institutions). </w:t>
            </w:r>
          </w:p>
        </w:tc>
        <w:tc>
          <w:tcPr>
            <w:tcW w:w="82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06BE3ED" w14:textId="427E881D" w:rsidR="008A5841" w:rsidRPr="006A6D19" w:rsidRDefault="00541482" w:rsidP="00B765C1">
            <w:pPr>
              <w:rPr>
                <w:lang w:val="en-GB"/>
              </w:rPr>
            </w:pPr>
            <w:r>
              <w:rPr>
                <w:noProof/>
              </w:rPr>
              <w:drawing>
                <wp:inline distT="0" distB="0" distL="0" distR="0" wp14:anchorId="0B38A9AA" wp14:editId="17D18C2B">
                  <wp:extent cx="990600" cy="447675"/>
                  <wp:effectExtent l="0" t="0" r="0" b="9525"/>
                  <wp:docPr id="1831367637" name="Bilde 4" descr="Target m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11348" name="Bilde 4" descr="Target met. Progress stagn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12B553F1" w14:textId="77777777" w:rsidTr="001609FA">
        <w:tblPrEx>
          <w:tblCellMar>
            <w:top w:w="0" w:type="dxa"/>
            <w:left w:w="0" w:type="dxa"/>
            <w:bottom w:w="0" w:type="dxa"/>
            <w:right w:w="0" w:type="dxa"/>
          </w:tblCellMar>
        </w:tblPrEx>
        <w:trPr>
          <w:trHeight w:val="60"/>
        </w:trPr>
        <w:tc>
          <w:tcPr>
            <w:tcW w:w="618" w:type="pct"/>
            <w:tcBorders>
              <w:top w:val="single" w:sz="6" w:space="0" w:color="000000"/>
              <w:left w:val="single" w:sz="6" w:space="0" w:color="000000"/>
              <w:bottom w:val="single" w:sz="6" w:space="0" w:color="000000"/>
              <w:right w:val="single" w:sz="6" w:space="0" w:color="000000"/>
            </w:tcBorders>
            <w:tcMar>
              <w:top w:w="102" w:type="dxa"/>
              <w:left w:w="0" w:type="dxa"/>
              <w:bottom w:w="170" w:type="dxa"/>
              <w:right w:w="85" w:type="dxa"/>
            </w:tcMar>
          </w:tcPr>
          <w:p w14:paraId="2E7E73A9" w14:textId="77777777" w:rsidR="008A5841" w:rsidRPr="006A6D19" w:rsidRDefault="008A5841" w:rsidP="00B765C1">
            <w:pPr>
              <w:rPr>
                <w:lang w:val="en-GB"/>
              </w:rPr>
            </w:pPr>
            <w:r w:rsidRPr="006A6D19">
              <w:rPr>
                <w:lang w:val="en-GB"/>
              </w:rPr>
              <w:t xml:space="preserve">14.B </w:t>
            </w:r>
          </w:p>
        </w:tc>
        <w:tc>
          <w:tcPr>
            <w:tcW w:w="3560" w:type="pct"/>
            <w:tcBorders>
              <w:top w:val="single" w:sz="6" w:space="0" w:color="000000"/>
              <w:left w:val="single" w:sz="6" w:space="0" w:color="000000"/>
              <w:bottom w:val="single" w:sz="6" w:space="0" w:color="000000"/>
              <w:right w:val="single" w:sz="6" w:space="0" w:color="000000"/>
            </w:tcBorders>
            <w:tcMar>
              <w:top w:w="102" w:type="dxa"/>
              <w:left w:w="0" w:type="dxa"/>
              <w:bottom w:w="170" w:type="dxa"/>
              <w:right w:w="85" w:type="dxa"/>
            </w:tcMar>
          </w:tcPr>
          <w:p w14:paraId="4427D61D" w14:textId="5087DE95" w:rsidR="008A5841" w:rsidRPr="006A6D19" w:rsidRDefault="008A5841" w:rsidP="00B765C1">
            <w:pPr>
              <w:rPr>
                <w:lang w:val="en-GB"/>
              </w:rPr>
            </w:pPr>
            <w:r w:rsidRPr="006A6D19">
              <w:rPr>
                <w:lang w:val="en-GB"/>
              </w:rPr>
              <w:t>Norway supports the implementation of the Voluntary Guidelines for Small Scale Fisheries and related initiatives that promote human-rights-based, gender-</w:t>
            </w:r>
            <w:r w:rsidRPr="006A6D19">
              <w:rPr>
                <w:lang w:val="en-GB"/>
              </w:rPr>
              <w:t xml:space="preserve">equitable and climate-resilient small-scale fisheries, ensuring that small-scale fishers, fish workers and their communities are recognised, supported and included in sustainable food systems. </w:t>
            </w:r>
          </w:p>
        </w:tc>
        <w:tc>
          <w:tcPr>
            <w:tcW w:w="822" w:type="pct"/>
            <w:tcBorders>
              <w:top w:val="single" w:sz="6" w:space="0" w:color="000000"/>
              <w:left w:val="single" w:sz="6" w:space="0" w:color="000000"/>
              <w:bottom w:val="single" w:sz="6" w:space="0" w:color="000000"/>
              <w:right w:val="single" w:sz="6" w:space="0" w:color="000000"/>
            </w:tcBorders>
            <w:tcMar>
              <w:top w:w="102" w:type="dxa"/>
              <w:left w:w="0" w:type="dxa"/>
              <w:bottom w:w="170" w:type="dxa"/>
              <w:right w:w="85" w:type="dxa"/>
            </w:tcMar>
          </w:tcPr>
          <w:p w14:paraId="474DE775" w14:textId="21490E44" w:rsidR="008A5841" w:rsidRPr="006A6D19" w:rsidRDefault="00541482" w:rsidP="00B765C1">
            <w:pPr>
              <w:rPr>
                <w:lang w:val="en-GB"/>
              </w:rPr>
            </w:pPr>
            <w:r>
              <w:rPr>
                <w:noProof/>
              </w:rPr>
              <w:drawing>
                <wp:inline distT="0" distB="0" distL="0" distR="0" wp14:anchorId="0AB4FFF4" wp14:editId="5CCBDE6C">
                  <wp:extent cx="990600" cy="447675"/>
                  <wp:effectExtent l="0" t="0" r="0" b="9525"/>
                  <wp:docPr id="533898889" name="Bilde 6" descr="Target met. Progres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2134" name="Bilde 6" descr="Target met. Progress positiv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36C0E404" w14:textId="77777777" w:rsidTr="001609FA">
        <w:tblPrEx>
          <w:tblCellMar>
            <w:top w:w="0" w:type="dxa"/>
            <w:left w:w="0" w:type="dxa"/>
            <w:bottom w:w="0" w:type="dxa"/>
            <w:right w:w="0" w:type="dxa"/>
          </w:tblCellMar>
        </w:tblPrEx>
        <w:trPr>
          <w:trHeight w:val="60"/>
        </w:trPr>
        <w:tc>
          <w:tcPr>
            <w:tcW w:w="61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161EF42" w14:textId="77777777" w:rsidR="008A5841" w:rsidRPr="006A6D19" w:rsidRDefault="008A5841" w:rsidP="00B765C1">
            <w:pPr>
              <w:rPr>
                <w:lang w:val="en-GB"/>
              </w:rPr>
            </w:pPr>
            <w:r w:rsidRPr="006A6D19">
              <w:rPr>
                <w:lang w:val="en-GB"/>
              </w:rPr>
              <w:t xml:space="preserve">14.C </w:t>
            </w:r>
          </w:p>
        </w:tc>
        <w:tc>
          <w:tcPr>
            <w:tcW w:w="356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524A559" w14:textId="77777777" w:rsidR="008A5841" w:rsidRPr="006A6D19" w:rsidRDefault="008A5841" w:rsidP="00B765C1">
            <w:pPr>
              <w:rPr>
                <w:lang w:val="en-GB"/>
              </w:rPr>
            </w:pPr>
            <w:r w:rsidRPr="006A6D19">
              <w:rPr>
                <w:lang w:val="en-GB"/>
              </w:rPr>
              <w:t xml:space="preserve">Norway has ratified the Agreement under UNCLOS on the Conservation and Sustainable Use of Marine Biological Diversity in Areas beyond National Jurisdiction (BBNJ Agreement). Norway also co-chairs the High-Level Panel for a Sustainable Ocean Economy (Ocean Panel) where one main goal is working towards sustainably managing 100% of the ocean area under members’ national jurisdiction. </w:t>
            </w:r>
          </w:p>
        </w:tc>
        <w:tc>
          <w:tcPr>
            <w:tcW w:w="82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9E81029" w14:textId="73267842" w:rsidR="008A5841" w:rsidRPr="006A6D19" w:rsidRDefault="00541482" w:rsidP="00B765C1">
            <w:pPr>
              <w:rPr>
                <w:lang w:val="en-GB"/>
              </w:rPr>
            </w:pPr>
            <w:r>
              <w:rPr>
                <w:noProof/>
              </w:rPr>
              <w:drawing>
                <wp:inline distT="0" distB="0" distL="0" distR="0" wp14:anchorId="25E06960" wp14:editId="2D3742D8">
                  <wp:extent cx="990600" cy="447675"/>
                  <wp:effectExtent l="0" t="0" r="0" b="9525"/>
                  <wp:docPr id="1553025360" name="Bilde 6" descr="Target met. Progres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2134" name="Bilde 6" descr="Target met. Progress positiv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bl>
    <w:p w14:paraId="20F82F3E" w14:textId="77777777" w:rsidR="008A5841" w:rsidRPr="006A6D19" w:rsidRDefault="008A5841" w:rsidP="00B765C1">
      <w:pPr>
        <w:rPr>
          <w:lang w:val="en-GB"/>
        </w:rPr>
      </w:pPr>
    </w:p>
    <w:p w14:paraId="6C39236E" w14:textId="77777777" w:rsidR="008A5841" w:rsidRPr="006A6D19" w:rsidRDefault="008A5841" w:rsidP="00B765C1">
      <w:pPr>
        <w:rPr>
          <w:lang w:val="en-GB"/>
        </w:rPr>
      </w:pPr>
      <w:r w:rsidRPr="006A6D19">
        <w:rPr>
          <w:rStyle w:val="halvfet"/>
          <w:lang w:val="en-GB"/>
        </w:rPr>
        <w:t>General Status:</w:t>
      </w:r>
      <w:r w:rsidRPr="006A6D19">
        <w:rPr>
          <w:lang w:val="en-GB"/>
        </w:rPr>
        <w:t xml:space="preserve"> The ecological quality of Norwegian coastal waters and large parts of Norway’s marine areas is good. However, the oceans are affected</w:t>
      </w:r>
      <w:r w:rsidRPr="006A6D19">
        <w:rPr>
          <w:lang w:val="en-GB"/>
        </w:rPr>
        <w:t xml:space="preserve"> by climate change and rising sea temperatures. Extensive regulations have been implemented to ensure sound management of marine areas, and </w:t>
      </w:r>
      <w:r w:rsidRPr="006A6D19">
        <w:rPr>
          <w:lang w:val="en-GB"/>
        </w:rPr>
        <w:lastRenderedPageBreak/>
        <w:t>monitoring of the ecological and chemical status of coastal waters has increased significantly in recent years. The Government will present updated management plans for Norway’s marine areas to Parliament in 2028.</w:t>
      </w:r>
    </w:p>
    <w:p w14:paraId="67111EDB" w14:textId="77777777" w:rsidR="008A5841" w:rsidRPr="006A6D19" w:rsidRDefault="008A5841" w:rsidP="00B765C1">
      <w:pPr>
        <w:rPr>
          <w:lang w:val="en-GB"/>
        </w:rPr>
      </w:pPr>
      <w:r w:rsidRPr="006A6D19">
        <w:rPr>
          <w:rStyle w:val="halvfet"/>
          <w:lang w:val="en-GB"/>
        </w:rPr>
        <w:t>Main Achievements:</w:t>
      </w:r>
      <w:r w:rsidRPr="006A6D19">
        <w:rPr>
          <w:lang w:val="en-GB"/>
        </w:rPr>
        <w:t xml:space="preserve"> The Government has implemented measures to prevent and reduce marine litter and the spread of microplastics into the ocean. Enhanced fisheries control is also being established. As of 1. January 2024, new sampling requirements for industrial catches were introduced, which will lead to more accurate reporting of species composition in fisheries.</w:t>
      </w:r>
    </w:p>
    <w:p w14:paraId="16D9A6FB" w14:textId="77777777" w:rsidR="008A5841" w:rsidRPr="006A6D19" w:rsidRDefault="008A5841" w:rsidP="00B765C1">
      <w:pPr>
        <w:rPr>
          <w:lang w:val="en-GB"/>
        </w:rPr>
      </w:pPr>
      <w:r w:rsidRPr="006A6D19">
        <w:rPr>
          <w:lang w:val="en-GB"/>
        </w:rPr>
        <w:t>The Government aims to ensure that a representative selection of marine nature is conserved. To date, 23 marine protected areas have been established to safeguard areas representing important natural values and high biological productivity, along with four national parks that also include extensive marine zones.</w:t>
      </w:r>
    </w:p>
    <w:p w14:paraId="36E7A27B" w14:textId="77777777" w:rsidR="008A5841" w:rsidRPr="006A6D19" w:rsidRDefault="008A5841" w:rsidP="00B765C1">
      <w:pPr>
        <w:rPr>
          <w:lang w:val="en-GB"/>
        </w:rPr>
      </w:pPr>
      <w:r w:rsidRPr="006A6D19">
        <w:rPr>
          <w:lang w:val="en-GB"/>
        </w:rPr>
        <w:t>Fisheries management has implemented measures to protect resources, for example through bans on certain types of gear, seasonal fishing restrictions, opening and closing of fishing grounds, and area-based regulations. In total, such area-based measures under fisheries legislation cover 44 percent of Norway’s Exclusive Economic Zone. Norway invests heavily in research, infrastructure, mapping, and monitoring of marine areas. The use of antibiotics in the Norwegian aquaculture industry has remained at a cons</w:t>
      </w:r>
      <w:r w:rsidRPr="006A6D19">
        <w:rPr>
          <w:lang w:val="en-GB"/>
        </w:rPr>
        <w:t>istently low level in recent years.</w:t>
      </w:r>
    </w:p>
    <w:p w14:paraId="6F512478" w14:textId="77777777" w:rsidR="008A5841" w:rsidRPr="006A6D19" w:rsidRDefault="008A5841" w:rsidP="00B765C1">
      <w:pPr>
        <w:rPr>
          <w:lang w:val="en-GB"/>
        </w:rPr>
      </w:pPr>
      <w:r w:rsidRPr="006A6D19">
        <w:rPr>
          <w:rStyle w:val="halvfet"/>
          <w:lang w:val="en-GB"/>
        </w:rPr>
        <w:t>Norway’s Challenges:</w:t>
      </w:r>
      <w:r w:rsidRPr="006A6D19">
        <w:rPr>
          <w:lang w:val="en-GB"/>
        </w:rPr>
        <w:t xml:space="preserve"> Some marine areas still face challenges due to impacts from climate change, eutrophication, poor status of certain species, and the spread of invasive species. Data remains limited regarding the presence and impact of plastic pollution and microplastics on ecosystems and species in Norway. Climate variability in the oceans may also lead to new challenges, including in the management of living marine resources.</w:t>
      </w:r>
    </w:p>
    <w:p w14:paraId="16F0FCFE" w14:textId="77777777" w:rsidR="008A5841" w:rsidRPr="006A6D19" w:rsidRDefault="008A5841" w:rsidP="00B765C1">
      <w:pPr>
        <w:rPr>
          <w:lang w:val="en-GB"/>
        </w:rPr>
      </w:pPr>
      <w:r w:rsidRPr="006A6D19">
        <w:rPr>
          <w:lang w:val="en-GB"/>
        </w:rPr>
        <w:t>The aquaculture industry in Norway still faces challenges, and sea lice remain as one of the most</w:t>
      </w:r>
      <w:r w:rsidRPr="006A6D19">
        <w:rPr>
          <w:lang w:val="en-GB"/>
        </w:rPr>
        <w:t xml:space="preserve"> significant. Sea lice increase mortality in farmed salmon and pose a threat to wild salmon populations. The use of chemical treatments against sea lice has been greatly reduced in recent years, largely because increasing resistance has limited their effectiveness. The aquaculture farms also release nutrients into the marine environment. However, due to strong water exchange along the Norwegian coast, the risk of substantial negative environmental impact is generally considered low.</w:t>
      </w:r>
    </w:p>
    <w:p w14:paraId="3626573E" w14:textId="77777777" w:rsidR="008A5841" w:rsidRPr="006A6D19" w:rsidRDefault="008A5841" w:rsidP="00B765C1">
      <w:pPr>
        <w:rPr>
          <w:lang w:val="en-GB"/>
        </w:rPr>
      </w:pPr>
      <w:r w:rsidRPr="006A6D19">
        <w:rPr>
          <w:rStyle w:val="halvfet"/>
          <w:lang w:val="en-GB"/>
        </w:rPr>
        <w:t>Global</w:t>
      </w:r>
      <w:r w:rsidRPr="006A6D19">
        <w:rPr>
          <w:rStyle w:val="halvfet"/>
          <w:rFonts w:ascii="Arial" w:hAnsi="Arial" w:cs="Arial"/>
          <w:lang w:val="en-GB"/>
        </w:rPr>
        <w:t> </w:t>
      </w:r>
      <w:r w:rsidRPr="006A6D19">
        <w:rPr>
          <w:rStyle w:val="halvfet"/>
          <w:lang w:val="en-GB"/>
        </w:rPr>
        <w:t>Responsibility:</w:t>
      </w:r>
      <w:r w:rsidRPr="006A6D19">
        <w:rPr>
          <w:lang w:val="en-GB"/>
        </w:rPr>
        <w:t xml:space="preserve"> Norway places strong emphasis on compliance with international agreements and conventions and contributes to a sustainable and inclusive ocean economy. This includes participation in the High-Level Panel for a Sustainable Ocean Economy, active engagement in the Fisheries Committee (COFI) of the FAO and the Regional Fisheries Management Organisations, work within the International Maritime Organization (IMO), and the Blue Justice Initiative, which assists member states in implementing the Copenhagen Declara</w:t>
      </w:r>
      <w:r w:rsidRPr="006A6D19">
        <w:rPr>
          <w:lang w:val="en-GB"/>
        </w:rPr>
        <w:t>tion against transnational organised crime in the global fishing industry. Norway also attaches great importance to the ambitious implementation of the BBNJ Agreement, to which Norway is a Party, and will engage positively in the negotiations leading to the first Conference of the Parties in 2027.</w:t>
      </w:r>
    </w:p>
    <w:p w14:paraId="77EDBD7C" w14:textId="77777777" w:rsidR="008A5841" w:rsidRPr="006A6D19" w:rsidRDefault="008A5841" w:rsidP="00B765C1">
      <w:pPr>
        <w:rPr>
          <w:lang w:val="en-GB"/>
        </w:rPr>
      </w:pPr>
      <w:r w:rsidRPr="006A6D19">
        <w:rPr>
          <w:lang w:val="en-GB"/>
        </w:rPr>
        <w:lastRenderedPageBreak/>
        <w:t>Through the Fish for Development and Ocean for Development programmes, Norway supports partner countries in building knowledge, institutions and capacity for integrated ocean management, sustainable fisheries, mar</w:t>
      </w:r>
      <w:r w:rsidRPr="006A6D19">
        <w:rPr>
          <w:lang w:val="en-GB"/>
        </w:rPr>
        <w:t>ine pollution control and climate adaptation at sea. The programmes have a strong focus on small island developing states and least developed countries, and contribute to implementing international ocean commitments, including the SDGs and the UN Decade of Ocean Science. Norway is also an active member of UNESCO’s Intergovernmental Oceanographic Commission (IOC).</w:t>
      </w:r>
    </w:p>
    <w:p w14:paraId="768B47B0" w14:textId="77777777" w:rsidR="008A5841" w:rsidRPr="006A6D19" w:rsidRDefault="008A5841" w:rsidP="006B301F">
      <w:pPr>
        <w:pStyle w:val="avsnitt-undertittel"/>
        <w:rPr>
          <w:lang w:val="en-GB"/>
        </w:rPr>
      </w:pPr>
      <w:r w:rsidRPr="006A6D19">
        <w:rPr>
          <w:lang w:val="en-GB"/>
        </w:rPr>
        <w:t>Main Policy Initiatives 2021–2026</w:t>
      </w:r>
    </w:p>
    <w:p w14:paraId="584A1EB3" w14:textId="77777777" w:rsidR="008A5841" w:rsidRPr="006A6D19" w:rsidRDefault="008A5841" w:rsidP="00B765C1">
      <w:pPr>
        <w:pStyle w:val="Listebombe"/>
        <w:rPr>
          <w:lang w:val="en-GB"/>
        </w:rPr>
      </w:pPr>
      <w:r w:rsidRPr="006A6D19">
        <w:rPr>
          <w:lang w:val="en-GB"/>
        </w:rPr>
        <w:t>White Paper, Meld. St. 24 (2024–2025) on the Future of the Aquaculture Industry.</w:t>
      </w:r>
    </w:p>
    <w:p w14:paraId="2E88AB4B" w14:textId="77777777" w:rsidR="008A5841" w:rsidRPr="006A6D19" w:rsidRDefault="008A5841" w:rsidP="00B765C1">
      <w:pPr>
        <w:pStyle w:val="Listebombe"/>
        <w:rPr>
          <w:lang w:val="en-GB"/>
        </w:rPr>
      </w:pPr>
      <w:r w:rsidRPr="006A6D19">
        <w:rPr>
          <w:lang w:val="en-GB"/>
        </w:rPr>
        <w:t>White Paper, Meld. St. 8 (2024–2025) on Animal Welfare.</w:t>
      </w:r>
    </w:p>
    <w:p w14:paraId="4C203629" w14:textId="77777777" w:rsidR="008A5841" w:rsidRPr="006A6D19" w:rsidRDefault="008A5841" w:rsidP="00B765C1">
      <w:pPr>
        <w:pStyle w:val="Listebombe"/>
        <w:rPr>
          <w:lang w:val="en-GB"/>
        </w:rPr>
      </w:pPr>
      <w:r w:rsidRPr="006A6D19">
        <w:rPr>
          <w:lang w:val="en-GB"/>
        </w:rPr>
        <w:t>White Paper, Meld. St. 21 (2023–2024) Norway’s Integrated Ocean Management Plans.</w:t>
      </w:r>
    </w:p>
    <w:p w14:paraId="0ACA9B8A" w14:textId="77777777" w:rsidR="008A5841" w:rsidRPr="006A6D19" w:rsidRDefault="008A5841" w:rsidP="00B765C1">
      <w:pPr>
        <w:rPr>
          <w:lang w:val="en-GB"/>
        </w:rPr>
      </w:pPr>
    </w:p>
    <w:p w14:paraId="2598604A" w14:textId="77777777" w:rsidR="006B301F" w:rsidRPr="006A6D19" w:rsidRDefault="006B301F" w:rsidP="006B301F">
      <w:pPr>
        <w:pStyle w:val="Undertittel"/>
        <w:rPr>
          <w:lang w:val="en-GB"/>
        </w:rPr>
      </w:pPr>
      <w:r w:rsidRPr="006A6D19">
        <w:rPr>
          <w:lang w:val="en-GB"/>
        </w:rPr>
        <w:t>Assessment by Civil Society</w:t>
      </w:r>
    </w:p>
    <w:p w14:paraId="1C7DCA3C" w14:textId="77777777" w:rsidR="008A5841" w:rsidRPr="006A6D19" w:rsidRDefault="008A5841" w:rsidP="00B765C1">
      <w:pPr>
        <w:rPr>
          <w:rStyle w:val="kursiv"/>
          <w:lang w:val="en-GB"/>
        </w:rPr>
      </w:pPr>
      <w:r w:rsidRPr="006A6D19">
        <w:rPr>
          <w:lang w:val="en-GB"/>
        </w:rPr>
        <w:t xml:space="preserve">The following organisations have participated in this assessment: </w:t>
      </w:r>
      <w:r w:rsidRPr="006A6D19">
        <w:rPr>
          <w:lang w:val="en-GB"/>
        </w:rPr>
        <w:t>Norwegian Society for the Conversation of Nature, NOAH – For animal rights, Rainforest Foundation Norway, The Development Fund, WWF Norway, The Association for International Water Studies (FIVAS), Norwegian forum for Environment and Development.</w:t>
      </w:r>
    </w:p>
    <w:p w14:paraId="20C42808" w14:textId="47553852" w:rsidR="008A5841" w:rsidRPr="006A6D19" w:rsidRDefault="008A5841" w:rsidP="00B765C1">
      <w:pPr>
        <w:rPr>
          <w:lang w:val="en-GB"/>
        </w:rPr>
      </w:pPr>
      <w:r>
        <w:rPr>
          <w:noProof/>
          <w:lang w:val="en-GB"/>
        </w:rPr>
        <w:drawing>
          <wp:inline distT="0" distB="0" distL="0" distR="0" wp14:anchorId="0BC8F50F" wp14:editId="376DF161">
            <wp:extent cx="561975" cy="561975"/>
            <wp:effectExtent l="0" t="0" r="9525" b="9525"/>
            <wp:docPr id="1651320422" name="Bilde 85" descr="Arrow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511570" name="Bilde 85" descr="Arrow down"/>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r>
        <w:rPr>
          <w:rStyle w:val="halvfet"/>
          <w:lang w:val="en-GB"/>
        </w:rPr>
        <w:t xml:space="preserve"> </w:t>
      </w:r>
      <w:r w:rsidRPr="006A6D19">
        <w:rPr>
          <w:rStyle w:val="halvfet"/>
          <w:lang w:val="en-GB"/>
        </w:rPr>
        <w:t>Trend:</w:t>
      </w:r>
      <w:r w:rsidRPr="006A6D19">
        <w:rPr>
          <w:lang w:val="en-GB"/>
        </w:rPr>
        <w:t xml:space="preserve"> Negative</w:t>
      </w:r>
      <w:r w:rsidR="001609FA" w:rsidRPr="006A6D19">
        <w:rPr>
          <w:lang w:val="en-GB"/>
        </w:rPr>
        <w:t xml:space="preserve"> </w:t>
      </w:r>
    </w:p>
    <w:p w14:paraId="20407248" w14:textId="77777777" w:rsidR="008A5841" w:rsidRPr="006A6D19" w:rsidRDefault="008A5841" w:rsidP="00B765C1">
      <w:pPr>
        <w:rPr>
          <w:lang w:val="en-GB"/>
        </w:rPr>
      </w:pPr>
      <w:r w:rsidRPr="006A6D19">
        <w:rPr>
          <w:rStyle w:val="halvfet"/>
          <w:lang w:val="en-GB"/>
        </w:rPr>
        <w:t>Norway has succeeded</w:t>
      </w:r>
      <w:r w:rsidRPr="006A6D19">
        <w:rPr>
          <w:lang w:val="en-GB"/>
        </w:rPr>
        <w:t xml:space="preserve"> in integrated ocean management plans for the Barents Sea, the Norwegian Sea, and the North Sea, with generally good environmental status in large areas, supported by monitoring and regulation. Biodiversity integration in sea-use planning is supported by new tools and data, including national ecosystem accounts from 2026 and a pilot on marine ecosystem accounting around the Lofoten archipelago. Norway contributes to global ocean governance and fisheries management through multilateral processes and conventi</w:t>
      </w:r>
      <w:r w:rsidRPr="006A6D19">
        <w:rPr>
          <w:lang w:val="en-GB"/>
        </w:rPr>
        <w:t>ons. Biodiversity mainstreaming in sectoral ocean policies includes regular reporting to Parliament on fisheries agreements. Marine litter reduction efforts indicate declining plastic pollution in parts of the coast. Water management plans have been adopted for coastal waters in line with the EU Water Framework Directive, supporting more systematic protection of coastal ecosystems. The opening of deep-seabed mining on the Norwegian continental shelf has been temporarily halted due to public concern and majo</w:t>
      </w:r>
      <w:r w:rsidRPr="006A6D19">
        <w:rPr>
          <w:lang w:val="en-GB"/>
        </w:rPr>
        <w:t>r knowledge gaps regarding environmental consequences. Area-based fisheries measures protect vulnerable marine habitats, including closures to bottom trawling in coral areas and three large non-fishing areas in the Oslofjord.</w:t>
      </w:r>
    </w:p>
    <w:p w14:paraId="636CF08C" w14:textId="0772E6EE" w:rsidR="008A5841" w:rsidRPr="006A6D19" w:rsidRDefault="008A5841" w:rsidP="00B765C1">
      <w:pPr>
        <w:rPr>
          <w:lang w:val="en-GB"/>
        </w:rPr>
      </w:pPr>
      <w:r w:rsidRPr="006A6D19">
        <w:rPr>
          <w:rStyle w:val="halvfet"/>
          <w:lang w:val="en-GB"/>
        </w:rPr>
        <w:t>Norway’s challenges</w:t>
      </w:r>
      <w:r w:rsidRPr="006A6D19">
        <w:rPr>
          <w:lang w:val="en-GB"/>
        </w:rPr>
        <w:t xml:space="preserve"> include significant pressures on marine biodiversity and ecosystems. Climate change and ocean warming are increasing stress on marine ecosystems and complicating the management of living marine resources. Nutrient pollution from agriculture and municipal wastewater remains a challenge in many coastal areas. Government reporting indicates that nutrient loads to the sea have increased since 1990, largely driven by aquaculture, with high nitrogen and phosphorus emissions from fish farming. Discharges of chemi</w:t>
      </w:r>
      <w:r w:rsidRPr="006A6D19">
        <w:rPr>
          <w:lang w:val="en-GB"/>
        </w:rPr>
        <w:t xml:space="preserve">cals and oil from activities on the Norwegian continental shelf continue. Marine protection remains limited. Only around 4.2 percent of sea areas under </w:t>
      </w:r>
      <w:r w:rsidRPr="006A6D19">
        <w:rPr>
          <w:lang w:val="en-GB"/>
        </w:rPr>
        <w:lastRenderedPageBreak/>
        <w:t>Norwegian jurisdiction are formally protected, and progress has been slow due to competing interests. Fisheries and aquaculture continue to create pressures. Ghost gear from the fishing industry remains a major problem, and stronger prevention, retrieval, and reporting systems are needed. Fish stocks are under pressure due to overfishing, climate change, and</w:t>
      </w:r>
      <w:r w:rsidRPr="006A6D19">
        <w:rPr>
          <w:lang w:val="en-GB"/>
        </w:rPr>
        <w:t xml:space="preserve"> insufficient ecosystem-based management. Aquaculture remains a major source of pollution and ecological pressure, associated with disease, salmon lice affecting wild salmonids, genetic interactions with wild stocks, and animal welfare concerns. Protection of marine wildlife remains a challenge. Seabirds are affected by habitat degradation, overfishing, disturbance, and disease, and current measures remain insufficient. Marine mammals face multiple pressures, including climate change and pollution; seals ar</w:t>
      </w:r>
      <w:r w:rsidRPr="006A6D19">
        <w:rPr>
          <w:lang w:val="en-GB"/>
        </w:rPr>
        <w:t>e hunted despite their red-listed status for several populations, and commercial sealing remains subsi</w:t>
      </w:r>
      <w:r w:rsidRPr="006A6D19">
        <w:rPr>
          <w:lang w:val="en-GB"/>
        </w:rPr>
        <w:t>dised. Whaling continues despite the International Whaling Commission’s moratorium, raising concerns regarding policy coherence and biodiversity commitments. Despite the current pause, plans for deep-seabed mining remain controversial given major knowledge gaps. Across marine and coastal governance, knowledge gaps remain, including insufficient data and tools to track ecosystem condition and cumulative impacts over time.</w:t>
      </w:r>
    </w:p>
    <w:p w14:paraId="65551422" w14:textId="77777777" w:rsidR="008A5841" w:rsidRPr="006A6D19" w:rsidRDefault="008A5841" w:rsidP="006B301F">
      <w:pPr>
        <w:pStyle w:val="avsnitt-undertittel"/>
        <w:rPr>
          <w:rStyle w:val="halvfet"/>
          <w:lang w:val="en-GB"/>
        </w:rPr>
      </w:pPr>
      <w:r w:rsidRPr="006A6D19">
        <w:rPr>
          <w:rStyle w:val="halvfet"/>
          <w:lang w:val="en-GB"/>
        </w:rPr>
        <w:t>Norway must:</w:t>
      </w:r>
    </w:p>
    <w:p w14:paraId="0BF23E10" w14:textId="77777777" w:rsidR="008A5841" w:rsidRPr="006A6D19" w:rsidRDefault="008A5841" w:rsidP="00B765C1">
      <w:pPr>
        <w:pStyle w:val="Listebombe"/>
        <w:rPr>
          <w:lang w:val="en-GB"/>
        </w:rPr>
      </w:pPr>
      <w:r w:rsidRPr="006A6D19">
        <w:rPr>
          <w:lang w:val="en-GB"/>
        </w:rPr>
        <w:t>Implement a national marine protection plan to meet the 30 percent target by 2030, and ensure MPAs are representative, well managed, and enforced.</w:t>
      </w:r>
    </w:p>
    <w:p w14:paraId="674399E4" w14:textId="77777777" w:rsidR="008A5841" w:rsidRPr="006A6D19" w:rsidRDefault="008A5841" w:rsidP="00B765C1">
      <w:pPr>
        <w:pStyle w:val="Listebombe"/>
        <w:rPr>
          <w:lang w:val="en-GB"/>
        </w:rPr>
      </w:pPr>
      <w:r w:rsidRPr="006A6D19">
        <w:rPr>
          <w:lang w:val="en-GB"/>
        </w:rPr>
        <w:t>Strengthen prevention and retrieval of abandoned or lost fishing gear (ALDFG/ghost gear) and reduce marine litter and microplastics.</w:t>
      </w:r>
    </w:p>
    <w:p w14:paraId="2773B4DE" w14:textId="77777777" w:rsidR="008A5841" w:rsidRPr="006A6D19" w:rsidRDefault="008A5841" w:rsidP="00B765C1">
      <w:pPr>
        <w:pStyle w:val="Listebombe"/>
        <w:rPr>
          <w:lang w:val="en-GB"/>
        </w:rPr>
      </w:pPr>
      <w:r w:rsidRPr="006A6D19">
        <w:rPr>
          <w:lang w:val="en-GB"/>
        </w:rPr>
        <w:t>Reduce nutrient pollution from agriculture and municipal wastewater.</w:t>
      </w:r>
    </w:p>
    <w:p w14:paraId="1CEE77DA" w14:textId="77777777" w:rsidR="008A5841" w:rsidRPr="006A6D19" w:rsidRDefault="008A5841" w:rsidP="00B765C1">
      <w:pPr>
        <w:pStyle w:val="Listebombe"/>
        <w:rPr>
          <w:lang w:val="en-GB"/>
        </w:rPr>
      </w:pPr>
      <w:r w:rsidRPr="006A6D19">
        <w:rPr>
          <w:lang w:val="en-GB"/>
        </w:rPr>
        <w:t>Strengthen regulation of aquaculture to reduce environmental impacts, protect wild salmonids, and improve fish welfare.</w:t>
      </w:r>
    </w:p>
    <w:p w14:paraId="03789973" w14:textId="77777777" w:rsidR="008A5841" w:rsidRPr="006A6D19" w:rsidRDefault="008A5841" w:rsidP="00B765C1">
      <w:pPr>
        <w:pStyle w:val="Listebombe"/>
        <w:rPr>
          <w:lang w:val="en-GB"/>
        </w:rPr>
      </w:pPr>
      <w:r w:rsidRPr="006A6D19">
        <w:rPr>
          <w:lang w:val="en-GB"/>
        </w:rPr>
        <w:t>Ensure ecosystem-based management across fisheries, aquaculture, and coastal planning based on independent science.</w:t>
      </w:r>
    </w:p>
    <w:p w14:paraId="44A38D8B" w14:textId="77777777" w:rsidR="008A5841" w:rsidRPr="006A6D19" w:rsidRDefault="008A5841" w:rsidP="00B765C1">
      <w:pPr>
        <w:pStyle w:val="Listebombe"/>
        <w:rPr>
          <w:lang w:val="en-GB"/>
        </w:rPr>
      </w:pPr>
      <w:r w:rsidRPr="006A6D19">
        <w:rPr>
          <w:lang w:val="en-GB"/>
        </w:rPr>
        <w:t>Phase out subsidies and practices harmful to marine and coastal ecosystems.</w:t>
      </w:r>
    </w:p>
    <w:p w14:paraId="5179F33F" w14:textId="77777777" w:rsidR="008A5841" w:rsidRPr="006A6D19" w:rsidRDefault="008A5841" w:rsidP="00B765C1">
      <w:pPr>
        <w:pStyle w:val="Listebombe"/>
        <w:rPr>
          <w:lang w:val="en-GB"/>
        </w:rPr>
      </w:pPr>
      <w:r w:rsidRPr="006A6D19">
        <w:rPr>
          <w:lang w:val="en-GB"/>
        </w:rPr>
        <w:t>Strengthen protection of seabirds and vulnerable marine mammals, including ending hunting or culling of red-listed populations.</w:t>
      </w:r>
    </w:p>
    <w:p w14:paraId="4E75AB5A" w14:textId="77777777" w:rsidR="008A5841" w:rsidRPr="006A6D19" w:rsidRDefault="008A5841" w:rsidP="00B765C1">
      <w:pPr>
        <w:pStyle w:val="Listebombe"/>
        <w:rPr>
          <w:lang w:val="en-GB"/>
        </w:rPr>
      </w:pPr>
      <w:r w:rsidRPr="006A6D19">
        <w:rPr>
          <w:lang w:val="en-GB"/>
        </w:rPr>
        <w:t>Maintain the halt on deep</w:t>
      </w:r>
      <w:r w:rsidRPr="006A6D19">
        <w:rPr>
          <w:lang w:val="en-GB"/>
        </w:rPr>
        <w:noBreakHyphen/>
        <w:t>seabed mining and refrain from reopening it until robust scientific knowledge and precautionary safeguards are in place.</w:t>
      </w:r>
    </w:p>
    <w:p w14:paraId="133B7204" w14:textId="77777777" w:rsidR="008A5841" w:rsidRPr="006A6D19" w:rsidRDefault="008A5841" w:rsidP="00B765C1">
      <w:pPr>
        <w:rPr>
          <w:lang w:val="en-GB"/>
        </w:rPr>
      </w:pPr>
    </w:p>
    <w:p w14:paraId="6A91C084" w14:textId="77777777" w:rsidR="008A5841" w:rsidRPr="006A6D19" w:rsidRDefault="008A5841" w:rsidP="001609FA">
      <w:pPr>
        <w:pStyle w:val="UnOverskrift3"/>
        <w:rPr>
          <w:lang w:val="en-GB"/>
        </w:rPr>
      </w:pPr>
      <w:r w:rsidRPr="006A6D19">
        <w:rPr>
          <w:lang w:val="en-GB"/>
        </w:rPr>
        <w:lastRenderedPageBreak/>
        <w:t>15 Life on Land</w:t>
      </w:r>
    </w:p>
    <w:p w14:paraId="74938994" w14:textId="2CB1E224" w:rsidR="008A5841" w:rsidRPr="006A6D19" w:rsidRDefault="00BB2AF4" w:rsidP="001609FA">
      <w:pPr>
        <w:rPr>
          <w:lang w:val="en-GB"/>
        </w:rPr>
      </w:pPr>
      <w:r w:rsidRPr="006A6D19">
        <w:rPr>
          <w:noProof/>
          <w:lang w:val="en-GB"/>
        </w:rPr>
        <w:drawing>
          <wp:inline distT="0" distB="0" distL="0" distR="0" wp14:anchorId="026CAC02" wp14:editId="566C0221">
            <wp:extent cx="2857500" cy="2857500"/>
            <wp:effectExtent l="0" t="0" r="0" b="0"/>
            <wp:docPr id="377955280" name="Bilde 57" descr="Goal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955280" name="Bilde 57" descr="Goal 1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5B11D5BF" w14:textId="77777777" w:rsidR="008A5841" w:rsidRPr="006A6D19" w:rsidRDefault="008A5841" w:rsidP="006B301F">
      <w:pPr>
        <w:pStyle w:val="Undertittel"/>
        <w:rPr>
          <w:lang w:val="en-GB"/>
        </w:rPr>
      </w:pPr>
      <w:r w:rsidRPr="006A6D19">
        <w:rPr>
          <w:lang w:val="en-GB"/>
        </w:rPr>
        <w:t>Government Assessment</w:t>
      </w:r>
    </w:p>
    <w:tbl>
      <w:tblPr>
        <w:tblW w:w="5000" w:type="pct"/>
        <w:tblCellMar>
          <w:left w:w="0" w:type="dxa"/>
          <w:right w:w="0" w:type="dxa"/>
        </w:tblCellMar>
        <w:tblLook w:val="0000" w:firstRow="0" w:lastRow="0" w:firstColumn="0" w:lastColumn="0" w:noHBand="0" w:noVBand="0"/>
      </w:tblPr>
      <w:tblGrid>
        <w:gridCol w:w="1313"/>
        <w:gridCol w:w="7388"/>
        <w:gridCol w:w="1749"/>
      </w:tblGrid>
      <w:tr w:rsidR="00000000" w:rsidRPr="006A6D19" w14:paraId="3801A976" w14:textId="77777777" w:rsidTr="001609FA">
        <w:tblPrEx>
          <w:tblCellMar>
            <w:top w:w="0" w:type="dxa"/>
            <w:left w:w="0" w:type="dxa"/>
            <w:bottom w:w="0" w:type="dxa"/>
            <w:right w:w="0" w:type="dxa"/>
          </w:tblCellMar>
        </w:tblPrEx>
        <w:trPr>
          <w:trHeight w:val="60"/>
        </w:trPr>
        <w:tc>
          <w:tcPr>
            <w:tcW w:w="628" w:type="pct"/>
            <w:tcBorders>
              <w:top w:val="single" w:sz="6" w:space="0" w:color="000000"/>
              <w:left w:val="single" w:sz="6" w:space="0" w:color="000000"/>
              <w:bottom w:val="single" w:sz="6" w:space="0" w:color="000000"/>
              <w:right w:val="single" w:sz="6" w:space="0" w:color="000000"/>
            </w:tcBorders>
            <w:tcMar>
              <w:top w:w="0" w:type="dxa"/>
              <w:left w:w="0" w:type="dxa"/>
              <w:bottom w:w="113" w:type="dxa"/>
              <w:right w:w="85" w:type="dxa"/>
            </w:tcMar>
          </w:tcPr>
          <w:p w14:paraId="5641D847" w14:textId="77777777" w:rsidR="008A5841" w:rsidRPr="006A6D19" w:rsidRDefault="008A5841" w:rsidP="00B765C1">
            <w:pPr>
              <w:rPr>
                <w:lang w:val="en-GB"/>
              </w:rPr>
            </w:pPr>
            <w:r w:rsidRPr="006A6D19">
              <w:rPr>
                <w:lang w:val="en-GB"/>
              </w:rPr>
              <w:t xml:space="preserve">15.1 </w:t>
            </w:r>
          </w:p>
        </w:tc>
        <w:tc>
          <w:tcPr>
            <w:tcW w:w="3535" w:type="pct"/>
            <w:tcBorders>
              <w:top w:val="single" w:sz="6" w:space="0" w:color="000000"/>
              <w:left w:val="single" w:sz="6" w:space="0" w:color="000000"/>
              <w:bottom w:val="single" w:sz="6" w:space="0" w:color="000000"/>
              <w:right w:val="single" w:sz="6" w:space="0" w:color="000000"/>
            </w:tcBorders>
            <w:tcMar>
              <w:top w:w="0" w:type="dxa"/>
              <w:left w:w="0" w:type="dxa"/>
              <w:bottom w:w="113" w:type="dxa"/>
              <w:right w:w="85" w:type="dxa"/>
            </w:tcMar>
          </w:tcPr>
          <w:p w14:paraId="3712F81B" w14:textId="77777777" w:rsidR="008A5841" w:rsidRPr="006A6D19" w:rsidRDefault="008A5841" w:rsidP="00B765C1">
            <w:pPr>
              <w:rPr>
                <w:lang w:val="en-GB"/>
              </w:rPr>
            </w:pPr>
            <w:r w:rsidRPr="006A6D19">
              <w:rPr>
                <w:lang w:val="en-GB"/>
              </w:rPr>
              <w:t>Plans for the conservation of ecosystems are on the right track, as are plans for the restoration of freshwater-based ecosystems. Criteria for sustainability and measures for the restoration of other ecosystems are under development.</w:t>
            </w:r>
          </w:p>
        </w:tc>
        <w:tc>
          <w:tcPr>
            <w:tcW w:w="83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6DC4F541" w14:textId="0852ABDA" w:rsidR="008A5841" w:rsidRPr="006A6D19" w:rsidRDefault="008D2934" w:rsidP="00B765C1">
            <w:pPr>
              <w:rPr>
                <w:lang w:val="en-GB"/>
              </w:rPr>
            </w:pPr>
            <w:r>
              <w:rPr>
                <w:noProof/>
              </w:rPr>
              <w:drawing>
                <wp:inline distT="0" distB="0" distL="0" distR="0" wp14:anchorId="66977C2C" wp14:editId="5C8383BE">
                  <wp:extent cx="990600" cy="447675"/>
                  <wp:effectExtent l="0" t="0" r="0" b="9525"/>
                  <wp:docPr id="265599641" name="Bilde 3" descr="Close to target. Progress i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804348" name="Bilde 3" descr="Close to target. Progress is positiv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0DB00A92" w14:textId="77777777" w:rsidTr="001609FA">
        <w:tblPrEx>
          <w:tblCellMar>
            <w:top w:w="0" w:type="dxa"/>
            <w:left w:w="0" w:type="dxa"/>
            <w:bottom w:w="0" w:type="dxa"/>
            <w:right w:w="0" w:type="dxa"/>
          </w:tblCellMar>
        </w:tblPrEx>
        <w:trPr>
          <w:trHeight w:val="60"/>
        </w:trPr>
        <w:tc>
          <w:tcPr>
            <w:tcW w:w="628" w:type="pct"/>
            <w:tcBorders>
              <w:top w:val="single" w:sz="6" w:space="0" w:color="000000"/>
              <w:left w:val="single" w:sz="6" w:space="0" w:color="000000"/>
              <w:bottom w:val="single" w:sz="6" w:space="0" w:color="000000"/>
              <w:right w:val="single" w:sz="6" w:space="0" w:color="000000"/>
            </w:tcBorders>
            <w:tcMar>
              <w:top w:w="0" w:type="dxa"/>
              <w:left w:w="0" w:type="dxa"/>
              <w:bottom w:w="113" w:type="dxa"/>
              <w:right w:w="85" w:type="dxa"/>
            </w:tcMar>
          </w:tcPr>
          <w:p w14:paraId="32CEEE9B" w14:textId="77777777" w:rsidR="008A5841" w:rsidRPr="006A6D19" w:rsidRDefault="008A5841" w:rsidP="00B765C1">
            <w:pPr>
              <w:rPr>
                <w:lang w:val="en-GB"/>
              </w:rPr>
            </w:pPr>
            <w:r w:rsidRPr="006A6D19">
              <w:rPr>
                <w:lang w:val="en-GB"/>
              </w:rPr>
              <w:t xml:space="preserve">15.2 </w:t>
            </w:r>
          </w:p>
        </w:tc>
        <w:tc>
          <w:tcPr>
            <w:tcW w:w="3535" w:type="pct"/>
            <w:tcBorders>
              <w:top w:val="single" w:sz="6" w:space="0" w:color="000000"/>
              <w:left w:val="single" w:sz="6" w:space="0" w:color="000000"/>
              <w:bottom w:val="single" w:sz="6" w:space="0" w:color="000000"/>
              <w:right w:val="single" w:sz="6" w:space="0" w:color="000000"/>
            </w:tcBorders>
            <w:tcMar>
              <w:top w:w="0" w:type="dxa"/>
              <w:left w:w="0" w:type="dxa"/>
              <w:bottom w:w="113" w:type="dxa"/>
              <w:right w:w="85" w:type="dxa"/>
            </w:tcMar>
          </w:tcPr>
          <w:p w14:paraId="47A488E0" w14:textId="77777777" w:rsidR="008A5841" w:rsidRPr="006A6D19" w:rsidRDefault="008A5841" w:rsidP="00B765C1">
            <w:pPr>
              <w:rPr>
                <w:lang w:val="en-GB"/>
              </w:rPr>
            </w:pPr>
            <w:r w:rsidRPr="006A6D19">
              <w:rPr>
                <w:lang w:val="en-GB"/>
              </w:rPr>
              <w:t>Thirty-seven percent of Norway’s land area is covered by forest, of which nearly 100% is certified under global forest management certification systems. Measures are being implemented to reduce deforestation. The Government has established the following targets for forests in Norway: Forests areas protected under the Nature Diversity Act will have ecological status close to natural condition by 2050. In other forests areas, ecological status will be improved by 2050, measured using the directorates’ indicat</w:t>
            </w:r>
            <w:r w:rsidRPr="006A6D19">
              <w:rPr>
                <w:lang w:val="en-GB"/>
              </w:rPr>
              <w:t>ors, while there is active and sustainable forestry on economically viable land, and the competitiveness of the forestry industry is safeguarded.</w:t>
            </w:r>
          </w:p>
        </w:tc>
        <w:tc>
          <w:tcPr>
            <w:tcW w:w="83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0E23C7AE" w14:textId="18311B5D" w:rsidR="008A5841" w:rsidRPr="006A6D19" w:rsidRDefault="008D2934" w:rsidP="00B765C1">
            <w:pPr>
              <w:rPr>
                <w:lang w:val="en-GB"/>
              </w:rPr>
            </w:pPr>
            <w:r>
              <w:rPr>
                <w:noProof/>
              </w:rPr>
              <w:drawing>
                <wp:inline distT="0" distB="0" distL="0" distR="0" wp14:anchorId="2EF37D0D" wp14:editId="4E113363">
                  <wp:extent cx="990600" cy="447675"/>
                  <wp:effectExtent l="0" t="0" r="0" b="9525"/>
                  <wp:docPr id="206829902" name="Bilde 3" descr="Close to target. Progress i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804348" name="Bilde 3" descr="Close to target. Progress is positiv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3C80A355" w14:textId="77777777" w:rsidTr="001609FA">
        <w:tblPrEx>
          <w:tblCellMar>
            <w:top w:w="0" w:type="dxa"/>
            <w:left w:w="0" w:type="dxa"/>
            <w:bottom w:w="0" w:type="dxa"/>
            <w:right w:w="0" w:type="dxa"/>
          </w:tblCellMar>
        </w:tblPrEx>
        <w:trPr>
          <w:trHeight w:val="60"/>
        </w:trPr>
        <w:tc>
          <w:tcPr>
            <w:tcW w:w="628" w:type="pct"/>
            <w:tcBorders>
              <w:top w:val="single" w:sz="6" w:space="0" w:color="000000"/>
              <w:left w:val="single" w:sz="6" w:space="0" w:color="000000"/>
              <w:bottom w:val="single" w:sz="6" w:space="0" w:color="000000"/>
              <w:right w:val="single" w:sz="6" w:space="0" w:color="000000"/>
            </w:tcBorders>
            <w:tcMar>
              <w:top w:w="0" w:type="dxa"/>
              <w:left w:w="0" w:type="dxa"/>
              <w:bottom w:w="113" w:type="dxa"/>
              <w:right w:w="85" w:type="dxa"/>
            </w:tcMar>
          </w:tcPr>
          <w:p w14:paraId="35924AE5" w14:textId="77777777" w:rsidR="008A5841" w:rsidRPr="006A6D19" w:rsidRDefault="008A5841" w:rsidP="00B765C1">
            <w:pPr>
              <w:rPr>
                <w:lang w:val="en-GB"/>
              </w:rPr>
            </w:pPr>
            <w:r w:rsidRPr="006A6D19">
              <w:rPr>
                <w:lang w:val="en-GB"/>
              </w:rPr>
              <w:t xml:space="preserve">15.3 </w:t>
            </w:r>
          </w:p>
        </w:tc>
        <w:tc>
          <w:tcPr>
            <w:tcW w:w="3535" w:type="pct"/>
            <w:tcBorders>
              <w:top w:val="single" w:sz="6" w:space="0" w:color="000000"/>
              <w:left w:val="single" w:sz="6" w:space="0" w:color="000000"/>
              <w:bottom w:val="single" w:sz="6" w:space="0" w:color="000000"/>
              <w:right w:val="single" w:sz="6" w:space="0" w:color="000000"/>
            </w:tcBorders>
            <w:tcMar>
              <w:top w:w="0" w:type="dxa"/>
              <w:left w:w="0" w:type="dxa"/>
              <w:bottom w:w="113" w:type="dxa"/>
              <w:right w:w="85" w:type="dxa"/>
            </w:tcMar>
          </w:tcPr>
          <w:p w14:paraId="48501473" w14:textId="77777777" w:rsidR="008A5841" w:rsidRPr="006A6D19" w:rsidRDefault="008A5841" w:rsidP="00B765C1">
            <w:pPr>
              <w:rPr>
                <w:lang w:val="en-GB"/>
              </w:rPr>
            </w:pPr>
            <w:r w:rsidRPr="006A6D19">
              <w:rPr>
                <w:lang w:val="en-GB"/>
              </w:rPr>
              <w:t>Norway has a national soil protection strategy with targets for maximum land conversion, and the loss of cultivated and cultivable land has remained within national targets in recent years.</w:t>
            </w:r>
          </w:p>
        </w:tc>
        <w:tc>
          <w:tcPr>
            <w:tcW w:w="83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32D50C6" w14:textId="12914A4F" w:rsidR="008A5841" w:rsidRPr="006A6D19" w:rsidRDefault="008D2934" w:rsidP="00B765C1">
            <w:pPr>
              <w:rPr>
                <w:lang w:val="en-GB"/>
              </w:rPr>
            </w:pPr>
            <w:r>
              <w:rPr>
                <w:noProof/>
              </w:rPr>
              <w:drawing>
                <wp:inline distT="0" distB="0" distL="0" distR="0" wp14:anchorId="6ADC6E0C" wp14:editId="2576A8CA">
                  <wp:extent cx="990600" cy="447675"/>
                  <wp:effectExtent l="0" t="0" r="0" b="9525"/>
                  <wp:docPr id="1428813418" name="Bilde 3" descr="Close to target. Progress i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804348" name="Bilde 3" descr="Close to target. Progress is positiv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04691D52" w14:textId="77777777" w:rsidTr="001609FA">
        <w:tblPrEx>
          <w:tblCellMar>
            <w:top w:w="0" w:type="dxa"/>
            <w:left w:w="0" w:type="dxa"/>
            <w:bottom w:w="0" w:type="dxa"/>
            <w:right w:w="0" w:type="dxa"/>
          </w:tblCellMar>
        </w:tblPrEx>
        <w:trPr>
          <w:trHeight w:val="60"/>
        </w:trPr>
        <w:tc>
          <w:tcPr>
            <w:tcW w:w="628" w:type="pct"/>
            <w:tcBorders>
              <w:top w:val="single" w:sz="6" w:space="0" w:color="000000"/>
              <w:left w:val="single" w:sz="6" w:space="0" w:color="000000"/>
              <w:bottom w:val="single" w:sz="6" w:space="0" w:color="000000"/>
              <w:right w:val="single" w:sz="6" w:space="0" w:color="000000"/>
            </w:tcBorders>
            <w:tcMar>
              <w:top w:w="0" w:type="dxa"/>
              <w:left w:w="0" w:type="dxa"/>
              <w:bottom w:w="113" w:type="dxa"/>
              <w:right w:w="85" w:type="dxa"/>
            </w:tcMar>
          </w:tcPr>
          <w:p w14:paraId="2E06C0D5" w14:textId="77777777" w:rsidR="008A5841" w:rsidRPr="006A6D19" w:rsidRDefault="008A5841" w:rsidP="00B765C1">
            <w:pPr>
              <w:rPr>
                <w:lang w:val="en-GB"/>
              </w:rPr>
            </w:pPr>
            <w:r w:rsidRPr="006A6D19">
              <w:rPr>
                <w:lang w:val="en-GB"/>
              </w:rPr>
              <w:t xml:space="preserve">15.4 </w:t>
            </w:r>
          </w:p>
        </w:tc>
        <w:tc>
          <w:tcPr>
            <w:tcW w:w="3535" w:type="pct"/>
            <w:tcBorders>
              <w:top w:val="single" w:sz="6" w:space="0" w:color="000000"/>
              <w:left w:val="single" w:sz="6" w:space="0" w:color="000000"/>
              <w:bottom w:val="single" w:sz="6" w:space="0" w:color="000000"/>
              <w:right w:val="single" w:sz="6" w:space="0" w:color="000000"/>
            </w:tcBorders>
            <w:tcMar>
              <w:top w:w="0" w:type="dxa"/>
              <w:left w:w="0" w:type="dxa"/>
              <w:bottom w:w="113" w:type="dxa"/>
              <w:right w:w="85" w:type="dxa"/>
            </w:tcMar>
          </w:tcPr>
          <w:p w14:paraId="542073C2" w14:textId="77777777" w:rsidR="008A5841" w:rsidRPr="006A6D19" w:rsidRDefault="008A5841" w:rsidP="00B765C1">
            <w:pPr>
              <w:rPr>
                <w:lang w:val="en-GB"/>
              </w:rPr>
            </w:pPr>
            <w:r w:rsidRPr="006A6D19">
              <w:rPr>
                <w:lang w:val="en-GB"/>
              </w:rPr>
              <w:t xml:space="preserve">Thirty-four percent of Norway’s mountain ecosystems are protected areas. A quality norm for wild reindeer has been established and a separate White Paper, presented in 2024, defines targets and measures to safeguard and improve the state of the 24 wild reindeer areas in the </w:t>
            </w:r>
            <w:r w:rsidRPr="006A6D19">
              <w:rPr>
                <w:lang w:val="en-GB"/>
              </w:rPr>
              <w:lastRenderedPageBreak/>
              <w:t>mountains of Southern Norway. Action plans are to be developed for the specific wild reindeer areas.</w:t>
            </w:r>
          </w:p>
        </w:tc>
        <w:tc>
          <w:tcPr>
            <w:tcW w:w="83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7C05C525" w14:textId="7AE62B6B" w:rsidR="008A5841" w:rsidRPr="006A6D19" w:rsidRDefault="007B3BCE" w:rsidP="00B765C1">
            <w:pPr>
              <w:rPr>
                <w:lang w:val="en-GB"/>
              </w:rPr>
            </w:pPr>
            <w:r>
              <w:rPr>
                <w:noProof/>
              </w:rPr>
              <w:lastRenderedPageBreak/>
              <w:drawing>
                <wp:inline distT="0" distB="0" distL="0" distR="0" wp14:anchorId="6B1CB269" wp14:editId="46F560CD">
                  <wp:extent cx="990600" cy="447675"/>
                  <wp:effectExtent l="0" t="0" r="0" b="9525"/>
                  <wp:docPr id="1740871479" name="Bilde 2" descr="Close to target. Progress is neg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10246" name="Bilde 2" descr="Close to target. Progress is negativ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1F72A6BA" w14:textId="77777777" w:rsidTr="001609FA">
        <w:tblPrEx>
          <w:tblCellMar>
            <w:top w:w="0" w:type="dxa"/>
            <w:left w:w="0" w:type="dxa"/>
            <w:bottom w:w="0" w:type="dxa"/>
            <w:right w:w="0" w:type="dxa"/>
          </w:tblCellMar>
        </w:tblPrEx>
        <w:trPr>
          <w:trHeight w:val="60"/>
        </w:trPr>
        <w:tc>
          <w:tcPr>
            <w:tcW w:w="628" w:type="pct"/>
            <w:tcBorders>
              <w:top w:val="single" w:sz="6" w:space="0" w:color="000000"/>
              <w:left w:val="single" w:sz="6" w:space="0" w:color="000000"/>
              <w:bottom w:val="single" w:sz="6" w:space="0" w:color="000000"/>
              <w:right w:val="single" w:sz="6" w:space="0" w:color="000000"/>
            </w:tcBorders>
            <w:tcMar>
              <w:top w:w="0" w:type="dxa"/>
              <w:left w:w="0" w:type="dxa"/>
              <w:bottom w:w="113" w:type="dxa"/>
              <w:right w:w="85" w:type="dxa"/>
            </w:tcMar>
          </w:tcPr>
          <w:p w14:paraId="4F969673" w14:textId="77777777" w:rsidR="008A5841" w:rsidRPr="006A6D19" w:rsidRDefault="008A5841" w:rsidP="00B765C1">
            <w:pPr>
              <w:rPr>
                <w:lang w:val="en-GB"/>
              </w:rPr>
            </w:pPr>
            <w:r w:rsidRPr="006A6D19">
              <w:rPr>
                <w:lang w:val="en-GB"/>
              </w:rPr>
              <w:t xml:space="preserve">15.5 </w:t>
            </w:r>
          </w:p>
        </w:tc>
        <w:tc>
          <w:tcPr>
            <w:tcW w:w="3535" w:type="pct"/>
            <w:tcBorders>
              <w:top w:val="single" w:sz="6" w:space="0" w:color="000000"/>
              <w:left w:val="single" w:sz="6" w:space="0" w:color="000000"/>
              <w:bottom w:val="single" w:sz="6" w:space="0" w:color="000000"/>
              <w:right w:val="single" w:sz="6" w:space="0" w:color="000000"/>
            </w:tcBorders>
            <w:tcMar>
              <w:top w:w="0" w:type="dxa"/>
              <w:left w:w="0" w:type="dxa"/>
              <w:bottom w:w="113" w:type="dxa"/>
              <w:right w:w="85" w:type="dxa"/>
            </w:tcMar>
          </w:tcPr>
          <w:p w14:paraId="5F169470" w14:textId="77777777" w:rsidR="008A5841" w:rsidRPr="006A6D19" w:rsidRDefault="008A5841" w:rsidP="00B765C1">
            <w:pPr>
              <w:rPr>
                <w:lang w:val="en-GB"/>
              </w:rPr>
            </w:pPr>
            <w:r w:rsidRPr="006A6D19">
              <w:rPr>
                <w:lang w:val="en-GB"/>
              </w:rPr>
              <w:t>Legislation for nature conservation and comprehensive land management is in place, and the updated Action Plan for Biodiversity introduces more holistic and systematic policies.</w:t>
            </w:r>
          </w:p>
        </w:tc>
        <w:tc>
          <w:tcPr>
            <w:tcW w:w="83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004984A7" w14:textId="562299C2" w:rsidR="008A5841" w:rsidRPr="006A6D19" w:rsidRDefault="007B3BCE" w:rsidP="00B765C1">
            <w:pPr>
              <w:rPr>
                <w:lang w:val="en-GB"/>
              </w:rPr>
            </w:pPr>
            <w:r>
              <w:rPr>
                <w:noProof/>
              </w:rPr>
              <w:drawing>
                <wp:inline distT="0" distB="0" distL="0" distR="0" wp14:anchorId="0871945A" wp14:editId="0854F141">
                  <wp:extent cx="990600" cy="447675"/>
                  <wp:effectExtent l="0" t="0" r="0" b="9525"/>
                  <wp:docPr id="1461835089" name="Bilde 2" descr="Close to target. Progress is neg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10246" name="Bilde 2" descr="Close to target. Progress is negativ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64C17F61" w14:textId="77777777" w:rsidTr="001609FA">
        <w:tblPrEx>
          <w:tblCellMar>
            <w:top w:w="0" w:type="dxa"/>
            <w:left w:w="0" w:type="dxa"/>
            <w:bottom w:w="0" w:type="dxa"/>
            <w:right w:w="0" w:type="dxa"/>
          </w:tblCellMar>
        </w:tblPrEx>
        <w:trPr>
          <w:trHeight w:val="60"/>
        </w:trPr>
        <w:tc>
          <w:tcPr>
            <w:tcW w:w="628" w:type="pct"/>
            <w:tcBorders>
              <w:top w:val="single" w:sz="6" w:space="0" w:color="000000"/>
              <w:left w:val="single" w:sz="6" w:space="0" w:color="000000"/>
              <w:bottom w:val="single" w:sz="6" w:space="0" w:color="000000"/>
              <w:right w:val="single" w:sz="6" w:space="0" w:color="000000"/>
            </w:tcBorders>
            <w:tcMar>
              <w:top w:w="0" w:type="dxa"/>
              <w:left w:w="0" w:type="dxa"/>
              <w:bottom w:w="113" w:type="dxa"/>
              <w:right w:w="85" w:type="dxa"/>
            </w:tcMar>
          </w:tcPr>
          <w:p w14:paraId="0C72FFEC" w14:textId="6B2B7416" w:rsidR="008A5841" w:rsidRPr="006A6D19" w:rsidRDefault="008A5841" w:rsidP="00B765C1">
            <w:pPr>
              <w:rPr>
                <w:lang w:val="en-GB"/>
              </w:rPr>
            </w:pPr>
            <w:r w:rsidRPr="006A6D19">
              <w:rPr>
                <w:lang w:val="en-GB"/>
              </w:rPr>
              <w:t>15.6</w:t>
            </w:r>
            <w:r w:rsidR="001609FA" w:rsidRPr="006A6D19">
              <w:rPr>
                <w:lang w:val="en-GB"/>
              </w:rPr>
              <w:t xml:space="preserve"> </w:t>
            </w:r>
          </w:p>
        </w:tc>
        <w:tc>
          <w:tcPr>
            <w:tcW w:w="3535" w:type="pct"/>
            <w:tcBorders>
              <w:top w:val="single" w:sz="6" w:space="0" w:color="000000"/>
              <w:left w:val="single" w:sz="6" w:space="0" w:color="000000"/>
              <w:bottom w:val="single" w:sz="6" w:space="0" w:color="000000"/>
              <w:right w:val="single" w:sz="6" w:space="0" w:color="000000"/>
            </w:tcBorders>
            <w:tcMar>
              <w:top w:w="0" w:type="dxa"/>
              <w:left w:w="0" w:type="dxa"/>
              <w:bottom w:w="113" w:type="dxa"/>
              <w:right w:w="85" w:type="dxa"/>
            </w:tcMar>
          </w:tcPr>
          <w:p w14:paraId="32D0B423" w14:textId="77777777" w:rsidR="008A5841" w:rsidRPr="006A6D19" w:rsidRDefault="008A5841" w:rsidP="00B765C1">
            <w:pPr>
              <w:rPr>
                <w:lang w:val="en-GB"/>
              </w:rPr>
            </w:pPr>
            <w:r w:rsidRPr="006A6D19">
              <w:rPr>
                <w:lang w:val="en-GB"/>
              </w:rPr>
              <w:t>National regulations enabling fair and equitable benefit-sharing have been implemented. Norway makes annual contributions to the Benefit-Sharing Fund of the International Treaty on Plant Genetic Resources for Food and Agriculture.</w:t>
            </w:r>
          </w:p>
        </w:tc>
        <w:tc>
          <w:tcPr>
            <w:tcW w:w="83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0B9B6D6C" w14:textId="1EA45EFB" w:rsidR="008A5841" w:rsidRPr="006A6D19" w:rsidRDefault="00541482" w:rsidP="00B765C1">
            <w:pPr>
              <w:rPr>
                <w:lang w:val="en-GB"/>
              </w:rPr>
            </w:pPr>
            <w:r>
              <w:rPr>
                <w:noProof/>
              </w:rPr>
              <w:drawing>
                <wp:inline distT="0" distB="0" distL="0" distR="0" wp14:anchorId="22DC7B02" wp14:editId="7F67BB90">
                  <wp:extent cx="990600" cy="447675"/>
                  <wp:effectExtent l="0" t="0" r="0" b="9525"/>
                  <wp:docPr id="915587863" name="Bilde 6" descr="Target met. Progres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2134" name="Bilde 6" descr="Target met. Progress positiv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619F811B" w14:textId="77777777" w:rsidTr="001609FA">
        <w:tblPrEx>
          <w:tblCellMar>
            <w:top w:w="0" w:type="dxa"/>
            <w:left w:w="0" w:type="dxa"/>
            <w:bottom w:w="0" w:type="dxa"/>
            <w:right w:w="0" w:type="dxa"/>
          </w:tblCellMar>
        </w:tblPrEx>
        <w:trPr>
          <w:trHeight w:val="60"/>
        </w:trPr>
        <w:tc>
          <w:tcPr>
            <w:tcW w:w="628" w:type="pct"/>
            <w:tcBorders>
              <w:top w:val="single" w:sz="6" w:space="0" w:color="000000"/>
              <w:left w:val="single" w:sz="6" w:space="0" w:color="000000"/>
              <w:bottom w:val="single" w:sz="6" w:space="0" w:color="000000"/>
              <w:right w:val="single" w:sz="6" w:space="0" w:color="000000"/>
            </w:tcBorders>
            <w:tcMar>
              <w:top w:w="0" w:type="dxa"/>
              <w:left w:w="0" w:type="dxa"/>
              <w:bottom w:w="113" w:type="dxa"/>
              <w:right w:w="85" w:type="dxa"/>
            </w:tcMar>
          </w:tcPr>
          <w:p w14:paraId="6E40A073" w14:textId="77777777" w:rsidR="008A5841" w:rsidRPr="006A6D19" w:rsidRDefault="008A5841" w:rsidP="00B765C1">
            <w:pPr>
              <w:rPr>
                <w:lang w:val="en-GB"/>
              </w:rPr>
            </w:pPr>
            <w:r w:rsidRPr="006A6D19">
              <w:rPr>
                <w:lang w:val="en-GB"/>
              </w:rPr>
              <w:t xml:space="preserve">15.7 </w:t>
            </w:r>
          </w:p>
        </w:tc>
        <w:tc>
          <w:tcPr>
            <w:tcW w:w="3535" w:type="pct"/>
            <w:tcBorders>
              <w:top w:val="single" w:sz="6" w:space="0" w:color="000000"/>
              <w:left w:val="single" w:sz="6" w:space="0" w:color="000000"/>
              <w:bottom w:val="single" w:sz="6" w:space="0" w:color="000000"/>
              <w:right w:val="single" w:sz="6" w:space="0" w:color="000000"/>
            </w:tcBorders>
            <w:tcMar>
              <w:top w:w="0" w:type="dxa"/>
              <w:left w:w="0" w:type="dxa"/>
              <w:bottom w:w="113" w:type="dxa"/>
              <w:right w:w="85" w:type="dxa"/>
            </w:tcMar>
          </w:tcPr>
          <w:p w14:paraId="4058516A" w14:textId="77777777" w:rsidR="008A5841" w:rsidRPr="006A6D19" w:rsidRDefault="008A5841" w:rsidP="00B765C1">
            <w:pPr>
              <w:rPr>
                <w:lang w:val="en-GB"/>
              </w:rPr>
            </w:pPr>
            <w:r w:rsidRPr="006A6D19">
              <w:rPr>
                <w:lang w:val="en-GB"/>
              </w:rPr>
              <w:t>National and international legislation has been implemented to end poaching and the trade of protected species, for example in accordance with CITES.</w:t>
            </w:r>
          </w:p>
        </w:tc>
        <w:tc>
          <w:tcPr>
            <w:tcW w:w="83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738303E" w14:textId="7A502990" w:rsidR="008A5841" w:rsidRPr="006A6D19" w:rsidRDefault="008D2934" w:rsidP="00B765C1">
            <w:pPr>
              <w:rPr>
                <w:lang w:val="en-GB"/>
              </w:rPr>
            </w:pPr>
            <w:r>
              <w:rPr>
                <w:noProof/>
              </w:rPr>
              <w:drawing>
                <wp:inline distT="0" distB="0" distL="0" distR="0" wp14:anchorId="705769A1" wp14:editId="647C410B">
                  <wp:extent cx="990600" cy="447675"/>
                  <wp:effectExtent l="0" t="0" r="0" b="9525"/>
                  <wp:docPr id="1613012074" name="Bilde 3" descr="Close to target. Progress i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804348" name="Bilde 3" descr="Close to target. Progress is positiv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52F5A3CA" w14:textId="77777777" w:rsidTr="001609FA">
        <w:tblPrEx>
          <w:tblCellMar>
            <w:top w:w="0" w:type="dxa"/>
            <w:left w:w="0" w:type="dxa"/>
            <w:bottom w:w="0" w:type="dxa"/>
            <w:right w:w="0" w:type="dxa"/>
          </w:tblCellMar>
        </w:tblPrEx>
        <w:trPr>
          <w:trHeight w:val="60"/>
        </w:trPr>
        <w:tc>
          <w:tcPr>
            <w:tcW w:w="628" w:type="pct"/>
            <w:tcBorders>
              <w:top w:val="single" w:sz="6" w:space="0" w:color="000000"/>
              <w:left w:val="single" w:sz="6" w:space="0" w:color="000000"/>
              <w:bottom w:val="single" w:sz="6" w:space="0" w:color="000000"/>
              <w:right w:val="single" w:sz="6" w:space="0" w:color="000000"/>
            </w:tcBorders>
            <w:tcMar>
              <w:top w:w="0" w:type="dxa"/>
              <w:left w:w="0" w:type="dxa"/>
              <w:bottom w:w="113" w:type="dxa"/>
              <w:right w:w="85" w:type="dxa"/>
            </w:tcMar>
          </w:tcPr>
          <w:p w14:paraId="3F28C6B2" w14:textId="77777777" w:rsidR="008A5841" w:rsidRPr="006A6D19" w:rsidRDefault="008A5841" w:rsidP="00B765C1">
            <w:pPr>
              <w:rPr>
                <w:lang w:val="en-GB"/>
              </w:rPr>
            </w:pPr>
            <w:r w:rsidRPr="006A6D19">
              <w:rPr>
                <w:lang w:val="en-GB"/>
              </w:rPr>
              <w:t xml:space="preserve">15.8 </w:t>
            </w:r>
          </w:p>
        </w:tc>
        <w:tc>
          <w:tcPr>
            <w:tcW w:w="3535" w:type="pct"/>
            <w:tcBorders>
              <w:top w:val="single" w:sz="6" w:space="0" w:color="000000"/>
              <w:left w:val="single" w:sz="6" w:space="0" w:color="000000"/>
              <w:bottom w:val="single" w:sz="6" w:space="0" w:color="000000"/>
              <w:right w:val="single" w:sz="6" w:space="0" w:color="000000"/>
            </w:tcBorders>
            <w:tcMar>
              <w:top w:w="0" w:type="dxa"/>
              <w:left w:w="0" w:type="dxa"/>
              <w:bottom w:w="113" w:type="dxa"/>
              <w:right w:w="85" w:type="dxa"/>
            </w:tcMar>
          </w:tcPr>
          <w:p w14:paraId="1A5B64FF" w14:textId="77777777" w:rsidR="008A5841" w:rsidRPr="006A6D19" w:rsidRDefault="008A5841" w:rsidP="00B765C1">
            <w:pPr>
              <w:rPr>
                <w:lang w:val="en-GB"/>
              </w:rPr>
            </w:pPr>
            <w:r w:rsidRPr="006A6D19">
              <w:rPr>
                <w:lang w:val="en-GB"/>
              </w:rPr>
              <w:t>Regulations governing the introduction and spread of invasive alien species are in place, and an action plan to combat invasive species has been adopted. Nevertheless, several alien species continue to establish themselves at a rapid pace.</w:t>
            </w:r>
          </w:p>
        </w:tc>
        <w:tc>
          <w:tcPr>
            <w:tcW w:w="83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F3E454E" w14:textId="121D5CEF" w:rsidR="008A5841" w:rsidRPr="006A6D19" w:rsidRDefault="007B3BCE" w:rsidP="00B765C1">
            <w:pPr>
              <w:rPr>
                <w:lang w:val="en-GB"/>
              </w:rPr>
            </w:pPr>
            <w:r>
              <w:rPr>
                <w:noProof/>
              </w:rPr>
              <w:drawing>
                <wp:inline distT="0" distB="0" distL="0" distR="0" wp14:anchorId="0B82FA45" wp14:editId="3AC7DA72">
                  <wp:extent cx="990600" cy="447675"/>
                  <wp:effectExtent l="0" t="0" r="0" b="9525"/>
                  <wp:docPr id="1569554254" name="Bilde 2" descr="Close to target. Progress is neg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10246" name="Bilde 2" descr="Close to target. Progress is negativ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5AA7D8F2" w14:textId="77777777" w:rsidTr="001609FA">
        <w:tblPrEx>
          <w:tblCellMar>
            <w:top w:w="0" w:type="dxa"/>
            <w:left w:w="0" w:type="dxa"/>
            <w:bottom w:w="0" w:type="dxa"/>
            <w:right w:w="0" w:type="dxa"/>
          </w:tblCellMar>
        </w:tblPrEx>
        <w:trPr>
          <w:trHeight w:val="60"/>
        </w:trPr>
        <w:tc>
          <w:tcPr>
            <w:tcW w:w="628" w:type="pct"/>
            <w:tcBorders>
              <w:top w:val="single" w:sz="6" w:space="0" w:color="000000"/>
              <w:left w:val="single" w:sz="6" w:space="0" w:color="000000"/>
              <w:bottom w:val="single" w:sz="6" w:space="0" w:color="000000"/>
              <w:right w:val="single" w:sz="6" w:space="0" w:color="000000"/>
            </w:tcBorders>
            <w:tcMar>
              <w:top w:w="0" w:type="dxa"/>
              <w:left w:w="0" w:type="dxa"/>
              <w:bottom w:w="113" w:type="dxa"/>
              <w:right w:w="85" w:type="dxa"/>
            </w:tcMar>
          </w:tcPr>
          <w:p w14:paraId="34997026" w14:textId="77777777" w:rsidR="008A5841" w:rsidRPr="006A6D19" w:rsidRDefault="008A5841" w:rsidP="00B765C1">
            <w:pPr>
              <w:rPr>
                <w:lang w:val="en-GB"/>
              </w:rPr>
            </w:pPr>
            <w:r w:rsidRPr="006A6D19">
              <w:rPr>
                <w:lang w:val="en-GB"/>
              </w:rPr>
              <w:t xml:space="preserve">15.9 </w:t>
            </w:r>
          </w:p>
        </w:tc>
        <w:tc>
          <w:tcPr>
            <w:tcW w:w="3535" w:type="pct"/>
            <w:tcBorders>
              <w:top w:val="single" w:sz="6" w:space="0" w:color="000000"/>
              <w:left w:val="single" w:sz="6" w:space="0" w:color="000000"/>
              <w:bottom w:val="single" w:sz="6" w:space="0" w:color="000000"/>
              <w:right w:val="single" w:sz="6" w:space="0" w:color="000000"/>
            </w:tcBorders>
            <w:tcMar>
              <w:top w:w="0" w:type="dxa"/>
              <w:left w:w="0" w:type="dxa"/>
              <w:bottom w:w="113" w:type="dxa"/>
              <w:right w:w="85" w:type="dxa"/>
            </w:tcMar>
          </w:tcPr>
          <w:p w14:paraId="7D702DA1" w14:textId="77777777" w:rsidR="008A5841" w:rsidRPr="006A6D19" w:rsidRDefault="008A5841" w:rsidP="00B765C1">
            <w:pPr>
              <w:rPr>
                <w:lang w:val="en-GB"/>
              </w:rPr>
            </w:pPr>
            <w:r w:rsidRPr="006A6D19">
              <w:rPr>
                <w:lang w:val="en-GB"/>
              </w:rPr>
              <w:t>Biodiversity values are integrated into national and local planning processes.</w:t>
            </w:r>
          </w:p>
        </w:tc>
        <w:tc>
          <w:tcPr>
            <w:tcW w:w="83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39372CC" w14:textId="6167220E" w:rsidR="008A5841" w:rsidRPr="006A6D19" w:rsidRDefault="008D2934" w:rsidP="00B765C1">
            <w:pPr>
              <w:rPr>
                <w:lang w:val="en-GB"/>
              </w:rPr>
            </w:pPr>
            <w:r>
              <w:rPr>
                <w:noProof/>
              </w:rPr>
              <w:drawing>
                <wp:inline distT="0" distB="0" distL="0" distR="0" wp14:anchorId="4C925085" wp14:editId="2427EB90">
                  <wp:extent cx="990600" cy="447675"/>
                  <wp:effectExtent l="0" t="0" r="0" b="9525"/>
                  <wp:docPr id="809347090" name="Bilde 3" descr="Close to target. Progress i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804348" name="Bilde 3" descr="Close to target. Progress is positiv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337345B7" w14:textId="77777777" w:rsidTr="001609FA">
        <w:tblPrEx>
          <w:tblCellMar>
            <w:top w:w="0" w:type="dxa"/>
            <w:left w:w="0" w:type="dxa"/>
            <w:bottom w:w="0" w:type="dxa"/>
            <w:right w:w="0" w:type="dxa"/>
          </w:tblCellMar>
        </w:tblPrEx>
        <w:trPr>
          <w:trHeight w:val="60"/>
        </w:trPr>
        <w:tc>
          <w:tcPr>
            <w:tcW w:w="628" w:type="pct"/>
            <w:tcBorders>
              <w:top w:val="single" w:sz="6" w:space="0" w:color="000000"/>
              <w:left w:val="single" w:sz="6" w:space="0" w:color="000000"/>
              <w:bottom w:val="single" w:sz="6" w:space="0" w:color="000000"/>
              <w:right w:val="single" w:sz="6" w:space="0" w:color="000000"/>
            </w:tcBorders>
            <w:tcMar>
              <w:top w:w="102" w:type="dxa"/>
              <w:left w:w="0" w:type="dxa"/>
              <w:bottom w:w="113" w:type="dxa"/>
              <w:right w:w="85" w:type="dxa"/>
            </w:tcMar>
          </w:tcPr>
          <w:p w14:paraId="743A97C6" w14:textId="77777777" w:rsidR="008A5841" w:rsidRPr="006A6D19" w:rsidRDefault="008A5841" w:rsidP="00B765C1">
            <w:pPr>
              <w:rPr>
                <w:lang w:val="en-GB"/>
              </w:rPr>
            </w:pPr>
            <w:r w:rsidRPr="006A6D19">
              <w:rPr>
                <w:lang w:val="en-GB"/>
              </w:rPr>
              <w:t xml:space="preserve">15.A </w:t>
            </w:r>
          </w:p>
        </w:tc>
        <w:tc>
          <w:tcPr>
            <w:tcW w:w="3535" w:type="pct"/>
            <w:tcBorders>
              <w:top w:val="single" w:sz="6" w:space="0" w:color="000000"/>
              <w:left w:val="single" w:sz="6" w:space="0" w:color="000000"/>
              <w:bottom w:val="single" w:sz="6" w:space="0" w:color="000000"/>
              <w:right w:val="single" w:sz="6" w:space="0" w:color="000000"/>
            </w:tcBorders>
            <w:tcMar>
              <w:top w:w="102" w:type="dxa"/>
              <w:left w:w="0" w:type="dxa"/>
              <w:bottom w:w="113" w:type="dxa"/>
              <w:right w:w="85" w:type="dxa"/>
            </w:tcMar>
          </w:tcPr>
          <w:p w14:paraId="06DD7B4C" w14:textId="77777777" w:rsidR="008A5841" w:rsidRPr="006A6D19" w:rsidRDefault="008A5841" w:rsidP="00B765C1">
            <w:pPr>
              <w:rPr>
                <w:lang w:val="en-GB"/>
              </w:rPr>
            </w:pPr>
            <w:r w:rsidRPr="006A6D19">
              <w:rPr>
                <w:lang w:val="en-GB"/>
              </w:rPr>
              <w:t>The Nor</w:t>
            </w:r>
            <w:r w:rsidRPr="006A6D19">
              <w:rPr>
                <w:lang w:val="en-GB"/>
              </w:rPr>
              <w:t xml:space="preserve">wegian Climate and Forest Initiative is extended until 2035. Norway will strive to mobilise new resources globally, </w:t>
            </w:r>
            <w:proofErr w:type="gramStart"/>
            <w:r w:rsidRPr="006A6D19">
              <w:rPr>
                <w:lang w:val="en-GB"/>
              </w:rPr>
              <w:t>in particular from</w:t>
            </w:r>
            <w:proofErr w:type="gramEnd"/>
            <w:r w:rsidRPr="006A6D19">
              <w:rPr>
                <w:lang w:val="en-GB"/>
              </w:rPr>
              <w:t xml:space="preserve"> the private sector. Norway will strive for more synergies between climate finance and nature finance to more efficiently and effectively achieve targets in both fields. Norway continues to provide substantial funding to the Global Environment Facility. </w:t>
            </w:r>
          </w:p>
        </w:tc>
        <w:tc>
          <w:tcPr>
            <w:tcW w:w="837" w:type="pct"/>
            <w:tcBorders>
              <w:top w:val="single" w:sz="6" w:space="0" w:color="000000"/>
              <w:left w:val="single" w:sz="6" w:space="0" w:color="000000"/>
              <w:bottom w:val="single" w:sz="6" w:space="0" w:color="000000"/>
              <w:right w:val="single" w:sz="6" w:space="0" w:color="000000"/>
            </w:tcBorders>
            <w:tcMar>
              <w:top w:w="102" w:type="dxa"/>
              <w:left w:w="0" w:type="dxa"/>
              <w:bottom w:w="170" w:type="dxa"/>
              <w:right w:w="85" w:type="dxa"/>
            </w:tcMar>
          </w:tcPr>
          <w:p w14:paraId="79CFC987" w14:textId="464F08D7" w:rsidR="008A5841" w:rsidRPr="006A6D19" w:rsidRDefault="00541482" w:rsidP="00B765C1">
            <w:pPr>
              <w:rPr>
                <w:lang w:val="en-GB"/>
              </w:rPr>
            </w:pPr>
            <w:r>
              <w:rPr>
                <w:noProof/>
              </w:rPr>
              <w:drawing>
                <wp:inline distT="0" distB="0" distL="0" distR="0" wp14:anchorId="61130A6D" wp14:editId="3283EE23">
                  <wp:extent cx="990600" cy="447675"/>
                  <wp:effectExtent l="0" t="0" r="0" b="9525"/>
                  <wp:docPr id="1265092533" name="Bilde 6" descr="Target met. Progres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2134" name="Bilde 6" descr="Target met. Progress positiv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73828524" w14:textId="77777777" w:rsidTr="001609FA">
        <w:tblPrEx>
          <w:tblCellMar>
            <w:top w:w="0" w:type="dxa"/>
            <w:left w:w="0" w:type="dxa"/>
            <w:bottom w:w="0" w:type="dxa"/>
            <w:right w:w="0" w:type="dxa"/>
          </w:tblCellMar>
        </w:tblPrEx>
        <w:trPr>
          <w:trHeight w:val="60"/>
        </w:trPr>
        <w:tc>
          <w:tcPr>
            <w:tcW w:w="628" w:type="pct"/>
            <w:tcBorders>
              <w:top w:val="single" w:sz="6" w:space="0" w:color="000000"/>
              <w:left w:val="single" w:sz="6" w:space="0" w:color="000000"/>
              <w:bottom w:val="single" w:sz="6" w:space="0" w:color="000000"/>
              <w:right w:val="single" w:sz="6" w:space="0" w:color="000000"/>
            </w:tcBorders>
            <w:tcMar>
              <w:top w:w="0" w:type="dxa"/>
              <w:left w:w="0" w:type="dxa"/>
              <w:bottom w:w="113" w:type="dxa"/>
              <w:right w:w="85" w:type="dxa"/>
            </w:tcMar>
          </w:tcPr>
          <w:p w14:paraId="6846591E" w14:textId="77777777" w:rsidR="008A5841" w:rsidRPr="006A6D19" w:rsidRDefault="008A5841" w:rsidP="00B765C1">
            <w:pPr>
              <w:rPr>
                <w:lang w:val="en-GB"/>
              </w:rPr>
            </w:pPr>
            <w:r w:rsidRPr="006A6D19">
              <w:rPr>
                <w:lang w:val="en-GB"/>
              </w:rPr>
              <w:t xml:space="preserve">15.B </w:t>
            </w:r>
          </w:p>
        </w:tc>
        <w:tc>
          <w:tcPr>
            <w:tcW w:w="3535" w:type="pct"/>
            <w:tcBorders>
              <w:top w:val="single" w:sz="6" w:space="0" w:color="000000"/>
              <w:left w:val="single" w:sz="6" w:space="0" w:color="000000"/>
              <w:bottom w:val="single" w:sz="6" w:space="0" w:color="000000"/>
              <w:right w:val="single" w:sz="6" w:space="0" w:color="000000"/>
            </w:tcBorders>
            <w:tcMar>
              <w:top w:w="0" w:type="dxa"/>
              <w:left w:w="0" w:type="dxa"/>
              <w:bottom w:w="113" w:type="dxa"/>
              <w:right w:w="85" w:type="dxa"/>
            </w:tcMar>
          </w:tcPr>
          <w:p w14:paraId="6DD5B35B" w14:textId="77777777" w:rsidR="008A5841" w:rsidRPr="006A6D19" w:rsidRDefault="008A5841" w:rsidP="00B765C1">
            <w:pPr>
              <w:rPr>
                <w:lang w:val="en-GB"/>
              </w:rPr>
            </w:pPr>
            <w:r w:rsidRPr="006A6D19">
              <w:rPr>
                <w:lang w:val="en-GB"/>
              </w:rPr>
              <w:t>Norway has continued to provide substantial support to tropical forest countries and relevant partners to reduce deforestation and forest degradation through Norway’s International Climate and Forest Initiative.</w:t>
            </w:r>
          </w:p>
        </w:tc>
        <w:tc>
          <w:tcPr>
            <w:tcW w:w="83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A4E93A2" w14:textId="4CA45EC2" w:rsidR="008A5841" w:rsidRPr="006A6D19" w:rsidRDefault="00541482" w:rsidP="00B765C1">
            <w:pPr>
              <w:rPr>
                <w:lang w:val="en-GB"/>
              </w:rPr>
            </w:pPr>
            <w:r>
              <w:rPr>
                <w:noProof/>
              </w:rPr>
              <w:drawing>
                <wp:inline distT="0" distB="0" distL="0" distR="0" wp14:anchorId="58D42559" wp14:editId="5DA99E3F">
                  <wp:extent cx="990600" cy="447675"/>
                  <wp:effectExtent l="0" t="0" r="0" b="9525"/>
                  <wp:docPr id="942038782" name="Bilde 6" descr="Target met. Progres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2134" name="Bilde 6" descr="Target met. Progress positiv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24DBF6D0" w14:textId="77777777" w:rsidTr="001609FA">
        <w:tblPrEx>
          <w:tblCellMar>
            <w:top w:w="0" w:type="dxa"/>
            <w:left w:w="0" w:type="dxa"/>
            <w:bottom w:w="0" w:type="dxa"/>
            <w:right w:w="0" w:type="dxa"/>
          </w:tblCellMar>
        </w:tblPrEx>
        <w:trPr>
          <w:trHeight w:val="60"/>
        </w:trPr>
        <w:tc>
          <w:tcPr>
            <w:tcW w:w="628" w:type="pct"/>
            <w:tcBorders>
              <w:top w:val="single" w:sz="6" w:space="0" w:color="000000"/>
              <w:left w:val="single" w:sz="6" w:space="0" w:color="000000"/>
              <w:bottom w:val="single" w:sz="6" w:space="0" w:color="000000"/>
              <w:right w:val="single" w:sz="6" w:space="0" w:color="000000"/>
            </w:tcBorders>
            <w:tcMar>
              <w:top w:w="0" w:type="dxa"/>
              <w:left w:w="0" w:type="dxa"/>
              <w:bottom w:w="113" w:type="dxa"/>
              <w:right w:w="85" w:type="dxa"/>
            </w:tcMar>
          </w:tcPr>
          <w:p w14:paraId="713AA75E" w14:textId="1F6652CB" w:rsidR="008A5841" w:rsidRPr="006A6D19" w:rsidRDefault="008A5841" w:rsidP="00B765C1">
            <w:pPr>
              <w:rPr>
                <w:lang w:val="en-GB"/>
              </w:rPr>
            </w:pPr>
            <w:r w:rsidRPr="006A6D19">
              <w:rPr>
                <w:lang w:val="en-GB"/>
              </w:rPr>
              <w:t>15.C</w:t>
            </w:r>
            <w:r w:rsidR="001609FA" w:rsidRPr="006A6D19">
              <w:rPr>
                <w:lang w:val="en-GB"/>
              </w:rPr>
              <w:t xml:space="preserve"> </w:t>
            </w:r>
          </w:p>
        </w:tc>
        <w:tc>
          <w:tcPr>
            <w:tcW w:w="3535" w:type="pct"/>
            <w:tcBorders>
              <w:top w:val="single" w:sz="6" w:space="0" w:color="000000"/>
              <w:left w:val="single" w:sz="6" w:space="0" w:color="000000"/>
              <w:bottom w:val="single" w:sz="6" w:space="0" w:color="000000"/>
              <w:right w:val="single" w:sz="6" w:space="0" w:color="000000"/>
            </w:tcBorders>
            <w:tcMar>
              <w:top w:w="0" w:type="dxa"/>
              <w:left w:w="0" w:type="dxa"/>
              <w:bottom w:w="113" w:type="dxa"/>
              <w:right w:w="85" w:type="dxa"/>
            </w:tcMar>
          </w:tcPr>
          <w:p w14:paraId="7233B390" w14:textId="77777777" w:rsidR="008A5841" w:rsidRPr="006A6D19" w:rsidRDefault="008A5841" w:rsidP="00B765C1">
            <w:pPr>
              <w:rPr>
                <w:lang w:val="en-GB"/>
              </w:rPr>
            </w:pPr>
            <w:r w:rsidRPr="006A6D19">
              <w:rPr>
                <w:lang w:val="en-GB"/>
              </w:rPr>
              <w:t xml:space="preserve">The Norwegian Environment Agency and others are continuously working to strengthen information and awareness-raising, as well as on the supervision of compliance with the CITES regulation. Norway works to </w:t>
            </w:r>
            <w:r w:rsidRPr="006A6D19">
              <w:rPr>
                <w:lang w:val="en-GB"/>
              </w:rPr>
              <w:lastRenderedPageBreak/>
              <w:t xml:space="preserve">ensure that environmental and cultural heritage crime is on the agenda in relevant international forums and to strengthen the efforts aimed at combating environmental crime in aid programmes and development partnerships. </w:t>
            </w:r>
          </w:p>
          <w:p w14:paraId="447C833D" w14:textId="77777777" w:rsidR="008A5841" w:rsidRPr="006A6D19" w:rsidRDefault="008A5841" w:rsidP="00B765C1">
            <w:pPr>
              <w:rPr>
                <w:lang w:val="en-GB"/>
              </w:rPr>
            </w:pPr>
            <w:r w:rsidRPr="006A6D19">
              <w:rPr>
                <w:lang w:val="en-GB"/>
              </w:rPr>
              <w:t>Through the Law Enforcement Assistance Programme, implemented by Interpol and UNODC, Norway supports capacity building, enhanced investigation and prosecution of forest crime in key tropical forest countries.</w:t>
            </w:r>
          </w:p>
        </w:tc>
        <w:tc>
          <w:tcPr>
            <w:tcW w:w="83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77C39299" w14:textId="30865AC7" w:rsidR="008A5841" w:rsidRPr="006A6D19" w:rsidRDefault="008D2934" w:rsidP="00B765C1">
            <w:pPr>
              <w:rPr>
                <w:lang w:val="en-GB"/>
              </w:rPr>
            </w:pPr>
            <w:r>
              <w:rPr>
                <w:noProof/>
              </w:rPr>
              <w:lastRenderedPageBreak/>
              <w:drawing>
                <wp:inline distT="0" distB="0" distL="0" distR="0" wp14:anchorId="2D554209" wp14:editId="3AD32085">
                  <wp:extent cx="990600" cy="447675"/>
                  <wp:effectExtent l="0" t="0" r="0" b="9525"/>
                  <wp:docPr id="718822193" name="Bilde 3" descr="Close to target. Progress i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804348" name="Bilde 3" descr="Close to target. Progress is positiv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bl>
    <w:p w14:paraId="25984D86" w14:textId="77777777" w:rsidR="008A5841" w:rsidRPr="006A6D19" w:rsidRDefault="008A5841" w:rsidP="00B765C1">
      <w:pPr>
        <w:rPr>
          <w:lang w:val="en-GB"/>
        </w:rPr>
      </w:pPr>
    </w:p>
    <w:p w14:paraId="5EE2DDDA" w14:textId="77777777" w:rsidR="008A5841" w:rsidRPr="006A6D19" w:rsidRDefault="008A5841" w:rsidP="00B765C1">
      <w:pPr>
        <w:rPr>
          <w:lang w:val="en-GB"/>
        </w:rPr>
      </w:pPr>
      <w:r w:rsidRPr="006A6D19">
        <w:rPr>
          <w:rStyle w:val="halvfet"/>
          <w:lang w:val="en-GB"/>
        </w:rPr>
        <w:t>General Status:</w:t>
      </w:r>
      <w:r w:rsidRPr="006A6D19">
        <w:rPr>
          <w:lang w:val="en-GB"/>
        </w:rPr>
        <w:t xml:space="preserve"> Significant measures have been implemented to safeguard ecosystems through knowledge-based management. The Government considers that extensive new protected areas are not necessary, but that forest protection should be expanded in line with the Parliament’s target of protecting ten percent of forests. In other ecosystems, limited protection is needed for certain habitat types that are currently not sufficiently safeguarded within existing protected areas.</w:t>
      </w:r>
    </w:p>
    <w:p w14:paraId="4065DBAC" w14:textId="77777777" w:rsidR="008A5841" w:rsidRPr="006A6D19" w:rsidRDefault="008A5841" w:rsidP="00B765C1">
      <w:pPr>
        <w:rPr>
          <w:lang w:val="en-GB"/>
        </w:rPr>
      </w:pPr>
      <w:r w:rsidRPr="006A6D19">
        <w:rPr>
          <w:rStyle w:val="halvfet"/>
          <w:lang w:val="en-GB"/>
        </w:rPr>
        <w:t>Main Achievements:</w:t>
      </w:r>
      <w:r w:rsidRPr="006A6D19">
        <w:rPr>
          <w:lang w:val="en-GB"/>
        </w:rPr>
        <w:t xml:space="preserve"> Comprehensive legislation for the sustainable use and conservation of nature is in place through the Planning and Building Act, regulations on environmental impact assessments, the Nature Diversity Act, and sectoral laws such as the Water Resources Act and the Forestry Act. Approximately 17.7 percent of mainland Norway is protected under the Nature Diversity Act—equivalent to 25.7 percent of the land area when protection on Svalbard and Jan Mayen is included. In 2024, the Government presented targets for t</w:t>
      </w:r>
      <w:r w:rsidRPr="006A6D19">
        <w:rPr>
          <w:lang w:val="en-GB"/>
        </w:rPr>
        <w:t>he ecological condition of forests and a menu of measures to achieve these. The Government will also present a menu of measures for mountain ecosystems, and semi-natural ecosystems. Around 75 percent of rivers and lakes are classified as having good or very good ecological status under the Water Regulation. Work on soil mapping and soil conservation has contributed to strong national knowledge of soil resources.</w:t>
      </w:r>
    </w:p>
    <w:p w14:paraId="1EA92968" w14:textId="77777777" w:rsidR="008A5841" w:rsidRPr="006A6D19" w:rsidRDefault="008A5841" w:rsidP="00B765C1">
      <w:pPr>
        <w:rPr>
          <w:lang w:val="en-GB"/>
        </w:rPr>
      </w:pPr>
      <w:r w:rsidRPr="006A6D19">
        <w:rPr>
          <w:rStyle w:val="halvfet"/>
          <w:lang w:val="en-GB"/>
        </w:rPr>
        <w:t>Norway’s Challenges:</w:t>
      </w:r>
      <w:r w:rsidRPr="006A6D19">
        <w:rPr>
          <w:lang w:val="en-GB"/>
        </w:rPr>
        <w:t xml:space="preserve"> Land use and changes in land use are the greatest threats to the conservation and sustainable use of terrestrial ecosystems nationally, along with climate change, the spread of invasive alien species, and pollution. Protecting threatened species and habitats is challenging, and the negative impacts of climate change on biodiversity exacerbate these challenges. An important challenge is to ensure that considerations for biodiversity are integrated into regional and municipal plans, and into the processing o</w:t>
      </w:r>
      <w:r w:rsidRPr="006A6D19">
        <w:rPr>
          <w:lang w:val="en-GB"/>
        </w:rPr>
        <w:t>f cases under sectoral legislation. Long-term and sustainable management of soil resources, safeguarding cultivated and cultivable land and protecting soil as a resource remain major challenges.</w:t>
      </w:r>
    </w:p>
    <w:p w14:paraId="5AA63F0A" w14:textId="77777777" w:rsidR="008A5841" w:rsidRPr="006A6D19" w:rsidRDefault="008A5841" w:rsidP="00B765C1">
      <w:pPr>
        <w:rPr>
          <w:lang w:val="en-GB"/>
        </w:rPr>
      </w:pPr>
      <w:r w:rsidRPr="006A6D19">
        <w:rPr>
          <w:rStyle w:val="halvfet"/>
          <w:lang w:val="en-GB"/>
        </w:rPr>
        <w:t>Global Responsibility:</w:t>
      </w:r>
      <w:r w:rsidRPr="006A6D19">
        <w:rPr>
          <w:lang w:val="en-GB"/>
        </w:rPr>
        <w:t xml:space="preserve"> In 2024, Norway contributed NOK 4.9 billion to initiatives aimed at conserving biodiversity, either as a primary objective or as a secondary goal. This represents nearly a doubling compared with disbursements in 2015. Since 2008, Norway has taken a leading role in efforts to halt and reverse deforestation and forest degradation in tropical countries through Norway’s International Climate and Forest Initiative. Reducing forest loss is essential to stopping the decline in biological </w:t>
      </w:r>
      <w:r w:rsidRPr="006A6D19">
        <w:rPr>
          <w:lang w:val="en-GB"/>
        </w:rPr>
        <w:lastRenderedPageBreak/>
        <w:t>diversity. Norway’s Inter</w:t>
      </w:r>
      <w:r w:rsidRPr="006A6D19">
        <w:rPr>
          <w:lang w:val="en-GB"/>
        </w:rPr>
        <w:t>national Climate and Forest Initiative amount to NOK 3.5 billion for measures to conserve biodiversity within the tropical forest belt in 2024.</w:t>
      </w:r>
    </w:p>
    <w:p w14:paraId="36CD4EAE" w14:textId="77777777" w:rsidR="008A5841" w:rsidRPr="006A6D19" w:rsidRDefault="008A5841" w:rsidP="006B301F">
      <w:pPr>
        <w:pStyle w:val="avsnitt-undertittel"/>
        <w:rPr>
          <w:lang w:val="en-GB"/>
        </w:rPr>
      </w:pPr>
      <w:r w:rsidRPr="006A6D19">
        <w:rPr>
          <w:lang w:val="en-GB"/>
        </w:rPr>
        <w:t>Main Policy Initiatives 2021–2026</w:t>
      </w:r>
    </w:p>
    <w:p w14:paraId="7D504033" w14:textId="77777777" w:rsidR="008A5841" w:rsidRPr="006A6D19" w:rsidRDefault="008A5841" w:rsidP="00B765C1">
      <w:pPr>
        <w:pStyle w:val="Listebombe"/>
        <w:rPr>
          <w:lang w:val="en-GB"/>
        </w:rPr>
      </w:pPr>
      <w:r w:rsidRPr="006A6D19">
        <w:rPr>
          <w:lang w:val="en-GB"/>
        </w:rPr>
        <w:t>White Paper, Meld. St. 35 (2023–2024) Sustainable Use and Conservation of Biodiversity.</w:t>
      </w:r>
    </w:p>
    <w:p w14:paraId="0ABBE050" w14:textId="77777777" w:rsidR="008A5841" w:rsidRPr="006A6D19" w:rsidRDefault="008A5841" w:rsidP="00B765C1">
      <w:pPr>
        <w:pStyle w:val="Listebombe"/>
        <w:rPr>
          <w:lang w:val="en-GB"/>
        </w:rPr>
      </w:pPr>
      <w:r w:rsidRPr="006A6D19">
        <w:rPr>
          <w:lang w:val="en-GB"/>
        </w:rPr>
        <w:t>White Paper, Meld. St. 18 (2023–2024) on Wild Reindeer was presented in 2024, and a quality norm for wild reindeer has been established.</w:t>
      </w:r>
    </w:p>
    <w:p w14:paraId="6499133C" w14:textId="77777777" w:rsidR="008A5841" w:rsidRPr="006A6D19" w:rsidRDefault="008A5841" w:rsidP="00B765C1">
      <w:pPr>
        <w:rPr>
          <w:lang w:val="en-GB"/>
        </w:rPr>
      </w:pPr>
    </w:p>
    <w:p w14:paraId="61B2C388" w14:textId="77777777" w:rsidR="006B301F" w:rsidRPr="006A6D19" w:rsidRDefault="006B301F" w:rsidP="006B301F">
      <w:pPr>
        <w:pStyle w:val="Undertittel"/>
        <w:rPr>
          <w:lang w:val="en-GB"/>
        </w:rPr>
      </w:pPr>
      <w:r w:rsidRPr="006A6D19">
        <w:rPr>
          <w:lang w:val="en-GB"/>
        </w:rPr>
        <w:t>Assessment by Civil Society</w:t>
      </w:r>
    </w:p>
    <w:p w14:paraId="5E154F4A" w14:textId="77777777" w:rsidR="008A5841" w:rsidRPr="006A6D19" w:rsidRDefault="008A5841" w:rsidP="00B765C1">
      <w:pPr>
        <w:rPr>
          <w:rStyle w:val="kursiv"/>
          <w:lang w:val="en-GB"/>
        </w:rPr>
      </w:pPr>
      <w:r w:rsidRPr="006A6D19">
        <w:rPr>
          <w:lang w:val="en-GB"/>
        </w:rPr>
        <w:t xml:space="preserve">The following organisations have participated in this assessment: </w:t>
      </w:r>
      <w:r w:rsidRPr="006A6D19">
        <w:rPr>
          <w:lang w:val="en-GB"/>
        </w:rPr>
        <w:t>Norwegian Society for the Conversation of Nature, NOAH – For animal rights, Rainforest Foundation Norway, The Development Fund, WWF Norway, The Association for International Water Studies (FIVAS), Norwegian forum for Environment and Development.</w:t>
      </w:r>
    </w:p>
    <w:p w14:paraId="728FA598" w14:textId="7F60C234" w:rsidR="008A5841" w:rsidRPr="006A6D19" w:rsidRDefault="008A5841" w:rsidP="00B765C1">
      <w:pPr>
        <w:rPr>
          <w:lang w:val="en-GB"/>
        </w:rPr>
      </w:pPr>
      <w:r>
        <w:rPr>
          <w:noProof/>
          <w:lang w:val="en-GB"/>
        </w:rPr>
        <w:drawing>
          <wp:inline distT="0" distB="0" distL="0" distR="0" wp14:anchorId="64071228" wp14:editId="7E507699">
            <wp:extent cx="561975" cy="561975"/>
            <wp:effectExtent l="0" t="0" r="9525" b="9525"/>
            <wp:docPr id="1961898110" name="Bilde 85" descr="Arrow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511570" name="Bilde 85" descr="Arrow down"/>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r>
        <w:rPr>
          <w:rStyle w:val="halvfet"/>
          <w:lang w:val="en-GB"/>
        </w:rPr>
        <w:t xml:space="preserve"> </w:t>
      </w:r>
      <w:r w:rsidRPr="006A6D19">
        <w:rPr>
          <w:rStyle w:val="halvfet"/>
          <w:lang w:val="en-GB"/>
        </w:rPr>
        <w:t>Trend:</w:t>
      </w:r>
      <w:r w:rsidRPr="006A6D19">
        <w:rPr>
          <w:lang w:val="en-GB"/>
        </w:rPr>
        <w:t xml:space="preserve"> Negative</w:t>
      </w:r>
      <w:r w:rsidR="001609FA" w:rsidRPr="006A6D19">
        <w:rPr>
          <w:lang w:val="en-GB"/>
        </w:rPr>
        <w:t xml:space="preserve"> </w:t>
      </w:r>
    </w:p>
    <w:p w14:paraId="0BD09EA6" w14:textId="77777777" w:rsidR="008A5841" w:rsidRPr="006A6D19" w:rsidRDefault="008A5841" w:rsidP="00B765C1">
      <w:pPr>
        <w:rPr>
          <w:lang w:val="en-GB"/>
        </w:rPr>
      </w:pPr>
      <w:r w:rsidRPr="006A6D19">
        <w:rPr>
          <w:rStyle w:val="halvfet"/>
          <w:lang w:val="en-GB"/>
        </w:rPr>
        <w:t>Norway has succeeded</w:t>
      </w:r>
      <w:r w:rsidRPr="006A6D19">
        <w:rPr>
          <w:lang w:val="en-GB"/>
        </w:rPr>
        <w:t xml:space="preserve"> in establishing a strong legal and governance framework for nature management, including the Nature Diversity Act and a planning system that supports biodiversity across sectors. These frameworks are complemented by updated national planning guidelines for land use and mobility, adopted in 2025, that strengthen biodiversity and climate considerations. Terrestrial protected areas have expanded. Around 25.7 percent of the country’s total land area (including Svalbard and Jan Mayen) is protected, correspondin</w:t>
      </w:r>
      <w:r w:rsidRPr="006A6D19">
        <w:rPr>
          <w:lang w:val="en-GB"/>
        </w:rPr>
        <w:t>g to around 17.8 percent of mainland Norway, including recent voluntary forest</w:t>
      </w:r>
      <w:r w:rsidRPr="006A6D19">
        <w:rPr>
          <w:lang w:val="en-GB"/>
        </w:rPr>
        <w:noBreakHyphen/>
        <w:t>protection expansion. Targeted measures for species and genetic resources are in place. Legal and administrative frameworks for access and benefit-sharing have been established under the Nagoya Protocol and the International Plant Treaty (ITPGRFA). Efforts to conserve genetic resources include the Svalbard Global Seed Vault and national support schemes, and several native livestock breeds are no longer critically endangered. Inte</w:t>
      </w:r>
      <w:r w:rsidRPr="006A6D19">
        <w:rPr>
          <w:lang w:val="en-GB"/>
        </w:rPr>
        <w:t>rnationally, support for tropical forest conservation and Indigenous Peoples’ rights is provided through the International Climate and Forest Initiative and annual contributions to the Benefit Sharing Fund under the ITPGRFA. Finally, selected invasive alien species have been controlled in specific areas through eradication and containment, while the knowledge base for nature management has been strengthened through monitoring. Targeted conservation measures have supported Arctic fox recovery through captive</w:t>
      </w:r>
      <w:r w:rsidRPr="006A6D19">
        <w:rPr>
          <w:lang w:val="en-GB"/>
        </w:rPr>
        <w:t xml:space="preserve"> breeding, releases, supplementary feeding, and monitoring.</w:t>
      </w:r>
    </w:p>
    <w:p w14:paraId="5D630578" w14:textId="77777777" w:rsidR="008A5841" w:rsidRPr="006A6D19" w:rsidRDefault="008A5841" w:rsidP="00B765C1">
      <w:pPr>
        <w:rPr>
          <w:lang w:val="en-GB"/>
        </w:rPr>
      </w:pPr>
      <w:r w:rsidRPr="006A6D19">
        <w:rPr>
          <w:rStyle w:val="halvfet"/>
          <w:lang w:val="en-GB"/>
        </w:rPr>
        <w:t>Norway’s challenges</w:t>
      </w:r>
      <w:r w:rsidRPr="006A6D19">
        <w:rPr>
          <w:lang w:val="en-GB"/>
        </w:rPr>
        <w:t xml:space="preserve"> include continued biodiversity loss and ecosystem degradation, primarily driven by land-use change. Government reporting notes that land-use change affects around 90 percent of threatened species, and 21 percent of assessed species appear on the Norwegian Red List (2021). Habitat loss, fragmentation, and pressures from forestry and land development remain central drivers. The Nature Index 2025 shows declining trends in wetlands, cultural landscapes, and open lowlands, and highlights that cumulative impacts</w:t>
      </w:r>
      <w:r w:rsidRPr="006A6D19">
        <w:rPr>
          <w:lang w:val="en-GB"/>
        </w:rPr>
        <w:t xml:space="preserve"> are decisive for ecosystem vulnerability, aggravated by climate change. Protection gaps remain. While overall protection levels are high due to extensive </w:t>
      </w:r>
      <w:r w:rsidRPr="006A6D19">
        <w:rPr>
          <w:lang w:val="en-GB"/>
        </w:rPr>
        <w:lastRenderedPageBreak/>
        <w:t>protection on Svalbard, lowland ecosystems and forests remain poorly protected. Government reporting indicates that only 5–6 percent of productive forests are protected, and management of protected areas is increasingly demanding due to vegetation encroachment, invasive species, and rising visitor pressure. Forest and land management practices are not suf</w:t>
      </w:r>
      <w:r w:rsidRPr="006A6D19">
        <w:rPr>
          <w:lang w:val="en-GB"/>
        </w:rPr>
        <w:t>ficiently aligned with biodiversity and climate resilience. Civil society is concerned about intensive forestry practices, including large-scale clear-cutting and monocultures, continued declining carbon stocks, and nature</w:t>
      </w:r>
      <w:r w:rsidRPr="006A6D19">
        <w:rPr>
          <w:lang w:val="en-GB"/>
        </w:rPr>
        <w:noBreakHyphen/>
        <w:t>negative incentives. Semi-natural habitats face particularly serious pressures; all types are endangered or critically endangered. Semi-natural meadows are among the most threatened, facing pressures from agricultural intensification, land development, abandonment, and vegetation encroach</w:t>
      </w:r>
      <w:r w:rsidRPr="006A6D19">
        <w:rPr>
          <w:lang w:val="en-GB"/>
        </w:rPr>
        <w:t>ment. Invasive alien species remain a major and growing pressure. Once established, they are expensive and difficult to remove, and preventive measures and regulations remain uneven. Pressures on threatened wildlife remain significant. Some red-listed species are subject to hunting or population-control measures. Concern persists about management of large carnivores—wolves, lynx, bears, and wolverines—where population targets are often interpreted as upper limits rather than recovery goals. This has contrib</w:t>
      </w:r>
      <w:r w:rsidRPr="006A6D19">
        <w:rPr>
          <w:lang w:val="en-GB"/>
        </w:rPr>
        <w:t>uted to their endangered status and raised concerns regarding Norway’s implementation of the Bern Convention. Knowledge and data gaps persist in land and nature governance. Mapping key biodiversity areas remains incomplete, and biodiversity considerations are uneven in municipal planning.</w:t>
      </w:r>
    </w:p>
    <w:p w14:paraId="3AD5AB27" w14:textId="77777777" w:rsidR="008A5841" w:rsidRPr="006A6D19" w:rsidRDefault="008A5841" w:rsidP="006B301F">
      <w:pPr>
        <w:pStyle w:val="avsnitt-undertittel"/>
        <w:rPr>
          <w:lang w:val="en-GB"/>
        </w:rPr>
      </w:pPr>
      <w:r w:rsidRPr="006A6D19">
        <w:rPr>
          <w:lang w:val="en-GB"/>
        </w:rPr>
        <w:t>Norway must:</w:t>
      </w:r>
    </w:p>
    <w:p w14:paraId="3213D9DA" w14:textId="77777777" w:rsidR="008A5841" w:rsidRPr="006A6D19" w:rsidRDefault="008A5841" w:rsidP="00B765C1">
      <w:pPr>
        <w:pStyle w:val="Listebombe"/>
        <w:rPr>
          <w:lang w:val="en-GB"/>
        </w:rPr>
      </w:pPr>
      <w:r w:rsidRPr="006A6D19">
        <w:rPr>
          <w:lang w:val="en-GB"/>
        </w:rPr>
        <w:t>Reduce land</w:t>
      </w:r>
      <w:r w:rsidRPr="006A6D19">
        <w:rPr>
          <w:lang w:val="en-GB"/>
        </w:rPr>
        <w:noBreakHyphen/>
        <w:t>use change and fragmentation through stronger biodiversity requirements in planning and licensing, including improved mapping, cumulative</w:t>
      </w:r>
      <w:r w:rsidRPr="006A6D19">
        <w:rPr>
          <w:lang w:val="en-GB"/>
        </w:rPr>
        <w:noBreakHyphen/>
        <w:t>impact assessments, and area</w:t>
      </w:r>
      <w:r w:rsidRPr="006A6D19">
        <w:rPr>
          <w:lang w:val="en-GB"/>
        </w:rPr>
        <w:noBreakHyphen/>
        <w:t>neutrality.</w:t>
      </w:r>
    </w:p>
    <w:p w14:paraId="3E993C23" w14:textId="77777777" w:rsidR="008A5841" w:rsidRPr="006A6D19" w:rsidRDefault="008A5841" w:rsidP="00B765C1">
      <w:pPr>
        <w:pStyle w:val="Listebombe"/>
        <w:rPr>
          <w:lang w:val="en-GB"/>
        </w:rPr>
      </w:pPr>
      <w:r w:rsidRPr="006A6D19">
        <w:rPr>
          <w:lang w:val="en-GB"/>
        </w:rPr>
        <w:t>Ensure representative, effective protection by expanding protected areas and OECMs, particularly in forests and lowlands.</w:t>
      </w:r>
    </w:p>
    <w:p w14:paraId="17A4F08C" w14:textId="77777777" w:rsidR="008A5841" w:rsidRPr="006A6D19" w:rsidRDefault="008A5841" w:rsidP="00B765C1">
      <w:pPr>
        <w:pStyle w:val="Listebombe"/>
        <w:rPr>
          <w:lang w:val="en-GB"/>
        </w:rPr>
      </w:pPr>
      <w:r w:rsidRPr="006A6D19">
        <w:rPr>
          <w:lang w:val="en-GB"/>
        </w:rPr>
        <w:t>Tighten forestry regulation and eliminate harmful subsidies to safeguard biodiversity, carbon stocks, and ecosystem health.</w:t>
      </w:r>
    </w:p>
    <w:p w14:paraId="2DACD891" w14:textId="77777777" w:rsidR="008A5841" w:rsidRPr="006A6D19" w:rsidRDefault="008A5841" w:rsidP="00B765C1">
      <w:pPr>
        <w:pStyle w:val="Listebombe"/>
        <w:rPr>
          <w:lang w:val="en-GB"/>
        </w:rPr>
      </w:pPr>
      <w:r w:rsidRPr="006A6D19">
        <w:rPr>
          <w:lang w:val="en-GB"/>
        </w:rPr>
        <w:t>Strengthen prevention and control of invasive alien species, including management plans for high</w:t>
      </w:r>
      <w:r w:rsidRPr="006A6D19">
        <w:rPr>
          <w:lang w:val="en-GB"/>
        </w:rPr>
        <w:noBreakHyphen/>
        <w:t>risk species and ending planting of invasive tree species.</w:t>
      </w:r>
    </w:p>
    <w:p w14:paraId="5AFD04DF" w14:textId="77777777" w:rsidR="008A5841" w:rsidRPr="006A6D19" w:rsidRDefault="008A5841" w:rsidP="00B765C1">
      <w:pPr>
        <w:pStyle w:val="Listebombe"/>
        <w:rPr>
          <w:lang w:val="en-GB"/>
        </w:rPr>
      </w:pPr>
      <w:r w:rsidRPr="006A6D19">
        <w:rPr>
          <w:lang w:val="en-GB"/>
        </w:rPr>
        <w:t>Strengthen recovery of red</w:t>
      </w:r>
      <w:r w:rsidRPr="006A6D19">
        <w:rPr>
          <w:lang w:val="en-GB"/>
        </w:rPr>
        <w:noBreakHyphen/>
        <w:t>listed and threatened species through wider use of the “prioritised species” mechanism, improved action plans and monitoring, and Bern</w:t>
      </w:r>
      <w:r w:rsidRPr="006A6D19">
        <w:rPr>
          <w:lang w:val="en-GB"/>
        </w:rPr>
        <w:noBreakHyphen/>
        <w:t>Convention</w:t>
      </w:r>
      <w:r w:rsidRPr="006A6D19">
        <w:rPr>
          <w:lang w:val="en-GB"/>
        </w:rPr>
        <w:noBreakHyphen/>
        <w:t>aligned carnivore management.</w:t>
      </w:r>
    </w:p>
    <w:p w14:paraId="37B0C2D1" w14:textId="77777777" w:rsidR="008A5841" w:rsidRPr="006A6D19" w:rsidRDefault="008A5841" w:rsidP="00B765C1">
      <w:pPr>
        <w:pStyle w:val="Listebombe"/>
        <w:rPr>
          <w:lang w:val="en-GB"/>
        </w:rPr>
      </w:pPr>
      <w:r w:rsidRPr="006A6D19">
        <w:rPr>
          <w:lang w:val="en-GB"/>
        </w:rPr>
        <w:t>Strengthen international leadership on nature and forests through increased support to tropical forest protection and Indigenous Peoples, with rights</w:t>
      </w:r>
      <w:r w:rsidRPr="006A6D19">
        <w:rPr>
          <w:lang w:val="en-GB"/>
        </w:rPr>
        <w:noBreakHyphen/>
        <w:t>based approaches and sustained financing.</w:t>
      </w:r>
    </w:p>
    <w:p w14:paraId="132EA3AB" w14:textId="77777777" w:rsidR="008A5841" w:rsidRPr="006A6D19" w:rsidRDefault="008A5841" w:rsidP="00B765C1">
      <w:pPr>
        <w:rPr>
          <w:lang w:val="en-GB"/>
        </w:rPr>
      </w:pPr>
    </w:p>
    <w:p w14:paraId="7F49A57E" w14:textId="77777777" w:rsidR="008A5841" w:rsidRPr="006A6D19" w:rsidRDefault="008A5841" w:rsidP="001609FA">
      <w:pPr>
        <w:pStyle w:val="UnOverskrift3"/>
        <w:rPr>
          <w:lang w:val="en-GB"/>
        </w:rPr>
      </w:pPr>
      <w:r w:rsidRPr="006A6D19">
        <w:rPr>
          <w:lang w:val="en-GB"/>
        </w:rPr>
        <w:lastRenderedPageBreak/>
        <w:t>16 Peace, Justice, and Strong Institutions</w:t>
      </w:r>
    </w:p>
    <w:p w14:paraId="475ED2D3" w14:textId="4E465711" w:rsidR="008A5841" w:rsidRPr="006A6D19" w:rsidRDefault="00BB2AF4" w:rsidP="001609FA">
      <w:pPr>
        <w:rPr>
          <w:lang w:val="en-GB"/>
        </w:rPr>
      </w:pPr>
      <w:r w:rsidRPr="006A6D19">
        <w:rPr>
          <w:noProof/>
          <w:lang w:val="en-GB"/>
        </w:rPr>
        <w:drawing>
          <wp:inline distT="0" distB="0" distL="0" distR="0" wp14:anchorId="6CA9E510" wp14:editId="3B334D9D">
            <wp:extent cx="2857500" cy="2857500"/>
            <wp:effectExtent l="0" t="0" r="0" b="0"/>
            <wp:docPr id="1651693195" name="Bilde 58" descr="Goal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693195" name="Bilde 58" descr="Goal 1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1BCAD2D4" w14:textId="77777777" w:rsidR="008A5841" w:rsidRPr="006A6D19" w:rsidRDefault="008A5841" w:rsidP="006B301F">
      <w:pPr>
        <w:pStyle w:val="Undertittel"/>
        <w:rPr>
          <w:lang w:val="en-GB"/>
        </w:rPr>
      </w:pPr>
      <w:r w:rsidRPr="006A6D19">
        <w:rPr>
          <w:lang w:val="en-GB"/>
        </w:rPr>
        <w:t>Government Assessment</w:t>
      </w:r>
    </w:p>
    <w:tbl>
      <w:tblPr>
        <w:tblW w:w="5000" w:type="pct"/>
        <w:tblCellMar>
          <w:left w:w="0" w:type="dxa"/>
          <w:right w:w="0" w:type="dxa"/>
        </w:tblCellMar>
        <w:tblLook w:val="0000" w:firstRow="0" w:lastRow="0" w:firstColumn="0" w:lastColumn="0" w:noHBand="0" w:noVBand="0"/>
      </w:tblPr>
      <w:tblGrid>
        <w:gridCol w:w="1352"/>
        <w:gridCol w:w="7434"/>
        <w:gridCol w:w="1664"/>
      </w:tblGrid>
      <w:tr w:rsidR="00000000" w:rsidRPr="006A6D19" w14:paraId="68D53001" w14:textId="77777777" w:rsidTr="001609FA">
        <w:tblPrEx>
          <w:tblCellMar>
            <w:top w:w="0" w:type="dxa"/>
            <w:left w:w="0" w:type="dxa"/>
            <w:bottom w:w="0" w:type="dxa"/>
            <w:right w:w="0" w:type="dxa"/>
          </w:tblCellMar>
        </w:tblPrEx>
        <w:trPr>
          <w:trHeight w:val="60"/>
        </w:trPr>
        <w:tc>
          <w:tcPr>
            <w:tcW w:w="64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F06D140" w14:textId="77777777" w:rsidR="008A5841" w:rsidRPr="006A6D19" w:rsidRDefault="008A5841" w:rsidP="00B765C1">
            <w:pPr>
              <w:rPr>
                <w:lang w:val="en-GB"/>
              </w:rPr>
            </w:pPr>
            <w:r w:rsidRPr="006A6D19">
              <w:rPr>
                <w:lang w:val="en-GB"/>
              </w:rPr>
              <w:t xml:space="preserve">16.1 </w:t>
            </w:r>
          </w:p>
        </w:tc>
        <w:tc>
          <w:tcPr>
            <w:tcW w:w="3556"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39673F8" w14:textId="77777777" w:rsidR="008A5841" w:rsidRPr="006A6D19" w:rsidRDefault="008A5841" w:rsidP="00B765C1">
            <w:pPr>
              <w:rPr>
                <w:lang w:val="en-GB"/>
              </w:rPr>
            </w:pPr>
            <w:r w:rsidRPr="006A6D19">
              <w:rPr>
                <w:lang w:val="en-GB"/>
              </w:rPr>
              <w:t>Norway has a low homicide and violence rate. Partner homicide and violence against women remain significant challenges.</w:t>
            </w:r>
          </w:p>
        </w:tc>
        <w:tc>
          <w:tcPr>
            <w:tcW w:w="796"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DEBC443" w14:textId="1B9CDCA3" w:rsidR="008A5841" w:rsidRPr="006A6D19" w:rsidRDefault="007B3BCE" w:rsidP="00B765C1">
            <w:pPr>
              <w:rPr>
                <w:lang w:val="en-GB"/>
              </w:rPr>
            </w:pPr>
            <w:r>
              <w:rPr>
                <w:noProof/>
              </w:rPr>
              <w:drawing>
                <wp:inline distT="0" distB="0" distL="0" distR="0" wp14:anchorId="6BC91AB3" wp14:editId="1D123BCB">
                  <wp:extent cx="990600" cy="447675"/>
                  <wp:effectExtent l="0" t="0" r="0" b="9525"/>
                  <wp:docPr id="2015867327" name="Bilde 2" descr="Close to target. Progress is neg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10246" name="Bilde 2" descr="Close to target. Progress is negativ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1B931598" w14:textId="77777777" w:rsidTr="001609FA">
        <w:tblPrEx>
          <w:tblCellMar>
            <w:top w:w="0" w:type="dxa"/>
            <w:left w:w="0" w:type="dxa"/>
            <w:bottom w:w="0" w:type="dxa"/>
            <w:right w:w="0" w:type="dxa"/>
          </w:tblCellMar>
        </w:tblPrEx>
        <w:trPr>
          <w:trHeight w:val="60"/>
        </w:trPr>
        <w:tc>
          <w:tcPr>
            <w:tcW w:w="64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59F8542" w14:textId="77777777" w:rsidR="008A5841" w:rsidRPr="006A6D19" w:rsidRDefault="008A5841" w:rsidP="00B765C1">
            <w:pPr>
              <w:rPr>
                <w:lang w:val="en-GB"/>
              </w:rPr>
            </w:pPr>
            <w:r w:rsidRPr="006A6D19">
              <w:rPr>
                <w:lang w:val="en-GB"/>
              </w:rPr>
              <w:t xml:space="preserve">16.2 </w:t>
            </w:r>
          </w:p>
        </w:tc>
        <w:tc>
          <w:tcPr>
            <w:tcW w:w="3556"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63C80838" w14:textId="77777777" w:rsidR="008A5841" w:rsidRPr="006A6D19" w:rsidRDefault="008A5841" w:rsidP="00B765C1">
            <w:pPr>
              <w:rPr>
                <w:lang w:val="en-GB"/>
              </w:rPr>
            </w:pPr>
            <w:r w:rsidRPr="006A6D19">
              <w:rPr>
                <w:lang w:val="en-GB"/>
              </w:rPr>
              <w:t>Violence and abuse affect a substantial proportion of children and young people, and an increasing share of the abuse takes place online. The number of registered human trafficking cases is low.</w:t>
            </w:r>
          </w:p>
        </w:tc>
        <w:tc>
          <w:tcPr>
            <w:tcW w:w="796"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0BF044FB" w14:textId="3197DF3A" w:rsidR="008A5841" w:rsidRPr="006A6D19" w:rsidRDefault="008D2934" w:rsidP="00B765C1">
            <w:pPr>
              <w:rPr>
                <w:lang w:val="en-GB"/>
              </w:rPr>
            </w:pPr>
            <w:r>
              <w:rPr>
                <w:noProof/>
              </w:rPr>
              <w:drawing>
                <wp:inline distT="0" distB="0" distL="0" distR="0" wp14:anchorId="2A5B76C2" wp14:editId="11E7BD48">
                  <wp:extent cx="990600" cy="447675"/>
                  <wp:effectExtent l="0" t="0" r="0" b="9525"/>
                  <wp:docPr id="451514432" name="Bilde 3" descr="Close to target. Progress i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804348" name="Bilde 3" descr="Close to target. Progress is positiv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65DC1CEF" w14:textId="77777777" w:rsidTr="001609FA">
        <w:tblPrEx>
          <w:tblCellMar>
            <w:top w:w="0" w:type="dxa"/>
            <w:left w:w="0" w:type="dxa"/>
            <w:bottom w:w="0" w:type="dxa"/>
            <w:right w:w="0" w:type="dxa"/>
          </w:tblCellMar>
        </w:tblPrEx>
        <w:trPr>
          <w:trHeight w:val="60"/>
        </w:trPr>
        <w:tc>
          <w:tcPr>
            <w:tcW w:w="64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74B03BD6" w14:textId="77777777" w:rsidR="008A5841" w:rsidRPr="006A6D19" w:rsidRDefault="008A5841" w:rsidP="00B765C1">
            <w:pPr>
              <w:rPr>
                <w:lang w:val="en-GB"/>
              </w:rPr>
            </w:pPr>
            <w:r w:rsidRPr="006A6D19">
              <w:rPr>
                <w:lang w:val="en-GB"/>
              </w:rPr>
              <w:t xml:space="preserve">16.3 </w:t>
            </w:r>
          </w:p>
        </w:tc>
        <w:tc>
          <w:tcPr>
            <w:tcW w:w="3556"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7F475DB" w14:textId="77777777" w:rsidR="008A5841" w:rsidRPr="006A6D19" w:rsidRDefault="008A5841" w:rsidP="00B765C1">
            <w:pPr>
              <w:rPr>
                <w:lang w:val="en-GB"/>
              </w:rPr>
            </w:pPr>
            <w:r w:rsidRPr="006A6D19">
              <w:rPr>
                <w:lang w:val="en-GB"/>
              </w:rPr>
              <w:t>The rule of law is strong in Norwegian society.</w:t>
            </w:r>
          </w:p>
        </w:tc>
        <w:tc>
          <w:tcPr>
            <w:tcW w:w="796"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685A28CD" w14:textId="41327EB8" w:rsidR="008A5841" w:rsidRPr="006A6D19" w:rsidRDefault="00541482" w:rsidP="00B765C1">
            <w:pPr>
              <w:rPr>
                <w:lang w:val="en-GB"/>
              </w:rPr>
            </w:pPr>
            <w:r>
              <w:rPr>
                <w:noProof/>
              </w:rPr>
              <w:drawing>
                <wp:inline distT="0" distB="0" distL="0" distR="0" wp14:anchorId="49343EE5" wp14:editId="745DC02A">
                  <wp:extent cx="990600" cy="447675"/>
                  <wp:effectExtent l="0" t="0" r="0" b="9525"/>
                  <wp:docPr id="214605714" name="Bilde 4" descr="Target m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11348" name="Bilde 4" descr="Target met. Progress stagn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31996BED" w14:textId="77777777" w:rsidTr="001609FA">
        <w:tblPrEx>
          <w:tblCellMar>
            <w:top w:w="0" w:type="dxa"/>
            <w:left w:w="0" w:type="dxa"/>
            <w:bottom w:w="0" w:type="dxa"/>
            <w:right w:w="0" w:type="dxa"/>
          </w:tblCellMar>
        </w:tblPrEx>
        <w:trPr>
          <w:trHeight w:val="60"/>
        </w:trPr>
        <w:tc>
          <w:tcPr>
            <w:tcW w:w="64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84EDC35" w14:textId="77777777" w:rsidR="008A5841" w:rsidRPr="006A6D19" w:rsidRDefault="008A5841" w:rsidP="00B765C1">
            <w:pPr>
              <w:rPr>
                <w:lang w:val="en-GB"/>
              </w:rPr>
            </w:pPr>
            <w:r w:rsidRPr="006A6D19">
              <w:rPr>
                <w:lang w:val="en-GB"/>
              </w:rPr>
              <w:t xml:space="preserve">16.4 </w:t>
            </w:r>
          </w:p>
        </w:tc>
        <w:tc>
          <w:tcPr>
            <w:tcW w:w="3556"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462BFDD" w14:textId="77777777" w:rsidR="008A5841" w:rsidRPr="006A6D19" w:rsidRDefault="008A5841" w:rsidP="00B765C1">
            <w:pPr>
              <w:rPr>
                <w:lang w:val="en-GB"/>
              </w:rPr>
            </w:pPr>
            <w:r w:rsidRPr="006A6D19">
              <w:rPr>
                <w:lang w:val="en-GB"/>
              </w:rPr>
              <w:t>International illicit financial flows remain high. Rates of asset recovery in Norway have been significantly increasing over the last few years.</w:t>
            </w:r>
          </w:p>
        </w:tc>
        <w:tc>
          <w:tcPr>
            <w:tcW w:w="796"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B673643" w14:textId="5F0DE850" w:rsidR="008A5841" w:rsidRPr="006A6D19" w:rsidRDefault="008D2934" w:rsidP="00B765C1">
            <w:pPr>
              <w:rPr>
                <w:lang w:val="en-GB"/>
              </w:rPr>
            </w:pPr>
            <w:r>
              <w:rPr>
                <w:noProof/>
              </w:rPr>
              <w:drawing>
                <wp:inline distT="0" distB="0" distL="0" distR="0" wp14:anchorId="3396318F" wp14:editId="23F81564">
                  <wp:extent cx="990600" cy="447675"/>
                  <wp:effectExtent l="0" t="0" r="0" b="9525"/>
                  <wp:docPr id="1909976667" name="Bilde 3" descr="Close to target. Progress i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804348" name="Bilde 3" descr="Close to target. Progress is positiv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5E2E3BA9" w14:textId="77777777" w:rsidTr="001609FA">
        <w:tblPrEx>
          <w:tblCellMar>
            <w:top w:w="0" w:type="dxa"/>
            <w:left w:w="0" w:type="dxa"/>
            <w:bottom w:w="0" w:type="dxa"/>
            <w:right w:w="0" w:type="dxa"/>
          </w:tblCellMar>
        </w:tblPrEx>
        <w:trPr>
          <w:trHeight w:val="60"/>
        </w:trPr>
        <w:tc>
          <w:tcPr>
            <w:tcW w:w="64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65CE36CA" w14:textId="77777777" w:rsidR="008A5841" w:rsidRPr="006A6D19" w:rsidRDefault="008A5841" w:rsidP="00B765C1">
            <w:pPr>
              <w:rPr>
                <w:lang w:val="en-GB"/>
              </w:rPr>
            </w:pPr>
            <w:r w:rsidRPr="006A6D19">
              <w:rPr>
                <w:lang w:val="en-GB"/>
              </w:rPr>
              <w:t xml:space="preserve">16.5 </w:t>
            </w:r>
          </w:p>
        </w:tc>
        <w:tc>
          <w:tcPr>
            <w:tcW w:w="3556"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318DF77" w14:textId="77777777" w:rsidR="008A5841" w:rsidRPr="006A6D19" w:rsidRDefault="008A5841" w:rsidP="00B765C1">
            <w:pPr>
              <w:rPr>
                <w:lang w:val="en-GB"/>
              </w:rPr>
            </w:pPr>
            <w:r w:rsidRPr="006A6D19">
              <w:rPr>
                <w:lang w:val="en-GB"/>
              </w:rPr>
              <w:t>According to international evaluations Norway has strong institutional frameworks and is among the countries with the lowest level of corruption in the world.</w:t>
            </w:r>
          </w:p>
        </w:tc>
        <w:tc>
          <w:tcPr>
            <w:tcW w:w="796"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C41AA47" w14:textId="473D0096" w:rsidR="008A5841" w:rsidRPr="006A6D19" w:rsidRDefault="00541482" w:rsidP="00B765C1">
            <w:pPr>
              <w:rPr>
                <w:lang w:val="en-GB"/>
              </w:rPr>
            </w:pPr>
            <w:r>
              <w:rPr>
                <w:noProof/>
              </w:rPr>
              <w:drawing>
                <wp:inline distT="0" distB="0" distL="0" distR="0" wp14:anchorId="0A4C5F93" wp14:editId="2EFB3F27">
                  <wp:extent cx="990600" cy="447675"/>
                  <wp:effectExtent l="0" t="0" r="0" b="9525"/>
                  <wp:docPr id="1415966903" name="Bilde 4" descr="Target m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11348" name="Bilde 4" descr="Target met. Progress stagn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35A3D966" w14:textId="77777777" w:rsidTr="001609FA">
        <w:tblPrEx>
          <w:tblCellMar>
            <w:top w:w="0" w:type="dxa"/>
            <w:left w:w="0" w:type="dxa"/>
            <w:bottom w:w="0" w:type="dxa"/>
            <w:right w:w="0" w:type="dxa"/>
          </w:tblCellMar>
        </w:tblPrEx>
        <w:trPr>
          <w:trHeight w:val="60"/>
        </w:trPr>
        <w:tc>
          <w:tcPr>
            <w:tcW w:w="64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EB3A261" w14:textId="77777777" w:rsidR="008A5841" w:rsidRPr="006A6D19" w:rsidRDefault="008A5841" w:rsidP="00B765C1">
            <w:pPr>
              <w:rPr>
                <w:lang w:val="en-GB"/>
              </w:rPr>
            </w:pPr>
            <w:r w:rsidRPr="006A6D19">
              <w:rPr>
                <w:lang w:val="en-GB"/>
              </w:rPr>
              <w:t xml:space="preserve">16.6 </w:t>
            </w:r>
          </w:p>
        </w:tc>
        <w:tc>
          <w:tcPr>
            <w:tcW w:w="3556"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C6930DD" w14:textId="77777777" w:rsidR="008A5841" w:rsidRPr="006A6D19" w:rsidRDefault="008A5841" w:rsidP="00B765C1">
            <w:pPr>
              <w:rPr>
                <w:lang w:val="en-GB"/>
              </w:rPr>
            </w:pPr>
            <w:r w:rsidRPr="006A6D19">
              <w:rPr>
                <w:lang w:val="en-GB"/>
              </w:rPr>
              <w:t>Norway ranks high on democracy indices such as V-Dem, and public institutions are characterised by transparency, accountability, and high administrative quality.</w:t>
            </w:r>
          </w:p>
        </w:tc>
        <w:tc>
          <w:tcPr>
            <w:tcW w:w="796"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A846F05" w14:textId="1AD9453C" w:rsidR="008A5841" w:rsidRPr="006A6D19" w:rsidRDefault="00541482" w:rsidP="00B765C1">
            <w:pPr>
              <w:rPr>
                <w:lang w:val="en-GB"/>
              </w:rPr>
            </w:pPr>
            <w:r>
              <w:rPr>
                <w:noProof/>
              </w:rPr>
              <w:drawing>
                <wp:inline distT="0" distB="0" distL="0" distR="0" wp14:anchorId="1C41C9EB" wp14:editId="22EBFBEA">
                  <wp:extent cx="990600" cy="447675"/>
                  <wp:effectExtent l="0" t="0" r="0" b="9525"/>
                  <wp:docPr id="606652640" name="Bilde 6" descr="Target met. Progres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2134" name="Bilde 6" descr="Target met. Progress positiv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60E7E605" w14:textId="77777777" w:rsidTr="001609FA">
        <w:tblPrEx>
          <w:tblCellMar>
            <w:top w:w="0" w:type="dxa"/>
            <w:left w:w="0" w:type="dxa"/>
            <w:bottom w:w="0" w:type="dxa"/>
            <w:right w:w="0" w:type="dxa"/>
          </w:tblCellMar>
        </w:tblPrEx>
        <w:trPr>
          <w:trHeight w:val="60"/>
        </w:trPr>
        <w:tc>
          <w:tcPr>
            <w:tcW w:w="64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69D7FBF0" w14:textId="77777777" w:rsidR="008A5841" w:rsidRPr="006A6D19" w:rsidRDefault="008A5841" w:rsidP="00B765C1">
            <w:pPr>
              <w:rPr>
                <w:lang w:val="en-GB"/>
              </w:rPr>
            </w:pPr>
            <w:r w:rsidRPr="006A6D19">
              <w:rPr>
                <w:lang w:val="en-GB"/>
              </w:rPr>
              <w:lastRenderedPageBreak/>
              <w:t xml:space="preserve">16.7 </w:t>
            </w:r>
          </w:p>
        </w:tc>
        <w:tc>
          <w:tcPr>
            <w:tcW w:w="3556"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DE916E2" w14:textId="77777777" w:rsidR="008A5841" w:rsidRPr="006A6D19" w:rsidRDefault="008A5841" w:rsidP="00B765C1">
            <w:pPr>
              <w:rPr>
                <w:lang w:val="en-GB"/>
              </w:rPr>
            </w:pPr>
            <w:r w:rsidRPr="006A6D19">
              <w:rPr>
                <w:lang w:val="en-GB"/>
              </w:rPr>
              <w:t>Norway ranks high on democracy indices. Work is underway to identify measures to encourage groups that never vote to participate in elections and engage politically.</w:t>
            </w:r>
          </w:p>
        </w:tc>
        <w:tc>
          <w:tcPr>
            <w:tcW w:w="796"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21F96C6" w14:textId="48DB2120" w:rsidR="008A5841" w:rsidRPr="006A6D19" w:rsidRDefault="00541482" w:rsidP="00B765C1">
            <w:pPr>
              <w:rPr>
                <w:lang w:val="en-GB"/>
              </w:rPr>
            </w:pPr>
            <w:r>
              <w:rPr>
                <w:noProof/>
              </w:rPr>
              <w:drawing>
                <wp:inline distT="0" distB="0" distL="0" distR="0" wp14:anchorId="1992931B" wp14:editId="27223B6A">
                  <wp:extent cx="990600" cy="447675"/>
                  <wp:effectExtent l="0" t="0" r="0" b="9525"/>
                  <wp:docPr id="1540493927" name="Bilde 6" descr="Target met. Progres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2134" name="Bilde 6" descr="Target met. Progress positiv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22F5A80A" w14:textId="77777777" w:rsidTr="001609FA">
        <w:tblPrEx>
          <w:tblCellMar>
            <w:top w:w="0" w:type="dxa"/>
            <w:left w:w="0" w:type="dxa"/>
            <w:bottom w:w="0" w:type="dxa"/>
            <w:right w:w="0" w:type="dxa"/>
          </w:tblCellMar>
        </w:tblPrEx>
        <w:trPr>
          <w:trHeight w:val="60"/>
        </w:trPr>
        <w:tc>
          <w:tcPr>
            <w:tcW w:w="64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B704195" w14:textId="77777777" w:rsidR="008A5841" w:rsidRPr="006A6D19" w:rsidRDefault="008A5841" w:rsidP="00B765C1">
            <w:pPr>
              <w:rPr>
                <w:lang w:val="en-GB"/>
              </w:rPr>
            </w:pPr>
            <w:r w:rsidRPr="006A6D19">
              <w:rPr>
                <w:lang w:val="en-GB"/>
              </w:rPr>
              <w:t xml:space="preserve">16.8 </w:t>
            </w:r>
          </w:p>
        </w:tc>
        <w:tc>
          <w:tcPr>
            <w:tcW w:w="3556"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C90BCF4" w14:textId="77777777" w:rsidR="008A5841" w:rsidRPr="006A6D19" w:rsidRDefault="008A5841" w:rsidP="00B765C1">
            <w:pPr>
              <w:rPr>
                <w:lang w:val="en-GB"/>
              </w:rPr>
            </w:pPr>
            <w:r w:rsidRPr="006A6D19">
              <w:rPr>
                <w:lang w:val="en-GB"/>
              </w:rPr>
              <w:t>Norway promotes inclusive participation in global governance institutions.</w:t>
            </w:r>
          </w:p>
        </w:tc>
        <w:tc>
          <w:tcPr>
            <w:tcW w:w="796"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7ADD5F3" w14:textId="09D5B931" w:rsidR="008A5841" w:rsidRPr="006A6D19" w:rsidRDefault="00541482" w:rsidP="00B765C1">
            <w:pPr>
              <w:rPr>
                <w:lang w:val="en-GB"/>
              </w:rPr>
            </w:pPr>
            <w:r>
              <w:rPr>
                <w:noProof/>
              </w:rPr>
              <w:drawing>
                <wp:inline distT="0" distB="0" distL="0" distR="0" wp14:anchorId="672E394E" wp14:editId="7359617D">
                  <wp:extent cx="990600" cy="447675"/>
                  <wp:effectExtent l="0" t="0" r="0" b="9525"/>
                  <wp:docPr id="1671718020" name="Bilde 4" descr="Target m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11348" name="Bilde 4" descr="Target met. Progress stagn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058FFD96" w14:textId="77777777" w:rsidTr="001609FA">
        <w:tblPrEx>
          <w:tblCellMar>
            <w:top w:w="0" w:type="dxa"/>
            <w:left w:w="0" w:type="dxa"/>
            <w:bottom w:w="0" w:type="dxa"/>
            <w:right w:w="0" w:type="dxa"/>
          </w:tblCellMar>
        </w:tblPrEx>
        <w:trPr>
          <w:trHeight w:val="314"/>
        </w:trPr>
        <w:tc>
          <w:tcPr>
            <w:tcW w:w="64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53C5C87" w14:textId="77777777" w:rsidR="008A5841" w:rsidRPr="006A6D19" w:rsidRDefault="008A5841" w:rsidP="00B765C1">
            <w:pPr>
              <w:rPr>
                <w:lang w:val="en-GB"/>
              </w:rPr>
            </w:pPr>
            <w:r w:rsidRPr="006A6D19">
              <w:rPr>
                <w:lang w:val="en-GB"/>
              </w:rPr>
              <w:t xml:space="preserve">16.9 </w:t>
            </w:r>
          </w:p>
        </w:tc>
        <w:tc>
          <w:tcPr>
            <w:tcW w:w="3556"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7B6792A" w14:textId="77777777" w:rsidR="008A5841" w:rsidRPr="006A6D19" w:rsidRDefault="008A5841" w:rsidP="00B765C1">
            <w:pPr>
              <w:rPr>
                <w:lang w:val="en-GB"/>
              </w:rPr>
            </w:pPr>
            <w:r w:rsidRPr="006A6D19">
              <w:rPr>
                <w:lang w:val="en-GB"/>
              </w:rPr>
              <w:t>Birth registration and legal identity are regulated by law.</w:t>
            </w:r>
          </w:p>
        </w:tc>
        <w:tc>
          <w:tcPr>
            <w:tcW w:w="796"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6E531D17" w14:textId="60A0683F" w:rsidR="008A5841" w:rsidRPr="006A6D19" w:rsidRDefault="00541482" w:rsidP="00B765C1">
            <w:pPr>
              <w:rPr>
                <w:lang w:val="en-GB"/>
              </w:rPr>
            </w:pPr>
            <w:r>
              <w:rPr>
                <w:noProof/>
              </w:rPr>
              <w:drawing>
                <wp:inline distT="0" distB="0" distL="0" distR="0" wp14:anchorId="04CC24FA" wp14:editId="26B32BCA">
                  <wp:extent cx="990600" cy="447675"/>
                  <wp:effectExtent l="0" t="0" r="0" b="9525"/>
                  <wp:docPr id="222894950" name="Bilde 4" descr="Target m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11348" name="Bilde 4" descr="Target met. Progress stagn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74069C99" w14:textId="77777777" w:rsidTr="001609FA">
        <w:tblPrEx>
          <w:tblCellMar>
            <w:top w:w="0" w:type="dxa"/>
            <w:left w:w="0" w:type="dxa"/>
            <w:bottom w:w="0" w:type="dxa"/>
            <w:right w:w="0" w:type="dxa"/>
          </w:tblCellMar>
        </w:tblPrEx>
        <w:trPr>
          <w:trHeight w:val="60"/>
        </w:trPr>
        <w:tc>
          <w:tcPr>
            <w:tcW w:w="64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00000B49" w14:textId="77777777" w:rsidR="008A5841" w:rsidRPr="006A6D19" w:rsidRDefault="008A5841" w:rsidP="00B765C1">
            <w:pPr>
              <w:rPr>
                <w:lang w:val="en-GB"/>
              </w:rPr>
            </w:pPr>
            <w:r w:rsidRPr="006A6D19">
              <w:rPr>
                <w:lang w:val="en-GB"/>
              </w:rPr>
              <w:t xml:space="preserve">16.10 </w:t>
            </w:r>
          </w:p>
        </w:tc>
        <w:tc>
          <w:tcPr>
            <w:tcW w:w="3556"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CBD8DF1" w14:textId="77777777" w:rsidR="008A5841" w:rsidRPr="006A6D19" w:rsidRDefault="008A5841" w:rsidP="00B765C1">
            <w:pPr>
              <w:rPr>
                <w:lang w:val="en-GB"/>
              </w:rPr>
            </w:pPr>
            <w:r w:rsidRPr="006A6D19">
              <w:rPr>
                <w:lang w:val="en-GB"/>
              </w:rPr>
              <w:t>The flow of information and protection of fundamental freedoms are anchored in the Constitution and other legislation, for instance the Freedom of Information Act and the Environmental Information Act.</w:t>
            </w:r>
          </w:p>
        </w:tc>
        <w:tc>
          <w:tcPr>
            <w:tcW w:w="796"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EFB26A7" w14:textId="7F25E908" w:rsidR="008A5841" w:rsidRPr="006A6D19" w:rsidRDefault="00541482" w:rsidP="00B765C1">
            <w:pPr>
              <w:rPr>
                <w:lang w:val="en-GB"/>
              </w:rPr>
            </w:pPr>
            <w:r>
              <w:rPr>
                <w:noProof/>
              </w:rPr>
              <w:drawing>
                <wp:inline distT="0" distB="0" distL="0" distR="0" wp14:anchorId="6C69DF00" wp14:editId="349CF006">
                  <wp:extent cx="990600" cy="447675"/>
                  <wp:effectExtent l="0" t="0" r="0" b="9525"/>
                  <wp:docPr id="492921697" name="Bilde 4" descr="Target m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11348" name="Bilde 4" descr="Target met. Progress stagn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095C6D89" w14:textId="77777777" w:rsidTr="001609FA">
        <w:tblPrEx>
          <w:tblCellMar>
            <w:top w:w="0" w:type="dxa"/>
            <w:left w:w="0" w:type="dxa"/>
            <w:bottom w:w="0" w:type="dxa"/>
            <w:right w:w="0" w:type="dxa"/>
          </w:tblCellMar>
        </w:tblPrEx>
        <w:trPr>
          <w:trHeight w:val="60"/>
        </w:trPr>
        <w:tc>
          <w:tcPr>
            <w:tcW w:w="64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CB281CF" w14:textId="77777777" w:rsidR="008A5841" w:rsidRPr="006A6D19" w:rsidRDefault="008A5841" w:rsidP="00B765C1">
            <w:pPr>
              <w:rPr>
                <w:lang w:val="en-GB"/>
              </w:rPr>
            </w:pPr>
            <w:r w:rsidRPr="006A6D19">
              <w:rPr>
                <w:lang w:val="en-GB"/>
              </w:rPr>
              <w:t xml:space="preserve">16.A </w:t>
            </w:r>
          </w:p>
        </w:tc>
        <w:tc>
          <w:tcPr>
            <w:tcW w:w="3556"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72AAF27" w14:textId="77777777" w:rsidR="008A5841" w:rsidRPr="006A6D19" w:rsidRDefault="008A5841" w:rsidP="00B765C1">
            <w:pPr>
              <w:rPr>
                <w:lang w:val="en-GB"/>
              </w:rPr>
            </w:pPr>
            <w:r w:rsidRPr="006A6D19">
              <w:rPr>
                <w:lang w:val="en-GB"/>
              </w:rPr>
              <w:t xml:space="preserve">Norway provides financial support to developing countries to strengthen national institutions to combat terrorism and crime. </w:t>
            </w:r>
          </w:p>
        </w:tc>
        <w:tc>
          <w:tcPr>
            <w:tcW w:w="796"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B8E338D" w14:textId="2B0C8AFD" w:rsidR="008A5841" w:rsidRPr="006A6D19" w:rsidRDefault="00541482" w:rsidP="00B765C1">
            <w:pPr>
              <w:rPr>
                <w:lang w:val="en-GB"/>
              </w:rPr>
            </w:pPr>
            <w:r>
              <w:rPr>
                <w:noProof/>
              </w:rPr>
              <w:drawing>
                <wp:inline distT="0" distB="0" distL="0" distR="0" wp14:anchorId="1B3CC528" wp14:editId="056460AF">
                  <wp:extent cx="990600" cy="447675"/>
                  <wp:effectExtent l="0" t="0" r="0" b="9525"/>
                  <wp:docPr id="306221367" name="Bilde 4" descr="Target m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11348" name="Bilde 4" descr="Target met. Progress stagn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2F086AA8" w14:textId="77777777" w:rsidTr="001609FA">
        <w:tblPrEx>
          <w:tblCellMar>
            <w:top w:w="0" w:type="dxa"/>
            <w:left w:w="0" w:type="dxa"/>
            <w:bottom w:w="0" w:type="dxa"/>
            <w:right w:w="0" w:type="dxa"/>
          </w:tblCellMar>
        </w:tblPrEx>
        <w:trPr>
          <w:trHeight w:val="60"/>
        </w:trPr>
        <w:tc>
          <w:tcPr>
            <w:tcW w:w="647"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9E2D4EC" w14:textId="77777777" w:rsidR="008A5841" w:rsidRPr="006A6D19" w:rsidRDefault="008A5841" w:rsidP="00B765C1">
            <w:pPr>
              <w:rPr>
                <w:lang w:val="en-GB"/>
              </w:rPr>
            </w:pPr>
            <w:r w:rsidRPr="006A6D19">
              <w:rPr>
                <w:lang w:val="en-GB"/>
              </w:rPr>
              <w:t xml:space="preserve">16.B </w:t>
            </w:r>
          </w:p>
        </w:tc>
        <w:tc>
          <w:tcPr>
            <w:tcW w:w="3556"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E0F2565" w14:textId="77777777" w:rsidR="008A5841" w:rsidRPr="006A6D19" w:rsidRDefault="008A5841" w:rsidP="00B765C1">
            <w:pPr>
              <w:rPr>
                <w:lang w:val="en-GB"/>
              </w:rPr>
            </w:pPr>
            <w:r w:rsidRPr="006A6D19">
              <w:rPr>
                <w:lang w:val="en-GB"/>
              </w:rPr>
              <w:t>Norway has strong anti-discrimination legislation in place. Minority groups, however, continue to experience higher levels of discrimination and harassment.</w:t>
            </w:r>
          </w:p>
        </w:tc>
        <w:tc>
          <w:tcPr>
            <w:tcW w:w="796"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61A6E5B" w14:textId="412FB27B" w:rsidR="008A5841" w:rsidRPr="006A6D19" w:rsidRDefault="007B3BCE" w:rsidP="00B765C1">
            <w:pPr>
              <w:rPr>
                <w:lang w:val="en-GB"/>
              </w:rPr>
            </w:pPr>
            <w:r>
              <w:rPr>
                <w:noProof/>
              </w:rPr>
              <w:drawing>
                <wp:inline distT="0" distB="0" distL="0" distR="0" wp14:anchorId="5DDEDEAA" wp14:editId="4A11129F">
                  <wp:extent cx="990600" cy="447675"/>
                  <wp:effectExtent l="0" t="0" r="0" b="9525"/>
                  <wp:docPr id="1455242614" name="Bilde 1" descr="Close to targ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34566" name="Bilde 1" descr="Close to target. Progress stagn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bl>
    <w:p w14:paraId="70F08173" w14:textId="77777777" w:rsidR="008A5841" w:rsidRPr="006A6D19" w:rsidRDefault="008A5841" w:rsidP="00B765C1">
      <w:pPr>
        <w:rPr>
          <w:lang w:val="en-GB"/>
        </w:rPr>
      </w:pPr>
    </w:p>
    <w:p w14:paraId="55A3117C" w14:textId="77777777" w:rsidR="008A5841" w:rsidRPr="006A6D19" w:rsidRDefault="008A5841" w:rsidP="00B765C1">
      <w:pPr>
        <w:rPr>
          <w:rStyle w:val="halvfet"/>
          <w:lang w:val="en-GB"/>
        </w:rPr>
      </w:pPr>
    </w:p>
    <w:p w14:paraId="6BE2B3DC" w14:textId="77777777" w:rsidR="008A5841" w:rsidRPr="006A6D19" w:rsidRDefault="008A5841" w:rsidP="00B765C1">
      <w:pPr>
        <w:rPr>
          <w:lang w:val="en-GB"/>
        </w:rPr>
      </w:pPr>
      <w:r w:rsidRPr="006A6D19">
        <w:rPr>
          <w:rStyle w:val="halvfet"/>
          <w:lang w:val="en-GB"/>
        </w:rPr>
        <w:t>General Status:</w:t>
      </w:r>
      <w:r w:rsidRPr="006A6D19">
        <w:rPr>
          <w:lang w:val="en-GB"/>
        </w:rPr>
        <w:t xml:space="preserve"> In an international context, Norway is a relatively peaceful society with low crime rates. Democracy, human rights, and the rule of law form core pillars of Norwegian governance. Public institutions are accountable, transparent, and subject to checks and balances. An independent judiciary safeguards human rights by ensuring equality before the law and non-discrimination. Norway maintains quite high voter turnout in both local and national elections. Legislation ensures transparency, predictability, and par</w:t>
      </w:r>
      <w:r w:rsidRPr="006A6D19">
        <w:rPr>
          <w:lang w:val="en-GB"/>
        </w:rPr>
        <w:t>ticipation in public decision-making processes.</w:t>
      </w:r>
    </w:p>
    <w:p w14:paraId="731AFBC0" w14:textId="77777777" w:rsidR="008A5841" w:rsidRPr="006A6D19" w:rsidRDefault="008A5841" w:rsidP="00B765C1">
      <w:pPr>
        <w:rPr>
          <w:lang w:val="en-GB"/>
        </w:rPr>
      </w:pPr>
      <w:r w:rsidRPr="006A6D19">
        <w:rPr>
          <w:rStyle w:val="halvfet"/>
          <w:lang w:val="en-GB"/>
        </w:rPr>
        <w:t>Main Achievements:</w:t>
      </w:r>
      <w:r w:rsidRPr="006A6D19">
        <w:rPr>
          <w:lang w:val="en-GB"/>
        </w:rPr>
        <w:t xml:space="preserve"> To strengthen efforts against corruption and money laundering, Norway adopted a law on a register of beneficial owners in 2019. The register was established in 2024. In December 2025, the Government proposed changes to the Penal Code to allow for non-</w:t>
      </w:r>
      <w:proofErr w:type="gramStart"/>
      <w:r w:rsidRPr="006A6D19">
        <w:rPr>
          <w:lang w:val="en-GB"/>
        </w:rPr>
        <w:t>conviction based</w:t>
      </w:r>
      <w:proofErr w:type="gramEnd"/>
      <w:r w:rsidRPr="006A6D19">
        <w:rPr>
          <w:lang w:val="en-GB"/>
        </w:rPr>
        <w:t xml:space="preserve"> asset recovery, with the view to deprive more criminal assets. In 2024, the courts received permanent increased funding through the </w:t>
      </w:r>
      <w:r w:rsidRPr="006A6D19">
        <w:rPr>
          <w:rStyle w:val="kursiv"/>
          <w:lang w:val="en-GB"/>
        </w:rPr>
        <w:t>Rule of Law Enhancement Initiative</w:t>
      </w:r>
      <w:r w:rsidRPr="006A6D19">
        <w:rPr>
          <w:lang w:val="en-GB"/>
        </w:rPr>
        <w:t>, including resources for secure court facilities and stable operation of ICT systems.</w:t>
      </w:r>
    </w:p>
    <w:p w14:paraId="6D38E644" w14:textId="5E11E20B" w:rsidR="008A5841" w:rsidRPr="006A6D19" w:rsidRDefault="008A5841" w:rsidP="00B765C1">
      <w:pPr>
        <w:rPr>
          <w:lang w:val="en-GB"/>
        </w:rPr>
      </w:pPr>
      <w:r w:rsidRPr="006A6D19">
        <w:rPr>
          <w:lang w:val="en-GB"/>
        </w:rPr>
        <w:t xml:space="preserve">In April 2025, the Government proposed a new Public Administration Act. The proposal is clearer and more accessible than the current act, and the rules are better adapted to modern administrative </w:t>
      </w:r>
      <w:r w:rsidRPr="006A6D19">
        <w:rPr>
          <w:lang w:val="en-GB"/>
        </w:rPr>
        <w:lastRenderedPageBreak/>
        <w:t>practices and organisa</w:t>
      </w:r>
      <w:r w:rsidRPr="006A6D19">
        <w:rPr>
          <w:lang w:val="en-GB"/>
        </w:rPr>
        <w:t>tional structures. A new model for financial means testing, adopted in 2023, has expanded access to free legal aid and ensures that the scheme does not weaken over time. In 2022, Norway joined the Luxembourg Declaration, which includes action plans aimed at building trust and strengthening democracy. Norway is also an active participant in the Open Government Partnership, which promotes open government through cooperation between government and civil society.</w:t>
      </w:r>
    </w:p>
    <w:p w14:paraId="3AE69FBC" w14:textId="77777777" w:rsidR="008A5841" w:rsidRPr="006A6D19" w:rsidRDefault="008A5841" w:rsidP="00B765C1">
      <w:pPr>
        <w:rPr>
          <w:lang w:val="en-GB"/>
        </w:rPr>
      </w:pPr>
      <w:r w:rsidRPr="006A6D19">
        <w:rPr>
          <w:lang w:val="en-GB"/>
        </w:rPr>
        <w:t>In 2025, the Government allocated a permanent gr</w:t>
      </w:r>
      <w:r w:rsidRPr="006A6D19">
        <w:rPr>
          <w:lang w:val="en-GB"/>
        </w:rPr>
        <w:t>ant of NOK 90 million to the National Authority for Investigation and Prosecution of Economic and Environmental Crime to strengthen efforts against money laundering and corruption. Parts of these funds have been used to establish a national competence centre for anti-corruption.</w:t>
      </w:r>
    </w:p>
    <w:p w14:paraId="3C8AD1D4" w14:textId="77777777" w:rsidR="008A5841" w:rsidRPr="006A6D19" w:rsidRDefault="008A5841" w:rsidP="00B765C1">
      <w:pPr>
        <w:rPr>
          <w:lang w:val="en-GB"/>
        </w:rPr>
      </w:pPr>
      <w:r w:rsidRPr="006A6D19">
        <w:rPr>
          <w:rStyle w:val="halvfet"/>
          <w:lang w:val="en-GB"/>
        </w:rPr>
        <w:t>Norway’s Challenges:</w:t>
      </w:r>
      <w:r w:rsidRPr="006A6D19">
        <w:rPr>
          <w:lang w:val="en-GB"/>
        </w:rPr>
        <w:t xml:space="preserve"> The homicide rate in Norway is low by international standards. In 2025, a total of 19 people were victims of homicide, well below the ten-year average of 28 victims. Partner homicide and violence against women remain serious concerns. For the ten-year period 2015–2024, a total of 69 people were killed by a partner or previous partner. Violence and abuse affect a significant proportion of children and young people, and an increasing share of these incidents occurs online. The number of registered human traf</w:t>
      </w:r>
      <w:r w:rsidRPr="006A6D19">
        <w:rPr>
          <w:lang w:val="en-GB"/>
        </w:rPr>
        <w:t>ficking cases is low. Criminal networks and gang-related crime remain areas of persistent concern.</w:t>
      </w:r>
    </w:p>
    <w:p w14:paraId="34A08663" w14:textId="77777777" w:rsidR="008A5841" w:rsidRPr="006A6D19" w:rsidRDefault="008A5841" w:rsidP="00B765C1">
      <w:pPr>
        <w:rPr>
          <w:lang w:val="en-GB"/>
        </w:rPr>
      </w:pPr>
      <w:r w:rsidRPr="006A6D19">
        <w:rPr>
          <w:lang w:val="en-GB"/>
        </w:rPr>
        <w:t>A significant number of people still experience discrimination and harassment. Minorities report experiencing discrimination at significantly higher rates than the rest of the population. Reported hate crimes have also increased in recent years, with most cases targeting an individual’s skin colour or their (perceived) national or ethnic origin.</w:t>
      </w:r>
    </w:p>
    <w:p w14:paraId="0D504BAD" w14:textId="77777777" w:rsidR="008A5841" w:rsidRPr="006A6D19" w:rsidRDefault="008A5841" w:rsidP="00B765C1">
      <w:pPr>
        <w:rPr>
          <w:lang w:val="en-GB"/>
        </w:rPr>
      </w:pPr>
      <w:r w:rsidRPr="006A6D19">
        <w:rPr>
          <w:rStyle w:val="halvfet"/>
          <w:lang w:val="en-GB"/>
        </w:rPr>
        <w:t>Global Responsibility:</w:t>
      </w:r>
      <w:r w:rsidRPr="006A6D19">
        <w:rPr>
          <w:lang w:val="en-GB"/>
        </w:rPr>
        <w:t xml:space="preserve"> Norway actively participates in international initiatives and negotiations aimed at combating tax evasion, corruption, money laundering, and illicit financial flows. Norway is an important partner in conflict prevention, conflict resolution, and peacebuilding, including through maintaining national defence capabilities, with collective security playing a key role. Norway supports the UN and other organisations engaged in capacity-building in areas such as anti-corruption, independent judiciaries, financial</w:t>
      </w:r>
      <w:r w:rsidRPr="006A6D19">
        <w:rPr>
          <w:lang w:val="en-GB"/>
        </w:rPr>
        <w:t xml:space="preserve"> transparency, accountability, and integrity. Norway also provides financial support to civil society, independent journalism, including journalist safety.</w:t>
      </w:r>
    </w:p>
    <w:p w14:paraId="5C73D8CE" w14:textId="77777777" w:rsidR="008A5841" w:rsidRPr="006A6D19" w:rsidRDefault="008A5841" w:rsidP="006B301F">
      <w:pPr>
        <w:pStyle w:val="avsnitt-undertittel"/>
        <w:rPr>
          <w:rStyle w:val="halvfet"/>
          <w:lang w:val="en-GB"/>
        </w:rPr>
      </w:pPr>
      <w:r w:rsidRPr="006A6D19">
        <w:rPr>
          <w:rStyle w:val="halvfet"/>
          <w:lang w:val="en-GB"/>
        </w:rPr>
        <w:t>Main Policy Initiatives 2021–2026</w:t>
      </w:r>
    </w:p>
    <w:p w14:paraId="63513013" w14:textId="77777777" w:rsidR="008A5841" w:rsidRPr="006A6D19" w:rsidRDefault="008A5841" w:rsidP="00B765C1">
      <w:pPr>
        <w:pStyle w:val="Listebombe"/>
        <w:rPr>
          <w:lang w:val="en-GB"/>
        </w:rPr>
      </w:pPr>
      <w:r w:rsidRPr="006A6D19">
        <w:rPr>
          <w:lang w:val="en-GB"/>
        </w:rPr>
        <w:t>A national strategy against trafficking in human beings was launched in May 2025.</w:t>
      </w:r>
    </w:p>
    <w:p w14:paraId="3CAE2F8E" w14:textId="77777777" w:rsidR="008A5841" w:rsidRPr="006A6D19" w:rsidRDefault="008A5841" w:rsidP="00B765C1">
      <w:pPr>
        <w:pStyle w:val="Listebombe"/>
        <w:rPr>
          <w:lang w:val="en-GB"/>
        </w:rPr>
      </w:pPr>
      <w:r w:rsidRPr="006A6D19">
        <w:rPr>
          <w:lang w:val="en-GB"/>
        </w:rPr>
        <w:t>White Paper, Meld. St. 15 (2023–2024) on financial crime.</w:t>
      </w:r>
    </w:p>
    <w:p w14:paraId="01632E96" w14:textId="77777777" w:rsidR="008A5841" w:rsidRPr="006A6D19" w:rsidRDefault="008A5841" w:rsidP="00B765C1">
      <w:pPr>
        <w:pStyle w:val="Listebombe"/>
        <w:rPr>
          <w:lang w:val="en-GB"/>
        </w:rPr>
      </w:pPr>
      <w:r w:rsidRPr="006A6D19">
        <w:rPr>
          <w:lang w:val="en-GB"/>
        </w:rPr>
        <w:t>Action plan to combat harassment and discrimination of the Sami 2025–2030.</w:t>
      </w:r>
    </w:p>
    <w:p w14:paraId="54FED55B" w14:textId="77777777" w:rsidR="008A5841" w:rsidRPr="006A6D19" w:rsidRDefault="008A5841" w:rsidP="00B765C1">
      <w:pPr>
        <w:pStyle w:val="Listebombe"/>
        <w:rPr>
          <w:lang w:val="en-GB"/>
        </w:rPr>
      </w:pPr>
      <w:r w:rsidRPr="006A6D19">
        <w:rPr>
          <w:lang w:val="en-GB"/>
        </w:rPr>
        <w:t>Escalation plan against violence and abuse against children and domestic violence (2024–2028).</w:t>
      </w:r>
    </w:p>
    <w:p w14:paraId="4F4BEBFC" w14:textId="77777777" w:rsidR="008A5841" w:rsidRPr="006A6D19" w:rsidRDefault="008A5841" w:rsidP="00B765C1">
      <w:pPr>
        <w:pStyle w:val="Listebombe"/>
        <w:rPr>
          <w:lang w:val="en-GB"/>
        </w:rPr>
      </w:pPr>
      <w:r w:rsidRPr="006A6D19">
        <w:rPr>
          <w:lang w:val="en-GB"/>
        </w:rPr>
        <w:t>Permanent partner homicide commission established in September 2024.</w:t>
      </w:r>
    </w:p>
    <w:p w14:paraId="2EA90561" w14:textId="77777777" w:rsidR="008A5841" w:rsidRPr="006A6D19" w:rsidRDefault="008A5841" w:rsidP="00B765C1">
      <w:pPr>
        <w:pStyle w:val="Listebombe"/>
        <w:rPr>
          <w:lang w:val="en-GB"/>
        </w:rPr>
      </w:pPr>
      <w:r w:rsidRPr="006A6D19">
        <w:rPr>
          <w:lang w:val="en-GB"/>
        </w:rPr>
        <w:t xml:space="preserve">A child violence investigation scheme has been established within the Norwegian Board of Health Supervision in January 2025. </w:t>
      </w:r>
    </w:p>
    <w:p w14:paraId="2540241F" w14:textId="77777777" w:rsidR="008A5841" w:rsidRPr="006A6D19" w:rsidRDefault="008A5841" w:rsidP="00B765C1">
      <w:pPr>
        <w:pStyle w:val="Listebombe"/>
        <w:rPr>
          <w:lang w:val="en-GB"/>
        </w:rPr>
      </w:pPr>
      <w:r w:rsidRPr="006A6D19">
        <w:rPr>
          <w:lang w:val="en-GB"/>
        </w:rPr>
        <w:t>Expression Preparedness – National Strategy for Open and Enlightened Public Discourse.</w:t>
      </w:r>
    </w:p>
    <w:p w14:paraId="28B6707C" w14:textId="77777777" w:rsidR="008A5841" w:rsidRPr="006A6D19" w:rsidRDefault="008A5841" w:rsidP="00B765C1">
      <w:pPr>
        <w:pStyle w:val="Listebombe"/>
        <w:rPr>
          <w:lang w:val="en-GB"/>
        </w:rPr>
      </w:pPr>
      <w:r w:rsidRPr="006A6D19">
        <w:rPr>
          <w:lang w:val="en-GB"/>
        </w:rPr>
        <w:t>Strategy for Strengthening Resilience to Disinformation (2025–2030).</w:t>
      </w:r>
    </w:p>
    <w:p w14:paraId="7A0619DD" w14:textId="77777777" w:rsidR="008A5841" w:rsidRPr="006A6D19" w:rsidRDefault="008A5841" w:rsidP="00B765C1">
      <w:pPr>
        <w:rPr>
          <w:lang w:val="en-GB"/>
        </w:rPr>
      </w:pPr>
    </w:p>
    <w:p w14:paraId="220431A4" w14:textId="77777777" w:rsidR="006B301F" w:rsidRPr="006A6D19" w:rsidRDefault="006B301F" w:rsidP="006B301F">
      <w:pPr>
        <w:pStyle w:val="Undertittel"/>
        <w:rPr>
          <w:lang w:val="en-GB"/>
        </w:rPr>
      </w:pPr>
      <w:r w:rsidRPr="006A6D19">
        <w:rPr>
          <w:lang w:val="en-GB"/>
        </w:rPr>
        <w:t>Assessment by Civil Society</w:t>
      </w:r>
    </w:p>
    <w:p w14:paraId="475FAD81" w14:textId="77777777" w:rsidR="008A5841" w:rsidRPr="006A6D19" w:rsidRDefault="008A5841" w:rsidP="00B765C1">
      <w:pPr>
        <w:rPr>
          <w:rStyle w:val="kursiv"/>
          <w:lang w:val="en-GB"/>
        </w:rPr>
      </w:pPr>
      <w:r w:rsidRPr="006A6D19">
        <w:rPr>
          <w:lang w:val="en-GB"/>
        </w:rPr>
        <w:t xml:space="preserve">The following organisations have participated in this assessment: </w:t>
      </w:r>
      <w:r w:rsidRPr="006A6D19">
        <w:rPr>
          <w:lang w:val="en-GB"/>
        </w:rPr>
        <w:t>Norwegian Federation of Organisations of Disabled People, Norwegian Library Association, Press, Tax Justice Norway, The United Nations Association of Norway, Women’s International League for Peace and Freedom – Norway, The Association for International Water Studies (FIVAS), The Norwegian Forum for Development and Environment (</w:t>
      </w:r>
      <w:proofErr w:type="spellStart"/>
      <w:r w:rsidRPr="006A6D19">
        <w:rPr>
          <w:lang w:val="en-GB"/>
        </w:rPr>
        <w:t>ForUM</w:t>
      </w:r>
      <w:proofErr w:type="spellEnd"/>
      <w:r w:rsidRPr="006A6D19">
        <w:rPr>
          <w:lang w:val="en-GB"/>
        </w:rPr>
        <w:t>).</w:t>
      </w:r>
    </w:p>
    <w:p w14:paraId="3C901052" w14:textId="66274865" w:rsidR="008A5841" w:rsidRPr="006A6D19" w:rsidRDefault="008A5841" w:rsidP="00B765C1">
      <w:pPr>
        <w:rPr>
          <w:lang w:val="en-GB"/>
        </w:rPr>
      </w:pPr>
      <w:r>
        <w:rPr>
          <w:noProof/>
          <w:lang w:val="en-GB"/>
        </w:rPr>
        <w:drawing>
          <wp:inline distT="0" distB="0" distL="0" distR="0" wp14:anchorId="36856BD1" wp14:editId="3785FC9B">
            <wp:extent cx="561975" cy="561975"/>
            <wp:effectExtent l="0" t="0" r="9525" b="9525"/>
            <wp:docPr id="36230665" name="Bilde 85" descr="Arrow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511570" name="Bilde 85" descr="Arrow down"/>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r>
        <w:rPr>
          <w:rStyle w:val="halvfet"/>
          <w:lang w:val="en-GB"/>
        </w:rPr>
        <w:t xml:space="preserve"> </w:t>
      </w:r>
      <w:r w:rsidRPr="006A6D19">
        <w:rPr>
          <w:rStyle w:val="halvfet"/>
          <w:lang w:val="en-GB"/>
        </w:rPr>
        <w:t>Trend</w:t>
      </w:r>
      <w:r w:rsidRPr="006A6D19">
        <w:rPr>
          <w:lang w:val="en-GB"/>
        </w:rPr>
        <w:t>: Negative</w:t>
      </w:r>
      <w:r w:rsidR="001609FA" w:rsidRPr="006A6D19">
        <w:rPr>
          <w:lang w:val="en-GB"/>
        </w:rPr>
        <w:t xml:space="preserve"> </w:t>
      </w:r>
    </w:p>
    <w:p w14:paraId="7DCEE730" w14:textId="77777777" w:rsidR="008A5841" w:rsidRPr="006A6D19" w:rsidRDefault="008A5841" w:rsidP="00B765C1">
      <w:pPr>
        <w:rPr>
          <w:lang w:val="en-GB"/>
        </w:rPr>
      </w:pPr>
      <w:r w:rsidRPr="006A6D19">
        <w:rPr>
          <w:rStyle w:val="halvfet"/>
          <w:lang w:val="en-GB"/>
        </w:rPr>
        <w:t>Norway has succeeded</w:t>
      </w:r>
      <w:r w:rsidRPr="006A6D19">
        <w:rPr>
          <w:lang w:val="en-GB"/>
        </w:rPr>
        <w:t xml:space="preserve"> in building a strong, egalitarian democracy with a diverse civil society and has recently introduced national action plans against racism and discrimination, incorporated CRPD into law, strengthened anti</w:t>
      </w:r>
      <w:r w:rsidRPr="006A6D19">
        <w:rPr>
          <w:lang w:val="en-GB"/>
        </w:rPr>
        <w:noBreakHyphen/>
        <w:t>corruption efforts, supported watchdogs and journalists, invested in tax</w:t>
      </w:r>
      <w:r w:rsidRPr="006A6D19">
        <w:rPr>
          <w:lang w:val="en-GB"/>
        </w:rPr>
        <w:noBreakHyphen/>
        <w:t>capacity building, and increased corporate transparency through a new beneficial ownership registry. Internationally, Norway is active in combating corruption, money laundering, and tax evasion.</w:t>
      </w:r>
    </w:p>
    <w:p w14:paraId="05880EA2" w14:textId="77777777" w:rsidR="008A5841" w:rsidRPr="006A6D19" w:rsidRDefault="008A5841" w:rsidP="00B765C1">
      <w:pPr>
        <w:rPr>
          <w:lang w:val="en-GB"/>
        </w:rPr>
      </w:pPr>
      <w:r w:rsidRPr="006A6D19">
        <w:rPr>
          <w:rStyle w:val="halvfet"/>
          <w:lang w:val="en-GB"/>
        </w:rPr>
        <w:t>Norway’s challenges</w:t>
      </w:r>
      <w:r w:rsidRPr="006A6D19">
        <w:rPr>
          <w:lang w:val="en-GB"/>
        </w:rPr>
        <w:t xml:space="preserve"> are many and reporting lacks clear assessments of how growing militarisation, arms exports, and investments in arms production – including through the Oil Fund – as well as participation in wars and military exercises, undermine SDG implementation. This trajectory of accelerated militarisation poses a serious threat to humanity’s future by diverting critical resources from sustainable development and peace-building initiatives. Norway lacks clear safeguards to prevent contributing to the development or spr</w:t>
      </w:r>
      <w:r w:rsidRPr="006A6D19">
        <w:rPr>
          <w:lang w:val="en-GB"/>
        </w:rPr>
        <w:t>ead of AI</w:t>
      </w:r>
      <w:r w:rsidRPr="006A6D19">
        <w:rPr>
          <w:lang w:val="en-GB"/>
        </w:rPr>
        <w:noBreakHyphen/>
        <w:t>driven weapon systems, to ensure that Norwegian</w:t>
      </w:r>
      <w:r w:rsidRPr="006A6D19">
        <w:rPr>
          <w:lang w:val="en-GB"/>
        </w:rPr>
        <w:noBreakHyphen/>
        <w:t>produced weapon components are not misused by end</w:t>
      </w:r>
      <w:r w:rsidRPr="006A6D19">
        <w:rPr>
          <w:lang w:val="en-GB"/>
        </w:rPr>
        <w:noBreakHyphen/>
        <w:t>users, and to avoid granting AI systems any form of legal personhood. People with higher incomes receive significantly lighter sentences than low</w:t>
      </w:r>
      <w:r w:rsidRPr="006A6D19">
        <w:rPr>
          <w:lang w:val="en-GB"/>
        </w:rPr>
        <w:noBreakHyphen/>
        <w:t>income offenders for otherwise comparable crimes. People with disabilities have limited access to legal aid, face long waits at the discrimination board, and receive decisions that set no precedent – leaving many without their rights effectively upheld. Norw</w:t>
      </w:r>
      <w:r w:rsidRPr="006A6D19">
        <w:rPr>
          <w:lang w:val="en-GB"/>
        </w:rPr>
        <w:t>ay has no comprehensive anti-corruption strategy and data is lacking on the volume of illicit financial flows. Capacity within oversight institutions is lacking, as is the political will to delegate resources to control- and enforcement, allowing for low detection rates. Transparency around ownership of real estate is defective. Recent allegations of corruption involving Norwegian diplomats and politicians have seriously damaged Norway’s reputation as a peace</w:t>
      </w:r>
      <w:r w:rsidRPr="006A6D19">
        <w:rPr>
          <w:lang w:val="en-GB"/>
        </w:rPr>
        <w:noBreakHyphen/>
        <w:t>building nation. Norwegian-born children of immi</w:t>
      </w:r>
      <w:r w:rsidRPr="006A6D19">
        <w:rPr>
          <w:lang w:val="en-GB"/>
        </w:rPr>
        <w:t>grants report more discrimination and lower acceptance, while voter turnout among first</w:t>
      </w:r>
      <w:r w:rsidRPr="006A6D19">
        <w:rPr>
          <w:lang w:val="en-GB"/>
        </w:rPr>
        <w:noBreakHyphen/>
        <w:t xml:space="preserve"> and second</w:t>
      </w:r>
      <w:r w:rsidRPr="006A6D19">
        <w:rPr>
          <w:lang w:val="en-GB"/>
        </w:rPr>
        <w:noBreakHyphen/>
        <w:t>generation immigrants remains significantly lower. A small group of long</w:t>
      </w:r>
      <w:r w:rsidRPr="006A6D19">
        <w:rPr>
          <w:lang w:val="en-GB"/>
        </w:rPr>
        <w:noBreakHyphen/>
        <w:t>term, “non</w:t>
      </w:r>
      <w:r w:rsidRPr="006A6D19">
        <w:rPr>
          <w:lang w:val="en-GB"/>
        </w:rPr>
        <w:noBreakHyphen/>
        <w:t>returnable” asylum seekers are denied identity documents and thus legal work. Norway’s practice of revoking citizenship many years after they were granted undermines legal security and disproportionately harms children. Limited transparency and restricted access to investigation reports that directly affect people’s rights and</w:t>
      </w:r>
      <w:r w:rsidRPr="006A6D19">
        <w:rPr>
          <w:lang w:val="en-GB"/>
        </w:rPr>
        <w:t xml:space="preserve"> livelihoods, such as the NAV social</w:t>
      </w:r>
      <w:r w:rsidRPr="006A6D19">
        <w:rPr>
          <w:lang w:val="en-GB"/>
        </w:rPr>
        <w:noBreakHyphen/>
        <w:t>security report, undermine public trust, hinder accountability, and make it difficult for those affected to understand or challenge decisions that impact their lives.</w:t>
      </w:r>
    </w:p>
    <w:p w14:paraId="4FA6096F" w14:textId="77777777" w:rsidR="008A5841" w:rsidRPr="006A6D19" w:rsidRDefault="008A5841" w:rsidP="006B301F">
      <w:pPr>
        <w:pStyle w:val="avsnitt-undertittel"/>
        <w:rPr>
          <w:lang w:val="en-GB"/>
        </w:rPr>
      </w:pPr>
      <w:r w:rsidRPr="006A6D19">
        <w:rPr>
          <w:lang w:val="en-GB"/>
        </w:rPr>
        <w:lastRenderedPageBreak/>
        <w:t>Norway must:</w:t>
      </w:r>
    </w:p>
    <w:p w14:paraId="2FC4C416" w14:textId="77777777" w:rsidR="008A5841" w:rsidRPr="006A6D19" w:rsidRDefault="008A5841" w:rsidP="00B765C1">
      <w:pPr>
        <w:pStyle w:val="Listebombe"/>
        <w:rPr>
          <w:lang w:val="en-GB"/>
        </w:rPr>
      </w:pPr>
      <w:r w:rsidRPr="006A6D19">
        <w:rPr>
          <w:lang w:val="en-GB"/>
        </w:rPr>
        <w:t>Withdraw the Government Pension Fund Global from companies violating international law.</w:t>
      </w:r>
    </w:p>
    <w:p w14:paraId="2AA354E3" w14:textId="77777777" w:rsidR="008A5841" w:rsidRPr="006A6D19" w:rsidRDefault="008A5841" w:rsidP="00B765C1">
      <w:pPr>
        <w:pStyle w:val="Listebombe"/>
        <w:rPr>
          <w:lang w:val="en-GB"/>
        </w:rPr>
      </w:pPr>
      <w:r w:rsidRPr="006A6D19">
        <w:rPr>
          <w:lang w:val="en-GB"/>
        </w:rPr>
        <w:t xml:space="preserve">Establish a Ministry of Peace with a national strategy for </w:t>
      </w:r>
      <w:proofErr w:type="gramStart"/>
      <w:r w:rsidRPr="006A6D19">
        <w:rPr>
          <w:lang w:val="en-GB"/>
        </w:rPr>
        <w:t>peace-building</w:t>
      </w:r>
      <w:proofErr w:type="gramEnd"/>
      <w:r w:rsidRPr="006A6D19">
        <w:rPr>
          <w:lang w:val="en-GB"/>
        </w:rPr>
        <w:t xml:space="preserve"> and education.</w:t>
      </w:r>
    </w:p>
    <w:p w14:paraId="56FC5A96" w14:textId="77777777" w:rsidR="008A5841" w:rsidRPr="006A6D19" w:rsidRDefault="008A5841" w:rsidP="00B765C1">
      <w:pPr>
        <w:pStyle w:val="Listebombe"/>
        <w:rPr>
          <w:lang w:val="en-GB"/>
        </w:rPr>
      </w:pPr>
      <w:r w:rsidRPr="006A6D19">
        <w:rPr>
          <w:lang w:val="en-GB"/>
        </w:rPr>
        <w:t xml:space="preserve">Ensure that Norway does not contribute to the development of AI-weapon </w:t>
      </w:r>
      <w:proofErr w:type="gramStart"/>
      <w:r w:rsidRPr="006A6D19">
        <w:rPr>
          <w:lang w:val="en-GB"/>
        </w:rPr>
        <w:t>systems, and</w:t>
      </w:r>
      <w:proofErr w:type="gramEnd"/>
      <w:r w:rsidRPr="006A6D19">
        <w:rPr>
          <w:lang w:val="en-GB"/>
        </w:rPr>
        <w:t xml:space="preserve"> works to reduce the implementation of such weapons through international agreements.</w:t>
      </w:r>
    </w:p>
    <w:p w14:paraId="2A2C0954" w14:textId="77777777" w:rsidR="008A5841" w:rsidRPr="006A6D19" w:rsidRDefault="008A5841" w:rsidP="00B765C1">
      <w:pPr>
        <w:pStyle w:val="Listebombe"/>
        <w:rPr>
          <w:lang w:val="en-GB"/>
        </w:rPr>
      </w:pPr>
      <w:r w:rsidRPr="006A6D19">
        <w:rPr>
          <w:lang w:val="en-GB"/>
        </w:rPr>
        <w:t>Implement End-user Certificate (EUC) for Norwegian produced weapon components.</w:t>
      </w:r>
    </w:p>
    <w:p w14:paraId="766EB760" w14:textId="77777777" w:rsidR="008A5841" w:rsidRPr="006A6D19" w:rsidRDefault="008A5841" w:rsidP="00B765C1">
      <w:pPr>
        <w:pStyle w:val="Listebombe"/>
        <w:rPr>
          <w:lang w:val="en-GB"/>
        </w:rPr>
      </w:pPr>
      <w:r w:rsidRPr="006A6D19">
        <w:rPr>
          <w:lang w:val="en-GB"/>
        </w:rPr>
        <w:t>Prohibit legal personhood for AI.</w:t>
      </w:r>
    </w:p>
    <w:p w14:paraId="107DD23E" w14:textId="77777777" w:rsidR="008A5841" w:rsidRPr="006A6D19" w:rsidRDefault="008A5841" w:rsidP="00B765C1">
      <w:pPr>
        <w:pStyle w:val="Listebombe"/>
        <w:rPr>
          <w:lang w:val="en-GB"/>
        </w:rPr>
      </w:pPr>
      <w:r w:rsidRPr="006A6D19">
        <w:rPr>
          <w:lang w:val="en-GB"/>
        </w:rPr>
        <w:t>Initiate an independent review of sentencing practices in the courts.</w:t>
      </w:r>
    </w:p>
    <w:p w14:paraId="45F74B72" w14:textId="77777777" w:rsidR="008A5841" w:rsidRPr="006A6D19" w:rsidRDefault="008A5841" w:rsidP="00B765C1">
      <w:pPr>
        <w:pStyle w:val="Listebombe"/>
        <w:rPr>
          <w:lang w:val="en-GB"/>
        </w:rPr>
      </w:pPr>
      <w:r w:rsidRPr="006A6D19">
        <w:rPr>
          <w:lang w:val="en-GB"/>
        </w:rPr>
        <w:t>Increase staffing in the Anti</w:t>
      </w:r>
      <w:r w:rsidRPr="006A6D19">
        <w:rPr>
          <w:lang w:val="en-GB"/>
        </w:rPr>
        <w:noBreakHyphen/>
        <w:t>Discrimination Tribunal to reduce case</w:t>
      </w:r>
      <w:r w:rsidRPr="006A6D19">
        <w:rPr>
          <w:lang w:val="en-GB"/>
        </w:rPr>
        <w:noBreakHyphen/>
        <w:t>processing times.</w:t>
      </w:r>
    </w:p>
    <w:p w14:paraId="3B1633B9" w14:textId="77777777" w:rsidR="008A5841" w:rsidRPr="006A6D19" w:rsidRDefault="008A5841" w:rsidP="00B765C1">
      <w:pPr>
        <w:pStyle w:val="Listebombe"/>
        <w:rPr>
          <w:lang w:val="en-GB"/>
        </w:rPr>
      </w:pPr>
      <w:r w:rsidRPr="006A6D19">
        <w:rPr>
          <w:lang w:val="en-GB"/>
        </w:rPr>
        <w:t>Promote justice and equality before the law internationally.</w:t>
      </w:r>
    </w:p>
    <w:p w14:paraId="5DCB1BD8" w14:textId="77777777" w:rsidR="008A5841" w:rsidRPr="006A6D19" w:rsidRDefault="008A5841" w:rsidP="00B765C1">
      <w:pPr>
        <w:pStyle w:val="Listebombe"/>
        <w:rPr>
          <w:lang w:val="en-GB"/>
        </w:rPr>
      </w:pPr>
      <w:r w:rsidRPr="006A6D19">
        <w:rPr>
          <w:lang w:val="en-GB"/>
        </w:rPr>
        <w:t>Take a leading role in the negotiations of the UN framework convention on tax cooperation, to ensure a globally inclusive and comprehensive cooperation against tax abuse and financial secrecy.</w:t>
      </w:r>
    </w:p>
    <w:p w14:paraId="53F80CED" w14:textId="77777777" w:rsidR="008A5841" w:rsidRPr="006A6D19" w:rsidRDefault="008A5841" w:rsidP="00B765C1">
      <w:pPr>
        <w:pStyle w:val="Listebombe"/>
        <w:rPr>
          <w:lang w:val="en-GB"/>
        </w:rPr>
      </w:pPr>
      <w:r w:rsidRPr="006A6D19">
        <w:rPr>
          <w:lang w:val="en-GB"/>
        </w:rPr>
        <w:t>Increase the interoperability of public registers with information on ownership, including beneficial ownership.</w:t>
      </w:r>
    </w:p>
    <w:p w14:paraId="6E14C9AB" w14:textId="77777777" w:rsidR="008A5841" w:rsidRPr="006A6D19" w:rsidRDefault="008A5841" w:rsidP="00B765C1">
      <w:pPr>
        <w:pStyle w:val="Listebombe"/>
        <w:rPr>
          <w:lang w:val="en-GB"/>
        </w:rPr>
      </w:pPr>
      <w:r w:rsidRPr="006A6D19">
        <w:rPr>
          <w:lang w:val="en-GB"/>
        </w:rPr>
        <w:t xml:space="preserve">Ensure more consistent enforcement of discrimination legislation, so that more cases are </w:t>
      </w:r>
      <w:proofErr w:type="gramStart"/>
      <w:r w:rsidRPr="006A6D19">
        <w:rPr>
          <w:lang w:val="en-GB"/>
        </w:rPr>
        <w:t>actually followed</w:t>
      </w:r>
      <w:proofErr w:type="gramEnd"/>
      <w:r w:rsidRPr="006A6D19">
        <w:rPr>
          <w:lang w:val="en-GB"/>
        </w:rPr>
        <w:t xml:space="preserve"> up and sanctioned.</w:t>
      </w:r>
    </w:p>
    <w:p w14:paraId="2E89A2B4" w14:textId="77777777" w:rsidR="008A5841" w:rsidRPr="006A6D19" w:rsidRDefault="008A5841" w:rsidP="00B765C1">
      <w:pPr>
        <w:pStyle w:val="Listebombe"/>
        <w:rPr>
          <w:lang w:val="en-GB"/>
        </w:rPr>
      </w:pPr>
      <w:r w:rsidRPr="006A6D19">
        <w:rPr>
          <w:lang w:val="en-GB"/>
        </w:rPr>
        <w:t>Establish a coherent system for identifying stateless and non</w:t>
      </w:r>
      <w:r w:rsidRPr="006A6D19">
        <w:rPr>
          <w:lang w:val="en-GB"/>
        </w:rPr>
        <w:noBreakHyphen/>
        <w:t>returnable individuals, in line with UNHCR recommendations, including incorporating a legal definition of statelessness into national legislation.</w:t>
      </w:r>
    </w:p>
    <w:p w14:paraId="71339759" w14:textId="77777777" w:rsidR="008A5841" w:rsidRPr="006A6D19" w:rsidRDefault="008A5841" w:rsidP="00B765C1">
      <w:pPr>
        <w:pStyle w:val="Listebombe"/>
        <w:rPr>
          <w:lang w:val="en-GB"/>
        </w:rPr>
      </w:pPr>
      <w:r w:rsidRPr="006A6D19">
        <w:rPr>
          <w:lang w:val="en-GB"/>
        </w:rPr>
        <w:t>Introduce stricter safeguards in revocation cases, including a mandatory proportionality assessment, clear limits on how long after arrival a case can be reopened, and stronger legal protection for children.</w:t>
      </w:r>
    </w:p>
    <w:p w14:paraId="634227DE" w14:textId="77777777" w:rsidR="008A5841" w:rsidRPr="006A6D19" w:rsidRDefault="008A5841" w:rsidP="00B765C1">
      <w:pPr>
        <w:pStyle w:val="Listebombe"/>
        <w:rPr>
          <w:lang w:val="en-GB"/>
        </w:rPr>
      </w:pPr>
      <w:r w:rsidRPr="006A6D19">
        <w:rPr>
          <w:lang w:val="en-GB"/>
        </w:rPr>
        <w:t>Secure stable funding for all libraries, enabling them to provide and offer free public access to information.</w:t>
      </w:r>
    </w:p>
    <w:p w14:paraId="7C005745" w14:textId="77777777" w:rsidR="008A5841" w:rsidRPr="006A6D19" w:rsidRDefault="008A5841" w:rsidP="00B765C1">
      <w:pPr>
        <w:rPr>
          <w:lang w:val="en-GB"/>
        </w:rPr>
      </w:pPr>
    </w:p>
    <w:p w14:paraId="3420FA49" w14:textId="77777777" w:rsidR="008A5841" w:rsidRPr="006A6D19" w:rsidRDefault="008A5841" w:rsidP="001609FA">
      <w:pPr>
        <w:pStyle w:val="UnOverskrift3"/>
        <w:rPr>
          <w:lang w:val="en-GB"/>
        </w:rPr>
      </w:pPr>
      <w:r w:rsidRPr="006A6D19">
        <w:rPr>
          <w:lang w:val="en-GB"/>
        </w:rPr>
        <w:t>17 Partnership for the Goals</w:t>
      </w:r>
    </w:p>
    <w:p w14:paraId="702EA50C" w14:textId="647C12FC" w:rsidR="008A5841" w:rsidRPr="006A6D19" w:rsidRDefault="00BB2AF4" w:rsidP="001609FA">
      <w:pPr>
        <w:rPr>
          <w:lang w:val="en-GB"/>
        </w:rPr>
      </w:pPr>
      <w:r w:rsidRPr="006A6D19">
        <w:rPr>
          <w:noProof/>
          <w:lang w:val="en-GB"/>
        </w:rPr>
        <w:drawing>
          <wp:inline distT="0" distB="0" distL="0" distR="0" wp14:anchorId="140F675A" wp14:editId="16C6A4D9">
            <wp:extent cx="2857500" cy="2857500"/>
            <wp:effectExtent l="0" t="0" r="0" b="0"/>
            <wp:docPr id="297386442" name="Bilde 59" descr="Goal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386442" name="Bilde 59" descr="Goal 1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487EB817" w14:textId="77777777" w:rsidR="008A5841" w:rsidRPr="006A6D19" w:rsidRDefault="008A5841" w:rsidP="006B301F">
      <w:pPr>
        <w:pStyle w:val="Undertittel"/>
        <w:rPr>
          <w:lang w:val="en-GB"/>
        </w:rPr>
      </w:pPr>
      <w:r w:rsidRPr="006A6D19">
        <w:rPr>
          <w:lang w:val="en-GB"/>
        </w:rPr>
        <w:lastRenderedPageBreak/>
        <w:t>Government Assessment</w:t>
      </w:r>
    </w:p>
    <w:tbl>
      <w:tblPr>
        <w:tblW w:w="5000" w:type="pct"/>
        <w:tblCellMar>
          <w:left w:w="0" w:type="dxa"/>
          <w:right w:w="0" w:type="dxa"/>
        </w:tblCellMar>
        <w:tblLook w:val="0000" w:firstRow="0" w:lastRow="0" w:firstColumn="0" w:lastColumn="0" w:noHBand="0" w:noVBand="0"/>
      </w:tblPr>
      <w:tblGrid>
        <w:gridCol w:w="1468"/>
        <w:gridCol w:w="7185"/>
        <w:gridCol w:w="1797"/>
      </w:tblGrid>
      <w:tr w:rsidR="00000000" w:rsidRPr="006A6D19" w14:paraId="6ACD37BA" w14:textId="77777777" w:rsidTr="001609FA">
        <w:tblPrEx>
          <w:tblCellMar>
            <w:top w:w="0" w:type="dxa"/>
            <w:left w:w="0" w:type="dxa"/>
            <w:bottom w:w="0" w:type="dxa"/>
            <w:right w:w="0" w:type="dxa"/>
          </w:tblCellMar>
        </w:tblPrEx>
        <w:trPr>
          <w:trHeight w:val="60"/>
        </w:trPr>
        <w:tc>
          <w:tcPr>
            <w:tcW w:w="70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0693893" w14:textId="77777777" w:rsidR="008A5841" w:rsidRPr="006A6D19" w:rsidRDefault="008A5841" w:rsidP="00B765C1">
            <w:pPr>
              <w:rPr>
                <w:lang w:val="en-GB"/>
              </w:rPr>
            </w:pPr>
            <w:r w:rsidRPr="006A6D19">
              <w:rPr>
                <w:lang w:val="en-GB"/>
              </w:rPr>
              <w:t xml:space="preserve">17.1 </w:t>
            </w:r>
          </w:p>
        </w:tc>
        <w:tc>
          <w:tcPr>
            <w:tcW w:w="343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FAC40A9" w14:textId="77777777" w:rsidR="008A5841" w:rsidRPr="006A6D19" w:rsidRDefault="008A5841" w:rsidP="00B765C1">
            <w:pPr>
              <w:rPr>
                <w:lang w:val="en-GB"/>
              </w:rPr>
            </w:pPr>
            <w:r w:rsidRPr="006A6D19">
              <w:rPr>
                <w:lang w:val="en-GB"/>
              </w:rPr>
              <w:t xml:space="preserve">Norway has surpassed the Addis Tax Initiative objective of doubling ODA to support mobilisation of domestic resources in low-income countries. </w:t>
            </w:r>
          </w:p>
        </w:tc>
        <w:tc>
          <w:tcPr>
            <w:tcW w:w="86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E396465" w14:textId="2F468DDB" w:rsidR="008A5841" w:rsidRPr="006A6D19" w:rsidRDefault="00541482" w:rsidP="00B765C1">
            <w:pPr>
              <w:rPr>
                <w:lang w:val="en-GB"/>
              </w:rPr>
            </w:pPr>
            <w:r>
              <w:rPr>
                <w:noProof/>
              </w:rPr>
              <w:drawing>
                <wp:inline distT="0" distB="0" distL="0" distR="0" wp14:anchorId="40BCE346" wp14:editId="2967D0AB">
                  <wp:extent cx="990600" cy="447675"/>
                  <wp:effectExtent l="0" t="0" r="0" b="9525"/>
                  <wp:docPr id="1819447918" name="Bilde 6" descr="Target met. Progres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2134" name="Bilde 6" descr="Target met. Progress positiv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5EA9B8A1" w14:textId="77777777" w:rsidTr="001609FA">
        <w:tblPrEx>
          <w:tblCellMar>
            <w:top w:w="0" w:type="dxa"/>
            <w:left w:w="0" w:type="dxa"/>
            <w:bottom w:w="0" w:type="dxa"/>
            <w:right w:w="0" w:type="dxa"/>
          </w:tblCellMar>
        </w:tblPrEx>
        <w:trPr>
          <w:trHeight w:val="60"/>
        </w:trPr>
        <w:tc>
          <w:tcPr>
            <w:tcW w:w="70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DDFCDE2" w14:textId="0D8833CC" w:rsidR="008A5841" w:rsidRPr="006A6D19" w:rsidRDefault="008A5841" w:rsidP="00B765C1">
            <w:pPr>
              <w:rPr>
                <w:lang w:val="en-GB"/>
              </w:rPr>
            </w:pPr>
            <w:r w:rsidRPr="006A6D19">
              <w:rPr>
                <w:lang w:val="en-GB"/>
              </w:rPr>
              <w:t>17.2</w:t>
            </w:r>
            <w:r w:rsidR="001609FA" w:rsidRPr="006A6D19">
              <w:rPr>
                <w:lang w:val="en-GB"/>
              </w:rPr>
              <w:t xml:space="preserve"> </w:t>
            </w:r>
          </w:p>
        </w:tc>
        <w:tc>
          <w:tcPr>
            <w:tcW w:w="343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6DEA45EB" w14:textId="77777777" w:rsidR="008A5841" w:rsidRPr="006A6D19" w:rsidRDefault="008A5841" w:rsidP="00B765C1">
            <w:pPr>
              <w:rPr>
                <w:lang w:val="en-GB"/>
              </w:rPr>
            </w:pPr>
            <w:r w:rsidRPr="006A6D19">
              <w:rPr>
                <w:lang w:val="en-GB"/>
              </w:rPr>
              <w:t>The Norwegian Government provides, and remains committed to providing, 1% of GNI as ODA, and to meeting the UN target of allocating at least 0.15–0.20% of GNI as ODA to the least developed countries.</w:t>
            </w:r>
          </w:p>
        </w:tc>
        <w:tc>
          <w:tcPr>
            <w:tcW w:w="86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F893B03" w14:textId="53A0A8FA" w:rsidR="008A5841" w:rsidRPr="006A6D19" w:rsidRDefault="00541482" w:rsidP="00B765C1">
            <w:pPr>
              <w:rPr>
                <w:lang w:val="en-GB"/>
              </w:rPr>
            </w:pPr>
            <w:r>
              <w:rPr>
                <w:noProof/>
              </w:rPr>
              <w:drawing>
                <wp:inline distT="0" distB="0" distL="0" distR="0" wp14:anchorId="557F7129" wp14:editId="152512C8">
                  <wp:extent cx="990600" cy="447675"/>
                  <wp:effectExtent l="0" t="0" r="0" b="9525"/>
                  <wp:docPr id="615787552" name="Bilde 4" descr="Target m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11348" name="Bilde 4" descr="Target met. Progress stagn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549E79C4" w14:textId="77777777" w:rsidTr="001609FA">
        <w:tblPrEx>
          <w:tblCellMar>
            <w:top w:w="0" w:type="dxa"/>
            <w:left w:w="0" w:type="dxa"/>
            <w:bottom w:w="0" w:type="dxa"/>
            <w:right w:w="0" w:type="dxa"/>
          </w:tblCellMar>
        </w:tblPrEx>
        <w:trPr>
          <w:trHeight w:val="60"/>
        </w:trPr>
        <w:tc>
          <w:tcPr>
            <w:tcW w:w="70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01CF0D3" w14:textId="77777777" w:rsidR="008A5841" w:rsidRPr="006A6D19" w:rsidRDefault="008A5841" w:rsidP="00B765C1">
            <w:pPr>
              <w:rPr>
                <w:lang w:val="en-GB"/>
              </w:rPr>
            </w:pPr>
            <w:r w:rsidRPr="006A6D19">
              <w:rPr>
                <w:lang w:val="en-GB"/>
              </w:rPr>
              <w:t xml:space="preserve">17.3 </w:t>
            </w:r>
          </w:p>
        </w:tc>
        <w:tc>
          <w:tcPr>
            <w:tcW w:w="343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614F9D8D" w14:textId="77777777" w:rsidR="008A5841" w:rsidRPr="006A6D19" w:rsidRDefault="008A5841" w:rsidP="00B765C1">
            <w:pPr>
              <w:rPr>
                <w:lang w:val="en-GB"/>
              </w:rPr>
            </w:pPr>
            <w:r w:rsidRPr="006A6D19">
              <w:rPr>
                <w:lang w:val="en-GB"/>
              </w:rPr>
              <w:t xml:space="preserve">Norway mobilises significant amounts of private capital for sustainable development through </w:t>
            </w:r>
            <w:proofErr w:type="spellStart"/>
            <w:r w:rsidRPr="006A6D19">
              <w:rPr>
                <w:lang w:val="en-GB"/>
              </w:rPr>
              <w:t>Norfund</w:t>
            </w:r>
            <w:proofErr w:type="spellEnd"/>
            <w:r w:rsidRPr="006A6D19">
              <w:rPr>
                <w:lang w:val="en-GB"/>
              </w:rPr>
              <w:t>, Norad’s guarantee mechanism and Norway’s Climate Investment Fund.</w:t>
            </w:r>
          </w:p>
        </w:tc>
        <w:tc>
          <w:tcPr>
            <w:tcW w:w="86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65C0E54" w14:textId="58178E50" w:rsidR="008A5841" w:rsidRPr="006A6D19" w:rsidRDefault="00541482" w:rsidP="00B765C1">
            <w:pPr>
              <w:rPr>
                <w:lang w:val="en-GB"/>
              </w:rPr>
            </w:pPr>
            <w:r>
              <w:rPr>
                <w:noProof/>
              </w:rPr>
              <w:drawing>
                <wp:inline distT="0" distB="0" distL="0" distR="0" wp14:anchorId="1ABB755F" wp14:editId="24928871">
                  <wp:extent cx="990600" cy="447675"/>
                  <wp:effectExtent l="0" t="0" r="0" b="9525"/>
                  <wp:docPr id="1119287308" name="Bilde 6" descr="Target met. Progres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2134" name="Bilde 6" descr="Target met. Progress positiv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25214600" w14:textId="77777777" w:rsidTr="001609FA">
        <w:tblPrEx>
          <w:tblCellMar>
            <w:top w:w="0" w:type="dxa"/>
            <w:left w:w="0" w:type="dxa"/>
            <w:bottom w:w="0" w:type="dxa"/>
            <w:right w:w="0" w:type="dxa"/>
          </w:tblCellMar>
        </w:tblPrEx>
        <w:trPr>
          <w:trHeight w:val="60"/>
        </w:trPr>
        <w:tc>
          <w:tcPr>
            <w:tcW w:w="70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EB23875" w14:textId="77777777" w:rsidR="008A5841" w:rsidRPr="006A6D19" w:rsidRDefault="008A5841" w:rsidP="00B765C1">
            <w:pPr>
              <w:rPr>
                <w:lang w:val="en-GB"/>
              </w:rPr>
            </w:pPr>
            <w:r w:rsidRPr="006A6D19">
              <w:rPr>
                <w:lang w:val="en-GB"/>
              </w:rPr>
              <w:t xml:space="preserve">17.4 </w:t>
            </w:r>
          </w:p>
        </w:tc>
        <w:tc>
          <w:tcPr>
            <w:tcW w:w="343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762CBBB0" w14:textId="77777777" w:rsidR="008A5841" w:rsidRPr="006A6D19" w:rsidRDefault="008A5841" w:rsidP="00B765C1">
            <w:pPr>
              <w:rPr>
                <w:lang w:val="en-GB"/>
              </w:rPr>
            </w:pPr>
            <w:r w:rsidRPr="006A6D19">
              <w:rPr>
                <w:lang w:val="en-GB"/>
              </w:rPr>
              <w:t>Norway contributes to ongoing processes and frameworks aimed at easing the debt burden of countries in debt crises and supports the implementation of the framework for restructuring sovereign debt (the G20 Common Framework).</w:t>
            </w:r>
          </w:p>
        </w:tc>
        <w:tc>
          <w:tcPr>
            <w:tcW w:w="86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D295150" w14:textId="4653ACEC" w:rsidR="008A5841" w:rsidRPr="006A6D19" w:rsidRDefault="00541482" w:rsidP="00B765C1">
            <w:pPr>
              <w:rPr>
                <w:lang w:val="en-GB"/>
              </w:rPr>
            </w:pPr>
            <w:r>
              <w:rPr>
                <w:noProof/>
              </w:rPr>
              <w:drawing>
                <wp:inline distT="0" distB="0" distL="0" distR="0" wp14:anchorId="131DBC1E" wp14:editId="76C69154">
                  <wp:extent cx="990600" cy="447675"/>
                  <wp:effectExtent l="0" t="0" r="0" b="9525"/>
                  <wp:docPr id="230466371" name="Bilde 6" descr="Target met. Progres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2134" name="Bilde 6" descr="Target met. Progress positiv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24C63D9F" w14:textId="77777777" w:rsidTr="001609FA">
        <w:tblPrEx>
          <w:tblCellMar>
            <w:top w:w="0" w:type="dxa"/>
            <w:left w:w="0" w:type="dxa"/>
            <w:bottom w:w="0" w:type="dxa"/>
            <w:right w:w="0" w:type="dxa"/>
          </w:tblCellMar>
        </w:tblPrEx>
        <w:trPr>
          <w:trHeight w:val="60"/>
        </w:trPr>
        <w:tc>
          <w:tcPr>
            <w:tcW w:w="70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088742F9" w14:textId="77777777" w:rsidR="008A5841" w:rsidRPr="006A6D19" w:rsidRDefault="008A5841" w:rsidP="00B765C1">
            <w:pPr>
              <w:rPr>
                <w:lang w:val="en-GB"/>
              </w:rPr>
            </w:pPr>
            <w:r w:rsidRPr="006A6D19">
              <w:rPr>
                <w:lang w:val="en-GB"/>
              </w:rPr>
              <w:t xml:space="preserve">17.5 </w:t>
            </w:r>
          </w:p>
        </w:tc>
        <w:tc>
          <w:tcPr>
            <w:tcW w:w="343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820FD2F" w14:textId="77777777" w:rsidR="008A5841" w:rsidRPr="006A6D19" w:rsidRDefault="008A5841" w:rsidP="00B765C1">
            <w:pPr>
              <w:rPr>
                <w:lang w:val="en-GB"/>
              </w:rPr>
            </w:pPr>
            <w:proofErr w:type="spellStart"/>
            <w:r w:rsidRPr="006A6D19">
              <w:rPr>
                <w:lang w:val="en-GB"/>
              </w:rPr>
              <w:t>Norfund</w:t>
            </w:r>
            <w:proofErr w:type="spellEnd"/>
            <w:r w:rsidRPr="006A6D19">
              <w:rPr>
                <w:lang w:val="en-GB"/>
              </w:rPr>
              <w:t xml:space="preserve"> is Norway’s most important instrument for investing in businesses that contribute to job creation and poverty reduction in developing countries. Norway has also adopted a </w:t>
            </w:r>
            <w:proofErr w:type="gramStart"/>
            <w:r w:rsidRPr="006A6D19">
              <w:rPr>
                <w:lang w:val="en-GB"/>
              </w:rPr>
              <w:t>guarantee</w:t>
            </w:r>
            <w:proofErr w:type="gramEnd"/>
            <w:r w:rsidRPr="006A6D19">
              <w:rPr>
                <w:lang w:val="en-GB"/>
              </w:rPr>
              <w:t xml:space="preserve"> scheme for renewable energy in developing countries.</w:t>
            </w:r>
          </w:p>
        </w:tc>
        <w:tc>
          <w:tcPr>
            <w:tcW w:w="86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349DCCCA" w14:textId="19A855D2" w:rsidR="008A5841" w:rsidRPr="006A6D19" w:rsidRDefault="00541482" w:rsidP="00B765C1">
            <w:pPr>
              <w:rPr>
                <w:lang w:val="en-GB"/>
              </w:rPr>
            </w:pPr>
            <w:r>
              <w:rPr>
                <w:noProof/>
              </w:rPr>
              <w:drawing>
                <wp:inline distT="0" distB="0" distL="0" distR="0" wp14:anchorId="69F12710" wp14:editId="63747F7B">
                  <wp:extent cx="990600" cy="447675"/>
                  <wp:effectExtent l="0" t="0" r="0" b="9525"/>
                  <wp:docPr id="822631001" name="Bilde 6" descr="Target met. Progres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2134" name="Bilde 6" descr="Target met. Progress positiv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42E501C8" w14:textId="77777777" w:rsidTr="001609FA">
        <w:tblPrEx>
          <w:tblCellMar>
            <w:top w:w="0" w:type="dxa"/>
            <w:left w:w="0" w:type="dxa"/>
            <w:bottom w:w="0" w:type="dxa"/>
            <w:right w:w="0" w:type="dxa"/>
          </w:tblCellMar>
        </w:tblPrEx>
        <w:trPr>
          <w:trHeight w:val="60"/>
        </w:trPr>
        <w:tc>
          <w:tcPr>
            <w:tcW w:w="70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6436C73D" w14:textId="77777777" w:rsidR="008A5841" w:rsidRPr="006A6D19" w:rsidRDefault="008A5841" w:rsidP="00B765C1">
            <w:pPr>
              <w:rPr>
                <w:lang w:val="en-GB"/>
              </w:rPr>
            </w:pPr>
            <w:r w:rsidRPr="006A6D19">
              <w:rPr>
                <w:lang w:val="en-GB"/>
              </w:rPr>
              <w:t xml:space="preserve">17.6–17.8 </w:t>
            </w:r>
          </w:p>
        </w:tc>
        <w:tc>
          <w:tcPr>
            <w:tcW w:w="343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4865E22" w14:textId="77777777" w:rsidR="008A5841" w:rsidRPr="006A6D19" w:rsidRDefault="008A5841" w:rsidP="00B765C1">
            <w:pPr>
              <w:rPr>
                <w:lang w:val="en-GB"/>
              </w:rPr>
            </w:pPr>
            <w:r w:rsidRPr="006A6D19">
              <w:rPr>
                <w:lang w:val="en-GB"/>
              </w:rPr>
              <w:t>Norway supports the Technology Mechanism under the Paris Agreement and the UNFCCC, is a co-leader of the Digital Public Goods Alliance, and supports several digital public goods accessible for education, health, and business.</w:t>
            </w:r>
          </w:p>
          <w:p w14:paraId="51D5F234" w14:textId="77777777" w:rsidR="008A5841" w:rsidRPr="006A6D19" w:rsidRDefault="008A5841" w:rsidP="00B765C1">
            <w:pPr>
              <w:rPr>
                <w:lang w:val="en-GB"/>
              </w:rPr>
            </w:pPr>
            <w:r w:rsidRPr="006A6D19">
              <w:rPr>
                <w:lang w:val="en-GB"/>
              </w:rPr>
              <w:t>Norway hosted the Internet Governance Forum (IGF) in June 2025. The forum plays a central role in shaping the development of the Internet and international cooperation in the digital sphere.</w:t>
            </w:r>
          </w:p>
        </w:tc>
        <w:tc>
          <w:tcPr>
            <w:tcW w:w="86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7B9830B" w14:textId="4FBB68B8" w:rsidR="008A5841" w:rsidRPr="006A6D19" w:rsidRDefault="00541482" w:rsidP="00B765C1">
            <w:pPr>
              <w:rPr>
                <w:lang w:val="en-GB"/>
              </w:rPr>
            </w:pPr>
            <w:r>
              <w:rPr>
                <w:noProof/>
              </w:rPr>
              <w:drawing>
                <wp:inline distT="0" distB="0" distL="0" distR="0" wp14:anchorId="63AD3162" wp14:editId="064C74F1">
                  <wp:extent cx="990600" cy="447675"/>
                  <wp:effectExtent l="0" t="0" r="0" b="9525"/>
                  <wp:docPr id="628478721" name="Bilde 4" descr="Target m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11348" name="Bilde 4" descr="Target met. Progress stagn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78BFA6B8" w14:textId="77777777" w:rsidTr="001609FA">
        <w:tblPrEx>
          <w:tblCellMar>
            <w:top w:w="0" w:type="dxa"/>
            <w:left w:w="0" w:type="dxa"/>
            <w:bottom w:w="0" w:type="dxa"/>
            <w:right w:w="0" w:type="dxa"/>
          </w:tblCellMar>
        </w:tblPrEx>
        <w:trPr>
          <w:trHeight w:val="60"/>
        </w:trPr>
        <w:tc>
          <w:tcPr>
            <w:tcW w:w="70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668225C1" w14:textId="77777777" w:rsidR="008A5841" w:rsidRPr="006A6D19" w:rsidRDefault="008A5841" w:rsidP="00B765C1">
            <w:pPr>
              <w:rPr>
                <w:lang w:val="en-GB"/>
              </w:rPr>
            </w:pPr>
            <w:r w:rsidRPr="006A6D19">
              <w:rPr>
                <w:lang w:val="en-GB"/>
              </w:rPr>
              <w:t xml:space="preserve">17.9 </w:t>
            </w:r>
          </w:p>
        </w:tc>
        <w:tc>
          <w:tcPr>
            <w:tcW w:w="343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9EF3D9F" w14:textId="77777777" w:rsidR="008A5841" w:rsidRPr="006A6D19" w:rsidRDefault="008A5841" w:rsidP="00B765C1">
            <w:pPr>
              <w:rPr>
                <w:lang w:val="en-GB"/>
              </w:rPr>
            </w:pPr>
            <w:r w:rsidRPr="006A6D19">
              <w:rPr>
                <w:lang w:val="en-GB"/>
              </w:rPr>
              <w:t>Norway provides technical cooperation through Norad’s Knowledge Bank to strengthen skills and institutional capacity in areas such as fisheries and ocean resource management, energy, agriculture, tax systems, anti-corruption, statistics, digitalisation, and gender equality.</w:t>
            </w:r>
          </w:p>
        </w:tc>
        <w:tc>
          <w:tcPr>
            <w:tcW w:w="86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A1BD4CD" w14:textId="36DA8B6E" w:rsidR="008A5841" w:rsidRPr="006A6D19" w:rsidRDefault="00541482" w:rsidP="00B765C1">
            <w:pPr>
              <w:rPr>
                <w:lang w:val="en-GB"/>
              </w:rPr>
            </w:pPr>
            <w:r>
              <w:rPr>
                <w:noProof/>
              </w:rPr>
              <w:drawing>
                <wp:inline distT="0" distB="0" distL="0" distR="0" wp14:anchorId="7923C237" wp14:editId="6BDEAE37">
                  <wp:extent cx="990600" cy="447675"/>
                  <wp:effectExtent l="0" t="0" r="0" b="9525"/>
                  <wp:docPr id="2023182860" name="Bilde 4" descr="Target m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11348" name="Bilde 4" descr="Target met. Progress stagn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5619BD95" w14:textId="77777777" w:rsidTr="001609FA">
        <w:tblPrEx>
          <w:tblCellMar>
            <w:top w:w="0" w:type="dxa"/>
            <w:left w:w="0" w:type="dxa"/>
            <w:bottom w:w="0" w:type="dxa"/>
            <w:right w:w="0" w:type="dxa"/>
          </w:tblCellMar>
        </w:tblPrEx>
        <w:trPr>
          <w:trHeight w:val="1987"/>
        </w:trPr>
        <w:tc>
          <w:tcPr>
            <w:tcW w:w="70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6B6BD069" w14:textId="77777777" w:rsidR="008A5841" w:rsidRPr="006A6D19" w:rsidRDefault="008A5841" w:rsidP="00B765C1">
            <w:pPr>
              <w:rPr>
                <w:lang w:val="en-GB"/>
              </w:rPr>
            </w:pPr>
            <w:r w:rsidRPr="006A6D19">
              <w:rPr>
                <w:lang w:val="en-GB"/>
              </w:rPr>
              <w:lastRenderedPageBreak/>
              <w:t xml:space="preserve">17.10–17.12 </w:t>
            </w:r>
          </w:p>
        </w:tc>
        <w:tc>
          <w:tcPr>
            <w:tcW w:w="343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222737D2" w14:textId="77777777" w:rsidR="008A5841" w:rsidRPr="006A6D19" w:rsidRDefault="008A5841" w:rsidP="00B765C1">
            <w:pPr>
              <w:rPr>
                <w:lang w:val="en-GB"/>
              </w:rPr>
            </w:pPr>
            <w:r w:rsidRPr="006A6D19">
              <w:rPr>
                <w:lang w:val="en-GB"/>
              </w:rPr>
              <w:t>Norway remains actively engaged in the development dimension of the WTO, including facilitating active participation in the important reform discussions. The least developed countries and other low-income countries have free access to the Norwegian market without tariffs or quotas.</w:t>
            </w:r>
          </w:p>
        </w:tc>
        <w:tc>
          <w:tcPr>
            <w:tcW w:w="86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5952783" w14:textId="6CDA1987" w:rsidR="008A5841" w:rsidRPr="006A6D19" w:rsidRDefault="00541482" w:rsidP="00B765C1">
            <w:pPr>
              <w:rPr>
                <w:lang w:val="en-GB"/>
              </w:rPr>
            </w:pPr>
            <w:r>
              <w:rPr>
                <w:noProof/>
              </w:rPr>
              <w:drawing>
                <wp:inline distT="0" distB="0" distL="0" distR="0" wp14:anchorId="06125305" wp14:editId="0807ADC7">
                  <wp:extent cx="990600" cy="447675"/>
                  <wp:effectExtent l="0" t="0" r="0" b="9525"/>
                  <wp:docPr id="1829150552" name="Bilde 4" descr="Target m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11348" name="Bilde 4" descr="Target met. Progress stagn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121F6586" w14:textId="77777777" w:rsidTr="001609FA">
        <w:tblPrEx>
          <w:tblCellMar>
            <w:top w:w="0" w:type="dxa"/>
            <w:left w:w="0" w:type="dxa"/>
            <w:bottom w:w="0" w:type="dxa"/>
            <w:right w:w="0" w:type="dxa"/>
          </w:tblCellMar>
        </w:tblPrEx>
        <w:trPr>
          <w:trHeight w:val="60"/>
        </w:trPr>
        <w:tc>
          <w:tcPr>
            <w:tcW w:w="702" w:type="pct"/>
            <w:tcBorders>
              <w:top w:val="single" w:sz="6" w:space="0" w:color="000000"/>
              <w:left w:val="single" w:sz="6" w:space="0" w:color="000000"/>
              <w:bottom w:val="single" w:sz="6" w:space="0" w:color="000000"/>
              <w:right w:val="single" w:sz="6" w:space="0" w:color="000000"/>
            </w:tcBorders>
            <w:tcMar>
              <w:top w:w="102" w:type="dxa"/>
              <w:left w:w="0" w:type="dxa"/>
              <w:bottom w:w="170" w:type="dxa"/>
              <w:right w:w="85" w:type="dxa"/>
            </w:tcMar>
          </w:tcPr>
          <w:p w14:paraId="348AD3AC" w14:textId="77777777" w:rsidR="008A5841" w:rsidRPr="006A6D19" w:rsidRDefault="008A5841" w:rsidP="00B765C1">
            <w:pPr>
              <w:rPr>
                <w:lang w:val="en-GB"/>
              </w:rPr>
            </w:pPr>
            <w:r w:rsidRPr="006A6D19">
              <w:rPr>
                <w:lang w:val="en-GB"/>
              </w:rPr>
              <w:t xml:space="preserve">17.13–17.17 </w:t>
            </w:r>
          </w:p>
        </w:tc>
        <w:tc>
          <w:tcPr>
            <w:tcW w:w="3438" w:type="pct"/>
            <w:tcBorders>
              <w:top w:val="single" w:sz="6" w:space="0" w:color="000000"/>
              <w:left w:val="single" w:sz="6" w:space="0" w:color="000000"/>
              <w:bottom w:val="single" w:sz="6" w:space="0" w:color="000000"/>
              <w:right w:val="single" w:sz="6" w:space="0" w:color="000000"/>
            </w:tcBorders>
            <w:tcMar>
              <w:top w:w="102" w:type="dxa"/>
              <w:left w:w="0" w:type="dxa"/>
              <w:bottom w:w="170" w:type="dxa"/>
              <w:right w:w="85" w:type="dxa"/>
            </w:tcMar>
          </w:tcPr>
          <w:p w14:paraId="4CE73F75" w14:textId="77777777" w:rsidR="008A5841" w:rsidRPr="006A6D19" w:rsidRDefault="008A5841" w:rsidP="00B765C1">
            <w:pPr>
              <w:rPr>
                <w:lang w:val="en-GB"/>
              </w:rPr>
            </w:pPr>
            <w:r w:rsidRPr="006A6D19">
              <w:rPr>
                <w:lang w:val="en-GB"/>
              </w:rPr>
              <w:t>Political commitment, a whole-of-government approach, and engagement from multiple stakeholders are in place to achieve a more coherent and integrated policy for sustainable development. This is supported, among other things, through the Higher Executive Forum for the SDGs.</w:t>
            </w:r>
          </w:p>
        </w:tc>
        <w:tc>
          <w:tcPr>
            <w:tcW w:w="860" w:type="pct"/>
            <w:tcBorders>
              <w:top w:val="single" w:sz="6" w:space="0" w:color="000000"/>
              <w:left w:val="single" w:sz="6" w:space="0" w:color="000000"/>
              <w:bottom w:val="single" w:sz="6" w:space="0" w:color="000000"/>
              <w:right w:val="single" w:sz="6" w:space="0" w:color="000000"/>
            </w:tcBorders>
            <w:tcMar>
              <w:top w:w="102" w:type="dxa"/>
              <w:left w:w="0" w:type="dxa"/>
              <w:bottom w:w="170" w:type="dxa"/>
              <w:right w:w="85" w:type="dxa"/>
            </w:tcMar>
          </w:tcPr>
          <w:p w14:paraId="5E7A3A67" w14:textId="60218815" w:rsidR="008A5841" w:rsidRPr="006A6D19" w:rsidRDefault="00541482" w:rsidP="00B765C1">
            <w:pPr>
              <w:rPr>
                <w:lang w:val="en-GB"/>
              </w:rPr>
            </w:pPr>
            <w:r>
              <w:rPr>
                <w:noProof/>
              </w:rPr>
              <w:drawing>
                <wp:inline distT="0" distB="0" distL="0" distR="0" wp14:anchorId="016E819F" wp14:editId="076F6B22">
                  <wp:extent cx="990600" cy="447675"/>
                  <wp:effectExtent l="0" t="0" r="0" b="9525"/>
                  <wp:docPr id="153237474" name="Bilde 4" descr="Target met. Progress stag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11348" name="Bilde 4" descr="Target met. Progress stagn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r w:rsidR="00000000" w:rsidRPr="006A6D19" w14:paraId="4EF89F22" w14:textId="77777777" w:rsidTr="001609FA">
        <w:tblPrEx>
          <w:tblCellMar>
            <w:top w:w="0" w:type="dxa"/>
            <w:left w:w="0" w:type="dxa"/>
            <w:bottom w:w="0" w:type="dxa"/>
            <w:right w:w="0" w:type="dxa"/>
          </w:tblCellMar>
        </w:tblPrEx>
        <w:trPr>
          <w:trHeight w:val="60"/>
        </w:trPr>
        <w:tc>
          <w:tcPr>
            <w:tcW w:w="702"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598692EE" w14:textId="77777777" w:rsidR="008A5841" w:rsidRPr="006A6D19" w:rsidRDefault="008A5841" w:rsidP="00B765C1">
            <w:pPr>
              <w:rPr>
                <w:lang w:val="en-GB"/>
              </w:rPr>
            </w:pPr>
            <w:r w:rsidRPr="006A6D19">
              <w:rPr>
                <w:lang w:val="en-GB"/>
              </w:rPr>
              <w:t xml:space="preserve">17.18–17.19 </w:t>
            </w:r>
          </w:p>
        </w:tc>
        <w:tc>
          <w:tcPr>
            <w:tcW w:w="3438"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1ABF98B8" w14:textId="77777777" w:rsidR="008A5841" w:rsidRPr="006A6D19" w:rsidRDefault="008A5841" w:rsidP="00B765C1">
            <w:pPr>
              <w:rPr>
                <w:lang w:val="en-GB"/>
              </w:rPr>
            </w:pPr>
            <w:r w:rsidRPr="006A6D19">
              <w:rPr>
                <w:lang w:val="en-GB"/>
              </w:rPr>
              <w:t>Statistics Norway plays an active role both nationally and internationally in providing data for the SDG indicators. Statistics Norway and other partners, supports capacity-building within national statistical systems in developing countries to strengthen national SDG monitoring and global reporting. Norway is also co-leading international initiatives like “</w:t>
            </w:r>
            <w:proofErr w:type="spellStart"/>
            <w:r w:rsidRPr="006A6D19">
              <w:rPr>
                <w:lang w:val="en-GB"/>
              </w:rPr>
              <w:t>FfD</w:t>
            </w:r>
            <w:proofErr w:type="spellEnd"/>
            <w:r w:rsidRPr="006A6D19">
              <w:rPr>
                <w:lang w:val="en-GB"/>
              </w:rPr>
              <w:t xml:space="preserve"> and the Future of Data” to strengthen national data ecosystems. </w:t>
            </w:r>
          </w:p>
        </w:tc>
        <w:tc>
          <w:tcPr>
            <w:tcW w:w="860" w:type="pct"/>
            <w:tcBorders>
              <w:top w:val="single" w:sz="6" w:space="0" w:color="000000"/>
              <w:left w:val="single" w:sz="6" w:space="0" w:color="000000"/>
              <w:bottom w:val="single" w:sz="6" w:space="0" w:color="000000"/>
              <w:right w:val="single" w:sz="6" w:space="0" w:color="000000"/>
            </w:tcBorders>
            <w:tcMar>
              <w:top w:w="0" w:type="dxa"/>
              <w:left w:w="0" w:type="dxa"/>
              <w:bottom w:w="170" w:type="dxa"/>
              <w:right w:w="85" w:type="dxa"/>
            </w:tcMar>
          </w:tcPr>
          <w:p w14:paraId="43527FAB" w14:textId="2B3ED7C8" w:rsidR="008A5841" w:rsidRPr="006A6D19" w:rsidRDefault="00541482" w:rsidP="00B765C1">
            <w:pPr>
              <w:rPr>
                <w:lang w:val="en-GB"/>
              </w:rPr>
            </w:pPr>
            <w:r>
              <w:rPr>
                <w:noProof/>
              </w:rPr>
              <w:drawing>
                <wp:inline distT="0" distB="0" distL="0" distR="0" wp14:anchorId="24E8D8AB" wp14:editId="13CCD6C4">
                  <wp:extent cx="990600" cy="447675"/>
                  <wp:effectExtent l="0" t="0" r="0" b="9525"/>
                  <wp:docPr id="2025339605" name="Bilde 6" descr="Target met. Progress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2134" name="Bilde 6" descr="Target met. Progress positiv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tc>
      </w:tr>
    </w:tbl>
    <w:p w14:paraId="32FDB74A" w14:textId="77777777" w:rsidR="008A5841" w:rsidRPr="006A6D19" w:rsidRDefault="008A5841" w:rsidP="00B765C1">
      <w:pPr>
        <w:rPr>
          <w:lang w:val="en-GB"/>
        </w:rPr>
      </w:pPr>
    </w:p>
    <w:p w14:paraId="4A6D66DA" w14:textId="77777777" w:rsidR="008A5841" w:rsidRPr="006A6D19" w:rsidRDefault="008A5841" w:rsidP="00B765C1">
      <w:pPr>
        <w:rPr>
          <w:lang w:val="en-GB"/>
        </w:rPr>
      </w:pPr>
      <w:r w:rsidRPr="006A6D19">
        <w:rPr>
          <w:rStyle w:val="halvfet"/>
          <w:lang w:val="en-GB"/>
        </w:rPr>
        <w:t>General Status</w:t>
      </w:r>
      <w:r w:rsidRPr="006A6D19">
        <w:rPr>
          <w:lang w:val="en-GB"/>
        </w:rPr>
        <w:t>: Norway is an active participant in global cooperation and a strong supporter of the multilateral system. Both Norway’s national and international policies are grounded in the 2030 Agenda, the Addis Ababa Action Agenda, the Paris Agreement, the Compromiso de Sevilla and international human rights. The overarching aim is to promote societal change that reduces inequality and poverty while fostering economic development and welfare in partner countries. In fragile and conflict-affected regions, Norway priori</w:t>
      </w:r>
      <w:r w:rsidRPr="006A6D19">
        <w:rPr>
          <w:lang w:val="en-GB"/>
        </w:rPr>
        <w:t>tises integrated approaches that link humanitarian aid, long-term development, and peacebuilding, while upholding neutrality, impartiality and protection of civilians in humanitarian action.</w:t>
      </w:r>
    </w:p>
    <w:p w14:paraId="620F9249" w14:textId="77777777" w:rsidR="008A5841" w:rsidRPr="006A6D19" w:rsidRDefault="008A5841" w:rsidP="00B765C1">
      <w:pPr>
        <w:rPr>
          <w:lang w:val="en-GB"/>
        </w:rPr>
      </w:pPr>
      <w:r w:rsidRPr="006A6D19">
        <w:rPr>
          <w:rStyle w:val="halvfet"/>
          <w:lang w:val="en-GB"/>
        </w:rPr>
        <w:t>Main Achievements</w:t>
      </w:r>
      <w:r w:rsidRPr="006A6D19">
        <w:rPr>
          <w:lang w:val="en-GB"/>
        </w:rPr>
        <w:t>: Norway is a significant contributor to development cooperation. UN member states have agreed on a target of allocating 0.7 percent of gross national income (GNI) to official development assistance (ODA). In 2025, only four countries, including Norway, reached this target. Norway ranked highest, contributing 1.03 percent of GNI, amounting to a total of NOK 58.9 billion in aid.</w:t>
      </w:r>
    </w:p>
    <w:p w14:paraId="0A6BD33D" w14:textId="77777777" w:rsidR="008A5841" w:rsidRPr="006A6D19" w:rsidRDefault="008A5841" w:rsidP="00B765C1">
      <w:pPr>
        <w:rPr>
          <w:lang w:val="en-GB"/>
        </w:rPr>
      </w:pPr>
      <w:r w:rsidRPr="006A6D19">
        <w:rPr>
          <w:lang w:val="en-GB"/>
        </w:rPr>
        <w:t xml:space="preserve">Nationally, the </w:t>
      </w:r>
      <w:proofErr w:type="spellStart"/>
      <w:r w:rsidRPr="006A6D19">
        <w:rPr>
          <w:lang w:val="en-GB"/>
        </w:rPr>
        <w:t>The</w:t>
      </w:r>
      <w:proofErr w:type="spellEnd"/>
      <w:r w:rsidRPr="006A6D19">
        <w:rPr>
          <w:lang w:val="en-GB"/>
        </w:rPr>
        <w:t xml:space="preserve"> Higher Executive Forum for the SDGs contributes to more coherent and coordinated policymaking, alongside extensive established mechanisms for integrated policy development and alignment within and beyond the Government.</w:t>
      </w:r>
    </w:p>
    <w:p w14:paraId="65938108" w14:textId="77777777" w:rsidR="008A5841" w:rsidRPr="006A6D19" w:rsidRDefault="008A5841" w:rsidP="00B765C1">
      <w:pPr>
        <w:rPr>
          <w:lang w:val="en-GB"/>
        </w:rPr>
      </w:pPr>
      <w:r w:rsidRPr="006A6D19">
        <w:rPr>
          <w:rStyle w:val="halvfet"/>
          <w:lang w:val="en-GB"/>
        </w:rPr>
        <w:t>Norway’s Challenges</w:t>
      </w:r>
      <w:r w:rsidRPr="006A6D19">
        <w:rPr>
          <w:lang w:val="en-GB"/>
        </w:rPr>
        <w:t xml:space="preserve">: International cooperation is under severe pressure. Interlinked crises are testing countries’ economies. Growing inequality, climate change, increasing debt challenges, Russia’s war </w:t>
      </w:r>
      <w:r w:rsidRPr="006A6D19">
        <w:rPr>
          <w:lang w:val="en-GB"/>
        </w:rPr>
        <w:lastRenderedPageBreak/>
        <w:t xml:space="preserve">of aggression against Ukraine, the war in Gaza, attacks on human rights and gender quality, </w:t>
      </w:r>
      <w:proofErr w:type="gramStart"/>
      <w:r w:rsidRPr="006A6D19">
        <w:rPr>
          <w:lang w:val="en-GB"/>
        </w:rPr>
        <w:t>in particular sexual</w:t>
      </w:r>
      <w:proofErr w:type="gramEnd"/>
      <w:r w:rsidRPr="006A6D19">
        <w:rPr>
          <w:lang w:val="en-GB"/>
        </w:rPr>
        <w:t xml:space="preserve"> and reproductive health and rights, as well as various other crises, contribute to continued high needs for assistance, particularly in the poorest countries. Global ODA levels have declined, weakening the financing</w:t>
      </w:r>
      <w:r w:rsidRPr="006A6D19">
        <w:rPr>
          <w:lang w:val="en-GB"/>
        </w:rPr>
        <w:t xml:space="preserve"> of the Sustainable Development Goals. Several traditional donor countries have reduced their aid budgets and increasingly prioritise self-interest and conditionality in development cooperation.</w:t>
      </w:r>
    </w:p>
    <w:p w14:paraId="66CA00BF" w14:textId="77777777" w:rsidR="008A5841" w:rsidRPr="006A6D19" w:rsidRDefault="008A5841" w:rsidP="00B765C1">
      <w:pPr>
        <w:rPr>
          <w:lang w:val="en-GB"/>
        </w:rPr>
      </w:pPr>
      <w:r w:rsidRPr="006A6D19">
        <w:rPr>
          <w:rStyle w:val="halvfet"/>
          <w:lang w:val="en-GB"/>
        </w:rPr>
        <w:t>Global</w:t>
      </w:r>
      <w:r w:rsidRPr="006A6D19">
        <w:rPr>
          <w:rStyle w:val="halvfet"/>
          <w:rFonts w:ascii="Arial" w:hAnsi="Arial" w:cs="Arial"/>
          <w:lang w:val="en-GB"/>
        </w:rPr>
        <w:t> </w:t>
      </w:r>
      <w:r w:rsidRPr="006A6D19">
        <w:rPr>
          <w:rStyle w:val="halvfet"/>
          <w:lang w:val="en-GB"/>
        </w:rPr>
        <w:t xml:space="preserve">Responsibility: </w:t>
      </w:r>
      <w:r w:rsidRPr="006A6D19">
        <w:rPr>
          <w:lang w:val="en-GB"/>
        </w:rPr>
        <w:t>A well-functioning and inclusive multilateral system and an international order based on international law are core interests for Norway. In pursuit of this, Norway plays an active role in advancing reforms of both the United Nations and the multilateral development banks.</w:t>
      </w:r>
    </w:p>
    <w:p w14:paraId="6E8B8E5A" w14:textId="77777777" w:rsidR="008A5841" w:rsidRPr="006A6D19" w:rsidRDefault="008A5841" w:rsidP="00B765C1">
      <w:pPr>
        <w:rPr>
          <w:lang w:val="en-GB"/>
        </w:rPr>
      </w:pPr>
      <w:r w:rsidRPr="006A6D19">
        <w:rPr>
          <w:lang w:val="en-GB"/>
        </w:rPr>
        <w:t>Norway continues to prioritise gender equality and the advancement of women’s sexual and reproductive health and rights. Another priority is to combat inequality by addressing structural drivers such as corruption, illicit financial flows</w:t>
      </w:r>
      <w:r w:rsidRPr="006A6D19">
        <w:rPr>
          <w:lang w:val="en-GB"/>
        </w:rPr>
        <w:t xml:space="preserve">, and weak tax systems. Climate and environmental action are tightly integrated into development cooperation. Norway focuses on climate adaptation and mitigation, renewable energy, food security, and sustainable ocean management, recognising climate change as a multiplier of conflict, poverty, and humanitarian need. Norway used its participation as guest country in the G20 in 2024 and 2025 to promote the 2030 Agenda. </w:t>
      </w:r>
    </w:p>
    <w:p w14:paraId="7AE11345" w14:textId="77777777" w:rsidR="008A5841" w:rsidRPr="006A6D19" w:rsidRDefault="008A5841" w:rsidP="006B301F">
      <w:pPr>
        <w:pStyle w:val="avsnitt-undertittel"/>
        <w:rPr>
          <w:lang w:val="en-GB"/>
        </w:rPr>
      </w:pPr>
      <w:r w:rsidRPr="006A6D19">
        <w:rPr>
          <w:lang w:val="en-GB"/>
        </w:rPr>
        <w:t>Main Policy Initiatives 2021–2026</w:t>
      </w:r>
    </w:p>
    <w:p w14:paraId="27AD3295" w14:textId="77777777" w:rsidR="008A5841" w:rsidRPr="006A6D19" w:rsidRDefault="008A5841" w:rsidP="00B765C1">
      <w:pPr>
        <w:pStyle w:val="Listebombe"/>
        <w:rPr>
          <w:lang w:val="en-GB"/>
        </w:rPr>
      </w:pPr>
      <w:r w:rsidRPr="006A6D19">
        <w:rPr>
          <w:lang w:val="en-GB"/>
        </w:rPr>
        <w:t>A strategy for Norway’s cooperation with the World Bank (2026–2030) was launched in March 2026.</w:t>
      </w:r>
    </w:p>
    <w:p w14:paraId="3A7A42FD" w14:textId="77777777" w:rsidR="008A5841" w:rsidRPr="006A6D19" w:rsidRDefault="008A5841" w:rsidP="00B765C1">
      <w:pPr>
        <w:pStyle w:val="Listebombe"/>
        <w:rPr>
          <w:lang w:val="en-GB"/>
        </w:rPr>
      </w:pPr>
      <w:r w:rsidRPr="006A6D19">
        <w:rPr>
          <w:lang w:val="en-GB"/>
        </w:rPr>
        <w:t>The Government initiated in March 2026 a comprehensive and inclusive process to develop a new Norwegian development policy in response to major geopolitical and financial shifts affecting global aid. The process will culminate in a White Paper to be presented to Parliament in the spring session of 2027.</w:t>
      </w:r>
    </w:p>
    <w:p w14:paraId="7F68BAF9" w14:textId="77777777" w:rsidR="008A5841" w:rsidRPr="006A6D19" w:rsidRDefault="008A5841" w:rsidP="00B765C1">
      <w:pPr>
        <w:pStyle w:val="Listebombe"/>
        <w:rPr>
          <w:lang w:val="en-GB"/>
        </w:rPr>
      </w:pPr>
      <w:r w:rsidRPr="006A6D19">
        <w:rPr>
          <w:lang w:val="en-GB"/>
        </w:rPr>
        <w:t>In our G20 participation in 2024 and 2025, we strongly supported the G20’s Common Fram</w:t>
      </w:r>
      <w:r w:rsidRPr="006A6D19">
        <w:rPr>
          <w:lang w:val="en-GB"/>
        </w:rPr>
        <w:t>ework for Debt Relief and the G20 Roadmap for Reform of the Multilateral Development Banks.</w:t>
      </w:r>
    </w:p>
    <w:p w14:paraId="6FD9E534" w14:textId="77777777" w:rsidR="008A5841" w:rsidRPr="006A6D19" w:rsidRDefault="008A5841" w:rsidP="00B765C1">
      <w:pPr>
        <w:rPr>
          <w:lang w:val="en-GB"/>
        </w:rPr>
      </w:pPr>
    </w:p>
    <w:p w14:paraId="15F13660" w14:textId="77777777" w:rsidR="006B301F" w:rsidRPr="006A6D19" w:rsidRDefault="006B301F" w:rsidP="006B301F">
      <w:pPr>
        <w:pStyle w:val="Undertittel"/>
        <w:rPr>
          <w:lang w:val="en-GB"/>
        </w:rPr>
      </w:pPr>
      <w:r w:rsidRPr="006A6D19">
        <w:rPr>
          <w:lang w:val="en-GB"/>
        </w:rPr>
        <w:t>Assessment by Civil Society</w:t>
      </w:r>
    </w:p>
    <w:p w14:paraId="12B238CC" w14:textId="77777777" w:rsidR="008A5841" w:rsidRPr="006A6D19" w:rsidRDefault="008A5841" w:rsidP="00B765C1">
      <w:pPr>
        <w:rPr>
          <w:rStyle w:val="kursiv"/>
          <w:lang w:val="en-GB"/>
        </w:rPr>
      </w:pPr>
      <w:r w:rsidRPr="006A6D19">
        <w:rPr>
          <w:lang w:val="en-GB"/>
        </w:rPr>
        <w:t xml:space="preserve">The following organisations have participated in this assessment: </w:t>
      </w:r>
      <w:proofErr w:type="spellStart"/>
      <w:r w:rsidRPr="006A6D19">
        <w:rPr>
          <w:lang w:val="en-GB"/>
        </w:rPr>
        <w:t>Attac</w:t>
      </w:r>
      <w:proofErr w:type="spellEnd"/>
      <w:r w:rsidRPr="006A6D19">
        <w:rPr>
          <w:lang w:val="en-GB"/>
        </w:rPr>
        <w:t xml:space="preserve">, Changemaker, Debt Justice Norway, Hardanger Academy – Nordic </w:t>
      </w:r>
      <w:proofErr w:type="spellStart"/>
      <w:r w:rsidRPr="006A6D19">
        <w:rPr>
          <w:lang w:val="en-GB"/>
        </w:rPr>
        <w:t>Center</w:t>
      </w:r>
      <w:proofErr w:type="spellEnd"/>
      <w:r w:rsidRPr="006A6D19">
        <w:rPr>
          <w:lang w:val="en-GB"/>
        </w:rPr>
        <w:t xml:space="preserve"> for Peace, Development and Environment, The Norwegian Council for Africa, UNICEF, The United Nations Association of Norway, The Norwegian Forum for Development and Environment (</w:t>
      </w:r>
      <w:proofErr w:type="spellStart"/>
      <w:r w:rsidRPr="006A6D19">
        <w:rPr>
          <w:lang w:val="en-GB"/>
        </w:rPr>
        <w:t>ForUM</w:t>
      </w:r>
      <w:proofErr w:type="spellEnd"/>
      <w:r w:rsidRPr="006A6D19">
        <w:rPr>
          <w:lang w:val="en-GB"/>
        </w:rPr>
        <w:t>).</w:t>
      </w:r>
    </w:p>
    <w:p w14:paraId="5A39A18E" w14:textId="2091A30E" w:rsidR="008A5841" w:rsidRPr="006A6D19" w:rsidRDefault="008A5841" w:rsidP="00B765C1">
      <w:pPr>
        <w:rPr>
          <w:lang w:val="en-GB"/>
        </w:rPr>
      </w:pPr>
      <w:r>
        <w:rPr>
          <w:noProof/>
          <w:lang w:val="en-GB"/>
        </w:rPr>
        <w:drawing>
          <wp:inline distT="0" distB="0" distL="0" distR="0" wp14:anchorId="0152055E" wp14:editId="42A49741">
            <wp:extent cx="561975" cy="561975"/>
            <wp:effectExtent l="0" t="0" r="9525" b="9525"/>
            <wp:docPr id="911572074" name="Bilde 85" descr="Arrow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511570" name="Bilde 85" descr="Arrow down"/>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r>
        <w:rPr>
          <w:rStyle w:val="halvfet"/>
          <w:lang w:val="en-GB"/>
        </w:rPr>
        <w:t xml:space="preserve"> </w:t>
      </w:r>
      <w:r w:rsidRPr="006A6D19">
        <w:rPr>
          <w:rStyle w:val="halvfet"/>
          <w:lang w:val="en-GB"/>
        </w:rPr>
        <w:t>Trend:</w:t>
      </w:r>
      <w:r w:rsidRPr="006A6D19">
        <w:rPr>
          <w:lang w:val="en-GB"/>
        </w:rPr>
        <w:t xml:space="preserve"> Negative</w:t>
      </w:r>
      <w:r w:rsidR="001609FA" w:rsidRPr="006A6D19">
        <w:rPr>
          <w:lang w:val="en-GB"/>
        </w:rPr>
        <w:t xml:space="preserve"> </w:t>
      </w:r>
    </w:p>
    <w:p w14:paraId="6FF7AE4F" w14:textId="77777777" w:rsidR="008A5841" w:rsidRPr="006A6D19" w:rsidRDefault="008A5841" w:rsidP="00B765C1">
      <w:pPr>
        <w:rPr>
          <w:lang w:val="en-GB"/>
        </w:rPr>
      </w:pPr>
      <w:r w:rsidRPr="006A6D19">
        <w:rPr>
          <w:rStyle w:val="halvfet"/>
          <w:lang w:val="en-GB"/>
        </w:rPr>
        <w:t>Norway has succeeded</w:t>
      </w:r>
      <w:r w:rsidRPr="006A6D19">
        <w:rPr>
          <w:lang w:val="en-GB"/>
        </w:rPr>
        <w:t xml:space="preserve"> in maintaining a high level of development aid and in prioritising the initiative for a global tax convention, as well as measures against illegal capital transfers, tax evasion and corruption. Norway has demonstrated strength in advancing the development financing agenda, particularly through the process leading up to FfD4, where it served as one of the conference facilitators. </w:t>
      </w:r>
      <w:r w:rsidRPr="006A6D19">
        <w:rPr>
          <w:lang w:val="en-GB"/>
        </w:rPr>
        <w:lastRenderedPageBreak/>
        <w:t>Norway has shown strong support for bringing the process of developing a global consensus on principles for responsible sovereign</w:t>
      </w:r>
      <w:r w:rsidRPr="006A6D19">
        <w:rPr>
          <w:lang w:val="en-GB"/>
        </w:rPr>
        <w:t xml:space="preserve"> lending and borrowing, as well as debt transparency, forward in recent years.</w:t>
      </w:r>
    </w:p>
    <w:p w14:paraId="0BE6F1DB" w14:textId="125713CB" w:rsidR="008A5841" w:rsidRPr="006A6D19" w:rsidRDefault="008A5841" w:rsidP="00B765C1">
      <w:pPr>
        <w:rPr>
          <w:lang w:val="en-GB"/>
        </w:rPr>
      </w:pPr>
      <w:r w:rsidRPr="006A6D19">
        <w:rPr>
          <w:rStyle w:val="halvfet"/>
          <w:lang w:val="en-GB"/>
        </w:rPr>
        <w:t>Norway’s challenges:</w:t>
      </w:r>
      <w:r w:rsidRPr="006A6D19">
        <w:rPr>
          <w:lang w:val="en-GB"/>
        </w:rPr>
        <w:t xml:space="preserve"> The Government has to some extent improved the coordination between ministries and other stakeholders since the last report, but there is still a need to better integrate policies across sectors to achieve policy coherence for sustainable development. Norway also lacks systematic assessment of whether its contributions to SDG 17 </w:t>
      </w:r>
      <w:proofErr w:type="gramStart"/>
      <w:r w:rsidRPr="006A6D19">
        <w:rPr>
          <w:lang w:val="en-GB"/>
        </w:rPr>
        <w:t>actually support</w:t>
      </w:r>
      <w:proofErr w:type="gramEnd"/>
      <w:r w:rsidRPr="006A6D19">
        <w:rPr>
          <w:lang w:val="en-GB"/>
        </w:rPr>
        <w:t xml:space="preserve"> or hinder progress in partner countries, including through impacts on technology transfer, trade rules, tax capacity, and local economic development. The Governmen</w:t>
      </w:r>
      <w:r w:rsidRPr="006A6D19">
        <w:rPr>
          <w:lang w:val="en-GB"/>
        </w:rPr>
        <w:t>t assigned more than 25</w:t>
      </w:r>
      <w:r w:rsidR="006B301F" w:rsidRPr="006A6D19">
        <w:rPr>
          <w:lang w:val="en-GB"/>
        </w:rPr>
        <w:t xml:space="preserve"> </w:t>
      </w:r>
      <w:r w:rsidRPr="006A6D19">
        <w:rPr>
          <w:lang w:val="en-GB"/>
        </w:rPr>
        <w:t xml:space="preserve">percent of the aid budget to Ukraine in 2026, cutting in projects providing food security, humanitarian aid, education, health and climate measures in the least developed countries, as well as core funding to the UN. Norway is too cautious within the UN. For Norway to lead the important discussions, and </w:t>
      </w:r>
      <w:proofErr w:type="gramStart"/>
      <w:r w:rsidRPr="006A6D19">
        <w:rPr>
          <w:lang w:val="en-GB"/>
        </w:rPr>
        <w:t>actually shift</w:t>
      </w:r>
      <w:proofErr w:type="gramEnd"/>
      <w:r w:rsidRPr="006A6D19">
        <w:rPr>
          <w:lang w:val="en-GB"/>
        </w:rPr>
        <w:t xml:space="preserve"> international positions, it is necessary for the country to take clearer and more principled stances on issues such as gender equality and other rights- and distribution-related questions. Nor</w:t>
      </w:r>
      <w:r w:rsidRPr="006A6D19">
        <w:rPr>
          <w:lang w:val="en-GB"/>
        </w:rPr>
        <w:t xml:space="preserve">way supports important digital development initiatives, yet its trade policy pulls in the opposite direction. By backing WTO’s e-commerce moratorium that keeps digital trade tariff-free and unrestricted cross-border data flows, Norway reinforces the power of dominant tech companies, limits developing countries’ ability to regulate and tax the digital economy, and risks deepening global inequalities. This fragmented approach means that while Norway funds digital capacity-building, it simultaneously promotes </w:t>
      </w:r>
      <w:r w:rsidRPr="006A6D19">
        <w:rPr>
          <w:lang w:val="en-GB"/>
        </w:rPr>
        <w:t>trade rules that restrict developing countries policy space and undermine fair value distribution in the global digital economy. Norway has a negative spillover-effect on other countries’ abilities to achieve the SDGs. Norway’s trade agreements often lack strong, enforceable sustainability rules, while provisions on equal treatment, ISDS, and limits on public procurement restrict developing countries’ policy space. Combined with Norway’s support for plurilateral WTO initiatives (JSIs) that weaken the consen</w:t>
      </w:r>
      <w:r w:rsidRPr="006A6D19">
        <w:rPr>
          <w:lang w:val="en-GB"/>
        </w:rPr>
        <w:t>sus principle, this contributes to global trade rules that risk reinforcing power imbalances.</w:t>
      </w:r>
    </w:p>
    <w:p w14:paraId="35D91A6D" w14:textId="77777777" w:rsidR="008A5841" w:rsidRPr="006A6D19" w:rsidRDefault="008A5841" w:rsidP="006B301F">
      <w:pPr>
        <w:pStyle w:val="avsnitt-undertittel"/>
        <w:rPr>
          <w:lang w:val="en-GB"/>
        </w:rPr>
      </w:pPr>
      <w:r w:rsidRPr="006A6D19">
        <w:rPr>
          <w:lang w:val="en-GB"/>
        </w:rPr>
        <w:t>Norway must:</w:t>
      </w:r>
    </w:p>
    <w:p w14:paraId="64D7A674" w14:textId="77777777" w:rsidR="008A5841" w:rsidRPr="006A6D19" w:rsidRDefault="008A5841" w:rsidP="00B765C1">
      <w:pPr>
        <w:pStyle w:val="Listebombe"/>
        <w:rPr>
          <w:lang w:val="en-GB"/>
        </w:rPr>
      </w:pPr>
      <w:r w:rsidRPr="006A6D19">
        <w:rPr>
          <w:lang w:val="en-GB"/>
        </w:rPr>
        <w:t>Ensure that 0,7 percent of GDP is spent on poverty reduction and aid.</w:t>
      </w:r>
    </w:p>
    <w:p w14:paraId="4019AEB2" w14:textId="77777777" w:rsidR="008A5841" w:rsidRPr="006A6D19" w:rsidRDefault="008A5841" w:rsidP="00B765C1">
      <w:pPr>
        <w:pStyle w:val="Listebombe"/>
        <w:rPr>
          <w:lang w:val="en-GB"/>
        </w:rPr>
      </w:pPr>
      <w:r w:rsidRPr="006A6D19">
        <w:rPr>
          <w:lang w:val="en-GB"/>
        </w:rPr>
        <w:t>Consistently monitor, assess and align how much Norwegian contributions towards SDG17 accelerate or slow SDG progress in recipient countries.</w:t>
      </w:r>
    </w:p>
    <w:p w14:paraId="344FB47D" w14:textId="77777777" w:rsidR="008A5841" w:rsidRPr="006A6D19" w:rsidRDefault="008A5841" w:rsidP="00B765C1">
      <w:pPr>
        <w:pStyle w:val="Listebombe"/>
        <w:rPr>
          <w:lang w:val="en-GB"/>
        </w:rPr>
      </w:pPr>
      <w:r w:rsidRPr="006A6D19">
        <w:rPr>
          <w:lang w:val="en-GB"/>
        </w:rPr>
        <w:t>Continue to work to ensure strong follow-up on debt sustainability commitments stated in the Financing for Development Compromiso de Sevilla.</w:t>
      </w:r>
    </w:p>
    <w:p w14:paraId="70CBE05F" w14:textId="77777777" w:rsidR="008A5841" w:rsidRPr="006A6D19" w:rsidRDefault="008A5841" w:rsidP="00B765C1">
      <w:pPr>
        <w:pStyle w:val="Listebombe"/>
        <w:rPr>
          <w:lang w:val="en-GB"/>
        </w:rPr>
      </w:pPr>
      <w:r w:rsidRPr="006A6D19">
        <w:rPr>
          <w:lang w:val="en-GB"/>
        </w:rPr>
        <w:t>Develop and adopt an updated strategy for digitalisation in development policy, which addresses the connection between technology, trade, regulation and development policy.</w:t>
      </w:r>
    </w:p>
    <w:p w14:paraId="586B88DB" w14:textId="77777777" w:rsidR="008A5841" w:rsidRPr="006A6D19" w:rsidRDefault="008A5841" w:rsidP="00B765C1">
      <w:pPr>
        <w:pStyle w:val="Listebombe"/>
        <w:rPr>
          <w:lang w:val="en-GB"/>
        </w:rPr>
      </w:pPr>
      <w:r w:rsidRPr="006A6D19">
        <w:rPr>
          <w:lang w:val="en-GB"/>
        </w:rPr>
        <w:t>Make the most of the institutional mechanisms in the sustainability chapters to ensure real participation from relevant stakeholders, especially civil society, and to strengthen the follow-up and enforcement of environmental and human rights obligations in trade agreements.</w:t>
      </w:r>
    </w:p>
    <w:p w14:paraId="306E2C93" w14:textId="6F19B8EE" w:rsidR="008A5841" w:rsidRPr="006A6D19" w:rsidRDefault="008A5841" w:rsidP="00B765C1">
      <w:pPr>
        <w:pStyle w:val="Listebombe"/>
        <w:rPr>
          <w:lang w:val="en-GB"/>
        </w:rPr>
      </w:pPr>
      <w:r w:rsidRPr="006A6D19">
        <w:rPr>
          <w:lang w:val="en-GB"/>
        </w:rPr>
        <w:t>Use its position in the WTO to strengthen the organisa</w:t>
      </w:r>
      <w:r w:rsidRPr="006A6D19">
        <w:rPr>
          <w:lang w:val="en-GB"/>
        </w:rPr>
        <w:t>tion’s democratic legitimacy and ensure that multilateral trade rules are developed in a way that safeguards justice, democracy and development concerns.</w:t>
      </w:r>
    </w:p>
    <w:p w14:paraId="0DB0D647" w14:textId="77777777" w:rsidR="008A5841" w:rsidRPr="006A6D19" w:rsidRDefault="008A5841" w:rsidP="00B765C1">
      <w:pPr>
        <w:rPr>
          <w:lang w:val="en-GB"/>
        </w:rPr>
      </w:pPr>
    </w:p>
    <w:tbl>
      <w:tblPr>
        <w:tblStyle w:val="StandardBoks"/>
        <w:tblW w:w="5000" w:type="pct"/>
        <w:tblLook w:val="04A0" w:firstRow="1" w:lastRow="0" w:firstColumn="1" w:lastColumn="0" w:noHBand="0" w:noVBand="1"/>
      </w:tblPr>
      <w:tblGrid>
        <w:gridCol w:w="10466"/>
      </w:tblGrid>
      <w:tr w:rsidR="00000000" w:rsidRPr="006A6D19" w14:paraId="1827E3BD" w14:textId="77777777" w:rsidTr="001609FA">
        <w:trPr>
          <w:trHeight w:val="12000"/>
        </w:trPr>
        <w:tc>
          <w:tcPr>
            <w:tcW w:w="5000" w:type="pct"/>
          </w:tcPr>
          <w:p w14:paraId="54191139" w14:textId="77777777" w:rsidR="008A5841" w:rsidRPr="006A6D19" w:rsidRDefault="008A5841" w:rsidP="00B765C1">
            <w:pPr>
              <w:pStyle w:val="avsnitt-tittel"/>
              <w:rPr>
                <w:lang w:val="en-GB"/>
              </w:rPr>
            </w:pPr>
            <w:r w:rsidRPr="006A6D19">
              <w:rPr>
                <w:lang w:val="en-GB"/>
              </w:rPr>
              <w:lastRenderedPageBreak/>
              <w:t>Message from Youth on Climate Inaction</w:t>
            </w:r>
          </w:p>
          <w:p w14:paraId="60B690B8" w14:textId="77777777" w:rsidR="008A5841" w:rsidRPr="006A6D19" w:rsidRDefault="008A5841" w:rsidP="00B765C1">
            <w:pPr>
              <w:rPr>
                <w:rStyle w:val="kursiv"/>
                <w:lang w:val="en-GB"/>
              </w:rPr>
            </w:pPr>
            <w:r w:rsidRPr="006A6D19">
              <w:rPr>
                <w:rStyle w:val="kursiv"/>
                <w:lang w:val="en-GB"/>
              </w:rPr>
              <w:t>The following is an unedited message from The Norwegian Children and Youth Council (LNU).</w:t>
            </w:r>
          </w:p>
          <w:p w14:paraId="56DADAF4" w14:textId="77777777" w:rsidR="008A5841" w:rsidRPr="006A6D19" w:rsidRDefault="008A5841" w:rsidP="001609FA">
            <w:pPr>
              <w:rPr>
                <w:lang w:val="en-GB"/>
              </w:rPr>
            </w:pPr>
            <w:r w:rsidRPr="006A6D19">
              <w:rPr>
                <w:lang w:val="en-GB"/>
              </w:rPr>
              <w:t>For today’s young people, the climate crisis is not an abstract environmental concern — it is the defining issue of their generation. They are experiencing its consequences in real time: extreme weather, anxiety about the future, biodiversity loss, and a growing awareness that political action continues to fall short of what science requires.</w:t>
            </w:r>
          </w:p>
          <w:p w14:paraId="250EA300" w14:textId="77777777" w:rsidR="008A5841" w:rsidRPr="006A6D19" w:rsidRDefault="008A5841" w:rsidP="001609FA">
            <w:pPr>
              <w:rPr>
                <w:lang w:val="en-GB"/>
              </w:rPr>
            </w:pPr>
            <w:r w:rsidRPr="006A6D19">
              <w:rPr>
                <w:lang w:val="en-GB"/>
              </w:rPr>
              <w:t>To youth, political climate inaction is profoundly unjust, there is no point fighting for equality if there is no liveable planet. The lack of responsibility forces us to live with the consequences of choices we did not make. It exacerbates inequalities within Norway, between countries and between those who can adapt and those who cannot. It limits life opportunities, affects mental health, increases apathy and places the greatest burden on young people in vulnerable communities.</w:t>
            </w:r>
          </w:p>
          <w:p w14:paraId="3D90011B" w14:textId="77777777" w:rsidR="008A5841" w:rsidRPr="006A6D19" w:rsidRDefault="008A5841" w:rsidP="001609FA">
            <w:pPr>
              <w:rPr>
                <w:lang w:val="en-GB"/>
              </w:rPr>
            </w:pPr>
            <w:r w:rsidRPr="006A6D19">
              <w:rPr>
                <w:lang w:val="en-GB"/>
              </w:rPr>
              <w:t>Youth want climate policy that matches the urgency of the crisis. We want governments to stop delaying difficult decisions and start implementing concrete measures to cut emissions now, not in five or ten years. We want renewable energy scaled up, transparent climate reporting, efficient policies, protection of vulnerable nature and climate adaptation prioritised in a way that protects the most vulnerable. We also want transparency: we want to see how national policies align with climate science, how our d</w:t>
            </w:r>
            <w:r w:rsidRPr="006A6D19">
              <w:rPr>
                <w:lang w:val="en-GB"/>
              </w:rPr>
              <w:t>emonstrations are heard and how decision-makers justify their choices.</w:t>
            </w:r>
          </w:p>
          <w:p w14:paraId="588734EF" w14:textId="77777777" w:rsidR="008A5841" w:rsidRPr="006A6D19" w:rsidRDefault="008A5841" w:rsidP="001609FA">
            <w:pPr>
              <w:rPr>
                <w:lang w:val="en-GB"/>
              </w:rPr>
            </w:pPr>
            <w:r w:rsidRPr="006A6D19">
              <w:rPr>
                <w:lang w:val="en-GB"/>
              </w:rPr>
              <w:t>But beyond policy we want power. We want youth</w:t>
            </w:r>
            <w:r w:rsidRPr="006A6D19">
              <w:rPr>
                <w:lang w:val="en-GB"/>
              </w:rPr>
              <w:noBreakHyphen/>
              <w:t>led climate movements to be taken seriously in formal decision</w:t>
            </w:r>
            <w:r w:rsidRPr="006A6D19">
              <w:rPr>
                <w:lang w:val="en-GB"/>
              </w:rPr>
              <w:noBreakHyphen/>
              <w:t>making arenas. We want participation structures that are accessible for all young people, not just those who live in urban areas, speak confidently, or already understand political systems. We want youth representatives with real influence in negotiations, not symbolic seats with no mandate.</w:t>
            </w:r>
          </w:p>
          <w:p w14:paraId="5606A3A4" w14:textId="77777777" w:rsidR="008A5841" w:rsidRPr="006A6D19" w:rsidRDefault="008A5841" w:rsidP="001609FA">
            <w:pPr>
              <w:rPr>
                <w:lang w:val="en-GB"/>
              </w:rPr>
            </w:pPr>
            <w:proofErr w:type="gramStart"/>
            <w:r w:rsidRPr="006A6D19">
              <w:rPr>
                <w:lang w:val="en-GB"/>
              </w:rPr>
              <w:t>In order to</w:t>
            </w:r>
            <w:proofErr w:type="gramEnd"/>
            <w:r w:rsidRPr="006A6D19">
              <w:rPr>
                <w:lang w:val="en-GB"/>
              </w:rPr>
              <w:t xml:space="preserve"> achieve this climate justice needs to be embedded in every sector, from education and health to foreign policy and economic planning. Solutions must recognise the interconnections between climate, peace, human rights, and gender equality. Norway should lead by example internationally: advocating for stronger global commitments, supporting vulnerable countries, and acknowledging its own responsibility as a high</w:t>
            </w:r>
            <w:r w:rsidRPr="006A6D19">
              <w:rPr>
                <w:lang w:val="en-GB"/>
              </w:rPr>
              <w:noBreakHyphen/>
              <w:t>emission nation.</w:t>
            </w:r>
          </w:p>
          <w:p w14:paraId="57C0BD38" w14:textId="77777777" w:rsidR="008A5841" w:rsidRPr="006A6D19" w:rsidRDefault="008A5841" w:rsidP="001609FA">
            <w:pPr>
              <w:rPr>
                <w:lang w:val="en-GB"/>
              </w:rPr>
            </w:pPr>
            <w:r w:rsidRPr="006A6D19">
              <w:rPr>
                <w:lang w:val="en-GB"/>
              </w:rPr>
              <w:t>Climate inaction is not just a policy failure; it is the sacrifice of our future</w:t>
            </w:r>
            <w:r w:rsidRPr="006A6D19">
              <w:rPr>
                <w:lang w:val="en-GB"/>
              </w:rPr>
              <w:t xml:space="preserve">. We expect better. Norway is a rich country, and we should take responsibility because we </w:t>
            </w:r>
            <w:proofErr w:type="gramStart"/>
            <w:r w:rsidRPr="006A6D19">
              <w:rPr>
                <w:lang w:val="en-GB"/>
              </w:rPr>
              <w:t>have the opportunity to</w:t>
            </w:r>
            <w:proofErr w:type="gramEnd"/>
            <w:r w:rsidRPr="006A6D19">
              <w:rPr>
                <w:lang w:val="en-GB"/>
              </w:rPr>
              <w:t xml:space="preserve"> do so.</w:t>
            </w:r>
          </w:p>
        </w:tc>
      </w:tr>
    </w:tbl>
    <w:p w14:paraId="4D588DB2" w14:textId="77777777" w:rsidR="008A5841" w:rsidRPr="006A6D19" w:rsidRDefault="008A5841" w:rsidP="001609FA">
      <w:pPr>
        <w:rPr>
          <w:lang w:val="en-GB"/>
        </w:rPr>
      </w:pPr>
    </w:p>
    <w:p w14:paraId="5940BCCE" w14:textId="77777777" w:rsidR="008A5841" w:rsidRPr="006A6D19" w:rsidRDefault="008A5841" w:rsidP="001609FA">
      <w:pPr>
        <w:pStyle w:val="Overskrift2"/>
        <w:rPr>
          <w:lang w:val="en-GB"/>
        </w:rPr>
      </w:pPr>
      <w:r w:rsidRPr="006A6D19">
        <w:rPr>
          <w:lang w:val="en-GB"/>
        </w:rPr>
        <w:t>Integration of the Economic, Social and Environmental Dimensions</w:t>
      </w:r>
    </w:p>
    <w:p w14:paraId="23980E31" w14:textId="77777777" w:rsidR="008A5841" w:rsidRPr="006A6D19" w:rsidRDefault="008A5841" w:rsidP="001609FA">
      <w:pPr>
        <w:rPr>
          <w:lang w:val="en-GB"/>
        </w:rPr>
      </w:pPr>
      <w:r w:rsidRPr="006A6D19">
        <w:rPr>
          <w:lang w:val="en-GB"/>
        </w:rPr>
        <w:t xml:space="preserve">The 2030 Agenda emphasises that the Sustainable Development Goals are interdependent and must be considered together. Progress in one area will affect progress in others, and it is the balance </w:t>
      </w:r>
      <w:r w:rsidRPr="006A6D19">
        <w:rPr>
          <w:lang w:val="en-GB"/>
        </w:rPr>
        <w:lastRenderedPageBreak/>
        <w:t xml:space="preserve">between the environmental, social and economic dimensions that determines whether development </w:t>
      </w:r>
      <w:proofErr w:type="gramStart"/>
      <w:r w:rsidRPr="006A6D19">
        <w:rPr>
          <w:lang w:val="en-GB"/>
        </w:rPr>
        <w:t>as a whole is</w:t>
      </w:r>
      <w:proofErr w:type="gramEnd"/>
      <w:r w:rsidRPr="006A6D19">
        <w:rPr>
          <w:lang w:val="en-GB"/>
        </w:rPr>
        <w:t xml:space="preserve"> sustainable.</w:t>
      </w:r>
    </w:p>
    <w:p w14:paraId="1B654219" w14:textId="77777777" w:rsidR="008A5841" w:rsidRPr="006A6D19" w:rsidRDefault="008A5841" w:rsidP="001609FA">
      <w:pPr>
        <w:rPr>
          <w:lang w:val="en-GB"/>
        </w:rPr>
      </w:pPr>
      <w:r w:rsidRPr="006A6D19">
        <w:rPr>
          <w:lang w:val="en-GB"/>
        </w:rPr>
        <w:t>The environmental dimension of sustainability concerns ensuring that social and economic development takes place within the planet’s ecological limits. The Global Resource Outlook 2024, published by the UN International Resource Panel, shows that excessive resource use is the main driver of global environmental crises. Climate change and ecosystem degradation increase our vulnerability to</w:t>
      </w:r>
      <w:r w:rsidRPr="006A6D19">
        <w:rPr>
          <w:lang w:val="en-GB"/>
        </w:rPr>
        <w:t xml:space="preserve"> natural disasters, threaten livelihoods and create breeding grounds for conflict.</w:t>
      </w:r>
    </w:p>
    <w:p w14:paraId="16A579D3" w14:textId="77777777" w:rsidR="008A5841" w:rsidRPr="006A6D19" w:rsidRDefault="008A5841" w:rsidP="001609FA">
      <w:pPr>
        <w:rPr>
          <w:lang w:val="en-GB"/>
        </w:rPr>
      </w:pPr>
      <w:r w:rsidRPr="006A6D19">
        <w:rPr>
          <w:lang w:val="en-GB"/>
        </w:rPr>
        <w:t>The social dimension concerns enabling all people to live good, safe and dignified lives. This includes the fulfilment of fundamental human rights, access to education, health and welfare services, and equal opportunities to participate in society and influence one’s own life. Peace is a prerequisite for sustainable development. Poverty and inequality are sources of polarisation and conflict. A fair distribution of resources,</w:t>
      </w:r>
      <w:r w:rsidRPr="006A6D19">
        <w:rPr>
          <w:lang w:val="en-GB"/>
        </w:rPr>
        <w:t xml:space="preserve"> access to high</w:t>
      </w:r>
      <w:r w:rsidRPr="006A6D19">
        <w:rPr>
          <w:lang w:val="en-GB"/>
        </w:rPr>
        <w:noBreakHyphen/>
        <w:t>quality public services and well</w:t>
      </w:r>
      <w:r w:rsidRPr="006A6D19">
        <w:rPr>
          <w:lang w:val="en-GB"/>
        </w:rPr>
        <w:noBreakHyphen/>
        <w:t>functioning institutions are therefore essential for building inclusive and stable societies.</w:t>
      </w:r>
    </w:p>
    <w:p w14:paraId="653F44BA" w14:textId="77777777" w:rsidR="008A5841" w:rsidRPr="006A6D19" w:rsidRDefault="008A5841" w:rsidP="001609FA">
      <w:pPr>
        <w:rPr>
          <w:lang w:val="en-GB"/>
        </w:rPr>
      </w:pPr>
      <w:r w:rsidRPr="006A6D19">
        <w:rPr>
          <w:lang w:val="en-GB"/>
        </w:rPr>
        <w:t>The economic dimension concerns ensuring economic security for people and societies, combating poverty and reducing inequalities. Economic value creation and growth must be green and inclusive, meaning that resources are used efficiently and in ways that safeguard both the needs of future generations and the carrying capacity of nature. The economic dimension is ther</w:t>
      </w:r>
      <w:r w:rsidRPr="006A6D19">
        <w:rPr>
          <w:lang w:val="en-GB"/>
        </w:rPr>
        <w:t>efore closely linked to both the social and environmental dimensions.</w:t>
      </w:r>
    </w:p>
    <w:p w14:paraId="473C92CC" w14:textId="77777777" w:rsidR="008A5841" w:rsidRPr="006A6D19" w:rsidRDefault="008A5841" w:rsidP="001609FA">
      <w:pPr>
        <w:rPr>
          <w:lang w:val="en-GB"/>
        </w:rPr>
      </w:pPr>
      <w:r w:rsidRPr="006A6D19">
        <w:rPr>
          <w:lang w:val="en-GB"/>
        </w:rPr>
        <w:t>To make sure progress in one area does negatively impact another a coherent policy for sustainable development is needed.</w:t>
      </w:r>
    </w:p>
    <w:p w14:paraId="79D88648" w14:textId="77777777" w:rsidR="008A5841" w:rsidRPr="006A6D19" w:rsidRDefault="008A5841" w:rsidP="001609FA">
      <w:pPr>
        <w:pStyle w:val="Overskrift2"/>
        <w:rPr>
          <w:lang w:val="en-GB"/>
        </w:rPr>
      </w:pPr>
      <w:r w:rsidRPr="006A6D19">
        <w:rPr>
          <w:lang w:val="en-GB"/>
        </w:rPr>
        <w:t>Policy Cohesion for the 2030 Agenda</w:t>
      </w:r>
    </w:p>
    <w:p w14:paraId="02A460C3" w14:textId="77777777" w:rsidR="008A5841" w:rsidRPr="006A6D19" w:rsidRDefault="008A5841" w:rsidP="001609FA">
      <w:pPr>
        <w:rPr>
          <w:lang w:val="en-GB"/>
        </w:rPr>
      </w:pPr>
      <w:r w:rsidRPr="006A6D19">
        <w:rPr>
          <w:lang w:val="en-GB"/>
        </w:rPr>
        <w:t>Norway’s action plan for achieving the Sustainable Development Goals, presented in 2021, underscores the Government’s ambition to mobilise all parts of society for a strengthened, collective effort. Achieving the SDGs by 2030 requires contributions across the public sector, the private sector, civil society, and from individuals. A new White Paper describing progress on the SDGs, main challenges and the way ahead was adopted by Parliament in March 2026. The White Paper highlight Norway’s commitment to Polic</w:t>
      </w:r>
      <w:r w:rsidRPr="006A6D19">
        <w:rPr>
          <w:lang w:val="en-GB"/>
        </w:rPr>
        <w:t>y coherence for sustainable development (PCSD).</w:t>
      </w:r>
    </w:p>
    <w:p w14:paraId="7720BBD4" w14:textId="77777777" w:rsidR="008A5841" w:rsidRPr="006A6D19" w:rsidRDefault="008A5841" w:rsidP="001609FA">
      <w:pPr>
        <w:rPr>
          <w:lang w:val="en-GB"/>
        </w:rPr>
      </w:pPr>
      <w:r w:rsidRPr="006A6D19">
        <w:rPr>
          <w:lang w:val="en-GB"/>
        </w:rPr>
        <w:t>The Ministry of Digitalisation and Public Governance and the Ministry of Foreign Affairs share the responsibility for PCSD. The Ministry of Digitalisation and Public Governance is responsible for policy coherence within national policies, while the Ministry of Foreign Affairs is responsible for policy coherence between foreign and domestic policies.</w:t>
      </w:r>
    </w:p>
    <w:p w14:paraId="3DD2AD8D" w14:textId="77777777" w:rsidR="008A5841" w:rsidRPr="006A6D19" w:rsidRDefault="008A5841" w:rsidP="001609FA">
      <w:pPr>
        <w:rPr>
          <w:lang w:val="en-GB"/>
        </w:rPr>
      </w:pPr>
      <w:r w:rsidRPr="006A6D19">
        <w:rPr>
          <w:lang w:val="en-GB"/>
        </w:rPr>
        <w:t>For Norway, the Government has therefore chosen to integrate the SDGs into mainstream policy development rather than treating them as a separate policy domain. The responsibility for the 17 SDGs is shared among 12 ministries, and an interministerial administrative network has also been established to facilitate coordination, information-sharing and collaboration.</w:t>
      </w:r>
    </w:p>
    <w:p w14:paraId="5658DC9A" w14:textId="77777777" w:rsidR="008A5841" w:rsidRPr="006A6D19" w:rsidRDefault="008A5841" w:rsidP="001609FA">
      <w:pPr>
        <w:rPr>
          <w:lang w:val="en-GB"/>
        </w:rPr>
      </w:pPr>
      <w:r w:rsidRPr="006A6D19">
        <w:rPr>
          <w:lang w:val="en-GB"/>
        </w:rPr>
        <w:lastRenderedPageBreak/>
        <w:t>Norway’s Executive Forum for the SDGs was established in 2022 and consists of high-level executives from government and key stakeholder organisations. The Forum plays a strategic role in supporting a long-term and coherent approach to sustainable development policies, including policy coherence across sectors.</w:t>
      </w:r>
    </w:p>
    <w:p w14:paraId="2A13ECBE" w14:textId="77777777" w:rsidR="008A5841" w:rsidRPr="006A6D19" w:rsidRDefault="008A5841" w:rsidP="001609FA">
      <w:pPr>
        <w:rPr>
          <w:lang w:val="en-GB"/>
        </w:rPr>
      </w:pPr>
      <w:r w:rsidRPr="006A6D19">
        <w:rPr>
          <w:lang w:val="en-GB"/>
        </w:rPr>
        <w:t>Efforts to strengthen policy coherence for sustainable development require awareness of potential negative impacts that national policies in various sectors may have on development outcomes. Within the framework of OECD cooperation, Norway works with other member countries to implement the OECD Recommendation on PCSD, including through peer learning and the exchange of best practices.</w:t>
      </w:r>
    </w:p>
    <w:p w14:paraId="596E04F8" w14:textId="77777777" w:rsidR="008A5841" w:rsidRPr="006A6D19" w:rsidRDefault="008A5841" w:rsidP="001609FA">
      <w:pPr>
        <w:rPr>
          <w:lang w:val="en-GB"/>
        </w:rPr>
      </w:pPr>
      <w:r w:rsidRPr="006A6D19">
        <w:rPr>
          <w:lang w:val="en-GB"/>
        </w:rPr>
        <w:t>The Instruction for Official Studies and Reports (</w:t>
      </w:r>
      <w:proofErr w:type="spellStart"/>
      <w:r w:rsidRPr="006A6D19">
        <w:rPr>
          <w:lang w:val="en-GB"/>
        </w:rPr>
        <w:t>Utredningsinstruksen</w:t>
      </w:r>
      <w:proofErr w:type="spellEnd"/>
      <w:r w:rsidRPr="006A6D19">
        <w:rPr>
          <w:lang w:val="en-GB"/>
        </w:rPr>
        <w:t>) set out rules for how policies and measures should be assessed and how affected stakeholders should be involved to ensure that decisions are well-founded, thoroughly considered and that positive and negative impacts are considered. The ministry responsible must consult all affected ministries on proposals with significant impacts. The guideline to the instruction was updated in 2024, specifying that measures with substantial climate and environmental effects must be submitted to the Mi</w:t>
      </w:r>
      <w:r w:rsidRPr="006A6D19">
        <w:rPr>
          <w:lang w:val="en-GB"/>
        </w:rPr>
        <w:t>nistry of Climate and Environment. This requirement strengthens systematic consideration of environmental sustainability in policy development and regulatory processes.</w:t>
      </w:r>
    </w:p>
    <w:p w14:paraId="6CC19707" w14:textId="77777777" w:rsidR="008A5841" w:rsidRPr="006A6D19" w:rsidRDefault="008A5841" w:rsidP="001609FA">
      <w:pPr>
        <w:rPr>
          <w:lang w:val="en-GB"/>
        </w:rPr>
      </w:pPr>
      <w:r w:rsidRPr="006A6D19">
        <w:rPr>
          <w:lang w:val="en-GB"/>
        </w:rPr>
        <w:t xml:space="preserve">Despite our efforts to have a coherent policy on sustainable development, Norway faces challenges. Our actions also have global ripple effects and influence other countries’ ability to achieve their goals. The Spillover Index from the unofficial </w:t>
      </w:r>
      <w:r w:rsidRPr="006A6D19">
        <w:rPr>
          <w:rStyle w:val="kursiv"/>
          <w:lang w:val="en-GB"/>
        </w:rPr>
        <w:t>Sustainable Development Report</w:t>
      </w:r>
      <w:r w:rsidRPr="006A6D19">
        <w:rPr>
          <w:lang w:val="en-GB"/>
        </w:rPr>
        <w:t xml:space="preserve"> measures such effects across three areas: environmental and social impacts through trade, economy and finance, and security. In the 2025 report, Norway is rated at 55.41 on a scale from 0 to 100, where 0 is the lowest score. This is below the OECD average. Norway’s low score can largely be attributed to negative effects linked to our high level of material consumption and extensive import of goods. Although the basis and relevance of such assessments can be debated, the findings point to dilemmas faced by </w:t>
      </w:r>
      <w:r w:rsidRPr="006A6D19">
        <w:rPr>
          <w:lang w:val="en-GB"/>
        </w:rPr>
        <w:t>a small, import-dependent economy like Norway.</w:t>
      </w:r>
    </w:p>
    <w:p w14:paraId="79BDD339" w14:textId="77777777" w:rsidR="008A5841" w:rsidRPr="006A6D19" w:rsidRDefault="008A5841" w:rsidP="008F7045">
      <w:pPr>
        <w:pStyle w:val="Overskrift1"/>
        <w:pageBreakBefore/>
        <w:rPr>
          <w:lang w:val="en-GB"/>
        </w:rPr>
      </w:pPr>
      <w:r w:rsidRPr="006A6D19">
        <w:rPr>
          <w:lang w:val="en-GB"/>
        </w:rPr>
        <w:lastRenderedPageBreak/>
        <w:t>Conclusions</w:t>
      </w:r>
    </w:p>
    <w:p w14:paraId="09FDDB7B" w14:textId="771906D9" w:rsidR="00C53CF7" w:rsidRPr="006A6D19" w:rsidRDefault="00C53CF7" w:rsidP="001609FA">
      <w:pPr>
        <w:rPr>
          <w:lang w:val="en-GB"/>
        </w:rPr>
      </w:pPr>
      <w:r w:rsidRPr="006A6D19">
        <w:rPr>
          <w:noProof/>
          <w:lang w:val="en-GB"/>
        </w:rPr>
        <w:drawing>
          <wp:inline distT="0" distB="0" distL="0" distR="0" wp14:anchorId="2BC474BC" wp14:editId="7C09D8CB">
            <wp:extent cx="6638925" cy="1962150"/>
            <wp:effectExtent l="0" t="0" r="9525" b="0"/>
            <wp:docPr id="709398280" name="Bilde 38" descr="Decorative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398280" name="Bilde 38" descr="Decorative illustration"/>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638925" cy="1962150"/>
                    </a:xfrm>
                    <a:prstGeom prst="rect">
                      <a:avLst/>
                    </a:prstGeom>
                    <a:noFill/>
                    <a:ln>
                      <a:noFill/>
                    </a:ln>
                  </pic:spPr>
                </pic:pic>
              </a:graphicData>
            </a:graphic>
          </wp:inline>
        </w:drawing>
      </w:r>
    </w:p>
    <w:p w14:paraId="025D2F4A" w14:textId="1BEA63A8" w:rsidR="008A5841" w:rsidRPr="006A6D19" w:rsidRDefault="008A5841" w:rsidP="001609FA">
      <w:pPr>
        <w:rPr>
          <w:lang w:val="en-GB"/>
        </w:rPr>
      </w:pPr>
      <w:r w:rsidRPr="006A6D19">
        <w:rPr>
          <w:lang w:val="en-GB"/>
        </w:rPr>
        <w:t>This Voluntary National Review shows that Norway remains well positioned to contribute positively towards the 2030 Agenda. Strong institutions, a comprehensive welfare state, high levels of trust, and broad participation across society constitute a robust foundation for sustainable development, both nationally and internationally. Norway continues to perform strongly across many Sustainable Development Goals, particularly those related to poverty reduction, gender equality, access to high-quality public ser</w:t>
      </w:r>
      <w:r w:rsidRPr="006A6D19">
        <w:rPr>
          <w:lang w:val="en-GB"/>
        </w:rPr>
        <w:t>vices, effective institutions, and international partnerships.</w:t>
      </w:r>
    </w:p>
    <w:p w14:paraId="4BEBEDD8" w14:textId="77777777" w:rsidR="008A5841" w:rsidRPr="006A6D19" w:rsidRDefault="008A5841" w:rsidP="001609FA">
      <w:pPr>
        <w:rPr>
          <w:lang w:val="en-GB"/>
        </w:rPr>
      </w:pPr>
      <w:r w:rsidRPr="006A6D19">
        <w:rPr>
          <w:lang w:val="en-GB"/>
        </w:rPr>
        <w:t>At the same time, the review underscores that favourable starting conditions alone do not guarantee success. The global context has changed profoundly since the adoption of the 2030 Agenda. A convergence of interconnected crises – including climate change, biodiversity loss, widening inequalities, geopolitical tensions and democratic backsliding – is undermining progress and heightening the urgency for decisive action. Norway is not immune to th</w:t>
      </w:r>
      <w:r w:rsidRPr="006A6D19">
        <w:rPr>
          <w:lang w:val="en-GB"/>
        </w:rPr>
        <w:t>ese challenges. High levels of material consumption, environmental spillover effects, persistent social and health inequalities, mounting pressures on housing and labour markets, and the need to accelerate emission reductions represent major challenges that must be addressed more decisively in the years ahead.</w:t>
      </w:r>
    </w:p>
    <w:p w14:paraId="351047A5" w14:textId="77777777" w:rsidR="008A5841" w:rsidRPr="006A6D19" w:rsidRDefault="008A5841" w:rsidP="001609FA">
      <w:pPr>
        <w:rPr>
          <w:lang w:val="en-GB"/>
        </w:rPr>
      </w:pPr>
      <w:r w:rsidRPr="006A6D19">
        <w:rPr>
          <w:lang w:val="en-GB"/>
        </w:rPr>
        <w:t>A key lesson from this review is that action, rather than ambition, is the defining challenge in the final years toward 2030. Achieving the Goals will require stronger policy coherence across sectors,</w:t>
      </w:r>
      <w:r w:rsidRPr="006A6D19">
        <w:rPr>
          <w:lang w:val="en-GB"/>
        </w:rPr>
        <w:t xml:space="preserve"> clearer prioritisation, and more systematic handling of trade-offs between economic, social and environmental objectives. While mainstreaming the SDGs into ordinary policy processes has strengthened ownership, this must now be accompanied by concrete and accelerated action. This is in line with the White Paper on the national work on the SDGs which reaffirms Norway’s strong commitment to continuing its efforts, strengthening policy coherence and accelerating action to achieve the Sustainable Development Go</w:t>
      </w:r>
      <w:r w:rsidRPr="006A6D19">
        <w:rPr>
          <w:lang w:val="en-GB"/>
        </w:rPr>
        <w:t>als by 2030.</w:t>
      </w:r>
    </w:p>
    <w:p w14:paraId="4C995D0E" w14:textId="77777777" w:rsidR="008A5841" w:rsidRPr="006A6D19" w:rsidRDefault="008A5841" w:rsidP="001609FA">
      <w:pPr>
        <w:rPr>
          <w:lang w:val="en-GB"/>
        </w:rPr>
      </w:pPr>
      <w:r w:rsidRPr="006A6D19">
        <w:rPr>
          <w:lang w:val="en-GB"/>
        </w:rPr>
        <w:t>Inclusive governance remains a cornerstone of Norway’s approach to the implementation of the SDGs. Broad and independent contributions from civil society, youth, the social partners, academia, industry, local and regional authorities and Indigenous representatives have strengthened this review and provided valuable insights. Meaningful participation – particularly by young people and groups at risk of being left behind – must continue to be institutionalised and translated into genuine influence on prioriti</w:t>
      </w:r>
      <w:r w:rsidRPr="006A6D19">
        <w:rPr>
          <w:lang w:val="en-GB"/>
        </w:rPr>
        <w:t>es and decision-making processes.</w:t>
      </w:r>
    </w:p>
    <w:p w14:paraId="3293D34E" w14:textId="77777777" w:rsidR="008A5841" w:rsidRPr="006A6D19" w:rsidRDefault="008A5841" w:rsidP="001609FA">
      <w:pPr>
        <w:rPr>
          <w:lang w:val="en-GB"/>
        </w:rPr>
      </w:pPr>
      <w:r w:rsidRPr="006A6D19">
        <w:rPr>
          <w:lang w:val="en-GB"/>
        </w:rPr>
        <w:lastRenderedPageBreak/>
        <w:t>Norway recognises its responsibility as a high-income country and remains firmly committed to contributing to sustainable development nationally and internationally, guided by the principle of Leaving No One Behind. Through strengthened partnerships, international cooperation and continued efforts to address both domestic and global spillover effects, Norway will work to support inclusive, sustainable and resilient development, in line with the ambitions of the 2030 Agenda.</w:t>
      </w:r>
    </w:p>
    <w:p w14:paraId="6C1E1C6B" w14:textId="77777777" w:rsidR="008A5841" w:rsidRPr="006A6D19" w:rsidRDefault="008A5841" w:rsidP="001609FA">
      <w:pPr>
        <w:rPr>
          <w:lang w:val="en-GB"/>
        </w:rPr>
      </w:pPr>
      <w:r w:rsidRPr="006A6D19">
        <w:rPr>
          <w:lang w:val="en-GB"/>
        </w:rPr>
        <w:t xml:space="preserve">To address the challenges ahead, the Government has launched a new plan for Norway. </w:t>
      </w:r>
    </w:p>
    <w:tbl>
      <w:tblPr>
        <w:tblStyle w:val="StandardBoks"/>
        <w:tblW w:w="5000" w:type="pct"/>
        <w:tblLook w:val="0000" w:firstRow="0" w:lastRow="0" w:firstColumn="0" w:lastColumn="0" w:noHBand="0" w:noVBand="0"/>
      </w:tblPr>
      <w:tblGrid>
        <w:gridCol w:w="10466"/>
      </w:tblGrid>
      <w:tr w:rsidR="00C53CF7" w:rsidRPr="006A6D19" w14:paraId="67F97CE1" w14:textId="77777777" w:rsidTr="00C731B4">
        <w:trPr>
          <w:trHeight w:val="30207"/>
        </w:trPr>
        <w:tc>
          <w:tcPr>
            <w:tcW w:w="5000" w:type="pct"/>
          </w:tcPr>
          <w:p w14:paraId="5A3520D7" w14:textId="77777777" w:rsidR="00C53CF7" w:rsidRPr="006A6D19" w:rsidRDefault="00C53CF7" w:rsidP="00B765C1">
            <w:pPr>
              <w:pStyle w:val="avsnitt-tittel"/>
              <w:rPr>
                <w:lang w:val="en-GB"/>
              </w:rPr>
            </w:pPr>
            <w:r w:rsidRPr="006A6D19">
              <w:rPr>
                <w:lang w:val="en-GB"/>
              </w:rPr>
              <w:lastRenderedPageBreak/>
              <w:t>Message to the Government from the Higher Executive Forum for the SDGs</w:t>
            </w:r>
          </w:p>
          <w:p w14:paraId="4339CE91" w14:textId="77777777" w:rsidR="00C53CF7" w:rsidRPr="006A6D19" w:rsidRDefault="00C53CF7" w:rsidP="00B765C1">
            <w:pPr>
              <w:rPr>
                <w:rStyle w:val="kursiv"/>
                <w:lang w:val="en-GB"/>
              </w:rPr>
            </w:pPr>
            <w:r w:rsidRPr="006A6D19">
              <w:rPr>
                <w:rStyle w:val="kursiv"/>
                <w:lang w:val="en-GB"/>
              </w:rPr>
              <w:t>The following is a joint message from members of the Higher Executive Forum for the SDGs: The Sustainability Committee for Higher Education, Norwegian Association of Local and Regional Authorities, Norwegian Children and Youth Council, Norwegian Confederation of Trade Unions, Norwegian Farmers Union, Norwegian Forum for Development and Environment, United Nations Global Compact Norway.</w:t>
            </w:r>
          </w:p>
          <w:p w14:paraId="1BB67130" w14:textId="77777777" w:rsidR="00C53CF7" w:rsidRPr="006A6D19" w:rsidRDefault="00C53CF7" w:rsidP="001609FA">
            <w:pPr>
              <w:pStyle w:val="avsnitt-undertittel"/>
              <w:rPr>
                <w:lang w:val="en-GB"/>
              </w:rPr>
            </w:pPr>
            <w:r w:rsidRPr="006A6D19">
              <w:rPr>
                <w:lang w:val="en-GB"/>
              </w:rPr>
              <w:t>Key Messages to the Government:</w:t>
            </w:r>
          </w:p>
          <w:p w14:paraId="4120F01D" w14:textId="77777777" w:rsidR="00C53CF7" w:rsidRPr="006A6D19" w:rsidRDefault="00C53CF7" w:rsidP="00B765C1">
            <w:pPr>
              <w:rPr>
                <w:lang w:val="en-GB"/>
              </w:rPr>
            </w:pPr>
            <w:r w:rsidRPr="006A6D19">
              <w:rPr>
                <w:lang w:val="en-GB"/>
              </w:rPr>
              <w:t>Norway has made significant progress across many of the SDGs and demonstrates strong overall performance. The task now is to close the remaining gaps.</w:t>
            </w:r>
          </w:p>
          <w:p w14:paraId="27A872C9" w14:textId="77777777" w:rsidR="00C53CF7" w:rsidRPr="006A6D19" w:rsidRDefault="00C53CF7" w:rsidP="001609FA">
            <w:pPr>
              <w:rPr>
                <w:lang w:val="en-GB"/>
              </w:rPr>
            </w:pPr>
            <w:r w:rsidRPr="006A6D19">
              <w:rPr>
                <w:lang w:val="en-GB"/>
              </w:rPr>
              <w:t>Norway’s main challenge is implementation, not ambition. Fragmentation across sectors, governance levels, and policy instruments is the primary barrier to further SDG progress.</w:t>
            </w:r>
          </w:p>
          <w:p w14:paraId="0448523A" w14:textId="77777777" w:rsidR="00C53CF7" w:rsidRPr="006A6D19" w:rsidRDefault="00C53CF7" w:rsidP="001609FA">
            <w:pPr>
              <w:rPr>
                <w:lang w:val="en-GB"/>
              </w:rPr>
            </w:pPr>
            <w:r w:rsidRPr="006A6D19">
              <w:rPr>
                <w:lang w:val="en-GB"/>
              </w:rPr>
              <w:t>The SDGs Norway is furthest from achieving are precisely those requiring cross-sectoral coordination. Goal conflicts and trade-offs must be addressed explicitly and at the appropriate political level — not managed incrementally within individual ministries.</w:t>
            </w:r>
          </w:p>
          <w:p w14:paraId="6587404D" w14:textId="77777777" w:rsidR="00C53CF7" w:rsidRPr="006A6D19" w:rsidRDefault="00C53CF7" w:rsidP="001609FA">
            <w:pPr>
              <w:rPr>
                <w:lang w:val="en-GB"/>
              </w:rPr>
            </w:pPr>
            <w:r w:rsidRPr="006A6D19">
              <w:rPr>
                <w:lang w:val="en-GB"/>
              </w:rPr>
              <w:t>Failing to achieve the SDGs is itself a driver of the instability we face globally. Sustainable development — reducing inequality, strengthening social cohesion, protecting the environment — and national resilience are not separate agendas. They are the same.</w:t>
            </w:r>
          </w:p>
          <w:p w14:paraId="23783E98" w14:textId="77777777" w:rsidR="00C53CF7" w:rsidRPr="006A6D19" w:rsidRDefault="00C53CF7" w:rsidP="001609FA">
            <w:pPr>
              <w:rPr>
                <w:lang w:val="en-GB"/>
              </w:rPr>
            </w:pPr>
            <w:r w:rsidRPr="006A6D19">
              <w:rPr>
                <w:lang w:val="en-GB"/>
              </w:rPr>
              <w:t>Delivery requires the full range of society and active citizenship. Social partners, civil society including children and youth, academia and business must be meaningful participants in governance of the agenda — not only consulted.</w:t>
            </w:r>
          </w:p>
          <w:p w14:paraId="57061719" w14:textId="77777777" w:rsidR="00C53CF7" w:rsidRPr="006A6D19" w:rsidRDefault="00C53CF7" w:rsidP="001609FA">
            <w:pPr>
              <w:pStyle w:val="avsnitt-undertittel"/>
              <w:rPr>
                <w:lang w:val="en-GB"/>
              </w:rPr>
            </w:pPr>
            <w:r w:rsidRPr="006A6D19">
              <w:rPr>
                <w:lang w:val="en-GB"/>
              </w:rPr>
              <w:t>Hard Choices, Shared Responsibility: Navigating Trade-Offs Towards and Beyond 2030</w:t>
            </w:r>
          </w:p>
          <w:p w14:paraId="1FB0F7AB" w14:textId="77777777" w:rsidR="00C53CF7" w:rsidRPr="006A6D19" w:rsidRDefault="00C53CF7" w:rsidP="00B765C1">
            <w:pPr>
              <w:rPr>
                <w:lang w:val="en-GB"/>
              </w:rPr>
            </w:pPr>
            <w:r w:rsidRPr="006A6D19">
              <w:rPr>
                <w:lang w:val="en-GB"/>
              </w:rPr>
              <w:t>The SDGs reflect a simple premise: sustainable development makes societies more equitable, more resilient, and better places to live. Norway has made significant progress across many of the SDGs, supported by strong institutions, a comprehensive welfare state and solid economic foundations. In several areas, Norway performs well in international comparisons, while still facing persistent social challenges, including exclusion from work and education for parts of the population. The gap between stated ambitions and actual outcomes remains substantial, notably related to climate, environment and responsible consumption and production.</w:t>
            </w:r>
          </w:p>
          <w:p w14:paraId="631A2FF0" w14:textId="77777777" w:rsidR="00C53CF7" w:rsidRPr="006A6D19" w:rsidRDefault="00C53CF7" w:rsidP="001609FA">
            <w:pPr>
              <w:rPr>
                <w:lang w:val="en-GB"/>
              </w:rPr>
            </w:pPr>
            <w:r w:rsidRPr="006A6D19">
              <w:rPr>
                <w:lang w:val="en-GB"/>
              </w:rPr>
              <w:t>The instability we are witnessing globally is in part a consequence of falling short on these goals — on inequality, environmental degradation and social cohesion. This is not a reason to step back from the SDG agenda. It is the strongest possible argument for accelerating delivery. Sustainable development and resilience are not alternatives; they are the same agenda.</w:t>
            </w:r>
          </w:p>
          <w:p w14:paraId="7EADFBB3" w14:textId="77777777" w:rsidR="00C53CF7" w:rsidRPr="006A6D19" w:rsidRDefault="00C53CF7" w:rsidP="001609FA">
            <w:pPr>
              <w:rPr>
                <w:lang w:val="en-GB"/>
              </w:rPr>
            </w:pPr>
            <w:r w:rsidRPr="006A6D19">
              <w:rPr>
                <w:lang w:val="en-GB"/>
              </w:rPr>
              <w:t>The main challenge in achieving the SDGs in Norway is not ambition or knowledge, but the translation of sustainability objectives into action. Climate action, environmental protection, value creation, social equity and preparedness compete for the same resources: land, energy, capital, labour and political attention. These trade-offs are real and unavoidable.</w:t>
            </w:r>
          </w:p>
          <w:p w14:paraId="739E0958" w14:textId="77777777" w:rsidR="00C53CF7" w:rsidRPr="006A6D19" w:rsidRDefault="00C53CF7" w:rsidP="001609FA">
            <w:pPr>
              <w:rPr>
                <w:lang w:val="en-GB"/>
              </w:rPr>
            </w:pPr>
            <w:r w:rsidRPr="006A6D19">
              <w:rPr>
                <w:lang w:val="en-GB"/>
              </w:rPr>
              <w:lastRenderedPageBreak/>
              <w:t>The SDGs where progress is slowest are precisely those where goal conflicts are hardest and political prioritisation most demanding. Difficult choices are too often managed incrementally within individual policy areas rather than through clear, overarching prioritisation. Sustainable development relies not only on technological and economic solutions, but also on far-reaching shifts in the values, attitudes, and norms that underpin society. Achieving further progress requires that sustainability is more clearly embedded in core governance structures, and that research and knowledge is more systematically translated into practice — well-documented findings on what works are too rarely reflected in implementation. Education at all levels must equip the population with the competences essential for a successful sustainable transformation.</w:t>
            </w:r>
          </w:p>
          <w:p w14:paraId="10D976F9" w14:textId="77777777" w:rsidR="00C53CF7" w:rsidRPr="006A6D19" w:rsidRDefault="00C53CF7" w:rsidP="001609FA">
            <w:pPr>
              <w:pStyle w:val="avsnitt-undertittel"/>
              <w:rPr>
                <w:lang w:val="en-GB"/>
              </w:rPr>
            </w:pPr>
            <w:r w:rsidRPr="006A6D19">
              <w:rPr>
                <w:lang w:val="en-GB"/>
              </w:rPr>
              <w:t>Interdependence Matters: Norway’s Progress is Shaped Beyond its Borders</w:t>
            </w:r>
          </w:p>
          <w:p w14:paraId="01B5E7A2" w14:textId="77777777" w:rsidR="00C53CF7" w:rsidRPr="006A6D19" w:rsidRDefault="00C53CF7" w:rsidP="00B765C1">
            <w:pPr>
              <w:rPr>
                <w:lang w:val="en-GB"/>
              </w:rPr>
            </w:pPr>
            <w:r w:rsidRPr="006A6D19">
              <w:rPr>
                <w:lang w:val="en-GB"/>
              </w:rPr>
              <w:t>Norway’s ability to achieve the SDGs is closely linked to developments beyond its borders. As an open economy with extensive global connections, Norway has a significant international footprint through production, consumption, trade and investment. These spillover effects are material to global SDG achievement and to Norway’s own long-term resilience.</w:t>
            </w:r>
          </w:p>
          <w:p w14:paraId="3A83D5AB" w14:textId="77777777" w:rsidR="00C53CF7" w:rsidRPr="006A6D19" w:rsidRDefault="00C53CF7" w:rsidP="001609FA">
            <w:pPr>
              <w:rPr>
                <w:lang w:val="en-GB"/>
              </w:rPr>
            </w:pPr>
            <w:r w:rsidRPr="006A6D19">
              <w:rPr>
                <w:lang w:val="en-GB"/>
              </w:rPr>
              <w:t>Climate change, environmental degradation and increasing geopolitical instability directly affect Norway’s economic and societal foundations. Managing Norway’s international responsibilities is not a parallel track — it is an integral part of effective SDG implementation. Sustainability considerations must be systematically integrated across policy areas shaping Norway’s global impacts. A world that fails to achieve the SDGs is not in Norway’s interest — neither economically, nor in terms of security and stability.</w:t>
            </w:r>
          </w:p>
          <w:p w14:paraId="6EA8D437" w14:textId="77777777" w:rsidR="00C53CF7" w:rsidRPr="006A6D19" w:rsidRDefault="00C53CF7" w:rsidP="001609FA">
            <w:pPr>
              <w:pStyle w:val="avsnitt-undertittel"/>
              <w:rPr>
                <w:lang w:val="en-GB"/>
              </w:rPr>
            </w:pPr>
            <w:r w:rsidRPr="006A6D19">
              <w:rPr>
                <w:lang w:val="en-GB"/>
              </w:rPr>
              <w:t>Strengthening Coordination and Shared Responsibility Towards 2030</w:t>
            </w:r>
          </w:p>
          <w:p w14:paraId="5DE243AE" w14:textId="77777777" w:rsidR="00C53CF7" w:rsidRPr="006A6D19" w:rsidRDefault="00C53CF7" w:rsidP="00B765C1">
            <w:pPr>
              <w:rPr>
                <w:lang w:val="en-GB"/>
              </w:rPr>
            </w:pPr>
            <w:r w:rsidRPr="006A6D19">
              <w:rPr>
                <w:lang w:val="en-GB"/>
              </w:rPr>
              <w:t>Addressing these challenges requires stronger coordination and arenas where dilemmas can be discussed and resolved explicitly. This means stronger horizontal coordination across ministries, clearer vertical alignment between national, regional and local governance levels, and structured mechanisms for engaging social partners, civil society including children and youth, academia and business as active participants — not only as consultees. The tripartite model and cooperation with civil society must function as working instruments of SDG governance, not only referenced as values. Research and knowledge must be more systematically reflected in policy design and implementation.</w:t>
            </w:r>
          </w:p>
          <w:p w14:paraId="10BAC3E2" w14:textId="4C4B543C" w:rsidR="00C53CF7" w:rsidRPr="006A6D19" w:rsidRDefault="00C53CF7" w:rsidP="001609FA">
            <w:pPr>
              <w:rPr>
                <w:lang w:val="en-GB"/>
              </w:rPr>
            </w:pPr>
            <w:r w:rsidRPr="006A6D19">
              <w:rPr>
                <w:lang w:val="en-GB"/>
              </w:rPr>
              <w:t>The Higher Executive Forum for the SDGs brings together organisations representing these sectors and provides a structured space for addressing cross-cutting challenges. The forum contributes by identifying structural barriers to implementation, highlighting trade-offs that hinder progress, and strengthening dialogue across sectors. As Norway moves towards 2030 and beyond, strengthening the capacity to address trade-offs through coordinated and cross-sectoral approaches will be critical to achieving further progress on the Sustainable Development Goals.</w:t>
            </w:r>
          </w:p>
        </w:tc>
      </w:tr>
    </w:tbl>
    <w:p w14:paraId="1F770754" w14:textId="77777777" w:rsidR="008A5841" w:rsidRPr="006A6D19" w:rsidRDefault="008A5841" w:rsidP="001609FA">
      <w:pPr>
        <w:rPr>
          <w:lang w:val="en-GB"/>
        </w:rPr>
      </w:pPr>
      <w:r w:rsidRPr="006A6D19">
        <w:rPr>
          <w:lang w:val="en-GB"/>
        </w:rPr>
        <w:lastRenderedPageBreak/>
        <w:t xml:space="preserve"> </w:t>
      </w:r>
    </w:p>
    <w:tbl>
      <w:tblPr>
        <w:tblStyle w:val="StandardBoks"/>
        <w:tblW w:w="5000" w:type="pct"/>
        <w:tblLook w:val="04A0" w:firstRow="1" w:lastRow="0" w:firstColumn="1" w:lastColumn="0" w:noHBand="0" w:noVBand="1"/>
      </w:tblPr>
      <w:tblGrid>
        <w:gridCol w:w="10466"/>
      </w:tblGrid>
      <w:tr w:rsidR="00000000" w:rsidRPr="006A6D19" w14:paraId="7BB8D263" w14:textId="77777777" w:rsidTr="001609FA">
        <w:trPr>
          <w:trHeight w:val="60"/>
        </w:trPr>
        <w:tc>
          <w:tcPr>
            <w:tcW w:w="5000" w:type="pct"/>
          </w:tcPr>
          <w:p w14:paraId="3460E46D" w14:textId="77777777" w:rsidR="008A5841" w:rsidRPr="006A6D19" w:rsidRDefault="008A5841" w:rsidP="00B765C1">
            <w:pPr>
              <w:pStyle w:val="avsnitt-tittel"/>
              <w:rPr>
                <w:lang w:val="en-GB"/>
              </w:rPr>
            </w:pPr>
            <w:r w:rsidRPr="006A6D19">
              <w:rPr>
                <w:lang w:val="en-GB"/>
              </w:rPr>
              <w:t>The Path Towards 2030 – a Youth Perspective</w:t>
            </w:r>
          </w:p>
          <w:p w14:paraId="04280B4F" w14:textId="77777777" w:rsidR="008A5841" w:rsidRPr="006A6D19" w:rsidRDefault="008A5841" w:rsidP="00B765C1">
            <w:pPr>
              <w:rPr>
                <w:rStyle w:val="kursiv"/>
                <w:lang w:val="en-GB"/>
              </w:rPr>
            </w:pPr>
            <w:r w:rsidRPr="006A6D19">
              <w:rPr>
                <w:rStyle w:val="kursiv"/>
                <w:lang w:val="en-GB"/>
              </w:rPr>
              <w:t>The following is an unedited message from The Norwegian Children and Youth Council.</w:t>
            </w:r>
          </w:p>
          <w:p w14:paraId="0F4683C9" w14:textId="77777777" w:rsidR="008A5841" w:rsidRPr="006A6D19" w:rsidRDefault="008A5841" w:rsidP="001609FA">
            <w:pPr>
              <w:rPr>
                <w:lang w:val="en-GB"/>
              </w:rPr>
            </w:pPr>
            <w:r w:rsidRPr="006A6D19">
              <w:rPr>
                <w:lang w:val="en-GB"/>
              </w:rPr>
              <w:t>When youth imagine the path to 2030, we picture a society built on fairness, belonging, and real opportunities for everyone. We want a Norway where our voices are valued and where we influence the decisions that shape our lives. This vision is not abstract, it can already be seen in youth clubs, schools, communities, and the democratic spaces we have already created and participate in.</w:t>
            </w:r>
          </w:p>
          <w:p w14:paraId="1F3A5E55" w14:textId="77777777" w:rsidR="008A5841" w:rsidRPr="006A6D19" w:rsidRDefault="008A5841" w:rsidP="001609FA">
            <w:pPr>
              <w:rPr>
                <w:lang w:val="en-GB"/>
              </w:rPr>
            </w:pPr>
            <w:r w:rsidRPr="006A6D19">
              <w:rPr>
                <w:lang w:val="en-GB"/>
              </w:rPr>
              <w:t>We want a society where participation is not limited to those who already know how the system works. We imagine a Norway where structures are designed so that all children and young people, regardless of background, can take part in shaping their communities. This includes lowering economic, social, and cultural barriers so that no one is excluded from contributing meaningfully. We want to highlight the importance of feeling safe to speak up, and of being protected from harassment and hateful expressions w</w:t>
            </w:r>
            <w:r w:rsidRPr="006A6D19">
              <w:rPr>
                <w:lang w:val="en-GB"/>
              </w:rPr>
              <w:t>hen we choose to engage.</w:t>
            </w:r>
          </w:p>
          <w:p w14:paraId="1D41B215" w14:textId="77777777" w:rsidR="008A5841" w:rsidRPr="006A6D19" w:rsidRDefault="008A5841" w:rsidP="001609FA">
            <w:pPr>
              <w:rPr>
                <w:lang w:val="en-GB"/>
              </w:rPr>
            </w:pPr>
            <w:r w:rsidRPr="006A6D19">
              <w:rPr>
                <w:lang w:val="en-GB"/>
              </w:rPr>
              <w:t>A key part of this vision is strong, independent youth communities. Youth view voluntary, democratic youth organisations as essential arenas where they learn how democracy works in practice, build confidence, and discover that their voices matter. LNU’s member organisations demonstrate this every day: young people create activities on their own terms, elect their own leaders, and take responsibility for causes they care about. These experiences shape not only their personal developm</w:t>
            </w:r>
            <w:r w:rsidRPr="006A6D19">
              <w:rPr>
                <w:lang w:val="en-GB"/>
              </w:rPr>
              <w:t>ent, but also Norway’s democratic future.</w:t>
            </w:r>
          </w:p>
          <w:p w14:paraId="7C5982E0" w14:textId="77777777" w:rsidR="008A5841" w:rsidRPr="006A6D19" w:rsidRDefault="008A5841" w:rsidP="001609FA">
            <w:pPr>
              <w:rPr>
                <w:lang w:val="en-GB"/>
              </w:rPr>
            </w:pPr>
            <w:r w:rsidRPr="006A6D19">
              <w:rPr>
                <w:lang w:val="en-GB"/>
              </w:rPr>
              <w:t>For the society we want by 2030, decision</w:t>
            </w:r>
            <w:r w:rsidRPr="006A6D19">
              <w:rPr>
                <w:lang w:val="en-GB"/>
              </w:rPr>
              <w:noBreakHyphen/>
              <w:t xml:space="preserve">makers </w:t>
            </w:r>
            <w:proofErr w:type="gramStart"/>
            <w:r w:rsidRPr="006A6D19">
              <w:rPr>
                <w:lang w:val="en-GB"/>
              </w:rPr>
              <w:t>have to</w:t>
            </w:r>
            <w:proofErr w:type="gramEnd"/>
            <w:r w:rsidRPr="006A6D19">
              <w:rPr>
                <w:lang w:val="en-GB"/>
              </w:rPr>
              <w:t xml:space="preserve"> recognise the importance of these youth</w:t>
            </w:r>
            <w:r w:rsidRPr="006A6D19">
              <w:rPr>
                <w:lang w:val="en-GB"/>
              </w:rPr>
              <w:noBreakHyphen/>
              <w:t>led spaces. Funding needs to be predictable, administrative hurdles must be lowered, and the state must actively support organisations that give young people room to grow, participate, and lead. We want to see a long</w:t>
            </w:r>
            <w:r w:rsidRPr="006A6D19">
              <w:rPr>
                <w:lang w:val="en-GB"/>
              </w:rPr>
              <w:noBreakHyphen/>
              <w:t>term commitment to protecting and strengthening the youth sector. This is essential to ensure a resilient democracy.</w:t>
            </w:r>
          </w:p>
          <w:p w14:paraId="10FED4DF" w14:textId="77777777" w:rsidR="008A5841" w:rsidRPr="006A6D19" w:rsidRDefault="008A5841" w:rsidP="001609FA">
            <w:pPr>
              <w:rPr>
                <w:lang w:val="en-GB"/>
              </w:rPr>
            </w:pPr>
            <w:r w:rsidRPr="006A6D19">
              <w:rPr>
                <w:lang w:val="en-GB"/>
              </w:rPr>
              <w:t>We also envision a society that takes global challenges seriously. Norway must lead by example: by taking immediate climat</w:t>
            </w:r>
            <w:r w:rsidRPr="006A6D19">
              <w:rPr>
                <w:lang w:val="en-GB"/>
              </w:rPr>
              <w:t>e action, reducing inequalities, defending human rights, and standing up for vulnerable groups. We want a country that collaborates internationally and shows solidarity, not because it is convenient, but because it is right.</w:t>
            </w:r>
          </w:p>
          <w:p w14:paraId="1B392E7B" w14:textId="77777777" w:rsidR="008A5841" w:rsidRPr="006A6D19" w:rsidRDefault="008A5841" w:rsidP="001609FA">
            <w:pPr>
              <w:rPr>
                <w:lang w:val="en-GB"/>
              </w:rPr>
            </w:pPr>
            <w:r w:rsidRPr="006A6D19">
              <w:rPr>
                <w:lang w:val="en-GB"/>
              </w:rPr>
              <w:t>Ultimately, our vision for society in 2030 is one where we are seen as partners. A society that trusts, includes, and understand us. Our perspectives are essential for building a sustainable, democratic, and hopeful future.</w:t>
            </w:r>
          </w:p>
        </w:tc>
      </w:tr>
    </w:tbl>
    <w:p w14:paraId="7C6C1885" w14:textId="77777777" w:rsidR="008A5841" w:rsidRPr="006A6D19" w:rsidRDefault="008A5841" w:rsidP="001609FA">
      <w:pPr>
        <w:rPr>
          <w:lang w:val="en-GB"/>
        </w:rPr>
      </w:pPr>
    </w:p>
    <w:p w14:paraId="59F5B08F" w14:textId="2B4E3BDC" w:rsidR="008A5841" w:rsidRPr="006A6D19" w:rsidRDefault="008A5841" w:rsidP="001609FA">
      <w:pPr>
        <w:rPr>
          <w:lang w:val="en-GB"/>
        </w:rPr>
      </w:pPr>
    </w:p>
    <w:p w14:paraId="41833CBC" w14:textId="1628AD0B" w:rsidR="008A5841" w:rsidRPr="006A6D19" w:rsidRDefault="008A5841" w:rsidP="008F7045">
      <w:pPr>
        <w:pStyle w:val="Overskrift1"/>
        <w:pageBreakBefore/>
        <w:rPr>
          <w:lang w:val="en-GB"/>
        </w:rPr>
      </w:pPr>
      <w:r w:rsidRPr="006A6D19">
        <w:rPr>
          <w:lang w:val="en-GB"/>
        </w:rPr>
        <w:lastRenderedPageBreak/>
        <w:t xml:space="preserve">The Way Forward </w:t>
      </w:r>
      <w:r w:rsidRPr="006A6D19">
        <w:rPr>
          <w:lang w:val="en-GB"/>
        </w:rPr>
        <w:t>– The Government’s Plan for Norway</w:t>
      </w:r>
    </w:p>
    <w:p w14:paraId="12AF8C90" w14:textId="72C93048" w:rsidR="00C53CF7" w:rsidRPr="006A6D19" w:rsidRDefault="00C53CF7" w:rsidP="00C53CF7">
      <w:pPr>
        <w:rPr>
          <w:lang w:val="en-GB"/>
        </w:rPr>
      </w:pPr>
      <w:r w:rsidRPr="006A6D19">
        <w:rPr>
          <w:noProof/>
          <w:lang w:val="en-GB"/>
        </w:rPr>
        <w:drawing>
          <wp:inline distT="0" distB="0" distL="0" distR="0" wp14:anchorId="071B17D7" wp14:editId="7689E635">
            <wp:extent cx="6638925" cy="1962150"/>
            <wp:effectExtent l="0" t="0" r="9525" b="0"/>
            <wp:docPr id="1896730244" name="Bilde 39" descr="Decorative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730244" name="Bilde 39" descr="Decorative illustration"/>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638925" cy="1962150"/>
                    </a:xfrm>
                    <a:prstGeom prst="rect">
                      <a:avLst/>
                    </a:prstGeom>
                    <a:noFill/>
                    <a:ln>
                      <a:noFill/>
                    </a:ln>
                  </pic:spPr>
                </pic:pic>
              </a:graphicData>
            </a:graphic>
          </wp:inline>
        </w:drawing>
      </w:r>
    </w:p>
    <w:p w14:paraId="62BDC984" w14:textId="77777777" w:rsidR="008A5841" w:rsidRPr="006A6D19" w:rsidRDefault="008A5841" w:rsidP="001609FA">
      <w:pPr>
        <w:rPr>
          <w:lang w:val="en-GB"/>
        </w:rPr>
      </w:pPr>
      <w:hyperlink r:id="rId72" w:history="1">
        <w:r w:rsidRPr="006A6D19">
          <w:rPr>
            <w:rStyle w:val="Hyperkobling"/>
            <w:lang w:val="en-GB"/>
          </w:rPr>
          <w:t>The Government’s Plan for Norway</w:t>
        </w:r>
      </w:hyperlink>
      <w:r w:rsidRPr="006A6D19">
        <w:rPr>
          <w:lang w:val="en-GB"/>
        </w:rPr>
        <w:t xml:space="preserve"> outlines how the Government will create security for the future with expanding opportunities, drawing on Norway’s core strengths: low social inequalities, high levels of trust, and strong local communities. It identifies priority reforms for the current parliamentary term (2025–2029) and will be revised annually. The plan is structured around five overarching national policy objectives, with concrete priorities closely aligned with the SDGs.</w:t>
      </w:r>
    </w:p>
    <w:p w14:paraId="25E8C943" w14:textId="77777777" w:rsidR="008A5841" w:rsidRPr="006A6D19" w:rsidRDefault="008A5841" w:rsidP="001609FA">
      <w:pPr>
        <w:pStyle w:val="avsnitt-tittel"/>
        <w:rPr>
          <w:lang w:val="en-GB"/>
        </w:rPr>
      </w:pPr>
      <w:r w:rsidRPr="006A6D19">
        <w:rPr>
          <w:lang w:val="en-GB"/>
        </w:rPr>
        <w:t>Security for the Economy</w:t>
      </w:r>
    </w:p>
    <w:p w14:paraId="6E7DCFED" w14:textId="77777777" w:rsidR="008A5841" w:rsidRPr="006A6D19" w:rsidRDefault="008A5841" w:rsidP="001609FA">
      <w:pPr>
        <w:rPr>
          <w:lang w:val="en-GB"/>
        </w:rPr>
      </w:pPr>
      <w:r w:rsidRPr="006A6D19">
        <w:rPr>
          <w:lang w:val="en-GB"/>
        </w:rPr>
        <w:t>The plan emphasises responsible economic governance to support rising living standards and ensure long-term welfare sustainability. While the Norwegian economy is fundamentally strong, many households have faced increased pressure from inflation, higher interest rates, and rising living costs.</w:t>
      </w:r>
    </w:p>
    <w:p w14:paraId="6B9EA6F7" w14:textId="77777777" w:rsidR="008A5841" w:rsidRPr="006A6D19" w:rsidRDefault="008A5841" w:rsidP="001609FA">
      <w:pPr>
        <w:rPr>
          <w:lang w:val="en-GB"/>
        </w:rPr>
      </w:pPr>
      <w:r w:rsidRPr="006A6D19">
        <w:rPr>
          <w:lang w:val="en-GB"/>
        </w:rPr>
        <w:t>Key priorities include:</w:t>
      </w:r>
    </w:p>
    <w:p w14:paraId="407832EA" w14:textId="77777777" w:rsidR="008A5841" w:rsidRPr="006A6D19" w:rsidRDefault="008A5841" w:rsidP="001609FA">
      <w:pPr>
        <w:pStyle w:val="Listebombe"/>
        <w:rPr>
          <w:lang w:val="en-GB"/>
        </w:rPr>
      </w:pPr>
      <w:r w:rsidRPr="006A6D19">
        <w:rPr>
          <w:lang w:val="en-GB"/>
        </w:rPr>
        <w:t>Strengthening purchasing power and reducing household costs.</w:t>
      </w:r>
    </w:p>
    <w:p w14:paraId="5E46051C" w14:textId="77777777" w:rsidR="008A5841" w:rsidRPr="006A6D19" w:rsidRDefault="008A5841" w:rsidP="001609FA">
      <w:pPr>
        <w:pStyle w:val="Listebombe"/>
        <w:rPr>
          <w:lang w:val="en-GB"/>
        </w:rPr>
      </w:pPr>
      <w:r w:rsidRPr="006A6D19">
        <w:rPr>
          <w:lang w:val="en-GB"/>
        </w:rPr>
        <w:t>Increasing employment, with more pathways into education, skills development, and work.</w:t>
      </w:r>
    </w:p>
    <w:p w14:paraId="3F3EF5AA" w14:textId="77777777" w:rsidR="008A5841" w:rsidRPr="006A6D19" w:rsidRDefault="008A5841" w:rsidP="001609FA">
      <w:pPr>
        <w:pStyle w:val="Listebombe"/>
        <w:rPr>
          <w:lang w:val="en-GB"/>
        </w:rPr>
      </w:pPr>
      <w:r w:rsidRPr="006A6D19">
        <w:rPr>
          <w:lang w:val="en-GB"/>
        </w:rPr>
        <w:t>Improving integration of immigrants into the labour market.</w:t>
      </w:r>
    </w:p>
    <w:p w14:paraId="6D634336" w14:textId="77777777" w:rsidR="008A5841" w:rsidRPr="006A6D19" w:rsidRDefault="008A5841" w:rsidP="001609FA">
      <w:pPr>
        <w:pStyle w:val="Listebombe"/>
        <w:rPr>
          <w:lang w:val="en-GB"/>
        </w:rPr>
      </w:pPr>
      <w:r w:rsidRPr="006A6D19">
        <w:rPr>
          <w:lang w:val="en-GB"/>
        </w:rPr>
        <w:t>Enabling the construction of 130,000 new homes by 2030.</w:t>
      </w:r>
    </w:p>
    <w:p w14:paraId="14166143" w14:textId="77777777" w:rsidR="008A5841" w:rsidRPr="006A6D19" w:rsidRDefault="008A5841" w:rsidP="00B765C1">
      <w:pPr>
        <w:pStyle w:val="Listebombe"/>
        <w:rPr>
          <w:lang w:val="en-GB"/>
        </w:rPr>
      </w:pPr>
      <w:r w:rsidRPr="006A6D19">
        <w:rPr>
          <w:lang w:val="en-GB"/>
        </w:rPr>
        <w:t>Modernising and improving the efficiency and quality of the public sector.</w:t>
      </w:r>
    </w:p>
    <w:p w14:paraId="399DF785" w14:textId="77777777" w:rsidR="008A5841" w:rsidRPr="006A6D19" w:rsidRDefault="008A5841" w:rsidP="001609FA">
      <w:pPr>
        <w:rPr>
          <w:lang w:val="en-GB"/>
        </w:rPr>
      </w:pPr>
      <w:r w:rsidRPr="006A6D19">
        <w:rPr>
          <w:lang w:val="en-GB"/>
        </w:rPr>
        <w:t>Relevant SDGs: 1, 8, 9, 10, 11 and 17.</w:t>
      </w:r>
    </w:p>
    <w:p w14:paraId="7C2D7B49" w14:textId="77777777" w:rsidR="008A5841" w:rsidRPr="006A6D19" w:rsidRDefault="008A5841" w:rsidP="001609FA">
      <w:pPr>
        <w:pStyle w:val="avsnitt-tittel"/>
        <w:rPr>
          <w:lang w:val="en-GB"/>
        </w:rPr>
      </w:pPr>
      <w:r w:rsidRPr="006A6D19">
        <w:rPr>
          <w:lang w:val="en-GB"/>
        </w:rPr>
        <w:t>Security for Working Life and Business</w:t>
      </w:r>
    </w:p>
    <w:p w14:paraId="77DF94C7" w14:textId="77777777" w:rsidR="008A5841" w:rsidRPr="006A6D19" w:rsidRDefault="008A5841" w:rsidP="001609FA">
      <w:pPr>
        <w:rPr>
          <w:lang w:val="en-GB"/>
        </w:rPr>
      </w:pPr>
      <w:r w:rsidRPr="006A6D19">
        <w:rPr>
          <w:lang w:val="en-GB"/>
        </w:rPr>
        <w:t>The plan aims to make Norway one of the best countries in the world to start businesses, create jobs, and develop new industries, while safeguarding Norwegian labour standards.</w:t>
      </w:r>
    </w:p>
    <w:p w14:paraId="575BA0D6" w14:textId="77777777" w:rsidR="008A5841" w:rsidRPr="006A6D19" w:rsidRDefault="008A5841" w:rsidP="001609FA">
      <w:pPr>
        <w:rPr>
          <w:lang w:val="en-GB"/>
        </w:rPr>
      </w:pPr>
      <w:r w:rsidRPr="006A6D19">
        <w:rPr>
          <w:lang w:val="en-GB"/>
        </w:rPr>
        <w:t>Key priorities include:</w:t>
      </w:r>
    </w:p>
    <w:p w14:paraId="71360609" w14:textId="77777777" w:rsidR="008A5841" w:rsidRPr="006A6D19" w:rsidRDefault="008A5841" w:rsidP="001609FA">
      <w:pPr>
        <w:pStyle w:val="Listebombe"/>
        <w:rPr>
          <w:lang w:val="en-GB"/>
        </w:rPr>
      </w:pPr>
      <w:r w:rsidRPr="006A6D19">
        <w:rPr>
          <w:lang w:val="en-GB"/>
        </w:rPr>
        <w:t>Strengthening competitiveness.</w:t>
      </w:r>
    </w:p>
    <w:p w14:paraId="40926E5F" w14:textId="77777777" w:rsidR="008A5841" w:rsidRPr="006A6D19" w:rsidRDefault="008A5841" w:rsidP="001609FA">
      <w:pPr>
        <w:pStyle w:val="Listebombe"/>
        <w:rPr>
          <w:lang w:val="en-GB"/>
        </w:rPr>
      </w:pPr>
      <w:r w:rsidRPr="006A6D19">
        <w:rPr>
          <w:lang w:val="en-GB"/>
        </w:rPr>
        <w:t>Advancing the transition towards a low-emission society, combining emission cuts with job creation and competitiveness.</w:t>
      </w:r>
    </w:p>
    <w:p w14:paraId="4CA109F4" w14:textId="77777777" w:rsidR="008A5841" w:rsidRPr="006A6D19" w:rsidRDefault="008A5841" w:rsidP="001609FA">
      <w:pPr>
        <w:pStyle w:val="Listebombe"/>
        <w:rPr>
          <w:lang w:val="en-GB"/>
        </w:rPr>
      </w:pPr>
      <w:r w:rsidRPr="006A6D19">
        <w:rPr>
          <w:lang w:val="en-GB"/>
        </w:rPr>
        <w:t>A rules</w:t>
      </w:r>
      <w:r w:rsidRPr="006A6D19">
        <w:rPr>
          <w:lang w:val="en-GB"/>
        </w:rPr>
        <w:noBreakHyphen/>
        <w:t>based trading system and securing market access for Norwegian companies.</w:t>
      </w:r>
    </w:p>
    <w:p w14:paraId="5907AE81" w14:textId="77777777" w:rsidR="008A5841" w:rsidRPr="006A6D19" w:rsidRDefault="008A5841" w:rsidP="001609FA">
      <w:pPr>
        <w:pStyle w:val="Listebombe"/>
        <w:rPr>
          <w:lang w:val="en-GB"/>
        </w:rPr>
      </w:pPr>
      <w:r w:rsidRPr="006A6D19">
        <w:rPr>
          <w:lang w:val="en-GB"/>
        </w:rPr>
        <w:lastRenderedPageBreak/>
        <w:t>A fair and forward-looking tax system, including a new tax commission to strengthen long-term competitiveness and equity.</w:t>
      </w:r>
    </w:p>
    <w:p w14:paraId="16BE750A" w14:textId="77777777" w:rsidR="008A5841" w:rsidRPr="006A6D19" w:rsidRDefault="008A5841" w:rsidP="001609FA">
      <w:pPr>
        <w:pStyle w:val="Listebombe"/>
        <w:rPr>
          <w:lang w:val="en-GB"/>
        </w:rPr>
      </w:pPr>
      <w:r w:rsidRPr="006A6D19">
        <w:rPr>
          <w:lang w:val="en-GB"/>
        </w:rPr>
        <w:t>Maintaining strong and well-organised labour market with higher unionisation, more full-time employment, and stricter measures against social dumping and labour-related crime.</w:t>
      </w:r>
    </w:p>
    <w:p w14:paraId="239CC2DF" w14:textId="77777777" w:rsidR="008A5841" w:rsidRPr="006A6D19" w:rsidRDefault="008A5841" w:rsidP="00B765C1">
      <w:pPr>
        <w:pStyle w:val="Listebombe"/>
        <w:rPr>
          <w:lang w:val="en-GB"/>
        </w:rPr>
      </w:pPr>
      <w:r w:rsidRPr="006A6D19">
        <w:rPr>
          <w:lang w:val="en-GB"/>
        </w:rPr>
        <w:t>Responsible and secure deployment of artificial intelligence.</w:t>
      </w:r>
    </w:p>
    <w:p w14:paraId="4FECAE5E" w14:textId="77777777" w:rsidR="008A5841" w:rsidRPr="006A6D19" w:rsidRDefault="008A5841" w:rsidP="001609FA">
      <w:pPr>
        <w:rPr>
          <w:lang w:val="en-GB"/>
        </w:rPr>
      </w:pPr>
      <w:r w:rsidRPr="006A6D19">
        <w:rPr>
          <w:lang w:val="en-GB"/>
        </w:rPr>
        <w:t>Relevant SDGs: 8, 9, 7, 13 and 17.</w:t>
      </w:r>
    </w:p>
    <w:p w14:paraId="45EA1F52" w14:textId="77777777" w:rsidR="008A5841" w:rsidRPr="006A6D19" w:rsidRDefault="008A5841" w:rsidP="001609FA">
      <w:pPr>
        <w:pStyle w:val="avsnitt-tittel"/>
        <w:rPr>
          <w:lang w:val="en-GB"/>
        </w:rPr>
      </w:pPr>
      <w:r w:rsidRPr="006A6D19">
        <w:rPr>
          <w:lang w:val="en-GB"/>
        </w:rPr>
        <w:t>Security for Children and Young People</w:t>
      </w:r>
    </w:p>
    <w:p w14:paraId="41C05818" w14:textId="77777777" w:rsidR="008A5841" w:rsidRPr="006A6D19" w:rsidRDefault="008A5841" w:rsidP="001609FA">
      <w:pPr>
        <w:rPr>
          <w:lang w:val="en-GB"/>
        </w:rPr>
      </w:pPr>
      <w:r w:rsidRPr="006A6D19">
        <w:rPr>
          <w:lang w:val="en-GB"/>
        </w:rPr>
        <w:t>The plan prioritises equal opportunities, inclusion, and the prevention of long-term exclusion among children and young people.</w:t>
      </w:r>
    </w:p>
    <w:p w14:paraId="0B005941" w14:textId="77777777" w:rsidR="008A5841" w:rsidRPr="006A6D19" w:rsidRDefault="008A5841" w:rsidP="001609FA">
      <w:pPr>
        <w:rPr>
          <w:lang w:val="en-GB"/>
        </w:rPr>
      </w:pPr>
      <w:r w:rsidRPr="006A6D19">
        <w:rPr>
          <w:lang w:val="en-GB"/>
        </w:rPr>
        <w:t>Key priorities include:</w:t>
      </w:r>
    </w:p>
    <w:p w14:paraId="276CBF7F" w14:textId="77777777" w:rsidR="008A5841" w:rsidRPr="006A6D19" w:rsidRDefault="008A5841" w:rsidP="001609FA">
      <w:pPr>
        <w:pStyle w:val="Listebombe"/>
        <w:rPr>
          <w:lang w:val="en-GB"/>
        </w:rPr>
      </w:pPr>
      <w:r w:rsidRPr="006A6D19">
        <w:rPr>
          <w:lang w:val="en-GB"/>
        </w:rPr>
        <w:t>Improving learning outcomes in schools, especially reading, writing, and numeracy, while reducing excessive screen use. Launching a national Reading Initiative and strengthening libraries and reading culture.</w:t>
      </w:r>
    </w:p>
    <w:p w14:paraId="11FB3D69" w14:textId="77777777" w:rsidR="008A5841" w:rsidRPr="006A6D19" w:rsidRDefault="008A5841" w:rsidP="001609FA">
      <w:pPr>
        <w:pStyle w:val="Listebombe"/>
        <w:rPr>
          <w:lang w:val="en-GB"/>
        </w:rPr>
      </w:pPr>
      <w:r w:rsidRPr="006A6D19">
        <w:rPr>
          <w:lang w:val="en-GB"/>
        </w:rPr>
        <w:t>Reducing the number of young people not in education or work.</w:t>
      </w:r>
    </w:p>
    <w:p w14:paraId="6E6FA98D" w14:textId="77777777" w:rsidR="008A5841" w:rsidRPr="006A6D19" w:rsidRDefault="008A5841" w:rsidP="001609FA">
      <w:pPr>
        <w:pStyle w:val="Listebombe"/>
        <w:rPr>
          <w:lang w:val="en-GB"/>
        </w:rPr>
      </w:pPr>
      <w:r w:rsidRPr="006A6D19">
        <w:rPr>
          <w:lang w:val="en-GB"/>
        </w:rPr>
        <w:t>Faster and more effective responses to youth crime, combined with strengthened preventive services and follow-up.</w:t>
      </w:r>
    </w:p>
    <w:p w14:paraId="4CC88035" w14:textId="77777777" w:rsidR="008A5841" w:rsidRPr="006A6D19" w:rsidRDefault="008A5841" w:rsidP="001609FA">
      <w:pPr>
        <w:pStyle w:val="Listebombe"/>
        <w:rPr>
          <w:lang w:val="en-GB"/>
        </w:rPr>
      </w:pPr>
      <w:r w:rsidRPr="006A6D19">
        <w:rPr>
          <w:lang w:val="en-GB"/>
        </w:rPr>
        <w:t>Safeguarding a secure digital upbringing for children, including age limits on social media and stronger regulation of tech platforms.</w:t>
      </w:r>
    </w:p>
    <w:p w14:paraId="42EB4001" w14:textId="77777777" w:rsidR="008A5841" w:rsidRPr="006A6D19" w:rsidRDefault="008A5841" w:rsidP="00B765C1">
      <w:pPr>
        <w:pStyle w:val="Listebombe"/>
        <w:rPr>
          <w:lang w:val="en-GB"/>
        </w:rPr>
      </w:pPr>
      <w:r w:rsidRPr="006A6D19">
        <w:rPr>
          <w:lang w:val="en-GB"/>
        </w:rPr>
        <w:t>Ensuring access to culture, sports, volunteering, and community life throughout the country</w:t>
      </w:r>
    </w:p>
    <w:p w14:paraId="56033C88" w14:textId="77777777" w:rsidR="008A5841" w:rsidRPr="006A6D19" w:rsidRDefault="008A5841" w:rsidP="001609FA">
      <w:pPr>
        <w:rPr>
          <w:lang w:val="en-GB"/>
        </w:rPr>
      </w:pPr>
      <w:r w:rsidRPr="006A6D19">
        <w:rPr>
          <w:lang w:val="en-GB"/>
        </w:rPr>
        <w:t>Relevant SDGs: 1, 3, 4, 10 and 16.</w:t>
      </w:r>
    </w:p>
    <w:p w14:paraId="553602E6" w14:textId="77777777" w:rsidR="008A5841" w:rsidRPr="006A6D19" w:rsidRDefault="008A5841" w:rsidP="001609FA">
      <w:pPr>
        <w:pStyle w:val="avsnitt-tittel"/>
        <w:rPr>
          <w:lang w:val="en-GB"/>
        </w:rPr>
      </w:pPr>
      <w:r w:rsidRPr="006A6D19">
        <w:rPr>
          <w:lang w:val="en-GB"/>
        </w:rPr>
        <w:t>Security for Health</w:t>
      </w:r>
    </w:p>
    <w:p w14:paraId="141A1510" w14:textId="77777777" w:rsidR="008A5841" w:rsidRPr="006A6D19" w:rsidRDefault="008A5841" w:rsidP="001609FA">
      <w:pPr>
        <w:rPr>
          <w:lang w:val="en-GB"/>
        </w:rPr>
      </w:pPr>
      <w:r w:rsidRPr="006A6D19">
        <w:rPr>
          <w:lang w:val="en-GB"/>
        </w:rPr>
        <w:t>Health policy under the plan is centred on accessible, high-quality services, stronger prevention, and long-term sustainability in the health system.</w:t>
      </w:r>
    </w:p>
    <w:p w14:paraId="47A6C2AE" w14:textId="77777777" w:rsidR="008A5841" w:rsidRPr="006A6D19" w:rsidRDefault="008A5841" w:rsidP="001609FA">
      <w:pPr>
        <w:rPr>
          <w:lang w:val="en-GB"/>
        </w:rPr>
      </w:pPr>
      <w:r w:rsidRPr="006A6D19">
        <w:rPr>
          <w:lang w:val="en-GB"/>
        </w:rPr>
        <w:t>Key priorities include:</w:t>
      </w:r>
    </w:p>
    <w:p w14:paraId="63876C11" w14:textId="77777777" w:rsidR="008A5841" w:rsidRPr="006A6D19" w:rsidRDefault="008A5841" w:rsidP="001609FA">
      <w:pPr>
        <w:pStyle w:val="Listebombe"/>
        <w:rPr>
          <w:lang w:val="en-GB"/>
        </w:rPr>
      </w:pPr>
      <w:r w:rsidRPr="006A6D19">
        <w:rPr>
          <w:lang w:val="en-GB"/>
        </w:rPr>
        <w:t>Promoting a healthier population, by ensuring equal access to health services throughout the country and strengthening mental health services.</w:t>
      </w:r>
    </w:p>
    <w:p w14:paraId="5D49C6BA" w14:textId="77777777" w:rsidR="008A5841" w:rsidRPr="006A6D19" w:rsidRDefault="008A5841" w:rsidP="001609FA">
      <w:pPr>
        <w:pStyle w:val="Listebombe"/>
        <w:rPr>
          <w:lang w:val="en-GB"/>
        </w:rPr>
      </w:pPr>
      <w:r w:rsidRPr="006A6D19">
        <w:rPr>
          <w:lang w:val="en-GB"/>
        </w:rPr>
        <w:t>Reducing waiting times and further strengthening the General Practitioner scheme.</w:t>
      </w:r>
    </w:p>
    <w:p w14:paraId="7259C5C1" w14:textId="77777777" w:rsidR="008A5841" w:rsidRPr="006A6D19" w:rsidRDefault="008A5841" w:rsidP="001609FA">
      <w:pPr>
        <w:pStyle w:val="Listebombe"/>
        <w:rPr>
          <w:lang w:val="en-GB"/>
        </w:rPr>
      </w:pPr>
      <w:r w:rsidRPr="006A6D19">
        <w:rPr>
          <w:lang w:val="en-GB"/>
        </w:rPr>
        <w:t>Preparing the health system for an ageing population.</w:t>
      </w:r>
    </w:p>
    <w:p w14:paraId="79046470" w14:textId="77777777" w:rsidR="008A5841" w:rsidRPr="006A6D19" w:rsidRDefault="008A5841" w:rsidP="00B765C1">
      <w:pPr>
        <w:pStyle w:val="Listebombe"/>
        <w:rPr>
          <w:lang w:val="en-GB"/>
        </w:rPr>
      </w:pPr>
      <w:r w:rsidRPr="006A6D19">
        <w:rPr>
          <w:lang w:val="en-GB"/>
        </w:rPr>
        <w:t>Implementing a comprehensive health reform to secure world-class services in the future.</w:t>
      </w:r>
    </w:p>
    <w:p w14:paraId="388E091C" w14:textId="77777777" w:rsidR="008A5841" w:rsidRPr="006A6D19" w:rsidRDefault="008A5841" w:rsidP="001609FA">
      <w:pPr>
        <w:rPr>
          <w:lang w:val="en-GB"/>
        </w:rPr>
      </w:pPr>
      <w:r w:rsidRPr="006A6D19">
        <w:rPr>
          <w:lang w:val="en-GB"/>
        </w:rPr>
        <w:t>Relevant SDGs: 3, 10 and 8.</w:t>
      </w:r>
    </w:p>
    <w:p w14:paraId="3C004AB8" w14:textId="77777777" w:rsidR="008A5841" w:rsidRPr="006A6D19" w:rsidRDefault="008A5841" w:rsidP="001609FA">
      <w:pPr>
        <w:pStyle w:val="avsnitt-tittel"/>
        <w:rPr>
          <w:lang w:val="en-GB"/>
        </w:rPr>
      </w:pPr>
      <w:r w:rsidRPr="006A6D19">
        <w:rPr>
          <w:lang w:val="en-GB"/>
        </w:rPr>
        <w:t>Security for the Country</w:t>
      </w:r>
    </w:p>
    <w:p w14:paraId="723F3C9F" w14:textId="77777777" w:rsidR="008A5841" w:rsidRPr="006A6D19" w:rsidRDefault="008A5841" w:rsidP="001609FA">
      <w:pPr>
        <w:rPr>
          <w:lang w:val="en-GB"/>
        </w:rPr>
      </w:pPr>
      <w:r w:rsidRPr="006A6D19">
        <w:rPr>
          <w:lang w:val="en-GB"/>
        </w:rPr>
        <w:t>The plan adopts a broad understanding of national security, combining defence, preparedness, economic security, democratic resilience, and international cooperation.</w:t>
      </w:r>
    </w:p>
    <w:p w14:paraId="7F05A069" w14:textId="77777777" w:rsidR="008A5841" w:rsidRPr="006A6D19" w:rsidRDefault="008A5841" w:rsidP="001609FA">
      <w:pPr>
        <w:rPr>
          <w:lang w:val="en-GB"/>
        </w:rPr>
      </w:pPr>
      <w:r w:rsidRPr="006A6D19">
        <w:rPr>
          <w:lang w:val="en-GB"/>
        </w:rPr>
        <w:lastRenderedPageBreak/>
        <w:t>Key priorities include:</w:t>
      </w:r>
    </w:p>
    <w:p w14:paraId="15E7D7B4" w14:textId="77777777" w:rsidR="008A5841" w:rsidRPr="006A6D19" w:rsidRDefault="008A5841" w:rsidP="001609FA">
      <w:pPr>
        <w:pStyle w:val="Listebombe"/>
        <w:rPr>
          <w:lang w:val="en-GB"/>
        </w:rPr>
      </w:pPr>
      <w:r w:rsidRPr="006A6D19">
        <w:rPr>
          <w:lang w:val="en-GB"/>
        </w:rPr>
        <w:t>Rapidly strengthening defence capabilities and moving towards NATO’s long-term defence spending targets.</w:t>
      </w:r>
    </w:p>
    <w:p w14:paraId="7A4ADC18" w14:textId="77777777" w:rsidR="008A5841" w:rsidRPr="006A6D19" w:rsidRDefault="008A5841" w:rsidP="001609FA">
      <w:pPr>
        <w:pStyle w:val="Listebombe"/>
        <w:rPr>
          <w:lang w:val="en-GB"/>
        </w:rPr>
      </w:pPr>
      <w:r w:rsidRPr="006A6D19">
        <w:rPr>
          <w:lang w:val="en-GB"/>
        </w:rPr>
        <w:t>Enhancing civil preparedness and resilience of communities and critical infrastructure.</w:t>
      </w:r>
    </w:p>
    <w:p w14:paraId="24EA7E67" w14:textId="77777777" w:rsidR="008A5841" w:rsidRPr="006A6D19" w:rsidRDefault="008A5841" w:rsidP="001609FA">
      <w:pPr>
        <w:pStyle w:val="Listebombe"/>
        <w:rPr>
          <w:lang w:val="en-GB"/>
        </w:rPr>
      </w:pPr>
      <w:r w:rsidRPr="006A6D19">
        <w:rPr>
          <w:lang w:val="en-GB"/>
        </w:rPr>
        <w:t>Improving economic security, including control of strategic investments and closer cooperation with the EU.</w:t>
      </w:r>
    </w:p>
    <w:p w14:paraId="53000EA8" w14:textId="77777777" w:rsidR="008A5841" w:rsidRPr="006A6D19" w:rsidRDefault="008A5841" w:rsidP="001609FA">
      <w:pPr>
        <w:pStyle w:val="Listebombe"/>
        <w:rPr>
          <w:lang w:val="en-GB"/>
        </w:rPr>
      </w:pPr>
      <w:r w:rsidRPr="006A6D19">
        <w:rPr>
          <w:lang w:val="en-GB"/>
        </w:rPr>
        <w:t>Upholding international law, human rights and a strong UN. Maintain a high level of international aid.</w:t>
      </w:r>
    </w:p>
    <w:p w14:paraId="443F29AF" w14:textId="77777777" w:rsidR="008A5841" w:rsidRPr="006A6D19" w:rsidRDefault="008A5841" w:rsidP="001609FA">
      <w:pPr>
        <w:pStyle w:val="Listebombe"/>
        <w:rPr>
          <w:lang w:val="en-GB"/>
        </w:rPr>
      </w:pPr>
      <w:r w:rsidRPr="006A6D19">
        <w:rPr>
          <w:lang w:val="en-GB"/>
        </w:rPr>
        <w:t>Combating organised crime and criminal networks through strengthened policing and legal provisions.</w:t>
      </w:r>
    </w:p>
    <w:p w14:paraId="462EF292" w14:textId="77777777" w:rsidR="008A5841" w:rsidRPr="006A6D19" w:rsidRDefault="008A5841" w:rsidP="00B765C1">
      <w:pPr>
        <w:pStyle w:val="Listebombe"/>
        <w:rPr>
          <w:lang w:val="en-GB"/>
        </w:rPr>
      </w:pPr>
      <w:r w:rsidRPr="006A6D19">
        <w:rPr>
          <w:lang w:val="en-GB"/>
        </w:rPr>
        <w:t>Maintaining a controlled, fair, and sustainable immigration policy.</w:t>
      </w:r>
    </w:p>
    <w:p w14:paraId="6DBD96A0" w14:textId="38EC96FA" w:rsidR="008A5841" w:rsidRPr="006A6D19" w:rsidRDefault="008A5841" w:rsidP="001609FA">
      <w:pPr>
        <w:rPr>
          <w:lang w:val="en-GB"/>
        </w:rPr>
      </w:pPr>
      <w:r w:rsidRPr="006A6D19">
        <w:rPr>
          <w:lang w:val="en-GB"/>
        </w:rPr>
        <w:t>Relevant SDGs: 16 and 17.</w:t>
      </w:r>
    </w:p>
    <w:p w14:paraId="1D4875DB" w14:textId="77777777" w:rsidR="008A5841" w:rsidRPr="006A6D19" w:rsidRDefault="008A5841" w:rsidP="008F7045">
      <w:pPr>
        <w:pStyle w:val="Overskrift1"/>
        <w:pageBreakBefore/>
        <w:rPr>
          <w:lang w:val="en-GB"/>
        </w:rPr>
      </w:pPr>
      <w:r w:rsidRPr="006A6D19">
        <w:rPr>
          <w:lang w:val="en-GB"/>
        </w:rPr>
        <w:lastRenderedPageBreak/>
        <w:t>Statistical Annex</w:t>
      </w:r>
    </w:p>
    <w:p w14:paraId="3AFDD8DE" w14:textId="5CF1EE99" w:rsidR="00C53CF7" w:rsidRPr="006A6D19" w:rsidRDefault="00C53CF7" w:rsidP="001609FA">
      <w:pPr>
        <w:rPr>
          <w:lang w:val="en-GB"/>
        </w:rPr>
      </w:pPr>
      <w:r w:rsidRPr="006A6D19">
        <w:rPr>
          <w:noProof/>
          <w:lang w:val="en-GB"/>
        </w:rPr>
        <w:drawing>
          <wp:inline distT="0" distB="0" distL="0" distR="0" wp14:anchorId="533F9746" wp14:editId="36069FB9">
            <wp:extent cx="6638925" cy="1962150"/>
            <wp:effectExtent l="0" t="0" r="9525" b="0"/>
            <wp:docPr id="655217324" name="Bilde 40" descr="Decorative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217324" name="Bilde 40" descr="Decorative illustration"/>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638925" cy="1962150"/>
                    </a:xfrm>
                    <a:prstGeom prst="rect">
                      <a:avLst/>
                    </a:prstGeom>
                    <a:noFill/>
                    <a:ln>
                      <a:noFill/>
                    </a:ln>
                  </pic:spPr>
                </pic:pic>
              </a:graphicData>
            </a:graphic>
          </wp:inline>
        </w:drawing>
      </w:r>
    </w:p>
    <w:p w14:paraId="7FDE249A" w14:textId="6768CFEE" w:rsidR="008A5841" w:rsidRPr="006A6D19" w:rsidRDefault="008A5841" w:rsidP="001609FA">
      <w:pPr>
        <w:rPr>
          <w:lang w:val="en-GB"/>
        </w:rPr>
      </w:pPr>
      <w:r w:rsidRPr="006A6D19">
        <w:rPr>
          <w:lang w:val="en-GB"/>
        </w:rPr>
        <w:t xml:space="preserve">Statistical Annex to the Norwegian Voluntary National Review 2026: </w:t>
      </w:r>
      <w:r w:rsidRPr="006A6D19">
        <w:rPr>
          <w:lang w:val="en-GB"/>
        </w:rPr>
        <w:br/>
      </w:r>
      <w:hyperlink r:id="rId74" w:history="1">
        <w:r w:rsidRPr="006A6D19">
          <w:rPr>
            <w:rStyle w:val="Hyperkobling"/>
            <w:lang w:val="en-GB"/>
          </w:rPr>
          <w:t>Sustainable Development Goals – Indicators for Norway</w:t>
        </w:r>
      </w:hyperlink>
      <w:r w:rsidRPr="006A6D19">
        <w:rPr>
          <w:lang w:val="en-GB"/>
        </w:rPr>
        <w:t xml:space="preserve"> </w:t>
      </w:r>
    </w:p>
    <w:p w14:paraId="082F242E" w14:textId="77777777" w:rsidR="008A5841" w:rsidRPr="006A6D19" w:rsidRDefault="008A5841" w:rsidP="001609FA">
      <w:pPr>
        <w:rPr>
          <w:lang w:val="en-GB"/>
        </w:rPr>
      </w:pPr>
      <w:r w:rsidRPr="006A6D19">
        <w:rPr>
          <w:lang w:val="en-GB"/>
        </w:rPr>
        <w:t>Provided by: Statistics Norway.</w:t>
      </w:r>
    </w:p>
    <w:sectPr w:rsidR="00000000" w:rsidRPr="006A6D19">
      <w:pgSz w:w="11906" w:h="16838"/>
      <w:pgMar w:top="737" w:right="720" w:bottom="720" w:left="72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9B141" w14:textId="77777777" w:rsidR="008A5841" w:rsidRDefault="008A5841">
      <w:pPr>
        <w:spacing w:before="0" w:after="0" w:line="240" w:lineRule="auto"/>
      </w:pPr>
      <w:r>
        <w:separator/>
      </w:r>
    </w:p>
  </w:endnote>
  <w:endnote w:type="continuationSeparator" w:id="0">
    <w:p w14:paraId="3C46546E" w14:textId="77777777" w:rsidR="008A5841" w:rsidRDefault="008A584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 w:name="MinionPro-Regular">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Open Sans Semibold">
    <w:panose1 w:val="020B07060308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UniCentury Old Style">
    <w:panose1 w:val="02030603060405030204"/>
    <w:charset w:val="00"/>
    <w:family w:val="roman"/>
    <w:pitch w:val="variable"/>
    <w:sig w:usb0="00000007"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3800A" w14:textId="77777777" w:rsidR="008A5841" w:rsidRDefault="008A5841">
      <w:pPr>
        <w:spacing w:before="0" w:after="0" w:line="240" w:lineRule="auto"/>
      </w:pPr>
      <w:r>
        <w:separator/>
      </w:r>
    </w:p>
  </w:footnote>
  <w:footnote w:type="continuationSeparator" w:id="0">
    <w:p w14:paraId="746ABE39" w14:textId="77777777" w:rsidR="008A5841" w:rsidRDefault="008A5841">
      <w:pPr>
        <w:spacing w:before="0" w:after="0" w:line="240" w:lineRule="auto"/>
      </w:pPr>
      <w:r>
        <w:continuationSeparator/>
      </w:r>
    </w:p>
  </w:footnote>
  <w:footnote w:id="1">
    <w:p w14:paraId="6D083F2C" w14:textId="72E9B4B8" w:rsidR="008A5841" w:rsidRPr="001609FA" w:rsidRDefault="008A5841" w:rsidP="001609FA">
      <w:pPr>
        <w:pStyle w:val="Fotnotetekst"/>
        <w:rPr>
          <w:lang w:val="en-GB"/>
        </w:rPr>
      </w:pPr>
      <w:r w:rsidRPr="001609FA">
        <w:rPr>
          <w:rStyle w:val="Fotnotereferanse"/>
        </w:rPr>
        <w:footnoteRef/>
      </w:r>
      <w:r w:rsidRPr="001609FA">
        <w:rPr>
          <w:lang w:val="en-GB"/>
        </w:rPr>
        <w:tab/>
        <w:t>Fixed low-income threshold based on the low-income threshold for 2007–2009, annually price-adjusted. Current low-</w:t>
      </w:r>
      <w:r w:rsidRPr="001609FA">
        <w:rPr>
          <w:lang w:val="en-GB"/>
        </w:rPr>
        <w:t>income threshold based on distance to the three-year median.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196A"/>
    <w:multiLevelType w:val="hybridMultilevel"/>
    <w:tmpl w:val="E15872F0"/>
    <w:styleLink w:val="l-ListeStilMal"/>
    <w:lvl w:ilvl="0" w:tplc="D4F43E00">
      <w:start w:val="1"/>
      <w:numFmt w:val="decimal"/>
      <w:lvlText w:val="Vedlegg %1."/>
      <w:lvlJc w:val="left"/>
      <w:pPr>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18903D5"/>
    <w:multiLevelType w:val="multilevel"/>
    <w:tmpl w:val="347E354A"/>
    <w:styleLink w:val="NrListeStil"/>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decimal"/>
      <w:lvlText w:val="%3."/>
      <w:lvlJc w:val="left"/>
      <w:pPr>
        <w:tabs>
          <w:tab w:val="num" w:pos="1191"/>
        </w:tabs>
        <w:ind w:left="1191" w:hanging="397"/>
      </w:pPr>
      <w:rPr>
        <w:rFonts w:hint="default"/>
      </w:rPr>
    </w:lvl>
    <w:lvl w:ilvl="3">
      <w:start w:val="1"/>
      <w:numFmt w:val="decimal"/>
      <w:lvlText w:val="%4."/>
      <w:lvlJc w:val="left"/>
      <w:pPr>
        <w:tabs>
          <w:tab w:val="num" w:pos="1588"/>
        </w:tabs>
        <w:ind w:left="1588" w:hanging="397"/>
      </w:pPr>
      <w:rPr>
        <w:rFonts w:hint="default"/>
      </w:rPr>
    </w:lvl>
    <w:lvl w:ilvl="4">
      <w:start w:val="1"/>
      <w:numFmt w:val="decimal"/>
      <w:lvlText w:val="%5."/>
      <w:lvlJc w:val="left"/>
      <w:pPr>
        <w:tabs>
          <w:tab w:val="num" w:pos="1985"/>
        </w:tabs>
        <w:ind w:left="1985" w:hanging="397"/>
      </w:pPr>
      <w:rPr>
        <w:rFonts w:hint="default"/>
      </w:rPr>
    </w:lvl>
    <w:lvl w:ilvl="5">
      <w:start w:val="1"/>
      <w:numFmt w:val="lowerRoman"/>
      <w:lvlText w:val="(%6)"/>
      <w:lvlJc w:val="lef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left"/>
      <w:pPr>
        <w:tabs>
          <w:tab w:val="num" w:pos="3573"/>
        </w:tabs>
        <w:ind w:left="3573" w:hanging="397"/>
      </w:pPr>
      <w:rPr>
        <w:rFonts w:hint="default"/>
      </w:rPr>
    </w:lvl>
  </w:abstractNum>
  <w:abstractNum w:abstractNumId="2" w15:restartNumberingAfterBreak="0">
    <w:nsid w:val="055B2B6A"/>
    <w:multiLevelType w:val="singleLevel"/>
    <w:tmpl w:val="36C6BC30"/>
    <w:lvl w:ilvl="0">
      <w:start w:val="1"/>
      <w:numFmt w:val="bullet"/>
      <w:pStyle w:val="Punktliste5"/>
      <w:lvlText w:val=""/>
      <w:lvlJc w:val="left"/>
      <w:pPr>
        <w:tabs>
          <w:tab w:val="num" w:pos="1800"/>
        </w:tabs>
        <w:ind w:left="1746" w:hanging="306"/>
      </w:pPr>
      <w:rPr>
        <w:rFonts w:ascii="Symbol" w:hAnsi="Symbol" w:hint="default"/>
      </w:rPr>
    </w:lvl>
  </w:abstractNum>
  <w:abstractNum w:abstractNumId="3" w15:restartNumberingAfterBreak="0">
    <w:nsid w:val="06DE23F1"/>
    <w:multiLevelType w:val="singleLevel"/>
    <w:tmpl w:val="4A32CF16"/>
    <w:lvl w:ilvl="0">
      <w:start w:val="1"/>
      <w:numFmt w:val="bullet"/>
      <w:pStyle w:val="Listebombe"/>
      <w:lvlText w:val=""/>
      <w:lvlJc w:val="left"/>
      <w:pPr>
        <w:ind w:left="360" w:hanging="360"/>
      </w:pPr>
      <w:rPr>
        <w:rFonts w:ascii="Symbol" w:hAnsi="Symbol" w:hint="default"/>
      </w:rPr>
    </w:lvl>
  </w:abstractNum>
  <w:abstractNum w:abstractNumId="4" w15:restartNumberingAfterBreak="0">
    <w:nsid w:val="08FF505F"/>
    <w:multiLevelType w:val="hybridMultilevel"/>
    <w:tmpl w:val="0068EECE"/>
    <w:lvl w:ilvl="0" w:tplc="5E44CE54">
      <w:start w:val="1"/>
      <w:numFmt w:val="bullet"/>
      <w:pStyle w:val="Liste4"/>
      <w:lvlText w:val="-"/>
      <w:lvlJc w:val="left"/>
      <w:pPr>
        <w:ind w:left="1911" w:hanging="360"/>
      </w:pPr>
      <w:rPr>
        <w:rFonts w:ascii="Arial" w:hAnsi="Arial" w:hint="default"/>
      </w:rPr>
    </w:lvl>
    <w:lvl w:ilvl="1" w:tplc="04140003" w:tentative="1">
      <w:start w:val="1"/>
      <w:numFmt w:val="bullet"/>
      <w:lvlText w:val="o"/>
      <w:lvlJc w:val="left"/>
      <w:pPr>
        <w:ind w:left="2631" w:hanging="360"/>
      </w:pPr>
      <w:rPr>
        <w:rFonts w:ascii="Courier New" w:hAnsi="Courier New" w:cs="Courier New" w:hint="default"/>
      </w:rPr>
    </w:lvl>
    <w:lvl w:ilvl="2" w:tplc="04140005" w:tentative="1">
      <w:start w:val="1"/>
      <w:numFmt w:val="bullet"/>
      <w:lvlText w:val=""/>
      <w:lvlJc w:val="left"/>
      <w:pPr>
        <w:ind w:left="3351" w:hanging="360"/>
      </w:pPr>
      <w:rPr>
        <w:rFonts w:ascii="Wingdings" w:hAnsi="Wingdings" w:hint="default"/>
      </w:rPr>
    </w:lvl>
    <w:lvl w:ilvl="3" w:tplc="04140001" w:tentative="1">
      <w:start w:val="1"/>
      <w:numFmt w:val="bullet"/>
      <w:lvlText w:val=""/>
      <w:lvlJc w:val="left"/>
      <w:pPr>
        <w:ind w:left="4071" w:hanging="360"/>
      </w:pPr>
      <w:rPr>
        <w:rFonts w:ascii="Symbol" w:hAnsi="Symbol" w:hint="default"/>
      </w:rPr>
    </w:lvl>
    <w:lvl w:ilvl="4" w:tplc="04140003" w:tentative="1">
      <w:start w:val="1"/>
      <w:numFmt w:val="bullet"/>
      <w:lvlText w:val="o"/>
      <w:lvlJc w:val="left"/>
      <w:pPr>
        <w:ind w:left="4791" w:hanging="360"/>
      </w:pPr>
      <w:rPr>
        <w:rFonts w:ascii="Courier New" w:hAnsi="Courier New" w:cs="Courier New" w:hint="default"/>
      </w:rPr>
    </w:lvl>
    <w:lvl w:ilvl="5" w:tplc="04140005" w:tentative="1">
      <w:start w:val="1"/>
      <w:numFmt w:val="bullet"/>
      <w:lvlText w:val=""/>
      <w:lvlJc w:val="left"/>
      <w:pPr>
        <w:ind w:left="5511" w:hanging="360"/>
      </w:pPr>
      <w:rPr>
        <w:rFonts w:ascii="Wingdings" w:hAnsi="Wingdings" w:hint="default"/>
      </w:rPr>
    </w:lvl>
    <w:lvl w:ilvl="6" w:tplc="04140001" w:tentative="1">
      <w:start w:val="1"/>
      <w:numFmt w:val="bullet"/>
      <w:lvlText w:val=""/>
      <w:lvlJc w:val="left"/>
      <w:pPr>
        <w:ind w:left="6231" w:hanging="360"/>
      </w:pPr>
      <w:rPr>
        <w:rFonts w:ascii="Symbol" w:hAnsi="Symbol" w:hint="default"/>
      </w:rPr>
    </w:lvl>
    <w:lvl w:ilvl="7" w:tplc="04140003" w:tentative="1">
      <w:start w:val="1"/>
      <w:numFmt w:val="bullet"/>
      <w:lvlText w:val="o"/>
      <w:lvlJc w:val="left"/>
      <w:pPr>
        <w:ind w:left="6951" w:hanging="360"/>
      </w:pPr>
      <w:rPr>
        <w:rFonts w:ascii="Courier New" w:hAnsi="Courier New" w:cs="Courier New" w:hint="default"/>
      </w:rPr>
    </w:lvl>
    <w:lvl w:ilvl="8" w:tplc="04140005" w:tentative="1">
      <w:start w:val="1"/>
      <w:numFmt w:val="bullet"/>
      <w:lvlText w:val=""/>
      <w:lvlJc w:val="left"/>
      <w:pPr>
        <w:ind w:left="7671" w:hanging="360"/>
      </w:pPr>
      <w:rPr>
        <w:rFonts w:ascii="Wingdings" w:hAnsi="Wingdings" w:hint="default"/>
      </w:rPr>
    </w:lvl>
  </w:abstractNum>
  <w:abstractNum w:abstractNumId="5" w15:restartNumberingAfterBreak="0">
    <w:nsid w:val="0B0A4099"/>
    <w:multiLevelType w:val="multilevel"/>
    <w:tmpl w:val="44D87F16"/>
    <w:lvl w:ilvl="0">
      <w:start w:val="1"/>
      <w:numFmt w:val="decimal"/>
      <w:pStyle w:val="Nummerertliste"/>
      <w:lvlText w:val="%1."/>
      <w:lvlJc w:val="left"/>
      <w:pPr>
        <w:tabs>
          <w:tab w:val="num" w:pos="397"/>
        </w:tabs>
        <w:ind w:left="397" w:hanging="397"/>
      </w:pPr>
      <w:rPr>
        <w:rFonts w:hint="default"/>
      </w:rPr>
    </w:lvl>
    <w:lvl w:ilvl="1">
      <w:start w:val="1"/>
      <w:numFmt w:val="decimal"/>
      <w:pStyle w:val="Nummerertliste2"/>
      <w:lvlText w:val="%2."/>
      <w:lvlJc w:val="left"/>
      <w:pPr>
        <w:tabs>
          <w:tab w:val="num" w:pos="794"/>
        </w:tabs>
        <w:ind w:left="794" w:hanging="397"/>
      </w:pPr>
      <w:rPr>
        <w:rFonts w:hint="default"/>
      </w:rPr>
    </w:lvl>
    <w:lvl w:ilvl="2">
      <w:start w:val="1"/>
      <w:numFmt w:val="decimal"/>
      <w:pStyle w:val="Nummerertliste3"/>
      <w:lvlText w:val="%3."/>
      <w:lvlJc w:val="left"/>
      <w:pPr>
        <w:tabs>
          <w:tab w:val="num" w:pos="1191"/>
        </w:tabs>
        <w:ind w:left="1191" w:hanging="397"/>
      </w:pPr>
      <w:rPr>
        <w:rFonts w:hint="default"/>
      </w:rPr>
    </w:lvl>
    <w:lvl w:ilvl="3">
      <w:start w:val="1"/>
      <w:numFmt w:val="decimal"/>
      <w:pStyle w:val="Nummerertliste4"/>
      <w:lvlText w:val="%4."/>
      <w:lvlJc w:val="left"/>
      <w:pPr>
        <w:tabs>
          <w:tab w:val="num" w:pos="1588"/>
        </w:tabs>
        <w:ind w:left="1588" w:hanging="397"/>
      </w:pPr>
      <w:rPr>
        <w:rFonts w:hint="default"/>
      </w:rPr>
    </w:lvl>
    <w:lvl w:ilvl="4">
      <w:start w:val="1"/>
      <w:numFmt w:val="decimal"/>
      <w:pStyle w:val="Nummerertliste5"/>
      <w:lvlText w:val="%5."/>
      <w:lvlJc w:val="left"/>
      <w:pPr>
        <w:tabs>
          <w:tab w:val="num" w:pos="1985"/>
        </w:tabs>
        <w:ind w:left="1985" w:hanging="397"/>
      </w:pPr>
      <w:rPr>
        <w:rFonts w:hint="default"/>
      </w:rPr>
    </w:lvl>
    <w:lvl w:ilvl="5">
      <w:start w:val="1"/>
      <w:numFmt w:val="lowerRoman"/>
      <w:lvlText w:val="(%6)"/>
      <w:lvlJc w:val="lef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left"/>
      <w:pPr>
        <w:tabs>
          <w:tab w:val="num" w:pos="3573"/>
        </w:tabs>
        <w:ind w:left="3573" w:hanging="397"/>
      </w:pPr>
      <w:rPr>
        <w:rFonts w:hint="default"/>
      </w:rPr>
    </w:lvl>
  </w:abstractNum>
  <w:abstractNum w:abstractNumId="6" w15:restartNumberingAfterBreak="0">
    <w:nsid w:val="0E3A6924"/>
    <w:multiLevelType w:val="multilevel"/>
    <w:tmpl w:val="17FCA248"/>
    <w:styleLink w:val="OverskrifterListeStil"/>
    <w:lvl w:ilvl="0">
      <w:start w:val="1"/>
      <w:numFmt w:val="none"/>
      <w:lvlText w:val=""/>
      <w:lvlJc w:val="left"/>
      <w:pPr>
        <w:tabs>
          <w:tab w:val="num" w:pos="1011"/>
        </w:tabs>
        <w:ind w:left="1011" w:firstLine="0"/>
      </w:pPr>
      <w:rPr>
        <w:rFonts w:hint="default"/>
      </w:rPr>
    </w:lvl>
    <w:lvl w:ilvl="1">
      <w:start w:val="1"/>
      <w:numFmt w:val="none"/>
      <w:lvlRestart w:val="0"/>
      <w:lvlText w:val=""/>
      <w:lvlJc w:val="left"/>
      <w:pPr>
        <w:tabs>
          <w:tab w:val="num" w:pos="1408"/>
        </w:tabs>
        <w:ind w:left="1408" w:firstLine="0"/>
      </w:pPr>
      <w:rPr>
        <w:rFonts w:hint="default"/>
      </w:rPr>
    </w:lvl>
    <w:lvl w:ilvl="2">
      <w:start w:val="1"/>
      <w:numFmt w:val="none"/>
      <w:lvlRestart w:val="0"/>
      <w:lvlText w:val=""/>
      <w:lvlJc w:val="left"/>
      <w:pPr>
        <w:tabs>
          <w:tab w:val="num" w:pos="1805"/>
        </w:tabs>
        <w:ind w:left="1810" w:hanging="5"/>
      </w:pPr>
      <w:rPr>
        <w:rFonts w:hint="default"/>
      </w:rPr>
    </w:lvl>
    <w:lvl w:ilvl="3">
      <w:start w:val="1"/>
      <w:numFmt w:val="none"/>
      <w:lvlRestart w:val="0"/>
      <w:lvlText w:val=""/>
      <w:lvlJc w:val="left"/>
      <w:pPr>
        <w:tabs>
          <w:tab w:val="num" w:pos="2202"/>
        </w:tabs>
        <w:ind w:left="2202" w:firstLine="0"/>
      </w:pPr>
      <w:rPr>
        <w:rFonts w:hint="default"/>
      </w:rPr>
    </w:lvl>
    <w:lvl w:ilvl="4">
      <w:start w:val="1"/>
      <w:numFmt w:val="none"/>
      <w:lvlRestart w:val="0"/>
      <w:lvlText w:val=""/>
      <w:lvlJc w:val="left"/>
      <w:pPr>
        <w:tabs>
          <w:tab w:val="num" w:pos="2599"/>
        </w:tabs>
        <w:ind w:left="2599" w:firstLine="0"/>
      </w:pPr>
      <w:rPr>
        <w:rFonts w:hint="default"/>
      </w:rPr>
    </w:lvl>
    <w:lvl w:ilvl="5">
      <w:start w:val="1"/>
      <w:numFmt w:val="lowerRoman"/>
      <w:lvlText w:val="(%6)"/>
      <w:lvlJc w:val="left"/>
      <w:pPr>
        <w:tabs>
          <w:tab w:val="num" w:pos="3393"/>
        </w:tabs>
        <w:ind w:left="3393" w:hanging="397"/>
      </w:pPr>
      <w:rPr>
        <w:rFonts w:hint="default"/>
      </w:rPr>
    </w:lvl>
    <w:lvl w:ilvl="6">
      <w:start w:val="1"/>
      <w:numFmt w:val="decimal"/>
      <w:lvlText w:val="%7."/>
      <w:lvlJc w:val="left"/>
      <w:pPr>
        <w:tabs>
          <w:tab w:val="num" w:pos="3790"/>
        </w:tabs>
        <w:ind w:left="3790" w:hanging="397"/>
      </w:pPr>
      <w:rPr>
        <w:rFonts w:hint="default"/>
      </w:rPr>
    </w:lvl>
    <w:lvl w:ilvl="7">
      <w:start w:val="1"/>
      <w:numFmt w:val="lowerLetter"/>
      <w:lvlText w:val="%8."/>
      <w:lvlJc w:val="left"/>
      <w:pPr>
        <w:tabs>
          <w:tab w:val="num" w:pos="4187"/>
        </w:tabs>
        <w:ind w:left="4187" w:hanging="397"/>
      </w:pPr>
      <w:rPr>
        <w:rFonts w:hint="default"/>
      </w:rPr>
    </w:lvl>
    <w:lvl w:ilvl="8">
      <w:start w:val="1"/>
      <w:numFmt w:val="lowerRoman"/>
      <w:lvlText w:val="%9."/>
      <w:lvlJc w:val="left"/>
      <w:pPr>
        <w:tabs>
          <w:tab w:val="num" w:pos="4584"/>
        </w:tabs>
        <w:ind w:left="4584" w:hanging="397"/>
      </w:pPr>
      <w:rPr>
        <w:rFonts w:hint="default"/>
      </w:rPr>
    </w:lvl>
  </w:abstractNum>
  <w:abstractNum w:abstractNumId="7" w15:restartNumberingAfterBreak="0">
    <w:nsid w:val="11FF2784"/>
    <w:multiLevelType w:val="multilevel"/>
    <w:tmpl w:val="96E67026"/>
    <w:styleLink w:val="RomListeStil"/>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Restart w:val="1"/>
      <w:suff w:val="space"/>
      <w:lvlText w:val="Figur %1.%6"/>
      <w:lvlJc w:val="left"/>
      <w:pPr>
        <w:ind w:left="0" w:firstLine="0"/>
      </w:pPr>
      <w:rPr>
        <w:rFonts w:hint="default"/>
      </w:rPr>
    </w:lvl>
    <w:lvl w:ilvl="6">
      <w:start w:val="1"/>
      <w:numFmt w:val="decimal"/>
      <w:lvlRestart w:val="1"/>
      <w:suff w:val="space"/>
      <w:lvlText w:val="Tabell %1.%7"/>
      <w:lvlJc w:val="left"/>
      <w:pPr>
        <w:ind w:left="0" w:firstLine="0"/>
      </w:pPr>
      <w:rPr>
        <w:rFonts w:hint="default"/>
      </w:rPr>
    </w:lvl>
    <w:lvl w:ilvl="7">
      <w:start w:val="1"/>
      <w:numFmt w:val="decimal"/>
      <w:lvlRestart w:val="1"/>
      <w:suff w:val="space"/>
      <w:lvlText w:val="Boks %1.%8"/>
      <w:lvlJc w:val="left"/>
      <w:pPr>
        <w:ind w:left="0" w:firstLine="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88F628A"/>
    <w:multiLevelType w:val="singleLevel"/>
    <w:tmpl w:val="3B5230DE"/>
    <w:lvl w:ilvl="0">
      <w:start w:val="1"/>
      <w:numFmt w:val="bullet"/>
      <w:pStyle w:val="Punktliste3"/>
      <w:lvlText w:val=""/>
      <w:lvlJc w:val="left"/>
      <w:pPr>
        <w:tabs>
          <w:tab w:val="num" w:pos="1080"/>
        </w:tabs>
        <w:ind w:left="1077" w:hanging="357"/>
      </w:pPr>
      <w:rPr>
        <w:rFonts w:ascii="Symbol" w:hAnsi="Symbol" w:hint="default"/>
      </w:rPr>
    </w:lvl>
  </w:abstractNum>
  <w:abstractNum w:abstractNumId="9" w15:restartNumberingAfterBreak="0">
    <w:nsid w:val="1C7F59B6"/>
    <w:multiLevelType w:val="hybridMultilevel"/>
    <w:tmpl w:val="7C6A8BC4"/>
    <w:lvl w:ilvl="0" w:tplc="6ECE37FE">
      <w:start w:val="1"/>
      <w:numFmt w:val="bullet"/>
      <w:pStyle w:val="Liste5"/>
      <w:lvlText w:val="-"/>
      <w:lvlJc w:val="left"/>
      <w:pPr>
        <w:ind w:left="2308" w:hanging="360"/>
      </w:pPr>
      <w:rPr>
        <w:rFonts w:ascii="Arial" w:hAnsi="Arial" w:hint="default"/>
      </w:rPr>
    </w:lvl>
    <w:lvl w:ilvl="1" w:tplc="04140003" w:tentative="1">
      <w:start w:val="1"/>
      <w:numFmt w:val="bullet"/>
      <w:lvlText w:val="o"/>
      <w:lvlJc w:val="left"/>
      <w:pPr>
        <w:ind w:left="3028" w:hanging="360"/>
      </w:pPr>
      <w:rPr>
        <w:rFonts w:ascii="Courier New" w:hAnsi="Courier New" w:cs="Courier New" w:hint="default"/>
      </w:rPr>
    </w:lvl>
    <w:lvl w:ilvl="2" w:tplc="04140005" w:tentative="1">
      <w:start w:val="1"/>
      <w:numFmt w:val="bullet"/>
      <w:lvlText w:val=""/>
      <w:lvlJc w:val="left"/>
      <w:pPr>
        <w:ind w:left="3748" w:hanging="360"/>
      </w:pPr>
      <w:rPr>
        <w:rFonts w:ascii="Wingdings" w:hAnsi="Wingdings" w:hint="default"/>
      </w:rPr>
    </w:lvl>
    <w:lvl w:ilvl="3" w:tplc="04140001" w:tentative="1">
      <w:start w:val="1"/>
      <w:numFmt w:val="bullet"/>
      <w:lvlText w:val=""/>
      <w:lvlJc w:val="left"/>
      <w:pPr>
        <w:ind w:left="4468" w:hanging="360"/>
      </w:pPr>
      <w:rPr>
        <w:rFonts w:ascii="Symbol" w:hAnsi="Symbol" w:hint="default"/>
      </w:rPr>
    </w:lvl>
    <w:lvl w:ilvl="4" w:tplc="04140003" w:tentative="1">
      <w:start w:val="1"/>
      <w:numFmt w:val="bullet"/>
      <w:lvlText w:val="o"/>
      <w:lvlJc w:val="left"/>
      <w:pPr>
        <w:ind w:left="5188" w:hanging="360"/>
      </w:pPr>
      <w:rPr>
        <w:rFonts w:ascii="Courier New" w:hAnsi="Courier New" w:cs="Courier New" w:hint="default"/>
      </w:rPr>
    </w:lvl>
    <w:lvl w:ilvl="5" w:tplc="04140005" w:tentative="1">
      <w:start w:val="1"/>
      <w:numFmt w:val="bullet"/>
      <w:lvlText w:val=""/>
      <w:lvlJc w:val="left"/>
      <w:pPr>
        <w:ind w:left="5908" w:hanging="360"/>
      </w:pPr>
      <w:rPr>
        <w:rFonts w:ascii="Wingdings" w:hAnsi="Wingdings" w:hint="default"/>
      </w:rPr>
    </w:lvl>
    <w:lvl w:ilvl="6" w:tplc="04140001" w:tentative="1">
      <w:start w:val="1"/>
      <w:numFmt w:val="bullet"/>
      <w:lvlText w:val=""/>
      <w:lvlJc w:val="left"/>
      <w:pPr>
        <w:ind w:left="6628" w:hanging="360"/>
      </w:pPr>
      <w:rPr>
        <w:rFonts w:ascii="Symbol" w:hAnsi="Symbol" w:hint="default"/>
      </w:rPr>
    </w:lvl>
    <w:lvl w:ilvl="7" w:tplc="04140003" w:tentative="1">
      <w:start w:val="1"/>
      <w:numFmt w:val="bullet"/>
      <w:lvlText w:val="o"/>
      <w:lvlJc w:val="left"/>
      <w:pPr>
        <w:ind w:left="7348" w:hanging="360"/>
      </w:pPr>
      <w:rPr>
        <w:rFonts w:ascii="Courier New" w:hAnsi="Courier New" w:cs="Courier New" w:hint="default"/>
      </w:rPr>
    </w:lvl>
    <w:lvl w:ilvl="8" w:tplc="04140005" w:tentative="1">
      <w:start w:val="1"/>
      <w:numFmt w:val="bullet"/>
      <w:lvlText w:val=""/>
      <w:lvlJc w:val="left"/>
      <w:pPr>
        <w:ind w:left="8068" w:hanging="360"/>
      </w:pPr>
      <w:rPr>
        <w:rFonts w:ascii="Wingdings" w:hAnsi="Wingdings" w:hint="default"/>
      </w:rPr>
    </w:lvl>
  </w:abstractNum>
  <w:abstractNum w:abstractNumId="10" w15:restartNumberingAfterBreak="0">
    <w:nsid w:val="201E6725"/>
    <w:multiLevelType w:val="hybridMultilevel"/>
    <w:tmpl w:val="3D148BF0"/>
    <w:lvl w:ilvl="0" w:tplc="71DC6766">
      <w:start w:val="1"/>
      <w:numFmt w:val="bullet"/>
      <w:pStyle w:val="Listebombe2"/>
      <w:lvlText w:val=""/>
      <w:lvlJc w:val="left"/>
      <w:pPr>
        <w:ind w:left="1117"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9A0207B"/>
    <w:multiLevelType w:val="singleLevel"/>
    <w:tmpl w:val="7B107872"/>
    <w:lvl w:ilvl="0">
      <w:start w:val="1"/>
      <w:numFmt w:val="bullet"/>
      <w:pStyle w:val="Punktliste4"/>
      <w:lvlText w:val=""/>
      <w:lvlJc w:val="left"/>
      <w:pPr>
        <w:tabs>
          <w:tab w:val="num" w:pos="1440"/>
        </w:tabs>
        <w:ind w:left="1440" w:hanging="363"/>
      </w:pPr>
      <w:rPr>
        <w:rFonts w:ascii="Symbol" w:hAnsi="Symbol" w:hint="default"/>
      </w:rPr>
    </w:lvl>
  </w:abstractNum>
  <w:abstractNum w:abstractNumId="12" w15:restartNumberingAfterBreak="0">
    <w:nsid w:val="35122684"/>
    <w:multiLevelType w:val="multilevel"/>
    <w:tmpl w:val="1E703940"/>
    <w:styleLink w:val="OpplistingListeStil"/>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decimal"/>
      <w:lvlText w:val="%3."/>
      <w:lvlJc w:val="left"/>
      <w:pPr>
        <w:tabs>
          <w:tab w:val="num" w:pos="1191"/>
        </w:tabs>
        <w:ind w:left="1191" w:hanging="397"/>
      </w:pPr>
      <w:rPr>
        <w:rFonts w:hint="default"/>
      </w:rPr>
    </w:lvl>
    <w:lvl w:ilvl="3">
      <w:start w:val="1"/>
      <w:numFmt w:val="decimal"/>
      <w:lvlText w:val="%4."/>
      <w:lvlJc w:val="left"/>
      <w:pPr>
        <w:tabs>
          <w:tab w:val="num" w:pos="1588"/>
        </w:tabs>
        <w:ind w:left="1588" w:hanging="397"/>
      </w:pPr>
      <w:rPr>
        <w:rFonts w:hint="default"/>
      </w:rPr>
    </w:lvl>
    <w:lvl w:ilvl="4">
      <w:start w:val="1"/>
      <w:numFmt w:val="decimal"/>
      <w:lvlText w:val="%5."/>
      <w:lvlJc w:val="left"/>
      <w:pPr>
        <w:tabs>
          <w:tab w:val="num" w:pos="1985"/>
        </w:tabs>
        <w:ind w:left="1985" w:hanging="397"/>
      </w:pPr>
      <w:rPr>
        <w:rFonts w:hint="default"/>
      </w:rPr>
    </w:lvl>
    <w:lvl w:ilvl="5">
      <w:start w:val="1"/>
      <w:numFmt w:val="none"/>
      <w:lvlRestart w:val="1"/>
      <w:suff w:val="nothing"/>
      <w:lvlText w:val=""/>
      <w:lvlJc w:val="left"/>
      <w:pPr>
        <w:ind w:left="0" w:firstLine="0"/>
      </w:pPr>
      <w:rPr>
        <w:rFonts w:hint="default"/>
      </w:rPr>
    </w:lvl>
    <w:lvl w:ilvl="6">
      <w:start w:val="1"/>
      <w:numFmt w:val="none"/>
      <w:lvlRestart w:val="1"/>
      <w:suff w:val="nothing"/>
      <w:lvlText w:val=""/>
      <w:lvlJc w:val="left"/>
      <w:pPr>
        <w:ind w:left="0" w:firstLine="0"/>
      </w:pPr>
      <w:rPr>
        <w:rFonts w:hint="default"/>
      </w:rPr>
    </w:lvl>
    <w:lvl w:ilvl="7">
      <w:start w:val="1"/>
      <w:numFmt w:val="none"/>
      <w:lvlRestart w:val="1"/>
      <w:suff w:val="nothing"/>
      <w:lvlText w:val=""/>
      <w:lvlJc w:val="left"/>
      <w:pPr>
        <w:ind w:left="0" w:firstLine="0"/>
      </w:pPr>
      <w:rPr>
        <w:rFonts w:hint="default"/>
      </w:rPr>
    </w:lvl>
    <w:lvl w:ilvl="8">
      <w:start w:val="1"/>
      <w:numFmt w:val="lowerRoman"/>
      <w:lvlText w:val="%9."/>
      <w:lvlJc w:val="right"/>
      <w:pPr>
        <w:tabs>
          <w:tab w:val="num" w:pos="3573"/>
        </w:tabs>
        <w:ind w:left="3573" w:hanging="397"/>
      </w:pPr>
      <w:rPr>
        <w:rFonts w:hint="default"/>
      </w:rPr>
    </w:lvl>
  </w:abstractNum>
  <w:abstractNum w:abstractNumId="13" w15:restartNumberingAfterBreak="0">
    <w:nsid w:val="35C91E50"/>
    <w:multiLevelType w:val="multilevel"/>
    <w:tmpl w:val="2C6A5B42"/>
    <w:lvl w:ilvl="0">
      <w:start w:val="1"/>
      <w:numFmt w:val="decimal"/>
      <w:pStyle w:val="Overskrift1"/>
      <w:lvlText w:val="%1"/>
      <w:lvlJc w:val="left"/>
      <w:pPr>
        <w:ind w:left="432" w:hanging="432"/>
      </w:pPr>
      <w:rPr>
        <w:rFonts w:hint="default"/>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lvlRestart w:val="1"/>
      <w:pStyle w:val="figur-tittel"/>
      <w:suff w:val="space"/>
      <w:lvlText w:val="Figure %1.%6"/>
      <w:lvlJc w:val="left"/>
      <w:pPr>
        <w:ind w:left="0" w:firstLine="0"/>
      </w:pPr>
      <w:rPr>
        <w:rFonts w:hint="default"/>
      </w:rPr>
    </w:lvl>
    <w:lvl w:ilvl="6">
      <w:start w:val="1"/>
      <w:numFmt w:val="decimal"/>
      <w:lvlRestart w:val="1"/>
      <w:pStyle w:val="tabell-tittel"/>
      <w:suff w:val="space"/>
      <w:lvlText w:val="Table %1.%7"/>
      <w:lvlJc w:val="left"/>
      <w:pPr>
        <w:ind w:left="0" w:firstLine="0"/>
      </w:pPr>
      <w:rPr>
        <w:rFonts w:hint="default"/>
      </w:rPr>
    </w:lvl>
    <w:lvl w:ilvl="7">
      <w:start w:val="1"/>
      <w:numFmt w:val="decimal"/>
      <w:lvlRestart w:val="1"/>
      <w:pStyle w:val="tittel-ramme"/>
      <w:suff w:val="space"/>
      <w:lvlText w:val="Box %1.%8"/>
      <w:lvlJc w:val="left"/>
      <w:pPr>
        <w:ind w:left="0" w:firstLine="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3C1113F8"/>
    <w:multiLevelType w:val="hybridMultilevel"/>
    <w:tmpl w:val="A23EBCEE"/>
    <w:lvl w:ilvl="0" w:tplc="EE2A7192">
      <w:start w:val="1"/>
      <w:numFmt w:val="bullet"/>
      <w:pStyle w:val="Listebombe5"/>
      <w:lvlText w:val=""/>
      <w:lvlJc w:val="left"/>
      <w:pPr>
        <w:ind w:left="1911" w:hanging="360"/>
      </w:pPr>
      <w:rPr>
        <w:rFonts w:ascii="Symbol" w:hAnsi="Symbol" w:hint="default"/>
      </w:rPr>
    </w:lvl>
    <w:lvl w:ilvl="1" w:tplc="04140003" w:tentative="1">
      <w:start w:val="1"/>
      <w:numFmt w:val="bullet"/>
      <w:lvlText w:val="o"/>
      <w:lvlJc w:val="left"/>
      <w:pPr>
        <w:ind w:left="2631" w:hanging="360"/>
      </w:pPr>
      <w:rPr>
        <w:rFonts w:ascii="Courier New" w:hAnsi="Courier New" w:cs="Courier New" w:hint="default"/>
      </w:rPr>
    </w:lvl>
    <w:lvl w:ilvl="2" w:tplc="04140005" w:tentative="1">
      <w:start w:val="1"/>
      <w:numFmt w:val="bullet"/>
      <w:lvlText w:val=""/>
      <w:lvlJc w:val="left"/>
      <w:pPr>
        <w:ind w:left="3351" w:hanging="360"/>
      </w:pPr>
      <w:rPr>
        <w:rFonts w:ascii="Wingdings" w:hAnsi="Wingdings" w:hint="default"/>
      </w:rPr>
    </w:lvl>
    <w:lvl w:ilvl="3" w:tplc="04140001" w:tentative="1">
      <w:start w:val="1"/>
      <w:numFmt w:val="bullet"/>
      <w:lvlText w:val=""/>
      <w:lvlJc w:val="left"/>
      <w:pPr>
        <w:ind w:left="4071" w:hanging="360"/>
      </w:pPr>
      <w:rPr>
        <w:rFonts w:ascii="Symbol" w:hAnsi="Symbol" w:hint="default"/>
      </w:rPr>
    </w:lvl>
    <w:lvl w:ilvl="4" w:tplc="04140003" w:tentative="1">
      <w:start w:val="1"/>
      <w:numFmt w:val="bullet"/>
      <w:lvlText w:val="o"/>
      <w:lvlJc w:val="left"/>
      <w:pPr>
        <w:ind w:left="4791" w:hanging="360"/>
      </w:pPr>
      <w:rPr>
        <w:rFonts w:ascii="Courier New" w:hAnsi="Courier New" w:cs="Courier New" w:hint="default"/>
      </w:rPr>
    </w:lvl>
    <w:lvl w:ilvl="5" w:tplc="04140005" w:tentative="1">
      <w:start w:val="1"/>
      <w:numFmt w:val="bullet"/>
      <w:lvlText w:val=""/>
      <w:lvlJc w:val="left"/>
      <w:pPr>
        <w:ind w:left="5511" w:hanging="360"/>
      </w:pPr>
      <w:rPr>
        <w:rFonts w:ascii="Wingdings" w:hAnsi="Wingdings" w:hint="default"/>
      </w:rPr>
    </w:lvl>
    <w:lvl w:ilvl="6" w:tplc="04140001" w:tentative="1">
      <w:start w:val="1"/>
      <w:numFmt w:val="bullet"/>
      <w:lvlText w:val=""/>
      <w:lvlJc w:val="left"/>
      <w:pPr>
        <w:ind w:left="6231" w:hanging="360"/>
      </w:pPr>
      <w:rPr>
        <w:rFonts w:ascii="Symbol" w:hAnsi="Symbol" w:hint="default"/>
      </w:rPr>
    </w:lvl>
    <w:lvl w:ilvl="7" w:tplc="04140003" w:tentative="1">
      <w:start w:val="1"/>
      <w:numFmt w:val="bullet"/>
      <w:lvlText w:val="o"/>
      <w:lvlJc w:val="left"/>
      <w:pPr>
        <w:ind w:left="6951" w:hanging="360"/>
      </w:pPr>
      <w:rPr>
        <w:rFonts w:ascii="Courier New" w:hAnsi="Courier New" w:cs="Courier New" w:hint="default"/>
      </w:rPr>
    </w:lvl>
    <w:lvl w:ilvl="8" w:tplc="04140005" w:tentative="1">
      <w:start w:val="1"/>
      <w:numFmt w:val="bullet"/>
      <w:lvlText w:val=""/>
      <w:lvlJc w:val="left"/>
      <w:pPr>
        <w:ind w:left="7671" w:hanging="360"/>
      </w:pPr>
      <w:rPr>
        <w:rFonts w:ascii="Wingdings" w:hAnsi="Wingdings" w:hint="default"/>
      </w:rPr>
    </w:lvl>
  </w:abstractNum>
  <w:abstractNum w:abstractNumId="15" w15:restartNumberingAfterBreak="0">
    <w:nsid w:val="46783B42"/>
    <w:multiLevelType w:val="multilevel"/>
    <w:tmpl w:val="32ECFF12"/>
    <w:styleLink w:val="l-NummerertListeStil"/>
    <w:lvl w:ilvl="0">
      <w:start w:val="1"/>
      <w:numFmt w:val="lowerLetter"/>
      <w:lvlText w:val="%1)"/>
      <w:lvlJc w:val="left"/>
      <w:pPr>
        <w:tabs>
          <w:tab w:val="num" w:pos="397"/>
        </w:tabs>
        <w:ind w:left="397" w:hanging="397"/>
      </w:pPr>
      <w:rPr>
        <w:rFonts w:cs="Times New Roman" w:hint="default"/>
      </w:rPr>
    </w:lvl>
    <w:lvl w:ilvl="1">
      <w:start w:val="1"/>
      <w:numFmt w:val="lowerLetter"/>
      <w:lvlText w:val="%2)"/>
      <w:lvlJc w:val="left"/>
      <w:pPr>
        <w:tabs>
          <w:tab w:val="num" w:pos="794"/>
        </w:tabs>
        <w:ind w:left="794" w:hanging="397"/>
      </w:pPr>
      <w:rPr>
        <w:rFonts w:cs="Times New Roman" w:hint="default"/>
      </w:rPr>
    </w:lvl>
    <w:lvl w:ilvl="2">
      <w:start w:val="1"/>
      <w:numFmt w:val="lowerLetter"/>
      <w:lvlText w:val="%3)"/>
      <w:lvlJc w:val="left"/>
      <w:pPr>
        <w:tabs>
          <w:tab w:val="num" w:pos="1191"/>
        </w:tabs>
        <w:ind w:left="1191" w:hanging="397"/>
      </w:pPr>
      <w:rPr>
        <w:rFonts w:cs="Times New Roman" w:hint="default"/>
      </w:rPr>
    </w:lvl>
    <w:lvl w:ilvl="3">
      <w:start w:val="1"/>
      <w:numFmt w:val="lowerLetter"/>
      <w:lvlText w:val="%4)"/>
      <w:lvlJc w:val="left"/>
      <w:pPr>
        <w:tabs>
          <w:tab w:val="num" w:pos="1588"/>
        </w:tabs>
        <w:ind w:left="1588" w:hanging="397"/>
      </w:pPr>
      <w:rPr>
        <w:rFonts w:cs="Times New Roman" w:hint="default"/>
      </w:rPr>
    </w:lvl>
    <w:lvl w:ilvl="4">
      <w:start w:val="1"/>
      <w:numFmt w:val="lowerLetter"/>
      <w:lvlText w:val="%5)"/>
      <w:lvlJc w:val="left"/>
      <w:pPr>
        <w:tabs>
          <w:tab w:val="num" w:pos="1985"/>
        </w:tabs>
        <w:ind w:left="1985" w:hanging="397"/>
      </w:pPr>
      <w:rPr>
        <w:rFonts w:cs="Times New Roman" w:hint="default"/>
      </w:rPr>
    </w:lvl>
    <w:lvl w:ilvl="5">
      <w:start w:val="1"/>
      <w:numFmt w:val="lowerRoman"/>
      <w:lvlText w:val="%6."/>
      <w:lvlJc w:val="right"/>
      <w:pPr>
        <w:tabs>
          <w:tab w:val="num" w:pos="-30781"/>
        </w:tabs>
        <w:ind w:left="2382" w:hanging="397"/>
      </w:pPr>
      <w:rPr>
        <w:rFonts w:cs="Times New Roman" w:hint="default"/>
      </w:rPr>
    </w:lvl>
    <w:lvl w:ilvl="6">
      <w:start w:val="1"/>
      <w:numFmt w:val="decimal"/>
      <w:lvlText w:val="%7."/>
      <w:lvlJc w:val="left"/>
      <w:pPr>
        <w:tabs>
          <w:tab w:val="num" w:pos="-30384"/>
        </w:tabs>
        <w:ind w:left="2779" w:hanging="397"/>
      </w:pPr>
      <w:rPr>
        <w:rFonts w:cs="Times New Roman" w:hint="default"/>
      </w:rPr>
    </w:lvl>
    <w:lvl w:ilvl="7">
      <w:start w:val="1"/>
      <w:numFmt w:val="lowerLetter"/>
      <w:lvlText w:val="%8."/>
      <w:lvlJc w:val="left"/>
      <w:pPr>
        <w:tabs>
          <w:tab w:val="num" w:pos="-29987"/>
        </w:tabs>
        <w:ind w:left="3176" w:hanging="397"/>
      </w:pPr>
      <w:rPr>
        <w:rFonts w:cs="Times New Roman" w:hint="default"/>
      </w:rPr>
    </w:lvl>
    <w:lvl w:ilvl="8">
      <w:start w:val="1"/>
      <w:numFmt w:val="lowerRoman"/>
      <w:lvlText w:val="%9."/>
      <w:lvlJc w:val="right"/>
      <w:pPr>
        <w:tabs>
          <w:tab w:val="num" w:pos="-29590"/>
        </w:tabs>
        <w:ind w:left="3573" w:hanging="397"/>
      </w:pPr>
      <w:rPr>
        <w:rFonts w:cs="Times New Roman" w:hint="default"/>
      </w:rPr>
    </w:lvl>
  </w:abstractNum>
  <w:abstractNum w:abstractNumId="16" w15:restartNumberingAfterBreak="0">
    <w:nsid w:val="48971B09"/>
    <w:multiLevelType w:val="hybridMultilevel"/>
    <w:tmpl w:val="1640DBE4"/>
    <w:lvl w:ilvl="0" w:tplc="498293FE">
      <w:start w:val="1"/>
      <w:numFmt w:val="bullet"/>
      <w:pStyle w:val="Liste"/>
      <w:lvlText w:val="-"/>
      <w:lvlJc w:val="left"/>
      <w:pPr>
        <w:ind w:left="360" w:hanging="360"/>
      </w:pPr>
      <w:rPr>
        <w:rFonts w:ascii="Arial" w:hAnsi="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54837150"/>
    <w:multiLevelType w:val="multilevel"/>
    <w:tmpl w:val="B44EA2BE"/>
    <w:styleLink w:val="AlfaListeStil"/>
    <w:lvl w:ilvl="0">
      <w:start w:val="1"/>
      <w:numFmt w:val="lowerLetter"/>
      <w:pStyle w:val="alfaliste"/>
      <w:lvlText w:val="%1."/>
      <w:lvlJc w:val="left"/>
      <w:pPr>
        <w:ind w:left="360" w:hanging="360"/>
      </w:pPr>
      <w:rPr>
        <w:rFonts w:hint="default"/>
      </w:rPr>
    </w:lvl>
    <w:lvl w:ilvl="1">
      <w:start w:val="1"/>
      <w:numFmt w:val="lowerLetter"/>
      <w:lvlRestart w:val="0"/>
      <w:pStyle w:val="alfaliste2"/>
      <w:lvlText w:val="%2."/>
      <w:lvlJc w:val="left"/>
      <w:pPr>
        <w:ind w:left="794" w:hanging="397"/>
      </w:pPr>
      <w:rPr>
        <w:rFonts w:hint="default"/>
      </w:rPr>
    </w:lvl>
    <w:lvl w:ilvl="2">
      <w:start w:val="1"/>
      <w:numFmt w:val="lowerLetter"/>
      <w:lvlRestart w:val="0"/>
      <w:pStyle w:val="alfaliste3"/>
      <w:lvlText w:val="%3."/>
      <w:lvlJc w:val="left"/>
      <w:pPr>
        <w:ind w:left="1191" w:hanging="397"/>
      </w:pPr>
      <w:rPr>
        <w:rFonts w:hint="default"/>
      </w:rPr>
    </w:lvl>
    <w:lvl w:ilvl="3">
      <w:start w:val="1"/>
      <w:numFmt w:val="lowerLetter"/>
      <w:lvlRestart w:val="0"/>
      <w:pStyle w:val="alfaliste4"/>
      <w:lvlText w:val="%4."/>
      <w:lvlJc w:val="left"/>
      <w:pPr>
        <w:ind w:left="1588" w:hanging="397"/>
      </w:pPr>
      <w:rPr>
        <w:rFonts w:hint="default"/>
      </w:rPr>
    </w:lvl>
    <w:lvl w:ilvl="4">
      <w:start w:val="1"/>
      <w:numFmt w:val="lowerLetter"/>
      <w:lvlRestart w:val="0"/>
      <w:pStyle w:val="alfaliste5"/>
      <w:lvlText w:val="%5."/>
      <w:lvlJc w:val="left"/>
      <w:pPr>
        <w:ind w:left="1985" w:hanging="397"/>
      </w:pPr>
      <w:rPr>
        <w:rFonts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hint="default"/>
      </w:rPr>
    </w:lvl>
    <w:lvl w:ilvl="8">
      <w:start w:val="1"/>
      <w:numFmt w:val="bullet"/>
      <w:lvlText w:val=""/>
      <w:lvlJc w:val="left"/>
      <w:pPr>
        <w:ind w:left="3573" w:hanging="397"/>
      </w:pPr>
      <w:rPr>
        <w:rFonts w:ascii="Wingdings" w:hAnsi="Wingdings" w:hint="default"/>
      </w:rPr>
    </w:lvl>
  </w:abstractNum>
  <w:abstractNum w:abstractNumId="18" w15:restartNumberingAfterBreak="0">
    <w:nsid w:val="573F652E"/>
    <w:multiLevelType w:val="hybridMultilevel"/>
    <w:tmpl w:val="04F0CC5E"/>
    <w:lvl w:ilvl="0" w:tplc="7CE4A1F6">
      <w:start w:val="1"/>
      <w:numFmt w:val="bullet"/>
      <w:pStyle w:val="Listebombe3"/>
      <w:lvlText w:val=""/>
      <w:lvlJc w:val="left"/>
      <w:pPr>
        <w:ind w:left="1514" w:hanging="360"/>
      </w:pPr>
      <w:rPr>
        <w:rFonts w:ascii="Symbol" w:hAnsi="Symbol" w:hint="default"/>
      </w:rPr>
    </w:lvl>
    <w:lvl w:ilvl="1" w:tplc="04140003" w:tentative="1">
      <w:start w:val="1"/>
      <w:numFmt w:val="bullet"/>
      <w:lvlText w:val="o"/>
      <w:lvlJc w:val="left"/>
      <w:pPr>
        <w:ind w:left="1837" w:hanging="360"/>
      </w:pPr>
      <w:rPr>
        <w:rFonts w:ascii="Courier New" w:hAnsi="Courier New" w:cs="Courier New" w:hint="default"/>
      </w:rPr>
    </w:lvl>
    <w:lvl w:ilvl="2" w:tplc="04140005" w:tentative="1">
      <w:start w:val="1"/>
      <w:numFmt w:val="bullet"/>
      <w:lvlText w:val=""/>
      <w:lvlJc w:val="left"/>
      <w:pPr>
        <w:ind w:left="2557" w:hanging="360"/>
      </w:pPr>
      <w:rPr>
        <w:rFonts w:ascii="Wingdings" w:hAnsi="Wingdings" w:hint="default"/>
      </w:rPr>
    </w:lvl>
    <w:lvl w:ilvl="3" w:tplc="04140001" w:tentative="1">
      <w:start w:val="1"/>
      <w:numFmt w:val="bullet"/>
      <w:lvlText w:val=""/>
      <w:lvlJc w:val="left"/>
      <w:pPr>
        <w:ind w:left="3277" w:hanging="360"/>
      </w:pPr>
      <w:rPr>
        <w:rFonts w:ascii="Symbol" w:hAnsi="Symbol" w:hint="default"/>
      </w:rPr>
    </w:lvl>
    <w:lvl w:ilvl="4" w:tplc="04140003" w:tentative="1">
      <w:start w:val="1"/>
      <w:numFmt w:val="bullet"/>
      <w:lvlText w:val="o"/>
      <w:lvlJc w:val="left"/>
      <w:pPr>
        <w:ind w:left="3997" w:hanging="360"/>
      </w:pPr>
      <w:rPr>
        <w:rFonts w:ascii="Courier New" w:hAnsi="Courier New" w:cs="Courier New" w:hint="default"/>
      </w:rPr>
    </w:lvl>
    <w:lvl w:ilvl="5" w:tplc="04140005" w:tentative="1">
      <w:start w:val="1"/>
      <w:numFmt w:val="bullet"/>
      <w:lvlText w:val=""/>
      <w:lvlJc w:val="left"/>
      <w:pPr>
        <w:ind w:left="4717" w:hanging="360"/>
      </w:pPr>
      <w:rPr>
        <w:rFonts w:ascii="Wingdings" w:hAnsi="Wingdings" w:hint="default"/>
      </w:rPr>
    </w:lvl>
    <w:lvl w:ilvl="6" w:tplc="04140001" w:tentative="1">
      <w:start w:val="1"/>
      <w:numFmt w:val="bullet"/>
      <w:lvlText w:val=""/>
      <w:lvlJc w:val="left"/>
      <w:pPr>
        <w:ind w:left="5437" w:hanging="360"/>
      </w:pPr>
      <w:rPr>
        <w:rFonts w:ascii="Symbol" w:hAnsi="Symbol" w:hint="default"/>
      </w:rPr>
    </w:lvl>
    <w:lvl w:ilvl="7" w:tplc="04140003" w:tentative="1">
      <w:start w:val="1"/>
      <w:numFmt w:val="bullet"/>
      <w:lvlText w:val="o"/>
      <w:lvlJc w:val="left"/>
      <w:pPr>
        <w:ind w:left="6157" w:hanging="360"/>
      </w:pPr>
      <w:rPr>
        <w:rFonts w:ascii="Courier New" w:hAnsi="Courier New" w:cs="Courier New" w:hint="default"/>
      </w:rPr>
    </w:lvl>
    <w:lvl w:ilvl="8" w:tplc="04140005" w:tentative="1">
      <w:start w:val="1"/>
      <w:numFmt w:val="bullet"/>
      <w:lvlText w:val=""/>
      <w:lvlJc w:val="left"/>
      <w:pPr>
        <w:ind w:left="6877" w:hanging="360"/>
      </w:pPr>
      <w:rPr>
        <w:rFonts w:ascii="Wingdings" w:hAnsi="Wingdings" w:hint="default"/>
      </w:rPr>
    </w:lvl>
  </w:abstractNum>
  <w:abstractNum w:abstractNumId="19" w15:restartNumberingAfterBreak="0">
    <w:nsid w:val="591B2E68"/>
    <w:multiLevelType w:val="multilevel"/>
    <w:tmpl w:val="6DF82BA6"/>
    <w:styleLink w:val="StrekListeStil"/>
    <w:lvl w:ilvl="0">
      <w:start w:val="1"/>
      <w:numFmt w:val="bullet"/>
      <w:lvlText w:val=""/>
      <w:lvlJc w:val="left"/>
      <w:pPr>
        <w:tabs>
          <w:tab w:val="num" w:pos="397"/>
        </w:tabs>
        <w:ind w:left="397" w:hanging="397"/>
      </w:pPr>
      <w:rPr>
        <w:rFonts w:ascii="Symbol" w:hAnsi="Symbol" w:hint="default"/>
      </w:rPr>
    </w:lvl>
    <w:lvl w:ilvl="1">
      <w:start w:val="1"/>
      <w:numFmt w:val="bullet"/>
      <w:lvlRestart w:val="0"/>
      <w:lvlText w:val=""/>
      <w:lvlJc w:val="left"/>
      <w:pPr>
        <w:tabs>
          <w:tab w:val="num" w:pos="794"/>
        </w:tabs>
        <w:ind w:left="794" w:hanging="397"/>
      </w:pPr>
      <w:rPr>
        <w:rFonts w:ascii="Symbol" w:hAnsi="Symbol" w:hint="default"/>
      </w:rPr>
    </w:lvl>
    <w:lvl w:ilvl="2">
      <w:start w:val="1"/>
      <w:numFmt w:val="bullet"/>
      <w:lvlRestart w:val="0"/>
      <w:lvlText w:val=""/>
      <w:lvlJc w:val="left"/>
      <w:pPr>
        <w:tabs>
          <w:tab w:val="num" w:pos="1191"/>
        </w:tabs>
        <w:ind w:left="1191" w:hanging="397"/>
      </w:pPr>
      <w:rPr>
        <w:rFonts w:ascii="Symbol" w:hAnsi="Symbol" w:hint="default"/>
      </w:rPr>
    </w:lvl>
    <w:lvl w:ilvl="3">
      <w:start w:val="1"/>
      <w:numFmt w:val="bullet"/>
      <w:lvlRestart w:val="0"/>
      <w:lvlText w:val=""/>
      <w:lvlJc w:val="left"/>
      <w:pPr>
        <w:tabs>
          <w:tab w:val="num" w:pos="1588"/>
        </w:tabs>
        <w:ind w:left="1588" w:hanging="397"/>
      </w:pPr>
      <w:rPr>
        <w:rFonts w:ascii="Symbol" w:hAnsi="Symbol" w:hint="default"/>
      </w:rPr>
    </w:lvl>
    <w:lvl w:ilvl="4">
      <w:start w:val="1"/>
      <w:numFmt w:val="bullet"/>
      <w:lvlRestart w:val="0"/>
      <w:lvlText w:val=""/>
      <w:lvlJc w:val="left"/>
      <w:pPr>
        <w:tabs>
          <w:tab w:val="num" w:pos="1985"/>
        </w:tabs>
        <w:ind w:left="1985" w:hanging="397"/>
      </w:pPr>
      <w:rPr>
        <w:rFonts w:ascii="Symbol" w:hAnsi="Symbol" w:hint="default"/>
      </w:rPr>
    </w:lvl>
    <w:lvl w:ilvl="5">
      <w:start w:val="1"/>
      <w:numFmt w:val="lowerRoman"/>
      <w:lvlText w:val="(%6)"/>
      <w:lvlJc w:val="lef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left"/>
      <w:pPr>
        <w:tabs>
          <w:tab w:val="num" w:pos="3573"/>
        </w:tabs>
        <w:ind w:left="3573" w:hanging="397"/>
      </w:pPr>
      <w:rPr>
        <w:rFonts w:hint="default"/>
      </w:rPr>
    </w:lvl>
  </w:abstractNum>
  <w:abstractNum w:abstractNumId="20" w15:restartNumberingAfterBreak="0">
    <w:nsid w:val="5FCC5E24"/>
    <w:multiLevelType w:val="singleLevel"/>
    <w:tmpl w:val="47A853AA"/>
    <w:lvl w:ilvl="0">
      <w:start w:val="1"/>
      <w:numFmt w:val="bullet"/>
      <w:pStyle w:val="Punktliste"/>
      <w:lvlText w:val=""/>
      <w:lvlJc w:val="left"/>
      <w:pPr>
        <w:tabs>
          <w:tab w:val="num" w:pos="360"/>
        </w:tabs>
        <w:ind w:left="360" w:hanging="360"/>
      </w:pPr>
      <w:rPr>
        <w:rFonts w:ascii="Symbol" w:hAnsi="Symbol" w:hint="default"/>
      </w:rPr>
    </w:lvl>
  </w:abstractNum>
  <w:abstractNum w:abstractNumId="21" w15:restartNumberingAfterBreak="0">
    <w:nsid w:val="60044BAD"/>
    <w:multiLevelType w:val="hybridMultilevel"/>
    <w:tmpl w:val="A97A3468"/>
    <w:lvl w:ilvl="0" w:tplc="67000A9E">
      <w:start w:val="1"/>
      <w:numFmt w:val="bullet"/>
      <w:pStyle w:val="Liste2"/>
      <w:lvlText w:val="-"/>
      <w:lvlJc w:val="left"/>
      <w:pPr>
        <w:ind w:left="1117" w:hanging="360"/>
      </w:pPr>
      <w:rPr>
        <w:rFonts w:ascii="Arial" w:hAnsi="Arial" w:hint="default"/>
      </w:rPr>
    </w:lvl>
    <w:lvl w:ilvl="1" w:tplc="04140003" w:tentative="1">
      <w:start w:val="1"/>
      <w:numFmt w:val="bullet"/>
      <w:lvlText w:val="o"/>
      <w:lvlJc w:val="left"/>
      <w:pPr>
        <w:ind w:left="1837" w:hanging="360"/>
      </w:pPr>
      <w:rPr>
        <w:rFonts w:ascii="Courier New" w:hAnsi="Courier New" w:cs="Courier New" w:hint="default"/>
      </w:rPr>
    </w:lvl>
    <w:lvl w:ilvl="2" w:tplc="04140005" w:tentative="1">
      <w:start w:val="1"/>
      <w:numFmt w:val="bullet"/>
      <w:lvlText w:val=""/>
      <w:lvlJc w:val="left"/>
      <w:pPr>
        <w:ind w:left="2557" w:hanging="360"/>
      </w:pPr>
      <w:rPr>
        <w:rFonts w:ascii="Wingdings" w:hAnsi="Wingdings" w:hint="default"/>
      </w:rPr>
    </w:lvl>
    <w:lvl w:ilvl="3" w:tplc="04140001" w:tentative="1">
      <w:start w:val="1"/>
      <w:numFmt w:val="bullet"/>
      <w:lvlText w:val=""/>
      <w:lvlJc w:val="left"/>
      <w:pPr>
        <w:ind w:left="3277" w:hanging="360"/>
      </w:pPr>
      <w:rPr>
        <w:rFonts w:ascii="Symbol" w:hAnsi="Symbol" w:hint="default"/>
      </w:rPr>
    </w:lvl>
    <w:lvl w:ilvl="4" w:tplc="04140003" w:tentative="1">
      <w:start w:val="1"/>
      <w:numFmt w:val="bullet"/>
      <w:lvlText w:val="o"/>
      <w:lvlJc w:val="left"/>
      <w:pPr>
        <w:ind w:left="3997" w:hanging="360"/>
      </w:pPr>
      <w:rPr>
        <w:rFonts w:ascii="Courier New" w:hAnsi="Courier New" w:cs="Courier New" w:hint="default"/>
      </w:rPr>
    </w:lvl>
    <w:lvl w:ilvl="5" w:tplc="04140005" w:tentative="1">
      <w:start w:val="1"/>
      <w:numFmt w:val="bullet"/>
      <w:lvlText w:val=""/>
      <w:lvlJc w:val="left"/>
      <w:pPr>
        <w:ind w:left="4717" w:hanging="360"/>
      </w:pPr>
      <w:rPr>
        <w:rFonts w:ascii="Wingdings" w:hAnsi="Wingdings" w:hint="default"/>
      </w:rPr>
    </w:lvl>
    <w:lvl w:ilvl="6" w:tplc="04140001" w:tentative="1">
      <w:start w:val="1"/>
      <w:numFmt w:val="bullet"/>
      <w:lvlText w:val=""/>
      <w:lvlJc w:val="left"/>
      <w:pPr>
        <w:ind w:left="5437" w:hanging="360"/>
      </w:pPr>
      <w:rPr>
        <w:rFonts w:ascii="Symbol" w:hAnsi="Symbol" w:hint="default"/>
      </w:rPr>
    </w:lvl>
    <w:lvl w:ilvl="7" w:tplc="04140003" w:tentative="1">
      <w:start w:val="1"/>
      <w:numFmt w:val="bullet"/>
      <w:lvlText w:val="o"/>
      <w:lvlJc w:val="left"/>
      <w:pPr>
        <w:ind w:left="6157" w:hanging="360"/>
      </w:pPr>
      <w:rPr>
        <w:rFonts w:ascii="Courier New" w:hAnsi="Courier New" w:cs="Courier New" w:hint="default"/>
      </w:rPr>
    </w:lvl>
    <w:lvl w:ilvl="8" w:tplc="04140005" w:tentative="1">
      <w:start w:val="1"/>
      <w:numFmt w:val="bullet"/>
      <w:lvlText w:val=""/>
      <w:lvlJc w:val="left"/>
      <w:pPr>
        <w:ind w:left="6877" w:hanging="360"/>
      </w:pPr>
      <w:rPr>
        <w:rFonts w:ascii="Wingdings" w:hAnsi="Wingdings" w:hint="default"/>
      </w:rPr>
    </w:lvl>
  </w:abstractNum>
  <w:abstractNum w:abstractNumId="22" w15:restartNumberingAfterBreak="0">
    <w:nsid w:val="62A6542F"/>
    <w:multiLevelType w:val="multilevel"/>
    <w:tmpl w:val="EC565FEC"/>
    <w:lvl w:ilvl="0">
      <w:start w:val="1"/>
      <w:numFmt w:val="lowerRoman"/>
      <w:pStyle w:val="romertallliste"/>
      <w:lvlText w:val="%1."/>
      <w:lvlJc w:val="left"/>
      <w:pPr>
        <w:tabs>
          <w:tab w:val="num" w:pos="397"/>
        </w:tabs>
        <w:ind w:left="397" w:hanging="397"/>
      </w:pPr>
      <w:rPr>
        <w:rFonts w:hint="default"/>
      </w:rPr>
    </w:lvl>
    <w:lvl w:ilvl="1">
      <w:start w:val="1"/>
      <w:numFmt w:val="lowerRoman"/>
      <w:pStyle w:val="romertallliste2"/>
      <w:lvlText w:val="%2."/>
      <w:lvlJc w:val="left"/>
      <w:pPr>
        <w:tabs>
          <w:tab w:val="num" w:pos="794"/>
        </w:tabs>
        <w:ind w:left="794" w:hanging="397"/>
      </w:pPr>
      <w:rPr>
        <w:rFonts w:hint="default"/>
      </w:rPr>
    </w:lvl>
    <w:lvl w:ilvl="2">
      <w:start w:val="1"/>
      <w:numFmt w:val="lowerRoman"/>
      <w:pStyle w:val="romertallliste3"/>
      <w:lvlText w:val="%3."/>
      <w:lvlJc w:val="left"/>
      <w:pPr>
        <w:tabs>
          <w:tab w:val="num" w:pos="1191"/>
        </w:tabs>
        <w:ind w:left="1191" w:hanging="397"/>
      </w:pPr>
      <w:rPr>
        <w:rFonts w:hint="default"/>
      </w:rPr>
    </w:lvl>
    <w:lvl w:ilvl="3">
      <w:start w:val="1"/>
      <w:numFmt w:val="lowerRoman"/>
      <w:pStyle w:val="romertallliste4"/>
      <w:lvlText w:val="%4."/>
      <w:lvlJc w:val="left"/>
      <w:pPr>
        <w:tabs>
          <w:tab w:val="num" w:pos="1588"/>
        </w:tabs>
        <w:ind w:left="1588" w:hanging="397"/>
      </w:pPr>
      <w:rPr>
        <w:rFonts w:hint="default"/>
      </w:rPr>
    </w:lvl>
    <w:lvl w:ilvl="4">
      <w:start w:val="1"/>
      <w:numFmt w:val="lowerRoman"/>
      <w:pStyle w:val="romertallliste5"/>
      <w:lvlText w:val="%5."/>
      <w:lvlJc w:val="left"/>
      <w:pPr>
        <w:tabs>
          <w:tab w:val="num" w:pos="1985"/>
        </w:tabs>
        <w:ind w:left="1985" w:hanging="397"/>
      </w:pPr>
      <w:rPr>
        <w:rFonts w:hint="default"/>
      </w:rPr>
    </w:lvl>
    <w:lvl w:ilvl="5">
      <w:start w:val="1"/>
      <w:numFmt w:val="decimal"/>
      <w:lvlRestart w:val="1"/>
      <w:suff w:val="space"/>
      <w:lvlText w:val="Figur %1.%6"/>
      <w:lvlJc w:val="left"/>
      <w:pPr>
        <w:ind w:left="0" w:firstLine="0"/>
      </w:pPr>
      <w:rPr>
        <w:rFonts w:hint="default"/>
      </w:rPr>
    </w:lvl>
    <w:lvl w:ilvl="6">
      <w:start w:val="1"/>
      <w:numFmt w:val="decimal"/>
      <w:lvlRestart w:val="1"/>
      <w:suff w:val="space"/>
      <w:lvlText w:val="Tabell %1.%7"/>
      <w:lvlJc w:val="left"/>
      <w:pPr>
        <w:ind w:left="0" w:firstLine="0"/>
      </w:pPr>
      <w:rPr>
        <w:rFonts w:hint="default"/>
      </w:rPr>
    </w:lvl>
    <w:lvl w:ilvl="7">
      <w:start w:val="1"/>
      <w:numFmt w:val="decimal"/>
      <w:lvlRestart w:val="1"/>
      <w:suff w:val="space"/>
      <w:lvlText w:val="Boks %1.%8"/>
      <w:lvlJc w:val="left"/>
      <w:pPr>
        <w:ind w:left="0" w:firstLine="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67877E27"/>
    <w:multiLevelType w:val="hybridMultilevel"/>
    <w:tmpl w:val="C93CBF56"/>
    <w:lvl w:ilvl="0" w:tplc="669A7D6A">
      <w:start w:val="1"/>
      <w:numFmt w:val="bullet"/>
      <w:pStyle w:val="Listebombe4"/>
      <w:lvlText w:val=""/>
      <w:lvlJc w:val="left"/>
      <w:pPr>
        <w:ind w:left="1514" w:hanging="360"/>
      </w:pPr>
      <w:rPr>
        <w:rFonts w:ascii="Symbol" w:hAnsi="Symbol" w:hint="default"/>
      </w:rPr>
    </w:lvl>
    <w:lvl w:ilvl="1" w:tplc="04140019" w:tentative="1">
      <w:start w:val="1"/>
      <w:numFmt w:val="bullet"/>
      <w:lvlText w:val="o"/>
      <w:lvlJc w:val="left"/>
      <w:pPr>
        <w:ind w:left="2234" w:hanging="360"/>
      </w:pPr>
      <w:rPr>
        <w:rFonts w:ascii="Courier New" w:hAnsi="Courier New" w:cs="Courier New" w:hint="default"/>
      </w:rPr>
    </w:lvl>
    <w:lvl w:ilvl="2" w:tplc="0414001B" w:tentative="1">
      <w:start w:val="1"/>
      <w:numFmt w:val="bullet"/>
      <w:lvlText w:val=""/>
      <w:lvlJc w:val="left"/>
      <w:pPr>
        <w:ind w:left="2954" w:hanging="360"/>
      </w:pPr>
      <w:rPr>
        <w:rFonts w:ascii="Wingdings" w:hAnsi="Wingdings" w:hint="default"/>
      </w:rPr>
    </w:lvl>
    <w:lvl w:ilvl="3" w:tplc="0414000F" w:tentative="1">
      <w:start w:val="1"/>
      <w:numFmt w:val="bullet"/>
      <w:lvlText w:val=""/>
      <w:lvlJc w:val="left"/>
      <w:pPr>
        <w:ind w:left="3674" w:hanging="360"/>
      </w:pPr>
      <w:rPr>
        <w:rFonts w:ascii="Symbol" w:hAnsi="Symbol" w:hint="default"/>
      </w:rPr>
    </w:lvl>
    <w:lvl w:ilvl="4" w:tplc="04140019" w:tentative="1">
      <w:start w:val="1"/>
      <w:numFmt w:val="bullet"/>
      <w:lvlText w:val="o"/>
      <w:lvlJc w:val="left"/>
      <w:pPr>
        <w:ind w:left="4394" w:hanging="360"/>
      </w:pPr>
      <w:rPr>
        <w:rFonts w:ascii="Courier New" w:hAnsi="Courier New" w:cs="Courier New" w:hint="default"/>
      </w:rPr>
    </w:lvl>
    <w:lvl w:ilvl="5" w:tplc="0414001B" w:tentative="1">
      <w:start w:val="1"/>
      <w:numFmt w:val="bullet"/>
      <w:lvlText w:val=""/>
      <w:lvlJc w:val="left"/>
      <w:pPr>
        <w:ind w:left="5114" w:hanging="360"/>
      </w:pPr>
      <w:rPr>
        <w:rFonts w:ascii="Wingdings" w:hAnsi="Wingdings" w:hint="default"/>
      </w:rPr>
    </w:lvl>
    <w:lvl w:ilvl="6" w:tplc="0414000F" w:tentative="1">
      <w:start w:val="1"/>
      <w:numFmt w:val="bullet"/>
      <w:lvlText w:val=""/>
      <w:lvlJc w:val="left"/>
      <w:pPr>
        <w:ind w:left="5834" w:hanging="360"/>
      </w:pPr>
      <w:rPr>
        <w:rFonts w:ascii="Symbol" w:hAnsi="Symbol" w:hint="default"/>
      </w:rPr>
    </w:lvl>
    <w:lvl w:ilvl="7" w:tplc="04140019" w:tentative="1">
      <w:start w:val="1"/>
      <w:numFmt w:val="bullet"/>
      <w:lvlText w:val="o"/>
      <w:lvlJc w:val="left"/>
      <w:pPr>
        <w:ind w:left="6554" w:hanging="360"/>
      </w:pPr>
      <w:rPr>
        <w:rFonts w:ascii="Courier New" w:hAnsi="Courier New" w:cs="Courier New" w:hint="default"/>
      </w:rPr>
    </w:lvl>
    <w:lvl w:ilvl="8" w:tplc="0414001B" w:tentative="1">
      <w:start w:val="1"/>
      <w:numFmt w:val="bullet"/>
      <w:lvlText w:val=""/>
      <w:lvlJc w:val="left"/>
      <w:pPr>
        <w:ind w:left="7274" w:hanging="360"/>
      </w:pPr>
      <w:rPr>
        <w:rFonts w:ascii="Wingdings" w:hAnsi="Wingdings" w:hint="default"/>
      </w:rPr>
    </w:lvl>
  </w:abstractNum>
  <w:abstractNum w:abstractNumId="24" w15:restartNumberingAfterBreak="0">
    <w:nsid w:val="68DA4196"/>
    <w:multiLevelType w:val="hybridMultilevel"/>
    <w:tmpl w:val="F8349738"/>
    <w:lvl w:ilvl="0" w:tplc="FDB247EE">
      <w:start w:val="1"/>
      <w:numFmt w:val="bullet"/>
      <w:pStyle w:val="Liste3"/>
      <w:lvlText w:val="-"/>
      <w:lvlJc w:val="left"/>
      <w:pPr>
        <w:ind w:left="1514" w:hanging="360"/>
      </w:pPr>
      <w:rPr>
        <w:rFonts w:ascii="Arial" w:hAnsi="Arial" w:hint="default"/>
      </w:rPr>
    </w:lvl>
    <w:lvl w:ilvl="1" w:tplc="04140003" w:tentative="1">
      <w:start w:val="1"/>
      <w:numFmt w:val="bullet"/>
      <w:lvlText w:val="o"/>
      <w:lvlJc w:val="left"/>
      <w:pPr>
        <w:ind w:left="2234" w:hanging="360"/>
      </w:pPr>
      <w:rPr>
        <w:rFonts w:ascii="Courier New" w:hAnsi="Courier New" w:cs="Courier New" w:hint="default"/>
      </w:rPr>
    </w:lvl>
    <w:lvl w:ilvl="2" w:tplc="04140005" w:tentative="1">
      <w:start w:val="1"/>
      <w:numFmt w:val="bullet"/>
      <w:lvlText w:val=""/>
      <w:lvlJc w:val="left"/>
      <w:pPr>
        <w:ind w:left="2954" w:hanging="360"/>
      </w:pPr>
      <w:rPr>
        <w:rFonts w:ascii="Wingdings" w:hAnsi="Wingdings" w:hint="default"/>
      </w:rPr>
    </w:lvl>
    <w:lvl w:ilvl="3" w:tplc="04140001" w:tentative="1">
      <w:start w:val="1"/>
      <w:numFmt w:val="bullet"/>
      <w:lvlText w:val=""/>
      <w:lvlJc w:val="left"/>
      <w:pPr>
        <w:ind w:left="3674" w:hanging="360"/>
      </w:pPr>
      <w:rPr>
        <w:rFonts w:ascii="Symbol" w:hAnsi="Symbol" w:hint="default"/>
      </w:rPr>
    </w:lvl>
    <w:lvl w:ilvl="4" w:tplc="04140003" w:tentative="1">
      <w:start w:val="1"/>
      <w:numFmt w:val="bullet"/>
      <w:lvlText w:val="o"/>
      <w:lvlJc w:val="left"/>
      <w:pPr>
        <w:ind w:left="4394" w:hanging="360"/>
      </w:pPr>
      <w:rPr>
        <w:rFonts w:ascii="Courier New" w:hAnsi="Courier New" w:cs="Courier New" w:hint="default"/>
      </w:rPr>
    </w:lvl>
    <w:lvl w:ilvl="5" w:tplc="04140005" w:tentative="1">
      <w:start w:val="1"/>
      <w:numFmt w:val="bullet"/>
      <w:lvlText w:val=""/>
      <w:lvlJc w:val="left"/>
      <w:pPr>
        <w:ind w:left="5114" w:hanging="360"/>
      </w:pPr>
      <w:rPr>
        <w:rFonts w:ascii="Wingdings" w:hAnsi="Wingdings" w:hint="default"/>
      </w:rPr>
    </w:lvl>
    <w:lvl w:ilvl="6" w:tplc="04140001" w:tentative="1">
      <w:start w:val="1"/>
      <w:numFmt w:val="bullet"/>
      <w:lvlText w:val=""/>
      <w:lvlJc w:val="left"/>
      <w:pPr>
        <w:ind w:left="5834" w:hanging="360"/>
      </w:pPr>
      <w:rPr>
        <w:rFonts w:ascii="Symbol" w:hAnsi="Symbol" w:hint="default"/>
      </w:rPr>
    </w:lvl>
    <w:lvl w:ilvl="7" w:tplc="04140003" w:tentative="1">
      <w:start w:val="1"/>
      <w:numFmt w:val="bullet"/>
      <w:lvlText w:val="o"/>
      <w:lvlJc w:val="left"/>
      <w:pPr>
        <w:ind w:left="6554" w:hanging="360"/>
      </w:pPr>
      <w:rPr>
        <w:rFonts w:ascii="Courier New" w:hAnsi="Courier New" w:cs="Courier New" w:hint="default"/>
      </w:rPr>
    </w:lvl>
    <w:lvl w:ilvl="8" w:tplc="04140005" w:tentative="1">
      <w:start w:val="1"/>
      <w:numFmt w:val="bullet"/>
      <w:lvlText w:val=""/>
      <w:lvlJc w:val="left"/>
      <w:pPr>
        <w:ind w:left="7274" w:hanging="360"/>
      </w:pPr>
      <w:rPr>
        <w:rFonts w:ascii="Wingdings" w:hAnsi="Wingdings" w:hint="default"/>
      </w:rPr>
    </w:lvl>
  </w:abstractNum>
  <w:abstractNum w:abstractNumId="25" w15:restartNumberingAfterBreak="0">
    <w:nsid w:val="714C4AD6"/>
    <w:multiLevelType w:val="singleLevel"/>
    <w:tmpl w:val="02EA33DC"/>
    <w:lvl w:ilvl="0">
      <w:start w:val="1"/>
      <w:numFmt w:val="bullet"/>
      <w:pStyle w:val="Punktliste2"/>
      <w:lvlText w:val=""/>
      <w:lvlJc w:val="left"/>
      <w:pPr>
        <w:tabs>
          <w:tab w:val="num" w:pos="720"/>
        </w:tabs>
        <w:ind w:left="720" w:hanging="363"/>
      </w:pPr>
      <w:rPr>
        <w:rFonts w:ascii="Symbol" w:hAnsi="Symbol" w:hint="default"/>
      </w:rPr>
    </w:lvl>
  </w:abstractNum>
  <w:abstractNum w:abstractNumId="26" w15:restartNumberingAfterBreak="0">
    <w:nsid w:val="7C1050EB"/>
    <w:multiLevelType w:val="multilevel"/>
    <w:tmpl w:val="BD5E360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Overskrift6"/>
      <w:lvlText w:val="%1.%2.%3.%4.%5.%6"/>
      <w:lvlJc w:val="left"/>
      <w:pPr>
        <w:tabs>
          <w:tab w:val="num" w:pos="1152"/>
        </w:tabs>
        <w:ind w:left="1152" w:hanging="1152"/>
      </w:pPr>
    </w:lvl>
    <w:lvl w:ilvl="6">
      <w:start w:val="1"/>
      <w:numFmt w:val="decimal"/>
      <w:pStyle w:val="Overskrift7"/>
      <w:lvlText w:val="%1.%2.%3.%4.%5.%6.%7"/>
      <w:lvlJc w:val="left"/>
      <w:pPr>
        <w:tabs>
          <w:tab w:val="num" w:pos="1296"/>
        </w:tabs>
        <w:ind w:left="1296" w:hanging="1296"/>
      </w:pPr>
    </w:lvl>
    <w:lvl w:ilvl="7">
      <w:start w:val="1"/>
      <w:numFmt w:val="decimal"/>
      <w:pStyle w:val="Overskrift8"/>
      <w:lvlText w:val="%1.%2.%3.%4.%5.%6.%7.%8"/>
      <w:lvlJc w:val="left"/>
      <w:pPr>
        <w:tabs>
          <w:tab w:val="num" w:pos="1440"/>
        </w:tabs>
        <w:ind w:left="1440" w:hanging="1440"/>
      </w:pPr>
    </w:lvl>
    <w:lvl w:ilvl="8">
      <w:start w:val="1"/>
      <w:numFmt w:val="decimal"/>
      <w:pStyle w:val="Overskrift9"/>
      <w:lvlText w:val="%1.%2.%3.%4.%5.%6.%7.%8.%9"/>
      <w:lvlJc w:val="left"/>
      <w:pPr>
        <w:tabs>
          <w:tab w:val="num" w:pos="1584"/>
        </w:tabs>
        <w:ind w:left="1584" w:hanging="1584"/>
      </w:pPr>
    </w:lvl>
  </w:abstractNum>
  <w:num w:numId="1" w16cid:durableId="621571614">
    <w:abstractNumId w:val="26"/>
  </w:num>
  <w:num w:numId="2" w16cid:durableId="1691493727">
    <w:abstractNumId w:val="20"/>
  </w:num>
  <w:num w:numId="3" w16cid:durableId="701784177">
    <w:abstractNumId w:val="25"/>
  </w:num>
  <w:num w:numId="4" w16cid:durableId="212666145">
    <w:abstractNumId w:val="8"/>
  </w:num>
  <w:num w:numId="5" w16cid:durableId="239825732">
    <w:abstractNumId w:val="11"/>
  </w:num>
  <w:num w:numId="6" w16cid:durableId="1929076049">
    <w:abstractNumId w:val="2"/>
  </w:num>
  <w:num w:numId="7" w16cid:durableId="1302341828">
    <w:abstractNumId w:val="15"/>
  </w:num>
  <w:num w:numId="8" w16cid:durableId="695350705">
    <w:abstractNumId w:val="1"/>
  </w:num>
  <w:num w:numId="9" w16cid:durableId="2074424752">
    <w:abstractNumId w:val="6"/>
  </w:num>
  <w:num w:numId="10" w16cid:durableId="1093283793">
    <w:abstractNumId w:val="7"/>
  </w:num>
  <w:num w:numId="11" w16cid:durableId="1549367804">
    <w:abstractNumId w:val="19"/>
  </w:num>
  <w:num w:numId="12" w16cid:durableId="1789155614">
    <w:abstractNumId w:val="3"/>
  </w:num>
  <w:num w:numId="13" w16cid:durableId="1281376518">
    <w:abstractNumId w:val="10"/>
  </w:num>
  <w:num w:numId="14" w16cid:durableId="1377050693">
    <w:abstractNumId w:val="18"/>
  </w:num>
  <w:num w:numId="15" w16cid:durableId="1122991450">
    <w:abstractNumId w:val="23"/>
  </w:num>
  <w:num w:numId="16" w16cid:durableId="443623288">
    <w:abstractNumId w:val="14"/>
  </w:num>
  <w:num w:numId="17" w16cid:durableId="1958560054">
    <w:abstractNumId w:val="0"/>
  </w:num>
  <w:num w:numId="18" w16cid:durableId="1826507644">
    <w:abstractNumId w:val="13"/>
  </w:num>
  <w:num w:numId="19" w16cid:durableId="1000084717">
    <w:abstractNumId w:val="16"/>
  </w:num>
  <w:num w:numId="20" w16cid:durableId="1881743657">
    <w:abstractNumId w:val="21"/>
  </w:num>
  <w:num w:numId="21" w16cid:durableId="1086027685">
    <w:abstractNumId w:val="24"/>
  </w:num>
  <w:num w:numId="22" w16cid:durableId="1495024277">
    <w:abstractNumId w:val="4"/>
  </w:num>
  <w:num w:numId="23" w16cid:durableId="1004893802">
    <w:abstractNumId w:val="9"/>
  </w:num>
  <w:num w:numId="24" w16cid:durableId="14618783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386828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966062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32645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linkStyles/>
  <w:defaultTabStop w:val="720"/>
  <w:autoHyphenation/>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rukermalPaa" w:val="false"/>
    <w:docVar w:name="OpenKladd" w:val="false"/>
    <w:docVar w:name="OpenStilListe" w:val="false"/>
    <w:docVar w:name="VisAvansert" w:val="false"/>
    <w:docVar w:name="VisKjerneKonv" w:val="true"/>
    <w:docVar w:name="VisPiltaster" w:val="true"/>
    <w:docVar w:name="VisSettInnFigur" w:val="true"/>
    <w:docVar w:name="VisStilfelt" w:val="true"/>
    <w:docVar w:name="VisTabellDesigner" w:val="false"/>
    <w:docVar w:name="W2KpdfPath" w:val="X:\FILLAGER\DFD\Publikasjoner\D-2022_E Voluntary National Review 2026 Norway\05_KJERNEFORMAT\PDF-UU\H-2022 E Voluntary National Review 2026.pdf"/>
  </w:docVars>
  <w:rsids>
    <w:rsidRoot w:val="0007043D"/>
    <w:rsid w:val="0007043D"/>
    <w:rsid w:val="000F5A6E"/>
    <w:rsid w:val="001609FA"/>
    <w:rsid w:val="002549F0"/>
    <w:rsid w:val="00343366"/>
    <w:rsid w:val="003E415F"/>
    <w:rsid w:val="00541482"/>
    <w:rsid w:val="006A6D19"/>
    <w:rsid w:val="006B301F"/>
    <w:rsid w:val="00793162"/>
    <w:rsid w:val="007B3BCE"/>
    <w:rsid w:val="008A5841"/>
    <w:rsid w:val="008D2934"/>
    <w:rsid w:val="008F7045"/>
    <w:rsid w:val="00A17B3B"/>
    <w:rsid w:val="00AA7749"/>
    <w:rsid w:val="00B0619C"/>
    <w:rsid w:val="00B21484"/>
    <w:rsid w:val="00B765C1"/>
    <w:rsid w:val="00BB2AF4"/>
    <w:rsid w:val="00C53CF7"/>
    <w:rsid w:val="00D0531C"/>
    <w:rsid w:val="00D64CF7"/>
    <w:rsid w:val="00E5623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D02C26"/>
  <w14:defaultImageDpi w14:val="0"/>
  <w15:docId w15:val="{385751A2-636E-42E3-AF85-1B0D54BA6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qFormat="1"/>
    <w:lsdException w:name="List Bullet" w:semiHidden="1" w:uiPriority="0" w:unhideWhenUsed="1"/>
    <w:lsdException w:name="List Number" w:semiHidden="1" w:uiPriority="0" w:qFormat="1"/>
    <w:lsdException w:name="List 2" w:semiHidden="1" w:uiPriority="0" w:unhideWhenUsed="1" w:qFormat="1"/>
    <w:lsdException w:name="List 3" w:semiHidden="1" w:uiPriority="0" w:unhideWhenUsed="1" w:qFormat="1"/>
    <w:lsdException w:name="List 4" w:semiHidden="1" w:uiPriority="0" w:unhideWhenUsed="1" w:qFormat="1"/>
    <w:lsdException w:name="List 5" w:semiHidden="1" w:uiPriority="0" w:unhideWhenUsed="1" w:qFormat="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qFormat="1"/>
    <w:lsdException w:name="List Number 3" w:semiHidden="1" w:uiPriority="0" w:unhideWhenUsed="1" w:qFormat="1"/>
    <w:lsdException w:name="List Number 4" w:semiHidden="1" w:uiPriority="0" w:unhideWhenUsed="1"/>
    <w:lsdException w:name="List Number 5" w:semiHidden="1" w:uiPriority="0" w:unhideWhenUsed="1" w:qFormat="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9FA"/>
    <w:pPr>
      <w:spacing w:before="100" w:line="288" w:lineRule="auto"/>
    </w:pPr>
    <w:rPr>
      <w:rFonts w:ascii="Open Sans" w:eastAsia="Times New Roman" w:hAnsi="Open Sans"/>
      <w:kern w:val="0"/>
      <w:sz w:val="22"/>
      <w:szCs w:val="22"/>
    </w:rPr>
  </w:style>
  <w:style w:type="paragraph" w:styleId="Overskrift1">
    <w:name w:val="heading 1"/>
    <w:next w:val="Normal"/>
    <w:link w:val="Overskrift1Tegn"/>
    <w:qFormat/>
    <w:rsid w:val="001609FA"/>
    <w:pPr>
      <w:keepNext/>
      <w:keepLines/>
      <w:numPr>
        <w:numId w:val="18"/>
      </w:numPr>
      <w:spacing w:before="300" w:after="100" w:line="259" w:lineRule="auto"/>
      <w:outlineLvl w:val="0"/>
    </w:pPr>
    <w:rPr>
      <w:rFonts w:ascii="Open Sans" w:eastAsia="Times New Roman" w:hAnsi="Open Sans"/>
      <w:b/>
      <w:kern w:val="28"/>
      <w:sz w:val="32"/>
      <w:szCs w:val="22"/>
    </w:rPr>
  </w:style>
  <w:style w:type="paragraph" w:styleId="Overskrift2">
    <w:name w:val="heading 2"/>
    <w:basedOn w:val="Overskrift1"/>
    <w:next w:val="Normal"/>
    <w:link w:val="Overskrift2Tegn"/>
    <w:qFormat/>
    <w:rsid w:val="001609FA"/>
    <w:pPr>
      <w:numPr>
        <w:ilvl w:val="1"/>
      </w:numPr>
      <w:spacing w:before="240"/>
      <w:outlineLvl w:val="1"/>
    </w:pPr>
    <w:rPr>
      <w:spacing w:val="4"/>
      <w:sz w:val="28"/>
    </w:rPr>
  </w:style>
  <w:style w:type="paragraph" w:styleId="Overskrift3">
    <w:name w:val="heading 3"/>
    <w:basedOn w:val="Normal"/>
    <w:next w:val="Normal"/>
    <w:link w:val="Overskrift3Tegn"/>
    <w:qFormat/>
    <w:rsid w:val="001609FA"/>
    <w:pPr>
      <w:keepNext/>
      <w:keepLines/>
      <w:numPr>
        <w:ilvl w:val="2"/>
        <w:numId w:val="18"/>
      </w:numPr>
      <w:spacing w:before="240" w:after="100"/>
      <w:outlineLvl w:val="2"/>
    </w:pPr>
    <w:rPr>
      <w:b/>
    </w:rPr>
  </w:style>
  <w:style w:type="paragraph" w:styleId="Overskrift4">
    <w:name w:val="heading 4"/>
    <w:basedOn w:val="Overskrift1"/>
    <w:next w:val="Normal"/>
    <w:link w:val="Overskrift4Tegn"/>
    <w:qFormat/>
    <w:rsid w:val="001609FA"/>
    <w:pPr>
      <w:numPr>
        <w:ilvl w:val="3"/>
      </w:numPr>
      <w:spacing w:before="200"/>
      <w:outlineLvl w:val="3"/>
    </w:pPr>
    <w:rPr>
      <w:b w:val="0"/>
      <w:i/>
      <w:spacing w:val="4"/>
      <w:sz w:val="22"/>
    </w:rPr>
  </w:style>
  <w:style w:type="paragraph" w:styleId="Overskrift5">
    <w:name w:val="heading 5"/>
    <w:basedOn w:val="Overskrift1"/>
    <w:next w:val="Normal"/>
    <w:link w:val="Overskrift5Tegn"/>
    <w:qFormat/>
    <w:rsid w:val="001609FA"/>
    <w:pPr>
      <w:numPr>
        <w:ilvl w:val="4"/>
      </w:numPr>
      <w:spacing w:before="200"/>
      <w:outlineLvl w:val="4"/>
    </w:pPr>
    <w:rPr>
      <w:b w:val="0"/>
      <w:sz w:val="22"/>
    </w:rPr>
  </w:style>
  <w:style w:type="paragraph" w:styleId="Overskrift6">
    <w:name w:val="heading 6"/>
    <w:basedOn w:val="Normal"/>
    <w:next w:val="Normal"/>
    <w:link w:val="Overskrift6Tegn"/>
    <w:qFormat/>
    <w:rsid w:val="001609FA"/>
    <w:pPr>
      <w:numPr>
        <w:ilvl w:val="5"/>
        <w:numId w:val="1"/>
      </w:numPr>
      <w:spacing w:before="240" w:after="60"/>
      <w:outlineLvl w:val="5"/>
    </w:pPr>
    <w:rPr>
      <w:i/>
    </w:rPr>
  </w:style>
  <w:style w:type="paragraph" w:styleId="Overskrift7">
    <w:name w:val="heading 7"/>
    <w:basedOn w:val="Normal"/>
    <w:next w:val="Normal"/>
    <w:link w:val="Overskrift7Tegn"/>
    <w:qFormat/>
    <w:rsid w:val="001609FA"/>
    <w:pPr>
      <w:numPr>
        <w:ilvl w:val="6"/>
        <w:numId w:val="1"/>
      </w:numPr>
      <w:spacing w:before="240" w:after="60"/>
      <w:outlineLvl w:val="6"/>
    </w:pPr>
  </w:style>
  <w:style w:type="paragraph" w:styleId="Overskrift8">
    <w:name w:val="heading 8"/>
    <w:basedOn w:val="Normal"/>
    <w:next w:val="Normal"/>
    <w:link w:val="Overskrift8Tegn"/>
    <w:qFormat/>
    <w:rsid w:val="001609FA"/>
    <w:pPr>
      <w:numPr>
        <w:ilvl w:val="7"/>
        <w:numId w:val="1"/>
      </w:numPr>
      <w:spacing w:before="240" w:after="60"/>
      <w:outlineLvl w:val="7"/>
    </w:pPr>
    <w:rPr>
      <w:i/>
    </w:rPr>
  </w:style>
  <w:style w:type="paragraph" w:styleId="Overskrift9">
    <w:name w:val="heading 9"/>
    <w:basedOn w:val="Normal"/>
    <w:next w:val="Normal"/>
    <w:link w:val="Overskrift9Tegn"/>
    <w:qFormat/>
    <w:rsid w:val="001609FA"/>
    <w:pPr>
      <w:numPr>
        <w:ilvl w:val="8"/>
        <w:numId w:val="1"/>
      </w:numPr>
      <w:spacing w:before="240" w:after="60"/>
      <w:outlineLvl w:val="8"/>
    </w:pPr>
    <w:rPr>
      <w:b/>
      <w:i/>
      <w:sz w:val="18"/>
    </w:rPr>
  </w:style>
  <w:style w:type="character" w:default="1" w:styleId="Standardskriftforavsnitt">
    <w:name w:val="Default Paragraph Font"/>
    <w:uiPriority w:val="1"/>
    <w:unhideWhenUsed/>
    <w:rsid w:val="001609FA"/>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rsid w:val="001609FA"/>
  </w:style>
  <w:style w:type="paragraph" w:customStyle="1" w:styleId="NoParagraphStyle">
    <w:name w:val="[No Paragraph Style]"/>
    <w:pPr>
      <w:widowControl w:val="0"/>
      <w:autoSpaceDE w:val="0"/>
      <w:autoSpaceDN w:val="0"/>
      <w:adjustRightInd w:val="0"/>
      <w:spacing w:after="0" w:line="288" w:lineRule="auto"/>
      <w:textAlignment w:val="center"/>
    </w:pPr>
    <w:rPr>
      <w:rFonts w:ascii="MinionPro-Regular" w:hAnsi="MinionPro-Regular" w:cs="MinionPro-Regular"/>
      <w:color w:val="000000"/>
      <w:kern w:val="0"/>
      <w:lang w:val="en-GB"/>
    </w:rPr>
  </w:style>
  <w:style w:type="paragraph" w:customStyle="1" w:styleId="BasicParagraph">
    <w:name w:val="[Basic Paragraph]"/>
    <w:basedOn w:val="NoParagraphStyle"/>
    <w:uiPriority w:val="99"/>
    <w:rPr>
      <w:rFonts w:ascii="Open Sans" w:hAnsi="Open Sans" w:cs="Open Sans"/>
    </w:rPr>
  </w:style>
  <w:style w:type="paragraph" w:customStyle="1" w:styleId="PublTittel">
    <w:name w:val="PublTittel"/>
    <w:basedOn w:val="Normal"/>
    <w:qFormat/>
    <w:rsid w:val="001609FA"/>
    <w:pPr>
      <w:spacing w:before="80"/>
    </w:pPr>
    <w:rPr>
      <w:sz w:val="48"/>
      <w:szCs w:val="48"/>
    </w:rPr>
  </w:style>
  <w:style w:type="paragraph" w:customStyle="1" w:styleId="avsnitt-undertittel">
    <w:name w:val="avsnitt-undertittel"/>
    <w:basedOn w:val="Undertittel"/>
    <w:next w:val="Normal"/>
    <w:rsid w:val="001609FA"/>
    <w:pPr>
      <w:spacing w:line="240" w:lineRule="auto"/>
    </w:pPr>
    <w:rPr>
      <w:rFonts w:eastAsia="Batang"/>
      <w:b w:val="0"/>
      <w:i/>
      <w:sz w:val="24"/>
      <w:szCs w:val="20"/>
    </w:rPr>
  </w:style>
  <w:style w:type="paragraph" w:customStyle="1" w:styleId="Figur--kapittel">
    <w:name w:val="Figur--kapittel"/>
    <w:basedOn w:val="Normal"/>
    <w:uiPriority w:val="99"/>
    <w:pPr>
      <w:pageBreakBefore/>
      <w:spacing w:after="0"/>
    </w:pPr>
  </w:style>
  <w:style w:type="character" w:customStyle="1" w:styleId="Overskrift1Tegn">
    <w:name w:val="Overskrift 1 Tegn"/>
    <w:link w:val="Overskrift1"/>
    <w:rsid w:val="001609FA"/>
    <w:rPr>
      <w:rFonts w:ascii="Open Sans" w:eastAsia="Times New Roman" w:hAnsi="Open Sans"/>
      <w:b/>
      <w:kern w:val="28"/>
      <w:sz w:val="32"/>
      <w:szCs w:val="22"/>
    </w:rPr>
  </w:style>
  <w:style w:type="character" w:customStyle="1" w:styleId="Overskrift2Tegn">
    <w:name w:val="Overskrift 2 Tegn"/>
    <w:link w:val="Overskrift2"/>
    <w:rsid w:val="001609FA"/>
    <w:rPr>
      <w:rFonts w:ascii="Open Sans" w:eastAsia="Times New Roman" w:hAnsi="Open Sans"/>
      <w:b/>
      <w:spacing w:val="4"/>
      <w:kern w:val="28"/>
      <w:sz w:val="28"/>
      <w:szCs w:val="22"/>
    </w:rPr>
  </w:style>
  <w:style w:type="paragraph" w:customStyle="1" w:styleId="Overskrift2etter1">
    <w:name w:val="Overskrift 2 etter 1"/>
    <w:basedOn w:val="Overskrift2"/>
    <w:next w:val="Overskrift3"/>
    <w:uiPriority w:val="99"/>
    <w:pPr>
      <w:spacing w:before="0"/>
      <w:outlineLvl w:val="9"/>
    </w:pPr>
  </w:style>
  <w:style w:type="character" w:customStyle="1" w:styleId="Overskrift3Tegn">
    <w:name w:val="Overskrift 3 Tegn"/>
    <w:link w:val="Overskrift3"/>
    <w:rsid w:val="001609FA"/>
    <w:rPr>
      <w:rFonts w:ascii="Open Sans" w:eastAsia="Times New Roman" w:hAnsi="Open Sans"/>
      <w:b/>
      <w:kern w:val="0"/>
      <w:sz w:val="22"/>
      <w:szCs w:val="22"/>
    </w:rPr>
  </w:style>
  <w:style w:type="paragraph" w:customStyle="1" w:styleId="figur-tittel">
    <w:name w:val="figur-tittel"/>
    <w:basedOn w:val="Normal"/>
    <w:next w:val="Normal"/>
    <w:rsid w:val="001609FA"/>
    <w:pPr>
      <w:numPr>
        <w:ilvl w:val="5"/>
        <w:numId w:val="18"/>
      </w:numPr>
    </w:pPr>
    <w:rPr>
      <w:spacing w:val="4"/>
      <w:sz w:val="28"/>
    </w:rPr>
  </w:style>
  <w:style w:type="paragraph" w:customStyle="1" w:styleId="Kilde">
    <w:name w:val="Kilde"/>
    <w:basedOn w:val="Normal"/>
    <w:next w:val="Normal"/>
    <w:rsid w:val="001609FA"/>
    <w:pPr>
      <w:spacing w:after="240"/>
    </w:pPr>
    <w:rPr>
      <w:spacing w:val="4"/>
      <w:sz w:val="18"/>
    </w:rPr>
  </w:style>
  <w:style w:type="paragraph" w:customStyle="1" w:styleId="UnOverskrift3--vanlig">
    <w:name w:val="UnOverskrift 3 --vanlig"/>
    <w:basedOn w:val="Overskrift3"/>
    <w:next w:val="Normal"/>
    <w:uiPriority w:val="99"/>
    <w:pPr>
      <w:ind w:left="0" w:firstLine="0"/>
      <w:outlineLvl w:val="9"/>
    </w:pPr>
  </w:style>
  <w:style w:type="paragraph" w:customStyle="1" w:styleId="UnOverskrift3">
    <w:name w:val="UnOverskrift 3"/>
    <w:basedOn w:val="Overskrift3"/>
    <w:next w:val="Normal"/>
    <w:qFormat/>
    <w:rsid w:val="001609FA"/>
    <w:pPr>
      <w:numPr>
        <w:ilvl w:val="0"/>
        <w:numId w:val="0"/>
      </w:numPr>
    </w:pPr>
  </w:style>
  <w:style w:type="paragraph" w:customStyle="1" w:styleId="Figur--SDG">
    <w:name w:val="Figur--SDG"/>
    <w:basedOn w:val="Normal"/>
    <w:uiPriority w:val="99"/>
    <w:pPr>
      <w:keepLines/>
      <w:spacing w:after="0" w:line="120" w:lineRule="atLeast"/>
    </w:pPr>
    <w:rPr>
      <w:sz w:val="12"/>
      <w:szCs w:val="12"/>
    </w:rPr>
  </w:style>
  <w:style w:type="paragraph" w:customStyle="1" w:styleId="UnOverskrift4--Govermentassessment">
    <w:name w:val="UnOverskrift 4 --Goverment assessment"/>
    <w:basedOn w:val="BasicParagraph"/>
    <w:uiPriority w:val="99"/>
    <w:pPr>
      <w:suppressAutoHyphens/>
      <w:spacing w:before="607" w:after="1417" w:line="300" w:lineRule="atLeast"/>
      <w:ind w:left="2665"/>
    </w:pPr>
    <w:rPr>
      <w:rFonts w:ascii="Open Sans Semibold" w:hAnsi="Open Sans Semibold" w:cs="Open Sans Semibold"/>
      <w:color w:val="E5243B"/>
      <w:sz w:val="40"/>
      <w:szCs w:val="40"/>
    </w:rPr>
  </w:style>
  <w:style w:type="paragraph" w:customStyle="1" w:styleId="Normal--SDG">
    <w:name w:val="Normal --SDG"/>
    <w:basedOn w:val="BasicParagraph"/>
    <w:uiPriority w:val="99"/>
    <w:pPr>
      <w:spacing w:after="133" w:line="210" w:lineRule="atLeast"/>
      <w:jc w:val="both"/>
    </w:pPr>
    <w:rPr>
      <w:sz w:val="18"/>
      <w:szCs w:val="18"/>
    </w:rPr>
  </w:style>
  <w:style w:type="paragraph" w:customStyle="1" w:styleId="Normal--SDGNextPage">
    <w:name w:val="Normal --SDG Next Page"/>
    <w:basedOn w:val="Normal--SDG"/>
    <w:uiPriority w:val="99"/>
    <w:pPr>
      <w:pageBreakBefore/>
    </w:pPr>
  </w:style>
  <w:style w:type="paragraph" w:customStyle="1" w:styleId="figur-tittelSDG">
    <w:name w:val="figur-tittel SDG"/>
    <w:basedOn w:val="Normal"/>
    <w:next w:val="Normal"/>
    <w:uiPriority w:val="99"/>
    <w:pPr>
      <w:keepNext/>
      <w:suppressAutoHyphens/>
      <w:spacing w:before="113" w:after="0" w:line="210" w:lineRule="atLeast"/>
      <w:ind w:right="170"/>
    </w:pPr>
    <w:rPr>
      <w:rFonts w:ascii="Open Sans Semibold" w:hAnsi="Open Sans Semibold" w:cs="Open Sans Semibold"/>
      <w:spacing w:val="3"/>
      <w:sz w:val="18"/>
      <w:szCs w:val="18"/>
    </w:rPr>
  </w:style>
  <w:style w:type="paragraph" w:customStyle="1" w:styleId="Note--SDG">
    <w:name w:val="Note -- SDG"/>
    <w:basedOn w:val="Normal"/>
    <w:uiPriority w:val="99"/>
    <w:pPr>
      <w:tabs>
        <w:tab w:val="left" w:pos="227"/>
      </w:tabs>
      <w:spacing w:before="57" w:line="200" w:lineRule="atLeast"/>
    </w:pPr>
    <w:rPr>
      <w:sz w:val="15"/>
      <w:szCs w:val="15"/>
    </w:rPr>
  </w:style>
  <w:style w:type="character" w:customStyle="1" w:styleId="Overskrift4Tegn">
    <w:name w:val="Overskrift 4 Tegn"/>
    <w:link w:val="Overskrift4"/>
    <w:rsid w:val="001609FA"/>
    <w:rPr>
      <w:rFonts w:ascii="Open Sans" w:eastAsia="Times New Roman" w:hAnsi="Open Sans"/>
      <w:i/>
      <w:spacing w:val="4"/>
      <w:kern w:val="28"/>
      <w:sz w:val="22"/>
      <w:szCs w:val="22"/>
    </w:rPr>
  </w:style>
  <w:style w:type="character" w:customStyle="1" w:styleId="Overskrift5Tegn">
    <w:name w:val="Overskrift 5 Tegn"/>
    <w:link w:val="Overskrift5"/>
    <w:rsid w:val="001609FA"/>
    <w:rPr>
      <w:rFonts w:ascii="Open Sans" w:eastAsia="Times New Roman" w:hAnsi="Open Sans"/>
      <w:kern w:val="28"/>
      <w:sz w:val="22"/>
      <w:szCs w:val="22"/>
    </w:rPr>
  </w:style>
  <w:style w:type="paragraph" w:customStyle="1" w:styleId="UnOverskrift5">
    <w:name w:val="UnOverskrift 5"/>
    <w:basedOn w:val="Overskrift5"/>
    <w:next w:val="Normal"/>
    <w:qFormat/>
    <w:rsid w:val="001609FA"/>
    <w:pPr>
      <w:numPr>
        <w:ilvl w:val="0"/>
        <w:numId w:val="0"/>
      </w:numPr>
    </w:pPr>
  </w:style>
  <w:style w:type="paragraph" w:styleId="Liste">
    <w:name w:val="List"/>
    <w:basedOn w:val="Nummerertliste"/>
    <w:qFormat/>
    <w:rsid w:val="001609FA"/>
    <w:pPr>
      <w:numPr>
        <w:numId w:val="19"/>
      </w:numPr>
      <w:ind w:left="397" w:hanging="397"/>
      <w:contextualSpacing/>
    </w:pPr>
    <w:rPr>
      <w:spacing w:val="4"/>
    </w:rPr>
  </w:style>
  <w:style w:type="paragraph" w:customStyle="1" w:styleId="ListebombeSDG">
    <w:name w:val="Liste bombe SDG"/>
    <w:basedOn w:val="Liste"/>
    <w:uiPriority w:val="99"/>
    <w:pPr>
      <w:tabs>
        <w:tab w:val="left" w:pos="170"/>
      </w:tabs>
      <w:spacing w:line="210" w:lineRule="atLeast"/>
      <w:ind w:left="170" w:hanging="170"/>
    </w:pPr>
    <w:rPr>
      <w:spacing w:val="0"/>
      <w:sz w:val="18"/>
      <w:szCs w:val="18"/>
    </w:rPr>
  </w:style>
  <w:style w:type="paragraph" w:customStyle="1" w:styleId="UnOverskrift4--civilsocietyassessment">
    <w:name w:val="UnOverskrift 4 --civil society assessment"/>
    <w:basedOn w:val="UnOverskrift4--Govermentassessment"/>
    <w:next w:val="Normal"/>
    <w:uiPriority w:val="99"/>
    <w:pPr>
      <w:pageBreakBefore/>
      <w:pBdr>
        <w:top w:val="single" w:sz="8" w:space="31" w:color="auto"/>
      </w:pBdr>
      <w:spacing w:after="1077"/>
    </w:pPr>
  </w:style>
  <w:style w:type="paragraph" w:customStyle="1" w:styleId="Normal--SDGcontributors">
    <w:name w:val="Normal -- SDG contributors"/>
    <w:basedOn w:val="Normal--SDG"/>
    <w:uiPriority w:val="99"/>
    <w:pPr>
      <w:keepNext/>
      <w:keepLines/>
      <w:suppressAutoHyphens/>
      <w:spacing w:line="200" w:lineRule="atLeast"/>
      <w:jc w:val="left"/>
    </w:pPr>
    <w:rPr>
      <w:sz w:val="16"/>
      <w:szCs w:val="16"/>
    </w:rPr>
  </w:style>
  <w:style w:type="paragraph" w:customStyle="1" w:styleId="Normal--SDGTREND">
    <w:name w:val="Normal--SDG TREND"/>
    <w:basedOn w:val="Overskrift5"/>
    <w:next w:val="Normal"/>
    <w:uiPriority w:val="99"/>
    <w:pPr>
      <w:spacing w:before="0" w:after="431" w:line="280" w:lineRule="atLeast"/>
      <w:outlineLvl w:val="9"/>
    </w:pPr>
    <w:rPr>
      <w:b/>
      <w:bCs/>
      <w:i/>
      <w:iCs/>
      <w:caps/>
      <w:sz w:val="16"/>
      <w:szCs w:val="16"/>
    </w:rPr>
  </w:style>
  <w:style w:type="paragraph" w:customStyle="1" w:styleId="Normal--SDG8pt">
    <w:name w:val="Normal --SDG 8pt"/>
    <w:basedOn w:val="BasicParagraph"/>
    <w:uiPriority w:val="99"/>
    <w:pPr>
      <w:spacing w:after="133" w:line="190" w:lineRule="atLeast"/>
      <w:jc w:val="both"/>
    </w:pPr>
    <w:rPr>
      <w:sz w:val="16"/>
      <w:szCs w:val="16"/>
    </w:rPr>
  </w:style>
  <w:style w:type="paragraph" w:customStyle="1" w:styleId="ListebombeSDGCSA">
    <w:name w:val="Liste bombe SDG CSA"/>
    <w:basedOn w:val="ListebombeSDG"/>
    <w:uiPriority w:val="99"/>
    <w:pPr>
      <w:spacing w:line="190" w:lineRule="atLeast"/>
    </w:pPr>
    <w:rPr>
      <w:sz w:val="16"/>
      <w:szCs w:val="16"/>
    </w:rPr>
  </w:style>
  <w:style w:type="paragraph" w:customStyle="1" w:styleId="Strek">
    <w:name w:val="Strek"/>
    <w:basedOn w:val="Normal"/>
    <w:uiPriority w:val="99"/>
    <w:pPr>
      <w:pBdr>
        <w:bottom w:val="single" w:sz="8" w:space="0" w:color="auto"/>
      </w:pBdr>
      <w:spacing w:before="340" w:after="0"/>
      <w:jc w:val="center"/>
    </w:pPr>
  </w:style>
  <w:style w:type="paragraph" w:customStyle="1" w:styleId="Normal--SDGCSA">
    <w:name w:val="Normal --SDG CSA"/>
    <w:basedOn w:val="Normal--SDG"/>
    <w:uiPriority w:val="99"/>
    <w:pPr>
      <w:keepLines/>
      <w:spacing w:line="200" w:lineRule="atLeast"/>
    </w:pPr>
    <w:rPr>
      <w:sz w:val="16"/>
      <w:szCs w:val="16"/>
    </w:rPr>
  </w:style>
  <w:style w:type="paragraph" w:customStyle="1" w:styleId="avsnitt-under-undertittel">
    <w:name w:val="avsnitt-under-undertittel"/>
    <w:basedOn w:val="Undertittel"/>
    <w:next w:val="Normal"/>
    <w:rsid w:val="001609FA"/>
    <w:pPr>
      <w:spacing w:line="240" w:lineRule="auto"/>
    </w:pPr>
    <w:rPr>
      <w:rFonts w:eastAsia="Batang"/>
      <w:b w:val="0"/>
      <w:i/>
      <w:sz w:val="22"/>
      <w:szCs w:val="20"/>
    </w:rPr>
  </w:style>
  <w:style w:type="paragraph" w:customStyle="1" w:styleId="avsnitt-tittel">
    <w:name w:val="avsnitt-tittel"/>
    <w:basedOn w:val="Undertittel"/>
    <w:next w:val="Normal"/>
    <w:rsid w:val="001609FA"/>
    <w:rPr>
      <w:b w:val="0"/>
    </w:rPr>
  </w:style>
  <w:style w:type="paragraph" w:customStyle="1" w:styleId="Listebombe">
    <w:name w:val="Liste bombe"/>
    <w:basedOn w:val="Liste"/>
    <w:qFormat/>
    <w:rsid w:val="001609FA"/>
    <w:pPr>
      <w:numPr>
        <w:numId w:val="12"/>
      </w:numPr>
      <w:ind w:left="397" w:hanging="397"/>
    </w:pPr>
  </w:style>
  <w:style w:type="paragraph" w:customStyle="1" w:styleId="Listebombe--spaceafter">
    <w:name w:val="Liste bombe --space_after"/>
    <w:basedOn w:val="Liste"/>
    <w:uiPriority w:val="99"/>
    <w:pPr>
      <w:spacing w:after="170"/>
    </w:pPr>
  </w:style>
  <w:style w:type="paragraph" w:customStyle="1" w:styleId="avsnitt-tittelCASE">
    <w:name w:val="avsnitt-tittel CASE"/>
    <w:basedOn w:val="BasicParagraph"/>
    <w:next w:val="Normal"/>
    <w:uiPriority w:val="99"/>
    <w:pPr>
      <w:keepNext/>
      <w:keepLines/>
      <w:suppressAutoHyphens/>
      <w:spacing w:after="567" w:line="320" w:lineRule="atLeast"/>
    </w:pPr>
    <w:rPr>
      <w:b/>
      <w:bCs/>
      <w:color w:val="FFFFFF"/>
    </w:rPr>
  </w:style>
  <w:style w:type="paragraph" w:customStyle="1" w:styleId="UnOverskrift3--boks">
    <w:name w:val="UnOverskrift 3 -- boks"/>
    <w:basedOn w:val="avsnitt-tittelCASE"/>
    <w:uiPriority w:val="99"/>
  </w:style>
  <w:style w:type="paragraph" w:customStyle="1" w:styleId="Normal--start">
    <w:name w:val="Normal--start"/>
    <w:basedOn w:val="Normal"/>
    <w:next w:val="Normal"/>
    <w:uiPriority w:val="99"/>
    <w:pPr>
      <w:spacing w:before="260"/>
    </w:pPr>
  </w:style>
  <w:style w:type="paragraph" w:customStyle="1" w:styleId="tittel-ramme">
    <w:name w:val="tittel-ramme"/>
    <w:basedOn w:val="Normal"/>
    <w:next w:val="Normal"/>
    <w:rsid w:val="001609FA"/>
    <w:pPr>
      <w:keepNext/>
      <w:keepLines/>
      <w:numPr>
        <w:ilvl w:val="7"/>
        <w:numId w:val="18"/>
      </w:numPr>
      <w:spacing w:before="360" w:after="80"/>
      <w:jc w:val="center"/>
    </w:pPr>
    <w:rPr>
      <w:b/>
      <w:spacing w:val="4"/>
      <w:sz w:val="24"/>
    </w:rPr>
  </w:style>
  <w:style w:type="paragraph" w:customStyle="1" w:styleId="avsnitt-undertittel--BOKStittel">
    <w:name w:val="avsnitt-undertittel -- BOKStittel"/>
    <w:basedOn w:val="tittel-ramme"/>
    <w:next w:val="Normal"/>
    <w:uiPriority w:val="99"/>
    <w:pPr>
      <w:spacing w:after="227" w:line="360" w:lineRule="atLeast"/>
    </w:pPr>
    <w:rPr>
      <w:rFonts w:ascii="Open Sans Semibold" w:hAnsi="Open Sans Semibold" w:cs="Open Sans Semibold"/>
      <w:sz w:val="28"/>
      <w:szCs w:val="28"/>
    </w:rPr>
  </w:style>
  <w:style w:type="paragraph" w:customStyle="1" w:styleId="Normal--grnn">
    <w:name w:val="Normal--grønn"/>
    <w:basedOn w:val="Normal"/>
    <w:uiPriority w:val="99"/>
    <w:rPr>
      <w:i/>
      <w:iCs/>
      <w:color w:val="AA4E72"/>
    </w:rPr>
  </w:style>
  <w:style w:type="paragraph" w:styleId="Nummerertliste">
    <w:name w:val="List Number"/>
    <w:qFormat/>
    <w:rsid w:val="001609FA"/>
    <w:pPr>
      <w:keepLines/>
      <w:numPr>
        <w:numId w:val="27"/>
      </w:numPr>
      <w:spacing w:after="0" w:line="288" w:lineRule="auto"/>
    </w:pPr>
    <w:rPr>
      <w:rFonts w:ascii="Open Sans" w:eastAsia="Batang" w:hAnsi="Open Sans"/>
      <w:kern w:val="0"/>
      <w:sz w:val="22"/>
      <w:szCs w:val="20"/>
    </w:rPr>
  </w:style>
  <w:style w:type="paragraph" w:customStyle="1" w:styleId="Note">
    <w:name w:val="Note"/>
    <w:basedOn w:val="Normal"/>
    <w:uiPriority w:val="99"/>
    <w:qFormat/>
    <w:rsid w:val="001609FA"/>
    <w:rPr>
      <w:sz w:val="18"/>
    </w:rPr>
  </w:style>
  <w:style w:type="paragraph" w:customStyle="1" w:styleId="Normal--SDGtable">
    <w:name w:val="Normal -- SDG table"/>
    <w:basedOn w:val="BasicParagraph"/>
    <w:uiPriority w:val="99"/>
    <w:pPr>
      <w:spacing w:after="85" w:line="210" w:lineRule="atLeast"/>
    </w:pPr>
    <w:rPr>
      <w:sz w:val="18"/>
      <w:szCs w:val="18"/>
    </w:rPr>
  </w:style>
  <w:style w:type="paragraph" w:styleId="Fotnotetekst">
    <w:name w:val="footnote text"/>
    <w:basedOn w:val="Normal"/>
    <w:link w:val="FotnotetekstTegn"/>
    <w:rsid w:val="001609FA"/>
    <w:rPr>
      <w:spacing w:val="4"/>
    </w:rPr>
  </w:style>
  <w:style w:type="character" w:customStyle="1" w:styleId="FotnotetekstTegn">
    <w:name w:val="Fotnotetekst Tegn"/>
    <w:link w:val="Fotnotetekst"/>
    <w:rsid w:val="001609FA"/>
    <w:rPr>
      <w:rFonts w:ascii="Open Sans" w:eastAsia="Times New Roman" w:hAnsi="Open Sans"/>
      <w:spacing w:val="4"/>
      <w:kern w:val="0"/>
      <w:sz w:val="22"/>
      <w:szCs w:val="22"/>
    </w:rPr>
  </w:style>
  <w:style w:type="character" w:customStyle="1" w:styleId="kursiv">
    <w:name w:val="kursiv"/>
    <w:rsid w:val="001609FA"/>
    <w:rPr>
      <w:i/>
    </w:rPr>
  </w:style>
  <w:style w:type="character" w:styleId="Hyperkobling">
    <w:name w:val="Hyperlink"/>
    <w:uiPriority w:val="99"/>
    <w:unhideWhenUsed/>
    <w:rsid w:val="001609FA"/>
    <w:rPr>
      <w:color w:val="0563C1"/>
      <w:u w:val="single"/>
    </w:rPr>
  </w:style>
  <w:style w:type="character" w:customStyle="1" w:styleId="halvfet">
    <w:name w:val="halvfet"/>
    <w:rsid w:val="001609FA"/>
    <w:rPr>
      <w:b/>
    </w:rPr>
  </w:style>
  <w:style w:type="character" w:customStyle="1" w:styleId="skrift-hevet">
    <w:name w:val="skrift-hevet"/>
    <w:rsid w:val="001609FA"/>
    <w:rPr>
      <w:sz w:val="20"/>
      <w:vertAlign w:val="superscript"/>
    </w:rPr>
  </w:style>
  <w:style w:type="character" w:styleId="Fotnotereferanse">
    <w:name w:val="footnote reference"/>
    <w:rsid w:val="001609FA"/>
    <w:rPr>
      <w:vertAlign w:val="superscript"/>
    </w:rPr>
  </w:style>
  <w:style w:type="character" w:customStyle="1" w:styleId="skrift-senket">
    <w:name w:val="skrift-senket"/>
    <w:rsid w:val="001609FA"/>
    <w:rPr>
      <w:sz w:val="20"/>
      <w:vertAlign w:val="subscript"/>
    </w:rPr>
  </w:style>
  <w:style w:type="character" w:customStyle="1" w:styleId="Oransje">
    <w:name w:val="Oransje"/>
    <w:uiPriority w:val="99"/>
    <w:rPr>
      <w:color w:val="F39000"/>
    </w:rPr>
  </w:style>
  <w:style w:type="character" w:customStyle="1" w:styleId="Rosa">
    <w:name w:val="Rosa"/>
    <w:basedOn w:val="Oransje"/>
    <w:uiPriority w:val="99"/>
    <w:rPr>
      <w:color w:val="E42313"/>
    </w:rPr>
  </w:style>
  <w:style w:type="character" w:customStyle="1" w:styleId="Rd">
    <w:name w:val="Rød"/>
    <w:basedOn w:val="Rosa"/>
    <w:uiPriority w:val="99"/>
    <w:rPr>
      <w:color w:val="E42313"/>
    </w:rPr>
  </w:style>
  <w:style w:type="character" w:customStyle="1" w:styleId="Bl">
    <w:name w:val="Blå"/>
    <w:basedOn w:val="Rd"/>
    <w:uiPriority w:val="99"/>
    <w:rPr>
      <w:color w:val="BA6F68"/>
    </w:rPr>
  </w:style>
  <w:style w:type="character" w:customStyle="1" w:styleId="Invisible">
    <w:name w:val="Invisible"/>
    <w:uiPriority w:val="99"/>
    <w:rPr>
      <w:outline/>
      <w:color w:val="auto"/>
      <w14:textOutline w14:w="9525" w14:cap="flat" w14:cmpd="sng" w14:algn="ctr">
        <w14:solidFill>
          <w14:srgbClr w14:val="000000"/>
        </w14:solidFill>
        <w14:prstDash w14:val="solid"/>
        <w14:round/>
      </w14:textOutline>
      <w14:textFill>
        <w14:noFill/>
      </w14:textFill>
    </w:rPr>
  </w:style>
  <w:style w:type="character" w:customStyle="1" w:styleId="Overskrift6Tegn">
    <w:name w:val="Overskrift 6 Tegn"/>
    <w:link w:val="Overskrift6"/>
    <w:rsid w:val="001609FA"/>
    <w:rPr>
      <w:rFonts w:ascii="Open Sans" w:eastAsia="Times New Roman" w:hAnsi="Open Sans"/>
      <w:i/>
      <w:kern w:val="0"/>
      <w:sz w:val="22"/>
      <w:szCs w:val="22"/>
    </w:rPr>
  </w:style>
  <w:style w:type="character" w:customStyle="1" w:styleId="Overskrift7Tegn">
    <w:name w:val="Overskrift 7 Tegn"/>
    <w:link w:val="Overskrift7"/>
    <w:rsid w:val="001609FA"/>
    <w:rPr>
      <w:rFonts w:ascii="Open Sans" w:eastAsia="Times New Roman" w:hAnsi="Open Sans"/>
      <w:kern w:val="0"/>
      <w:sz w:val="22"/>
      <w:szCs w:val="22"/>
    </w:rPr>
  </w:style>
  <w:style w:type="character" w:customStyle="1" w:styleId="Overskrift8Tegn">
    <w:name w:val="Overskrift 8 Tegn"/>
    <w:link w:val="Overskrift8"/>
    <w:rsid w:val="001609FA"/>
    <w:rPr>
      <w:rFonts w:ascii="Open Sans" w:eastAsia="Times New Roman" w:hAnsi="Open Sans"/>
      <w:i/>
      <w:kern w:val="0"/>
      <w:sz w:val="22"/>
      <w:szCs w:val="22"/>
    </w:rPr>
  </w:style>
  <w:style w:type="character" w:customStyle="1" w:styleId="Overskrift9Tegn">
    <w:name w:val="Overskrift 9 Tegn"/>
    <w:link w:val="Overskrift9"/>
    <w:rsid w:val="001609FA"/>
    <w:rPr>
      <w:rFonts w:ascii="Open Sans" w:eastAsia="Times New Roman" w:hAnsi="Open Sans"/>
      <w:b/>
      <w:i/>
      <w:kern w:val="0"/>
      <w:sz w:val="18"/>
      <w:szCs w:val="22"/>
    </w:rPr>
  </w:style>
  <w:style w:type="paragraph" w:customStyle="1" w:styleId="alfaliste">
    <w:name w:val="alfaliste"/>
    <w:basedOn w:val="Nummerertliste"/>
    <w:rsid w:val="001609FA"/>
    <w:pPr>
      <w:numPr>
        <w:numId w:val="26"/>
      </w:numPr>
    </w:pPr>
    <w:rPr>
      <w:spacing w:val="4"/>
    </w:rPr>
  </w:style>
  <w:style w:type="paragraph" w:customStyle="1" w:styleId="alfaliste2">
    <w:name w:val="alfaliste 2"/>
    <w:basedOn w:val="alfaliste"/>
    <w:rsid w:val="001609FA"/>
    <w:pPr>
      <w:numPr>
        <w:ilvl w:val="1"/>
      </w:numPr>
    </w:pPr>
  </w:style>
  <w:style w:type="paragraph" w:customStyle="1" w:styleId="alfaliste3">
    <w:name w:val="alfaliste 3"/>
    <w:basedOn w:val="alfaliste"/>
    <w:autoRedefine/>
    <w:qFormat/>
    <w:rsid w:val="001609FA"/>
    <w:pPr>
      <w:numPr>
        <w:ilvl w:val="2"/>
      </w:numPr>
    </w:pPr>
  </w:style>
  <w:style w:type="paragraph" w:customStyle="1" w:styleId="alfaliste4">
    <w:name w:val="alfaliste 4"/>
    <w:basedOn w:val="alfaliste"/>
    <w:qFormat/>
    <w:rsid w:val="001609FA"/>
    <w:pPr>
      <w:numPr>
        <w:ilvl w:val="3"/>
      </w:numPr>
    </w:pPr>
  </w:style>
  <w:style w:type="paragraph" w:customStyle="1" w:styleId="alfaliste5">
    <w:name w:val="alfaliste 5"/>
    <w:basedOn w:val="alfaliste"/>
    <w:qFormat/>
    <w:rsid w:val="001609FA"/>
    <w:pPr>
      <w:numPr>
        <w:ilvl w:val="4"/>
      </w:numPr>
    </w:pPr>
  </w:style>
  <w:style w:type="paragraph" w:customStyle="1" w:styleId="Def">
    <w:name w:val="Def"/>
    <w:basedOn w:val="Normal"/>
    <w:qFormat/>
    <w:rsid w:val="001609FA"/>
  </w:style>
  <w:style w:type="paragraph" w:customStyle="1" w:styleId="figur-beskr">
    <w:name w:val="figur-beskr"/>
    <w:basedOn w:val="Normal"/>
    <w:next w:val="Normal"/>
    <w:rsid w:val="001609FA"/>
    <w:rPr>
      <w:spacing w:val="4"/>
    </w:rPr>
  </w:style>
  <w:style w:type="paragraph" w:customStyle="1" w:styleId="hengende-innrykk">
    <w:name w:val="hengende-innrykk"/>
    <w:basedOn w:val="Normal"/>
    <w:next w:val="Normal"/>
    <w:rsid w:val="001609FA"/>
    <w:pPr>
      <w:ind w:left="1418" w:hanging="1418"/>
    </w:pPr>
    <w:rPr>
      <w:spacing w:val="4"/>
    </w:rPr>
  </w:style>
  <w:style w:type="character" w:customStyle="1" w:styleId="l-endring">
    <w:name w:val="l-endring"/>
    <w:rsid w:val="001609FA"/>
    <w:rPr>
      <w:i/>
    </w:rPr>
  </w:style>
  <w:style w:type="paragraph" w:customStyle="1" w:styleId="l-lovdeltit">
    <w:name w:val="l-lovdeltit"/>
    <w:basedOn w:val="Normal"/>
    <w:next w:val="Normal"/>
    <w:rsid w:val="001609FA"/>
    <w:pPr>
      <w:keepNext/>
      <w:spacing w:before="120" w:after="60"/>
    </w:pPr>
    <w:rPr>
      <w:b/>
    </w:rPr>
  </w:style>
  <w:style w:type="paragraph" w:customStyle="1" w:styleId="l-lovkap">
    <w:name w:val="l-lovkap"/>
    <w:basedOn w:val="Normal"/>
    <w:next w:val="Normal"/>
    <w:rsid w:val="001609FA"/>
    <w:pPr>
      <w:keepNext/>
      <w:spacing w:before="240" w:after="40"/>
    </w:pPr>
    <w:rPr>
      <w:b/>
      <w:spacing w:val="4"/>
    </w:rPr>
  </w:style>
  <w:style w:type="paragraph" w:customStyle="1" w:styleId="l-lovtit">
    <w:name w:val="l-lovtit"/>
    <w:basedOn w:val="Normal"/>
    <w:next w:val="Normal"/>
    <w:rsid w:val="001609FA"/>
    <w:pPr>
      <w:keepNext/>
      <w:spacing w:before="120" w:after="60"/>
    </w:pPr>
    <w:rPr>
      <w:b/>
      <w:spacing w:val="4"/>
    </w:rPr>
  </w:style>
  <w:style w:type="paragraph" w:customStyle="1" w:styleId="l-paragraf">
    <w:name w:val="l-paragraf"/>
    <w:basedOn w:val="Normal"/>
    <w:next w:val="Normal"/>
    <w:rsid w:val="001609FA"/>
    <w:pPr>
      <w:spacing w:before="180" w:after="0"/>
    </w:pPr>
    <w:rPr>
      <w:rFonts w:ascii="Times New Roman" w:hAnsi="Times New Roman"/>
      <w:i/>
      <w:spacing w:val="4"/>
    </w:rPr>
  </w:style>
  <w:style w:type="paragraph" w:customStyle="1" w:styleId="opplisting">
    <w:name w:val="opplisting"/>
    <w:basedOn w:val="Liste"/>
    <w:qFormat/>
    <w:rsid w:val="001609FA"/>
    <w:pPr>
      <w:numPr>
        <w:numId w:val="0"/>
      </w:numPr>
      <w:tabs>
        <w:tab w:val="left" w:pos="397"/>
      </w:tabs>
    </w:pPr>
    <w:rPr>
      <w:rFonts w:cs="Times New Roman"/>
    </w:rPr>
  </w:style>
  <w:style w:type="paragraph" w:customStyle="1" w:styleId="Ramme-slutt">
    <w:name w:val="Ramme-slutt"/>
    <w:basedOn w:val="Normal"/>
    <w:qFormat/>
    <w:rsid w:val="001609FA"/>
    <w:rPr>
      <w:b/>
      <w:color w:val="C00000"/>
    </w:rPr>
  </w:style>
  <w:style w:type="paragraph" w:customStyle="1" w:styleId="romertallliste">
    <w:name w:val="romertall liste"/>
    <w:basedOn w:val="Normal"/>
    <w:qFormat/>
    <w:rsid w:val="001609FA"/>
    <w:pPr>
      <w:numPr>
        <w:numId w:val="25"/>
      </w:numPr>
      <w:spacing w:before="0" w:after="0"/>
    </w:pPr>
    <w:rPr>
      <w:rFonts w:eastAsia="Batang"/>
      <w:spacing w:val="4"/>
      <w:szCs w:val="20"/>
    </w:rPr>
  </w:style>
  <w:style w:type="paragraph" w:customStyle="1" w:styleId="romertallliste2">
    <w:name w:val="romertall liste 2"/>
    <w:basedOn w:val="romertallliste"/>
    <w:qFormat/>
    <w:rsid w:val="001609FA"/>
    <w:pPr>
      <w:numPr>
        <w:ilvl w:val="1"/>
      </w:numPr>
    </w:pPr>
  </w:style>
  <w:style w:type="paragraph" w:customStyle="1" w:styleId="romertallliste3">
    <w:name w:val="romertall liste 3"/>
    <w:basedOn w:val="romertallliste"/>
    <w:qFormat/>
    <w:rsid w:val="001609FA"/>
    <w:pPr>
      <w:numPr>
        <w:ilvl w:val="2"/>
      </w:numPr>
    </w:pPr>
  </w:style>
  <w:style w:type="paragraph" w:customStyle="1" w:styleId="romertallliste4">
    <w:name w:val="romertall liste 4"/>
    <w:basedOn w:val="romertallliste"/>
    <w:qFormat/>
    <w:rsid w:val="001609FA"/>
    <w:pPr>
      <w:numPr>
        <w:ilvl w:val="3"/>
      </w:numPr>
    </w:pPr>
  </w:style>
  <w:style w:type="character" w:customStyle="1" w:styleId="sperret">
    <w:name w:val="sperret"/>
    <w:rsid w:val="001609FA"/>
    <w:rPr>
      <w:spacing w:val="30"/>
    </w:rPr>
  </w:style>
  <w:style w:type="character" w:customStyle="1" w:styleId="Stikkord">
    <w:name w:val="Stikkord"/>
    <w:basedOn w:val="Standardskriftforavsnitt"/>
    <w:rsid w:val="001609FA"/>
  </w:style>
  <w:style w:type="paragraph" w:customStyle="1" w:styleId="Tabellnavn">
    <w:name w:val="Tabellnavn"/>
    <w:basedOn w:val="Normal"/>
    <w:qFormat/>
    <w:rsid w:val="001609FA"/>
    <w:rPr>
      <w:rFonts w:ascii="Times New Roman" w:hAnsi="Times New Roman"/>
      <w:vanish/>
      <w:color w:val="00B050"/>
    </w:rPr>
  </w:style>
  <w:style w:type="paragraph" w:customStyle="1" w:styleId="tabell-tittel">
    <w:name w:val="tabell-tittel"/>
    <w:basedOn w:val="Normal"/>
    <w:next w:val="Normal"/>
    <w:rsid w:val="001609FA"/>
    <w:pPr>
      <w:keepNext/>
      <w:keepLines/>
      <w:numPr>
        <w:ilvl w:val="6"/>
        <w:numId w:val="18"/>
      </w:numPr>
      <w:spacing w:before="240"/>
    </w:pPr>
    <w:rPr>
      <w:spacing w:val="4"/>
      <w:sz w:val="28"/>
    </w:rPr>
  </w:style>
  <w:style w:type="paragraph" w:customStyle="1" w:styleId="Term">
    <w:name w:val="Term"/>
    <w:basedOn w:val="Normal"/>
    <w:qFormat/>
    <w:rsid w:val="001609FA"/>
  </w:style>
  <w:style w:type="table" w:customStyle="1" w:styleId="Tabell-VM">
    <w:name w:val="Tabell-VM"/>
    <w:basedOn w:val="Tabelltemaer"/>
    <w:uiPriority w:val="99"/>
    <w:qFormat/>
    <w:rsid w:val="001609FA"/>
    <w:tblPr/>
    <w:tcPr>
      <w:shd w:val="clear" w:color="auto" w:fill="auto"/>
    </w:tcPr>
    <w:tblStylePr w:type="firstRow">
      <w:tblPr/>
      <w:tcPr>
        <w:shd w:val="clear" w:color="auto" w:fill="DEEAF6"/>
      </w:tcPr>
    </w:tblStylePr>
  </w:style>
  <w:style w:type="table" w:styleId="Tabelltemaer">
    <w:name w:val="Table Theme"/>
    <w:basedOn w:val="Vanligtabell"/>
    <w:uiPriority w:val="99"/>
    <w:semiHidden/>
    <w:unhideWhenUsed/>
    <w:rsid w:val="001609F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udTabell-1">
    <w:name w:val="SbudTabell-1"/>
    <w:basedOn w:val="Tabelltemaer"/>
    <w:uiPriority w:val="99"/>
    <w:qFormat/>
    <w:rsid w:val="001609FA"/>
    <w:tblPr/>
    <w:tcPr>
      <w:shd w:val="clear" w:color="auto" w:fill="auto"/>
    </w:tcPr>
    <w:tblStylePr w:type="firstRow">
      <w:tblPr/>
      <w:tcPr>
        <w:shd w:val="clear" w:color="auto" w:fill="DEEAF6"/>
      </w:tcPr>
    </w:tblStylePr>
  </w:style>
  <w:style w:type="table" w:customStyle="1" w:styleId="SbudTabell-0">
    <w:name w:val="SbudTabell-0"/>
    <w:basedOn w:val="Vanligtabell"/>
    <w:uiPriority w:val="99"/>
    <w:qFormat/>
    <w:rsid w:val="001609FA"/>
    <w:pPr>
      <w:spacing w:after="0" w:line="240" w:lineRule="auto"/>
    </w:pPr>
    <w:rPr>
      <w:rFonts w:eastAsia="Calibri"/>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udTabell-2">
    <w:name w:val="SbudTabell-2"/>
    <w:basedOn w:val="Vanligtabell"/>
    <w:uiPriority w:val="99"/>
    <w:qFormat/>
    <w:rsid w:val="001609FA"/>
    <w:pPr>
      <w:spacing w:after="0" w:line="240" w:lineRule="auto"/>
    </w:pPr>
    <w:rPr>
      <w:rFonts w:ascii="Times New Roman" w:eastAsia="Calibri" w:hAnsi="Times New Roman"/>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EEAF6"/>
      </w:tcPr>
    </w:tblStylePr>
  </w:style>
  <w:style w:type="table" w:customStyle="1" w:styleId="StandardTabell">
    <w:name w:val="StandardTabell"/>
    <w:basedOn w:val="Vanligtabell"/>
    <w:uiPriority w:val="99"/>
    <w:qFormat/>
    <w:rsid w:val="001609FA"/>
    <w:pPr>
      <w:spacing w:after="0" w:line="240" w:lineRule="auto"/>
    </w:pPr>
    <w:rPr>
      <w:rFonts w:eastAsia="Calibri"/>
      <w:kern w:val="0"/>
      <w:sz w:val="22"/>
      <w:szCs w:val="22"/>
      <w:lang w:eastAsia="en-US"/>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cPr>
      <w:shd w:val="clear" w:color="auto" w:fill="auto"/>
    </w:tcPr>
  </w:style>
  <w:style w:type="table" w:customStyle="1" w:styleId="TrykketTabell">
    <w:name w:val="TrykketTabell"/>
    <w:basedOn w:val="Vanligtabell"/>
    <w:uiPriority w:val="99"/>
    <w:qFormat/>
    <w:rsid w:val="001609FA"/>
    <w:pPr>
      <w:spacing w:after="0" w:line="240" w:lineRule="auto"/>
    </w:pPr>
    <w:rPr>
      <w:rFonts w:eastAsia="Calibri"/>
      <w:kern w:val="0"/>
      <w:sz w:val="22"/>
      <w:szCs w:val="22"/>
      <w:lang w:eastAsia="en-US"/>
    </w:rPr>
    <w:tblPr>
      <w:tblBorders>
        <w:bottom w:val="single" w:sz="4" w:space="0" w:color="auto"/>
      </w:tblBorders>
    </w:tblPr>
    <w:tblStylePr w:type="firstRow">
      <w:tblPr/>
      <w:tcPr>
        <w:tcBorders>
          <w:top w:val="single" w:sz="4" w:space="0" w:color="auto"/>
          <w:left w:val="nil"/>
          <w:bottom w:val="single" w:sz="4" w:space="0" w:color="auto"/>
          <w:right w:val="nil"/>
          <w:insideH w:val="nil"/>
          <w:insideV w:val="nil"/>
          <w:tl2br w:val="nil"/>
          <w:tr2bl w:val="nil"/>
        </w:tcBorders>
      </w:tcPr>
    </w:tblStylePr>
  </w:style>
  <w:style w:type="numbering" w:customStyle="1" w:styleId="l-ListeStilMal">
    <w:name w:val="l-ListeStilMal"/>
    <w:uiPriority w:val="99"/>
    <w:rsid w:val="001609FA"/>
    <w:pPr>
      <w:numPr>
        <w:numId w:val="17"/>
      </w:numPr>
    </w:pPr>
  </w:style>
  <w:style w:type="paragraph" w:customStyle="1" w:styleId="Figur">
    <w:name w:val="Figur"/>
    <w:basedOn w:val="Normal"/>
    <w:rsid w:val="001609FA"/>
    <w:pPr>
      <w:suppressAutoHyphens/>
      <w:spacing w:before="400" w:line="240" w:lineRule="auto"/>
      <w:jc w:val="center"/>
    </w:pPr>
    <w:rPr>
      <w:b/>
      <w:color w:val="FF0000"/>
    </w:rPr>
  </w:style>
  <w:style w:type="paragraph" w:customStyle="1" w:styleId="l-ledd">
    <w:name w:val="l-ledd"/>
    <w:basedOn w:val="Normal"/>
    <w:qFormat/>
    <w:rsid w:val="001609FA"/>
    <w:pPr>
      <w:spacing w:after="0"/>
      <w:ind w:firstLine="397"/>
    </w:pPr>
    <w:rPr>
      <w:rFonts w:ascii="Times New Roman" w:hAnsi="Times New Roman"/>
      <w:spacing w:val="4"/>
    </w:rPr>
  </w:style>
  <w:style w:type="paragraph" w:customStyle="1" w:styleId="l-punktum">
    <w:name w:val="l-punktum"/>
    <w:basedOn w:val="Normal"/>
    <w:qFormat/>
    <w:rsid w:val="001609FA"/>
    <w:pPr>
      <w:spacing w:after="0"/>
    </w:pPr>
    <w:rPr>
      <w:spacing w:val="4"/>
    </w:rPr>
  </w:style>
  <w:style w:type="paragraph" w:customStyle="1" w:styleId="l-tit-endr-lovkap">
    <w:name w:val="l-tit-endr-lovkap"/>
    <w:basedOn w:val="Normal"/>
    <w:qFormat/>
    <w:rsid w:val="001609FA"/>
    <w:pPr>
      <w:keepNext/>
      <w:spacing w:before="240" w:after="0" w:line="240" w:lineRule="auto"/>
    </w:pPr>
    <w:rPr>
      <w:rFonts w:ascii="Times New Roman" w:hAnsi="Times New Roman"/>
      <w:noProof/>
      <w:spacing w:val="4"/>
      <w:lang w:val="nn-NO"/>
    </w:rPr>
  </w:style>
  <w:style w:type="paragraph" w:customStyle="1" w:styleId="l-tit-endr-ledd">
    <w:name w:val="l-tit-endr-ledd"/>
    <w:basedOn w:val="Normal"/>
    <w:qFormat/>
    <w:rsid w:val="001609FA"/>
    <w:pPr>
      <w:keepNext/>
      <w:spacing w:before="240" w:after="0" w:line="240" w:lineRule="auto"/>
    </w:pPr>
    <w:rPr>
      <w:rFonts w:ascii="Times New Roman" w:hAnsi="Times New Roman"/>
      <w:noProof/>
      <w:spacing w:val="4"/>
      <w:lang w:val="nn-NO"/>
    </w:rPr>
  </w:style>
  <w:style w:type="paragraph" w:customStyle="1" w:styleId="l-tit-endr-lov">
    <w:name w:val="l-tit-endr-lov"/>
    <w:basedOn w:val="Normal"/>
    <w:qFormat/>
    <w:rsid w:val="001609FA"/>
    <w:pPr>
      <w:keepNext/>
      <w:spacing w:before="240" w:after="0" w:line="240" w:lineRule="auto"/>
    </w:pPr>
    <w:rPr>
      <w:rFonts w:ascii="Times New Roman" w:hAnsi="Times New Roman"/>
      <w:noProof/>
      <w:spacing w:val="4"/>
      <w:lang w:val="nn-NO"/>
    </w:rPr>
  </w:style>
  <w:style w:type="paragraph" w:customStyle="1" w:styleId="l-tit-endr-lovdel">
    <w:name w:val="l-tit-endr-lovdel"/>
    <w:basedOn w:val="Normal"/>
    <w:qFormat/>
    <w:rsid w:val="001609FA"/>
    <w:pPr>
      <w:keepNext/>
      <w:spacing w:before="240" w:after="0" w:line="240" w:lineRule="auto"/>
    </w:pPr>
    <w:rPr>
      <w:rFonts w:ascii="Times New Roman" w:hAnsi="Times New Roman"/>
      <w:noProof/>
      <w:spacing w:val="4"/>
      <w:lang w:val="nn-NO"/>
    </w:rPr>
  </w:style>
  <w:style w:type="paragraph" w:customStyle="1" w:styleId="l-tit-endr-paragraf">
    <w:name w:val="l-tit-endr-paragraf"/>
    <w:basedOn w:val="Normal"/>
    <w:qFormat/>
    <w:rsid w:val="001609FA"/>
    <w:pPr>
      <w:keepNext/>
      <w:spacing w:before="240" w:after="0" w:line="240" w:lineRule="auto"/>
    </w:pPr>
    <w:rPr>
      <w:rFonts w:ascii="Times New Roman" w:hAnsi="Times New Roman"/>
      <w:noProof/>
      <w:spacing w:val="4"/>
      <w:lang w:val="nn-NO"/>
    </w:rPr>
  </w:style>
  <w:style w:type="paragraph" w:customStyle="1" w:styleId="l-tit-endr-punktum">
    <w:name w:val="l-tit-endr-punktum"/>
    <w:basedOn w:val="l-tit-endr-ledd"/>
    <w:qFormat/>
    <w:rsid w:val="001609FA"/>
  </w:style>
  <w:style w:type="paragraph" w:customStyle="1" w:styleId="l-alfaliste">
    <w:name w:val="l-alfaliste"/>
    <w:basedOn w:val="alfaliste"/>
    <w:qFormat/>
    <w:rsid w:val="001609FA"/>
    <w:pPr>
      <w:numPr>
        <w:numId w:val="0"/>
      </w:numPr>
    </w:pPr>
    <w:rPr>
      <w:rFonts w:eastAsia="Times New Roman"/>
    </w:rPr>
  </w:style>
  <w:style w:type="numbering" w:customStyle="1" w:styleId="AlfaListeStil">
    <w:name w:val="AlfaListeStil"/>
    <w:uiPriority w:val="99"/>
    <w:rsid w:val="001609FA"/>
    <w:pPr>
      <w:numPr>
        <w:numId w:val="26"/>
      </w:numPr>
    </w:pPr>
  </w:style>
  <w:style w:type="paragraph" w:customStyle="1" w:styleId="l-alfaliste2">
    <w:name w:val="l-alfaliste 2"/>
    <w:basedOn w:val="alfaliste2"/>
    <w:qFormat/>
    <w:rsid w:val="001609FA"/>
    <w:pPr>
      <w:numPr>
        <w:numId w:val="0"/>
      </w:numPr>
    </w:pPr>
  </w:style>
  <w:style w:type="paragraph" w:customStyle="1" w:styleId="l-alfaliste3">
    <w:name w:val="l-alfaliste 3"/>
    <w:basedOn w:val="alfaliste3"/>
    <w:qFormat/>
    <w:rsid w:val="001609FA"/>
    <w:pPr>
      <w:numPr>
        <w:numId w:val="0"/>
      </w:numPr>
    </w:pPr>
  </w:style>
  <w:style w:type="paragraph" w:customStyle="1" w:styleId="l-alfaliste4">
    <w:name w:val="l-alfaliste 4"/>
    <w:basedOn w:val="alfaliste4"/>
    <w:qFormat/>
    <w:rsid w:val="001609FA"/>
    <w:pPr>
      <w:numPr>
        <w:numId w:val="0"/>
      </w:numPr>
    </w:pPr>
  </w:style>
  <w:style w:type="paragraph" w:customStyle="1" w:styleId="l-alfaliste5">
    <w:name w:val="l-alfaliste 5"/>
    <w:basedOn w:val="alfaliste5"/>
    <w:qFormat/>
    <w:rsid w:val="001609FA"/>
    <w:pPr>
      <w:numPr>
        <w:numId w:val="0"/>
      </w:numPr>
    </w:pPr>
  </w:style>
  <w:style w:type="numbering" w:customStyle="1" w:styleId="l-AlfaListeStil">
    <w:name w:val="l-AlfaListeStil"/>
    <w:uiPriority w:val="99"/>
    <w:rsid w:val="001609FA"/>
  </w:style>
  <w:style w:type="numbering" w:customStyle="1" w:styleId="l-NummerertListeStil">
    <w:name w:val="l-NummerertListeStil"/>
    <w:uiPriority w:val="99"/>
    <w:rsid w:val="001609FA"/>
    <w:pPr>
      <w:numPr>
        <w:numId w:val="7"/>
      </w:numPr>
    </w:pPr>
  </w:style>
  <w:style w:type="numbering" w:customStyle="1" w:styleId="NrListeStil">
    <w:name w:val="NrListeStil"/>
    <w:uiPriority w:val="99"/>
    <w:rsid w:val="001609FA"/>
    <w:pPr>
      <w:numPr>
        <w:numId w:val="8"/>
      </w:numPr>
    </w:pPr>
  </w:style>
  <w:style w:type="numbering" w:customStyle="1" w:styleId="OpplistingListeStil">
    <w:name w:val="OpplistingListeStil"/>
    <w:uiPriority w:val="99"/>
    <w:rsid w:val="001609FA"/>
    <w:pPr>
      <w:numPr>
        <w:numId w:val="24"/>
      </w:numPr>
    </w:pPr>
  </w:style>
  <w:style w:type="numbering" w:customStyle="1" w:styleId="OverskrifterListeStil">
    <w:name w:val="OverskrifterListeStil"/>
    <w:uiPriority w:val="99"/>
    <w:rsid w:val="001609FA"/>
    <w:pPr>
      <w:numPr>
        <w:numId w:val="9"/>
      </w:numPr>
    </w:pPr>
  </w:style>
  <w:style w:type="numbering" w:customStyle="1" w:styleId="RomListeStil">
    <w:name w:val="RomListeStil"/>
    <w:uiPriority w:val="99"/>
    <w:rsid w:val="001609FA"/>
    <w:pPr>
      <w:numPr>
        <w:numId w:val="10"/>
      </w:numPr>
    </w:pPr>
  </w:style>
  <w:style w:type="numbering" w:customStyle="1" w:styleId="StrekListeStil">
    <w:name w:val="StrekListeStil"/>
    <w:uiPriority w:val="99"/>
    <w:rsid w:val="001609FA"/>
    <w:pPr>
      <w:numPr>
        <w:numId w:val="11"/>
      </w:numPr>
    </w:pPr>
  </w:style>
  <w:style w:type="paragraph" w:customStyle="1" w:styleId="romertallliste5">
    <w:name w:val="romertall liste 5"/>
    <w:basedOn w:val="romertallliste"/>
    <w:qFormat/>
    <w:rsid w:val="001609FA"/>
    <w:pPr>
      <w:numPr>
        <w:ilvl w:val="4"/>
      </w:numPr>
    </w:pPr>
  </w:style>
  <w:style w:type="paragraph" w:customStyle="1" w:styleId="opplisting2">
    <w:name w:val="opplisting 2"/>
    <w:basedOn w:val="opplisting"/>
    <w:qFormat/>
    <w:rsid w:val="001609FA"/>
    <w:pPr>
      <w:ind w:left="397"/>
    </w:pPr>
    <w:rPr>
      <w:lang w:val="en-US"/>
    </w:rPr>
  </w:style>
  <w:style w:type="paragraph" w:customStyle="1" w:styleId="opplisting3">
    <w:name w:val="opplisting 3"/>
    <w:basedOn w:val="opplisting"/>
    <w:qFormat/>
    <w:rsid w:val="001609FA"/>
    <w:pPr>
      <w:ind w:left="794"/>
    </w:pPr>
  </w:style>
  <w:style w:type="paragraph" w:customStyle="1" w:styleId="opplisting4">
    <w:name w:val="opplisting 4"/>
    <w:basedOn w:val="opplisting"/>
    <w:qFormat/>
    <w:rsid w:val="001609FA"/>
    <w:pPr>
      <w:ind w:left="1191"/>
    </w:pPr>
  </w:style>
  <w:style w:type="paragraph" w:customStyle="1" w:styleId="opplisting5">
    <w:name w:val="opplisting 5"/>
    <w:basedOn w:val="opplisting"/>
    <w:qFormat/>
    <w:rsid w:val="001609FA"/>
    <w:pPr>
      <w:ind w:left="1588"/>
    </w:pPr>
  </w:style>
  <w:style w:type="paragraph" w:customStyle="1" w:styleId="friliste">
    <w:name w:val="friliste"/>
    <w:basedOn w:val="Normal"/>
    <w:qFormat/>
    <w:rsid w:val="001609FA"/>
    <w:pPr>
      <w:tabs>
        <w:tab w:val="left" w:pos="397"/>
      </w:tabs>
      <w:spacing w:after="0"/>
      <w:ind w:left="397" w:hanging="397"/>
    </w:pPr>
  </w:style>
  <w:style w:type="paragraph" w:customStyle="1" w:styleId="friliste2">
    <w:name w:val="friliste 2"/>
    <w:basedOn w:val="friliste"/>
    <w:qFormat/>
    <w:rsid w:val="001609FA"/>
    <w:pPr>
      <w:tabs>
        <w:tab w:val="left" w:pos="794"/>
      </w:tabs>
      <w:spacing w:before="0"/>
      <w:ind w:left="794"/>
    </w:pPr>
  </w:style>
  <w:style w:type="paragraph" w:customStyle="1" w:styleId="friliste3">
    <w:name w:val="friliste 3"/>
    <w:basedOn w:val="friliste"/>
    <w:qFormat/>
    <w:rsid w:val="001609FA"/>
    <w:pPr>
      <w:tabs>
        <w:tab w:val="left" w:pos="1191"/>
      </w:tabs>
      <w:spacing w:before="0"/>
      <w:ind w:left="1191"/>
    </w:pPr>
  </w:style>
  <w:style w:type="paragraph" w:customStyle="1" w:styleId="friliste4">
    <w:name w:val="friliste 4"/>
    <w:basedOn w:val="friliste"/>
    <w:qFormat/>
    <w:rsid w:val="001609FA"/>
    <w:pPr>
      <w:tabs>
        <w:tab w:val="left" w:pos="1588"/>
      </w:tabs>
      <w:spacing w:before="0"/>
      <w:ind w:left="1588"/>
    </w:pPr>
  </w:style>
  <w:style w:type="paragraph" w:customStyle="1" w:styleId="friliste5">
    <w:name w:val="friliste 5"/>
    <w:basedOn w:val="friliste"/>
    <w:qFormat/>
    <w:rsid w:val="001609FA"/>
    <w:pPr>
      <w:tabs>
        <w:tab w:val="left" w:pos="1985"/>
      </w:tabs>
      <w:spacing w:before="0"/>
      <w:ind w:left="1985"/>
    </w:pPr>
  </w:style>
  <w:style w:type="paragraph" w:customStyle="1" w:styleId="blokksit">
    <w:name w:val="blokksit"/>
    <w:basedOn w:val="Normal"/>
    <w:autoRedefine/>
    <w:qFormat/>
    <w:rsid w:val="001609FA"/>
    <w:pPr>
      <w:spacing w:line="240" w:lineRule="auto"/>
      <w:ind w:left="397"/>
    </w:pPr>
    <w:rPr>
      <w:spacing w:val="-2"/>
    </w:rPr>
  </w:style>
  <w:style w:type="character" w:customStyle="1" w:styleId="regular">
    <w:name w:val="regular"/>
    <w:uiPriority w:val="1"/>
    <w:qFormat/>
    <w:rsid w:val="001609FA"/>
    <w:rPr>
      <w:i/>
    </w:rPr>
  </w:style>
  <w:style w:type="character" w:customStyle="1" w:styleId="gjennomstreket">
    <w:name w:val="gjennomstreket"/>
    <w:uiPriority w:val="1"/>
    <w:rsid w:val="001609FA"/>
    <w:rPr>
      <w:strike/>
      <w:dstrike w:val="0"/>
    </w:rPr>
  </w:style>
  <w:style w:type="paragraph" w:customStyle="1" w:styleId="l-avsnitt">
    <w:name w:val="l-avsnitt"/>
    <w:basedOn w:val="l-lovkap"/>
    <w:qFormat/>
    <w:rsid w:val="001609FA"/>
    <w:rPr>
      <w:lang w:val="nn-NO"/>
    </w:rPr>
  </w:style>
  <w:style w:type="paragraph" w:customStyle="1" w:styleId="l-tit-endr-avsnitt">
    <w:name w:val="l-tit-endr-avsnitt"/>
    <w:basedOn w:val="l-tit-endr-lovkap"/>
    <w:qFormat/>
    <w:rsid w:val="001609FA"/>
  </w:style>
  <w:style w:type="paragraph" w:customStyle="1" w:styleId="Listebombe2">
    <w:name w:val="Liste bombe 2"/>
    <w:basedOn w:val="Liste2"/>
    <w:qFormat/>
    <w:rsid w:val="001609FA"/>
    <w:pPr>
      <w:numPr>
        <w:numId w:val="13"/>
      </w:numPr>
      <w:ind w:left="794" w:hanging="397"/>
    </w:pPr>
  </w:style>
  <w:style w:type="paragraph" w:styleId="Liste2">
    <w:name w:val="List 2"/>
    <w:basedOn w:val="Liste"/>
    <w:qFormat/>
    <w:rsid w:val="001609FA"/>
    <w:pPr>
      <w:numPr>
        <w:numId w:val="20"/>
      </w:numPr>
      <w:ind w:left="794" w:hanging="397"/>
    </w:pPr>
  </w:style>
  <w:style w:type="paragraph" w:customStyle="1" w:styleId="Listebombe3">
    <w:name w:val="Liste bombe 3"/>
    <w:basedOn w:val="Liste3"/>
    <w:qFormat/>
    <w:rsid w:val="001609FA"/>
    <w:pPr>
      <w:numPr>
        <w:numId w:val="14"/>
      </w:numPr>
      <w:ind w:left="1191" w:hanging="397"/>
    </w:pPr>
  </w:style>
  <w:style w:type="paragraph" w:styleId="Liste3">
    <w:name w:val="List 3"/>
    <w:basedOn w:val="Liste"/>
    <w:qFormat/>
    <w:rsid w:val="001609FA"/>
    <w:pPr>
      <w:numPr>
        <w:numId w:val="21"/>
      </w:numPr>
      <w:ind w:left="1191" w:hanging="397"/>
    </w:pPr>
  </w:style>
  <w:style w:type="paragraph" w:customStyle="1" w:styleId="Listebombe4">
    <w:name w:val="Liste bombe 4"/>
    <w:basedOn w:val="Liste4"/>
    <w:qFormat/>
    <w:rsid w:val="001609FA"/>
    <w:pPr>
      <w:numPr>
        <w:numId w:val="15"/>
      </w:numPr>
      <w:ind w:left="1588" w:hanging="397"/>
    </w:pPr>
  </w:style>
  <w:style w:type="paragraph" w:styleId="Liste4">
    <w:name w:val="List 4"/>
    <w:basedOn w:val="Liste"/>
    <w:qFormat/>
    <w:rsid w:val="001609FA"/>
    <w:pPr>
      <w:numPr>
        <w:numId w:val="22"/>
      </w:numPr>
      <w:ind w:left="1588" w:hanging="397"/>
    </w:pPr>
  </w:style>
  <w:style w:type="paragraph" w:customStyle="1" w:styleId="Listebombe5">
    <w:name w:val="Liste bombe 5"/>
    <w:basedOn w:val="Liste5"/>
    <w:qFormat/>
    <w:rsid w:val="001609FA"/>
    <w:pPr>
      <w:numPr>
        <w:numId w:val="16"/>
      </w:numPr>
      <w:ind w:left="1985" w:hanging="397"/>
    </w:pPr>
  </w:style>
  <w:style w:type="paragraph" w:styleId="Liste5">
    <w:name w:val="List 5"/>
    <w:basedOn w:val="Liste"/>
    <w:qFormat/>
    <w:rsid w:val="001609FA"/>
    <w:pPr>
      <w:numPr>
        <w:numId w:val="23"/>
      </w:numPr>
      <w:ind w:left="1985" w:hanging="397"/>
    </w:pPr>
  </w:style>
  <w:style w:type="paragraph" w:customStyle="1" w:styleId="Listeavsnitt2">
    <w:name w:val="Listeavsnitt 2"/>
    <w:basedOn w:val="Listeavsnitt"/>
    <w:qFormat/>
    <w:rsid w:val="001609FA"/>
    <w:pPr>
      <w:ind w:left="794"/>
    </w:pPr>
  </w:style>
  <w:style w:type="paragraph" w:customStyle="1" w:styleId="Listeavsnitt3">
    <w:name w:val="Listeavsnitt 3"/>
    <w:basedOn w:val="Listeavsnitt"/>
    <w:qFormat/>
    <w:rsid w:val="001609FA"/>
    <w:pPr>
      <w:ind w:left="1191"/>
    </w:pPr>
  </w:style>
  <w:style w:type="paragraph" w:customStyle="1" w:styleId="Listeavsnitt4">
    <w:name w:val="Listeavsnitt 4"/>
    <w:basedOn w:val="Listeavsnitt"/>
    <w:qFormat/>
    <w:rsid w:val="001609FA"/>
    <w:pPr>
      <w:ind w:left="1588"/>
    </w:pPr>
  </w:style>
  <w:style w:type="paragraph" w:customStyle="1" w:styleId="Listeavsnitt5">
    <w:name w:val="Listeavsnitt 5"/>
    <w:basedOn w:val="Listeavsnitt"/>
    <w:qFormat/>
    <w:rsid w:val="001609FA"/>
    <w:pPr>
      <w:ind w:left="1985"/>
    </w:pPr>
  </w:style>
  <w:style w:type="paragraph" w:customStyle="1" w:styleId="Petit">
    <w:name w:val="Petit"/>
    <w:basedOn w:val="Normal"/>
    <w:next w:val="Normal"/>
    <w:qFormat/>
    <w:rsid w:val="001609FA"/>
    <w:rPr>
      <w:spacing w:val="6"/>
      <w:sz w:val="19"/>
    </w:rPr>
  </w:style>
  <w:style w:type="paragraph" w:customStyle="1" w:styleId="TrykkeriMerknad">
    <w:name w:val="TrykkeriMerknad"/>
    <w:basedOn w:val="Normal"/>
    <w:qFormat/>
    <w:rsid w:val="001609FA"/>
    <w:pPr>
      <w:spacing w:before="60"/>
    </w:pPr>
    <w:rPr>
      <w:color w:val="C45911"/>
      <w:spacing w:val="4"/>
      <w:sz w:val="26"/>
    </w:rPr>
  </w:style>
  <w:style w:type="paragraph" w:customStyle="1" w:styleId="ForfatterMerknad">
    <w:name w:val="ForfatterMerknad"/>
    <w:basedOn w:val="TrykkeriMerknad"/>
    <w:qFormat/>
    <w:rsid w:val="001609FA"/>
    <w:pPr>
      <w:shd w:val="clear" w:color="auto" w:fill="FFFF99"/>
      <w:spacing w:line="240" w:lineRule="auto"/>
    </w:pPr>
    <w:rPr>
      <w:color w:val="833C0B"/>
    </w:rPr>
  </w:style>
  <w:style w:type="paragraph" w:customStyle="1" w:styleId="UnOverskrift1">
    <w:name w:val="UnOverskrift 1"/>
    <w:basedOn w:val="Overskrift1"/>
    <w:next w:val="Normal"/>
    <w:qFormat/>
    <w:rsid w:val="001609FA"/>
    <w:pPr>
      <w:numPr>
        <w:numId w:val="0"/>
      </w:numPr>
    </w:pPr>
  </w:style>
  <w:style w:type="paragraph" w:customStyle="1" w:styleId="UnOverskrift2">
    <w:name w:val="UnOverskrift 2"/>
    <w:basedOn w:val="Overskrift2"/>
    <w:next w:val="Normal"/>
    <w:qFormat/>
    <w:rsid w:val="001609FA"/>
    <w:pPr>
      <w:numPr>
        <w:ilvl w:val="0"/>
        <w:numId w:val="0"/>
      </w:numPr>
    </w:pPr>
  </w:style>
  <w:style w:type="paragraph" w:customStyle="1" w:styleId="UnOverskrift4">
    <w:name w:val="UnOverskrift 4"/>
    <w:basedOn w:val="Overskrift4"/>
    <w:next w:val="Normal"/>
    <w:qFormat/>
    <w:rsid w:val="001609FA"/>
    <w:pPr>
      <w:numPr>
        <w:ilvl w:val="0"/>
        <w:numId w:val="0"/>
      </w:numPr>
    </w:pPr>
  </w:style>
  <w:style w:type="paragraph" w:customStyle="1" w:styleId="Ingress">
    <w:name w:val="Ingress"/>
    <w:basedOn w:val="Normal"/>
    <w:qFormat/>
    <w:rsid w:val="001609FA"/>
    <w:rPr>
      <w:i/>
    </w:rPr>
  </w:style>
  <w:style w:type="paragraph" w:customStyle="1" w:styleId="FigurAltTekst">
    <w:name w:val="FigurAltTekst"/>
    <w:basedOn w:val="Note"/>
    <w:qFormat/>
    <w:rsid w:val="001609FA"/>
    <w:rPr>
      <w:color w:val="7030A0"/>
    </w:rPr>
  </w:style>
  <w:style w:type="paragraph" w:customStyle="1" w:styleId="meta-dep">
    <w:name w:val="meta-dep"/>
    <w:basedOn w:val="Normal"/>
    <w:next w:val="Normal"/>
    <w:qFormat/>
    <w:rsid w:val="001609FA"/>
    <w:rPr>
      <w:rFonts w:ascii="Courier New" w:hAnsi="Courier New"/>
      <w:vanish/>
      <w:color w:val="C00000"/>
      <w:sz w:val="28"/>
    </w:rPr>
  </w:style>
  <w:style w:type="paragraph" w:customStyle="1" w:styleId="meta-depavd">
    <w:name w:val="meta-depavd"/>
    <w:basedOn w:val="meta-dep"/>
    <w:next w:val="Normal"/>
    <w:qFormat/>
    <w:rsid w:val="001609FA"/>
  </w:style>
  <w:style w:type="paragraph" w:customStyle="1" w:styleId="meta-forf">
    <w:name w:val="meta-forf"/>
    <w:basedOn w:val="meta-dep"/>
    <w:next w:val="Normal"/>
    <w:qFormat/>
    <w:rsid w:val="001609FA"/>
  </w:style>
  <w:style w:type="paragraph" w:customStyle="1" w:styleId="meta-spr">
    <w:name w:val="meta-spr"/>
    <w:basedOn w:val="meta-dep"/>
    <w:next w:val="Normal"/>
    <w:qFormat/>
    <w:rsid w:val="001609FA"/>
  </w:style>
  <w:style w:type="paragraph" w:customStyle="1" w:styleId="meta-ingress">
    <w:name w:val="meta-ingress"/>
    <w:basedOn w:val="meta-dep"/>
    <w:next w:val="Normal"/>
    <w:qFormat/>
    <w:rsid w:val="001609FA"/>
    <w:rPr>
      <w:color w:val="1F4E79"/>
      <w:sz w:val="24"/>
    </w:rPr>
  </w:style>
  <w:style w:type="paragraph" w:customStyle="1" w:styleId="meta-sperrefrist">
    <w:name w:val="meta-sperrefrist"/>
    <w:basedOn w:val="meta-dep"/>
    <w:next w:val="Normal"/>
    <w:qFormat/>
    <w:rsid w:val="001609FA"/>
  </w:style>
  <w:style w:type="paragraph" w:customStyle="1" w:styleId="meta-objUrl">
    <w:name w:val="meta-objUrl"/>
    <w:basedOn w:val="meta-dep"/>
    <w:next w:val="Normal"/>
    <w:qFormat/>
    <w:rsid w:val="001609FA"/>
    <w:rPr>
      <w:color w:val="7030A0"/>
    </w:rPr>
  </w:style>
  <w:style w:type="paragraph" w:customStyle="1" w:styleId="meta-dokFormat">
    <w:name w:val="meta-dokFormat"/>
    <w:basedOn w:val="meta-dep"/>
    <w:next w:val="Normal"/>
    <w:qFormat/>
    <w:rsid w:val="001609FA"/>
    <w:rPr>
      <w:color w:val="7030A0"/>
    </w:rPr>
  </w:style>
  <w:style w:type="paragraph" w:customStyle="1" w:styleId="TabellHode-rad">
    <w:name w:val="TabellHode-rad"/>
    <w:basedOn w:val="Normal"/>
    <w:qFormat/>
    <w:rsid w:val="001609FA"/>
    <w:pPr>
      <w:shd w:val="clear" w:color="auto" w:fill="E2EFD9"/>
    </w:pPr>
  </w:style>
  <w:style w:type="paragraph" w:customStyle="1" w:styleId="TabellHode-kolonne">
    <w:name w:val="TabellHode-kolonne"/>
    <w:basedOn w:val="TabellHode-rad"/>
    <w:qFormat/>
    <w:rsid w:val="001609FA"/>
    <w:pPr>
      <w:shd w:val="clear" w:color="auto" w:fill="DEEAF6"/>
    </w:pPr>
  </w:style>
  <w:style w:type="paragraph" w:styleId="Indeks1">
    <w:name w:val="index 1"/>
    <w:basedOn w:val="Normal"/>
    <w:next w:val="Normal"/>
    <w:autoRedefine/>
    <w:uiPriority w:val="99"/>
    <w:semiHidden/>
    <w:unhideWhenUsed/>
    <w:rsid w:val="001609FA"/>
    <w:pPr>
      <w:spacing w:after="0" w:line="240" w:lineRule="auto"/>
      <w:ind w:left="240" w:hanging="240"/>
    </w:pPr>
  </w:style>
  <w:style w:type="paragraph" w:styleId="Indeks2">
    <w:name w:val="index 2"/>
    <w:basedOn w:val="Normal"/>
    <w:next w:val="Normal"/>
    <w:autoRedefine/>
    <w:uiPriority w:val="99"/>
    <w:semiHidden/>
    <w:unhideWhenUsed/>
    <w:rsid w:val="001609FA"/>
    <w:pPr>
      <w:spacing w:after="0" w:line="240" w:lineRule="auto"/>
      <w:ind w:left="480" w:hanging="240"/>
    </w:pPr>
  </w:style>
  <w:style w:type="paragraph" w:styleId="Indeks3">
    <w:name w:val="index 3"/>
    <w:basedOn w:val="Normal"/>
    <w:next w:val="Normal"/>
    <w:autoRedefine/>
    <w:uiPriority w:val="99"/>
    <w:semiHidden/>
    <w:unhideWhenUsed/>
    <w:rsid w:val="001609FA"/>
    <w:pPr>
      <w:spacing w:after="0" w:line="240" w:lineRule="auto"/>
      <w:ind w:left="720" w:hanging="240"/>
    </w:pPr>
  </w:style>
  <w:style w:type="paragraph" w:styleId="Indeks4">
    <w:name w:val="index 4"/>
    <w:basedOn w:val="Normal"/>
    <w:next w:val="Normal"/>
    <w:autoRedefine/>
    <w:uiPriority w:val="99"/>
    <w:semiHidden/>
    <w:unhideWhenUsed/>
    <w:rsid w:val="001609FA"/>
    <w:pPr>
      <w:spacing w:after="0" w:line="240" w:lineRule="auto"/>
      <w:ind w:left="960" w:hanging="240"/>
    </w:pPr>
  </w:style>
  <w:style w:type="paragraph" w:styleId="Indeks5">
    <w:name w:val="index 5"/>
    <w:basedOn w:val="Normal"/>
    <w:next w:val="Normal"/>
    <w:autoRedefine/>
    <w:uiPriority w:val="99"/>
    <w:semiHidden/>
    <w:unhideWhenUsed/>
    <w:rsid w:val="001609FA"/>
    <w:pPr>
      <w:spacing w:after="0" w:line="240" w:lineRule="auto"/>
      <w:ind w:left="1200" w:hanging="240"/>
    </w:pPr>
  </w:style>
  <w:style w:type="paragraph" w:styleId="Indeks6">
    <w:name w:val="index 6"/>
    <w:basedOn w:val="Normal"/>
    <w:next w:val="Normal"/>
    <w:autoRedefine/>
    <w:uiPriority w:val="99"/>
    <w:semiHidden/>
    <w:unhideWhenUsed/>
    <w:rsid w:val="001609FA"/>
    <w:pPr>
      <w:spacing w:after="0" w:line="240" w:lineRule="auto"/>
      <w:ind w:left="1440" w:hanging="240"/>
    </w:pPr>
  </w:style>
  <w:style w:type="paragraph" w:styleId="Indeks7">
    <w:name w:val="index 7"/>
    <w:basedOn w:val="Normal"/>
    <w:next w:val="Normal"/>
    <w:autoRedefine/>
    <w:uiPriority w:val="99"/>
    <w:semiHidden/>
    <w:unhideWhenUsed/>
    <w:rsid w:val="001609FA"/>
    <w:pPr>
      <w:spacing w:after="0" w:line="240" w:lineRule="auto"/>
      <w:ind w:left="1680" w:hanging="240"/>
    </w:pPr>
  </w:style>
  <w:style w:type="paragraph" w:styleId="Indeks8">
    <w:name w:val="index 8"/>
    <w:basedOn w:val="Normal"/>
    <w:next w:val="Normal"/>
    <w:autoRedefine/>
    <w:uiPriority w:val="99"/>
    <w:semiHidden/>
    <w:unhideWhenUsed/>
    <w:rsid w:val="001609FA"/>
    <w:pPr>
      <w:spacing w:after="0" w:line="240" w:lineRule="auto"/>
      <w:ind w:left="1920" w:hanging="240"/>
    </w:pPr>
  </w:style>
  <w:style w:type="paragraph" w:styleId="Indeks9">
    <w:name w:val="index 9"/>
    <w:basedOn w:val="Normal"/>
    <w:next w:val="Normal"/>
    <w:autoRedefine/>
    <w:uiPriority w:val="99"/>
    <w:semiHidden/>
    <w:unhideWhenUsed/>
    <w:rsid w:val="001609FA"/>
    <w:pPr>
      <w:spacing w:after="0" w:line="240" w:lineRule="auto"/>
      <w:ind w:left="2160" w:hanging="240"/>
    </w:pPr>
  </w:style>
  <w:style w:type="paragraph" w:styleId="INNH1">
    <w:name w:val="toc 1"/>
    <w:basedOn w:val="Normal"/>
    <w:next w:val="Normal"/>
    <w:uiPriority w:val="39"/>
    <w:rsid w:val="001609FA"/>
    <w:pPr>
      <w:tabs>
        <w:tab w:val="right" w:leader="dot" w:pos="8306"/>
      </w:tabs>
      <w:ind w:right="1134"/>
    </w:pPr>
  </w:style>
  <w:style w:type="paragraph" w:styleId="INNH2">
    <w:name w:val="toc 2"/>
    <w:basedOn w:val="Normal"/>
    <w:next w:val="Normal"/>
    <w:uiPriority w:val="39"/>
    <w:rsid w:val="001609FA"/>
    <w:pPr>
      <w:tabs>
        <w:tab w:val="right" w:leader="dot" w:pos="8306"/>
      </w:tabs>
      <w:ind w:left="199" w:right="1134"/>
    </w:pPr>
  </w:style>
  <w:style w:type="paragraph" w:styleId="INNH3">
    <w:name w:val="toc 3"/>
    <w:basedOn w:val="Normal"/>
    <w:next w:val="Normal"/>
    <w:uiPriority w:val="39"/>
    <w:rsid w:val="001609FA"/>
    <w:pPr>
      <w:tabs>
        <w:tab w:val="right" w:leader="dot" w:pos="8306"/>
      </w:tabs>
      <w:ind w:left="403" w:right="1134"/>
    </w:pPr>
  </w:style>
  <w:style w:type="paragraph" w:styleId="INNH4">
    <w:name w:val="toc 4"/>
    <w:basedOn w:val="Normal"/>
    <w:next w:val="Normal"/>
    <w:semiHidden/>
    <w:rsid w:val="001609FA"/>
    <w:pPr>
      <w:tabs>
        <w:tab w:val="right" w:leader="dot" w:pos="8306"/>
      </w:tabs>
      <w:ind w:left="600"/>
    </w:pPr>
  </w:style>
  <w:style w:type="paragraph" w:styleId="INNH5">
    <w:name w:val="toc 5"/>
    <w:basedOn w:val="Normal"/>
    <w:next w:val="Normal"/>
    <w:semiHidden/>
    <w:rsid w:val="001609FA"/>
    <w:pPr>
      <w:tabs>
        <w:tab w:val="right" w:leader="dot" w:pos="8306"/>
      </w:tabs>
      <w:ind w:left="800"/>
    </w:pPr>
  </w:style>
  <w:style w:type="paragraph" w:styleId="INNH6">
    <w:name w:val="toc 6"/>
    <w:basedOn w:val="Normal"/>
    <w:next w:val="Normal"/>
    <w:autoRedefine/>
    <w:uiPriority w:val="39"/>
    <w:semiHidden/>
    <w:unhideWhenUsed/>
    <w:rsid w:val="001609FA"/>
    <w:pPr>
      <w:spacing w:after="100"/>
      <w:ind w:left="1200"/>
    </w:pPr>
  </w:style>
  <w:style w:type="paragraph" w:styleId="INNH7">
    <w:name w:val="toc 7"/>
    <w:basedOn w:val="Normal"/>
    <w:next w:val="Normal"/>
    <w:autoRedefine/>
    <w:uiPriority w:val="39"/>
    <w:semiHidden/>
    <w:unhideWhenUsed/>
    <w:rsid w:val="001609FA"/>
    <w:pPr>
      <w:spacing w:after="100"/>
      <w:ind w:left="1440"/>
    </w:pPr>
  </w:style>
  <w:style w:type="paragraph" w:styleId="INNH8">
    <w:name w:val="toc 8"/>
    <w:basedOn w:val="Normal"/>
    <w:next w:val="Normal"/>
    <w:autoRedefine/>
    <w:uiPriority w:val="39"/>
    <w:semiHidden/>
    <w:unhideWhenUsed/>
    <w:rsid w:val="001609FA"/>
    <w:pPr>
      <w:spacing w:after="100"/>
      <w:ind w:left="1680"/>
    </w:pPr>
  </w:style>
  <w:style w:type="paragraph" w:styleId="INNH9">
    <w:name w:val="toc 9"/>
    <w:basedOn w:val="Normal"/>
    <w:next w:val="Normal"/>
    <w:autoRedefine/>
    <w:uiPriority w:val="39"/>
    <w:semiHidden/>
    <w:unhideWhenUsed/>
    <w:rsid w:val="001609FA"/>
    <w:pPr>
      <w:spacing w:after="100"/>
      <w:ind w:left="1920"/>
    </w:pPr>
  </w:style>
  <w:style w:type="paragraph" w:styleId="Vanliginnrykk">
    <w:name w:val="Normal Indent"/>
    <w:basedOn w:val="Normal"/>
    <w:uiPriority w:val="99"/>
    <w:semiHidden/>
    <w:unhideWhenUsed/>
    <w:rsid w:val="001609FA"/>
    <w:pPr>
      <w:ind w:left="708"/>
    </w:pPr>
  </w:style>
  <w:style w:type="paragraph" w:styleId="Merknadstekst">
    <w:name w:val="annotation text"/>
    <w:basedOn w:val="Normal"/>
    <w:link w:val="MerknadstekstTegn"/>
    <w:semiHidden/>
    <w:rsid w:val="001609FA"/>
  </w:style>
  <w:style w:type="character" w:customStyle="1" w:styleId="MerknadstekstTegn">
    <w:name w:val="Merknadstekst Tegn"/>
    <w:link w:val="Merknadstekst"/>
    <w:semiHidden/>
    <w:rsid w:val="001609FA"/>
    <w:rPr>
      <w:rFonts w:ascii="Open Sans" w:eastAsia="Times New Roman" w:hAnsi="Open Sans"/>
      <w:kern w:val="0"/>
      <w:sz w:val="22"/>
      <w:szCs w:val="22"/>
    </w:rPr>
  </w:style>
  <w:style w:type="paragraph" w:styleId="Topptekst">
    <w:name w:val="header"/>
    <w:basedOn w:val="Normal"/>
    <w:link w:val="TopptekstTegn"/>
    <w:rsid w:val="001609FA"/>
    <w:pPr>
      <w:tabs>
        <w:tab w:val="center" w:pos="4536"/>
        <w:tab w:val="right" w:pos="9072"/>
      </w:tabs>
    </w:pPr>
  </w:style>
  <w:style w:type="character" w:customStyle="1" w:styleId="TopptekstTegn">
    <w:name w:val="Topptekst Tegn"/>
    <w:link w:val="Topptekst"/>
    <w:rsid w:val="001609FA"/>
    <w:rPr>
      <w:rFonts w:ascii="Open Sans" w:eastAsia="Times New Roman" w:hAnsi="Open Sans"/>
      <w:kern w:val="0"/>
      <w:sz w:val="22"/>
      <w:szCs w:val="22"/>
    </w:rPr>
  </w:style>
  <w:style w:type="paragraph" w:styleId="Bunntekst">
    <w:name w:val="footer"/>
    <w:basedOn w:val="Normal"/>
    <w:link w:val="BunntekstTegn"/>
    <w:uiPriority w:val="99"/>
    <w:rsid w:val="001609FA"/>
    <w:pPr>
      <w:tabs>
        <w:tab w:val="center" w:pos="4153"/>
        <w:tab w:val="right" w:pos="8306"/>
      </w:tabs>
    </w:pPr>
    <w:rPr>
      <w:spacing w:val="4"/>
    </w:rPr>
  </w:style>
  <w:style w:type="character" w:customStyle="1" w:styleId="BunntekstTegn">
    <w:name w:val="Bunntekst Tegn"/>
    <w:link w:val="Bunntekst"/>
    <w:uiPriority w:val="99"/>
    <w:rsid w:val="001609FA"/>
    <w:rPr>
      <w:rFonts w:ascii="Open Sans" w:eastAsia="Times New Roman" w:hAnsi="Open Sans"/>
      <w:spacing w:val="4"/>
      <w:kern w:val="0"/>
      <w:sz w:val="22"/>
      <w:szCs w:val="22"/>
    </w:rPr>
  </w:style>
  <w:style w:type="paragraph" w:styleId="Stikkordregisteroverskrift">
    <w:name w:val="index heading"/>
    <w:basedOn w:val="Normal"/>
    <w:next w:val="Indeks1"/>
    <w:uiPriority w:val="99"/>
    <w:semiHidden/>
    <w:unhideWhenUsed/>
    <w:rsid w:val="001609FA"/>
    <w:rPr>
      <w:rFonts w:ascii="Calibri Light" w:hAnsi="Calibri Light" w:cs="Times New Roman"/>
      <w:b/>
      <w:bCs/>
    </w:rPr>
  </w:style>
  <w:style w:type="paragraph" w:styleId="Bildetekst">
    <w:name w:val="caption"/>
    <w:basedOn w:val="Normal"/>
    <w:next w:val="Normal"/>
    <w:uiPriority w:val="35"/>
    <w:unhideWhenUsed/>
    <w:qFormat/>
    <w:rsid w:val="001609FA"/>
    <w:pPr>
      <w:spacing w:line="240" w:lineRule="auto"/>
    </w:pPr>
    <w:rPr>
      <w:b/>
      <w:bCs/>
      <w:color w:val="5B9BD5"/>
      <w:sz w:val="18"/>
      <w:szCs w:val="18"/>
    </w:rPr>
  </w:style>
  <w:style w:type="paragraph" w:styleId="Figurliste">
    <w:name w:val="table of figures"/>
    <w:basedOn w:val="Normal"/>
    <w:next w:val="Normal"/>
    <w:uiPriority w:val="99"/>
    <w:semiHidden/>
    <w:unhideWhenUsed/>
    <w:rsid w:val="001609FA"/>
    <w:pPr>
      <w:spacing w:after="0"/>
    </w:pPr>
  </w:style>
  <w:style w:type="paragraph" w:styleId="Konvoluttadresse">
    <w:name w:val="envelope address"/>
    <w:basedOn w:val="Normal"/>
    <w:uiPriority w:val="99"/>
    <w:semiHidden/>
    <w:unhideWhenUsed/>
    <w:rsid w:val="001609FA"/>
    <w:pPr>
      <w:framePr w:w="7920" w:h="1980" w:hRule="exact" w:hSpace="141" w:wrap="auto" w:hAnchor="page" w:xAlign="center" w:yAlign="bottom"/>
      <w:spacing w:after="0" w:line="240" w:lineRule="auto"/>
      <w:ind w:left="2880"/>
    </w:pPr>
    <w:rPr>
      <w:rFonts w:ascii="Calibri Light" w:hAnsi="Calibri Light" w:cs="Times New Roman"/>
      <w:szCs w:val="24"/>
    </w:rPr>
  </w:style>
  <w:style w:type="paragraph" w:styleId="Avsenderadresse">
    <w:name w:val="envelope return"/>
    <w:basedOn w:val="Normal"/>
    <w:uiPriority w:val="99"/>
    <w:semiHidden/>
    <w:unhideWhenUsed/>
    <w:rsid w:val="001609FA"/>
    <w:pPr>
      <w:spacing w:after="0" w:line="240" w:lineRule="auto"/>
    </w:pPr>
    <w:rPr>
      <w:rFonts w:ascii="Calibri Light" w:hAnsi="Calibri Light" w:cs="Times New Roman"/>
      <w:szCs w:val="20"/>
    </w:rPr>
  </w:style>
  <w:style w:type="character" w:styleId="Merknadsreferanse">
    <w:name w:val="annotation reference"/>
    <w:semiHidden/>
    <w:rsid w:val="001609FA"/>
    <w:rPr>
      <w:sz w:val="16"/>
    </w:rPr>
  </w:style>
  <w:style w:type="character" w:styleId="Linjenummer">
    <w:name w:val="line number"/>
    <w:basedOn w:val="Standardskriftforavsnitt"/>
    <w:uiPriority w:val="99"/>
    <w:semiHidden/>
    <w:unhideWhenUsed/>
    <w:rsid w:val="001609FA"/>
  </w:style>
  <w:style w:type="character" w:styleId="Sidetall">
    <w:name w:val="page number"/>
    <w:basedOn w:val="Standardskriftforavsnitt"/>
    <w:rsid w:val="001609FA"/>
  </w:style>
  <w:style w:type="character" w:styleId="Sluttnotereferanse">
    <w:name w:val="endnote reference"/>
    <w:uiPriority w:val="99"/>
    <w:semiHidden/>
    <w:unhideWhenUsed/>
    <w:rsid w:val="001609FA"/>
    <w:rPr>
      <w:vertAlign w:val="superscript"/>
    </w:rPr>
  </w:style>
  <w:style w:type="paragraph" w:styleId="Sluttnotetekst">
    <w:name w:val="endnote text"/>
    <w:basedOn w:val="Normal"/>
    <w:link w:val="SluttnotetekstTegn"/>
    <w:uiPriority w:val="99"/>
    <w:semiHidden/>
    <w:unhideWhenUsed/>
    <w:rsid w:val="001609FA"/>
    <w:pPr>
      <w:spacing w:after="0" w:line="240" w:lineRule="auto"/>
    </w:pPr>
    <w:rPr>
      <w:szCs w:val="20"/>
    </w:rPr>
  </w:style>
  <w:style w:type="character" w:customStyle="1" w:styleId="SluttnotetekstTegn">
    <w:name w:val="Sluttnotetekst Tegn"/>
    <w:link w:val="Sluttnotetekst"/>
    <w:uiPriority w:val="99"/>
    <w:semiHidden/>
    <w:rsid w:val="001609FA"/>
    <w:rPr>
      <w:rFonts w:ascii="Open Sans" w:eastAsia="Times New Roman" w:hAnsi="Open Sans"/>
      <w:kern w:val="0"/>
      <w:sz w:val="22"/>
      <w:szCs w:val="20"/>
    </w:rPr>
  </w:style>
  <w:style w:type="paragraph" w:styleId="Kildeliste">
    <w:name w:val="table of authorities"/>
    <w:basedOn w:val="Normal"/>
    <w:next w:val="Normal"/>
    <w:uiPriority w:val="99"/>
    <w:semiHidden/>
    <w:unhideWhenUsed/>
    <w:rsid w:val="001609FA"/>
    <w:pPr>
      <w:spacing w:after="0"/>
      <w:ind w:left="240" w:hanging="240"/>
    </w:pPr>
  </w:style>
  <w:style w:type="paragraph" w:styleId="Makrotekst">
    <w:name w:val="macro"/>
    <w:link w:val="MakrotekstTegn"/>
    <w:uiPriority w:val="99"/>
    <w:semiHidden/>
    <w:unhideWhenUsed/>
    <w:rsid w:val="001609FA"/>
    <w:pPr>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Consolas" w:eastAsia="Times New Roman" w:hAnsi="Consolas"/>
      <w:kern w:val="0"/>
      <w:sz w:val="20"/>
      <w:szCs w:val="20"/>
    </w:rPr>
  </w:style>
  <w:style w:type="character" w:customStyle="1" w:styleId="MakrotekstTegn">
    <w:name w:val="Makrotekst Tegn"/>
    <w:link w:val="Makrotekst"/>
    <w:uiPriority w:val="99"/>
    <w:semiHidden/>
    <w:rsid w:val="001609FA"/>
    <w:rPr>
      <w:rFonts w:ascii="Consolas" w:eastAsia="Times New Roman" w:hAnsi="Consolas"/>
      <w:kern w:val="0"/>
      <w:sz w:val="20"/>
      <w:szCs w:val="20"/>
    </w:rPr>
  </w:style>
  <w:style w:type="paragraph" w:styleId="Kildelisteoverskrift">
    <w:name w:val="toa heading"/>
    <w:basedOn w:val="Normal"/>
    <w:next w:val="Normal"/>
    <w:uiPriority w:val="99"/>
    <w:semiHidden/>
    <w:unhideWhenUsed/>
    <w:rsid w:val="001609FA"/>
    <w:pPr>
      <w:spacing w:before="120"/>
    </w:pPr>
    <w:rPr>
      <w:rFonts w:ascii="Calibri Light" w:hAnsi="Calibri Light" w:cs="Times New Roman"/>
      <w:b/>
      <w:bCs/>
      <w:szCs w:val="24"/>
    </w:rPr>
  </w:style>
  <w:style w:type="paragraph" w:styleId="Punktliste">
    <w:name w:val="List Bullet"/>
    <w:basedOn w:val="Normal"/>
    <w:rsid w:val="001609FA"/>
    <w:pPr>
      <w:numPr>
        <w:numId w:val="2"/>
      </w:numPr>
      <w:spacing w:after="0"/>
    </w:pPr>
    <w:rPr>
      <w:spacing w:val="4"/>
    </w:rPr>
  </w:style>
  <w:style w:type="paragraph" w:styleId="Punktliste2">
    <w:name w:val="List Bullet 2"/>
    <w:basedOn w:val="Normal"/>
    <w:rsid w:val="001609FA"/>
    <w:pPr>
      <w:numPr>
        <w:numId w:val="3"/>
      </w:numPr>
      <w:spacing w:after="0"/>
    </w:pPr>
    <w:rPr>
      <w:spacing w:val="4"/>
    </w:rPr>
  </w:style>
  <w:style w:type="paragraph" w:styleId="Punktliste3">
    <w:name w:val="List Bullet 3"/>
    <w:basedOn w:val="Normal"/>
    <w:rsid w:val="001609FA"/>
    <w:pPr>
      <w:numPr>
        <w:numId w:val="4"/>
      </w:numPr>
      <w:spacing w:after="0"/>
    </w:pPr>
    <w:rPr>
      <w:spacing w:val="4"/>
    </w:rPr>
  </w:style>
  <w:style w:type="paragraph" w:styleId="Punktliste4">
    <w:name w:val="List Bullet 4"/>
    <w:basedOn w:val="Normal"/>
    <w:rsid w:val="001609FA"/>
    <w:pPr>
      <w:numPr>
        <w:numId w:val="5"/>
      </w:numPr>
      <w:spacing w:after="0"/>
    </w:pPr>
  </w:style>
  <w:style w:type="paragraph" w:styleId="Punktliste5">
    <w:name w:val="List Bullet 5"/>
    <w:basedOn w:val="Normal"/>
    <w:rsid w:val="001609FA"/>
    <w:pPr>
      <w:numPr>
        <w:numId w:val="6"/>
      </w:numPr>
      <w:spacing w:after="0"/>
    </w:pPr>
  </w:style>
  <w:style w:type="paragraph" w:styleId="Nummerertliste2">
    <w:name w:val="List Number 2"/>
    <w:basedOn w:val="Nummerertliste"/>
    <w:qFormat/>
    <w:rsid w:val="001609FA"/>
    <w:pPr>
      <w:numPr>
        <w:ilvl w:val="1"/>
      </w:numPr>
    </w:pPr>
  </w:style>
  <w:style w:type="paragraph" w:styleId="Nummerertliste3">
    <w:name w:val="List Number 3"/>
    <w:basedOn w:val="Nummerertliste"/>
    <w:qFormat/>
    <w:rsid w:val="001609FA"/>
    <w:pPr>
      <w:numPr>
        <w:ilvl w:val="2"/>
      </w:numPr>
    </w:pPr>
  </w:style>
  <w:style w:type="paragraph" w:styleId="Nummerertliste4">
    <w:name w:val="List Number 4"/>
    <w:basedOn w:val="Nummerertliste"/>
    <w:rsid w:val="001609FA"/>
    <w:pPr>
      <w:numPr>
        <w:ilvl w:val="3"/>
      </w:numPr>
    </w:pPr>
  </w:style>
  <w:style w:type="paragraph" w:styleId="Nummerertliste5">
    <w:name w:val="List Number 5"/>
    <w:basedOn w:val="Nummerertliste"/>
    <w:qFormat/>
    <w:rsid w:val="001609FA"/>
    <w:pPr>
      <w:numPr>
        <w:ilvl w:val="4"/>
      </w:numPr>
    </w:pPr>
  </w:style>
  <w:style w:type="paragraph" w:styleId="Tittel">
    <w:name w:val="Title"/>
    <w:basedOn w:val="Normal"/>
    <w:next w:val="Normal"/>
    <w:link w:val="TittelTegn"/>
    <w:uiPriority w:val="10"/>
    <w:qFormat/>
    <w:rsid w:val="001609FA"/>
    <w:pPr>
      <w:pBdr>
        <w:bottom w:val="single" w:sz="8" w:space="4" w:color="5B9BD5"/>
      </w:pBdr>
      <w:spacing w:after="300" w:line="240" w:lineRule="auto"/>
      <w:contextualSpacing/>
    </w:pPr>
    <w:rPr>
      <w:rFonts w:ascii="Calibri Light" w:hAnsi="Calibri Light" w:cs="Times New Roman"/>
      <w:color w:val="323E4F"/>
      <w:spacing w:val="5"/>
      <w:kern w:val="28"/>
      <w:sz w:val="52"/>
      <w:szCs w:val="52"/>
    </w:rPr>
  </w:style>
  <w:style w:type="character" w:customStyle="1" w:styleId="TittelTegn">
    <w:name w:val="Tittel Tegn"/>
    <w:link w:val="Tittel"/>
    <w:uiPriority w:val="10"/>
    <w:rsid w:val="001609FA"/>
    <w:rPr>
      <w:rFonts w:ascii="Calibri Light" w:eastAsia="Times New Roman" w:hAnsi="Calibri Light" w:cs="Times New Roman"/>
      <w:color w:val="323E4F"/>
      <w:spacing w:val="5"/>
      <w:kern w:val="28"/>
      <w:sz w:val="52"/>
      <w:szCs w:val="52"/>
    </w:rPr>
  </w:style>
  <w:style w:type="paragraph" w:styleId="Hilsen">
    <w:name w:val="Closing"/>
    <w:basedOn w:val="Normal"/>
    <w:link w:val="HilsenTegn"/>
    <w:uiPriority w:val="99"/>
    <w:semiHidden/>
    <w:unhideWhenUsed/>
    <w:rsid w:val="001609FA"/>
    <w:pPr>
      <w:spacing w:after="0" w:line="240" w:lineRule="auto"/>
      <w:ind w:left="4252"/>
    </w:pPr>
  </w:style>
  <w:style w:type="character" w:customStyle="1" w:styleId="HilsenTegn">
    <w:name w:val="Hilsen Tegn"/>
    <w:link w:val="Hilsen"/>
    <w:uiPriority w:val="99"/>
    <w:semiHidden/>
    <w:rsid w:val="001609FA"/>
    <w:rPr>
      <w:rFonts w:ascii="Open Sans" w:eastAsia="Times New Roman" w:hAnsi="Open Sans"/>
      <w:kern w:val="0"/>
      <w:sz w:val="22"/>
      <w:szCs w:val="22"/>
    </w:rPr>
  </w:style>
  <w:style w:type="paragraph" w:styleId="Underskrift">
    <w:name w:val="Signature"/>
    <w:basedOn w:val="Normal"/>
    <w:link w:val="UnderskriftTegn"/>
    <w:uiPriority w:val="99"/>
    <w:semiHidden/>
    <w:unhideWhenUsed/>
    <w:rsid w:val="001609FA"/>
    <w:pPr>
      <w:spacing w:after="0" w:line="240" w:lineRule="auto"/>
      <w:ind w:left="4252"/>
    </w:pPr>
  </w:style>
  <w:style w:type="character" w:customStyle="1" w:styleId="UnderskriftTegn">
    <w:name w:val="Underskrift Tegn"/>
    <w:link w:val="Underskrift"/>
    <w:uiPriority w:val="99"/>
    <w:semiHidden/>
    <w:rsid w:val="001609FA"/>
    <w:rPr>
      <w:rFonts w:ascii="Open Sans" w:eastAsia="Times New Roman" w:hAnsi="Open Sans"/>
      <w:kern w:val="0"/>
      <w:sz w:val="22"/>
      <w:szCs w:val="22"/>
    </w:rPr>
  </w:style>
  <w:style w:type="paragraph" w:styleId="Brdtekst">
    <w:name w:val="Body Text"/>
    <w:basedOn w:val="Normal"/>
    <w:link w:val="BrdtekstTegn"/>
    <w:uiPriority w:val="99"/>
    <w:semiHidden/>
    <w:unhideWhenUsed/>
    <w:rsid w:val="001609FA"/>
  </w:style>
  <w:style w:type="character" w:customStyle="1" w:styleId="BrdtekstTegn">
    <w:name w:val="Brødtekst Tegn"/>
    <w:link w:val="Brdtekst"/>
    <w:uiPriority w:val="99"/>
    <w:semiHidden/>
    <w:rsid w:val="001609FA"/>
    <w:rPr>
      <w:rFonts w:ascii="Open Sans" w:eastAsia="Times New Roman" w:hAnsi="Open Sans"/>
      <w:kern w:val="0"/>
      <w:sz w:val="22"/>
      <w:szCs w:val="22"/>
    </w:rPr>
  </w:style>
  <w:style w:type="paragraph" w:styleId="Brdtekstinnrykk">
    <w:name w:val="Body Text Indent"/>
    <w:basedOn w:val="Normal"/>
    <w:link w:val="BrdtekstinnrykkTegn"/>
    <w:uiPriority w:val="99"/>
    <w:semiHidden/>
    <w:unhideWhenUsed/>
    <w:rsid w:val="001609FA"/>
    <w:pPr>
      <w:ind w:left="283"/>
    </w:pPr>
  </w:style>
  <w:style w:type="character" w:customStyle="1" w:styleId="BrdtekstinnrykkTegn">
    <w:name w:val="Brødtekstinnrykk Tegn"/>
    <w:link w:val="Brdtekstinnrykk"/>
    <w:uiPriority w:val="99"/>
    <w:semiHidden/>
    <w:rsid w:val="001609FA"/>
    <w:rPr>
      <w:rFonts w:ascii="Open Sans" w:eastAsia="Times New Roman" w:hAnsi="Open Sans"/>
      <w:kern w:val="0"/>
      <w:sz w:val="22"/>
      <w:szCs w:val="22"/>
    </w:rPr>
  </w:style>
  <w:style w:type="paragraph" w:styleId="Liste-forts">
    <w:name w:val="List Continue"/>
    <w:basedOn w:val="Normal"/>
    <w:uiPriority w:val="99"/>
    <w:semiHidden/>
    <w:unhideWhenUsed/>
    <w:rsid w:val="001609FA"/>
    <w:pPr>
      <w:ind w:left="283"/>
      <w:contextualSpacing/>
    </w:pPr>
  </w:style>
  <w:style w:type="paragraph" w:styleId="Liste-forts2">
    <w:name w:val="List Continue 2"/>
    <w:basedOn w:val="Normal"/>
    <w:uiPriority w:val="99"/>
    <w:semiHidden/>
    <w:unhideWhenUsed/>
    <w:rsid w:val="001609FA"/>
    <w:pPr>
      <w:ind w:left="566"/>
      <w:contextualSpacing/>
    </w:pPr>
  </w:style>
  <w:style w:type="paragraph" w:styleId="Liste-forts3">
    <w:name w:val="List Continue 3"/>
    <w:basedOn w:val="Normal"/>
    <w:uiPriority w:val="99"/>
    <w:semiHidden/>
    <w:unhideWhenUsed/>
    <w:rsid w:val="001609FA"/>
    <w:pPr>
      <w:ind w:left="849"/>
      <w:contextualSpacing/>
    </w:pPr>
  </w:style>
  <w:style w:type="paragraph" w:styleId="Liste-forts4">
    <w:name w:val="List Continue 4"/>
    <w:basedOn w:val="Normal"/>
    <w:uiPriority w:val="99"/>
    <w:semiHidden/>
    <w:unhideWhenUsed/>
    <w:rsid w:val="001609FA"/>
    <w:pPr>
      <w:ind w:left="1132"/>
      <w:contextualSpacing/>
    </w:pPr>
  </w:style>
  <w:style w:type="paragraph" w:styleId="Liste-forts5">
    <w:name w:val="List Continue 5"/>
    <w:basedOn w:val="Normal"/>
    <w:uiPriority w:val="99"/>
    <w:semiHidden/>
    <w:unhideWhenUsed/>
    <w:rsid w:val="001609FA"/>
    <w:pPr>
      <w:ind w:left="1415"/>
      <w:contextualSpacing/>
    </w:pPr>
  </w:style>
  <w:style w:type="paragraph" w:styleId="Meldingshode">
    <w:name w:val="Message Header"/>
    <w:basedOn w:val="Normal"/>
    <w:link w:val="MeldingshodeTegn"/>
    <w:uiPriority w:val="99"/>
    <w:semiHidden/>
    <w:unhideWhenUsed/>
    <w:rsid w:val="001609F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libri Light" w:hAnsi="Calibri Light" w:cs="Times New Roman"/>
      <w:szCs w:val="24"/>
    </w:rPr>
  </w:style>
  <w:style w:type="character" w:customStyle="1" w:styleId="MeldingshodeTegn">
    <w:name w:val="Meldingshode Tegn"/>
    <w:link w:val="Meldingshode"/>
    <w:uiPriority w:val="99"/>
    <w:semiHidden/>
    <w:rsid w:val="001609FA"/>
    <w:rPr>
      <w:rFonts w:ascii="Calibri Light" w:eastAsia="Times New Roman" w:hAnsi="Calibri Light" w:cs="Times New Roman"/>
      <w:kern w:val="0"/>
      <w:sz w:val="22"/>
      <w:shd w:val="pct20" w:color="auto" w:fill="auto"/>
    </w:rPr>
  </w:style>
  <w:style w:type="paragraph" w:styleId="Undertittel">
    <w:name w:val="Subtitle"/>
    <w:basedOn w:val="Overskrift1"/>
    <w:next w:val="Normal"/>
    <w:link w:val="UndertittelTegn"/>
    <w:qFormat/>
    <w:rsid w:val="001609FA"/>
    <w:pPr>
      <w:numPr>
        <w:numId w:val="0"/>
      </w:numPr>
      <w:spacing w:before="240"/>
      <w:outlineLvl w:val="9"/>
    </w:pPr>
    <w:rPr>
      <w:spacing w:val="4"/>
      <w:sz w:val="28"/>
    </w:rPr>
  </w:style>
  <w:style w:type="character" w:customStyle="1" w:styleId="UndertittelTegn">
    <w:name w:val="Undertittel Tegn"/>
    <w:link w:val="Undertittel"/>
    <w:rsid w:val="001609FA"/>
    <w:rPr>
      <w:rFonts w:ascii="Open Sans" w:eastAsia="Times New Roman" w:hAnsi="Open Sans"/>
      <w:b/>
      <w:spacing w:val="4"/>
      <w:kern w:val="28"/>
      <w:sz w:val="28"/>
      <w:szCs w:val="22"/>
    </w:rPr>
  </w:style>
  <w:style w:type="paragraph" w:styleId="Innledendehilsen">
    <w:name w:val="Salutation"/>
    <w:basedOn w:val="Normal"/>
    <w:next w:val="Normal"/>
    <w:link w:val="InnledendehilsenTegn"/>
    <w:uiPriority w:val="99"/>
    <w:semiHidden/>
    <w:unhideWhenUsed/>
    <w:rsid w:val="001609FA"/>
  </w:style>
  <w:style w:type="character" w:customStyle="1" w:styleId="InnledendehilsenTegn">
    <w:name w:val="Innledende hilsen Tegn"/>
    <w:link w:val="Innledendehilsen"/>
    <w:uiPriority w:val="99"/>
    <w:semiHidden/>
    <w:rsid w:val="001609FA"/>
    <w:rPr>
      <w:rFonts w:ascii="Open Sans" w:eastAsia="Times New Roman" w:hAnsi="Open Sans"/>
      <w:kern w:val="0"/>
      <w:sz w:val="22"/>
      <w:szCs w:val="22"/>
    </w:rPr>
  </w:style>
  <w:style w:type="paragraph" w:styleId="Brdtekst-frsteinnrykk">
    <w:name w:val="Body Text First Indent"/>
    <w:basedOn w:val="Brdtekst"/>
    <w:link w:val="Brdtekst-frsteinnrykkTegn"/>
    <w:uiPriority w:val="99"/>
    <w:semiHidden/>
    <w:unhideWhenUsed/>
    <w:rsid w:val="001609FA"/>
    <w:pPr>
      <w:ind w:firstLine="360"/>
    </w:pPr>
  </w:style>
  <w:style w:type="character" w:customStyle="1" w:styleId="Brdtekst-frsteinnrykkTegn">
    <w:name w:val="Brødtekst - første innrykk Tegn"/>
    <w:link w:val="Brdtekst-frsteinnrykk"/>
    <w:uiPriority w:val="99"/>
    <w:semiHidden/>
    <w:rsid w:val="001609FA"/>
    <w:rPr>
      <w:rFonts w:ascii="Open Sans" w:eastAsia="Times New Roman" w:hAnsi="Open Sans"/>
      <w:kern w:val="0"/>
      <w:sz w:val="22"/>
      <w:szCs w:val="22"/>
    </w:rPr>
  </w:style>
  <w:style w:type="paragraph" w:styleId="Brdtekst-frsteinnrykk2">
    <w:name w:val="Body Text First Indent 2"/>
    <w:basedOn w:val="Brdtekstinnrykk"/>
    <w:link w:val="Brdtekst-frsteinnrykk2Tegn"/>
    <w:uiPriority w:val="99"/>
    <w:semiHidden/>
    <w:unhideWhenUsed/>
    <w:rsid w:val="001609FA"/>
    <w:pPr>
      <w:ind w:left="360" w:firstLine="360"/>
    </w:pPr>
  </w:style>
  <w:style w:type="character" w:customStyle="1" w:styleId="Brdtekst-frsteinnrykk2Tegn">
    <w:name w:val="Brødtekst - første innrykk 2 Tegn"/>
    <w:link w:val="Brdtekst-frsteinnrykk2"/>
    <w:uiPriority w:val="99"/>
    <w:semiHidden/>
    <w:rsid w:val="001609FA"/>
    <w:rPr>
      <w:rFonts w:ascii="Open Sans" w:eastAsia="Times New Roman" w:hAnsi="Open Sans"/>
      <w:kern w:val="0"/>
      <w:sz w:val="22"/>
      <w:szCs w:val="22"/>
    </w:rPr>
  </w:style>
  <w:style w:type="paragraph" w:styleId="Notatoverskrift">
    <w:name w:val="Note Heading"/>
    <w:basedOn w:val="Normal"/>
    <w:next w:val="Normal"/>
    <w:link w:val="NotatoverskriftTegn"/>
    <w:uiPriority w:val="99"/>
    <w:semiHidden/>
    <w:unhideWhenUsed/>
    <w:rsid w:val="001609FA"/>
    <w:pPr>
      <w:spacing w:after="0" w:line="240" w:lineRule="auto"/>
    </w:pPr>
  </w:style>
  <w:style w:type="character" w:customStyle="1" w:styleId="NotatoverskriftTegn">
    <w:name w:val="Notatoverskrift Tegn"/>
    <w:link w:val="Notatoverskrift"/>
    <w:uiPriority w:val="99"/>
    <w:semiHidden/>
    <w:rsid w:val="001609FA"/>
    <w:rPr>
      <w:rFonts w:ascii="Open Sans" w:eastAsia="Times New Roman" w:hAnsi="Open Sans"/>
      <w:kern w:val="0"/>
      <w:sz w:val="22"/>
      <w:szCs w:val="22"/>
    </w:rPr>
  </w:style>
  <w:style w:type="paragraph" w:styleId="Brdtekst2">
    <w:name w:val="Body Text 2"/>
    <w:basedOn w:val="Normal"/>
    <w:link w:val="Brdtekst2Tegn"/>
    <w:uiPriority w:val="99"/>
    <w:semiHidden/>
    <w:unhideWhenUsed/>
    <w:rsid w:val="001609FA"/>
    <w:pPr>
      <w:spacing w:line="480" w:lineRule="auto"/>
    </w:pPr>
  </w:style>
  <w:style w:type="character" w:customStyle="1" w:styleId="Brdtekst2Tegn">
    <w:name w:val="Brødtekst 2 Tegn"/>
    <w:link w:val="Brdtekst2"/>
    <w:uiPriority w:val="99"/>
    <w:semiHidden/>
    <w:rsid w:val="001609FA"/>
    <w:rPr>
      <w:rFonts w:ascii="Open Sans" w:eastAsia="Times New Roman" w:hAnsi="Open Sans"/>
      <w:kern w:val="0"/>
      <w:sz w:val="22"/>
      <w:szCs w:val="22"/>
    </w:rPr>
  </w:style>
  <w:style w:type="paragraph" w:styleId="Brdtekst3">
    <w:name w:val="Body Text 3"/>
    <w:basedOn w:val="Normal"/>
    <w:link w:val="Brdtekst3Tegn"/>
    <w:uiPriority w:val="99"/>
    <w:semiHidden/>
    <w:unhideWhenUsed/>
    <w:rsid w:val="001609FA"/>
    <w:rPr>
      <w:sz w:val="16"/>
      <w:szCs w:val="16"/>
    </w:rPr>
  </w:style>
  <w:style w:type="character" w:customStyle="1" w:styleId="Brdtekst3Tegn">
    <w:name w:val="Brødtekst 3 Tegn"/>
    <w:link w:val="Brdtekst3"/>
    <w:uiPriority w:val="99"/>
    <w:semiHidden/>
    <w:rsid w:val="001609FA"/>
    <w:rPr>
      <w:rFonts w:ascii="Open Sans" w:eastAsia="Times New Roman" w:hAnsi="Open Sans"/>
      <w:kern w:val="0"/>
      <w:sz w:val="16"/>
      <w:szCs w:val="16"/>
    </w:rPr>
  </w:style>
  <w:style w:type="paragraph" w:styleId="Brdtekstinnrykk2">
    <w:name w:val="Body Text Indent 2"/>
    <w:basedOn w:val="Normal"/>
    <w:link w:val="Brdtekstinnrykk2Tegn"/>
    <w:uiPriority w:val="99"/>
    <w:semiHidden/>
    <w:unhideWhenUsed/>
    <w:rsid w:val="001609FA"/>
    <w:pPr>
      <w:spacing w:line="480" w:lineRule="auto"/>
      <w:ind w:left="283"/>
    </w:pPr>
  </w:style>
  <w:style w:type="character" w:customStyle="1" w:styleId="Brdtekstinnrykk2Tegn">
    <w:name w:val="Brødtekstinnrykk 2 Tegn"/>
    <w:link w:val="Brdtekstinnrykk2"/>
    <w:uiPriority w:val="99"/>
    <w:semiHidden/>
    <w:rsid w:val="001609FA"/>
    <w:rPr>
      <w:rFonts w:ascii="Open Sans" w:eastAsia="Times New Roman" w:hAnsi="Open Sans"/>
      <w:kern w:val="0"/>
      <w:sz w:val="22"/>
      <w:szCs w:val="22"/>
    </w:rPr>
  </w:style>
  <w:style w:type="paragraph" w:styleId="Brdtekstinnrykk3">
    <w:name w:val="Body Text Indent 3"/>
    <w:basedOn w:val="Normal"/>
    <w:link w:val="Brdtekstinnrykk3Tegn"/>
    <w:uiPriority w:val="99"/>
    <w:semiHidden/>
    <w:unhideWhenUsed/>
    <w:rsid w:val="001609FA"/>
    <w:pPr>
      <w:ind w:left="283"/>
    </w:pPr>
    <w:rPr>
      <w:sz w:val="16"/>
      <w:szCs w:val="16"/>
    </w:rPr>
  </w:style>
  <w:style w:type="character" w:customStyle="1" w:styleId="Brdtekstinnrykk3Tegn">
    <w:name w:val="Brødtekstinnrykk 3 Tegn"/>
    <w:link w:val="Brdtekstinnrykk3"/>
    <w:uiPriority w:val="99"/>
    <w:semiHidden/>
    <w:rsid w:val="001609FA"/>
    <w:rPr>
      <w:rFonts w:ascii="Open Sans" w:eastAsia="Times New Roman" w:hAnsi="Open Sans"/>
      <w:kern w:val="0"/>
      <w:sz w:val="16"/>
      <w:szCs w:val="16"/>
    </w:rPr>
  </w:style>
  <w:style w:type="paragraph" w:styleId="Blokktekst">
    <w:name w:val="Block Text"/>
    <w:basedOn w:val="Normal"/>
    <w:uiPriority w:val="99"/>
    <w:semiHidden/>
    <w:unhideWhenUsed/>
    <w:rsid w:val="001609FA"/>
    <w:pPr>
      <w:pBdr>
        <w:top w:val="single" w:sz="2" w:space="10" w:color="5B9BD5" w:shadow="1"/>
        <w:left w:val="single" w:sz="2" w:space="10" w:color="5B9BD5" w:shadow="1"/>
        <w:bottom w:val="single" w:sz="2" w:space="10" w:color="5B9BD5" w:shadow="1"/>
        <w:right w:val="single" w:sz="2" w:space="10" w:color="5B9BD5" w:shadow="1"/>
      </w:pBdr>
      <w:ind w:left="1152" w:right="1152"/>
    </w:pPr>
    <w:rPr>
      <w:rFonts w:ascii="Calibri" w:hAnsi="Calibri"/>
      <w:i/>
      <w:iCs/>
      <w:color w:val="5B9BD5"/>
    </w:rPr>
  </w:style>
  <w:style w:type="character" w:styleId="Fulgthyperkobling">
    <w:name w:val="FollowedHyperlink"/>
    <w:uiPriority w:val="99"/>
    <w:semiHidden/>
    <w:unhideWhenUsed/>
    <w:rsid w:val="001609FA"/>
    <w:rPr>
      <w:color w:val="954F72"/>
      <w:u w:val="single"/>
    </w:rPr>
  </w:style>
  <w:style w:type="character" w:styleId="Sterk">
    <w:name w:val="Strong"/>
    <w:uiPriority w:val="22"/>
    <w:qFormat/>
    <w:rsid w:val="001609FA"/>
    <w:rPr>
      <w:b/>
      <w:bCs/>
    </w:rPr>
  </w:style>
  <w:style w:type="character" w:styleId="Utheving">
    <w:name w:val="Emphasis"/>
    <w:uiPriority w:val="20"/>
    <w:qFormat/>
    <w:rsid w:val="001609FA"/>
    <w:rPr>
      <w:i/>
      <w:iCs/>
    </w:rPr>
  </w:style>
  <w:style w:type="paragraph" w:styleId="Dokumentkart">
    <w:name w:val="Document Map"/>
    <w:basedOn w:val="Normal"/>
    <w:link w:val="DokumentkartTegn"/>
    <w:uiPriority w:val="99"/>
    <w:semiHidden/>
    <w:unhideWhenUsed/>
    <w:rsid w:val="001609FA"/>
    <w:pPr>
      <w:spacing w:after="0" w:line="240" w:lineRule="auto"/>
    </w:pPr>
    <w:rPr>
      <w:rFonts w:ascii="Tahoma" w:hAnsi="Tahoma" w:cs="Tahoma"/>
      <w:sz w:val="16"/>
      <w:szCs w:val="16"/>
    </w:rPr>
  </w:style>
  <w:style w:type="character" w:customStyle="1" w:styleId="DokumentkartTegn">
    <w:name w:val="Dokumentkart Tegn"/>
    <w:link w:val="Dokumentkart"/>
    <w:uiPriority w:val="99"/>
    <w:semiHidden/>
    <w:rsid w:val="001609FA"/>
    <w:rPr>
      <w:rFonts w:ascii="Tahoma" w:eastAsia="Times New Roman" w:hAnsi="Tahoma" w:cs="Tahoma"/>
      <w:kern w:val="0"/>
      <w:sz w:val="16"/>
      <w:szCs w:val="16"/>
    </w:rPr>
  </w:style>
  <w:style w:type="paragraph" w:styleId="Rentekst">
    <w:name w:val="Plain Text"/>
    <w:basedOn w:val="Normal"/>
    <w:link w:val="RentekstTegn"/>
    <w:uiPriority w:val="99"/>
    <w:semiHidden/>
    <w:unhideWhenUsed/>
    <w:rsid w:val="001609FA"/>
    <w:pPr>
      <w:spacing w:after="0" w:line="240" w:lineRule="auto"/>
    </w:pPr>
    <w:rPr>
      <w:rFonts w:ascii="Consolas" w:hAnsi="Consolas"/>
      <w:sz w:val="21"/>
      <w:szCs w:val="21"/>
    </w:rPr>
  </w:style>
  <w:style w:type="character" w:customStyle="1" w:styleId="RentekstTegn">
    <w:name w:val="Ren tekst Tegn"/>
    <w:link w:val="Rentekst"/>
    <w:uiPriority w:val="99"/>
    <w:semiHidden/>
    <w:rsid w:val="001609FA"/>
    <w:rPr>
      <w:rFonts w:ascii="Consolas" w:eastAsia="Times New Roman" w:hAnsi="Consolas"/>
      <w:kern w:val="0"/>
      <w:sz w:val="21"/>
      <w:szCs w:val="21"/>
    </w:rPr>
  </w:style>
  <w:style w:type="paragraph" w:styleId="E-postsignatur">
    <w:name w:val="E-mail Signature"/>
    <w:basedOn w:val="Normal"/>
    <w:link w:val="E-postsignaturTegn"/>
    <w:uiPriority w:val="99"/>
    <w:semiHidden/>
    <w:unhideWhenUsed/>
    <w:rsid w:val="001609FA"/>
    <w:pPr>
      <w:spacing w:after="0" w:line="240" w:lineRule="auto"/>
    </w:pPr>
  </w:style>
  <w:style w:type="character" w:customStyle="1" w:styleId="E-postsignaturTegn">
    <w:name w:val="E-postsignatur Tegn"/>
    <w:link w:val="E-postsignatur"/>
    <w:uiPriority w:val="99"/>
    <w:semiHidden/>
    <w:rsid w:val="001609FA"/>
    <w:rPr>
      <w:rFonts w:ascii="Open Sans" w:eastAsia="Times New Roman" w:hAnsi="Open Sans"/>
      <w:kern w:val="0"/>
      <w:sz w:val="22"/>
      <w:szCs w:val="22"/>
    </w:rPr>
  </w:style>
  <w:style w:type="paragraph" w:styleId="NormalWeb">
    <w:name w:val="Normal (Web)"/>
    <w:basedOn w:val="Normal"/>
    <w:uiPriority w:val="99"/>
    <w:semiHidden/>
    <w:unhideWhenUsed/>
    <w:rsid w:val="001609FA"/>
    <w:rPr>
      <w:rFonts w:cs="Times New Roman"/>
      <w:szCs w:val="24"/>
    </w:rPr>
  </w:style>
  <w:style w:type="character" w:styleId="HTML-akronym">
    <w:name w:val="HTML Acronym"/>
    <w:basedOn w:val="Standardskriftforavsnitt"/>
    <w:uiPriority w:val="99"/>
    <w:semiHidden/>
    <w:unhideWhenUsed/>
    <w:rsid w:val="001609FA"/>
  </w:style>
  <w:style w:type="paragraph" w:styleId="HTML-adresse">
    <w:name w:val="HTML Address"/>
    <w:basedOn w:val="Normal"/>
    <w:link w:val="HTML-adresseTegn"/>
    <w:uiPriority w:val="99"/>
    <w:semiHidden/>
    <w:unhideWhenUsed/>
    <w:rsid w:val="001609FA"/>
    <w:pPr>
      <w:spacing w:after="0" w:line="240" w:lineRule="auto"/>
    </w:pPr>
    <w:rPr>
      <w:i/>
      <w:iCs/>
    </w:rPr>
  </w:style>
  <w:style w:type="character" w:customStyle="1" w:styleId="HTML-adresseTegn">
    <w:name w:val="HTML-adresse Tegn"/>
    <w:link w:val="HTML-adresse"/>
    <w:uiPriority w:val="99"/>
    <w:semiHidden/>
    <w:rsid w:val="001609FA"/>
    <w:rPr>
      <w:rFonts w:ascii="Open Sans" w:eastAsia="Times New Roman" w:hAnsi="Open Sans"/>
      <w:i/>
      <w:iCs/>
      <w:kern w:val="0"/>
      <w:sz w:val="22"/>
      <w:szCs w:val="22"/>
    </w:rPr>
  </w:style>
  <w:style w:type="character" w:styleId="HTML-sitat">
    <w:name w:val="HTML Cite"/>
    <w:uiPriority w:val="99"/>
    <w:semiHidden/>
    <w:unhideWhenUsed/>
    <w:rsid w:val="001609FA"/>
    <w:rPr>
      <w:i/>
      <w:iCs/>
    </w:rPr>
  </w:style>
  <w:style w:type="character" w:styleId="HTML-kode">
    <w:name w:val="HTML Code"/>
    <w:uiPriority w:val="99"/>
    <w:semiHidden/>
    <w:unhideWhenUsed/>
    <w:rsid w:val="001609FA"/>
    <w:rPr>
      <w:rFonts w:ascii="Consolas" w:hAnsi="Consolas"/>
      <w:sz w:val="20"/>
      <w:szCs w:val="20"/>
    </w:rPr>
  </w:style>
  <w:style w:type="character" w:styleId="HTML-definisjon">
    <w:name w:val="HTML Definition"/>
    <w:uiPriority w:val="99"/>
    <w:semiHidden/>
    <w:unhideWhenUsed/>
    <w:rsid w:val="001609FA"/>
    <w:rPr>
      <w:i/>
      <w:iCs/>
    </w:rPr>
  </w:style>
  <w:style w:type="character" w:styleId="HTML-tastatur">
    <w:name w:val="HTML Keyboard"/>
    <w:uiPriority w:val="99"/>
    <w:semiHidden/>
    <w:unhideWhenUsed/>
    <w:rsid w:val="001609FA"/>
    <w:rPr>
      <w:rFonts w:ascii="Consolas" w:hAnsi="Consolas"/>
      <w:sz w:val="20"/>
      <w:szCs w:val="20"/>
    </w:rPr>
  </w:style>
  <w:style w:type="paragraph" w:styleId="HTML-forhndsformatert">
    <w:name w:val="HTML Preformatted"/>
    <w:basedOn w:val="Normal"/>
    <w:link w:val="HTML-forhndsformatertTegn"/>
    <w:uiPriority w:val="99"/>
    <w:semiHidden/>
    <w:unhideWhenUsed/>
    <w:rsid w:val="001609FA"/>
    <w:pPr>
      <w:spacing w:after="0" w:line="240" w:lineRule="auto"/>
    </w:pPr>
    <w:rPr>
      <w:rFonts w:ascii="Consolas" w:hAnsi="Consolas"/>
      <w:szCs w:val="20"/>
    </w:rPr>
  </w:style>
  <w:style w:type="character" w:customStyle="1" w:styleId="HTML-forhndsformatertTegn">
    <w:name w:val="HTML-forhåndsformatert Tegn"/>
    <w:link w:val="HTML-forhndsformatert"/>
    <w:uiPriority w:val="99"/>
    <w:semiHidden/>
    <w:rsid w:val="001609FA"/>
    <w:rPr>
      <w:rFonts w:ascii="Consolas" w:eastAsia="Times New Roman" w:hAnsi="Consolas"/>
      <w:kern w:val="0"/>
      <w:sz w:val="22"/>
      <w:szCs w:val="20"/>
    </w:rPr>
  </w:style>
  <w:style w:type="character" w:styleId="HTML-eksempel">
    <w:name w:val="HTML Sample"/>
    <w:uiPriority w:val="99"/>
    <w:semiHidden/>
    <w:unhideWhenUsed/>
    <w:rsid w:val="001609FA"/>
    <w:rPr>
      <w:rFonts w:ascii="Consolas" w:hAnsi="Consolas"/>
      <w:sz w:val="24"/>
      <w:szCs w:val="24"/>
    </w:rPr>
  </w:style>
  <w:style w:type="character" w:styleId="HTML-skrivemaskin">
    <w:name w:val="HTML Typewriter"/>
    <w:uiPriority w:val="99"/>
    <w:semiHidden/>
    <w:unhideWhenUsed/>
    <w:rsid w:val="001609FA"/>
    <w:rPr>
      <w:rFonts w:ascii="Consolas" w:hAnsi="Consolas"/>
      <w:sz w:val="20"/>
      <w:szCs w:val="20"/>
    </w:rPr>
  </w:style>
  <w:style w:type="character" w:styleId="HTML-variabel">
    <w:name w:val="HTML Variable"/>
    <w:uiPriority w:val="99"/>
    <w:semiHidden/>
    <w:unhideWhenUsed/>
    <w:rsid w:val="001609FA"/>
    <w:rPr>
      <w:i/>
      <w:iCs/>
    </w:rPr>
  </w:style>
  <w:style w:type="paragraph" w:styleId="Kommentaremne">
    <w:name w:val="annotation subject"/>
    <w:basedOn w:val="Merknadstekst"/>
    <w:next w:val="Merknadstekst"/>
    <w:link w:val="KommentaremneTegn"/>
    <w:uiPriority w:val="99"/>
    <w:semiHidden/>
    <w:unhideWhenUsed/>
    <w:rsid w:val="001609FA"/>
    <w:pPr>
      <w:spacing w:line="240" w:lineRule="auto"/>
    </w:pPr>
    <w:rPr>
      <w:b/>
      <w:bCs/>
      <w:szCs w:val="20"/>
    </w:rPr>
  </w:style>
  <w:style w:type="character" w:customStyle="1" w:styleId="KommentaremneTegn">
    <w:name w:val="Kommentaremne Tegn"/>
    <w:link w:val="Kommentaremne"/>
    <w:uiPriority w:val="99"/>
    <w:semiHidden/>
    <w:rsid w:val="001609FA"/>
    <w:rPr>
      <w:rFonts w:ascii="Open Sans" w:eastAsia="Times New Roman" w:hAnsi="Open Sans"/>
      <w:b/>
      <w:bCs/>
      <w:kern w:val="0"/>
      <w:sz w:val="22"/>
      <w:szCs w:val="20"/>
    </w:rPr>
  </w:style>
  <w:style w:type="paragraph" w:styleId="Bobletekst">
    <w:name w:val="Balloon Text"/>
    <w:basedOn w:val="Normal"/>
    <w:link w:val="BobletekstTegn"/>
    <w:uiPriority w:val="99"/>
    <w:semiHidden/>
    <w:unhideWhenUsed/>
    <w:rsid w:val="001609FA"/>
    <w:pPr>
      <w:spacing w:after="0" w:line="240" w:lineRule="auto"/>
    </w:pPr>
    <w:rPr>
      <w:rFonts w:ascii="Tahoma" w:hAnsi="Tahoma" w:cs="Tahoma"/>
      <w:sz w:val="16"/>
      <w:szCs w:val="16"/>
    </w:rPr>
  </w:style>
  <w:style w:type="character" w:customStyle="1" w:styleId="BobletekstTegn">
    <w:name w:val="Bobletekst Tegn"/>
    <w:link w:val="Bobletekst"/>
    <w:uiPriority w:val="99"/>
    <w:semiHidden/>
    <w:rsid w:val="001609FA"/>
    <w:rPr>
      <w:rFonts w:ascii="Tahoma" w:eastAsia="Times New Roman" w:hAnsi="Tahoma" w:cs="Tahoma"/>
      <w:kern w:val="0"/>
      <w:sz w:val="16"/>
      <w:szCs w:val="16"/>
    </w:rPr>
  </w:style>
  <w:style w:type="table" w:styleId="Tabellrutenett">
    <w:name w:val="Table Grid"/>
    <w:basedOn w:val="Vanligtabell"/>
    <w:uiPriority w:val="59"/>
    <w:rsid w:val="001609FA"/>
    <w:pPr>
      <w:spacing w:after="0" w:line="240" w:lineRule="auto"/>
    </w:pPr>
    <w:rPr>
      <w:rFonts w:eastAsia="Calibri"/>
      <w:kern w:val="0"/>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ssholdertekst">
    <w:name w:val="Placeholder Text"/>
    <w:uiPriority w:val="99"/>
    <w:semiHidden/>
    <w:rsid w:val="001609FA"/>
    <w:rPr>
      <w:color w:val="808080"/>
    </w:rPr>
  </w:style>
  <w:style w:type="paragraph" w:styleId="Ingenmellomrom">
    <w:name w:val="No Spacing"/>
    <w:uiPriority w:val="1"/>
    <w:qFormat/>
    <w:rsid w:val="001609FA"/>
    <w:pPr>
      <w:spacing w:after="0" w:line="240" w:lineRule="auto"/>
    </w:pPr>
    <w:rPr>
      <w:rFonts w:ascii="Calibri" w:eastAsia="Times New Roman" w:hAnsi="Calibri"/>
      <w:kern w:val="0"/>
      <w:szCs w:val="22"/>
    </w:rPr>
  </w:style>
  <w:style w:type="paragraph" w:styleId="Listeavsnitt">
    <w:name w:val="List Paragraph"/>
    <w:basedOn w:val="friliste"/>
    <w:uiPriority w:val="34"/>
    <w:qFormat/>
    <w:rsid w:val="001609FA"/>
    <w:pPr>
      <w:spacing w:before="0"/>
      <w:ind w:firstLine="0"/>
    </w:pPr>
  </w:style>
  <w:style w:type="paragraph" w:styleId="Sitat">
    <w:name w:val="Quote"/>
    <w:basedOn w:val="Normal"/>
    <w:next w:val="Normal"/>
    <w:link w:val="SitatTegn"/>
    <w:uiPriority w:val="29"/>
    <w:qFormat/>
    <w:rsid w:val="001609FA"/>
    <w:pPr>
      <w:spacing w:before="200"/>
      <w:ind w:left="864" w:right="864"/>
      <w:jc w:val="center"/>
    </w:pPr>
    <w:rPr>
      <w:i/>
      <w:iCs/>
      <w:color w:val="404040"/>
    </w:rPr>
  </w:style>
  <w:style w:type="character" w:customStyle="1" w:styleId="SitatTegn">
    <w:name w:val="Sitat Tegn"/>
    <w:link w:val="Sitat"/>
    <w:uiPriority w:val="29"/>
    <w:rsid w:val="001609FA"/>
    <w:rPr>
      <w:rFonts w:ascii="Open Sans" w:eastAsia="Times New Roman" w:hAnsi="Open Sans"/>
      <w:i/>
      <w:iCs/>
      <w:color w:val="404040"/>
      <w:kern w:val="0"/>
      <w:sz w:val="22"/>
      <w:szCs w:val="22"/>
    </w:rPr>
  </w:style>
  <w:style w:type="paragraph" w:styleId="Sterktsitat">
    <w:name w:val="Intense Quote"/>
    <w:basedOn w:val="Normal"/>
    <w:next w:val="Normal"/>
    <w:link w:val="SterktsitatTegn"/>
    <w:uiPriority w:val="30"/>
    <w:qFormat/>
    <w:rsid w:val="001609FA"/>
    <w:pPr>
      <w:pBdr>
        <w:bottom w:val="single" w:sz="4" w:space="4" w:color="5B9BD5"/>
      </w:pBdr>
      <w:spacing w:before="200" w:after="280"/>
      <w:ind w:left="936" w:right="936"/>
    </w:pPr>
    <w:rPr>
      <w:b/>
      <w:bCs/>
      <w:i/>
      <w:iCs/>
      <w:color w:val="5B9BD5"/>
    </w:rPr>
  </w:style>
  <w:style w:type="character" w:customStyle="1" w:styleId="SterktsitatTegn">
    <w:name w:val="Sterkt sitat Tegn"/>
    <w:link w:val="Sterktsitat"/>
    <w:uiPriority w:val="30"/>
    <w:rsid w:val="001609FA"/>
    <w:rPr>
      <w:rFonts w:ascii="Open Sans" w:eastAsia="Times New Roman" w:hAnsi="Open Sans"/>
      <w:b/>
      <w:bCs/>
      <w:i/>
      <w:iCs/>
      <w:color w:val="5B9BD5"/>
      <w:kern w:val="0"/>
      <w:sz w:val="22"/>
      <w:szCs w:val="22"/>
    </w:rPr>
  </w:style>
  <w:style w:type="character" w:styleId="Svakutheving">
    <w:name w:val="Subtle Emphasis"/>
    <w:uiPriority w:val="19"/>
    <w:qFormat/>
    <w:rsid w:val="001609FA"/>
    <w:rPr>
      <w:i/>
      <w:iCs/>
      <w:color w:val="808080"/>
    </w:rPr>
  </w:style>
  <w:style w:type="character" w:styleId="Sterkutheving">
    <w:name w:val="Intense Emphasis"/>
    <w:uiPriority w:val="21"/>
    <w:qFormat/>
    <w:rsid w:val="001609FA"/>
    <w:rPr>
      <w:b/>
      <w:bCs/>
      <w:i/>
      <w:iCs/>
      <w:color w:val="5B9BD5"/>
    </w:rPr>
  </w:style>
  <w:style w:type="character" w:styleId="Svakreferanse">
    <w:name w:val="Subtle Reference"/>
    <w:uiPriority w:val="31"/>
    <w:qFormat/>
    <w:rsid w:val="001609FA"/>
    <w:rPr>
      <w:smallCaps/>
      <w:color w:val="ED7D31"/>
      <w:u w:val="single"/>
    </w:rPr>
  </w:style>
  <w:style w:type="character" w:styleId="Sterkreferanse">
    <w:name w:val="Intense Reference"/>
    <w:uiPriority w:val="32"/>
    <w:qFormat/>
    <w:rsid w:val="001609FA"/>
    <w:rPr>
      <w:b/>
      <w:bCs/>
      <w:smallCaps/>
      <w:color w:val="ED7D31"/>
      <w:spacing w:val="5"/>
      <w:u w:val="single"/>
    </w:rPr>
  </w:style>
  <w:style w:type="character" w:styleId="Boktittel">
    <w:name w:val="Book Title"/>
    <w:uiPriority w:val="33"/>
    <w:qFormat/>
    <w:rsid w:val="001609FA"/>
    <w:rPr>
      <w:b/>
      <w:bCs/>
      <w:smallCaps/>
      <w:spacing w:val="5"/>
    </w:rPr>
  </w:style>
  <w:style w:type="paragraph" w:styleId="Bibliografi">
    <w:name w:val="Bibliography"/>
    <w:basedOn w:val="Normal"/>
    <w:next w:val="Normal"/>
    <w:uiPriority w:val="37"/>
    <w:semiHidden/>
    <w:unhideWhenUsed/>
    <w:rsid w:val="001609FA"/>
  </w:style>
  <w:style w:type="paragraph" w:styleId="Overskriftforinnholdsfortegnelse">
    <w:name w:val="TOC Heading"/>
    <w:basedOn w:val="Overskrift1"/>
    <w:next w:val="Normal"/>
    <w:uiPriority w:val="39"/>
    <w:unhideWhenUsed/>
    <w:qFormat/>
    <w:rsid w:val="001609FA"/>
    <w:pPr>
      <w:numPr>
        <w:numId w:val="0"/>
      </w:numPr>
      <w:spacing w:before="480" w:after="0"/>
      <w:outlineLvl w:val="9"/>
    </w:pPr>
    <w:rPr>
      <w:rFonts w:cs="Times New Roman"/>
      <w:bCs/>
      <w:kern w:val="0"/>
      <w:sz w:val="28"/>
      <w:szCs w:val="28"/>
    </w:rPr>
  </w:style>
  <w:style w:type="table" w:styleId="Listetabell5mrkuthevingsfarge5">
    <w:name w:val="List Table 5 Dark Accent 5"/>
    <w:basedOn w:val="Vanligtabell"/>
    <w:uiPriority w:val="50"/>
    <w:rsid w:val="001609FA"/>
    <w:pPr>
      <w:spacing w:after="0" w:line="240" w:lineRule="auto"/>
    </w:pPr>
    <w:rPr>
      <w:rFonts w:eastAsia="Calibri"/>
      <w:color w:val="FFFFFF"/>
      <w:kern w:val="0"/>
      <w:sz w:val="22"/>
      <w:szCs w:val="22"/>
      <w:lang w:eastAsia="en-US"/>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StandardBoks">
    <w:name w:val="StandardBoks"/>
    <w:basedOn w:val="Vanligtabell"/>
    <w:uiPriority w:val="99"/>
    <w:rsid w:val="001609FA"/>
    <w:pPr>
      <w:spacing w:after="0" w:line="240" w:lineRule="auto"/>
    </w:pPr>
    <w:rPr>
      <w:rFonts w:eastAsia="Calibri"/>
      <w:kern w:val="0"/>
      <w:sz w:val="22"/>
      <w:szCs w:val="22"/>
      <w:lang w:eastAsia="en-US"/>
    </w:rPr>
    <w:tblPr>
      <w:tblBorders>
        <w:top w:val="single" w:sz="36" w:space="0" w:color="FFFFFF"/>
        <w:bottom w:val="single" w:sz="36" w:space="0" w:color="FFFFFF"/>
      </w:tblBorders>
      <w:tblCellMar>
        <w:top w:w="57" w:type="dxa"/>
        <w:bottom w:w="57" w:type="dxa"/>
      </w:tblCellMar>
    </w:tblPr>
    <w:tcPr>
      <w:shd w:val="clear" w:color="auto" w:fill="BFBFBF"/>
      <w:tcMar>
        <w:top w:w="227" w:type="dxa"/>
        <w:left w:w="170" w:type="dxa"/>
        <w:bottom w:w="170" w:type="dxa"/>
        <w:right w:w="170" w:type="dxa"/>
      </w:tcMar>
    </w:tcPr>
  </w:style>
  <w:style w:type="table" w:styleId="Listetabell5mrkuthevingsfarge3">
    <w:name w:val="List Table 5 Dark Accent 3"/>
    <w:basedOn w:val="Vanligtabell"/>
    <w:uiPriority w:val="50"/>
    <w:rsid w:val="001609FA"/>
    <w:pPr>
      <w:spacing w:after="0" w:line="240" w:lineRule="auto"/>
    </w:pPr>
    <w:rPr>
      <w:rFonts w:eastAsia="Calibri"/>
      <w:color w:val="FFFFFF"/>
      <w:kern w:val="0"/>
      <w:sz w:val="22"/>
      <w:szCs w:val="22"/>
      <w:lang w:eastAsia="en-US"/>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BlaaBoks">
    <w:name w:val="BlaaBoks"/>
    <w:basedOn w:val="StandardBoks"/>
    <w:uiPriority w:val="99"/>
    <w:rsid w:val="001609FA"/>
    <w:tblPr/>
    <w:tcPr>
      <w:shd w:val="clear" w:color="auto" w:fill="BDD6EE"/>
    </w:tcPr>
  </w:style>
  <w:style w:type="table" w:customStyle="1" w:styleId="GronnBoks">
    <w:name w:val="GronnBoks"/>
    <w:basedOn w:val="StandardBoks"/>
    <w:uiPriority w:val="99"/>
    <w:rsid w:val="001609FA"/>
    <w:tblPr/>
    <w:tcPr>
      <w:shd w:val="clear" w:color="auto" w:fill="C5E0B3"/>
    </w:tcPr>
  </w:style>
  <w:style w:type="table" w:customStyle="1" w:styleId="RodBoks">
    <w:name w:val="RodBoks"/>
    <w:basedOn w:val="StandardBoks"/>
    <w:uiPriority w:val="99"/>
    <w:rsid w:val="001609FA"/>
    <w:tblPr/>
    <w:tcPr>
      <w:shd w:val="clear" w:color="auto" w:fill="FFB3B3"/>
    </w:tcPr>
  </w:style>
  <w:style w:type="paragraph" w:customStyle="1" w:styleId="BoksGraaTittel">
    <w:name w:val="BoksGraaTittel"/>
    <w:basedOn w:val="Normal"/>
    <w:next w:val="Normal"/>
    <w:qFormat/>
    <w:rsid w:val="001609FA"/>
    <w:pPr>
      <w:pBdr>
        <w:top w:val="single" w:sz="2" w:space="6" w:color="767171"/>
        <w:left w:val="single" w:sz="2" w:space="6" w:color="767171"/>
        <w:bottom w:val="single" w:sz="2" w:space="4" w:color="767171"/>
        <w:right w:val="single" w:sz="2" w:space="6" w:color="767171"/>
      </w:pBdr>
      <w:shd w:val="clear" w:color="auto" w:fill="767171"/>
      <w:ind w:left="227" w:right="227"/>
    </w:pPr>
    <w:rPr>
      <w:b/>
      <w:color w:val="F2F2F2"/>
    </w:rPr>
  </w:style>
  <w:style w:type="paragraph" w:customStyle="1" w:styleId="BoksBlaaTittel">
    <w:name w:val="BoksBlaaTittel"/>
    <w:basedOn w:val="BoksGraaTittel"/>
    <w:next w:val="Normal"/>
    <w:qFormat/>
    <w:rsid w:val="001609FA"/>
    <w:pPr>
      <w:pBdr>
        <w:top w:val="single" w:sz="2" w:space="6" w:color="2E74B5"/>
        <w:left w:val="single" w:sz="2" w:space="6" w:color="2E74B5"/>
        <w:bottom w:val="single" w:sz="2" w:space="4" w:color="2E74B5"/>
        <w:right w:val="single" w:sz="2" w:space="6" w:color="2E74B5"/>
      </w:pBdr>
      <w:shd w:val="clear" w:color="auto" w:fill="2E74B5"/>
    </w:pPr>
  </w:style>
  <w:style w:type="paragraph" w:customStyle="1" w:styleId="BoksRodTittel">
    <w:name w:val="BoksRodTittel"/>
    <w:basedOn w:val="BoksGraaTittel"/>
    <w:next w:val="Normal"/>
    <w:qFormat/>
    <w:rsid w:val="001609FA"/>
    <w:pPr>
      <w:pBdr>
        <w:top w:val="single" w:sz="2" w:space="6" w:color="FF3300"/>
        <w:left w:val="single" w:sz="2" w:space="6" w:color="FF3300"/>
        <w:bottom w:val="single" w:sz="2" w:space="4" w:color="FF3300"/>
        <w:right w:val="single" w:sz="2" w:space="6" w:color="FF3300"/>
      </w:pBdr>
      <w:shd w:val="clear" w:color="auto" w:fill="FF3300"/>
    </w:pPr>
  </w:style>
  <w:style w:type="paragraph" w:customStyle="1" w:styleId="BoksGronnTittel">
    <w:name w:val="BoksGronnTittel"/>
    <w:basedOn w:val="BoksGraaTittel"/>
    <w:next w:val="Normal"/>
    <w:qFormat/>
    <w:rsid w:val="001609FA"/>
    <w:pPr>
      <w:pBdr>
        <w:top w:val="single" w:sz="2" w:space="6" w:color="538135"/>
        <w:left w:val="single" w:sz="2" w:space="6" w:color="538135"/>
        <w:bottom w:val="single" w:sz="2" w:space="4" w:color="538135"/>
        <w:right w:val="single" w:sz="2" w:space="6" w:color="538135"/>
      </w:pBdr>
      <w:shd w:val="clear" w:color="auto" w:fill="538135"/>
    </w:pPr>
  </w:style>
  <w:style w:type="character" w:customStyle="1" w:styleId="understreket">
    <w:name w:val="understreket"/>
    <w:uiPriority w:val="1"/>
    <w:rsid w:val="001609FA"/>
    <w:rPr>
      <w:u w:val="single"/>
    </w:rPr>
  </w:style>
  <w:style w:type="paragraph" w:customStyle="1" w:styleId="del-nr">
    <w:name w:val="del-nr"/>
    <w:basedOn w:val="Normal"/>
    <w:qFormat/>
    <w:rsid w:val="001609FA"/>
    <w:pPr>
      <w:keepNext/>
      <w:keepLines/>
      <w:spacing w:before="360" w:after="0" w:line="240" w:lineRule="auto"/>
      <w:jc w:val="center"/>
    </w:pPr>
    <w:rPr>
      <w:rFonts w:ascii="Times New Roman" w:eastAsia="Batang" w:hAnsi="Times New Roman"/>
      <w:i/>
      <w:sz w:val="48"/>
      <w:szCs w:val="20"/>
    </w:rPr>
  </w:style>
  <w:style w:type="paragraph" w:customStyle="1" w:styleId="del-tittel">
    <w:name w:val="del-tittel"/>
    <w:uiPriority w:val="99"/>
    <w:rsid w:val="001609FA"/>
    <w:pPr>
      <w:pageBreakBefore/>
      <w:autoSpaceDE w:val="0"/>
      <w:autoSpaceDN w:val="0"/>
      <w:adjustRightInd w:val="0"/>
      <w:spacing w:after="200" w:line="580" w:lineRule="atLeast"/>
      <w:jc w:val="center"/>
      <w:outlineLvl w:val="0"/>
    </w:pPr>
    <w:rPr>
      <w:rFonts w:ascii="Times New Roman" w:hAnsi="Times New Roman" w:cs="UniCentury Old Style"/>
      <w:i/>
      <w:iCs/>
      <w:color w:val="000000"/>
      <w:w w:val="0"/>
      <w:kern w:val="0"/>
      <w:sz w:val="46"/>
      <w:szCs w:val="46"/>
    </w:rPr>
  </w:style>
  <w:style w:type="paragraph" w:customStyle="1" w:styleId="tblRad">
    <w:name w:val="tblRad"/>
    <w:rsid w:val="001609FA"/>
    <w:pPr>
      <w:keepNext/>
      <w:keepLines/>
      <w:overflowPunct w:val="0"/>
      <w:autoSpaceDE w:val="0"/>
      <w:autoSpaceDN w:val="0"/>
      <w:adjustRightInd w:val="0"/>
      <w:spacing w:after="0" w:line="240" w:lineRule="auto"/>
      <w:textAlignment w:val="baseline"/>
    </w:pPr>
    <w:rPr>
      <w:rFonts w:ascii="Times New Roman" w:eastAsia="Batang" w:hAnsi="Times New Roman" w:cs="Times New Roman"/>
      <w:noProof/>
      <w:kern w:val="0"/>
      <w:sz w:val="18"/>
      <w:szCs w:val="20"/>
    </w:rPr>
  </w:style>
  <w:style w:type="paragraph" w:customStyle="1" w:styleId="tbl2LinjeSum">
    <w:name w:val="tbl2LinjeSum"/>
    <w:basedOn w:val="tblRad"/>
    <w:rsid w:val="001609FA"/>
  </w:style>
  <w:style w:type="paragraph" w:customStyle="1" w:styleId="tbl2LinjeSumBold">
    <w:name w:val="tbl2LinjeSumBold"/>
    <w:basedOn w:val="tblRad"/>
    <w:rsid w:val="001609FA"/>
    <w:rPr>
      <w:b/>
    </w:rPr>
  </w:style>
  <w:style w:type="paragraph" w:customStyle="1" w:styleId="tblDelsum1">
    <w:name w:val="tblDelsum1"/>
    <w:basedOn w:val="tblRad"/>
    <w:rsid w:val="001609FA"/>
    <w:rPr>
      <w:i/>
    </w:rPr>
  </w:style>
  <w:style w:type="paragraph" w:customStyle="1" w:styleId="tblDelsum1-Kapittel">
    <w:name w:val="tblDelsum1 - Kapittel"/>
    <w:basedOn w:val="tblDelsum1"/>
    <w:rsid w:val="001609FA"/>
    <w:pPr>
      <w:keepNext w:val="0"/>
    </w:pPr>
  </w:style>
  <w:style w:type="paragraph" w:customStyle="1" w:styleId="tblDelsum2">
    <w:name w:val="tblDelsum2"/>
    <w:basedOn w:val="tblRad"/>
    <w:rsid w:val="001609FA"/>
    <w:rPr>
      <w:b/>
      <w:i/>
    </w:rPr>
  </w:style>
  <w:style w:type="paragraph" w:customStyle="1" w:styleId="tblDelsum2-Kapittel">
    <w:name w:val="tblDelsum2 - Kapittel"/>
    <w:basedOn w:val="tblDelsum2"/>
    <w:rsid w:val="001609FA"/>
    <w:pPr>
      <w:keepNext w:val="0"/>
    </w:pPr>
  </w:style>
  <w:style w:type="paragraph" w:customStyle="1" w:styleId="tblTabelloverskrift">
    <w:name w:val="tblTabelloverskrift"/>
    <w:rsid w:val="001609FA"/>
    <w:pPr>
      <w:keepNext/>
      <w:keepLines/>
      <w:overflowPunct w:val="0"/>
      <w:autoSpaceDE w:val="0"/>
      <w:autoSpaceDN w:val="0"/>
      <w:adjustRightInd w:val="0"/>
      <w:spacing w:after="240" w:line="240" w:lineRule="auto"/>
      <w:textAlignment w:val="baseline"/>
    </w:pPr>
    <w:rPr>
      <w:rFonts w:ascii="Times New Roman" w:eastAsia="Batang" w:hAnsi="Times New Roman" w:cs="Times New Roman"/>
      <w:b/>
      <w:caps/>
      <w:noProof/>
      <w:kern w:val="0"/>
      <w:sz w:val="20"/>
      <w:szCs w:val="20"/>
    </w:rPr>
  </w:style>
  <w:style w:type="paragraph" w:customStyle="1" w:styleId="tblDeltMedTusen">
    <w:name w:val="tblDeltMedTusen"/>
    <w:basedOn w:val="tblTabelloverskrift"/>
    <w:rsid w:val="001609FA"/>
    <w:pPr>
      <w:spacing w:after="0"/>
      <w:jc w:val="right"/>
    </w:pPr>
    <w:rPr>
      <w:b w:val="0"/>
      <w:caps w:val="0"/>
      <w:sz w:val="16"/>
    </w:rPr>
  </w:style>
  <w:style w:type="paragraph" w:customStyle="1" w:styleId="tblKategoriOverskrift">
    <w:name w:val="tblKategoriOverskrift"/>
    <w:basedOn w:val="tblRad"/>
    <w:rsid w:val="001609FA"/>
    <w:pPr>
      <w:spacing w:before="120"/>
    </w:pPr>
    <w:rPr>
      <w:b/>
    </w:rPr>
  </w:style>
  <w:style w:type="paragraph" w:customStyle="1" w:styleId="tblKolonneoverskrift">
    <w:name w:val="tblKolonneoverskrift"/>
    <w:basedOn w:val="Normal"/>
    <w:rsid w:val="001609FA"/>
    <w:pPr>
      <w:keepNext/>
      <w:keepLines/>
      <w:spacing w:after="0" w:line="240" w:lineRule="auto"/>
    </w:pPr>
    <w:rPr>
      <w:rFonts w:ascii="Times New Roman" w:eastAsia="Batang" w:hAnsi="Times New Roman" w:cs="Times New Roman"/>
      <w:noProof/>
      <w:sz w:val="20"/>
      <w:szCs w:val="20"/>
    </w:rPr>
  </w:style>
  <w:style w:type="paragraph" w:customStyle="1" w:styleId="tblTabelloverskrift-Vedtak">
    <w:name w:val="tblTabelloverskrift - Vedtak"/>
    <w:basedOn w:val="tblTabelloverskrift"/>
    <w:rsid w:val="001609FA"/>
    <w:pPr>
      <w:spacing w:after="360"/>
      <w:jc w:val="center"/>
    </w:pPr>
    <w:rPr>
      <w:b w:val="0"/>
      <w:caps w:val="0"/>
    </w:rPr>
  </w:style>
  <w:style w:type="paragraph" w:customStyle="1" w:styleId="tblKolonneoverskrift-Vedtak">
    <w:name w:val="tblKolonneoverskrift - Vedtak"/>
    <w:basedOn w:val="tblTabelloverskrift-Vedtak"/>
    <w:rsid w:val="001609FA"/>
    <w:pPr>
      <w:spacing w:after="0"/>
    </w:pPr>
  </w:style>
  <w:style w:type="paragraph" w:customStyle="1" w:styleId="tblOverskrift-Vedtak">
    <w:name w:val="tblOverskrift - Vedtak"/>
    <w:basedOn w:val="tblRad"/>
    <w:rsid w:val="001609FA"/>
    <w:pPr>
      <w:spacing w:before="360"/>
      <w:jc w:val="center"/>
    </w:pPr>
  </w:style>
  <w:style w:type="paragraph" w:customStyle="1" w:styleId="tblRadBold">
    <w:name w:val="tblRadBold"/>
    <w:basedOn w:val="tblRad"/>
    <w:rsid w:val="001609FA"/>
    <w:rPr>
      <w:b/>
    </w:rPr>
  </w:style>
  <w:style w:type="paragraph" w:customStyle="1" w:styleId="tblRadItalic">
    <w:name w:val="tblRadItalic"/>
    <w:basedOn w:val="tblRad"/>
    <w:rsid w:val="001609FA"/>
    <w:rPr>
      <w:i/>
    </w:rPr>
  </w:style>
  <w:style w:type="paragraph" w:customStyle="1" w:styleId="tblRadItalicSiste">
    <w:name w:val="tblRadItalicSiste"/>
    <w:basedOn w:val="tblRadItalic"/>
    <w:rsid w:val="001609FA"/>
  </w:style>
  <w:style w:type="paragraph" w:customStyle="1" w:styleId="tblRadMedLuft">
    <w:name w:val="tblRadMedLuft"/>
    <w:basedOn w:val="tblRad"/>
    <w:rsid w:val="001609FA"/>
    <w:pPr>
      <w:spacing w:before="120"/>
    </w:pPr>
  </w:style>
  <w:style w:type="paragraph" w:customStyle="1" w:styleId="tblRadMedLuftSiste">
    <w:name w:val="tblRadMedLuftSiste"/>
    <w:basedOn w:val="tblRadMedLuft"/>
    <w:rsid w:val="001609FA"/>
    <w:pPr>
      <w:spacing w:after="120"/>
    </w:pPr>
  </w:style>
  <w:style w:type="paragraph" w:customStyle="1" w:styleId="tblRadMedLuftSiste-Vedtak">
    <w:name w:val="tblRadMedLuftSiste - Vedtak"/>
    <w:basedOn w:val="tblRadMedLuftSiste"/>
    <w:rsid w:val="001609FA"/>
    <w:pPr>
      <w:keepNext w:val="0"/>
    </w:pPr>
  </w:style>
  <w:style w:type="paragraph" w:customStyle="1" w:styleId="tblRadSiste">
    <w:name w:val="tblRadSiste"/>
    <w:basedOn w:val="tblRad"/>
    <w:rsid w:val="001609FA"/>
  </w:style>
  <w:style w:type="paragraph" w:customStyle="1" w:styleId="tblSluttsum">
    <w:name w:val="tblSluttsum"/>
    <w:basedOn w:val="tblRad"/>
    <w:rsid w:val="001609FA"/>
    <w:pPr>
      <w:spacing w:before="120"/>
    </w:pPr>
    <w:rPr>
      <w:b/>
      <w:i/>
    </w:rPr>
  </w:style>
  <w:style w:type="paragraph" w:customStyle="1" w:styleId="Stil1">
    <w:name w:val="Stil1"/>
    <w:basedOn w:val="Normal"/>
    <w:qFormat/>
    <w:rsid w:val="001609FA"/>
    <w:pPr>
      <w:spacing w:after="100"/>
    </w:pPr>
  </w:style>
  <w:style w:type="paragraph" w:customStyle="1" w:styleId="Stil2">
    <w:name w:val="Stil2"/>
    <w:basedOn w:val="Normal"/>
    <w:autoRedefine/>
    <w:qFormat/>
    <w:rsid w:val="001609FA"/>
    <w:pPr>
      <w:spacing w:after="100"/>
    </w:pPr>
  </w:style>
  <w:style w:type="paragraph" w:customStyle="1" w:styleId="Forside-departement">
    <w:name w:val="Forside-departement"/>
    <w:qFormat/>
    <w:rsid w:val="001609FA"/>
    <w:pPr>
      <w:spacing w:after="0" w:line="280" w:lineRule="atLeast"/>
    </w:pPr>
    <w:rPr>
      <w:rFonts w:ascii="Open Sans" w:eastAsia="Times New Roman" w:hAnsi="Open Sans" w:cs="Open Sans"/>
      <w:kern w:val="0"/>
    </w:rPr>
  </w:style>
  <w:style w:type="paragraph" w:customStyle="1" w:styleId="Forside-rapport">
    <w:name w:val="Forside-rapport"/>
    <w:qFormat/>
    <w:rsid w:val="001609FA"/>
    <w:pPr>
      <w:spacing w:line="259" w:lineRule="auto"/>
      <w:jc w:val="right"/>
    </w:pPr>
    <w:rPr>
      <w:rFonts w:ascii="Open Sans" w:eastAsia="Times New Roman" w:hAnsi="Open Sans" w:cs="Open Sans"/>
      <w:kern w:val="0"/>
    </w:rPr>
  </w:style>
  <w:style w:type="paragraph" w:customStyle="1" w:styleId="Forside-tittel">
    <w:name w:val="Forside-tittel"/>
    <w:next w:val="Forside-departement"/>
    <w:qFormat/>
    <w:rsid w:val="001609FA"/>
    <w:pPr>
      <w:spacing w:after="0" w:line="240" w:lineRule="auto"/>
    </w:pPr>
    <w:rPr>
      <w:rFonts w:ascii="Open Sans" w:eastAsia="Times New Roman" w:hAnsi="Open Sans" w:cs="Open Sans"/>
      <w:color w:val="000000"/>
      <w:kern w:val="0"/>
      <w:sz w:val="66"/>
      <w:szCs w:val="66"/>
      <w:lang w:eastAsia="en-US"/>
    </w:rPr>
  </w:style>
  <w:style w:type="character" w:styleId="Emneknagg">
    <w:name w:val="Hashtag"/>
    <w:basedOn w:val="Standardskriftforavsnitt"/>
    <w:uiPriority w:val="99"/>
    <w:semiHidden/>
    <w:unhideWhenUsed/>
    <w:rsid w:val="00B765C1"/>
    <w:rPr>
      <w:color w:val="2B579A"/>
      <w:shd w:val="clear" w:color="auto" w:fill="E1DFDD"/>
    </w:rPr>
  </w:style>
  <w:style w:type="character" w:styleId="Omtale">
    <w:name w:val="Mention"/>
    <w:basedOn w:val="Standardskriftforavsnitt"/>
    <w:uiPriority w:val="99"/>
    <w:semiHidden/>
    <w:unhideWhenUsed/>
    <w:rsid w:val="00B765C1"/>
    <w:rPr>
      <w:color w:val="2B579A"/>
      <w:shd w:val="clear" w:color="auto" w:fill="E1DFDD"/>
    </w:rPr>
  </w:style>
  <w:style w:type="character" w:styleId="Smarthyperkobling">
    <w:name w:val="Smart Hyperlink"/>
    <w:basedOn w:val="Standardskriftforavsnitt"/>
    <w:uiPriority w:val="99"/>
    <w:semiHidden/>
    <w:unhideWhenUsed/>
    <w:rsid w:val="00B765C1"/>
    <w:rPr>
      <w:u w:val="dotted"/>
    </w:rPr>
  </w:style>
  <w:style w:type="character" w:styleId="Smartkobling">
    <w:name w:val="Smart Link"/>
    <w:basedOn w:val="Standardskriftforavsnitt"/>
    <w:uiPriority w:val="99"/>
    <w:semiHidden/>
    <w:unhideWhenUsed/>
    <w:rsid w:val="00B765C1"/>
    <w:rPr>
      <w:color w:val="0000FF"/>
      <w:u w:val="single"/>
      <w:shd w:val="clear" w:color="auto" w:fill="F3F2F1"/>
    </w:rPr>
  </w:style>
  <w:style w:type="character" w:styleId="Ulstomtale">
    <w:name w:val="Unresolved Mention"/>
    <w:basedOn w:val="Standardskriftforavsnitt"/>
    <w:uiPriority w:val="99"/>
    <w:semiHidden/>
    <w:unhideWhenUsed/>
    <w:rsid w:val="00B76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hyperlink" Target="https://folkepanel.regjeringen.no/" TargetMode="External"/><Relationship Id="rId26" Type="http://schemas.openxmlformats.org/officeDocument/2006/relationships/image" Target="media/image13.png"/><Relationship Id="rId39" Type="http://schemas.openxmlformats.org/officeDocument/2006/relationships/image" Target="media/image19.png"/><Relationship Id="rId21" Type="http://schemas.openxmlformats.org/officeDocument/2006/relationships/hyperlink" Target="https://www.unesco.org/en/articles/education-sustainable-development-goals-learning-objectives" TargetMode="External"/><Relationship Id="rId34" Type="http://schemas.openxmlformats.org/officeDocument/2006/relationships/image" Target="media/image14.png"/><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image" Target="media/image30.png"/><Relationship Id="rId55" Type="http://schemas.openxmlformats.org/officeDocument/2006/relationships/image" Target="media/image35.png"/><Relationship Id="rId63" Type="http://schemas.openxmlformats.org/officeDocument/2006/relationships/image" Target="media/image43.png"/><Relationship Id="rId68" Type="http://schemas.openxmlformats.org/officeDocument/2006/relationships/image" Target="media/image48.png"/><Relationship Id="rId76" Type="http://schemas.openxmlformats.org/officeDocument/2006/relationships/theme" Target="theme/theme1.xml"/><Relationship Id="rId7" Type="http://schemas.openxmlformats.org/officeDocument/2006/relationships/image" Target="media/image1.jpeg"/><Relationship Id="rId71" Type="http://schemas.openxmlformats.org/officeDocument/2006/relationships/image" Target="media/image51.jpeg"/><Relationship Id="rId2" Type="http://schemas.openxmlformats.org/officeDocument/2006/relationships/styles" Target="styles.xml"/><Relationship Id="rId16" Type="http://schemas.openxmlformats.org/officeDocument/2006/relationships/hyperlink" Target="https://pub.nordregio.org/r-2024-16-the-nordic-view-on-sustainability-learnings-from-the-local-level/index.html" TargetMode="External"/><Relationship Id="rId29" Type="http://schemas.openxmlformats.org/officeDocument/2006/relationships/hyperlink" Target="https://www.ks.no/fagomrader/barekraftsmalene/maling-kartlegging-og-analyse-av-barekraft/indikatorer-og-taksonomi/" TargetMode="External"/><Relationship Id="rId11" Type="http://schemas.openxmlformats.org/officeDocument/2006/relationships/image" Target="media/image5.png"/><Relationship Id="rId24" Type="http://schemas.openxmlformats.org/officeDocument/2006/relationships/image" Target="media/image11.jpeg"/><Relationship Id="rId32" Type="http://schemas.openxmlformats.org/officeDocument/2006/relationships/hyperlink" Target="https://www.ssb.no/sdg" TargetMode="External"/><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image" Target="media/image38.png"/><Relationship Id="rId66" Type="http://schemas.openxmlformats.org/officeDocument/2006/relationships/image" Target="media/image46.png"/><Relationship Id="rId74" Type="http://schemas.openxmlformats.org/officeDocument/2006/relationships/hyperlink" Target="https://www.ssb.no/natur-og-miljo/forurensning-og-klima/artikler/sustainable-development-goals.indicators-for-norway/_/attachment/inline/09b3e498-097f-483f-9120-521cb61c1f2e:74285295e9794893432419e0bd5cad812b733347/RAPP2026-16.pdf" TargetMode="External"/><Relationship Id="rId5" Type="http://schemas.openxmlformats.org/officeDocument/2006/relationships/footnotes" Target="footnotes.xml"/><Relationship Id="rId15" Type="http://schemas.openxmlformats.org/officeDocument/2006/relationships/hyperlink" Target="https://www.ks.no/fagomrader/barekraftsmalene/barekraftsnettverket/" TargetMode="External"/><Relationship Id="rId23" Type="http://schemas.openxmlformats.org/officeDocument/2006/relationships/hyperlink" Target="https://nordregio.org/publications/stepping-up-or-stepping-back-nordic-local-and-regional-views-on-the-2030-agenda-and-beyond/" TargetMode="External"/><Relationship Id="rId28" Type="http://schemas.openxmlformats.org/officeDocument/2006/relationships/hyperlink" Target="https://www.ssb.no/baerekraftsmaalene" TargetMode="External"/><Relationship Id="rId36" Type="http://schemas.openxmlformats.org/officeDocument/2006/relationships/image" Target="media/image16.png"/><Relationship Id="rId49" Type="http://schemas.openxmlformats.org/officeDocument/2006/relationships/image" Target="media/image29.png"/><Relationship Id="rId57" Type="http://schemas.openxmlformats.org/officeDocument/2006/relationships/image" Target="media/image37.png"/><Relationship Id="rId61" Type="http://schemas.openxmlformats.org/officeDocument/2006/relationships/image" Target="media/image41.png"/><Relationship Id="rId10" Type="http://schemas.openxmlformats.org/officeDocument/2006/relationships/image" Target="media/image4.jpeg"/><Relationship Id="rId19" Type="http://schemas.openxmlformats.org/officeDocument/2006/relationships/image" Target="media/image8.png"/><Relationship Id="rId31" Type="http://schemas.openxmlformats.org/officeDocument/2006/relationships/hyperlink" Target="https://www.regjeringen.no/no/dokumenter/meld.-st.-35-20242025/id3110260/" TargetMode="External"/><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image" Target="media/image45.png"/><Relationship Id="rId73" Type="http://schemas.openxmlformats.org/officeDocument/2006/relationships/image" Target="media/image52.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ks.no/fagomrader/barekraftsmalene/barekraftsfredag/" TargetMode="External"/><Relationship Id="rId22" Type="http://schemas.openxmlformats.org/officeDocument/2006/relationships/image" Target="media/image10.png"/><Relationship Id="rId27" Type="http://schemas.openxmlformats.org/officeDocument/2006/relationships/hyperlink" Target="https://www.ssb.no/sdg" TargetMode="External"/><Relationship Id="rId30" Type="http://schemas.openxmlformats.org/officeDocument/2006/relationships/hyperlink" Target="https://www.regjeringen.no/en/documents/voluntary-national-review-2021-norway/id2863155/" TargetMode="External"/><Relationship Id="rId35" Type="http://schemas.openxmlformats.org/officeDocument/2006/relationships/image" Target="media/image15.png"/><Relationship Id="rId43" Type="http://schemas.openxmlformats.org/officeDocument/2006/relationships/image" Target="media/image23.png"/><Relationship Id="rId48" Type="http://schemas.openxmlformats.org/officeDocument/2006/relationships/image" Target="media/image28.png"/><Relationship Id="rId56" Type="http://schemas.openxmlformats.org/officeDocument/2006/relationships/image" Target="media/image36.png"/><Relationship Id="rId64" Type="http://schemas.openxmlformats.org/officeDocument/2006/relationships/image" Target="media/image44.png"/><Relationship Id="rId69" Type="http://schemas.openxmlformats.org/officeDocument/2006/relationships/image" Target="media/image49.png"/><Relationship Id="rId8" Type="http://schemas.openxmlformats.org/officeDocument/2006/relationships/image" Target="media/image2.jpeg"/><Relationship Id="rId51" Type="http://schemas.openxmlformats.org/officeDocument/2006/relationships/image" Target="media/image31.png"/><Relationship Id="rId72" Type="http://schemas.openxmlformats.org/officeDocument/2006/relationships/hyperlink" Target="https://www.regjeringen.no/contentassets/66a93755b6f04e0494d842ec64d42fd9/the-governments-plan-for-norway.pdf" TargetMode="Externa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hyperlink" Target="https://berekraft.regjeringen.no/topplederforum/" TargetMode="External"/><Relationship Id="rId25" Type="http://schemas.openxmlformats.org/officeDocument/2006/relationships/image" Target="media/image12.png"/><Relationship Id="rId33" Type="http://schemas.openxmlformats.org/officeDocument/2006/relationships/hyperlink" Target="https://www.ssb.no/baerekraftsmaalene/" TargetMode="External"/><Relationship Id="rId38" Type="http://schemas.openxmlformats.org/officeDocument/2006/relationships/image" Target="media/image18.png"/><Relationship Id="rId46" Type="http://schemas.openxmlformats.org/officeDocument/2006/relationships/image" Target="media/image26.png"/><Relationship Id="rId59" Type="http://schemas.openxmlformats.org/officeDocument/2006/relationships/image" Target="media/image39.png"/><Relationship Id="rId67" Type="http://schemas.openxmlformats.org/officeDocument/2006/relationships/image" Target="media/image47.png"/><Relationship Id="rId20" Type="http://schemas.openxmlformats.org/officeDocument/2006/relationships/image" Target="media/image9.jpeg"/><Relationship Id="rId41" Type="http://schemas.openxmlformats.org/officeDocument/2006/relationships/image" Target="media/image21.png"/><Relationship Id="rId54" Type="http://schemas.openxmlformats.org/officeDocument/2006/relationships/image" Target="media/image34.png"/><Relationship Id="rId62" Type="http://schemas.openxmlformats.org/officeDocument/2006/relationships/image" Target="media/image42.png"/><Relationship Id="rId70" Type="http://schemas.openxmlformats.org/officeDocument/2006/relationships/image" Target="media/image50.jpeg"/><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Publikasjonsmaler\Maler\Felles-publisering-mal-V3.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Felles-publisering-mal-V3.dotx</Template>
  <TotalTime>64</TotalTime>
  <Pages>140</Pages>
  <Words>43304</Words>
  <Characters>263858</Characters>
  <Application>Microsoft Office Word</Application>
  <DocSecurity>0</DocSecurity>
  <Lines>4122</Lines>
  <Paragraphs>1599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305563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Madsen Rogne</dc:creator>
  <cp:keywords/>
  <dc:description/>
  <cp:lastModifiedBy>Jonas Madsen Rogne</cp:lastModifiedBy>
  <cp:revision>16</cp:revision>
  <dcterms:created xsi:type="dcterms:W3CDTF">2026-06-10T14:21:00Z</dcterms:created>
  <dcterms:modified xsi:type="dcterms:W3CDTF">2026-06-10T15:32:00Z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2f7043-6caf-4431-9109-8eff758a1d8b_Enabled">
    <vt:lpwstr>true</vt:lpwstr>
  </property>
  <property fmtid="{D5CDD505-2E9C-101B-9397-08002B2CF9AE}" pid="3" name="MSIP_Label_b22f7043-6caf-4431-9109-8eff758a1d8b_SetDate">
    <vt:lpwstr>2026-06-10T14:40:32Z</vt:lpwstr>
  </property>
  <property fmtid="{D5CDD505-2E9C-101B-9397-08002B2CF9AE}" pid="4" name="MSIP_Label_b22f7043-6caf-4431-9109-8eff758a1d8b_Method">
    <vt:lpwstr>Standard</vt:lpwstr>
  </property>
  <property fmtid="{D5CDD505-2E9C-101B-9397-08002B2CF9AE}" pid="5" name="MSIP_Label_b22f7043-6caf-4431-9109-8eff758a1d8b_Name">
    <vt:lpwstr>Intern (DSS)</vt:lpwstr>
  </property>
  <property fmtid="{D5CDD505-2E9C-101B-9397-08002B2CF9AE}" pid="6" name="MSIP_Label_b22f7043-6caf-4431-9109-8eff758a1d8b_SiteId">
    <vt:lpwstr>f696e186-1c3b-44cd-bf76-5ace0e7007bd</vt:lpwstr>
  </property>
  <property fmtid="{D5CDD505-2E9C-101B-9397-08002B2CF9AE}" pid="7" name="MSIP_Label_b22f7043-6caf-4431-9109-8eff758a1d8b_ActionId">
    <vt:lpwstr>b7fa427b-7c9f-4a23-99a9-acdc1bce6955</vt:lpwstr>
  </property>
  <property fmtid="{D5CDD505-2E9C-101B-9397-08002B2CF9AE}" pid="8" name="MSIP_Label_b22f7043-6caf-4431-9109-8eff758a1d8b_ContentBits">
    <vt:lpwstr>0</vt:lpwstr>
  </property>
  <property fmtid="{D5CDD505-2E9C-101B-9397-08002B2CF9AE}" pid="9" name="MSIP_Label_b22f7043-6caf-4431-9109-8eff758a1d8b_Tag">
    <vt:lpwstr>10, 3, 0, 1</vt:lpwstr>
  </property>
</Properties>
</file>