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E7EAE" w:rsidP="002E7EAE">
      <w:pPr>
        <w:pStyle w:val="is-dep"/>
      </w:pPr>
      <w:r>
        <w:t>Finansdepartementet</w:t>
      </w:r>
    </w:p>
    <w:p w:rsidR="002E7EAE" w:rsidRDefault="002E7EAE" w:rsidP="002E7EAE">
      <w:pPr>
        <w:pStyle w:val="i-budkap-over"/>
        <w:rPr>
          <w:rFonts w:ascii="Times New Roman" w:hAnsi="Times New Roman" w:cs="Times New Roman"/>
          <w:bCs/>
          <w:szCs w:val="24"/>
        </w:rPr>
      </w:pPr>
      <w:r>
        <w:t>Kap. 900, 1310, 1600, 1645, 5501, 5502, 5521 og 5700</w:t>
      </w:r>
    </w:p>
    <w:p w:rsidR="00000000" w:rsidRDefault="00983558" w:rsidP="002E7EAE">
      <w:pPr>
        <w:pStyle w:val="i-hode"/>
      </w:pPr>
      <w:r>
        <w:t>Prop. 57 S</w:t>
      </w:r>
    </w:p>
    <w:p w:rsidR="00000000" w:rsidRDefault="00983558" w:rsidP="002E7EAE">
      <w:pPr>
        <w:pStyle w:val="i-sesjon"/>
      </w:pPr>
      <w:r>
        <w:t>(2019–2020)</w:t>
      </w:r>
    </w:p>
    <w:p w:rsidR="00000000" w:rsidRDefault="00983558" w:rsidP="002E7EAE">
      <w:pPr>
        <w:pStyle w:val="i-hode-tit"/>
      </w:pPr>
      <w:r>
        <w:t>Proposisjon til Stortinget (forslag til stortingsvedtak)</w:t>
      </w:r>
    </w:p>
    <w:p w:rsidR="00000000" w:rsidRPr="002E7EAE" w:rsidRDefault="00983558" w:rsidP="002E7EAE">
      <w:pPr>
        <w:pStyle w:val="i-tit"/>
      </w:pPr>
      <w:bookmarkStart w:id="0" w:name="_GoBack"/>
      <w:r w:rsidRPr="002E7EAE">
        <w:t xml:space="preserve">Endringer i statsbudsjettet 2020 under Nærings- og fiskeridepartementet, Samferdselsdepartementet og Finansdepartementet </w:t>
      </w:r>
      <w:r w:rsidRPr="002E7EAE">
        <w:t>(økonomiske tiltak i møte med virusutbruddet)</w:t>
      </w:r>
    </w:p>
    <w:bookmarkEnd w:id="0"/>
    <w:p w:rsidR="00000000" w:rsidRDefault="002E7EAE" w:rsidP="002E7EAE">
      <w:pPr>
        <w:pStyle w:val="i-dep"/>
      </w:pPr>
      <w:r>
        <w:t>Finansdepartementet</w:t>
      </w:r>
    </w:p>
    <w:p w:rsidR="00000000" w:rsidRPr="002E7EAE" w:rsidRDefault="00983558" w:rsidP="002E7EAE">
      <w:pPr>
        <w:pStyle w:val="i-budkap-over"/>
        <w:rPr>
          <w:rFonts w:ascii="Times New Roman" w:hAnsi="Times New Roman" w:cs="Times New Roman"/>
          <w:bCs/>
          <w:szCs w:val="24"/>
        </w:rPr>
      </w:pPr>
      <w:r>
        <w:t>Kap. 900, 1310, 1600, 1645, 5501, 5502, 5521 og 5700</w:t>
      </w:r>
    </w:p>
    <w:p w:rsidR="00000000" w:rsidRDefault="00983558" w:rsidP="002E7EAE">
      <w:pPr>
        <w:pStyle w:val="i-hode"/>
      </w:pPr>
      <w:r>
        <w:t>Prop. 57 S</w:t>
      </w:r>
    </w:p>
    <w:p w:rsidR="00000000" w:rsidRDefault="00983558" w:rsidP="002E7EAE">
      <w:pPr>
        <w:pStyle w:val="i-sesjon"/>
      </w:pPr>
      <w:r>
        <w:t>(2019–2020)</w:t>
      </w:r>
    </w:p>
    <w:p w:rsidR="00000000" w:rsidRDefault="00983558" w:rsidP="002E7EAE">
      <w:pPr>
        <w:pStyle w:val="i-hode-tit"/>
      </w:pPr>
      <w:r>
        <w:t>Proposisjon til Stortinget (forslag til stortingsvedtak)</w:t>
      </w:r>
    </w:p>
    <w:p w:rsidR="00000000" w:rsidRDefault="00983558" w:rsidP="002E7EAE">
      <w:pPr>
        <w:pStyle w:val="i-tit"/>
      </w:pPr>
      <w:r>
        <w:t>Endringer i statsbudsjettet 2020 under Nær</w:t>
      </w:r>
      <w:r>
        <w:t>ings- og fiskeridepartementet, Samferdselsdepartementet og Finansdepartementet (økonomiske tiltak i møte med virusutbruddet)</w:t>
      </w:r>
    </w:p>
    <w:p w:rsidR="00000000" w:rsidRDefault="00983558" w:rsidP="002E7EAE">
      <w:pPr>
        <w:pStyle w:val="i-statsrdato"/>
      </w:pPr>
      <w:r>
        <w:t xml:space="preserve">Tilråding fra Finansdepartementet 20. mars 2020, </w:t>
      </w:r>
      <w:r>
        <w:br/>
        <w:t xml:space="preserve">godkjent i statsråd samme dag. </w:t>
      </w:r>
      <w:r>
        <w:br/>
        <w:t>(Regjeringen Solberg)</w:t>
      </w:r>
    </w:p>
    <w:p w:rsidR="00000000" w:rsidRDefault="00983558" w:rsidP="002E7EAE">
      <w:pPr>
        <w:pStyle w:val="Overskrift1"/>
      </w:pPr>
      <w:r>
        <w:t>Økonomiske virkning</w:t>
      </w:r>
      <w:r>
        <w:t>er av virusutbruddet</w:t>
      </w:r>
    </w:p>
    <w:p w:rsidR="00000000" w:rsidRDefault="00983558" w:rsidP="002E7EAE">
      <w:pPr>
        <w:pStyle w:val="Overskrift2"/>
      </w:pPr>
      <w:r>
        <w:t>Innledning og oppsummering</w:t>
      </w:r>
    </w:p>
    <w:p w:rsidR="00000000" w:rsidRDefault="00983558" w:rsidP="002E7EAE">
      <w:r>
        <w:t>Virusutbruddet er alvorlig for liv og helse i Norge. Hendelsen vil ha stor påvirkning på norsk økonomi, og trekke aktiviteten betydelig ned den nærmeste tiden. Tiltakene mot smittespredning rammer enk</w:t>
      </w:r>
      <w:r>
        <w:t>eltbedrifter og -bransjer hardt, først og fremst de næringer som har fått pålegg fra myndighetene om å stenge ned virksomheten og servicenæringer som reiseliv, restauranter og idretts- og kulturarrangementer.</w:t>
      </w:r>
    </w:p>
    <w:p w:rsidR="00000000" w:rsidRDefault="00983558" w:rsidP="002E7EAE">
      <w:r>
        <w:t>Regjeringen foreslår ytterligere økonomiske til</w:t>
      </w:r>
      <w:r>
        <w:t>tak i møte med virusutbruddet. Nå legges det bl.a. frem forslag om å opprette en garantifasilitet på 6 mrd. kroner for å legge til rette for likviditet til flyselskaper i situasjonen som er oppstått som følge av virusutbruddet. Det foreslås nye tiltak på s</w:t>
      </w:r>
      <w:r>
        <w:t>kattesiden for å motvirke akutte, midlertidige likviditetsproblemer og underskudd i mange bedrifter. Videre fremmes det forslag om å opprette to statlige låne- og garantiordninger som ble varslet av regjeringen 15. mars, jf. nærmere omtale i Prop. 58 LS (2</w:t>
      </w:r>
      <w:r>
        <w:t xml:space="preserve">019–2020). </w:t>
      </w:r>
    </w:p>
    <w:p w:rsidR="00000000" w:rsidRDefault="00983558" w:rsidP="002E7EAE">
      <w:r>
        <w:t xml:space="preserve">Siden den reduserte økonomiske aktiviteten i all hovedsak er tilsiktet å begrense smittespredningen, vil tiltak for å øke etterspørselen på kort sikt være lite målrettet og i noen tilfeller motvirke virusbekjempelsen. </w:t>
      </w:r>
    </w:p>
    <w:p w:rsidR="00000000" w:rsidRDefault="00983558" w:rsidP="002E7EAE">
      <w:r>
        <w:t>Regjeringen legger stor v</w:t>
      </w:r>
      <w:r>
        <w:t>ekt på at de økonomiske tiltakene som settes inn, bidrar til at produksjonskapasiteten ikke blir varig svekket, slik at produksjon og sysselsetting raskt kan komme tilbake til et normalt nivå. Målet er å bidra til at ellers sunne og levedyktige bedrifter i</w:t>
      </w:r>
      <w:r>
        <w:t>kke bukker under som følge av virusbekjempelsen. Vi skal også ta vare på de som nå opplever at inntekten faller bort fordi de blir permittert eller mister inntektsgrunnlaget grunnet de smittebekjempende tiltakene.</w:t>
      </w:r>
    </w:p>
    <w:p w:rsidR="00000000" w:rsidRDefault="00983558" w:rsidP="002E7EAE">
      <w:r>
        <w:t>Det er nå besluttet eller foreslått tiltak</w:t>
      </w:r>
      <w:r>
        <w:t xml:space="preserve"> i fem omganger:</w:t>
      </w:r>
    </w:p>
    <w:p w:rsidR="00000000" w:rsidRDefault="00983558" w:rsidP="002E7EAE">
      <w:r>
        <w:lastRenderedPageBreak/>
        <w:t xml:space="preserve">Den </w:t>
      </w:r>
      <w:r>
        <w:rPr>
          <w:rStyle w:val="kursiv"/>
          <w:spacing w:val="-3"/>
          <w:sz w:val="21"/>
          <w:szCs w:val="21"/>
        </w:rPr>
        <w:t xml:space="preserve">13. mars </w:t>
      </w:r>
      <w:r>
        <w:t>foreslo regjeringen strakstiltak for å trygge jobber og hjelpe bedrifter i en krevende situasjon. Dette omfattet midlertidige endringer i permitteringsordningen, utsettelse av skatteinnbetalinger, midlertidige lettelser i avgi</w:t>
      </w:r>
      <w:r>
        <w:t>ftsbelastninger for flyselskapene, økte rammer for kompetanseheving og bedriftsintern opplæring, samt tiltak for å styrke helsesektoren og økte bevilgninger til kommunene for merutgifter i forbindelse med virusutbruddet. Tiltakene anslås å innebære økte ut</w:t>
      </w:r>
      <w:r>
        <w:t>gifter og reduserte inntekter i 2020 på til sammen over 6 mrd. kroner, når det er tatt høyde for oppdaterte anslag for antall permitterte.</w:t>
      </w:r>
    </w:p>
    <w:p w:rsidR="00000000" w:rsidRDefault="00983558" w:rsidP="002E7EAE">
      <w:r>
        <w:t xml:space="preserve">Den </w:t>
      </w:r>
      <w:r>
        <w:rPr>
          <w:rStyle w:val="kursiv"/>
          <w:sz w:val="21"/>
          <w:szCs w:val="21"/>
        </w:rPr>
        <w:t xml:space="preserve">15. mars </w:t>
      </w:r>
      <w:r>
        <w:t>varslet regjeringen to garanti- og låneordninger på til sammen 100 mrd. kroner. Mange bedrifter står ove</w:t>
      </w:r>
      <w:r>
        <w:t>rfor en akutt likviditetsmangel. Tilgang på utvidede lånerammer er nå nødvendig for å komme gjennom krisen. De to nye lånetiltakene vil avhjelpe denne situasjonen:</w:t>
      </w:r>
    </w:p>
    <w:p w:rsidR="00000000" w:rsidRDefault="00983558" w:rsidP="002E7EAE">
      <w:pPr>
        <w:pStyle w:val="Liste"/>
      </w:pPr>
      <w:r>
        <w:t>Den statlige garantiordningen for lån til små og mellomstore bedrifter får en garantiram</w:t>
      </w:r>
      <w:r>
        <w:t xml:space="preserve">me på 50 mrd. kroner. Det gis 90 pst. statsgaranti på hvert lån. Samlet lån til hver bedrift er maksimalt 50 mill. kroner. </w:t>
      </w:r>
    </w:p>
    <w:p w:rsidR="00000000" w:rsidRDefault="00983558" w:rsidP="002E7EAE">
      <w:pPr>
        <w:pStyle w:val="Liste"/>
      </w:pPr>
      <w:r>
        <w:t>Statens obligasjonsfond gjenopprettes for å</w:t>
      </w:r>
      <w:r>
        <w:t xml:space="preserve"> styrke tilgangen til kreditt for norske selskaper og bidra til et velfungerende marked for kredittobligasjoner. Folketrygdfondet vil stå for den operative gjennomføringen. Ordningen får en ramme på 50 mrd. kroner.</w:t>
      </w:r>
    </w:p>
    <w:p w:rsidR="00000000" w:rsidRDefault="00983558" w:rsidP="002E7EAE">
      <w:r>
        <w:t>I tråd med vanlig praksis må det foreslås</w:t>
      </w:r>
      <w:r>
        <w:t xml:space="preserve"> en tapsavsetning til garantiordningen for lån til små og mellomstore bedrifter. Denne foreslås satt til 10 mrd. kroner. </w:t>
      </w:r>
    </w:p>
    <w:p w:rsidR="00000000" w:rsidRDefault="00983558" w:rsidP="002E7EAE">
      <w:r>
        <w:t xml:space="preserve">Den </w:t>
      </w:r>
      <w:r>
        <w:rPr>
          <w:rStyle w:val="kursiv"/>
          <w:sz w:val="21"/>
          <w:szCs w:val="21"/>
        </w:rPr>
        <w:t xml:space="preserve">16. mars </w:t>
      </w:r>
      <w:r>
        <w:t>ble det oppnådd enighet mellom alle partiene på Stortinget om ytterligere tiltak ut over regjeringens forslag, for å styr</w:t>
      </w:r>
      <w:r>
        <w:t>ke bedriftene og motvirke inntektsbortfall for arbeidstakere, selvstendig næringsdrivende og frilansere grunnet virusutbruddet og de smittebekjempende tiltakene. Fristene for betaling av merverdiavgift og forskuddsskatt ble utsatt, og den lave momssatsen p</w:t>
      </w:r>
      <w:r>
        <w:t xml:space="preserve">å reiseliv mv. redusert. Endringene i Stortinget innebærer økte utgifter og reduserte inntekter i 2020 på til sammen over 30 mrd. kroner ut over forslagene fra regjeringen. Forskyving av skatteinnbetalinger for forskuddsskatt og merverdiavgift anslås også </w:t>
      </w:r>
      <w:r>
        <w:t>å bedre likviditeten i bedriftene de nærmeste ukene og månedene med nærmere 90 mrd. kroner.</w:t>
      </w:r>
    </w:p>
    <w:p w:rsidR="00000000" w:rsidRDefault="00983558" w:rsidP="002E7EAE">
      <w:r>
        <w:t xml:space="preserve">Den </w:t>
      </w:r>
      <w:r>
        <w:rPr>
          <w:rStyle w:val="kursiv"/>
          <w:sz w:val="21"/>
          <w:szCs w:val="21"/>
        </w:rPr>
        <w:t xml:space="preserve">19. mars </w:t>
      </w:r>
      <w:r>
        <w:t>ble det oppnådd enighet mellom alle partiene på Stortinget om ytterligere tiltak. Dette omfatter midlertidig nedsettelse av arbeidsgiveravgiften, en ko</w:t>
      </w:r>
      <w:r>
        <w:t>mpensasjonsordning for arrangører på kultur-, frivillighets- og idrettsfeltet, samt merutgifter i helseforetakene, Nav og kommunene knyttet til håndtering av den akutte situasjonen. I tillegg kommer kompensasjon for bortfall av foreldrebetaling i barnehage</w:t>
      </w:r>
      <w:r>
        <w:t xml:space="preserve">r og skolefritidsordninger i offentlige skoler. Disse endringene ventes å øke utgiftene og redusere inntektene i 2020 med til sammen vel 14 mrd. kroner. </w:t>
      </w:r>
    </w:p>
    <w:p w:rsidR="00000000" w:rsidRDefault="00983558" w:rsidP="002E7EAE">
      <w:r>
        <w:t>Flere av anmodningsvedtakene som Stortinget vedtok 19. mars, er foreløpig ikke kostnadsberegnet, herun</w:t>
      </w:r>
      <w:r>
        <w:t>der kompensasjon til offentlige kulturinstitusjoner og til studenter som opplever inntektsbortfall, samt rett til å overføre omsorgspenger mellom foresatte, ytterligere tiltak overfor luftfarten og reduserte takster på riksveiferjer for en avgrenset period</w:t>
      </w:r>
      <w:r>
        <w:t xml:space="preserve">e. </w:t>
      </w:r>
    </w:p>
    <w:p w:rsidR="00000000" w:rsidRDefault="00983558" w:rsidP="002E7EAE">
      <w:pPr>
        <w:rPr>
          <w:rStyle w:val="kursiv"/>
          <w:sz w:val="21"/>
          <w:szCs w:val="21"/>
        </w:rPr>
      </w:pPr>
      <w:r>
        <w:rPr>
          <w:rStyle w:val="kursiv"/>
          <w:sz w:val="21"/>
          <w:szCs w:val="21"/>
        </w:rPr>
        <w:t>I denne proposisjonen</w:t>
      </w:r>
      <w:r>
        <w:t xml:space="preserve"> foreslår regjeringen at det opprettes en garantifasilitet på 6 mrd. kroner for å legge til rette for likviditet til flyselskaper i situasjonen som er oppstått som følge av virusutbruddet. Videre foreslår regjeringen å utsette skat</w:t>
      </w:r>
      <w:r>
        <w:t>teinnbetalinger også for arbeidsgiveravgift, noe som anslås å bedre likviditeten i bedriftene de nærmeste ukene og månedene med 28 mrd. kroner.</w:t>
      </w:r>
    </w:p>
    <w:p w:rsidR="00000000" w:rsidRDefault="00983558" w:rsidP="002E7EAE">
      <w:r>
        <w:t>Tabell 1.1 oppsummerer de omfattende økonomiske tiltakene som så langt er satt inn for å møte virusutbruddet, in</w:t>
      </w:r>
      <w:r>
        <w:t xml:space="preserve">kludert forslagene regjeringen nå legger frem. På den korte tiden som har vært til disposisjon, har det ikke vært mulig med en full gjennomgang av hvordan endringene i de økonomiske utsiktene påvirker budsjettet. Det er betydelig usikkerhet rundt mange av </w:t>
      </w:r>
      <w:r>
        <w:t>de angitte kostnadsanslagene. Anslagene påvirkes i stor grad av det videre forløpet for økonomien, og særlig av hvor mange som blir permittert og arbeidsledige. Slik situasjonen er nå, er dette meget usikkert. Det videre forløpet avhenger av omfanget av vi</w:t>
      </w:r>
      <w:r>
        <w:t xml:space="preserve">rusutbruddet og hvor lenge de strenge smitteverntiltakene anses nødvendige. For å kunne lage kostnadsanslag har departementet måttet gjøre en forutsetning om hvor lenge dagens situasjon med omfattende nedstenging av virksomheter vil fortsette. Dette er en </w:t>
      </w:r>
      <w:r>
        <w:t>rent teknisk forutsetning, og ikke en helsefaglig vurdering av hva som er nødvendig for å begrense virusutbredelsen. Rent teknisk er kostnadsanslagene basert på at de strengeste smitteverntiltakene opprettholdes i to måneder, for deretter gradvis å vende t</w:t>
      </w:r>
      <w:r>
        <w:t xml:space="preserve">ilbake til det normale. Kortere eller lengre varighet vil slå kraftig ut i kostnadsanslagene. </w:t>
      </w:r>
      <w:r>
        <w:lastRenderedPageBreak/>
        <w:t xml:space="preserve">Departementet vil komme tilbake med oppdaterte anslag og forslag til vedtak etter hvert som situasjonen utvikler seg. Anmodningsvedtaktene fra Stortinget vil bli </w:t>
      </w:r>
      <w:r>
        <w:t xml:space="preserve">fulgt opp med konkrete budsjettforslag, og da vil også anslagene kunne bli endret. </w:t>
      </w:r>
    </w:p>
    <w:p w:rsidR="002E7EAE" w:rsidRPr="002E7EAE" w:rsidRDefault="002E7EAE" w:rsidP="002E7EAE">
      <w:pPr>
        <w:pStyle w:val="tabell-tittel"/>
        <w:rPr>
          <w:rFonts w:cs="Times New Roman"/>
          <w:szCs w:val="24"/>
        </w:rPr>
      </w:pPr>
      <w:r>
        <w:t>Anslåtte endringer i oljekorrigert budsjettunderskudd for 2020 som følge av økonomiske tiltak og endrede utsikter for økonomien. Mrd. kroner</w:t>
      </w:r>
    </w:p>
    <w:p w:rsidR="00000000" w:rsidRDefault="00983558" w:rsidP="002E7EAE">
      <w:pPr>
        <w:pStyle w:val="Tabellnavn"/>
      </w:pPr>
      <w:r>
        <w:t>02J1xt2</w:t>
      </w:r>
    </w:p>
    <w:tbl>
      <w:tblPr>
        <w:tblStyle w:val="StandardTabell"/>
        <w:tblW w:w="0" w:type="auto"/>
        <w:tblInd w:w="108" w:type="dxa"/>
        <w:tblLayout w:type="fixed"/>
        <w:tblLook w:val="04A0" w:firstRow="1" w:lastRow="0" w:firstColumn="1" w:lastColumn="0" w:noHBand="0" w:noVBand="1"/>
      </w:tblPr>
      <w:tblGrid>
        <w:gridCol w:w="7938"/>
        <w:gridCol w:w="1262"/>
      </w:tblGrid>
      <w:tr w:rsidR="00000000" w:rsidTr="002E7EAE">
        <w:trPr>
          <w:trHeight w:val="360"/>
        </w:trPr>
        <w:tc>
          <w:tcPr>
            <w:tcW w:w="7938" w:type="dxa"/>
            <w:shd w:val="clear" w:color="auto" w:fill="FFFFFF"/>
          </w:tcPr>
          <w:p w:rsidR="00000000" w:rsidRDefault="00983558" w:rsidP="002E7EAE"/>
        </w:tc>
        <w:tc>
          <w:tcPr>
            <w:tcW w:w="1262" w:type="dxa"/>
          </w:tcPr>
          <w:p w:rsidR="00000000" w:rsidRDefault="00983558" w:rsidP="002E7EAE">
            <w:pPr>
              <w:jc w:val="right"/>
            </w:pPr>
            <w:r>
              <w:t>2020</w:t>
            </w:r>
          </w:p>
        </w:tc>
      </w:tr>
      <w:tr w:rsidR="00000000" w:rsidTr="002E7EAE">
        <w:trPr>
          <w:trHeight w:val="380"/>
        </w:trPr>
        <w:tc>
          <w:tcPr>
            <w:tcW w:w="7938" w:type="dxa"/>
          </w:tcPr>
          <w:p w:rsidR="00000000" w:rsidRDefault="00983558" w:rsidP="002E7EAE">
            <w:r>
              <w:t>Motvirke inntektsbortfall for bedrifter</w:t>
            </w:r>
          </w:p>
        </w:tc>
        <w:tc>
          <w:tcPr>
            <w:tcW w:w="1262" w:type="dxa"/>
          </w:tcPr>
          <w:p w:rsidR="00000000" w:rsidRDefault="00983558" w:rsidP="002E7EAE">
            <w:pPr>
              <w:jc w:val="right"/>
            </w:pPr>
            <w:r>
              <w:t>24,5</w:t>
            </w:r>
          </w:p>
        </w:tc>
      </w:tr>
      <w:tr w:rsidR="00000000" w:rsidTr="002E7EAE">
        <w:trPr>
          <w:trHeight w:val="380"/>
        </w:trPr>
        <w:tc>
          <w:tcPr>
            <w:tcW w:w="7938" w:type="dxa"/>
          </w:tcPr>
          <w:p w:rsidR="00000000" w:rsidRDefault="00983558" w:rsidP="002E7EAE">
            <w:r>
              <w:t>Motvirke inntektsbortfall for personer</w:t>
            </w:r>
          </w:p>
        </w:tc>
        <w:tc>
          <w:tcPr>
            <w:tcW w:w="1262" w:type="dxa"/>
          </w:tcPr>
          <w:p w:rsidR="00000000" w:rsidRDefault="00983558" w:rsidP="002E7EAE">
            <w:pPr>
              <w:jc w:val="right"/>
            </w:pPr>
            <w:r>
              <w:t>18,1</w:t>
            </w:r>
          </w:p>
        </w:tc>
      </w:tr>
      <w:tr w:rsidR="00000000" w:rsidTr="002E7EAE">
        <w:trPr>
          <w:trHeight w:val="380"/>
        </w:trPr>
        <w:tc>
          <w:tcPr>
            <w:tcW w:w="7938" w:type="dxa"/>
          </w:tcPr>
          <w:p w:rsidR="00000000" w:rsidRDefault="00983558" w:rsidP="002E7EAE">
            <w:r>
              <w:t>Styrking av helsesektoren, kommuner og Nav</w:t>
            </w:r>
          </w:p>
        </w:tc>
        <w:tc>
          <w:tcPr>
            <w:tcW w:w="1262" w:type="dxa"/>
          </w:tcPr>
          <w:p w:rsidR="00000000" w:rsidRDefault="00983558" w:rsidP="002E7EAE">
            <w:pPr>
              <w:jc w:val="right"/>
            </w:pPr>
            <w:r>
              <w:t>0,6</w:t>
            </w:r>
          </w:p>
        </w:tc>
      </w:tr>
      <w:tr w:rsidR="00000000" w:rsidTr="002E7EAE">
        <w:trPr>
          <w:trHeight w:val="380"/>
        </w:trPr>
        <w:tc>
          <w:tcPr>
            <w:tcW w:w="7938" w:type="dxa"/>
          </w:tcPr>
          <w:p w:rsidR="00000000" w:rsidRDefault="00983558" w:rsidP="002E7EAE">
            <w:r>
              <w:t>Øvrige kompensasjonsordninger</w:t>
            </w:r>
          </w:p>
        </w:tc>
        <w:tc>
          <w:tcPr>
            <w:tcW w:w="1262" w:type="dxa"/>
          </w:tcPr>
          <w:p w:rsidR="00000000" w:rsidRDefault="00983558" w:rsidP="002E7EAE">
            <w:pPr>
              <w:jc w:val="right"/>
            </w:pPr>
            <w:r>
              <w:t>4,6</w:t>
            </w:r>
          </w:p>
        </w:tc>
      </w:tr>
      <w:tr w:rsidR="00000000" w:rsidTr="002E7EAE">
        <w:trPr>
          <w:trHeight w:val="380"/>
        </w:trPr>
        <w:tc>
          <w:tcPr>
            <w:tcW w:w="7938" w:type="dxa"/>
          </w:tcPr>
          <w:p w:rsidR="00000000" w:rsidRDefault="00983558" w:rsidP="002E7EAE">
            <w:r>
              <w:t>Luftfartssektoren, inkl. tapsavsetning til garantiordning</w:t>
            </w:r>
          </w:p>
        </w:tc>
        <w:tc>
          <w:tcPr>
            <w:tcW w:w="1262" w:type="dxa"/>
          </w:tcPr>
          <w:p w:rsidR="00000000" w:rsidRDefault="00983558" w:rsidP="002E7EAE">
            <w:pPr>
              <w:jc w:val="right"/>
            </w:pPr>
            <w:r>
              <w:t>8,7</w:t>
            </w:r>
          </w:p>
        </w:tc>
      </w:tr>
      <w:tr w:rsidR="00000000" w:rsidTr="002E7EAE">
        <w:trPr>
          <w:trHeight w:val="380"/>
        </w:trPr>
        <w:tc>
          <w:tcPr>
            <w:tcW w:w="7938" w:type="dxa"/>
          </w:tcPr>
          <w:p w:rsidR="00000000" w:rsidRDefault="00983558" w:rsidP="002E7EAE">
            <w:r>
              <w:t>Tapsavsetning, statlig lånegarantiordning via bankene</w:t>
            </w:r>
          </w:p>
        </w:tc>
        <w:tc>
          <w:tcPr>
            <w:tcW w:w="1262" w:type="dxa"/>
          </w:tcPr>
          <w:p w:rsidR="00000000" w:rsidRDefault="00983558" w:rsidP="002E7EAE">
            <w:pPr>
              <w:jc w:val="right"/>
            </w:pPr>
            <w:r>
              <w:t>10,0</w:t>
            </w:r>
          </w:p>
        </w:tc>
      </w:tr>
      <w:tr w:rsidR="00000000" w:rsidTr="002E7EAE">
        <w:trPr>
          <w:trHeight w:val="380"/>
        </w:trPr>
        <w:tc>
          <w:tcPr>
            <w:tcW w:w="7938" w:type="dxa"/>
          </w:tcPr>
          <w:p w:rsidR="00000000" w:rsidRDefault="00983558" w:rsidP="002E7EAE">
            <w:r>
              <w:t>SUM Økonomiske tiltak</w:t>
            </w:r>
          </w:p>
        </w:tc>
        <w:tc>
          <w:tcPr>
            <w:tcW w:w="1262" w:type="dxa"/>
          </w:tcPr>
          <w:p w:rsidR="00000000" w:rsidRDefault="00983558" w:rsidP="002E7EAE">
            <w:pPr>
              <w:jc w:val="right"/>
            </w:pPr>
            <w:r>
              <w:t>66,3</w:t>
            </w:r>
          </w:p>
        </w:tc>
      </w:tr>
      <w:tr w:rsidR="00000000" w:rsidTr="002E7EAE">
        <w:trPr>
          <w:trHeight w:val="380"/>
        </w:trPr>
        <w:tc>
          <w:tcPr>
            <w:tcW w:w="7938" w:type="dxa"/>
          </w:tcPr>
          <w:p w:rsidR="00000000" w:rsidRDefault="00983558" w:rsidP="002E7EAE">
            <w:r>
              <w:rPr>
                <w:rStyle w:val="kursiv"/>
                <w:sz w:val="21"/>
                <w:szCs w:val="21"/>
              </w:rPr>
              <w:t>Automatiske stabilisatorer (viktige anslagsendringer utenom effekten av politikktiltak)</w:t>
            </w:r>
          </w:p>
        </w:tc>
        <w:tc>
          <w:tcPr>
            <w:tcW w:w="1262" w:type="dxa"/>
          </w:tcPr>
          <w:p w:rsidR="00000000" w:rsidRDefault="00983558" w:rsidP="002E7EAE">
            <w:pPr>
              <w:jc w:val="right"/>
            </w:pPr>
            <w:r>
              <w:rPr>
                <w:rStyle w:val="kursiv"/>
                <w:sz w:val="21"/>
                <w:szCs w:val="21"/>
              </w:rPr>
              <w:t>45,0</w:t>
            </w:r>
          </w:p>
        </w:tc>
      </w:tr>
      <w:tr w:rsidR="00000000" w:rsidTr="002E7EAE">
        <w:trPr>
          <w:trHeight w:val="380"/>
        </w:trPr>
        <w:tc>
          <w:tcPr>
            <w:tcW w:w="7938" w:type="dxa"/>
          </w:tcPr>
          <w:p w:rsidR="00000000" w:rsidRDefault="00983558" w:rsidP="002E7EAE">
            <w:r>
              <w:t>Reduserte skatteinntekter</w:t>
            </w:r>
          </w:p>
        </w:tc>
        <w:tc>
          <w:tcPr>
            <w:tcW w:w="1262" w:type="dxa"/>
          </w:tcPr>
          <w:p w:rsidR="00000000" w:rsidRDefault="00983558" w:rsidP="002E7EAE">
            <w:pPr>
              <w:jc w:val="right"/>
            </w:pPr>
            <w:r>
              <w:t>24,0</w:t>
            </w:r>
          </w:p>
        </w:tc>
      </w:tr>
      <w:tr w:rsidR="00000000" w:rsidTr="002E7EAE">
        <w:trPr>
          <w:trHeight w:val="380"/>
        </w:trPr>
        <w:tc>
          <w:tcPr>
            <w:tcW w:w="7938" w:type="dxa"/>
          </w:tcPr>
          <w:p w:rsidR="00000000" w:rsidRDefault="00983558" w:rsidP="002E7EAE">
            <w:r>
              <w:t>Økte utgifter til dagpenger</w:t>
            </w:r>
          </w:p>
        </w:tc>
        <w:tc>
          <w:tcPr>
            <w:tcW w:w="1262" w:type="dxa"/>
          </w:tcPr>
          <w:p w:rsidR="00000000" w:rsidRDefault="00983558" w:rsidP="002E7EAE">
            <w:pPr>
              <w:jc w:val="right"/>
            </w:pPr>
            <w:r>
              <w:t>16,0</w:t>
            </w:r>
          </w:p>
        </w:tc>
      </w:tr>
      <w:tr w:rsidR="00000000" w:rsidTr="002E7EAE">
        <w:trPr>
          <w:trHeight w:val="380"/>
        </w:trPr>
        <w:tc>
          <w:tcPr>
            <w:tcW w:w="7938" w:type="dxa"/>
          </w:tcPr>
          <w:p w:rsidR="00000000" w:rsidRDefault="00983558" w:rsidP="002E7EAE">
            <w:r>
              <w:t>Ø</w:t>
            </w:r>
            <w:r>
              <w:t>kte utgifter til sykepenger</w:t>
            </w:r>
          </w:p>
        </w:tc>
        <w:tc>
          <w:tcPr>
            <w:tcW w:w="1262" w:type="dxa"/>
          </w:tcPr>
          <w:p w:rsidR="00000000" w:rsidRDefault="00983558" w:rsidP="002E7EAE">
            <w:pPr>
              <w:jc w:val="right"/>
            </w:pPr>
            <w:r>
              <w:t>5,0</w:t>
            </w:r>
          </w:p>
        </w:tc>
      </w:tr>
      <w:tr w:rsidR="00000000" w:rsidTr="002E7EAE">
        <w:trPr>
          <w:trHeight w:val="380"/>
        </w:trPr>
        <w:tc>
          <w:tcPr>
            <w:tcW w:w="7938" w:type="dxa"/>
          </w:tcPr>
          <w:p w:rsidR="00000000" w:rsidRDefault="00983558" w:rsidP="002E7EAE">
            <w:r>
              <w:t>SUM Svekkelse av budsjettbalansen</w:t>
            </w:r>
          </w:p>
        </w:tc>
        <w:tc>
          <w:tcPr>
            <w:tcW w:w="1262" w:type="dxa"/>
          </w:tcPr>
          <w:p w:rsidR="00000000" w:rsidRDefault="00983558" w:rsidP="002E7EAE">
            <w:pPr>
              <w:jc w:val="right"/>
            </w:pPr>
            <w:r>
              <w:t>111,2</w:t>
            </w:r>
          </w:p>
        </w:tc>
      </w:tr>
    </w:tbl>
    <w:p w:rsidR="00000000" w:rsidRDefault="00983558" w:rsidP="002E7EAE">
      <w:pPr>
        <w:pStyle w:val="Kilde"/>
        <w:rPr>
          <w:rFonts w:cs="Times New Roman"/>
          <w:sz w:val="24"/>
          <w:szCs w:val="24"/>
          <w:lang w:val="en-GB"/>
        </w:rPr>
      </w:pPr>
      <w:r>
        <w:t>Finansdepartementet.</w:t>
      </w:r>
    </w:p>
    <w:p w:rsidR="00000000" w:rsidRDefault="00983558" w:rsidP="002E7EAE">
      <w:r>
        <w:t>De økonomiske tiltakene så langt summerer seg til over 65 mrd. kroner, inkludert en tapsavsetning på 10 </w:t>
      </w:r>
      <w:r>
        <w:t>mrd. kroner til den nye garantiordningen for lån til små og mellomstore bedrifter og 6 mrd. kroner i tapsavsetning til garantiordningen for luftfarten. I tillegg svekkes budsjettet med 45 mrd. kroner på grunn av reduserte skatteinntekter som følge av laver</w:t>
      </w:r>
      <w:r>
        <w:t>e aktivitet i økonomien og høyere utgifter som følge av en kraftig økning i forventet antall registrerte ledige og sykepengemottakere. Økningen i registrert ledighet er først og fremst knyttet til flere permitterte. Samlet sett svekkes den oljekorrigerte b</w:t>
      </w:r>
      <w:r>
        <w:t>udsjettbalansen med over 110 mrd. kroner. Dette er utenom enkelte av Stortingets anmodningsvedtak, se omtalen ovenfor.</w:t>
      </w:r>
    </w:p>
    <w:p w:rsidR="00000000" w:rsidRDefault="00983558" w:rsidP="002E7EAE">
      <w:r>
        <w:t>Forskyving av skatteinnbetalinger anslås å bedre likviditeten til bedriftene de nærmeste ukene og månedene med i alt nærmere 120 mrd. kro</w:t>
      </w:r>
      <w:r>
        <w:t xml:space="preserve">ner. Videre utgjør garantiordningen for lån til små og mellomstore bedrifter og låneordningen gjennom Statens obligasjonsfond til sammen 100 mrd. kroner. </w:t>
      </w:r>
    </w:p>
    <w:p w:rsidR="00000000" w:rsidRDefault="00983558" w:rsidP="002E7EAE">
      <w:r>
        <w:t>Samlet sett innebærer alle de økonomiske tiltakene som nå er iverksatt (endringene i offentlige budsj</w:t>
      </w:r>
      <w:r>
        <w:t>etter og regelverk, samt utsettelse av skatteinnbetalinger), at likviditeten i bedrifter og husholdninger bedres med 230 mrd. kroner forholdsvis raskt. Lånegarantiordningen på 50 mrd. kroner vil i tillegg bedre likviditeten i bedriftene. Til sammen blir de</w:t>
      </w:r>
      <w:r>
        <w:t>tte 280 mrd. kroner. Til sammenligning var den kvar</w:t>
      </w:r>
      <w:r>
        <w:lastRenderedPageBreak/>
        <w:t>talsvise verdiskapingen i fastlandsbedriftene før virusutbruddet rundt 600 mrd. kroner</w:t>
      </w:r>
      <w:r>
        <w:rPr>
          <w:vertAlign w:val="superscript"/>
        </w:rPr>
        <w:footnoteReference w:id="1"/>
      </w:r>
      <w:r>
        <w:t xml:space="preserve">. Det er således svært omfattende tiltak som er satt inn. De tradisjonelle budsjettindikatorene har det ikke vært mulig å oppdatere på den korte tiden departementet har hatt til disposisjon. </w:t>
      </w:r>
    </w:p>
    <w:p w:rsidR="00000000" w:rsidRDefault="00983558" w:rsidP="002E7EAE">
      <w:r>
        <w:t>De økonomiske tiltakene som er satt inn for å møte virusutbr</w:t>
      </w:r>
      <w:r>
        <w:t xml:space="preserve">uddet, er midlertidige. Regjeringen følger situasjonen nøye, og vil komme tilbake med en vurdering av varigheten og plan for avvikling av de midlertidige tiltakene. </w:t>
      </w:r>
    </w:p>
    <w:p w:rsidR="00000000" w:rsidRDefault="00983558" w:rsidP="002E7EAE">
      <w:pPr>
        <w:pStyle w:val="avsnitt-tittel"/>
      </w:pPr>
      <w:r>
        <w:t>Øvrige økonomiske tiltak</w:t>
      </w:r>
    </w:p>
    <w:p w:rsidR="00000000" w:rsidRDefault="00983558" w:rsidP="002E7EAE">
      <w:r>
        <w:t>Foruten de tiltakene som er satt inn i budsjettpolitikken og de n</w:t>
      </w:r>
      <w:r>
        <w:t>ye statlige garanti- og låneordningene, er det også satt inn en rekke andre tiltak i den økonomiske politikken.</w:t>
      </w:r>
    </w:p>
    <w:p w:rsidR="00000000" w:rsidRDefault="00983558" w:rsidP="002E7EAE">
      <w:r>
        <w:t>Norges Bank satte 13. mars ned styringsrenten fra 1½ til 1 pst., og er ifølge pressemeldingen forberedt på å sette renten ytterligere ned. Vider</w:t>
      </w:r>
      <w:r>
        <w:t>e sa banken at en lavere rente ikke kan forhindre at virusutbruddet får store konsekvenser for norsk økonomi, men det vil kunne dempe tilbakeslaget, lette betjeningen av gjeld og begrense risikoen for mer langvarige konsekvenser for produksjon og sysselset</w:t>
      </w:r>
      <w:r>
        <w:t xml:space="preserve">ting. </w:t>
      </w:r>
    </w:p>
    <w:p w:rsidR="00000000" w:rsidRDefault="00983558" w:rsidP="002E7EAE">
      <w:r>
        <w:t>Finansdepartementet reduserte 13. mars, etter råd fra Norges Bank, kravet til motsyklisk kapitalbuffer i bankene fra 2,5 til 1 pst. med umiddelbar virkning. Reduksjonen av motsyklisk kapitalbuffer vil gi bankene økt utlånskapasitet og kan motvirke a</w:t>
      </w:r>
      <w:r>
        <w:t>t bankene strammer inn på sin utlånspraksis. Norges Bank uttalte i rådet om motsyklisk kapitalbuffer 13. mars at når bankenes generalforsamlinger skal fastsette utbytte, bør de i tiden fremover ta hensyn til den ekstraordinære situasjonen landet nå er i. F</w:t>
      </w:r>
      <w:r>
        <w:t>inanstilsynet sendte 16. mars brev til banker og andre finansforetak, der tilsynet uttrykte en forventning om at foretakenes styrer foretar en ny vurdering av overskuddsdisponeringen for resultatåret 2019 med utgangspunkt i krisen og den økonomiske usikker</w:t>
      </w:r>
      <w:r>
        <w:t xml:space="preserve">heten som nå foreligger. </w:t>
      </w:r>
    </w:p>
    <w:p w:rsidR="00000000" w:rsidRDefault="00983558" w:rsidP="002E7EAE">
      <w:r>
        <w:t>Norges Bank har samtidig åpnet for at bankene kan få ubegrenset tilgang på lån, mot sikkerhet, med ekstra lang løpetid. I tillegg har Norges Bank midlertidig lempet på kravene til hvilke verdipapirer bankene kan stille som sikkerh</w:t>
      </w:r>
      <w:r>
        <w:t>et for lån i Norges Bank, og det har blitt opprettet midlertidige dollar-likviditetsordninger (swap lines) mellom Norges Bank og Federal Reserve. Det legger til rette for at bankene har tilgang på trygg finansiering, og at rentene holdes nede.</w:t>
      </w:r>
    </w:p>
    <w:p w:rsidR="00000000" w:rsidRDefault="00983558" w:rsidP="002E7EAE">
      <w:r>
        <w:t>Fall i oljep</w:t>
      </w:r>
      <w:r>
        <w:t>risen og usikkerhet i finansmarkedene har ført til kraftige svekkelser i kronekursen. 19. mars annonserte Norges Bank at banken på bakgrunn av de ekstraordinære forholdene i markedet for norske kroner løpende vil vurdere behovet for intervenering i valutam</w:t>
      </w:r>
      <w:r>
        <w:t xml:space="preserve">arkedet. </w:t>
      </w:r>
    </w:p>
    <w:p w:rsidR="00000000" w:rsidRDefault="00983558" w:rsidP="002E7EAE">
      <w:pPr>
        <w:pStyle w:val="Overskrift2"/>
      </w:pPr>
      <w:r>
        <w:t>Den økonomiske situasjonen</w:t>
      </w:r>
    </w:p>
    <w:p w:rsidR="00000000" w:rsidRDefault="00983558" w:rsidP="002E7EAE">
      <w:r>
        <w:t>Virusutbruddet er alvorlig for liv og helse i Norge. Hendelsen vil ha stor innvirkning på norsk økonomi, og trekke aktiviteten betydelig ned den nær</w:t>
      </w:r>
      <w:r>
        <w:t>meste tiden. Tiltakene mot smittespredning rammer enkeltbedrifter og -bransjer hardt, først og fremst de næringene som har fått pålegg fra myndighetene om å stenge ned virksomheten, servicenæringer som reiseliv og idretts- og kulturarrangementer. Fall i pr</w:t>
      </w:r>
      <w:r>
        <w:t xml:space="preserve">oduksjon og inntjening kan gi akutte, midlertidige likviditetsproblemer og underskudd i mange bedrifter. I tillegg kommer konsekvensene av helt eller delvis nedstenging av offentlige funksjoner og tilbud. </w:t>
      </w:r>
    </w:p>
    <w:p w:rsidR="00000000" w:rsidRDefault="00983558" w:rsidP="002E7EAE">
      <w:r>
        <w:t>I de mest berørte delene av privat sektor kan verd</w:t>
      </w:r>
      <w:r>
        <w:t>iskapingen nesten falle bort i perioden med smitteverntiltak, eksempelvis innenfor personlig tjenesteyting og i hotell- og restaurantbransjen. Industrien, og andre deler av norsk næringsliv, er tett sammenvevd i internasjonale verdikjeder, ved at de bruker</w:t>
      </w:r>
      <w:r>
        <w:t xml:space="preserve"> importert produktinnsats eller eksporterer produkter som inngår i produksjon i utlandet. Utslag av smitteverntiltak i andre land kan på den måten redusere verdiskapingen her hjemme. Høy usikkerhet og lavere aktivitet vil føre til at forbruk skyves ut i ti</w:t>
      </w:r>
      <w:r>
        <w:t xml:space="preserve">d, og at bedrifter venter med å investere. Anslag for den økonomiske veksten hos Norges handelspartnere justeres stadig nedover. Flere andre land justerer nå ned vekstutsiktene for inneværende år. For de fleste land gir det negativ vekst. Lavere aktivitet </w:t>
      </w:r>
      <w:r>
        <w:t xml:space="preserve">ute vil gi lavere etterspørsel etter norske eksportvarer. Alle næringer vil merke konsekvenser av at ansatte er syke eller i </w:t>
      </w:r>
      <w:r>
        <w:lastRenderedPageBreak/>
        <w:t>karantene, eller er forhindret fra å jobbe fordi de passer barn. Samlet sett vil dette trekke aktiviteten i økonomien betydelig ned</w:t>
      </w:r>
      <w:r>
        <w:t>.</w:t>
      </w:r>
    </w:p>
    <w:p w:rsidR="00000000" w:rsidRDefault="00983558" w:rsidP="002E7EAE">
      <w:r>
        <w:t>Selv med et markert fall i produksjonen på kort sikt, er det grunn til å tro at veksten vil ta seg raskt opp igjen når virusutbruddet er over, og veksten neste år kan da bli høyere enn tidligere lagt til grunn. Smitteverntiltakene og virusutbruddet inneb</w:t>
      </w:r>
      <w:r>
        <w:t>ærer lavere aktivitet i økonomien. For å kunne lage anslag for utviklingen i norsk økonomi har departementet måttet gjøre en forutsetning om hvor lenge dagens situasjon med omfattende nedstenging av virksomheter vil fortsette. Dette er en ren teknisk forut</w:t>
      </w:r>
      <w:r>
        <w:t>setning, og ikke en helsefaglig vurdering av hva som er nødvendig for å begrense virusutbredelsen. Rent teknisk er anslagene for utviklingen i norsk økonomi basert på at de strengeste smitteverntiltakene opprettholdes i to måneder, for deretter gradvis å v</w:t>
      </w:r>
      <w:r>
        <w:t xml:space="preserve">ende tilbake til det normale. Kortere eller lengre varighet vil slå kraftig ut i anslagene. Basert på denne tekniske forutsetningen vil aktiviteten i privat sektor i fastlandsøkonomien bli trukket ned med 15–20 pst. de neste to månedene, for deretter å ta </w:t>
      </w:r>
      <w:r>
        <w:t>seg opp igjen. På årsbasis innebærer dette isolert sett at aktiviteten trekkes ned med om lag 4 pst. Utslaget blir vesentlig større i de næringer som rammes hardest, og i noen næringer er aktiviteten helt stengt ned.</w:t>
      </w:r>
    </w:p>
    <w:p w:rsidR="00000000" w:rsidRDefault="00983558" w:rsidP="002E7EAE">
      <w:r>
        <w:t>Fastlands-BNP anslås nå å falle med 1 p</w:t>
      </w:r>
      <w:r>
        <w:t>st. i 2020. Anslaget er med det 3,5 prosentenheter lavere enn lagt til grunn i Nasjonalbudsjettet 2020. Veksten i fastlandsøkonomien hadde allerede dempet seg før virusutbruddet. De isolerte effektene av smitteverntiltakene kan anslås til 2¾–3 prosentenhet</w:t>
      </w:r>
      <w:r>
        <w:t>er. Anslagene er svært usikre. Det er satt inn omfattende tiltak i den økonomiske politikken for å dempe de langsiktige effektene på økonomien, se omtale i avsnitt 1.3.</w:t>
      </w:r>
    </w:p>
    <w:p w:rsidR="00000000" w:rsidRDefault="00983558" w:rsidP="002E7EAE">
      <w:r>
        <w:t>Sammenfallende med virusutbruddet har oljeprisen falt kraftig, se figur 1.1. Oljeselska</w:t>
      </w:r>
      <w:r>
        <w:t>pene er bedre rustet til å håndtere lavere oljepris i dag enn de var etter oljeprisfallet i 2014. Næringen har gjennomført omfattende kostnadskutt og effektivisering de siste årene, og utbygginger på norsk sokkel trenger derfor ikke en like høy pris som fø</w:t>
      </w:r>
      <w:r>
        <w:t>r for å være lønnsomme. Skulle oljeprisen bli liggende på dagens nivå, vil likevel etterspørselen fra oljevirksomheten kunne gå ned. Prisene i terminmarkedet tilsier imidlertid at oljeprisen vil ta seg opp igjen de nærmeste årene, men usikkerheten er nå st</w:t>
      </w:r>
      <w:r>
        <w:t>or. Virusutbruddet gir driftsutfordringer for deler av oljevirksomheten fordi ansatte er syke, i karantene eller hjemme for å passe barn, eller fordi de ikke får varer og tjenester som er viktige for å opprettholde driften. Flere ansatte i petroleumsrettet</w:t>
      </w:r>
      <w:r>
        <w:t xml:space="preserve"> virksomhet har fått permitteringsvarsel. Deler av leverandørindustrien var i en krevende lønnsomhetssituasjon allerede før oljeprisen gikk ned og kan rammes hardt dersom oljeprisen blir liggende på et lavt nivå over lengre tid. Regjeringen vil i så fall v</w:t>
      </w:r>
      <w:r>
        <w:t xml:space="preserve">urdere å komme med målrettede tiltak, slik det ble gjort etter oljeprisfallet i 2014. </w:t>
      </w:r>
    </w:p>
    <w:p w:rsidR="00000000" w:rsidRDefault="002E7EAE" w:rsidP="002E7EAE">
      <w:pPr>
        <w:pStyle w:val="Figur"/>
      </w:pPr>
      <w:r>
        <w:t>[:figur:fig1-1.jpg]</w:t>
      </w:r>
    </w:p>
    <w:p w:rsidR="00000000" w:rsidRDefault="00983558" w:rsidP="002E7EAE">
      <w:pPr>
        <w:pStyle w:val="figur-tittel"/>
      </w:pPr>
      <w:r>
        <w:t>Råoljepris – spotpris og terminpris</w:t>
      </w:r>
    </w:p>
    <w:p w:rsidR="00000000" w:rsidRDefault="00983558" w:rsidP="002E7EAE">
      <w:pPr>
        <w:pStyle w:val="Kilde"/>
        <w:rPr>
          <w:rFonts w:cs="Times New Roman"/>
          <w:sz w:val="24"/>
          <w:szCs w:val="24"/>
          <w:lang w:val="en-GB"/>
        </w:rPr>
      </w:pPr>
      <w:r>
        <w:t>Macrobond, ICE og Finansdepartementet.</w:t>
      </w:r>
    </w:p>
    <w:p w:rsidR="00000000" w:rsidRPr="002E7EAE" w:rsidRDefault="00983558" w:rsidP="002E7EAE">
      <w:pPr>
        <w:rPr>
          <w:rFonts w:cs="Times New Roman"/>
          <w:sz w:val="17"/>
          <w:szCs w:val="17"/>
        </w:rPr>
      </w:pPr>
      <w:r>
        <w:lastRenderedPageBreak/>
        <w:t>De tiltakene som er i</w:t>
      </w:r>
      <w:r>
        <w:t>nnført for å hindre spredning av koronaviruset, har allerede gitt store utslag i arbeidsmarkedet. Antall permitterte øker nå dramatisk. Siden torsdag 12. mars er det kommet inn totalt 154 200 søknader om dagpenger, og 142 800 av disse gjelder dagpenger ved</w:t>
      </w:r>
      <w:r>
        <w:t xml:space="preserve"> permittering, se figur 1.2. Dette betyr at man på under en uke har mottatt søknader om dagpenger som tilsvarer over 5 pst. av arbeidsstyrken. Den registrerte ledigheten utgjorde 5,3 pst. av arbeidsstyrken 17. mars. Ledigheten har økt i hele landet. Finans</w:t>
      </w:r>
      <w:r>
        <w:t>departementet anslår nå at antallet permitterte kan komme opp i 220 000 personer den nærmeste tiden, før det igjen vil avta. For året sett under ett anslås antallet permitterte til om lag 60 000 personer. Den registrerte ledigheten stiger nå kraftig, først</w:t>
      </w:r>
      <w:r>
        <w:t xml:space="preserve"> og fremst som følge av flere permitteringer. For året under ett anslås den registrerte ledigheten til 4,5 pst. av arbeidsstyrken. </w:t>
      </w:r>
    </w:p>
    <w:p w:rsidR="00000000" w:rsidRDefault="002E7EAE" w:rsidP="002E7EAE">
      <w:pPr>
        <w:pStyle w:val="Figur"/>
      </w:pPr>
      <w:r>
        <w:t>[:figur:fig1-2.jpg]</w:t>
      </w:r>
    </w:p>
    <w:p w:rsidR="00000000" w:rsidRDefault="00983558" w:rsidP="002E7EAE">
      <w:pPr>
        <w:pStyle w:val="figur-tittel"/>
      </w:pPr>
      <w:r>
        <w:t>Antall søknader om dagpenger. Akkumulert vekst siden 2. mars</w:t>
      </w:r>
    </w:p>
    <w:p w:rsidR="00000000" w:rsidRDefault="00983558" w:rsidP="002E7EAE">
      <w:pPr>
        <w:pStyle w:val="Kilde"/>
        <w:rPr>
          <w:rFonts w:cs="Times New Roman"/>
          <w:lang w:val="en-GB"/>
        </w:rPr>
      </w:pPr>
      <w:r>
        <w:t>Nav.</w:t>
      </w:r>
    </w:p>
    <w:p w:rsidR="00000000" w:rsidRDefault="00983558" w:rsidP="002E7EAE">
      <w:pPr>
        <w:pStyle w:val="Overskrift2"/>
      </w:pPr>
      <w:r>
        <w:t>Økonomiske tiltak i andre land</w:t>
      </w:r>
    </w:p>
    <w:p w:rsidR="00000000" w:rsidRDefault="00983558" w:rsidP="002E7EAE">
      <w:r>
        <w:t xml:space="preserve">Mange land har satt inn omfattende tiltak for å begrense de økonomiske skadevirkningene av virusutbruddet og smitteverntiltakene. Særlig sentralt står ulike tiltak for å bedre likviditeten i bedriftene. I </w:t>
      </w:r>
      <w:r>
        <w:t>mange land gis midlertidige utsettelser av innbetaling av skatter og avgifter, og i flere land tilbyr staten også å dekke eller utsette deler av bedriftenes sykelønnskostnader. Britiske myndigheter har annonsert kontantutbetalinger til småbedrifter. Europa</w:t>
      </w:r>
      <w:r>
        <w:t>kommisjonen forbereder et rammeverk for rask vurdering av unntak fra EUs statsstøtteregelverk, slik at nasjonale tiltak for å redde landets bedrifter ikke skal oppfattes som ulovlig statsstøtte.</w:t>
      </w:r>
    </w:p>
    <w:p w:rsidR="00000000" w:rsidRDefault="00983558" w:rsidP="002E7EAE">
      <w:r>
        <w:t>En rekke land har varslet eller innført utvidelser i permitte</w:t>
      </w:r>
      <w:r>
        <w:t>ringsordningene og at det offentlige overtar mer av ansvaret for inntektsstøtte til arbeidstakerne ved midlertidig nedbemanning. I tillegg til å bedre bedriftenes likviditet, bidrar disse tiltakene til å gjøre det lettere for bedriftene å tilpasse produksj</w:t>
      </w:r>
      <w:r>
        <w:t>onen uten å måtte gå til oppsigelser. I Danmark har regjeringen og partene i arbeidsmarkedet inngått en avtale som innebærer at lønnsmottakere i hardt rammende bedrifter kan permitteres med full lønn i en tremånedersperiode, der staten betaler 75 – 90 pst.</w:t>
      </w:r>
      <w:r>
        <w:t xml:space="preserve"> Fem dager skal dekkes av opptjent ferie eller avspasering. I Tyskland kan ordningen for delvis permittering (korttidsarbeid) brukes i forbindelse med virusutbruddet. I Sverige økes den offentlig støtten til både bedrifter og arbeidstakere ved delvis permi</w:t>
      </w:r>
      <w:r>
        <w:t xml:space="preserve">ttering. </w:t>
      </w:r>
    </w:p>
    <w:p w:rsidR="00000000" w:rsidRDefault="00983558" w:rsidP="002E7EAE">
      <w:r>
        <w:t>En del land har innført ytterligere tiltak for å dempe inntektstapet for rammede arbeidstakere og selvstendig næringsdrivende. Karensdager i sykelønnsordninger er midlertidig fjernet i bl.a. Sverige, og i enkelte land åpnes det for sykelønn for d</w:t>
      </w:r>
      <w:r>
        <w:t>em som ikke har anledning til å jobbe mens de er i pålagt karantene. I USA er ordningene for sykelønn og arbeidsledighetstrygd bedret. Det vurderes utsatt innbetaling av personskatt og utbetaling av kontantbeløp til hver enkelt amerikaner. Utvidet rett til</w:t>
      </w:r>
      <w:r>
        <w:t xml:space="preserve"> sykelønn for selvstendig </w:t>
      </w:r>
      <w:r>
        <w:lastRenderedPageBreak/>
        <w:t>næringsdrivende innføres i Sverige og Danmark, og i Storbritannia får denne gruppen anledning til å kreve dagpenger.</w:t>
      </w:r>
    </w:p>
    <w:p w:rsidR="00000000" w:rsidRDefault="00983558" w:rsidP="002E7EAE">
      <w:r>
        <w:t xml:space="preserve">Mange land innfører nye offentlige låne- eller garantiordninger for å sikre at bedrifter har tilgang på kreditt. </w:t>
      </w:r>
      <w:r>
        <w:t>Ordningene kan omfatte både små og store bedrifter. Blant andre har Tyskland, Danmark og Storbritannia annonsert statsgaranti for utlån til mindre bedrifter som har fått kraftig redusert omsetning på grunn av virusutbruddet. I Danmark vil garantien dekke o</w:t>
      </w:r>
      <w:r>
        <w:t>pptil 70 pst. av bankenes nye utlån til å dekke driftstap hos ellers sunne bedrifter, i Tyskland og Storbritannia dekkes opptil 80 pst. Også EU sentralt vil støtte små- og mellomstore bedrifter. Sverige har innført statsgarantier for bankers lån til flysel</w:t>
      </w:r>
      <w:r>
        <w:t xml:space="preserve">skaper, herunder SAS. Danmark vil gi tilsvarende garantier til SAS. Både Sverige og Danmark har økt eksportkredittbyråets garantiramme. </w:t>
      </w:r>
    </w:p>
    <w:p w:rsidR="00000000" w:rsidRDefault="00983558" w:rsidP="002E7EAE">
      <w:r>
        <w:t>Styringsrenten er satt betydelig ned i en rekke land, og flere sentralbanker tilbyr ekstra likviditet til bankene gjenn</w:t>
      </w:r>
      <w:r>
        <w:t>om store utvidelser i kjøp av verdipapirer og/eller direkte lån til banker. Sentralbankene i USA, Canada, Storbritannia, Japan, Sveits og euroområdet har innført koordinerte tiltak for å styrke dollarlikviditeten i det globale markedet.</w:t>
      </w:r>
    </w:p>
    <w:p w:rsidR="00000000" w:rsidRDefault="00983558" w:rsidP="002E7EAE">
      <w:r>
        <w:t>For å frigjøre utlå</w:t>
      </w:r>
      <w:r>
        <w:t>nskapasitet i bankene er kapitalkrav eller reservekrav lempet på. Et typisk tiltak er reduksjon i motsyklisk buffer.</w:t>
      </w:r>
    </w:p>
    <w:p w:rsidR="00000000" w:rsidRDefault="00983558" w:rsidP="002E7EAE">
      <w:pPr>
        <w:pStyle w:val="Overskrift1"/>
      </w:pPr>
      <w:r>
        <w:lastRenderedPageBreak/>
        <w:t>Forslag om endringer under det enkelte departement</w:t>
      </w:r>
    </w:p>
    <w:p w:rsidR="00000000" w:rsidRDefault="00983558" w:rsidP="002E7EAE">
      <w:pPr>
        <w:pStyle w:val="Overskrift2"/>
      </w:pPr>
      <w:r>
        <w:t>Nærings- og fiskeridepartementet</w:t>
      </w:r>
    </w:p>
    <w:p w:rsidR="00000000" w:rsidRDefault="00983558" w:rsidP="002E7EAE">
      <w:pPr>
        <w:pStyle w:val="b-budkaptit"/>
      </w:pPr>
      <w:r>
        <w:t>Kap. 900 Nær</w:t>
      </w:r>
      <w:r>
        <w:t>ings- og fiskeridepartementet</w:t>
      </w:r>
    </w:p>
    <w:p w:rsidR="00000000" w:rsidRDefault="00983558" w:rsidP="002E7EAE">
      <w:pPr>
        <w:pStyle w:val="b-post"/>
      </w:pPr>
      <w:r>
        <w:t>Post 23 (Ny) Spesielle driftsutgifter til administrasjon av garantiordning luftfart</w:t>
      </w:r>
    </w:p>
    <w:p w:rsidR="00000000" w:rsidRDefault="00983558" w:rsidP="002E7EAE">
      <w:r>
        <w:t>Regjeringen foreslår å bevilge 6 mill. kroner til GIEK for administrasjon av en ny garantiordning for luftfart på kap. 900, (ny) post 23 Spesi</w:t>
      </w:r>
      <w:r>
        <w:t xml:space="preserve">elle driftsutgifter til administrasjon av garantiordning luftfart, jf. omtale under kap. 900, (ny) post 50 Tilskudd til tapsavsetning for garantiordning luftfart. </w:t>
      </w:r>
    </w:p>
    <w:p w:rsidR="00000000" w:rsidRDefault="00983558" w:rsidP="002E7EAE">
      <w:pPr>
        <w:pStyle w:val="b-post"/>
      </w:pPr>
      <w:r>
        <w:t>Post 50 (Ny) Tilskudd til tapsavsetning for garantiordning luftfart</w:t>
      </w:r>
    </w:p>
    <w:p w:rsidR="00000000" w:rsidRDefault="00983558" w:rsidP="002E7EAE">
      <w:r>
        <w:t>Regjeringen vil legge ti</w:t>
      </w:r>
      <w:r>
        <w:t>l rette for likviditet til flyselskaper i situasjonen som er oppstått som følge av virusutbruddet, gjennom å foreslå at det opprettes en garantifasilitet for selskaper med norsk flylisens (AOC).</w:t>
      </w:r>
    </w:p>
    <w:p w:rsidR="00000000" w:rsidRDefault="00983558" w:rsidP="002E7EAE">
      <w:r>
        <w:t>Flybransjen er i en kritisk situasjon etter spredningen av ko</w:t>
      </w:r>
      <w:r>
        <w:t>ronaviruset. Flyselskapene utgjør en sentral del av kritisk norsk infrastruktur. Det er uklart hvilke effekter en eventuell konkurs i ett eller flere av de tre største, Norwegian Air Shuttle ASA (NAS), SAS AB eller Widerøe Flyveselskap AS (Widerøe) kan få.</w:t>
      </w:r>
      <w:r>
        <w:t xml:space="preserve"> Regjeringen ønsker å bidra til at det under og i tiden etter denne krisen vil være et forsvarlig flytilbud. Dersom selskapene ikke får tilgang på økt likviditet, er det en betydelig risiko for konkurser. Regjeringen vil, gjennom en garantifasilitet, bidra</w:t>
      </w:r>
      <w:r>
        <w:t xml:space="preserve"> til å unngå dette. Tilrettelegging for likviditet bør skje til lavest mulig finansiell kostnad for staten. Det bør vises aktsomhet med å bruke av det offentliges midler til å støtte finansielle kreditorer og eiere som har akseptert høy risiko.</w:t>
      </w:r>
    </w:p>
    <w:p w:rsidR="00000000" w:rsidRDefault="00983558" w:rsidP="002E7EAE">
      <w:r>
        <w:t>Den svenske</w:t>
      </w:r>
      <w:r>
        <w:t xml:space="preserve"> staten besluttet i mars å tilby kredittgarantier for et tyvetalls flyselskaper som har hoveddelen av sin virksomhet eller hovedkontor i Sverige. Formålet var å dempe effekten av virusutbruddet. Den svenske staten stiller 5 mrd. SEK til rådighet, hvorav 1,</w:t>
      </w:r>
      <w:r>
        <w:t xml:space="preserve">5 mrd. er rettet mot SAS. Også den danske staten bidrar med 1,5 mrd. SEK til SAS. </w:t>
      </w:r>
    </w:p>
    <w:p w:rsidR="00000000" w:rsidRDefault="00983558" w:rsidP="002E7EAE">
      <w:r>
        <w:t>Etter tiltakene fra Danmark og Sverige er situasjonen ikke lenger like prekær for SAS, men det kan endre seg gitt den generelle usikkerheten nå. Widerøe er også relativt god</w:t>
      </w:r>
      <w:r>
        <w:t xml:space="preserve">t stilt, men det er likevel stor usikkerhet fremover. For disse selskapene kan en garantifasilitet fungere som et sikkerhetsnett. NAS er i en mer utfordrende situasjon. </w:t>
      </w:r>
    </w:p>
    <w:p w:rsidR="00000000" w:rsidRDefault="00983558" w:rsidP="002E7EAE">
      <w:r>
        <w:t>Staten har benyttet finansielle rådgivere (Pareto Securities) og juridiske rådgivere (</w:t>
      </w:r>
      <w:r>
        <w:t>advokatfirmaet Wiersholm) i vurderinger av en mulig garantifasilitet.</w:t>
      </w:r>
    </w:p>
    <w:p w:rsidR="00000000" w:rsidRDefault="00983558" w:rsidP="002E7EAE">
      <w:r>
        <w:t xml:space="preserve">Regjeringen har prioritert å utforme en løsning som gir alle aktørene anledning til delta på strenge vilkår. Nærings- og fiskeridepartementet vil fastsette vilkår for ordningen som skal </w:t>
      </w:r>
      <w:r>
        <w:t xml:space="preserve">ivareta følgende hensyn: </w:t>
      </w:r>
    </w:p>
    <w:p w:rsidR="00000000" w:rsidRDefault="00983558" w:rsidP="002E7EAE">
      <w:pPr>
        <w:pStyle w:val="Nummerertliste"/>
      </w:pPr>
      <w:r>
        <w:t xml:space="preserve">En garantifasilitet med ramme på 6 mrd. kroner. </w:t>
      </w:r>
    </w:p>
    <w:p w:rsidR="00000000" w:rsidRDefault="00983558" w:rsidP="002E7EAE">
      <w:pPr>
        <w:pStyle w:val="Nummerertliste"/>
      </w:pPr>
      <w:r>
        <w:t>Garantifasiliteten tilbys alle flyselskaper med norsk AOC (flylisens). NAS får tilgang til 3 mrd. kroner, SAS 1,5 mrd. kroner og øvrige selskaper inkludert Widerøe 1,5 </w:t>
      </w:r>
      <w:r>
        <w:t xml:space="preserve">mrd. kroner. Følgende betingelser settes for alle selskapenes deltagelse: </w:t>
      </w:r>
    </w:p>
    <w:p w:rsidR="00000000" w:rsidRDefault="00983558" w:rsidP="002E7EAE">
      <w:pPr>
        <w:pStyle w:val="alfaliste2"/>
      </w:pPr>
      <w:r>
        <w:t>Lån til selskapene garanteres med opptil 90 pst. av staten. Resterende 10 pst. av risikoen må dekkes av en kommersiell motpart (bank eller annen finansinstitusjon). Selskapene</w:t>
      </w:r>
      <w:r>
        <w:t xml:space="preserve"> kan trekke på ordningen over en tremåneders periode. Tilbakebetalingstiden er maksimalt to år. </w:t>
      </w:r>
    </w:p>
    <w:p w:rsidR="00000000" w:rsidRDefault="00983558" w:rsidP="002E7EAE">
      <w:pPr>
        <w:pStyle w:val="alfaliste2"/>
      </w:pPr>
      <w:r>
        <w:t xml:space="preserve">Egenkapitalandel på minimum 8 pst. ved slutten av siste kvartalsrapportering før virusutbruddet. </w:t>
      </w:r>
    </w:p>
    <w:p w:rsidR="00000000" w:rsidRDefault="00983558" w:rsidP="002E7EAE">
      <w:pPr>
        <w:pStyle w:val="alfaliste2"/>
      </w:pPr>
      <w:r>
        <w:t>Selskaper som ikke oppfyller punkt b. kan alterna</w:t>
      </w:r>
      <w:r>
        <w:t>tivt oppfylle et krav om at alle eksisterende finansielle kreditorer går med på moratorium som innebærer ettergivelse av renter og utsettelse av avdrag i en periode på tre måneder. Moratoriet må forankres med alle kreditorene. Det er krav om at selskapet i</w:t>
      </w:r>
      <w:r>
        <w:t>la. tremånedersperioden gjennomfører forbedringer som ville gitt en egenkapitalan</w:t>
      </w:r>
      <w:r>
        <w:lastRenderedPageBreak/>
        <w:t>del på 8 pst. per siste avlagte kvartalsrapportering før virusutbruddet, jf. kravet i punkt b. Garantipremie og avdrag skal tilfalle staten før andre kreditorer så lenge egenk</w:t>
      </w:r>
      <w:r>
        <w:t>apitalkravet ikke er oppfylt.</w:t>
      </w:r>
    </w:p>
    <w:p w:rsidR="00000000" w:rsidRDefault="00983558" w:rsidP="002E7EAE">
      <w:pPr>
        <w:pStyle w:val="alfaliste2"/>
      </w:pPr>
      <w:r>
        <w:t>Garantipremien på benyttet fasilitet fastsettes av Nærings- og fiskeridepartementet. Garantiene skal prises i lys av risikoen, over lånets løpetid.</w:t>
      </w:r>
    </w:p>
    <w:p w:rsidR="00000000" w:rsidRDefault="00983558" w:rsidP="002E7EAE">
      <w:pPr>
        <w:pStyle w:val="alfaliste2"/>
      </w:pPr>
      <w:r>
        <w:t>Lån</w:t>
      </w:r>
      <w:r>
        <w:t xml:space="preserve"> under garantifasiliteten skal ikke benyttes til utbytte og bonusutbetalinger til ledende ansatte.</w:t>
      </w:r>
    </w:p>
    <w:p w:rsidR="00000000" w:rsidRDefault="00983558" w:rsidP="002E7EAE">
      <w:r>
        <w:t>Også for selskaper som ikke benytter ordningen i tremånedersperioden kan tilgangen være verdifull for å redusere usikkerhet.</w:t>
      </w:r>
    </w:p>
    <w:p w:rsidR="00000000" w:rsidRDefault="00983558" w:rsidP="002E7EAE">
      <w:r>
        <w:t>NAS' situasjon er særlig krevend</w:t>
      </w:r>
      <w:r>
        <w:t>e. Gjennom denne ordningen stiller staten strenge vilkår, som kan bidra til en realitetsorientering blant eiere, finansielle kreditorer og andre aktører. Dersom disse ikke vil bidra til ovennevnte tiltak, ser ikke staten noen mulig løsning for NAS der stat</w:t>
      </w:r>
      <w:r>
        <w:t>en bidrar.</w:t>
      </w:r>
    </w:p>
    <w:p w:rsidR="00000000" w:rsidRDefault="00983558" w:rsidP="002E7EAE">
      <w:r>
        <w:t>Rammen til NAS inndeles i tre transjer hvor ulike vilkår for trekk må oppfylles. Transje én er på inntil 300 mill. kroner uten andre betingelser enn 10 pst. ekstern deltagelse. Transje to er på inntil 1,2 mrd. kroner som stilles til rådighet ved</w:t>
      </w:r>
      <w:r>
        <w:t xml:space="preserve"> innføring av moratorium. Transje tre innebærer at den totale kapitalen stilles til rådighet når selskapet oppfyller kravet til egenkapitalandel. </w:t>
      </w:r>
    </w:p>
    <w:p w:rsidR="00000000" w:rsidRDefault="00983558" w:rsidP="002E7EAE">
      <w:r>
        <w:t>Fordelingen av rammen innebærer at det tas høyde for den ulike situasjonen mellom selskapene. Dette må sees i</w:t>
      </w:r>
      <w:r>
        <w:t xml:space="preserve"> lys av at SAS har tilgang til svensk og dansk støtte. </w:t>
      </w:r>
    </w:p>
    <w:p w:rsidR="00000000" w:rsidRDefault="00983558" w:rsidP="002E7EAE">
      <w:r>
        <w:t>Garantien staten stiller til rådighet er usikker, og vurderes å være beheftet med høy risiko. Det foreslås derfor at det bevilges et beløp tilsvarende størrelsen på statens garantiforpliktelse på kap.</w:t>
      </w:r>
      <w:r>
        <w:t xml:space="preserve"> 900, post 50. Inntekter under fasiliteten vil tilfalle staten. </w:t>
      </w:r>
    </w:p>
    <w:p w:rsidR="00000000" w:rsidRDefault="00983558" w:rsidP="002E7EAE">
      <w:r>
        <w:t>Rammen er avgrenset til selskaper med norsk flylisens (AOC). Regjeringen ser ikke at tiltaket kan rettes mer presist inn mot norsk aktivitet, grunnet operasjonell og finansiell struktur i bra</w:t>
      </w:r>
      <w:r>
        <w:t xml:space="preserve">nsjen. </w:t>
      </w:r>
    </w:p>
    <w:p w:rsidR="00000000" w:rsidRDefault="00983558" w:rsidP="002E7EAE">
      <w:r>
        <w:t>Tiltakspakken må notifiseres til ESA. Europakommisjonen og ESA kommer til å vedta retningslinjer for støtte gitt etter EØS-avtalen art 61 (3) b. Så lenge ordningen er innenfor retningslinjene, vil den bli godkjent. Det vil også gå raskt, i løpet av</w:t>
      </w:r>
      <w:r>
        <w:t xml:space="preserve"> et par dager fra notifikasjonen er sendt. Dersom støtteordningen faller utenfor retningslinjene, vil det fortsatt være mulig å notifisere den etter art. 61 (3) b. Det vil imidlertid kreve en bedre argumentasjon for hvorfor den skal godkjennes, og muligens</w:t>
      </w:r>
      <w:r>
        <w:t xml:space="preserve"> kreve litt mer tid. Det vil avhenge av hvor mye ordningen fraviker retningslinjene. </w:t>
      </w:r>
    </w:p>
    <w:p w:rsidR="00000000" w:rsidRDefault="00983558" w:rsidP="002E7EAE">
      <w:r>
        <w:t xml:space="preserve">Å utstede garantiene på vegne av staten gis som et særskilt oppdrag til GIEK, på siden av dets ordinære virksomhet. </w:t>
      </w:r>
    </w:p>
    <w:p w:rsidR="00000000" w:rsidRDefault="00983558" w:rsidP="002E7EAE">
      <w:r>
        <w:t>Regjeringen foreslår på den</w:t>
      </w:r>
      <w:r>
        <w:t xml:space="preserve">ne bakgrunn en ny garantifullmakt med en ramme på 6 mrd. kroner. Regjeringen foreslår videre å bevilge 6 mrd. kroner på kap. 900, ny post 50 Tilskudd til tapsavsetning for garantiordning luftfart. </w:t>
      </w:r>
    </w:p>
    <w:p w:rsidR="00000000" w:rsidRDefault="00983558" w:rsidP="002E7EAE">
      <w:pPr>
        <w:pStyle w:val="avsnitt-tittel"/>
      </w:pPr>
      <w:r>
        <w:t>Andre saker</w:t>
      </w:r>
    </w:p>
    <w:p w:rsidR="00000000" w:rsidRDefault="00983558" w:rsidP="002E7EAE">
      <w:pPr>
        <w:pStyle w:val="avsnitt-undertittel"/>
      </w:pPr>
      <w:r>
        <w:t>Videre vurdering av finansieringsordninger ret</w:t>
      </w:r>
      <w:r>
        <w:t>tet mot oppstart- og tidligfaseselskaper</w:t>
      </w:r>
    </w:p>
    <w:p w:rsidR="00000000" w:rsidRDefault="00983558" w:rsidP="002E7EAE">
      <w:r>
        <w:t>Regjeringen er opptatt av at norsk næringsliv skal komme seg på best mulig måte gjennom krisen som har oppstått som følge av virusutbruddet, også de som er i oppstartsfasen eller tidligfase. Regjeringen har foreslåt</w:t>
      </w:r>
      <w:r>
        <w:t xml:space="preserve">t svært omfattende tiltak for å bedre norske bedrifters tilgang på likviditet. Tiltakene som allerede er iverksatt, og de som foreslås i denne proposisjonen og Prop. 58 LS (2019–2020), vil kunne hjelpe bedrifter av alle størrelser og i alle bransjer. </w:t>
      </w:r>
    </w:p>
    <w:p w:rsidR="00000000" w:rsidRDefault="00983558" w:rsidP="002E7EAE">
      <w:r>
        <w:t>Bedr</w:t>
      </w:r>
      <w:r>
        <w:t>et tilgang på likviditet vil også komme selskaper i oppstartsfasen til gode. Det er viktig for norsk økonomi at fremtidige bedrifter, som skal være med på omstillingen av Norge, nå ikke faller mellom ordningene som opprettes. Oppstartsselskaper kan falle u</w:t>
      </w:r>
      <w:r>
        <w:t xml:space="preserve">tenfor garanti- og låneordninger dersom de mangler verdier som det kan tas pant i, jf. omtale i Prop. 58 LS (2019–2020). </w:t>
      </w:r>
    </w:p>
    <w:p w:rsidR="00000000" w:rsidRDefault="00983558" w:rsidP="002E7EAE">
      <w:r>
        <w:t>Tidligere uro og nedgang i finansmarkedene har blitt etterfulgt av lavere vilje til utlån og investeringer i små og mellomstore bedrif</w:t>
      </w:r>
      <w:r>
        <w:t>ter. Særlig gjelder dette i de segmentene av markedet hvor risikoen allerede oppleves som stor. Kapitaltilgangsutvalget peker på at årene etter finanskrisen var preget av at færre investorer og investeringsmiljøer ønsket å investere i vekstbedrifter i tidl</w:t>
      </w:r>
      <w:r>
        <w:t xml:space="preserve">ige faser. Det skyldtes blant annet høy risiko, og at det går lang tid mellom investering og realisering. Med den betydelige usikkerheten i </w:t>
      </w:r>
      <w:r>
        <w:lastRenderedPageBreak/>
        <w:t>kapitalmarkedene som vi nå observerer, vil risikable innovasjonsprosjekter, gründere og vekstselskaper igjen kunne o</w:t>
      </w:r>
      <w:r>
        <w:t xml:space="preserve">ppleve svekket tilgang på risikovillig kapital. </w:t>
      </w:r>
    </w:p>
    <w:p w:rsidR="00000000" w:rsidRDefault="00983558" w:rsidP="002E7EAE">
      <w:r>
        <w:t>Regjeringen vil raskt komme tilbake med nærmere vurderinger av behov for tiltak, og vil prioritere å bruke eksisterende ordninger, slik at tiltakene kan få effekt raskt.</w:t>
      </w:r>
    </w:p>
    <w:p w:rsidR="00000000" w:rsidRDefault="00983558" w:rsidP="002E7EAE">
      <w:pPr>
        <w:pStyle w:val="Overskrift2"/>
      </w:pPr>
      <w:r>
        <w:t>Samferdselsdepartementet</w:t>
      </w:r>
    </w:p>
    <w:p w:rsidR="00000000" w:rsidRDefault="00983558" w:rsidP="002E7EAE">
      <w:pPr>
        <w:pStyle w:val="b-budkaptit"/>
      </w:pPr>
      <w:r>
        <w:t>Kap. 1310 Flytransport</w:t>
      </w:r>
    </w:p>
    <w:p w:rsidR="00000000" w:rsidRDefault="00983558" w:rsidP="002E7EAE">
      <w:pPr>
        <w:pStyle w:val="b-post"/>
      </w:pPr>
      <w:r>
        <w:t>Post 70 Kjøp av innenlandske flyruter, kan overføres</w:t>
      </w:r>
    </w:p>
    <w:p w:rsidR="00000000" w:rsidRDefault="00983558" w:rsidP="002E7EAE">
      <w:r>
        <w:t xml:space="preserve">I Saldert budsjett 2020 er det bevilget 718,1 mill. kroner til kjøp av regionale flyruter. Kjøpet gjelder flyruter hvor det ikke er grunnlag for kommersiell drift. </w:t>
      </w:r>
    </w:p>
    <w:p w:rsidR="00000000" w:rsidRDefault="00983558" w:rsidP="002E7EAE">
      <w:r>
        <w:t>Flyselskapene s</w:t>
      </w:r>
      <w:r>
        <w:t xml:space="preserve">om opererer eksisterende ruter med statlig kontrakt (FOT-ruter), opprettholder kapasiteten i rutenettet inntil videre. Kontraktene med Samferdselsdepartementet åpner for reforhandling ved vesentlige eller uforutsette endringer i forutsetningene som ligger </w:t>
      </w:r>
      <w:r>
        <w:t>til grunn for avtalen. Hovedoperatøren har varslet Samferdselsdepartementet om inntektssvikt og bedt staten kompensere for differansen mellom bortfall av inntekter og reduserte kostnader som følge av virusutbruddet. Regjeringen vil gjennomføre en reforhand</w:t>
      </w:r>
      <w:r>
        <w:t xml:space="preserve">ling av kontraktene. Endringene vil gjelde i en tidsbegrenset periode og avsluttes så snart etterspørselen normaliserer seg. Regjeringen vil fortløpende vurdere behovet for forlengelse. </w:t>
      </w:r>
    </w:p>
    <w:p w:rsidR="00000000" w:rsidRDefault="00983558" w:rsidP="002E7EAE">
      <w:r>
        <w:t>Som følge av virusutbruddet har det kommersielle grunnlaget for en be</w:t>
      </w:r>
      <w:r>
        <w:t xml:space="preserve">tydelig del av norsk personflytrafikk falt bort. Velfungerende flyruter er viktig for næringslivet og flere samfunnsfunksjoner, som helse- og pasienttransport. Etterspørselen etter personreiser med fly har falt betydelig i Norge de siste ukene, i tråd med </w:t>
      </w:r>
      <w:r>
        <w:t>helsefaglige råd om redusert reiseaktivitet. Det er krevende å gi gode prognoser for utviklingen i persontransporten fremover. Regjeringen ønsker å opprettholde et grunnleggende tilbud av flytransport gjennom en periode med redusert reiseaktivitet som følg</w:t>
      </w:r>
      <w:r>
        <w:t>e av virusutbruddet, slik at det opprettholdes en viss frekvens mellom regionene og enkelte lokale ruter. Samferdselsdepartementet har innledet dialog med NHO Luftfart og de tre flyselskapene med norsk lisens om dette. Regjeringen foreslår at staten skal k</w:t>
      </w:r>
      <w:r>
        <w:t>jøpe flyruter på strekninger hvor det midlertidig ikke er grunnlag for kommersiell drift. Det legges til grunn at statens utgifter begrenses som følge av billettinntekter til selskapene. Det vil fortløpende bli vurdert når grunntilbudet på aktuelle ruter k</w:t>
      </w:r>
      <w:r>
        <w:t xml:space="preserve">an dekkes av markedet selv. </w:t>
      </w:r>
    </w:p>
    <w:p w:rsidR="00000000" w:rsidRDefault="00983558" w:rsidP="002E7EAE">
      <w:r>
        <w:t>Bevilgningsbehovet er usikkert og regjeringen vil komme tilbake med en nærmere vurdering i forbindelse med revidert nasjonalbudsjett. Da det er usikkert hvor lenge situasjonen vil vare i tid, vurderes det som hensiktsmessig å t</w:t>
      </w:r>
      <w:r>
        <w:t xml:space="preserve">a høyde for økte utgifter på inntil 1 mrd. kroner. Regjeringen foreslår på denne bakgrunn å øke bevilgningen under kap. 1310 Flytransport, Post 70 Kjøp av innenlandske flyruter med 1 000 mill. kroner. </w:t>
      </w:r>
    </w:p>
    <w:p w:rsidR="00000000" w:rsidRDefault="00983558" w:rsidP="002E7EAE">
      <w:pPr>
        <w:pStyle w:val="b-post"/>
      </w:pPr>
      <w:r>
        <w:t>Post 71 (Ny) Kjøp av hjemtransport med fly av nordmenn</w:t>
      </w:r>
      <w:r>
        <w:t xml:space="preserve"> på reise og særskilt frakt</w:t>
      </w:r>
    </w:p>
    <w:p w:rsidR="00000000" w:rsidRDefault="00983558" w:rsidP="002E7EAE">
      <w:r>
        <w:t>Regjeringen ønsker å bidra til at nordmenn på reise i utlandet kommer seg trygt hjem til Norge. Regjeringen arbeider tett sammen med flyselskapene om å bistå norske borgere med å returnere til Norge. Regjeringen har formidlet ti</w:t>
      </w:r>
      <w:r>
        <w:t>l flyselskapene Widerøe, Norwegian og SAS at staten vil dekke dokumenterbare merkostnader ved å opprettholde enkelte avganger flyselskapene ellers ville innstilt, for å fly nordmenn på reise hjem inntil 31. mars 2020. Samferdselsdepartementet vil gå i nærm</w:t>
      </w:r>
      <w:r>
        <w:t>ere dialog med selskapene om aktuelle strekninger. Dette vil særlig gjelde destinasjoner der det nå befinner seg mange norske borgere som er fast bosatt i Norge, og som er på midlertidig reise i utlandet.</w:t>
      </w:r>
    </w:p>
    <w:p w:rsidR="00000000" w:rsidRDefault="00983558" w:rsidP="002E7EAE">
      <w:r>
        <w:t>Flyselskapene vil ta normal betaling fra de reisend</w:t>
      </w:r>
      <w:r>
        <w:t>e og administrere flyvninger på vanlig måte. Billetter bookes hos flyselskapene på vanlig måte. Flyselskapene skal begrense merkostnadene så langt det er mulig. Samferdselsdepartementet koordinerer kjøp av hjemtransport med Utenriksdepartementets eksistere</w:t>
      </w:r>
      <w:r>
        <w:t>nde ordning for bistand til norske borgere i utlandet. Det vises til nærmere omtale nedenfor.</w:t>
      </w:r>
    </w:p>
    <w:p w:rsidR="00000000" w:rsidRDefault="00983558" w:rsidP="002E7EAE">
      <w:r>
        <w:t>Regjeringen mener det kan oppstå behov for at norske myndigheter må dekke et uforutsett transportbehov knyttet til frakt av medisinsk utstyr og smittevern mv. Det</w:t>
      </w:r>
      <w:r>
        <w:t xml:space="preserve"> foreslås derfor at staten anskaffer flyberedskap fra flyselskapene om å stille slik kapasitet til disposisjon for innenlands og utenlands behov. </w:t>
      </w:r>
      <w:r>
        <w:lastRenderedPageBreak/>
        <w:t xml:space="preserve">Samferdselsdepartementet koordinerer beredskapsbehov med Helse- og omsorgsdepartementet og om nødvendig andre </w:t>
      </w:r>
      <w:r>
        <w:t>berørte departementer.</w:t>
      </w:r>
    </w:p>
    <w:p w:rsidR="00000000" w:rsidRDefault="00983558" w:rsidP="002E7EAE">
      <w:r>
        <w:t>Regjeringen foreslår å bevilge 100 mill. kroner under kap. 1310 Flytransport, ny post 71 Kjøp av hjemtransport med fly av nordmenn på reise og særskilt frakt, for å ta høyde for utgifter til disse formålene. Bevilgningsbehovet er usi</w:t>
      </w:r>
      <w:r>
        <w:t>kkert, og regjeringen vil komme tilbake med en nærmere vurdering i forbindelse med revidert nasjonalbudsjett.</w:t>
      </w:r>
    </w:p>
    <w:p w:rsidR="00000000" w:rsidRDefault="00983558" w:rsidP="002E7EAE">
      <w:r>
        <w:t>Eventuelt strengt nødvendige, ekstraordinære flyvninger for å hente nordmenn på reise hjem utover det som dekkes av ovennevnte, vil kunne gjennomf</w:t>
      </w:r>
      <w:r>
        <w:t>øres med eksisterende ordning under Utenriksdepartementet. Det vises til fullmakt fra Stortinget om å overskride bevilgningen på kap. 100 Utenriksdepartementet, post 90 Lån til norske borgere i utlandet, ved behov for bistand fra aktuelle transportselskape</w:t>
      </w:r>
      <w:r>
        <w:t>r ved evakuering av norske borgere i kriserammede land. Fullmakten gjelder i de tilfeller og på de betingelser som gjelder for denne typen bistand, jf. Meld. St. 12 (2010–2011). Det må være tale om en alvorlig situasjon. Saker som gjelder liv og helse, min</w:t>
      </w:r>
      <w:r>
        <w:t>dreårige, situasjoner med alvorlige menneskerettighetsbrudd og/eller alvorlige humanitære situasjoner, prioriteres. Saker som gjelder liv og helse kan også omfatte personer som har særlige behov, er syke og pleietrengende. Fullmakten ble for eksempel brukt</w:t>
      </w:r>
      <w:r>
        <w:t xml:space="preserve"> til å evakuere norske borgere fra Japan i 2011 i forbindelse med jordskjelvet og etterfølgende atomulykke. Ordningen forutsetter at den enkelte selv skal betale ordinær billettpris for reisen. Det har ikke vært mulig å forutsi om og eventuelt hvor det vil</w:t>
      </w:r>
      <w:r>
        <w:t xml:space="preserve"> være behov for evakuering i forbindelse med virusutbruddet.</w:t>
      </w:r>
    </w:p>
    <w:p w:rsidR="00000000" w:rsidRDefault="00983558" w:rsidP="002E7EAE">
      <w:pPr>
        <w:pStyle w:val="Overskrift2"/>
      </w:pPr>
      <w:r>
        <w:t>Finansdepartementet</w:t>
      </w:r>
    </w:p>
    <w:p w:rsidR="00000000" w:rsidRDefault="00983558" w:rsidP="002E7EAE">
      <w:pPr>
        <w:pStyle w:val="b-budkaptit"/>
      </w:pPr>
      <w:r>
        <w:t>Kap. 1600 Finansdepartementet</w:t>
      </w:r>
    </w:p>
    <w:p w:rsidR="00000000" w:rsidRDefault="00983558" w:rsidP="002E7EAE">
      <w:pPr>
        <w:pStyle w:val="b-post"/>
      </w:pPr>
      <w:r>
        <w:t>Post 95 (Ny) Kapitalinnskudd, Statens obligasjonsfond</w:t>
      </w:r>
    </w:p>
    <w:p w:rsidR="00000000" w:rsidRDefault="00983558" w:rsidP="002E7EAE">
      <w:r>
        <w:t>Departementet foreslår å</w:t>
      </w:r>
      <w:r>
        <w:t xml:space="preserve"> gjenopprette Statens obligasjonsfond (obligasjonsfondet), som ble opprettet i forbindelse med finanskrisen i 2009, og avhendet i løpet av 2014. Fondet skal bidra til økt likviditet og kapital til obligasjonsmarkedet gjennom kjøp av rentebærende instrument</w:t>
      </w:r>
      <w:r>
        <w:t>er utstedt av norske selskaper. Finansdepartementet har ansvaret for forvaltningen av obligasjonsfondet og plasserer det som et separat kapitalinnskudd i Folketrygdfondet. Obligasjonsfondet etableres med en ramme for obligasjonskjøp på inntil 50 mrd. krone</w:t>
      </w:r>
      <w:r>
        <w:t>r, og Folketrygdfondet vil få i oppgave å investere fondet i ordinære obligasjonslån til markedsmessige vilkår etter et mandat fastsatt av departementet.</w:t>
      </w:r>
    </w:p>
    <w:p w:rsidR="00000000" w:rsidRDefault="00983558" w:rsidP="002E7EAE">
      <w:r>
        <w:t>Det vises til nærmere omtale av forslaget i Prop. 58 LS (2019–2020).</w:t>
      </w:r>
    </w:p>
    <w:p w:rsidR="00000000" w:rsidRDefault="00983558" w:rsidP="002E7EAE">
      <w:pPr>
        <w:pStyle w:val="avsnitt-undertittel"/>
      </w:pPr>
      <w:r>
        <w:t>Statens lånebehov i 2020</w:t>
      </w:r>
    </w:p>
    <w:p w:rsidR="00000000" w:rsidRDefault="00983558" w:rsidP="002E7EAE">
      <w:r>
        <w:t xml:space="preserve">Statens </w:t>
      </w:r>
      <w:r>
        <w:t>lånebehov for 2020 fulgte av forslaget til statsbudsjett for 2020. I tråd med lov om Statens pensjonsfond ble det oljekorrigerte underskuddet på statsbudsjettet foreslått dekket ved en overføring fra Statens pensjonsfond utland. Avdrag på statsgjelden, net</w:t>
      </w:r>
      <w:r>
        <w:t>to utlån og kapitalinnskudd til statsbankene mv. ble foreslått dekket ved nye låneopptak og/eller ved å trekke på statens kontantbeholdning. Stortingets vedtatte statsbudsjett for 2020 innebar et brutto finansieringsbehov anslått til 10,1 mrd. kroner.</w:t>
      </w:r>
    </w:p>
    <w:p w:rsidR="00000000" w:rsidRDefault="00983558" w:rsidP="002E7EAE">
      <w:r>
        <w:t>I tr</w:t>
      </w:r>
      <w:r>
        <w:t>åd med vanlig praksis ble det lagt opp til at finansieringsbehovet i hovedsak dekkes ved opptak av nye, langsiktige lån innenlands. For å ivareta hensynet til å opprettholde et velfungerende marked for statspapirer legges det normalt opp til å søke å jevne</w:t>
      </w:r>
      <w:r>
        <w:t xml:space="preserve"> ut den langsiktige opplåningen over flere år. I Prop. 1 S (2019–2020) ble det foreslått en fullmakt på 75 mrd. kroner for opptak av nye, langsiktige lån. Stortinget samtykket til dette ved behandlingen av Innst. 5 S (2019–2020).</w:t>
      </w:r>
    </w:p>
    <w:p w:rsidR="00000000" w:rsidRDefault="00983558" w:rsidP="002E7EAE">
      <w:r>
        <w:t>Forslaget om opprettelse a</w:t>
      </w:r>
      <w:r>
        <w:t>v Statens obligasjonsfond innebærer en ramme for kjøp av obligasjoner på inntil 50 mrd. kroner som skal finansieres med opplåning i markedet. Opprettelsen av fondet tilsier dermed en økning i lånebehovet på inntil 50 mrd. kroner. Lånefullmakten for 2020 må</w:t>
      </w:r>
      <w:r>
        <w:t xml:space="preserve"> ta høyde for at obligasjonsfondets ramme kan bli fullt utnyttet i løpet av året. Dette tilsier at lånefullmaktene for 2020 økes med et beløp tilsvarende den øvre rammen for Statens obligasjonsfond. Regjeringen ber på denne bakgrunn om at fullmakten til å </w:t>
      </w:r>
      <w:r>
        <w:t>ta opp langsiktige lån i 2020 økes fra 75 mrd. kroner til 125 mrd. kroner, jf. forslag til romertallsvedtak. De øvrige lånefullmaktene foreslås ikke endret.</w:t>
      </w:r>
    </w:p>
    <w:p w:rsidR="00000000" w:rsidRDefault="00983558" w:rsidP="002E7EAE">
      <w:pPr>
        <w:pStyle w:val="b-budkaptit"/>
      </w:pPr>
      <w:r>
        <w:lastRenderedPageBreak/>
        <w:t>Kap. 1645 (Nytt) Statlig garantiordning for lån til små og mellomstore bedrifter</w:t>
      </w:r>
    </w:p>
    <w:p w:rsidR="00000000" w:rsidRDefault="00983558" w:rsidP="002E7EAE">
      <w:pPr>
        <w:pStyle w:val="b-post"/>
      </w:pPr>
      <w:r>
        <w:t>Post 50 (Ny) Tilsk</w:t>
      </w:r>
      <w:r>
        <w:t xml:space="preserve">udd til tapsavsetning for statlig garantiordning for lån til små og mellomstore bedrifter </w:t>
      </w:r>
    </w:p>
    <w:p w:rsidR="00000000" w:rsidRDefault="00983558" w:rsidP="002E7EAE">
      <w:r>
        <w:t>Regjeringen foreslår en ny lov om statlig garanti for lån. Formålet med loven er å styrke små og mellomstore bedrifters tilgang til likviditet, ved at staten gjennom</w:t>
      </w:r>
      <w:r>
        <w:t xml:space="preserve"> en midlertidig garantiordning tilbyr risikoavlastning til finansforetak. Garantiordningen skal sikre delvis statsgaranterte lån til bedrifter som står overfor en akutt likviditetsmangel som følge av virusutbruddet. Staten vil etter forslaget garantere for</w:t>
      </w:r>
      <w:r>
        <w:t xml:space="preserve"> 90 pst. av lånebeløpet. Ordningen vil gjøre det mindre risikabelt for finansforetakene å gi lån til bedrifter med likviditetsmangel, og dermed bidra til at levedyktige bedrifter i norsk næringsliv kan komme seg gjennom krisen. Det foreslås en samlet garan</w:t>
      </w:r>
      <w:r>
        <w:t>tiramme på 50 mrd. kroner. Garantiordningen utgjør statsstøtte, og den må derfor utformes i tråd med EUs statsstøtteregler og godkjennes av ESA før den kan benyttes.</w:t>
      </w:r>
    </w:p>
    <w:p w:rsidR="00000000" w:rsidRDefault="00983558" w:rsidP="002E7EAE">
      <w:r>
        <w:t>Staten vil garantere for 90 pst. av hvert lån pro rata. Det vil si at staten og finansfore</w:t>
      </w:r>
      <w:r>
        <w:t xml:space="preserve">taket dekker henholdsvis 90 pst. og 10 pst. av tap fra første krone på hvert garanterte lån. Gjennomsnittlig tap anslås til 20 pst. Det innebærer at det foreslås å bevilge en tapsavsetning på 10 mrd. kroner. </w:t>
      </w:r>
    </w:p>
    <w:p w:rsidR="00000000" w:rsidRDefault="00983558" w:rsidP="002E7EAE">
      <w:r>
        <w:t>Det vises til nærmere omtale av forslaget i Pro</w:t>
      </w:r>
      <w:r>
        <w:t>p. 58 LS (2019–2020).</w:t>
      </w:r>
    </w:p>
    <w:p w:rsidR="00000000" w:rsidRDefault="00983558" w:rsidP="002E7EAE">
      <w:pPr>
        <w:pStyle w:val="b-budkaptit"/>
      </w:pPr>
      <w:r>
        <w:t>Kap. 5501 Skatter på formue og inntekt</w:t>
      </w:r>
    </w:p>
    <w:p w:rsidR="00000000" w:rsidRDefault="00983558" w:rsidP="002E7EAE">
      <w:pPr>
        <w:pStyle w:val="b-post"/>
      </w:pPr>
      <w:r>
        <w:t>Post 74 Selskapsskatter mv. fra upersonlige skattytere utenom petroleum</w:t>
      </w:r>
    </w:p>
    <w:p w:rsidR="00000000" w:rsidRDefault="00983558" w:rsidP="002E7EAE">
      <w:r>
        <w:t>Regjeringen foreslår å utsette fristen for innbetaling av den andre terminen for forskuddsskatt for selskap fra 15. april t</w:t>
      </w:r>
      <w:r>
        <w:t>il 1. september i 2020. Forslaget anslås å redusere inntektene med 380 mill. kroner påløpt og bokført i 2020, hvorav 370 mill. kroner føres på kap. 5501, post 74 Selskapsskatter mv. fra upersonlige skattytere utenom petroleum.</w:t>
      </w:r>
    </w:p>
    <w:p w:rsidR="00000000" w:rsidRDefault="00983558" w:rsidP="002E7EAE">
      <w:r>
        <w:t xml:space="preserve">Det vises til nærmere omtale </w:t>
      </w:r>
      <w:r>
        <w:t>av forslagene i Prop. 58 LS (2019–2020).</w:t>
      </w:r>
    </w:p>
    <w:p w:rsidR="00000000" w:rsidRDefault="00983558" w:rsidP="002E7EAE">
      <w:pPr>
        <w:pStyle w:val="b-budkaptit"/>
      </w:pPr>
      <w:r>
        <w:t>Kap. 5502 Finansskatt</w:t>
      </w:r>
    </w:p>
    <w:p w:rsidR="00000000" w:rsidRDefault="00983558" w:rsidP="002E7EAE">
      <w:pPr>
        <w:pStyle w:val="b-post"/>
      </w:pPr>
      <w:r>
        <w:t>Post 70 Skatt på lønn</w:t>
      </w:r>
    </w:p>
    <w:p w:rsidR="00000000" w:rsidRDefault="00983558" w:rsidP="002E7EAE">
      <w:r>
        <w:t>Regjeringen foreslår å utsette fristen for innbetaling av arbeidsgiveravgift fra 15. mai til 15. august i 2020. Forslaget anslås å redusere inntektene med 250 mill. kroner</w:t>
      </w:r>
      <w:r>
        <w:t xml:space="preserve"> påløpt og bokført i 2020, hvorav 5 mill. kroner føres på kap. 5502 Finansskatt, post 70 Skatt på lønn.</w:t>
      </w:r>
    </w:p>
    <w:p w:rsidR="00000000" w:rsidRDefault="00983558" w:rsidP="002E7EAE">
      <w:r>
        <w:t>Det vises til nærmere omtale av forslagene i Prop. 58 LS (2019–2020).</w:t>
      </w:r>
    </w:p>
    <w:p w:rsidR="00000000" w:rsidRDefault="00983558" w:rsidP="002E7EAE">
      <w:pPr>
        <w:pStyle w:val="b-post"/>
      </w:pPr>
      <w:r>
        <w:t>Post 71 Skatt på overskudd</w:t>
      </w:r>
    </w:p>
    <w:p w:rsidR="00000000" w:rsidRDefault="00983558" w:rsidP="002E7EAE">
      <w:r>
        <w:t>Regjeringen foreslår å</w:t>
      </w:r>
      <w:r>
        <w:t xml:space="preserve"> utsette fristen for innbetaling av den andre terminen for forskuddsskatt for selskap fra 15. april til 1. september i 2020. Forslaget anslås å redusere inntektene med 380 mill. kroner påløpt og bokført i 2020, hvorav 10 mill. kroner føres på kap. 5502, po</w:t>
      </w:r>
      <w:r>
        <w:t xml:space="preserve">st 71 Skatt på overskudd. </w:t>
      </w:r>
    </w:p>
    <w:p w:rsidR="00000000" w:rsidRDefault="00983558" w:rsidP="002E7EAE">
      <w:r>
        <w:t>Det vises til nærmere omtale av forslagene i Prop. 58 LS (2019–2020).</w:t>
      </w:r>
    </w:p>
    <w:p w:rsidR="00000000" w:rsidRDefault="00983558" w:rsidP="002E7EAE">
      <w:pPr>
        <w:pStyle w:val="b-budkaptit"/>
      </w:pPr>
      <w:r>
        <w:t>Kap. 5521 Merverdiavgift</w:t>
      </w:r>
    </w:p>
    <w:p w:rsidR="00000000" w:rsidRDefault="00983558" w:rsidP="002E7EAE">
      <w:pPr>
        <w:pStyle w:val="b-post"/>
      </w:pPr>
      <w:r>
        <w:t>Post 70 Merverdiavgift</w:t>
      </w:r>
    </w:p>
    <w:p w:rsidR="00000000" w:rsidRDefault="00983558" w:rsidP="002E7EAE">
      <w:r>
        <w:t>Regjeringen foreslår å utsette fristen for å betale merverdiavgift for første termin fra 14. april til 10. juni</w:t>
      </w:r>
      <w:r>
        <w:t xml:space="preserve"> 2020. Regjeringen forslår også midlertidig å redusere den lave merverdiavgiftssatsen fra 12 til 8 pst. i perioden fra og med 20. mars 2020 til og med 31. oktober 2020. Det samlede provenytapet ved forslagene anslås til 1 590 mill. kroner påløpt og bokført</w:t>
      </w:r>
      <w:r>
        <w:t xml:space="preserve"> i 2020. </w:t>
      </w:r>
    </w:p>
    <w:p w:rsidR="00000000" w:rsidRDefault="00983558" w:rsidP="002E7EAE">
      <w:r>
        <w:t>Det vises til nærmere omtale av forslagene i Prop. 58 LS (2019–2020).</w:t>
      </w:r>
    </w:p>
    <w:p w:rsidR="00000000" w:rsidRDefault="00983558" w:rsidP="002E7EAE">
      <w:pPr>
        <w:pStyle w:val="b-budkaptit"/>
      </w:pPr>
      <w:r>
        <w:lastRenderedPageBreak/>
        <w:t>Kap. 5700 Folketrygdens inntekter</w:t>
      </w:r>
    </w:p>
    <w:p w:rsidR="00000000" w:rsidRDefault="00983558" w:rsidP="002E7EAE">
      <w:pPr>
        <w:pStyle w:val="b-post"/>
      </w:pPr>
      <w:r>
        <w:t>Post 72 Arbeidsgiveravgift</w:t>
      </w:r>
    </w:p>
    <w:p w:rsidR="00000000" w:rsidRDefault="00983558" w:rsidP="002E7EAE">
      <w:r>
        <w:t>Regjeringen foreslår å utsette fristen for innbetaling av arbeidsgiveravgift fra 15. mai til 15. august i 2020. For</w:t>
      </w:r>
      <w:r>
        <w:t>slaget anslås å redusere inntektene fra med 250 mill. kroner påløpt og bokført i 2020, hvorav 245 mill. kroner føres på kap. 5700, post 72 Arbeidsgiveravgift.</w:t>
      </w:r>
    </w:p>
    <w:p w:rsidR="00000000" w:rsidRDefault="00983558" w:rsidP="002E7EAE">
      <w:r>
        <w:t>Det vises til nærmere omtale av forslagene i Prop. 58 LS (2019–2020).</w:t>
      </w:r>
    </w:p>
    <w:p w:rsidR="00000000" w:rsidRDefault="00983558" w:rsidP="002E7EAE">
      <w:pPr>
        <w:pStyle w:val="avsnitt-tittel"/>
      </w:pPr>
      <w:r>
        <w:t>Andre saker</w:t>
      </w:r>
    </w:p>
    <w:p w:rsidR="00000000" w:rsidRDefault="00983558" w:rsidP="002E7EAE">
      <w:pPr>
        <w:pStyle w:val="avsnitt-undertittel"/>
      </w:pPr>
      <w:r>
        <w:t>Utsatt overføri</w:t>
      </w:r>
      <w:r>
        <w:t>ng av skatteoppkrevingen fra kommunene til Skatteetaten</w:t>
      </w:r>
    </w:p>
    <w:p w:rsidR="00000000" w:rsidRDefault="00983558" w:rsidP="002E7EAE">
      <w:r>
        <w:t>Prosessen med overføringen av skatteoppkrevingen fra kommunene til Skatteetaten har inntil nå vært helt i rute mht. overføring 1. juni 2020. Det er blant annet gjennomført organisasjonsendringer i Ska</w:t>
      </w:r>
      <w:r>
        <w:t>tteetaten for å legge til rette for overtagelsen av nye oppgaver og ansatte. Avgivende kommuner har også gjort betydelig arbeid for å tilpasse egen organisasjon til overføring. Blant annet har de berørte kommunene i samråd med Skatteetaten kartlagt alle be</w:t>
      </w:r>
      <w:r>
        <w:t>rørte ansatte. Inntil i forrige uke var etaten i rute med å ha innplassering klar i april. Også arbeidet med nødvendige IT-tilpasninger er kommet langt og etaten har funnet lokaler til alle ansatte som skal over. Den pågående situasjonen med omfattende til</w:t>
      </w:r>
      <w:r>
        <w:t xml:space="preserve">tak mot koronaviruset medfører imidlertid utfordringer for en overføring med god kvalitet og uten ytterligere risiko for stabil og sikker produksjon. Skatteetaten viser blant annet til at klargjøring av lokaler, gjennomføring av innplassering og nødvendig </w:t>
      </w:r>
      <w:r>
        <w:t xml:space="preserve">opplæring kan bli vanskelig å gjennomføre innen 1. juni. </w:t>
      </w:r>
    </w:p>
    <w:p w:rsidR="00000000" w:rsidRDefault="00983558" w:rsidP="002E7EAE">
      <w:r>
        <w:t xml:space="preserve">Skatteetaten har hatt dialog med KS og et utvalg kommuner for å vurdere konsekvenser for kommunene og hvilket overføringstidspunkt som vil være mest hensiktsmessig. Etaten anbefaler i brev 19. mars </w:t>
      </w:r>
      <w:r>
        <w:t xml:space="preserve">2020 til Finansdepartementet at tidspunktet for overføringen av skatteoppkrevingen fra kommunene til Skatteetaten bør utsettes til 1. november 2020. </w:t>
      </w:r>
    </w:p>
    <w:p w:rsidR="00000000" w:rsidRDefault="00983558" w:rsidP="002E7EAE">
      <w:r>
        <w:t xml:space="preserve">Finansdepartementet mener det i lys av den pågående situasjonen er fornuftig at overføringen likevel ikke </w:t>
      </w:r>
      <w:r>
        <w:t>gjennomføres 1. juni 2020 og har gitt sin tilslutning til Skatteetatens anbefaling om overføring 1. november 2020. Regjeringen kommer tilbake til Stortinget i forbindelse med Revidert nasjonalbudsjett 2020 med de budsjettmessige konsekvensene av tidsforsky</w:t>
      </w:r>
      <w:r>
        <w:t>vningen.</w:t>
      </w:r>
    </w:p>
    <w:p w:rsidR="00000000" w:rsidRDefault="00983558" w:rsidP="002E7EAE">
      <w:pPr>
        <w:pStyle w:val="a-tilraar-dep"/>
      </w:pPr>
      <w:r>
        <w:t>Finansdepartementet</w:t>
      </w:r>
    </w:p>
    <w:p w:rsidR="00000000" w:rsidRDefault="00983558" w:rsidP="002E7EAE">
      <w:pPr>
        <w:pStyle w:val="a-tilraar-tit"/>
      </w:pPr>
      <w:r>
        <w:t>tilrår:</w:t>
      </w:r>
    </w:p>
    <w:p w:rsidR="00000000" w:rsidRDefault="00983558" w:rsidP="002E7EAE">
      <w:r>
        <w:t>At Deres Majestet godkjenner og skriver under et framlagt forslag til proposisjon til Stortinget om endringer i statsbudsjettet 2020 under Nærings- og fiskeridepartementet, Samferdselsdepartementet og Finansdepartemente</w:t>
      </w:r>
      <w:r>
        <w:t>t (økonomiske tiltak i møte med virusutbruddet).</w:t>
      </w:r>
    </w:p>
    <w:p w:rsidR="00000000" w:rsidRDefault="00983558" w:rsidP="002E7EAE">
      <w:pPr>
        <w:pStyle w:val="a-konge-tekst"/>
        <w:rPr>
          <w:rStyle w:val="halvfet0"/>
          <w:sz w:val="21"/>
          <w:szCs w:val="21"/>
        </w:rPr>
      </w:pPr>
      <w:r>
        <w:rPr>
          <w:rStyle w:val="halvfet0"/>
          <w:sz w:val="21"/>
          <w:szCs w:val="21"/>
        </w:rPr>
        <w:t>Vi HARALD,</w:t>
      </w:r>
      <w:r>
        <w:t xml:space="preserve"> Norges Konge,</w:t>
      </w:r>
    </w:p>
    <w:p w:rsidR="00000000" w:rsidRDefault="00983558" w:rsidP="002E7EAE">
      <w:pPr>
        <w:pStyle w:val="a-konge-tit"/>
      </w:pPr>
      <w:r>
        <w:t>stadfester:</w:t>
      </w:r>
    </w:p>
    <w:p w:rsidR="00000000" w:rsidRDefault="00983558" w:rsidP="002E7EAE">
      <w:r>
        <w:t>Stortinget blir bedt om å gjøre vedtak om endringer i statsbudsjettet 2020 under Nærings- og fiskeridepartementet, Samferdselsdepartementet og Finansdepartementet (økonom</w:t>
      </w:r>
      <w:r>
        <w:t>iske tiltak i møte med virusutbruddet) i samsvar med et vedlagt forslag.</w:t>
      </w:r>
    </w:p>
    <w:p w:rsidR="00000000" w:rsidRDefault="00983558" w:rsidP="002E7EAE">
      <w:pPr>
        <w:pStyle w:val="a-vedtak-tit"/>
      </w:pPr>
      <w:r>
        <w:lastRenderedPageBreak/>
        <w:t xml:space="preserve">Forslag </w:t>
      </w:r>
    </w:p>
    <w:p w:rsidR="00000000" w:rsidRDefault="00983558" w:rsidP="002E7EAE">
      <w:pPr>
        <w:pStyle w:val="a-vedtak-tit"/>
      </w:pPr>
      <w:r>
        <w:t>til vedtak om endringer i statsbudsjettet 2020 under Nærings- og fiskeridepartementet, Samferdselsdepartementet og Finansdepartementet (økonomiske tiltak i møte med virusutbr</w:t>
      </w:r>
      <w:r>
        <w:t>uddet)</w:t>
      </w:r>
    </w:p>
    <w:p w:rsidR="00000000" w:rsidRDefault="00983558" w:rsidP="002E7EAE">
      <w:pPr>
        <w:pStyle w:val="a-vedtak-del"/>
      </w:pPr>
      <w:r>
        <w:t>I</w:t>
      </w:r>
    </w:p>
    <w:p w:rsidR="00000000" w:rsidRDefault="00983558" w:rsidP="002E7EAE">
      <w:r>
        <w:t>I statsbudsjettet for 2020 gjøres følgende endringer:</w:t>
      </w:r>
    </w:p>
    <w:p w:rsidR="00000000" w:rsidRDefault="00983558" w:rsidP="002E7EAE">
      <w:pPr>
        <w:pStyle w:val="a-vedtak-tekst"/>
      </w:pPr>
      <w:r>
        <w:t>Utgifter:</w:t>
      </w:r>
    </w:p>
    <w:p w:rsidR="00000000" w:rsidRDefault="00983558" w:rsidP="002E7EAE">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670"/>
        <w:gridCol w:w="1970"/>
      </w:tblGrid>
      <w:tr w:rsidR="00000000" w:rsidTr="002E7EAE">
        <w:trPr>
          <w:trHeight w:val="360"/>
        </w:trPr>
        <w:tc>
          <w:tcPr>
            <w:tcW w:w="851" w:type="dxa"/>
            <w:shd w:val="clear" w:color="auto" w:fill="FFFFFF"/>
          </w:tcPr>
          <w:p w:rsidR="00000000" w:rsidRDefault="00983558" w:rsidP="002E7EAE">
            <w:r>
              <w:t>Kap.</w:t>
            </w:r>
          </w:p>
        </w:tc>
        <w:tc>
          <w:tcPr>
            <w:tcW w:w="709" w:type="dxa"/>
          </w:tcPr>
          <w:p w:rsidR="00000000" w:rsidRDefault="00983558" w:rsidP="002E7EAE">
            <w:r>
              <w:t>Post</w:t>
            </w:r>
          </w:p>
        </w:tc>
        <w:tc>
          <w:tcPr>
            <w:tcW w:w="5670" w:type="dxa"/>
          </w:tcPr>
          <w:p w:rsidR="00000000" w:rsidRDefault="00983558" w:rsidP="002E7EAE">
            <w:r>
              <w:t>Formål</w:t>
            </w:r>
          </w:p>
        </w:tc>
        <w:tc>
          <w:tcPr>
            <w:tcW w:w="1970" w:type="dxa"/>
          </w:tcPr>
          <w:p w:rsidR="00000000" w:rsidRDefault="00983558" w:rsidP="002E7EAE">
            <w:pPr>
              <w:jc w:val="right"/>
            </w:pPr>
            <w:r>
              <w:t>Kroner</w:t>
            </w:r>
          </w:p>
        </w:tc>
      </w:tr>
      <w:tr w:rsidR="00000000" w:rsidTr="002E7EAE">
        <w:trPr>
          <w:trHeight w:val="380"/>
        </w:trPr>
        <w:tc>
          <w:tcPr>
            <w:tcW w:w="851" w:type="dxa"/>
          </w:tcPr>
          <w:p w:rsidR="00000000" w:rsidRDefault="00983558" w:rsidP="002E7EAE">
            <w:r>
              <w:t>900</w:t>
            </w:r>
          </w:p>
        </w:tc>
        <w:tc>
          <w:tcPr>
            <w:tcW w:w="709" w:type="dxa"/>
          </w:tcPr>
          <w:p w:rsidR="00000000" w:rsidRDefault="00983558" w:rsidP="002E7EAE"/>
        </w:tc>
        <w:tc>
          <w:tcPr>
            <w:tcW w:w="5670" w:type="dxa"/>
          </w:tcPr>
          <w:p w:rsidR="00000000" w:rsidRDefault="00983558" w:rsidP="002E7EAE">
            <w:r>
              <w:t>Nærings- og fiskeridepartementet:</w:t>
            </w:r>
          </w:p>
        </w:tc>
        <w:tc>
          <w:tcPr>
            <w:tcW w:w="1970" w:type="dxa"/>
          </w:tcPr>
          <w:p w:rsidR="00000000" w:rsidRDefault="00983558" w:rsidP="002E7EAE">
            <w:pPr>
              <w:jc w:val="right"/>
            </w:pPr>
          </w:p>
        </w:tc>
      </w:tr>
      <w:tr w:rsidR="00000000" w:rsidTr="002E7EAE">
        <w:trPr>
          <w:trHeight w:val="640"/>
        </w:trPr>
        <w:tc>
          <w:tcPr>
            <w:tcW w:w="851" w:type="dxa"/>
          </w:tcPr>
          <w:p w:rsidR="00000000" w:rsidRDefault="00983558" w:rsidP="002E7EAE">
            <w:r>
              <w:t>(NY)</w:t>
            </w:r>
          </w:p>
        </w:tc>
        <w:tc>
          <w:tcPr>
            <w:tcW w:w="709" w:type="dxa"/>
          </w:tcPr>
          <w:p w:rsidR="00000000" w:rsidRDefault="00983558" w:rsidP="002E7EAE">
            <w:r>
              <w:t>23</w:t>
            </w:r>
          </w:p>
        </w:tc>
        <w:tc>
          <w:tcPr>
            <w:tcW w:w="5670" w:type="dxa"/>
          </w:tcPr>
          <w:p w:rsidR="00000000" w:rsidRDefault="00983558" w:rsidP="002E7EAE">
            <w:r>
              <w:t>Spesielle driftsutgifter til administrasjon av garantiordning luftfart, bevilges med</w:t>
            </w:r>
          </w:p>
        </w:tc>
        <w:tc>
          <w:tcPr>
            <w:tcW w:w="1970" w:type="dxa"/>
          </w:tcPr>
          <w:p w:rsidR="00000000" w:rsidRDefault="00983558" w:rsidP="002E7EAE">
            <w:pPr>
              <w:jc w:val="right"/>
            </w:pPr>
            <w:r>
              <w:t>6 000 000</w:t>
            </w:r>
          </w:p>
        </w:tc>
      </w:tr>
      <w:tr w:rsidR="00000000" w:rsidTr="002E7EAE">
        <w:trPr>
          <w:trHeight w:val="380"/>
        </w:trPr>
        <w:tc>
          <w:tcPr>
            <w:tcW w:w="851" w:type="dxa"/>
          </w:tcPr>
          <w:p w:rsidR="00000000" w:rsidRDefault="00983558" w:rsidP="002E7EAE">
            <w:r>
              <w:t>(NY)</w:t>
            </w:r>
          </w:p>
        </w:tc>
        <w:tc>
          <w:tcPr>
            <w:tcW w:w="709" w:type="dxa"/>
          </w:tcPr>
          <w:p w:rsidR="00000000" w:rsidRDefault="00983558" w:rsidP="002E7EAE">
            <w:r>
              <w:t>50</w:t>
            </w:r>
          </w:p>
        </w:tc>
        <w:tc>
          <w:tcPr>
            <w:tcW w:w="5670" w:type="dxa"/>
          </w:tcPr>
          <w:p w:rsidR="00000000" w:rsidRDefault="00983558" w:rsidP="002E7EAE">
            <w:r>
              <w:t>Tilskudd til tapsavsetning for garantiordning luftfart, bevilges med</w:t>
            </w:r>
            <w:r>
              <w:tab/>
            </w:r>
          </w:p>
        </w:tc>
        <w:tc>
          <w:tcPr>
            <w:tcW w:w="1970" w:type="dxa"/>
          </w:tcPr>
          <w:p w:rsidR="00000000" w:rsidRDefault="00983558" w:rsidP="002E7EAE">
            <w:pPr>
              <w:jc w:val="right"/>
            </w:pPr>
            <w:r>
              <w:t>6 000 000 000</w:t>
            </w:r>
          </w:p>
        </w:tc>
      </w:tr>
      <w:tr w:rsidR="00000000" w:rsidTr="002E7EAE">
        <w:trPr>
          <w:trHeight w:val="380"/>
        </w:trPr>
        <w:tc>
          <w:tcPr>
            <w:tcW w:w="851" w:type="dxa"/>
          </w:tcPr>
          <w:p w:rsidR="00000000" w:rsidRDefault="00983558" w:rsidP="002E7EAE">
            <w:r>
              <w:t>1310</w:t>
            </w:r>
          </w:p>
        </w:tc>
        <w:tc>
          <w:tcPr>
            <w:tcW w:w="709" w:type="dxa"/>
          </w:tcPr>
          <w:p w:rsidR="00000000" w:rsidRDefault="00983558" w:rsidP="002E7EAE"/>
        </w:tc>
        <w:tc>
          <w:tcPr>
            <w:tcW w:w="5670" w:type="dxa"/>
          </w:tcPr>
          <w:p w:rsidR="00000000" w:rsidRDefault="00983558" w:rsidP="002E7EAE">
            <w:r>
              <w:t>Flytransport:</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70</w:t>
            </w:r>
          </w:p>
        </w:tc>
        <w:tc>
          <w:tcPr>
            <w:tcW w:w="5670" w:type="dxa"/>
          </w:tcPr>
          <w:p w:rsidR="00000000" w:rsidRDefault="00983558" w:rsidP="002E7EAE">
            <w:r>
              <w:t xml:space="preserve">Kjøp av innenlandske flyruter, </w:t>
            </w:r>
            <w:r>
              <w:rPr>
                <w:rStyle w:val="kursiv"/>
                <w:sz w:val="21"/>
                <w:szCs w:val="21"/>
              </w:rPr>
              <w:t>kan overføres,</w:t>
            </w:r>
            <w:r>
              <w:t xml:space="preserve"> forhøyes med</w:t>
            </w:r>
            <w:r>
              <w:tab/>
            </w:r>
          </w:p>
        </w:tc>
        <w:tc>
          <w:tcPr>
            <w:tcW w:w="1970" w:type="dxa"/>
          </w:tcPr>
          <w:p w:rsidR="00000000" w:rsidRDefault="00983558" w:rsidP="002E7EAE">
            <w:pPr>
              <w:jc w:val="right"/>
            </w:pPr>
            <w:r>
              <w:t>1 000 000 000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718 100 000 til kr 1 718 100 000</w:t>
            </w:r>
          </w:p>
        </w:tc>
        <w:tc>
          <w:tcPr>
            <w:tcW w:w="1970" w:type="dxa"/>
          </w:tcPr>
          <w:p w:rsidR="00000000" w:rsidRDefault="00983558" w:rsidP="002E7EAE">
            <w:pPr>
              <w:jc w:val="right"/>
            </w:pPr>
          </w:p>
        </w:tc>
      </w:tr>
      <w:tr w:rsidR="00000000" w:rsidTr="002E7EAE">
        <w:trPr>
          <w:trHeight w:val="640"/>
        </w:trPr>
        <w:tc>
          <w:tcPr>
            <w:tcW w:w="851" w:type="dxa"/>
          </w:tcPr>
          <w:p w:rsidR="00000000" w:rsidRDefault="00983558" w:rsidP="002E7EAE">
            <w:r>
              <w:t>(NY)</w:t>
            </w:r>
          </w:p>
        </w:tc>
        <w:tc>
          <w:tcPr>
            <w:tcW w:w="709" w:type="dxa"/>
          </w:tcPr>
          <w:p w:rsidR="00000000" w:rsidRDefault="00983558" w:rsidP="002E7EAE">
            <w:r>
              <w:t>71</w:t>
            </w:r>
          </w:p>
        </w:tc>
        <w:tc>
          <w:tcPr>
            <w:tcW w:w="5670" w:type="dxa"/>
          </w:tcPr>
          <w:p w:rsidR="00000000" w:rsidRDefault="00983558" w:rsidP="002E7EAE">
            <w:r>
              <w:t>Kjøp</w:t>
            </w:r>
            <w:r>
              <w:t xml:space="preserve"> av hjemtransport med fly av nordmenn på reise og særskilt frakt, bevilges med</w:t>
            </w:r>
            <w:r>
              <w:tab/>
            </w:r>
          </w:p>
        </w:tc>
        <w:tc>
          <w:tcPr>
            <w:tcW w:w="1970" w:type="dxa"/>
          </w:tcPr>
          <w:p w:rsidR="00000000" w:rsidRDefault="00983558" w:rsidP="002E7EAE">
            <w:pPr>
              <w:jc w:val="right"/>
            </w:pPr>
            <w:r>
              <w:t>100 000 000</w:t>
            </w:r>
          </w:p>
        </w:tc>
      </w:tr>
      <w:tr w:rsidR="00000000" w:rsidTr="002E7EAE">
        <w:trPr>
          <w:trHeight w:val="380"/>
        </w:trPr>
        <w:tc>
          <w:tcPr>
            <w:tcW w:w="851" w:type="dxa"/>
          </w:tcPr>
          <w:p w:rsidR="00000000" w:rsidRDefault="00983558" w:rsidP="002E7EAE">
            <w:r>
              <w:t>1600</w:t>
            </w:r>
          </w:p>
        </w:tc>
        <w:tc>
          <w:tcPr>
            <w:tcW w:w="709" w:type="dxa"/>
          </w:tcPr>
          <w:p w:rsidR="00000000" w:rsidRDefault="00983558" w:rsidP="002E7EAE">
            <w:r>
              <w:t xml:space="preserve"> </w:t>
            </w:r>
          </w:p>
        </w:tc>
        <w:tc>
          <w:tcPr>
            <w:tcW w:w="5670" w:type="dxa"/>
          </w:tcPr>
          <w:p w:rsidR="00000000" w:rsidRDefault="00983558" w:rsidP="002E7EAE">
            <w:r>
              <w:t>Finansdepartementet:</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(NY)</w:t>
            </w:r>
          </w:p>
        </w:tc>
        <w:tc>
          <w:tcPr>
            <w:tcW w:w="709" w:type="dxa"/>
          </w:tcPr>
          <w:p w:rsidR="00000000" w:rsidRDefault="00983558" w:rsidP="002E7EAE">
            <w:r>
              <w:t>95</w:t>
            </w:r>
          </w:p>
        </w:tc>
        <w:tc>
          <w:tcPr>
            <w:tcW w:w="5670" w:type="dxa"/>
          </w:tcPr>
          <w:p w:rsidR="00000000" w:rsidRDefault="00983558" w:rsidP="002E7EAE">
            <w:r>
              <w:t>Kapitalinnskudd, Statens obligasjonsfond, bevilges med</w:t>
            </w:r>
            <w:r>
              <w:tab/>
            </w:r>
          </w:p>
        </w:tc>
        <w:tc>
          <w:tcPr>
            <w:tcW w:w="1970" w:type="dxa"/>
          </w:tcPr>
          <w:p w:rsidR="00000000" w:rsidRDefault="00983558" w:rsidP="002E7EAE">
            <w:pPr>
              <w:jc w:val="right"/>
            </w:pPr>
            <w:r>
              <w:t>50 000 000 000</w:t>
            </w:r>
          </w:p>
        </w:tc>
      </w:tr>
      <w:tr w:rsidR="00000000" w:rsidTr="002E7EAE">
        <w:trPr>
          <w:trHeight w:val="380"/>
        </w:trPr>
        <w:tc>
          <w:tcPr>
            <w:tcW w:w="851" w:type="dxa"/>
          </w:tcPr>
          <w:p w:rsidR="00000000" w:rsidRDefault="00983558" w:rsidP="002E7EAE">
            <w:r>
              <w:t>1645</w:t>
            </w:r>
          </w:p>
        </w:tc>
        <w:tc>
          <w:tcPr>
            <w:tcW w:w="709" w:type="dxa"/>
          </w:tcPr>
          <w:p w:rsidR="00000000" w:rsidRDefault="00983558" w:rsidP="002E7EAE">
            <w:r>
              <w:t xml:space="preserve"> </w:t>
            </w:r>
          </w:p>
        </w:tc>
        <w:tc>
          <w:tcPr>
            <w:tcW w:w="5670" w:type="dxa"/>
          </w:tcPr>
          <w:p w:rsidR="00000000" w:rsidRDefault="00983558" w:rsidP="002E7EAE">
            <w:r>
              <w:t>Statlig garantiordning for lån til små</w:t>
            </w:r>
            <w:r>
              <w:t xml:space="preserve"> og mellomstore bedrifter:</w:t>
            </w:r>
          </w:p>
        </w:tc>
        <w:tc>
          <w:tcPr>
            <w:tcW w:w="1970" w:type="dxa"/>
          </w:tcPr>
          <w:p w:rsidR="00000000" w:rsidRDefault="00983558" w:rsidP="002E7EAE">
            <w:pPr>
              <w:jc w:val="right"/>
            </w:pPr>
          </w:p>
        </w:tc>
      </w:tr>
      <w:tr w:rsidR="00000000" w:rsidTr="002E7EAE">
        <w:trPr>
          <w:trHeight w:val="640"/>
        </w:trPr>
        <w:tc>
          <w:tcPr>
            <w:tcW w:w="851" w:type="dxa"/>
          </w:tcPr>
          <w:p w:rsidR="00000000" w:rsidRDefault="00983558" w:rsidP="002E7EAE">
            <w:r>
              <w:t>(NY)</w:t>
            </w:r>
          </w:p>
        </w:tc>
        <w:tc>
          <w:tcPr>
            <w:tcW w:w="709" w:type="dxa"/>
          </w:tcPr>
          <w:p w:rsidR="00000000" w:rsidRDefault="00983558" w:rsidP="002E7EAE">
            <w:r>
              <w:t>50</w:t>
            </w:r>
          </w:p>
        </w:tc>
        <w:tc>
          <w:tcPr>
            <w:tcW w:w="5670" w:type="dxa"/>
          </w:tcPr>
          <w:p w:rsidR="00000000" w:rsidRDefault="00983558" w:rsidP="002E7EAE">
            <w:r>
              <w:t>Tilskudd til tapsavsetning for statlig garantiordning for lån til små og mellomstore bedrifter, bevilges med</w:t>
            </w:r>
            <w:r>
              <w:tab/>
            </w:r>
          </w:p>
        </w:tc>
        <w:tc>
          <w:tcPr>
            <w:tcW w:w="1970" w:type="dxa"/>
          </w:tcPr>
          <w:p w:rsidR="00000000" w:rsidRDefault="00983558" w:rsidP="002E7EAE">
            <w:pPr>
              <w:jc w:val="right"/>
            </w:pPr>
            <w:r>
              <w:t>10 000 000 000</w:t>
            </w:r>
          </w:p>
        </w:tc>
      </w:tr>
    </w:tbl>
    <w:p w:rsidR="00000000" w:rsidRDefault="00983558" w:rsidP="002E7EAE">
      <w:pPr>
        <w:pStyle w:val="a-vedtak-tekst"/>
      </w:pPr>
      <w:r>
        <w:t>Inntekter:</w:t>
      </w:r>
    </w:p>
    <w:p w:rsidR="00000000" w:rsidRDefault="00983558" w:rsidP="002E7EAE">
      <w:pPr>
        <w:pStyle w:val="Tabellnavn"/>
      </w:pPr>
      <w:r>
        <w:t>04N1xx2</w:t>
      </w:r>
    </w:p>
    <w:tbl>
      <w:tblPr>
        <w:tblStyle w:val="StandardTabell"/>
        <w:tblW w:w="9200" w:type="dxa"/>
        <w:tblInd w:w="108" w:type="dxa"/>
        <w:tblLayout w:type="fixed"/>
        <w:tblLook w:val="04A0" w:firstRow="1" w:lastRow="0" w:firstColumn="1" w:lastColumn="0" w:noHBand="0" w:noVBand="1"/>
      </w:tblPr>
      <w:tblGrid>
        <w:gridCol w:w="851"/>
        <w:gridCol w:w="709"/>
        <w:gridCol w:w="5670"/>
        <w:gridCol w:w="1970"/>
      </w:tblGrid>
      <w:tr w:rsidR="00000000" w:rsidTr="002E7EAE">
        <w:trPr>
          <w:trHeight w:val="360"/>
        </w:trPr>
        <w:tc>
          <w:tcPr>
            <w:tcW w:w="851" w:type="dxa"/>
            <w:shd w:val="clear" w:color="auto" w:fill="FFFFFF"/>
          </w:tcPr>
          <w:p w:rsidR="00000000" w:rsidRDefault="00983558" w:rsidP="002E7EAE">
            <w:r>
              <w:t>Kap.</w:t>
            </w:r>
          </w:p>
        </w:tc>
        <w:tc>
          <w:tcPr>
            <w:tcW w:w="709" w:type="dxa"/>
          </w:tcPr>
          <w:p w:rsidR="00000000" w:rsidRDefault="00983558" w:rsidP="002E7EAE">
            <w:r>
              <w:t>Post</w:t>
            </w:r>
          </w:p>
        </w:tc>
        <w:tc>
          <w:tcPr>
            <w:tcW w:w="5670" w:type="dxa"/>
          </w:tcPr>
          <w:p w:rsidR="00000000" w:rsidRDefault="00983558" w:rsidP="002E7EAE">
            <w:r>
              <w:t>Formål</w:t>
            </w:r>
          </w:p>
        </w:tc>
        <w:tc>
          <w:tcPr>
            <w:tcW w:w="1970" w:type="dxa"/>
          </w:tcPr>
          <w:p w:rsidR="00000000" w:rsidRDefault="00983558" w:rsidP="002E7EAE">
            <w:pPr>
              <w:jc w:val="right"/>
            </w:pPr>
            <w:r>
              <w:t>Kroner</w:t>
            </w:r>
          </w:p>
        </w:tc>
      </w:tr>
      <w:tr w:rsidR="00000000" w:rsidTr="002E7EAE">
        <w:trPr>
          <w:trHeight w:val="380"/>
        </w:trPr>
        <w:tc>
          <w:tcPr>
            <w:tcW w:w="851" w:type="dxa"/>
          </w:tcPr>
          <w:p w:rsidR="00000000" w:rsidRDefault="00983558" w:rsidP="002E7EAE">
            <w:r>
              <w:t>5501</w:t>
            </w:r>
          </w:p>
        </w:tc>
        <w:tc>
          <w:tcPr>
            <w:tcW w:w="709" w:type="dxa"/>
          </w:tcPr>
          <w:p w:rsidR="00000000" w:rsidRDefault="00983558" w:rsidP="002E7EAE">
            <w:r>
              <w:t xml:space="preserve"> </w:t>
            </w:r>
          </w:p>
        </w:tc>
        <w:tc>
          <w:tcPr>
            <w:tcW w:w="5670" w:type="dxa"/>
          </w:tcPr>
          <w:p w:rsidR="00000000" w:rsidRDefault="00983558" w:rsidP="002E7EAE">
            <w:r>
              <w:t>Skatter på formue og inntekt:</w:t>
            </w:r>
          </w:p>
        </w:tc>
        <w:tc>
          <w:tcPr>
            <w:tcW w:w="1970" w:type="dxa"/>
          </w:tcPr>
          <w:p w:rsidR="00000000" w:rsidRDefault="00983558" w:rsidP="002E7EAE">
            <w:pPr>
              <w:jc w:val="right"/>
            </w:pPr>
          </w:p>
        </w:tc>
      </w:tr>
      <w:tr w:rsidR="00000000" w:rsidTr="002E7EAE">
        <w:trPr>
          <w:trHeight w:val="640"/>
        </w:trPr>
        <w:tc>
          <w:tcPr>
            <w:tcW w:w="851" w:type="dxa"/>
          </w:tcPr>
          <w:p w:rsidR="00000000" w:rsidRDefault="00983558" w:rsidP="002E7EAE">
            <w:r>
              <w:t xml:space="preserve"> </w:t>
            </w:r>
          </w:p>
        </w:tc>
        <w:tc>
          <w:tcPr>
            <w:tcW w:w="709" w:type="dxa"/>
          </w:tcPr>
          <w:p w:rsidR="00000000" w:rsidRDefault="00983558" w:rsidP="002E7EAE">
            <w:r>
              <w:t>74</w:t>
            </w:r>
          </w:p>
        </w:tc>
        <w:tc>
          <w:tcPr>
            <w:tcW w:w="5670" w:type="dxa"/>
          </w:tcPr>
          <w:p w:rsidR="00000000" w:rsidRDefault="00983558" w:rsidP="002E7EAE">
            <w:r>
              <w:t>Selskapsskatter mv. fra upersonlige skattytere utenom petroleum, nedsettes med</w:t>
            </w:r>
            <w:r>
              <w:tab/>
            </w:r>
          </w:p>
        </w:tc>
        <w:tc>
          <w:tcPr>
            <w:tcW w:w="1970" w:type="dxa"/>
          </w:tcPr>
          <w:p w:rsidR="00000000" w:rsidRDefault="00983558" w:rsidP="002E7EAE">
            <w:pPr>
              <w:jc w:val="right"/>
            </w:pPr>
            <w:r>
              <w:t>370 000 000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86 700 000 000 til kr 86 330 000 000</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5502</w:t>
            </w:r>
          </w:p>
        </w:tc>
        <w:tc>
          <w:tcPr>
            <w:tcW w:w="709" w:type="dxa"/>
          </w:tcPr>
          <w:p w:rsidR="00000000" w:rsidRDefault="00983558" w:rsidP="002E7EAE">
            <w:r>
              <w:t xml:space="preserve"> </w:t>
            </w:r>
          </w:p>
        </w:tc>
        <w:tc>
          <w:tcPr>
            <w:tcW w:w="5670" w:type="dxa"/>
          </w:tcPr>
          <w:p w:rsidR="00000000" w:rsidRDefault="00983558" w:rsidP="002E7EAE">
            <w:r>
              <w:t>Finansskatt:</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70</w:t>
            </w:r>
          </w:p>
        </w:tc>
        <w:tc>
          <w:tcPr>
            <w:tcW w:w="5670" w:type="dxa"/>
          </w:tcPr>
          <w:p w:rsidR="00000000" w:rsidRDefault="00983558" w:rsidP="002E7EAE">
            <w:r>
              <w:t>Skatt på lønn, nedsettes med</w:t>
            </w:r>
            <w:r>
              <w:tab/>
            </w:r>
          </w:p>
        </w:tc>
        <w:tc>
          <w:tcPr>
            <w:tcW w:w="1970" w:type="dxa"/>
          </w:tcPr>
          <w:p w:rsidR="00000000" w:rsidRDefault="00983558" w:rsidP="002E7EAE">
            <w:pPr>
              <w:jc w:val="right"/>
            </w:pPr>
            <w:r>
              <w:t>5 000 000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2 080 000 000 til kr 2 075 000 000</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71</w:t>
            </w:r>
          </w:p>
        </w:tc>
        <w:tc>
          <w:tcPr>
            <w:tcW w:w="5670" w:type="dxa"/>
          </w:tcPr>
          <w:p w:rsidR="00000000" w:rsidRDefault="00983558" w:rsidP="002E7EAE">
            <w:r>
              <w:t>Skatt på overskudd, nedsettes med</w:t>
            </w:r>
            <w:r>
              <w:tab/>
            </w:r>
          </w:p>
        </w:tc>
        <w:tc>
          <w:tcPr>
            <w:tcW w:w="1970" w:type="dxa"/>
          </w:tcPr>
          <w:p w:rsidR="00000000" w:rsidRDefault="00983558" w:rsidP="002E7EAE">
            <w:pPr>
              <w:jc w:val="right"/>
            </w:pPr>
            <w:r>
              <w:t>10 000 000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2 460 000 000 til kr 2 450 000 000</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5521</w:t>
            </w:r>
          </w:p>
        </w:tc>
        <w:tc>
          <w:tcPr>
            <w:tcW w:w="709" w:type="dxa"/>
          </w:tcPr>
          <w:p w:rsidR="00000000" w:rsidRDefault="00983558" w:rsidP="002E7EAE">
            <w:r>
              <w:t xml:space="preserve"> </w:t>
            </w:r>
          </w:p>
        </w:tc>
        <w:tc>
          <w:tcPr>
            <w:tcW w:w="5670" w:type="dxa"/>
          </w:tcPr>
          <w:p w:rsidR="00000000" w:rsidRDefault="00983558" w:rsidP="002E7EAE">
            <w:r>
              <w:t>Merverdiavgift:</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70</w:t>
            </w:r>
          </w:p>
        </w:tc>
        <w:tc>
          <w:tcPr>
            <w:tcW w:w="5670" w:type="dxa"/>
          </w:tcPr>
          <w:p w:rsidR="00000000" w:rsidRDefault="00983558" w:rsidP="002E7EAE">
            <w:r>
              <w:t>Merverdiavgift, nedsettes med</w:t>
            </w:r>
            <w:r>
              <w:tab/>
            </w:r>
          </w:p>
        </w:tc>
        <w:tc>
          <w:tcPr>
            <w:tcW w:w="1970" w:type="dxa"/>
          </w:tcPr>
          <w:p w:rsidR="00000000" w:rsidRDefault="00983558" w:rsidP="002E7EAE">
            <w:pPr>
              <w:jc w:val="right"/>
            </w:pPr>
            <w:r>
              <w:t>1 590 000 000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325 600 000 000 til kr 324 010 000 000</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5700</w:t>
            </w:r>
          </w:p>
        </w:tc>
        <w:tc>
          <w:tcPr>
            <w:tcW w:w="709" w:type="dxa"/>
          </w:tcPr>
          <w:p w:rsidR="00000000" w:rsidRDefault="00983558" w:rsidP="002E7EAE">
            <w:r>
              <w:t xml:space="preserve"> </w:t>
            </w:r>
          </w:p>
        </w:tc>
        <w:tc>
          <w:tcPr>
            <w:tcW w:w="5670" w:type="dxa"/>
          </w:tcPr>
          <w:p w:rsidR="00000000" w:rsidRDefault="00983558" w:rsidP="002E7EAE">
            <w:r>
              <w:t>Folketrygdens inntekter:</w:t>
            </w:r>
          </w:p>
        </w:tc>
        <w:tc>
          <w:tcPr>
            <w:tcW w:w="1970" w:type="dxa"/>
          </w:tcPr>
          <w:p w:rsidR="00000000" w:rsidRDefault="00983558" w:rsidP="002E7EAE">
            <w:pPr>
              <w:jc w:val="right"/>
            </w:pP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72</w:t>
            </w:r>
          </w:p>
        </w:tc>
        <w:tc>
          <w:tcPr>
            <w:tcW w:w="5670" w:type="dxa"/>
          </w:tcPr>
          <w:p w:rsidR="00000000" w:rsidRDefault="00983558" w:rsidP="002E7EAE">
            <w:r>
              <w:t>Arbeidsgiveravgift, nedsettes med</w:t>
            </w:r>
            <w:r>
              <w:tab/>
            </w:r>
          </w:p>
        </w:tc>
        <w:tc>
          <w:tcPr>
            <w:tcW w:w="1970" w:type="dxa"/>
          </w:tcPr>
          <w:p w:rsidR="00000000" w:rsidRDefault="00983558" w:rsidP="002E7EAE">
            <w:pPr>
              <w:jc w:val="right"/>
            </w:pPr>
            <w:r>
              <w:t>245 000 000</w:t>
            </w:r>
          </w:p>
        </w:tc>
      </w:tr>
      <w:tr w:rsidR="00000000" w:rsidTr="002E7EAE">
        <w:trPr>
          <w:trHeight w:val="380"/>
        </w:trPr>
        <w:tc>
          <w:tcPr>
            <w:tcW w:w="851" w:type="dxa"/>
          </w:tcPr>
          <w:p w:rsidR="00000000" w:rsidRDefault="00983558" w:rsidP="002E7EAE">
            <w:r>
              <w:t xml:space="preserve"> </w:t>
            </w:r>
          </w:p>
        </w:tc>
        <w:tc>
          <w:tcPr>
            <w:tcW w:w="709" w:type="dxa"/>
          </w:tcPr>
          <w:p w:rsidR="00000000" w:rsidRDefault="00983558" w:rsidP="002E7EAE">
            <w:r>
              <w:t xml:space="preserve"> </w:t>
            </w:r>
          </w:p>
        </w:tc>
        <w:tc>
          <w:tcPr>
            <w:tcW w:w="5670" w:type="dxa"/>
          </w:tcPr>
          <w:p w:rsidR="00000000" w:rsidRDefault="00983558" w:rsidP="002E7EAE">
            <w:r>
              <w:t>fra kr 202 600 000 000 til kr 202 355 000 000</w:t>
            </w:r>
          </w:p>
        </w:tc>
        <w:tc>
          <w:tcPr>
            <w:tcW w:w="1970" w:type="dxa"/>
          </w:tcPr>
          <w:p w:rsidR="00000000" w:rsidRDefault="00983558" w:rsidP="002E7EAE">
            <w:pPr>
              <w:jc w:val="right"/>
            </w:pPr>
          </w:p>
        </w:tc>
      </w:tr>
    </w:tbl>
    <w:p w:rsidR="00000000" w:rsidRDefault="00983558" w:rsidP="002E7EAE">
      <w:pPr>
        <w:pStyle w:val="a-vedtak-del"/>
      </w:pPr>
      <w:r>
        <w:t>II</w:t>
      </w:r>
    </w:p>
    <w:p w:rsidR="00000000" w:rsidRDefault="00983558" w:rsidP="002E7EAE">
      <w:pPr>
        <w:pStyle w:val="a-vedtak-tekst"/>
      </w:pPr>
      <w:r>
        <w:t>Garantifullmakt</w:t>
      </w:r>
    </w:p>
    <w:p w:rsidR="00000000" w:rsidRDefault="00983558" w:rsidP="002E7EAE">
      <w:r>
        <w:t>Stortinget samtykker i at det kan gis tilsagn om garantier frem til 1. juli 2022 for lån</w:t>
      </w:r>
      <w:r>
        <w:t xml:space="preserve"> innenfor en ramme på 6 000 mill. kroner til flyselskaper med norsk AOC flylisens, og innenfor vilkår som settes av Nærings- og fiskeridepartementet. Garantiene skal ha maksimal løpetid på to år.</w:t>
      </w:r>
    </w:p>
    <w:p w:rsidR="00000000" w:rsidRDefault="00983558" w:rsidP="002E7EAE">
      <w:pPr>
        <w:pStyle w:val="a-vedtak-del"/>
      </w:pPr>
      <w:r>
        <w:t>III</w:t>
      </w:r>
    </w:p>
    <w:p w:rsidR="00000000" w:rsidRDefault="00983558" w:rsidP="002E7EAE">
      <w:pPr>
        <w:pStyle w:val="a-vedtak-tekst"/>
      </w:pPr>
      <w:r>
        <w:t>Statslån</w:t>
      </w:r>
    </w:p>
    <w:p w:rsidR="00000000" w:rsidRDefault="00983558" w:rsidP="002E7EAE">
      <w:r>
        <w:t>Stortinget samtykker i at Finansdepartementet i</w:t>
      </w:r>
      <w:r>
        <w:t xml:space="preserve"> 2020 kan ta opp nye langsiktige innenlandske statslån til et beløp inntil 125 000 mill. kroner.</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3558">
      <w:pPr>
        <w:spacing w:after="0" w:line="240" w:lineRule="auto"/>
      </w:pPr>
      <w:r>
        <w:separator/>
      </w:r>
    </w:p>
  </w:endnote>
  <w:endnote w:type="continuationSeparator" w:id="0">
    <w:p w:rsidR="00000000" w:rsidRDefault="0098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rsidP="002E7EAE">
    <w:pPr>
      <w:pStyle w:val="Bunntekst"/>
      <w:jc w:val="center"/>
    </w:pPr>
    <w:r>
      <w:t xml:space="preserve">Side </w:t>
    </w:r>
    <w:r>
      <w:fldChar w:fldCharType="begin"/>
    </w:r>
    <w:r>
      <w:instrText xml:space="preserve"> PAGE  </w:instrText>
    </w:r>
    <w:r>
      <w:fldChar w:fldCharType="separate"/>
    </w:r>
    <w:r w:rsidR="00983558">
      <w:rPr>
        <w:noProof/>
      </w:rPr>
      <w:t>1</w:t>
    </w:r>
    <w:r>
      <w:fldChar w:fldCharType="end"/>
    </w:r>
    <w:r>
      <w:t xml:space="preserve"> av </w:t>
    </w:r>
    <w:fldSimple w:instr=" NUMPAGES  ">
      <w:r w:rsidR="00983558">
        <w:rPr>
          <w:noProof/>
        </w:rPr>
        <w:t>17</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3558">
      <w:pPr>
        <w:spacing w:after="0" w:line="240" w:lineRule="auto"/>
      </w:pPr>
      <w:r>
        <w:separator/>
      </w:r>
    </w:p>
  </w:footnote>
  <w:footnote w:type="continuationSeparator" w:id="0">
    <w:p w:rsidR="00000000" w:rsidRDefault="00983558">
      <w:pPr>
        <w:spacing w:after="0" w:line="240" w:lineRule="auto"/>
      </w:pPr>
      <w:r>
        <w:continuationSeparator/>
      </w:r>
    </w:p>
  </w:footnote>
  <w:footnote w:id="1">
    <w:p w:rsidR="00000000" w:rsidRPr="002E7EAE" w:rsidRDefault="00983558">
      <w:pPr>
        <w:pStyle w:val="Fotnotetekst"/>
        <w:rPr>
          <w:sz w:val="17"/>
          <w:szCs w:val="17"/>
        </w:rPr>
      </w:pPr>
      <w:r>
        <w:rPr>
          <w:vertAlign w:val="superscript"/>
        </w:rPr>
        <w:footnoteRef/>
      </w:r>
      <w:r>
        <w:rPr>
          <w:sz w:val="17"/>
          <w:szCs w:val="17"/>
        </w:rPr>
        <w:t>Korrekturfeil. Riktig beløp er 500 mrd. kroner, jf. rettebrev fra finansministeren til Stortinget datert 21. mars 202</w:t>
      </w:r>
      <w:r w:rsidR="002E7EAE">
        <w:rPr>
          <w:sz w:val="17"/>
          <w:szCs w:val="17"/>
        </w:rPr>
        <w:t>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AE" w:rsidRDefault="002E7EA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2ED0C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C949BE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69183DA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CD4E31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2320ECD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930B1F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abstractNumId w:val="5"/>
    <w:lvlOverride w:ilvl="0">
      <w:lvl w:ilvl="0">
        <w:start w:val="1"/>
        <w:numFmt w:val="bullet"/>
        <w:lvlText w:val="Tabell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1">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3">
    <w:abstractNumId w:val="5"/>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4">
    <w:abstractNumId w:val="5"/>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9">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0">
    <w:abstractNumId w:val="5"/>
    <w:lvlOverride w:ilvl="0">
      <w:lvl w:ilvl="0">
        <w:start w:val="1"/>
        <w:numFmt w:val="bullet"/>
        <w:lvlText w:val="a.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b.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2">
    <w:abstractNumId w:val="5"/>
    <w:lvlOverride w:ilvl="0">
      <w:lvl w:ilvl="0">
        <w:start w:val="1"/>
        <w:numFmt w:val="bullet"/>
        <w:lvlText w:val="c.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3">
    <w:abstractNumId w:val="5"/>
    <w:lvlOverride w:ilvl="0">
      <w:lvl w:ilvl="0">
        <w:start w:val="1"/>
        <w:numFmt w:val="bullet"/>
        <w:lvlText w:val="d.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4">
    <w:abstractNumId w:val="5"/>
    <w:lvlOverride w:ilvl="0">
      <w:lvl w:ilvl="0">
        <w:start w:val="1"/>
        <w:numFmt w:val="bullet"/>
        <w:lvlText w:val="e.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5">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22"/>
  </w:num>
  <w:num w:numId="28">
    <w:abstractNumId w:val="6"/>
  </w:num>
  <w:num w:numId="29">
    <w:abstractNumId w:val="20"/>
  </w:num>
  <w:num w:numId="30">
    <w:abstractNumId w:val="13"/>
  </w:num>
  <w:num w:numId="31">
    <w:abstractNumId w:val="18"/>
  </w:num>
  <w:num w:numId="32">
    <w:abstractNumId w:val="23"/>
  </w:num>
  <w:num w:numId="33">
    <w:abstractNumId w:val="8"/>
  </w:num>
  <w:num w:numId="34">
    <w:abstractNumId w:val="7"/>
  </w:num>
  <w:num w:numId="35">
    <w:abstractNumId w:val="19"/>
  </w:num>
  <w:num w:numId="36">
    <w:abstractNumId w:val="9"/>
  </w:num>
  <w:num w:numId="37">
    <w:abstractNumId w:val="17"/>
  </w:num>
  <w:num w:numId="38">
    <w:abstractNumId w:val="14"/>
  </w:num>
  <w:num w:numId="39">
    <w:abstractNumId w:val="24"/>
  </w:num>
  <w:num w:numId="40">
    <w:abstractNumId w:val="11"/>
  </w:num>
  <w:num w:numId="41">
    <w:abstractNumId w:val="21"/>
  </w:num>
  <w:num w:numId="42">
    <w:abstractNumId w:val="25"/>
  </w:num>
  <w:num w:numId="43">
    <w:abstractNumId w:val="15"/>
  </w:num>
  <w:num w:numId="44">
    <w:abstractNumId w:val="16"/>
  </w:num>
  <w:num w:numId="45">
    <w:abstractNumId w:val="10"/>
  </w:num>
  <w:num w:numId="46">
    <w:abstractNumId w:val="1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E7EAE"/>
    <w:rsid w:val="002E7EAE"/>
    <w:rsid w:val="009835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E530AE"/>
  <w14:defaultImageDpi w14:val="0"/>
  <w15:docId w15:val="{89C1F34D-D4FF-49A4-A7C8-2BA127DE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EAE"/>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2E7EAE"/>
    <w:pPr>
      <w:keepNext/>
      <w:keepLines/>
      <w:numPr>
        <w:numId w:val="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E7EAE"/>
    <w:pPr>
      <w:keepNext/>
      <w:keepLines/>
      <w:numPr>
        <w:ilvl w:val="1"/>
        <w:numId w:val="47"/>
      </w:numPr>
      <w:spacing w:before="360" w:after="80"/>
      <w:outlineLvl w:val="1"/>
    </w:pPr>
    <w:rPr>
      <w:rFonts w:ascii="Arial" w:hAnsi="Arial"/>
      <w:b/>
      <w:sz w:val="28"/>
    </w:rPr>
  </w:style>
  <w:style w:type="paragraph" w:styleId="Overskrift3">
    <w:name w:val="heading 3"/>
    <w:basedOn w:val="Normal"/>
    <w:next w:val="Normal"/>
    <w:link w:val="Overskrift3Tegn"/>
    <w:qFormat/>
    <w:rsid w:val="002E7EAE"/>
    <w:pPr>
      <w:keepNext/>
      <w:keepLines/>
      <w:numPr>
        <w:ilvl w:val="2"/>
        <w:numId w:val="47"/>
      </w:numPr>
      <w:spacing w:before="360" w:after="80"/>
      <w:outlineLvl w:val="2"/>
    </w:pPr>
    <w:rPr>
      <w:rFonts w:ascii="Arial" w:hAnsi="Arial"/>
      <w:b/>
      <w:spacing w:val="0"/>
    </w:rPr>
  </w:style>
  <w:style w:type="paragraph" w:styleId="Overskrift4">
    <w:name w:val="heading 4"/>
    <w:basedOn w:val="Normal"/>
    <w:next w:val="Normal"/>
    <w:link w:val="Overskrift4Tegn"/>
    <w:qFormat/>
    <w:rsid w:val="002E7EAE"/>
    <w:pPr>
      <w:keepNext/>
      <w:keepLines/>
      <w:numPr>
        <w:ilvl w:val="3"/>
        <w:numId w:val="47"/>
      </w:numPr>
      <w:spacing w:before="120" w:after="0"/>
      <w:outlineLvl w:val="3"/>
    </w:pPr>
    <w:rPr>
      <w:rFonts w:ascii="Arial" w:hAnsi="Arial"/>
      <w:i/>
    </w:rPr>
  </w:style>
  <w:style w:type="paragraph" w:styleId="Overskrift5">
    <w:name w:val="heading 5"/>
    <w:basedOn w:val="Normal"/>
    <w:next w:val="Normal"/>
    <w:link w:val="Overskrift5Tegn"/>
    <w:qFormat/>
    <w:rsid w:val="002E7EAE"/>
    <w:pPr>
      <w:keepNext/>
      <w:numPr>
        <w:ilvl w:val="4"/>
        <w:numId w:val="47"/>
      </w:numPr>
      <w:spacing w:before="120" w:after="0"/>
      <w:outlineLvl w:val="4"/>
    </w:pPr>
    <w:rPr>
      <w:rFonts w:ascii="Arial" w:hAnsi="Arial"/>
      <w:i/>
      <w:spacing w:val="0"/>
    </w:rPr>
  </w:style>
  <w:style w:type="paragraph" w:styleId="Overskrift6">
    <w:name w:val="heading 6"/>
    <w:basedOn w:val="Normal"/>
    <w:next w:val="Normal"/>
    <w:link w:val="Overskrift6Tegn"/>
    <w:qFormat/>
    <w:rsid w:val="002E7EAE"/>
    <w:pPr>
      <w:numPr>
        <w:ilvl w:val="5"/>
        <w:numId w:val="27"/>
      </w:numPr>
      <w:spacing w:before="240" w:after="60"/>
      <w:outlineLvl w:val="5"/>
    </w:pPr>
    <w:rPr>
      <w:rFonts w:ascii="Arial" w:hAnsi="Arial"/>
      <w:i/>
      <w:sz w:val="22"/>
    </w:rPr>
  </w:style>
  <w:style w:type="paragraph" w:styleId="Overskrift7">
    <w:name w:val="heading 7"/>
    <w:basedOn w:val="Normal"/>
    <w:next w:val="Normal"/>
    <w:link w:val="Overskrift7Tegn"/>
    <w:qFormat/>
    <w:rsid w:val="002E7EAE"/>
    <w:pPr>
      <w:numPr>
        <w:ilvl w:val="6"/>
        <w:numId w:val="27"/>
      </w:numPr>
      <w:spacing w:before="240" w:after="60"/>
      <w:outlineLvl w:val="6"/>
    </w:pPr>
    <w:rPr>
      <w:rFonts w:ascii="Arial" w:hAnsi="Arial"/>
    </w:rPr>
  </w:style>
  <w:style w:type="paragraph" w:styleId="Overskrift8">
    <w:name w:val="heading 8"/>
    <w:basedOn w:val="Normal"/>
    <w:next w:val="Normal"/>
    <w:link w:val="Overskrift8Tegn"/>
    <w:qFormat/>
    <w:rsid w:val="002E7EAE"/>
    <w:pPr>
      <w:numPr>
        <w:ilvl w:val="7"/>
        <w:numId w:val="27"/>
      </w:numPr>
      <w:spacing w:before="240" w:after="60"/>
      <w:outlineLvl w:val="7"/>
    </w:pPr>
    <w:rPr>
      <w:rFonts w:ascii="Arial" w:hAnsi="Arial"/>
      <w:i/>
    </w:rPr>
  </w:style>
  <w:style w:type="paragraph" w:styleId="Overskrift9">
    <w:name w:val="heading 9"/>
    <w:basedOn w:val="Normal"/>
    <w:next w:val="Normal"/>
    <w:link w:val="Overskrift9Tegn"/>
    <w:qFormat/>
    <w:rsid w:val="002E7EAE"/>
    <w:pPr>
      <w:numPr>
        <w:ilvl w:val="8"/>
        <w:numId w:val="27"/>
      </w:numPr>
      <w:spacing w:before="240" w:after="60"/>
      <w:outlineLvl w:val="8"/>
    </w:pPr>
    <w:rPr>
      <w:rFonts w:ascii="Arial" w:hAnsi="Arial"/>
      <w:i/>
      <w:sz w:val="18"/>
    </w:rPr>
  </w:style>
  <w:style w:type="character" w:default="1" w:styleId="Standardskriftforavsnitt">
    <w:name w:val="Default Paragraph Font"/>
    <w:uiPriority w:val="1"/>
    <w:unhideWhenUsed/>
    <w:rsid w:val="002E7EA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E7EA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2E7EAE"/>
    <w:pPr>
      <w:keepNext/>
      <w:keepLines/>
      <w:spacing w:before="240" w:after="240"/>
    </w:pPr>
  </w:style>
  <w:style w:type="paragraph" w:customStyle="1" w:styleId="a-konge-tit">
    <w:name w:val="a-konge-tit"/>
    <w:basedOn w:val="Normal"/>
    <w:next w:val="Normal"/>
    <w:rsid w:val="002E7EAE"/>
    <w:pPr>
      <w:keepNext/>
      <w:keepLines/>
      <w:spacing w:before="240"/>
      <w:jc w:val="center"/>
    </w:pPr>
    <w:rPr>
      <w:spacing w:val="30"/>
    </w:rPr>
  </w:style>
  <w:style w:type="paragraph" w:customStyle="1" w:styleId="a-tilraar-dep">
    <w:name w:val="a-tilraar-dep"/>
    <w:basedOn w:val="Normal"/>
    <w:next w:val="Normal"/>
    <w:rsid w:val="002E7EAE"/>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2E7EA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2E7EAE"/>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2E7EAE"/>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2E7EAE"/>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2E7EAE"/>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2E7EAE"/>
    <w:pPr>
      <w:keepNext/>
      <w:keepLines/>
      <w:numPr>
        <w:ilvl w:val="6"/>
        <w:numId w:val="4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2E7EAE"/>
    <w:pPr>
      <w:numPr>
        <w:ilvl w:val="5"/>
        <w:numId w:val="4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2E7EAE"/>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2E7EAE"/>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2E7EAE"/>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2E7EAE"/>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2E7EAE"/>
  </w:style>
  <w:style w:type="paragraph" w:customStyle="1" w:styleId="Def">
    <w:name w:val="Def"/>
    <w:basedOn w:val="hengende-innrykk"/>
    <w:rsid w:val="002E7EAE"/>
    <w:pPr>
      <w:spacing w:line="240" w:lineRule="auto"/>
      <w:ind w:left="0" w:firstLine="0"/>
    </w:pPr>
    <w:rPr>
      <w:rFonts w:ascii="Times" w:eastAsia="Batang" w:hAnsi="Times"/>
      <w:spacing w:val="0"/>
      <w:szCs w:val="20"/>
    </w:rPr>
  </w:style>
  <w:style w:type="paragraph" w:customStyle="1" w:styleId="del-nr">
    <w:name w:val="del-nr"/>
    <w:basedOn w:val="Normal"/>
    <w:qFormat/>
    <w:rsid w:val="002E7EAE"/>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2E7EAE"/>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2E7EAE"/>
  </w:style>
  <w:style w:type="paragraph" w:customStyle="1" w:styleId="figur-noter">
    <w:name w:val="figur-noter"/>
    <w:basedOn w:val="Normal"/>
    <w:next w:val="Normal"/>
    <w:rsid w:val="002E7EAE"/>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2E7EAE"/>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2E7EAE"/>
    <w:rPr>
      <w:sz w:val="20"/>
    </w:rPr>
  </w:style>
  <w:style w:type="character" w:customStyle="1" w:styleId="FotnotetekstTegn">
    <w:name w:val="Fotnotetekst Tegn"/>
    <w:link w:val="Fotnotetekst"/>
    <w:rsid w:val="002E7EAE"/>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2E7EAE"/>
    <w:pPr>
      <w:ind w:left="1418" w:hanging="1418"/>
    </w:pPr>
  </w:style>
  <w:style w:type="paragraph" w:customStyle="1" w:styleId="i-budkap-over">
    <w:name w:val="i-budkap-over"/>
    <w:basedOn w:val="Normal"/>
    <w:next w:val="Normal"/>
    <w:rsid w:val="002E7EAE"/>
    <w:pPr>
      <w:jc w:val="right"/>
    </w:pPr>
    <w:rPr>
      <w:rFonts w:ascii="Times" w:hAnsi="Times"/>
      <w:b/>
      <w:noProof/>
    </w:rPr>
  </w:style>
  <w:style w:type="paragraph" w:customStyle="1" w:styleId="i-dep">
    <w:name w:val="i-dep"/>
    <w:basedOn w:val="Normal"/>
    <w:next w:val="Normal"/>
    <w:rsid w:val="002E7EAE"/>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2E7EAE"/>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2E7EAE"/>
    <w:pPr>
      <w:ind w:left="1985" w:hanging="1985"/>
    </w:pPr>
    <w:rPr>
      <w:spacing w:val="0"/>
    </w:rPr>
  </w:style>
  <w:style w:type="paragraph" w:customStyle="1" w:styleId="i-statsrdato">
    <w:name w:val="i-statsr.dato"/>
    <w:basedOn w:val="Normal"/>
    <w:next w:val="Normal"/>
    <w:rsid w:val="002E7EAE"/>
    <w:pPr>
      <w:spacing w:after="0"/>
      <w:jc w:val="center"/>
    </w:pPr>
    <w:rPr>
      <w:rFonts w:ascii="Times" w:hAnsi="Times"/>
      <w:i/>
      <w:noProof/>
    </w:rPr>
  </w:style>
  <w:style w:type="paragraph" w:customStyle="1" w:styleId="i-termin">
    <w:name w:val="i-termin"/>
    <w:basedOn w:val="Normal"/>
    <w:next w:val="Normal"/>
    <w:rsid w:val="002E7EAE"/>
    <w:pPr>
      <w:spacing w:before="360"/>
      <w:jc w:val="center"/>
    </w:pPr>
    <w:rPr>
      <w:b/>
      <w:noProof/>
      <w:sz w:val="28"/>
    </w:rPr>
  </w:style>
  <w:style w:type="paragraph" w:customStyle="1" w:styleId="i-tit">
    <w:name w:val="i-tit"/>
    <w:basedOn w:val="Normal"/>
    <w:next w:val="i-statsrdato"/>
    <w:rsid w:val="002E7EAE"/>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2E7EAE"/>
  </w:style>
  <w:style w:type="paragraph" w:customStyle="1" w:styleId="Kilde">
    <w:name w:val="Kilde"/>
    <w:basedOn w:val="Normal"/>
    <w:next w:val="Normal"/>
    <w:rsid w:val="002E7EAE"/>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2E7EAE"/>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2E7EAE"/>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2E7EAE"/>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2E7EAE"/>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2E7EAE"/>
    <w:pPr>
      <w:spacing w:after="0"/>
    </w:pPr>
  </w:style>
  <w:style w:type="paragraph" w:customStyle="1" w:styleId="l-tit-endr-avsnitt">
    <w:name w:val="l-tit-endr-avsnitt"/>
    <w:basedOn w:val="l-tit-endr-lovkap"/>
    <w:qFormat/>
    <w:rsid w:val="002E7EAE"/>
  </w:style>
  <w:style w:type="paragraph" w:customStyle="1" w:styleId="l-tit-endr-ledd">
    <w:name w:val="l-tit-endr-ledd"/>
    <w:basedOn w:val="Normal"/>
    <w:qFormat/>
    <w:rsid w:val="002E7EAE"/>
    <w:pPr>
      <w:keepNext/>
      <w:spacing w:before="240" w:after="0" w:line="240" w:lineRule="auto"/>
    </w:pPr>
    <w:rPr>
      <w:rFonts w:ascii="Times" w:hAnsi="Times"/>
      <w:noProof/>
      <w:lang w:val="nn-NO"/>
    </w:rPr>
  </w:style>
  <w:style w:type="paragraph" w:customStyle="1" w:styleId="l-tit-endr-lov">
    <w:name w:val="l-tit-endr-lov"/>
    <w:basedOn w:val="Normal"/>
    <w:qFormat/>
    <w:rsid w:val="002E7EAE"/>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2E7EAE"/>
    <w:pPr>
      <w:keepNext/>
      <w:spacing w:before="240" w:after="0" w:line="240" w:lineRule="auto"/>
    </w:pPr>
    <w:rPr>
      <w:rFonts w:ascii="Times" w:hAnsi="Times"/>
      <w:noProof/>
      <w:lang w:val="nn-NO"/>
    </w:rPr>
  </w:style>
  <w:style w:type="paragraph" w:customStyle="1" w:styleId="l-tit-endr-lovkap">
    <w:name w:val="l-tit-endr-lovkap"/>
    <w:basedOn w:val="Normal"/>
    <w:qFormat/>
    <w:rsid w:val="002E7EAE"/>
    <w:pPr>
      <w:keepNext/>
      <w:spacing w:before="240" w:after="0" w:line="240" w:lineRule="auto"/>
    </w:pPr>
    <w:rPr>
      <w:rFonts w:ascii="Times" w:hAnsi="Times"/>
      <w:noProof/>
      <w:lang w:val="nn-NO"/>
    </w:rPr>
  </w:style>
  <w:style w:type="paragraph" w:customStyle="1" w:styleId="l-tit-endr-punktum">
    <w:name w:val="l-tit-endr-punktum"/>
    <w:basedOn w:val="l-tit-endr-ledd"/>
    <w:qFormat/>
    <w:rsid w:val="002E7EA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2E7EAE"/>
    <w:pPr>
      <w:spacing w:before="60" w:after="0"/>
      <w:ind w:left="397"/>
    </w:pPr>
    <w:rPr>
      <w:spacing w:val="0"/>
    </w:rPr>
  </w:style>
  <w:style w:type="paragraph" w:customStyle="1" w:styleId="Listeavsnitt2">
    <w:name w:val="Listeavsnitt 2"/>
    <w:basedOn w:val="Normal"/>
    <w:qFormat/>
    <w:rsid w:val="002E7EAE"/>
    <w:pPr>
      <w:spacing w:before="60" w:after="0"/>
      <w:ind w:left="794"/>
    </w:pPr>
    <w:rPr>
      <w:spacing w:val="0"/>
    </w:rPr>
  </w:style>
  <w:style w:type="paragraph" w:customStyle="1" w:styleId="Listeavsnitt3">
    <w:name w:val="Listeavsnitt 3"/>
    <w:basedOn w:val="Normal"/>
    <w:qFormat/>
    <w:rsid w:val="002E7EAE"/>
    <w:pPr>
      <w:spacing w:before="60" w:after="0"/>
      <w:ind w:left="1191"/>
    </w:pPr>
    <w:rPr>
      <w:spacing w:val="0"/>
    </w:rPr>
  </w:style>
  <w:style w:type="paragraph" w:customStyle="1" w:styleId="Listeavsnitt4">
    <w:name w:val="Listeavsnitt 4"/>
    <w:basedOn w:val="Normal"/>
    <w:qFormat/>
    <w:rsid w:val="002E7EAE"/>
    <w:pPr>
      <w:spacing w:before="60" w:after="0"/>
      <w:ind w:left="1588"/>
    </w:pPr>
    <w:rPr>
      <w:spacing w:val="0"/>
    </w:rPr>
  </w:style>
  <w:style w:type="paragraph" w:customStyle="1" w:styleId="Listeavsnitt5">
    <w:name w:val="Listeavsnitt 5"/>
    <w:basedOn w:val="Normal"/>
    <w:qFormat/>
    <w:rsid w:val="002E7EAE"/>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2E7EAE"/>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2E7EAE"/>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2E7EAE"/>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2E7EAE"/>
    <w:pPr>
      <w:keepNext/>
      <w:keepLines/>
      <w:spacing w:before="360"/>
    </w:pPr>
    <w:rPr>
      <w:rFonts w:ascii="Arial" w:hAnsi="Arial"/>
      <w:b/>
      <w:sz w:val="28"/>
    </w:rPr>
  </w:style>
  <w:style w:type="character" w:customStyle="1" w:styleId="UndertittelTegn">
    <w:name w:val="Undertittel Tegn"/>
    <w:link w:val="Undertittel"/>
    <w:rsid w:val="002E7EAE"/>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2E7EAE"/>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2E7EAE"/>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2E7EAE"/>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2E7EAE"/>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2E7EAE"/>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2E7EAE"/>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2E7EAE"/>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2E7EAE"/>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2E7EAE"/>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2E7EAE"/>
    <w:pPr>
      <w:numPr>
        <w:numId w:val="0"/>
      </w:numPr>
    </w:pPr>
    <w:rPr>
      <w:b w:val="0"/>
      <w:i/>
    </w:rPr>
  </w:style>
  <w:style w:type="paragraph" w:customStyle="1" w:styleId="Undervedl-tittel">
    <w:name w:val="Undervedl-tittel"/>
    <w:basedOn w:val="Normal"/>
    <w:next w:val="Normal"/>
    <w:rsid w:val="002E7EAE"/>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E7EAE"/>
    <w:pPr>
      <w:numPr>
        <w:numId w:val="0"/>
      </w:numPr>
      <w:outlineLvl w:val="9"/>
    </w:pPr>
  </w:style>
  <w:style w:type="paragraph" w:customStyle="1" w:styleId="v-Overskrift2">
    <w:name w:val="v-Overskrift 2"/>
    <w:basedOn w:val="Overskrift2"/>
    <w:next w:val="Normal"/>
    <w:rsid w:val="002E7EA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2E7EA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2E7EAE"/>
    <w:pPr>
      <w:keepNext/>
      <w:keepLines/>
      <w:numPr>
        <w:numId w:val="2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2E7EAE"/>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2E7EAE"/>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2E7EAE"/>
    <w:pPr>
      <w:keepNext/>
      <w:keepLines/>
      <w:spacing w:before="720"/>
      <w:jc w:val="center"/>
    </w:pPr>
    <w:rPr>
      <w:rFonts w:ascii="Times" w:hAnsi="Times"/>
      <w:b/>
      <w:noProof/>
      <w:sz w:val="56"/>
    </w:rPr>
  </w:style>
  <w:style w:type="paragraph" w:customStyle="1" w:styleId="i-sesjon">
    <w:name w:val="i-sesjon"/>
    <w:basedOn w:val="Normal"/>
    <w:next w:val="Normal"/>
    <w:rsid w:val="002E7EAE"/>
    <w:pPr>
      <w:jc w:val="center"/>
    </w:pPr>
    <w:rPr>
      <w:rFonts w:ascii="Times" w:hAnsi="Times"/>
      <w:b/>
      <w:noProof/>
      <w:sz w:val="28"/>
    </w:rPr>
  </w:style>
  <w:style w:type="paragraph" w:customStyle="1" w:styleId="i-mtit">
    <w:name w:val="i-mtit"/>
    <w:basedOn w:val="Normal"/>
    <w:next w:val="Normal"/>
    <w:rsid w:val="002E7EAE"/>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2E7EAE"/>
    <w:rPr>
      <w:rFonts w:ascii="Arial" w:eastAsia="Times New Roman" w:hAnsi="Arial"/>
      <w:b/>
      <w:spacing w:val="4"/>
      <w:sz w:val="28"/>
    </w:rPr>
  </w:style>
  <w:style w:type="character" w:customStyle="1" w:styleId="Overskrift3Tegn">
    <w:name w:val="Overskrift 3 Tegn"/>
    <w:link w:val="Overskrift3"/>
    <w:rsid w:val="002E7EAE"/>
    <w:rPr>
      <w:rFonts w:ascii="Arial" w:eastAsia="Times New Roman" w:hAnsi="Arial"/>
      <w:b/>
      <w:sz w:val="24"/>
    </w:rPr>
  </w:style>
  <w:style w:type="character" w:customStyle="1" w:styleId="Overskrift4Tegn">
    <w:name w:val="Overskrift 4 Tegn"/>
    <w:link w:val="Overskrift4"/>
    <w:rsid w:val="002E7EAE"/>
    <w:rPr>
      <w:rFonts w:ascii="Arial" w:eastAsia="Times New Roman" w:hAnsi="Arial"/>
      <w:i/>
      <w:spacing w:val="4"/>
      <w:sz w:val="24"/>
    </w:rPr>
  </w:style>
  <w:style w:type="character" w:customStyle="1" w:styleId="Overskrift5Tegn">
    <w:name w:val="Overskrift 5 Tegn"/>
    <w:link w:val="Overskrift5"/>
    <w:rsid w:val="002E7EAE"/>
    <w:rPr>
      <w:rFonts w:ascii="Arial" w:eastAsia="Times New Roman" w:hAnsi="Arial"/>
      <w:i/>
      <w:sz w:val="24"/>
    </w:rPr>
  </w:style>
  <w:style w:type="paragraph" w:styleId="Liste">
    <w:name w:val="List"/>
    <w:basedOn w:val="Normal"/>
    <w:rsid w:val="002E7EAE"/>
    <w:pPr>
      <w:numPr>
        <w:numId w:val="32"/>
      </w:numPr>
      <w:spacing w:line="240" w:lineRule="auto"/>
      <w:contextualSpacing/>
    </w:pPr>
  </w:style>
  <w:style w:type="paragraph" w:styleId="Liste2">
    <w:name w:val="List 2"/>
    <w:basedOn w:val="Normal"/>
    <w:rsid w:val="002E7EAE"/>
    <w:pPr>
      <w:numPr>
        <w:ilvl w:val="1"/>
        <w:numId w:val="32"/>
      </w:numPr>
      <w:spacing w:after="0"/>
    </w:pPr>
  </w:style>
  <w:style w:type="paragraph" w:styleId="Liste3">
    <w:name w:val="List 3"/>
    <w:basedOn w:val="Normal"/>
    <w:rsid w:val="002E7EAE"/>
    <w:pPr>
      <w:numPr>
        <w:ilvl w:val="2"/>
        <w:numId w:val="32"/>
      </w:numPr>
      <w:spacing w:after="0"/>
    </w:pPr>
    <w:rPr>
      <w:spacing w:val="0"/>
    </w:rPr>
  </w:style>
  <w:style w:type="paragraph" w:styleId="Liste4">
    <w:name w:val="List 4"/>
    <w:basedOn w:val="Normal"/>
    <w:rsid w:val="002E7EAE"/>
    <w:pPr>
      <w:numPr>
        <w:ilvl w:val="3"/>
        <w:numId w:val="32"/>
      </w:numPr>
      <w:spacing w:after="0"/>
    </w:pPr>
    <w:rPr>
      <w:spacing w:val="0"/>
    </w:rPr>
  </w:style>
  <w:style w:type="paragraph" w:styleId="Liste5">
    <w:name w:val="List 5"/>
    <w:basedOn w:val="Normal"/>
    <w:rsid w:val="002E7EAE"/>
    <w:pPr>
      <w:numPr>
        <w:ilvl w:val="4"/>
        <w:numId w:val="3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2E7EAE"/>
    <w:pPr>
      <w:numPr>
        <w:numId w:val="3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2E7EAE"/>
    <w:pPr>
      <w:numPr>
        <w:ilvl w:val="1"/>
        <w:numId w:val="3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2E7EAE"/>
    <w:pPr>
      <w:numPr>
        <w:ilvl w:val="2"/>
        <w:numId w:val="3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2E7EAE"/>
    <w:pPr>
      <w:numPr>
        <w:ilvl w:val="3"/>
        <w:numId w:val="3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2E7EAE"/>
    <w:pPr>
      <w:numPr>
        <w:ilvl w:val="4"/>
        <w:numId w:val="30"/>
      </w:numPr>
      <w:spacing w:after="0" w:line="240" w:lineRule="auto"/>
    </w:pPr>
    <w:rPr>
      <w:rFonts w:ascii="Times" w:eastAsia="Batang" w:hAnsi="Times"/>
      <w:spacing w:val="0"/>
      <w:szCs w:val="20"/>
    </w:rPr>
  </w:style>
  <w:style w:type="paragraph" w:customStyle="1" w:styleId="Listebombe">
    <w:name w:val="Liste bombe"/>
    <w:basedOn w:val="Liste"/>
    <w:qFormat/>
    <w:rsid w:val="002E7EAE"/>
    <w:pPr>
      <w:numPr>
        <w:numId w:val="40"/>
      </w:numPr>
      <w:tabs>
        <w:tab w:val="left" w:pos="397"/>
      </w:tabs>
      <w:ind w:left="397" w:hanging="397"/>
    </w:pPr>
  </w:style>
  <w:style w:type="paragraph" w:customStyle="1" w:styleId="Listebombe2">
    <w:name w:val="Liste bombe 2"/>
    <w:basedOn w:val="Liste2"/>
    <w:qFormat/>
    <w:rsid w:val="002E7EAE"/>
    <w:pPr>
      <w:numPr>
        <w:ilvl w:val="0"/>
        <w:numId w:val="41"/>
      </w:numPr>
      <w:ind w:left="794" w:hanging="397"/>
    </w:pPr>
  </w:style>
  <w:style w:type="paragraph" w:customStyle="1" w:styleId="Listebombe3">
    <w:name w:val="Liste bombe 3"/>
    <w:basedOn w:val="Liste3"/>
    <w:qFormat/>
    <w:rsid w:val="002E7EAE"/>
    <w:pPr>
      <w:numPr>
        <w:ilvl w:val="0"/>
        <w:numId w:val="42"/>
      </w:numPr>
      <w:ind w:left="1191" w:hanging="397"/>
    </w:pPr>
  </w:style>
  <w:style w:type="paragraph" w:customStyle="1" w:styleId="Listebombe4">
    <w:name w:val="Liste bombe 4"/>
    <w:basedOn w:val="Liste4"/>
    <w:qFormat/>
    <w:rsid w:val="002E7EAE"/>
    <w:pPr>
      <w:numPr>
        <w:ilvl w:val="0"/>
        <w:numId w:val="43"/>
      </w:numPr>
      <w:ind w:left="1588" w:hanging="397"/>
    </w:pPr>
  </w:style>
  <w:style w:type="paragraph" w:customStyle="1" w:styleId="Listebombe5">
    <w:name w:val="Liste bombe 5"/>
    <w:basedOn w:val="Liste5"/>
    <w:qFormat/>
    <w:rsid w:val="002E7EAE"/>
    <w:pPr>
      <w:numPr>
        <w:ilvl w:val="0"/>
        <w:numId w:val="4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2E7EAE"/>
    <w:pPr>
      <w:numPr>
        <w:numId w:val="2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2E7EAE"/>
    <w:pPr>
      <w:numPr>
        <w:numId w:val="2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2E7EAE"/>
    <w:pPr>
      <w:numPr>
        <w:ilvl w:val="2"/>
        <w:numId w:val="2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2E7EAE"/>
    <w:pPr>
      <w:numPr>
        <w:ilvl w:val="3"/>
        <w:numId w:val="2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2E7EAE"/>
    <w:pPr>
      <w:numPr>
        <w:ilvl w:val="4"/>
        <w:numId w:val="2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2E7EAE"/>
    <w:pPr>
      <w:numPr>
        <w:numId w:val="3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2E7EAE"/>
    <w:pPr>
      <w:numPr>
        <w:ilvl w:val="1"/>
        <w:numId w:val="3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2E7EAE"/>
    <w:pPr>
      <w:numPr>
        <w:ilvl w:val="2"/>
        <w:numId w:val="3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2E7EAE"/>
    <w:pPr>
      <w:numPr>
        <w:ilvl w:val="3"/>
        <w:numId w:val="3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2E7EAE"/>
    <w:pPr>
      <w:numPr>
        <w:ilvl w:val="4"/>
        <w:numId w:val="39"/>
      </w:numPr>
      <w:spacing w:after="0"/>
    </w:pPr>
  </w:style>
  <w:style w:type="paragraph" w:customStyle="1" w:styleId="opplisting">
    <w:name w:val="opplisting"/>
    <w:basedOn w:val="Normal"/>
    <w:rsid w:val="002E7EAE"/>
    <w:pPr>
      <w:spacing w:after="0"/>
    </w:pPr>
    <w:rPr>
      <w:rFonts w:ascii="Times" w:hAnsi="Times" w:cs="Times New Roman"/>
      <w:spacing w:val="0"/>
    </w:rPr>
  </w:style>
  <w:style w:type="paragraph" w:customStyle="1" w:styleId="opplisting2">
    <w:name w:val="opplisting 2"/>
    <w:basedOn w:val="Normal"/>
    <w:qFormat/>
    <w:rsid w:val="002E7EAE"/>
    <w:pPr>
      <w:spacing w:after="0"/>
      <w:ind w:left="397"/>
    </w:pPr>
    <w:rPr>
      <w:spacing w:val="0"/>
      <w:lang w:val="en-US"/>
    </w:rPr>
  </w:style>
  <w:style w:type="paragraph" w:customStyle="1" w:styleId="opplisting3">
    <w:name w:val="opplisting 3"/>
    <w:basedOn w:val="Normal"/>
    <w:qFormat/>
    <w:rsid w:val="002E7EAE"/>
    <w:pPr>
      <w:spacing w:after="0"/>
      <w:ind w:left="794"/>
    </w:pPr>
    <w:rPr>
      <w:spacing w:val="0"/>
    </w:rPr>
  </w:style>
  <w:style w:type="paragraph" w:customStyle="1" w:styleId="opplisting4">
    <w:name w:val="opplisting 4"/>
    <w:basedOn w:val="Normal"/>
    <w:qFormat/>
    <w:rsid w:val="002E7EAE"/>
    <w:pPr>
      <w:spacing w:after="0"/>
      <w:ind w:left="1191"/>
    </w:pPr>
    <w:rPr>
      <w:spacing w:val="0"/>
    </w:rPr>
  </w:style>
  <w:style w:type="paragraph" w:customStyle="1" w:styleId="opplisting5">
    <w:name w:val="opplisting 5"/>
    <w:basedOn w:val="Normal"/>
    <w:qFormat/>
    <w:rsid w:val="002E7EAE"/>
    <w:pPr>
      <w:spacing w:after="0"/>
      <w:ind w:left="1588"/>
    </w:pPr>
    <w:rPr>
      <w:spacing w:val="0"/>
    </w:rPr>
  </w:style>
  <w:style w:type="paragraph" w:customStyle="1" w:styleId="friliste">
    <w:name w:val="friliste"/>
    <w:basedOn w:val="Normal"/>
    <w:qFormat/>
    <w:rsid w:val="002E7EAE"/>
    <w:pPr>
      <w:tabs>
        <w:tab w:val="left" w:pos="397"/>
      </w:tabs>
      <w:spacing w:after="0"/>
      <w:ind w:left="397" w:hanging="397"/>
    </w:pPr>
    <w:rPr>
      <w:spacing w:val="0"/>
    </w:rPr>
  </w:style>
  <w:style w:type="paragraph" w:customStyle="1" w:styleId="friliste2">
    <w:name w:val="friliste 2"/>
    <w:basedOn w:val="Normal"/>
    <w:qFormat/>
    <w:rsid w:val="002E7EAE"/>
    <w:pPr>
      <w:tabs>
        <w:tab w:val="left" w:pos="794"/>
      </w:tabs>
      <w:spacing w:after="0"/>
      <w:ind w:left="794" w:hanging="397"/>
    </w:pPr>
    <w:rPr>
      <w:spacing w:val="0"/>
    </w:rPr>
  </w:style>
  <w:style w:type="paragraph" w:customStyle="1" w:styleId="friliste3">
    <w:name w:val="friliste 3"/>
    <w:basedOn w:val="Normal"/>
    <w:qFormat/>
    <w:rsid w:val="002E7EAE"/>
    <w:pPr>
      <w:tabs>
        <w:tab w:val="left" w:pos="1191"/>
      </w:tabs>
      <w:spacing w:after="0"/>
      <w:ind w:left="1191" w:hanging="397"/>
    </w:pPr>
    <w:rPr>
      <w:spacing w:val="0"/>
    </w:rPr>
  </w:style>
  <w:style w:type="paragraph" w:customStyle="1" w:styleId="friliste4">
    <w:name w:val="friliste 4"/>
    <w:basedOn w:val="Normal"/>
    <w:qFormat/>
    <w:rsid w:val="002E7EAE"/>
    <w:pPr>
      <w:tabs>
        <w:tab w:val="left" w:pos="1588"/>
      </w:tabs>
      <w:spacing w:after="0"/>
      <w:ind w:left="1588" w:hanging="397"/>
    </w:pPr>
    <w:rPr>
      <w:spacing w:val="0"/>
    </w:rPr>
  </w:style>
  <w:style w:type="paragraph" w:customStyle="1" w:styleId="friliste5">
    <w:name w:val="friliste 5"/>
    <w:basedOn w:val="Normal"/>
    <w:qFormat/>
    <w:rsid w:val="002E7EAE"/>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2E7EAE"/>
    <w:pPr>
      <w:numPr>
        <w:numId w:val="3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2E7EAE"/>
    <w:pPr>
      <w:numPr>
        <w:numId w:val="38"/>
      </w:numPr>
    </w:pPr>
  </w:style>
  <w:style w:type="paragraph" w:customStyle="1" w:styleId="avsnitt-undertittel">
    <w:name w:val="avsnitt-undertittel"/>
    <w:basedOn w:val="Normal"/>
    <w:next w:val="Normal"/>
    <w:rsid w:val="002E7EAE"/>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2E7EAE"/>
    <w:pPr>
      <w:numPr>
        <w:numId w:val="3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2E7EAE"/>
    <w:pPr>
      <w:numPr>
        <w:numId w:val="3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2E7EAE"/>
    <w:pPr>
      <w:numPr>
        <w:numId w:val="38"/>
      </w:numPr>
    </w:pPr>
  </w:style>
  <w:style w:type="paragraph" w:customStyle="1" w:styleId="avsnitt-under-undertittel">
    <w:name w:val="avsnitt-under-undertittel"/>
    <w:basedOn w:val="Normal"/>
    <w:next w:val="Normal"/>
    <w:rsid w:val="002E7EAE"/>
    <w:pPr>
      <w:keepNext/>
      <w:keepLines/>
      <w:spacing w:before="360" w:line="240" w:lineRule="auto"/>
    </w:pPr>
    <w:rPr>
      <w:rFonts w:eastAsia="Batang"/>
      <w:i/>
      <w:spacing w:val="0"/>
      <w:szCs w:val="20"/>
    </w:rPr>
  </w:style>
  <w:style w:type="paragraph" w:customStyle="1" w:styleId="blokksit">
    <w:name w:val="blokksit"/>
    <w:basedOn w:val="Normal"/>
    <w:qFormat/>
    <w:rsid w:val="002E7EAE"/>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2E7EAE"/>
    <w:pPr>
      <w:spacing w:before="180" w:after="0"/>
    </w:pPr>
    <w:rPr>
      <w:rFonts w:ascii="Times" w:hAnsi="Times"/>
      <w:i/>
    </w:rPr>
  </w:style>
  <w:style w:type="paragraph" w:customStyle="1" w:styleId="l-ledd">
    <w:name w:val="l-ledd"/>
    <w:basedOn w:val="Normal"/>
    <w:qFormat/>
    <w:rsid w:val="002E7EAE"/>
    <w:pPr>
      <w:spacing w:after="0"/>
      <w:ind w:firstLine="397"/>
    </w:pPr>
    <w:rPr>
      <w:rFonts w:ascii="Times" w:hAnsi="Times"/>
    </w:rPr>
  </w:style>
  <w:style w:type="paragraph" w:customStyle="1" w:styleId="l-tit-endr-paragraf">
    <w:name w:val="l-tit-endr-paragraf"/>
    <w:basedOn w:val="Normal"/>
    <w:qFormat/>
    <w:rsid w:val="002E7EAE"/>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2E7EAE"/>
    <w:pPr>
      <w:keepNext/>
      <w:keepLines/>
      <w:numPr>
        <w:ilvl w:val="7"/>
        <w:numId w:val="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2E7EAE"/>
    <w:rPr>
      <w:rFonts w:ascii="Times New Roman" w:eastAsia="Times New Roman" w:hAnsi="Times New Roman"/>
      <w:spacing w:val="4"/>
      <w:sz w:val="20"/>
    </w:rPr>
  </w:style>
  <w:style w:type="character" w:customStyle="1" w:styleId="DatoTegn">
    <w:name w:val="Dato Tegn"/>
    <w:link w:val="Dato0"/>
    <w:rsid w:val="002E7EAE"/>
    <w:rPr>
      <w:rFonts w:ascii="Times New Roman" w:eastAsia="Times New Roman" w:hAnsi="Times New Roman"/>
      <w:spacing w:val="4"/>
      <w:sz w:val="24"/>
    </w:rPr>
  </w:style>
  <w:style w:type="character" w:styleId="Fotnotereferanse">
    <w:name w:val="footnote reference"/>
    <w:rsid w:val="002E7EAE"/>
    <w:rPr>
      <w:vertAlign w:val="superscript"/>
    </w:rPr>
  </w:style>
  <w:style w:type="character" w:customStyle="1" w:styleId="gjennomstreket">
    <w:name w:val="gjennomstreket"/>
    <w:uiPriority w:val="1"/>
    <w:rsid w:val="002E7EAE"/>
    <w:rPr>
      <w:strike/>
      <w:dstrike w:val="0"/>
    </w:rPr>
  </w:style>
  <w:style w:type="character" w:customStyle="1" w:styleId="halvfet0">
    <w:name w:val="halvfet"/>
    <w:rsid w:val="002E7EAE"/>
    <w:rPr>
      <w:b/>
    </w:rPr>
  </w:style>
  <w:style w:type="character" w:styleId="Hyperkobling">
    <w:name w:val="Hyperlink"/>
    <w:uiPriority w:val="99"/>
    <w:unhideWhenUsed/>
    <w:rsid w:val="002E7EAE"/>
    <w:rPr>
      <w:color w:val="0000FF"/>
      <w:u w:val="single"/>
    </w:rPr>
  </w:style>
  <w:style w:type="character" w:customStyle="1" w:styleId="kursiv">
    <w:name w:val="kursiv"/>
    <w:rsid w:val="002E7EAE"/>
    <w:rPr>
      <w:i/>
    </w:rPr>
  </w:style>
  <w:style w:type="character" w:customStyle="1" w:styleId="l-endring">
    <w:name w:val="l-endring"/>
    <w:rsid w:val="002E7EA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2E7EAE"/>
  </w:style>
  <w:style w:type="character" w:styleId="Plassholdertekst">
    <w:name w:val="Placeholder Text"/>
    <w:uiPriority w:val="99"/>
    <w:rsid w:val="002E7EAE"/>
    <w:rPr>
      <w:color w:val="808080"/>
    </w:rPr>
  </w:style>
  <w:style w:type="character" w:customStyle="1" w:styleId="regular">
    <w:name w:val="regular"/>
    <w:uiPriority w:val="1"/>
    <w:qFormat/>
    <w:rsid w:val="002E7EAE"/>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2E7EAE"/>
    <w:rPr>
      <w:vertAlign w:val="superscript"/>
    </w:rPr>
  </w:style>
  <w:style w:type="character" w:customStyle="1" w:styleId="skrift-senket">
    <w:name w:val="skrift-senket"/>
    <w:rsid w:val="002E7EAE"/>
    <w:rPr>
      <w:vertAlign w:val="subscript"/>
    </w:rPr>
  </w:style>
  <w:style w:type="character" w:customStyle="1" w:styleId="SluttnotetekstTegn">
    <w:name w:val="Sluttnotetekst Tegn"/>
    <w:link w:val="Sluttnotetekst"/>
    <w:uiPriority w:val="99"/>
    <w:semiHidden/>
    <w:rsid w:val="002E7EAE"/>
    <w:rPr>
      <w:rFonts w:ascii="Times New Roman" w:eastAsia="Times New Roman" w:hAnsi="Times New Roman"/>
      <w:spacing w:val="4"/>
      <w:sz w:val="20"/>
      <w:szCs w:val="20"/>
    </w:rPr>
  </w:style>
  <w:style w:type="character" w:customStyle="1" w:styleId="sperret0">
    <w:name w:val="sperret"/>
    <w:rsid w:val="002E7EAE"/>
    <w:rPr>
      <w:spacing w:val="30"/>
    </w:rPr>
  </w:style>
  <w:style w:type="character" w:customStyle="1" w:styleId="SterktsitatTegn">
    <w:name w:val="Sterkt sitat Tegn"/>
    <w:link w:val="Sterktsitat"/>
    <w:uiPriority w:val="30"/>
    <w:rsid w:val="002E7EAE"/>
    <w:rPr>
      <w:rFonts w:ascii="Times New Roman" w:eastAsia="Times New Roman" w:hAnsi="Times New Roman"/>
      <w:b/>
      <w:bCs/>
      <w:i/>
      <w:iCs/>
      <w:color w:val="4F81BD"/>
      <w:spacing w:val="4"/>
      <w:sz w:val="24"/>
    </w:rPr>
  </w:style>
  <w:style w:type="character" w:customStyle="1" w:styleId="Stikkord">
    <w:name w:val="Stikkord"/>
    <w:rsid w:val="002E7EAE"/>
    <w:rPr>
      <w:color w:val="0000FF"/>
    </w:rPr>
  </w:style>
  <w:style w:type="character" w:customStyle="1" w:styleId="stikkord0">
    <w:name w:val="stikkord"/>
    <w:uiPriority w:val="99"/>
  </w:style>
  <w:style w:type="character" w:styleId="Sterk">
    <w:name w:val="Strong"/>
    <w:uiPriority w:val="22"/>
    <w:qFormat/>
    <w:rsid w:val="002E7EAE"/>
    <w:rPr>
      <w:b/>
      <w:bCs/>
    </w:rPr>
  </w:style>
  <w:style w:type="character" w:customStyle="1" w:styleId="TopptekstTegn">
    <w:name w:val="Topptekst Tegn"/>
    <w:link w:val="Topptekst"/>
    <w:rsid w:val="002E7EAE"/>
    <w:rPr>
      <w:rFonts w:ascii="Times New Roman" w:eastAsia="Times New Roman" w:hAnsi="Times New Roman"/>
      <w:sz w:val="20"/>
    </w:rPr>
  </w:style>
  <w:style w:type="character" w:customStyle="1" w:styleId="UnderskriftTegn">
    <w:name w:val="Underskrift Tegn"/>
    <w:link w:val="Underskrift"/>
    <w:uiPriority w:val="99"/>
    <w:rsid w:val="002E7EAE"/>
    <w:rPr>
      <w:rFonts w:ascii="Times New Roman" w:eastAsia="Times New Roman" w:hAnsi="Times New Roman"/>
      <w:spacing w:val="4"/>
      <w:sz w:val="24"/>
    </w:rPr>
  </w:style>
  <w:style w:type="paragraph" w:styleId="Topptekst">
    <w:name w:val="header"/>
    <w:basedOn w:val="Normal"/>
    <w:link w:val="TopptekstTegn"/>
    <w:rsid w:val="002E7EAE"/>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E7EAE"/>
    <w:rPr>
      <w:rFonts w:ascii="UniCentury Old Style" w:hAnsi="UniCentury Old Style" w:cs="UniCentury Old Style"/>
      <w:color w:val="000000"/>
      <w:w w:val="0"/>
      <w:sz w:val="20"/>
      <w:szCs w:val="20"/>
    </w:rPr>
  </w:style>
  <w:style w:type="paragraph" w:styleId="Bunntekst">
    <w:name w:val="footer"/>
    <w:basedOn w:val="Normal"/>
    <w:link w:val="BunntekstTegn"/>
    <w:rsid w:val="002E7EAE"/>
    <w:pPr>
      <w:tabs>
        <w:tab w:val="center" w:pos="4153"/>
        <w:tab w:val="right" w:pos="8306"/>
      </w:tabs>
    </w:pPr>
    <w:rPr>
      <w:sz w:val="20"/>
    </w:rPr>
  </w:style>
  <w:style w:type="character" w:customStyle="1" w:styleId="BunntekstTegn1">
    <w:name w:val="Bunntekst Tegn1"/>
    <w:basedOn w:val="Standardskriftforavsnitt"/>
    <w:uiPriority w:val="99"/>
    <w:semiHidden/>
    <w:rsid w:val="002E7EAE"/>
    <w:rPr>
      <w:rFonts w:ascii="UniCentury Old Style" w:hAnsi="UniCentury Old Style" w:cs="UniCentury Old Style"/>
      <w:color w:val="000000"/>
      <w:w w:val="0"/>
      <w:sz w:val="20"/>
      <w:szCs w:val="20"/>
    </w:rPr>
  </w:style>
  <w:style w:type="character" w:customStyle="1" w:styleId="Overskrift6Tegn">
    <w:name w:val="Overskrift 6 Tegn"/>
    <w:link w:val="Overskrift6"/>
    <w:rsid w:val="002E7EAE"/>
    <w:rPr>
      <w:rFonts w:ascii="Arial" w:eastAsia="Times New Roman" w:hAnsi="Arial"/>
      <w:i/>
      <w:spacing w:val="4"/>
    </w:rPr>
  </w:style>
  <w:style w:type="character" w:customStyle="1" w:styleId="Overskrift7Tegn">
    <w:name w:val="Overskrift 7 Tegn"/>
    <w:link w:val="Overskrift7"/>
    <w:rsid w:val="002E7EAE"/>
    <w:rPr>
      <w:rFonts w:ascii="Arial" w:eastAsia="Times New Roman" w:hAnsi="Arial"/>
      <w:spacing w:val="4"/>
      <w:sz w:val="24"/>
    </w:rPr>
  </w:style>
  <w:style w:type="character" w:customStyle="1" w:styleId="Overskrift8Tegn">
    <w:name w:val="Overskrift 8 Tegn"/>
    <w:link w:val="Overskrift8"/>
    <w:rsid w:val="002E7EAE"/>
    <w:rPr>
      <w:rFonts w:ascii="Arial" w:eastAsia="Times New Roman" w:hAnsi="Arial"/>
      <w:i/>
      <w:spacing w:val="4"/>
      <w:sz w:val="24"/>
    </w:rPr>
  </w:style>
  <w:style w:type="character" w:customStyle="1" w:styleId="Overskrift9Tegn">
    <w:name w:val="Overskrift 9 Tegn"/>
    <w:link w:val="Overskrift9"/>
    <w:rsid w:val="002E7EAE"/>
    <w:rPr>
      <w:rFonts w:ascii="Arial" w:eastAsia="Times New Roman" w:hAnsi="Arial"/>
      <w:i/>
      <w:spacing w:val="4"/>
      <w:sz w:val="18"/>
    </w:rPr>
  </w:style>
  <w:style w:type="table" w:customStyle="1" w:styleId="Tabell-VM">
    <w:name w:val="Tabell-VM"/>
    <w:basedOn w:val="Tabelltemaer"/>
    <w:uiPriority w:val="99"/>
    <w:qFormat/>
    <w:rsid w:val="002E7EAE"/>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2E7EA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E7EAE"/>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2E7EAE"/>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E7EAE"/>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2E7EAE"/>
    <w:pPr>
      <w:tabs>
        <w:tab w:val="right" w:leader="dot" w:pos="8306"/>
      </w:tabs>
    </w:pPr>
    <w:rPr>
      <w:spacing w:val="0"/>
    </w:rPr>
  </w:style>
  <w:style w:type="paragraph" w:styleId="INNH2">
    <w:name w:val="toc 2"/>
    <w:basedOn w:val="Normal"/>
    <w:next w:val="Normal"/>
    <w:rsid w:val="002E7EAE"/>
    <w:pPr>
      <w:tabs>
        <w:tab w:val="right" w:leader="dot" w:pos="8306"/>
      </w:tabs>
      <w:ind w:left="200"/>
    </w:pPr>
    <w:rPr>
      <w:spacing w:val="0"/>
    </w:rPr>
  </w:style>
  <w:style w:type="paragraph" w:styleId="INNH3">
    <w:name w:val="toc 3"/>
    <w:basedOn w:val="Normal"/>
    <w:next w:val="Normal"/>
    <w:rsid w:val="002E7EAE"/>
    <w:pPr>
      <w:tabs>
        <w:tab w:val="right" w:leader="dot" w:pos="8306"/>
      </w:tabs>
      <w:ind w:left="400"/>
    </w:pPr>
    <w:rPr>
      <w:spacing w:val="0"/>
    </w:rPr>
  </w:style>
  <w:style w:type="paragraph" w:styleId="INNH4">
    <w:name w:val="toc 4"/>
    <w:basedOn w:val="Normal"/>
    <w:next w:val="Normal"/>
    <w:rsid w:val="002E7EAE"/>
    <w:pPr>
      <w:tabs>
        <w:tab w:val="right" w:leader="dot" w:pos="8306"/>
      </w:tabs>
      <w:ind w:left="600"/>
    </w:pPr>
    <w:rPr>
      <w:spacing w:val="0"/>
    </w:rPr>
  </w:style>
  <w:style w:type="paragraph" w:styleId="INNH5">
    <w:name w:val="toc 5"/>
    <w:basedOn w:val="Normal"/>
    <w:next w:val="Normal"/>
    <w:rsid w:val="002E7EAE"/>
    <w:pPr>
      <w:tabs>
        <w:tab w:val="right" w:leader="dot" w:pos="8306"/>
      </w:tabs>
      <w:ind w:left="800"/>
    </w:pPr>
    <w:rPr>
      <w:spacing w:val="0"/>
    </w:rPr>
  </w:style>
  <w:style w:type="character" w:styleId="Merknadsreferanse">
    <w:name w:val="annotation reference"/>
    <w:rsid w:val="002E7EAE"/>
    <w:rPr>
      <w:sz w:val="16"/>
    </w:rPr>
  </w:style>
  <w:style w:type="paragraph" w:styleId="Merknadstekst">
    <w:name w:val="annotation text"/>
    <w:basedOn w:val="Normal"/>
    <w:link w:val="MerknadstekstTegn"/>
    <w:rsid w:val="002E7EAE"/>
    <w:rPr>
      <w:spacing w:val="0"/>
      <w:sz w:val="20"/>
    </w:rPr>
  </w:style>
  <w:style w:type="character" w:customStyle="1" w:styleId="MerknadstekstTegn">
    <w:name w:val="Merknadstekst Tegn"/>
    <w:link w:val="Merknadstekst"/>
    <w:rsid w:val="002E7EAE"/>
    <w:rPr>
      <w:rFonts w:ascii="Times New Roman" w:eastAsia="Times New Roman" w:hAnsi="Times New Roman"/>
      <w:sz w:val="20"/>
    </w:rPr>
  </w:style>
  <w:style w:type="paragraph" w:styleId="Punktliste">
    <w:name w:val="List Bullet"/>
    <w:basedOn w:val="Normal"/>
    <w:rsid w:val="002E7EAE"/>
    <w:pPr>
      <w:spacing w:after="0"/>
      <w:ind w:left="284" w:hanging="284"/>
    </w:pPr>
  </w:style>
  <w:style w:type="paragraph" w:styleId="Punktliste2">
    <w:name w:val="List Bullet 2"/>
    <w:basedOn w:val="Normal"/>
    <w:rsid w:val="002E7EAE"/>
    <w:pPr>
      <w:spacing w:after="0"/>
      <w:ind w:left="568" w:hanging="284"/>
    </w:pPr>
  </w:style>
  <w:style w:type="paragraph" w:styleId="Punktliste3">
    <w:name w:val="List Bullet 3"/>
    <w:basedOn w:val="Normal"/>
    <w:rsid w:val="002E7EAE"/>
    <w:pPr>
      <w:spacing w:after="0"/>
      <w:ind w:left="851" w:hanging="284"/>
    </w:pPr>
  </w:style>
  <w:style w:type="paragraph" w:styleId="Punktliste4">
    <w:name w:val="List Bullet 4"/>
    <w:basedOn w:val="Normal"/>
    <w:rsid w:val="002E7EAE"/>
    <w:pPr>
      <w:spacing w:after="0"/>
      <w:ind w:left="1135" w:hanging="284"/>
    </w:pPr>
    <w:rPr>
      <w:spacing w:val="0"/>
    </w:rPr>
  </w:style>
  <w:style w:type="paragraph" w:styleId="Punktliste5">
    <w:name w:val="List Bullet 5"/>
    <w:basedOn w:val="Normal"/>
    <w:rsid w:val="002E7EAE"/>
    <w:pPr>
      <w:spacing w:after="0"/>
      <w:ind w:left="1418" w:hanging="284"/>
    </w:pPr>
    <w:rPr>
      <w:spacing w:val="0"/>
    </w:rPr>
  </w:style>
  <w:style w:type="table" w:customStyle="1" w:styleId="StandardTabell">
    <w:name w:val="StandardTabell"/>
    <w:basedOn w:val="Vanligtabell"/>
    <w:uiPriority w:val="99"/>
    <w:qFormat/>
    <w:rsid w:val="002E7EAE"/>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2E7EAE"/>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2E7EAE"/>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2E7EAE"/>
    <w:pPr>
      <w:spacing w:after="0" w:line="240" w:lineRule="auto"/>
      <w:ind w:left="240" w:hanging="240"/>
    </w:pPr>
  </w:style>
  <w:style w:type="paragraph" w:styleId="Indeks2">
    <w:name w:val="index 2"/>
    <w:basedOn w:val="Normal"/>
    <w:next w:val="Normal"/>
    <w:autoRedefine/>
    <w:uiPriority w:val="99"/>
    <w:semiHidden/>
    <w:unhideWhenUsed/>
    <w:rsid w:val="002E7EAE"/>
    <w:pPr>
      <w:spacing w:after="0" w:line="240" w:lineRule="auto"/>
      <w:ind w:left="480" w:hanging="240"/>
    </w:pPr>
  </w:style>
  <w:style w:type="paragraph" w:styleId="Indeks3">
    <w:name w:val="index 3"/>
    <w:basedOn w:val="Normal"/>
    <w:next w:val="Normal"/>
    <w:autoRedefine/>
    <w:uiPriority w:val="99"/>
    <w:semiHidden/>
    <w:unhideWhenUsed/>
    <w:rsid w:val="002E7EAE"/>
    <w:pPr>
      <w:spacing w:after="0" w:line="240" w:lineRule="auto"/>
      <w:ind w:left="720" w:hanging="240"/>
    </w:pPr>
  </w:style>
  <w:style w:type="paragraph" w:styleId="Indeks4">
    <w:name w:val="index 4"/>
    <w:basedOn w:val="Normal"/>
    <w:next w:val="Normal"/>
    <w:autoRedefine/>
    <w:uiPriority w:val="99"/>
    <w:semiHidden/>
    <w:unhideWhenUsed/>
    <w:rsid w:val="002E7EAE"/>
    <w:pPr>
      <w:spacing w:after="0" w:line="240" w:lineRule="auto"/>
      <w:ind w:left="960" w:hanging="240"/>
    </w:pPr>
  </w:style>
  <w:style w:type="paragraph" w:styleId="Indeks5">
    <w:name w:val="index 5"/>
    <w:basedOn w:val="Normal"/>
    <w:next w:val="Normal"/>
    <w:autoRedefine/>
    <w:uiPriority w:val="99"/>
    <w:semiHidden/>
    <w:unhideWhenUsed/>
    <w:rsid w:val="002E7EAE"/>
    <w:pPr>
      <w:spacing w:after="0" w:line="240" w:lineRule="auto"/>
      <w:ind w:left="1200" w:hanging="240"/>
    </w:pPr>
  </w:style>
  <w:style w:type="paragraph" w:styleId="Indeks6">
    <w:name w:val="index 6"/>
    <w:basedOn w:val="Normal"/>
    <w:next w:val="Normal"/>
    <w:autoRedefine/>
    <w:uiPriority w:val="99"/>
    <w:semiHidden/>
    <w:unhideWhenUsed/>
    <w:rsid w:val="002E7EAE"/>
    <w:pPr>
      <w:spacing w:after="0" w:line="240" w:lineRule="auto"/>
      <w:ind w:left="1440" w:hanging="240"/>
    </w:pPr>
  </w:style>
  <w:style w:type="paragraph" w:styleId="Indeks7">
    <w:name w:val="index 7"/>
    <w:basedOn w:val="Normal"/>
    <w:next w:val="Normal"/>
    <w:autoRedefine/>
    <w:uiPriority w:val="99"/>
    <w:semiHidden/>
    <w:unhideWhenUsed/>
    <w:rsid w:val="002E7EAE"/>
    <w:pPr>
      <w:spacing w:after="0" w:line="240" w:lineRule="auto"/>
      <w:ind w:left="1680" w:hanging="240"/>
    </w:pPr>
  </w:style>
  <w:style w:type="paragraph" w:styleId="Indeks8">
    <w:name w:val="index 8"/>
    <w:basedOn w:val="Normal"/>
    <w:next w:val="Normal"/>
    <w:autoRedefine/>
    <w:uiPriority w:val="99"/>
    <w:semiHidden/>
    <w:unhideWhenUsed/>
    <w:rsid w:val="002E7EAE"/>
    <w:pPr>
      <w:spacing w:after="0" w:line="240" w:lineRule="auto"/>
      <w:ind w:left="1920" w:hanging="240"/>
    </w:pPr>
  </w:style>
  <w:style w:type="paragraph" w:styleId="Indeks9">
    <w:name w:val="index 9"/>
    <w:basedOn w:val="Normal"/>
    <w:next w:val="Normal"/>
    <w:autoRedefine/>
    <w:uiPriority w:val="99"/>
    <w:semiHidden/>
    <w:unhideWhenUsed/>
    <w:rsid w:val="002E7EAE"/>
    <w:pPr>
      <w:spacing w:after="0" w:line="240" w:lineRule="auto"/>
      <w:ind w:left="2160" w:hanging="240"/>
    </w:pPr>
  </w:style>
  <w:style w:type="paragraph" w:styleId="INNH6">
    <w:name w:val="toc 6"/>
    <w:basedOn w:val="Normal"/>
    <w:next w:val="Normal"/>
    <w:autoRedefine/>
    <w:uiPriority w:val="39"/>
    <w:semiHidden/>
    <w:unhideWhenUsed/>
    <w:rsid w:val="002E7EAE"/>
    <w:pPr>
      <w:spacing w:after="100"/>
      <w:ind w:left="1200"/>
    </w:pPr>
  </w:style>
  <w:style w:type="paragraph" w:styleId="INNH7">
    <w:name w:val="toc 7"/>
    <w:basedOn w:val="Normal"/>
    <w:next w:val="Normal"/>
    <w:autoRedefine/>
    <w:uiPriority w:val="39"/>
    <w:semiHidden/>
    <w:unhideWhenUsed/>
    <w:rsid w:val="002E7EAE"/>
    <w:pPr>
      <w:spacing w:after="100"/>
      <w:ind w:left="1440"/>
    </w:pPr>
  </w:style>
  <w:style w:type="paragraph" w:styleId="INNH8">
    <w:name w:val="toc 8"/>
    <w:basedOn w:val="Normal"/>
    <w:next w:val="Normal"/>
    <w:autoRedefine/>
    <w:uiPriority w:val="39"/>
    <w:semiHidden/>
    <w:unhideWhenUsed/>
    <w:rsid w:val="002E7EAE"/>
    <w:pPr>
      <w:spacing w:after="100"/>
      <w:ind w:left="1680"/>
    </w:pPr>
  </w:style>
  <w:style w:type="paragraph" w:styleId="INNH9">
    <w:name w:val="toc 9"/>
    <w:basedOn w:val="Normal"/>
    <w:next w:val="Normal"/>
    <w:autoRedefine/>
    <w:uiPriority w:val="39"/>
    <w:semiHidden/>
    <w:unhideWhenUsed/>
    <w:rsid w:val="002E7EAE"/>
    <w:pPr>
      <w:spacing w:after="100"/>
      <w:ind w:left="1920"/>
    </w:pPr>
  </w:style>
  <w:style w:type="paragraph" w:styleId="Vanliginnrykk">
    <w:name w:val="Normal Indent"/>
    <w:basedOn w:val="Normal"/>
    <w:uiPriority w:val="99"/>
    <w:semiHidden/>
    <w:unhideWhenUsed/>
    <w:rsid w:val="002E7EAE"/>
    <w:pPr>
      <w:ind w:left="708"/>
    </w:pPr>
  </w:style>
  <w:style w:type="paragraph" w:styleId="Stikkordregisteroverskrift">
    <w:name w:val="index heading"/>
    <w:basedOn w:val="Normal"/>
    <w:next w:val="Indeks1"/>
    <w:uiPriority w:val="99"/>
    <w:semiHidden/>
    <w:unhideWhenUsed/>
    <w:rsid w:val="002E7EAE"/>
    <w:rPr>
      <w:rFonts w:ascii="Cambria" w:hAnsi="Cambria" w:cs="Times New Roman"/>
      <w:b/>
      <w:bCs/>
    </w:rPr>
  </w:style>
  <w:style w:type="paragraph" w:styleId="Bildetekst">
    <w:name w:val="caption"/>
    <w:basedOn w:val="Normal"/>
    <w:next w:val="Normal"/>
    <w:uiPriority w:val="35"/>
    <w:semiHidden/>
    <w:unhideWhenUsed/>
    <w:qFormat/>
    <w:rsid w:val="002E7EAE"/>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2E7EAE"/>
    <w:pPr>
      <w:spacing w:after="0"/>
    </w:pPr>
  </w:style>
  <w:style w:type="paragraph" w:styleId="Konvoluttadresse">
    <w:name w:val="envelope address"/>
    <w:basedOn w:val="Normal"/>
    <w:uiPriority w:val="99"/>
    <w:semiHidden/>
    <w:unhideWhenUsed/>
    <w:rsid w:val="002E7EAE"/>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2E7EAE"/>
  </w:style>
  <w:style w:type="character" w:styleId="Sluttnotereferanse">
    <w:name w:val="endnote reference"/>
    <w:uiPriority w:val="99"/>
    <w:semiHidden/>
    <w:unhideWhenUsed/>
    <w:rsid w:val="002E7EAE"/>
    <w:rPr>
      <w:vertAlign w:val="superscript"/>
    </w:rPr>
  </w:style>
  <w:style w:type="paragraph" w:styleId="Sluttnotetekst">
    <w:name w:val="endnote text"/>
    <w:basedOn w:val="Normal"/>
    <w:link w:val="SluttnotetekstTegn"/>
    <w:uiPriority w:val="99"/>
    <w:semiHidden/>
    <w:unhideWhenUsed/>
    <w:rsid w:val="002E7EAE"/>
    <w:pPr>
      <w:spacing w:after="0" w:line="240" w:lineRule="auto"/>
    </w:pPr>
    <w:rPr>
      <w:sz w:val="20"/>
      <w:szCs w:val="20"/>
    </w:rPr>
  </w:style>
  <w:style w:type="character" w:customStyle="1" w:styleId="SluttnotetekstTegn1">
    <w:name w:val="Sluttnotetekst Tegn1"/>
    <w:basedOn w:val="Standardskriftforavsnitt"/>
    <w:uiPriority w:val="99"/>
    <w:semiHidden/>
    <w:rsid w:val="002E7EAE"/>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2E7EAE"/>
    <w:pPr>
      <w:spacing w:after="0"/>
      <w:ind w:left="240" w:hanging="240"/>
    </w:pPr>
  </w:style>
  <w:style w:type="paragraph" w:styleId="Makrotekst">
    <w:name w:val="macro"/>
    <w:link w:val="MakrotekstTegn"/>
    <w:uiPriority w:val="99"/>
    <w:semiHidden/>
    <w:unhideWhenUsed/>
    <w:rsid w:val="002E7EAE"/>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2E7EAE"/>
    <w:rPr>
      <w:rFonts w:ascii="Consolas" w:eastAsia="Times New Roman" w:hAnsi="Consolas"/>
      <w:spacing w:val="4"/>
    </w:rPr>
  </w:style>
  <w:style w:type="paragraph" w:styleId="Kildelisteoverskrift">
    <w:name w:val="toa heading"/>
    <w:basedOn w:val="Normal"/>
    <w:next w:val="Normal"/>
    <w:uiPriority w:val="99"/>
    <w:semiHidden/>
    <w:unhideWhenUsed/>
    <w:rsid w:val="002E7EAE"/>
    <w:pPr>
      <w:spacing w:before="120"/>
    </w:pPr>
    <w:rPr>
      <w:rFonts w:ascii="Cambria" w:hAnsi="Cambria" w:cs="Times New Roman"/>
      <w:b/>
      <w:bCs/>
      <w:szCs w:val="24"/>
    </w:rPr>
  </w:style>
  <w:style w:type="paragraph" w:styleId="Tittel">
    <w:name w:val="Title"/>
    <w:basedOn w:val="Normal"/>
    <w:next w:val="Normal"/>
    <w:link w:val="TittelTegn"/>
    <w:uiPriority w:val="10"/>
    <w:qFormat/>
    <w:rsid w:val="002E7EAE"/>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2E7EAE"/>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2E7EAE"/>
    <w:pPr>
      <w:spacing w:after="0" w:line="240" w:lineRule="auto"/>
      <w:ind w:left="4252"/>
    </w:pPr>
  </w:style>
  <w:style w:type="character" w:customStyle="1" w:styleId="HilsenTegn">
    <w:name w:val="Hilsen Tegn"/>
    <w:link w:val="Hilsen"/>
    <w:uiPriority w:val="99"/>
    <w:semiHidden/>
    <w:rsid w:val="002E7EAE"/>
    <w:rPr>
      <w:rFonts w:ascii="Times New Roman" w:eastAsia="Times New Roman" w:hAnsi="Times New Roman"/>
      <w:spacing w:val="4"/>
      <w:sz w:val="24"/>
    </w:rPr>
  </w:style>
  <w:style w:type="paragraph" w:styleId="Underskrift">
    <w:name w:val="Signature"/>
    <w:basedOn w:val="Normal"/>
    <w:link w:val="UnderskriftTegn"/>
    <w:uiPriority w:val="99"/>
    <w:unhideWhenUsed/>
    <w:rsid w:val="002E7EAE"/>
    <w:pPr>
      <w:spacing w:after="0" w:line="240" w:lineRule="auto"/>
      <w:ind w:left="4252"/>
    </w:pPr>
  </w:style>
  <w:style w:type="character" w:customStyle="1" w:styleId="UnderskriftTegn1">
    <w:name w:val="Underskrift Tegn1"/>
    <w:basedOn w:val="Standardskriftforavsnitt"/>
    <w:uiPriority w:val="99"/>
    <w:semiHidden/>
    <w:rsid w:val="002E7EAE"/>
    <w:rPr>
      <w:rFonts w:ascii="Times New Roman" w:eastAsia="Times New Roman" w:hAnsi="Times New Roman"/>
      <w:spacing w:val="4"/>
      <w:sz w:val="24"/>
    </w:rPr>
  </w:style>
  <w:style w:type="paragraph" w:styleId="Liste-forts">
    <w:name w:val="List Continue"/>
    <w:basedOn w:val="Normal"/>
    <w:uiPriority w:val="99"/>
    <w:semiHidden/>
    <w:unhideWhenUsed/>
    <w:rsid w:val="002E7EAE"/>
    <w:pPr>
      <w:ind w:left="283"/>
      <w:contextualSpacing/>
    </w:pPr>
  </w:style>
  <w:style w:type="paragraph" w:styleId="Liste-forts2">
    <w:name w:val="List Continue 2"/>
    <w:basedOn w:val="Normal"/>
    <w:uiPriority w:val="99"/>
    <w:semiHidden/>
    <w:unhideWhenUsed/>
    <w:rsid w:val="002E7EAE"/>
    <w:pPr>
      <w:ind w:left="566"/>
      <w:contextualSpacing/>
    </w:pPr>
  </w:style>
  <w:style w:type="paragraph" w:styleId="Liste-forts3">
    <w:name w:val="List Continue 3"/>
    <w:basedOn w:val="Normal"/>
    <w:uiPriority w:val="99"/>
    <w:semiHidden/>
    <w:unhideWhenUsed/>
    <w:rsid w:val="002E7EAE"/>
    <w:pPr>
      <w:ind w:left="849"/>
      <w:contextualSpacing/>
    </w:pPr>
  </w:style>
  <w:style w:type="paragraph" w:styleId="Liste-forts4">
    <w:name w:val="List Continue 4"/>
    <w:basedOn w:val="Normal"/>
    <w:uiPriority w:val="99"/>
    <w:semiHidden/>
    <w:unhideWhenUsed/>
    <w:rsid w:val="002E7EAE"/>
    <w:pPr>
      <w:ind w:left="1132"/>
      <w:contextualSpacing/>
    </w:pPr>
  </w:style>
  <w:style w:type="paragraph" w:styleId="Liste-forts5">
    <w:name w:val="List Continue 5"/>
    <w:basedOn w:val="Normal"/>
    <w:uiPriority w:val="99"/>
    <w:semiHidden/>
    <w:unhideWhenUsed/>
    <w:rsid w:val="002E7EAE"/>
    <w:pPr>
      <w:ind w:left="1415"/>
      <w:contextualSpacing/>
    </w:pPr>
  </w:style>
  <w:style w:type="paragraph" w:styleId="Meldingshode">
    <w:name w:val="Message Header"/>
    <w:basedOn w:val="Normal"/>
    <w:link w:val="MeldingshodeTegn"/>
    <w:uiPriority w:val="99"/>
    <w:semiHidden/>
    <w:unhideWhenUsed/>
    <w:rsid w:val="002E7E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2E7EAE"/>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2E7EAE"/>
  </w:style>
  <w:style w:type="character" w:customStyle="1" w:styleId="InnledendehilsenTegn">
    <w:name w:val="Innledende hilsen Tegn"/>
    <w:link w:val="Innledendehilsen"/>
    <w:uiPriority w:val="99"/>
    <w:semiHidden/>
    <w:rsid w:val="002E7EAE"/>
    <w:rPr>
      <w:rFonts w:ascii="Times New Roman" w:eastAsia="Times New Roman" w:hAnsi="Times New Roman"/>
      <w:spacing w:val="4"/>
      <w:sz w:val="24"/>
    </w:rPr>
  </w:style>
  <w:style w:type="paragraph" w:styleId="Dato0">
    <w:name w:val="Date"/>
    <w:basedOn w:val="Normal"/>
    <w:next w:val="Normal"/>
    <w:link w:val="DatoTegn"/>
    <w:rsid w:val="002E7EAE"/>
  </w:style>
  <w:style w:type="character" w:customStyle="1" w:styleId="DatoTegn1">
    <w:name w:val="Dato Tegn1"/>
    <w:basedOn w:val="Standardskriftforavsnitt"/>
    <w:uiPriority w:val="99"/>
    <w:semiHidden/>
    <w:rsid w:val="002E7EAE"/>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2E7EAE"/>
    <w:pPr>
      <w:spacing w:after="0" w:line="240" w:lineRule="auto"/>
    </w:pPr>
  </w:style>
  <w:style w:type="character" w:customStyle="1" w:styleId="NotatoverskriftTegn">
    <w:name w:val="Notatoverskrift Tegn"/>
    <w:link w:val="Notatoverskrift"/>
    <w:uiPriority w:val="99"/>
    <w:semiHidden/>
    <w:rsid w:val="002E7EAE"/>
    <w:rPr>
      <w:rFonts w:ascii="Times New Roman" w:eastAsia="Times New Roman" w:hAnsi="Times New Roman"/>
      <w:spacing w:val="4"/>
      <w:sz w:val="24"/>
    </w:rPr>
  </w:style>
  <w:style w:type="paragraph" w:styleId="Blokktekst">
    <w:name w:val="Block Text"/>
    <w:basedOn w:val="Normal"/>
    <w:uiPriority w:val="99"/>
    <w:semiHidden/>
    <w:unhideWhenUsed/>
    <w:rsid w:val="002E7EA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2E7EAE"/>
    <w:rPr>
      <w:color w:val="800080"/>
      <w:u w:val="single"/>
    </w:rPr>
  </w:style>
  <w:style w:type="character" w:styleId="Utheving">
    <w:name w:val="Emphasis"/>
    <w:uiPriority w:val="20"/>
    <w:qFormat/>
    <w:rsid w:val="002E7EAE"/>
    <w:rPr>
      <w:i/>
      <w:iCs/>
    </w:rPr>
  </w:style>
  <w:style w:type="paragraph" w:styleId="Dokumentkart">
    <w:name w:val="Document Map"/>
    <w:basedOn w:val="Normal"/>
    <w:link w:val="DokumentkartTegn"/>
    <w:uiPriority w:val="99"/>
    <w:semiHidden/>
    <w:rsid w:val="002E7EAE"/>
    <w:pPr>
      <w:shd w:val="clear" w:color="auto" w:fill="000080"/>
    </w:pPr>
    <w:rPr>
      <w:rFonts w:ascii="Tahoma" w:hAnsi="Tahoma" w:cs="Tahoma"/>
    </w:rPr>
  </w:style>
  <w:style w:type="character" w:customStyle="1" w:styleId="DokumentkartTegn">
    <w:name w:val="Dokumentkart Tegn"/>
    <w:link w:val="Dokumentkart"/>
    <w:uiPriority w:val="99"/>
    <w:semiHidden/>
    <w:rsid w:val="002E7EAE"/>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2E7EAE"/>
    <w:rPr>
      <w:rFonts w:ascii="Courier New" w:hAnsi="Courier New" w:cs="Courier New"/>
      <w:sz w:val="20"/>
    </w:rPr>
  </w:style>
  <w:style w:type="character" w:customStyle="1" w:styleId="RentekstTegn">
    <w:name w:val="Ren tekst Tegn"/>
    <w:link w:val="Rentekst"/>
    <w:uiPriority w:val="99"/>
    <w:semiHidden/>
    <w:rsid w:val="002E7EAE"/>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2E7EAE"/>
    <w:pPr>
      <w:spacing w:after="0" w:line="240" w:lineRule="auto"/>
    </w:pPr>
  </w:style>
  <w:style w:type="character" w:customStyle="1" w:styleId="E-postsignaturTegn">
    <w:name w:val="E-postsignatur Tegn"/>
    <w:link w:val="E-postsignatur"/>
    <w:uiPriority w:val="99"/>
    <w:semiHidden/>
    <w:rsid w:val="002E7EAE"/>
    <w:rPr>
      <w:rFonts w:ascii="Times New Roman" w:eastAsia="Times New Roman" w:hAnsi="Times New Roman"/>
      <w:spacing w:val="4"/>
      <w:sz w:val="24"/>
    </w:rPr>
  </w:style>
  <w:style w:type="paragraph" w:styleId="NormalWeb">
    <w:name w:val="Normal (Web)"/>
    <w:basedOn w:val="Normal"/>
    <w:uiPriority w:val="99"/>
    <w:semiHidden/>
    <w:unhideWhenUsed/>
    <w:rsid w:val="002E7EAE"/>
    <w:rPr>
      <w:szCs w:val="24"/>
    </w:rPr>
  </w:style>
  <w:style w:type="character" w:styleId="HTML-akronym">
    <w:name w:val="HTML Acronym"/>
    <w:uiPriority w:val="99"/>
    <w:semiHidden/>
    <w:unhideWhenUsed/>
    <w:rsid w:val="002E7EAE"/>
  </w:style>
  <w:style w:type="paragraph" w:styleId="HTML-adresse">
    <w:name w:val="HTML Address"/>
    <w:basedOn w:val="Normal"/>
    <w:link w:val="HTML-adresseTegn"/>
    <w:uiPriority w:val="99"/>
    <w:semiHidden/>
    <w:unhideWhenUsed/>
    <w:rsid w:val="002E7EAE"/>
    <w:pPr>
      <w:spacing w:after="0" w:line="240" w:lineRule="auto"/>
    </w:pPr>
    <w:rPr>
      <w:i/>
      <w:iCs/>
    </w:rPr>
  </w:style>
  <w:style w:type="character" w:customStyle="1" w:styleId="HTML-adresseTegn">
    <w:name w:val="HTML-adresse Tegn"/>
    <w:link w:val="HTML-adresse"/>
    <w:uiPriority w:val="99"/>
    <w:semiHidden/>
    <w:rsid w:val="002E7EAE"/>
    <w:rPr>
      <w:rFonts w:ascii="Times New Roman" w:eastAsia="Times New Roman" w:hAnsi="Times New Roman"/>
      <w:i/>
      <w:iCs/>
      <w:spacing w:val="4"/>
      <w:sz w:val="24"/>
    </w:rPr>
  </w:style>
  <w:style w:type="character" w:styleId="HTML-sitat">
    <w:name w:val="HTML Cite"/>
    <w:uiPriority w:val="99"/>
    <w:semiHidden/>
    <w:unhideWhenUsed/>
    <w:rsid w:val="002E7EAE"/>
    <w:rPr>
      <w:i/>
      <w:iCs/>
    </w:rPr>
  </w:style>
  <w:style w:type="character" w:styleId="HTML-kode">
    <w:name w:val="HTML Code"/>
    <w:uiPriority w:val="99"/>
    <w:semiHidden/>
    <w:unhideWhenUsed/>
    <w:rsid w:val="002E7EAE"/>
    <w:rPr>
      <w:rFonts w:ascii="Consolas" w:hAnsi="Consolas"/>
      <w:sz w:val="20"/>
      <w:szCs w:val="20"/>
    </w:rPr>
  </w:style>
  <w:style w:type="character" w:styleId="HTML-definisjon">
    <w:name w:val="HTML Definition"/>
    <w:uiPriority w:val="99"/>
    <w:semiHidden/>
    <w:unhideWhenUsed/>
    <w:rsid w:val="002E7EAE"/>
    <w:rPr>
      <w:i/>
      <w:iCs/>
    </w:rPr>
  </w:style>
  <w:style w:type="character" w:styleId="HTML-tastatur">
    <w:name w:val="HTML Keyboard"/>
    <w:uiPriority w:val="99"/>
    <w:semiHidden/>
    <w:unhideWhenUsed/>
    <w:rsid w:val="002E7EAE"/>
    <w:rPr>
      <w:rFonts w:ascii="Consolas" w:hAnsi="Consolas"/>
      <w:sz w:val="20"/>
      <w:szCs w:val="20"/>
    </w:rPr>
  </w:style>
  <w:style w:type="paragraph" w:styleId="HTML-forhndsformatert">
    <w:name w:val="HTML Preformatted"/>
    <w:basedOn w:val="Normal"/>
    <w:link w:val="HTML-forhndsformatertTegn"/>
    <w:uiPriority w:val="99"/>
    <w:semiHidden/>
    <w:unhideWhenUsed/>
    <w:rsid w:val="002E7EAE"/>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2E7EAE"/>
    <w:rPr>
      <w:rFonts w:ascii="Consolas" w:eastAsia="Times New Roman" w:hAnsi="Consolas"/>
      <w:spacing w:val="4"/>
      <w:sz w:val="20"/>
      <w:szCs w:val="20"/>
    </w:rPr>
  </w:style>
  <w:style w:type="character" w:styleId="HTML-eksempel">
    <w:name w:val="HTML Sample"/>
    <w:uiPriority w:val="99"/>
    <w:semiHidden/>
    <w:unhideWhenUsed/>
    <w:rsid w:val="002E7EAE"/>
    <w:rPr>
      <w:rFonts w:ascii="Consolas" w:hAnsi="Consolas"/>
      <w:sz w:val="24"/>
      <w:szCs w:val="24"/>
    </w:rPr>
  </w:style>
  <w:style w:type="character" w:styleId="HTML-skrivemaskin">
    <w:name w:val="HTML Typewriter"/>
    <w:uiPriority w:val="99"/>
    <w:semiHidden/>
    <w:unhideWhenUsed/>
    <w:rsid w:val="002E7EAE"/>
    <w:rPr>
      <w:rFonts w:ascii="Consolas" w:hAnsi="Consolas"/>
      <w:sz w:val="20"/>
      <w:szCs w:val="20"/>
    </w:rPr>
  </w:style>
  <w:style w:type="character" w:styleId="HTML-variabel">
    <w:name w:val="HTML Variable"/>
    <w:uiPriority w:val="99"/>
    <w:semiHidden/>
    <w:unhideWhenUsed/>
    <w:rsid w:val="002E7EAE"/>
    <w:rPr>
      <w:i/>
      <w:iCs/>
    </w:rPr>
  </w:style>
  <w:style w:type="paragraph" w:styleId="Kommentaremne">
    <w:name w:val="annotation subject"/>
    <w:basedOn w:val="Merknadstekst"/>
    <w:next w:val="Merknadstekst"/>
    <w:link w:val="KommentaremneTegn"/>
    <w:uiPriority w:val="99"/>
    <w:semiHidden/>
    <w:unhideWhenUsed/>
    <w:rsid w:val="002E7EAE"/>
    <w:pPr>
      <w:spacing w:line="240" w:lineRule="auto"/>
    </w:pPr>
    <w:rPr>
      <w:b/>
      <w:bCs/>
      <w:spacing w:val="4"/>
      <w:szCs w:val="20"/>
    </w:rPr>
  </w:style>
  <w:style w:type="character" w:customStyle="1" w:styleId="KommentaremneTegn">
    <w:name w:val="Kommentaremne Tegn"/>
    <w:link w:val="Kommentaremne"/>
    <w:uiPriority w:val="99"/>
    <w:semiHidden/>
    <w:rsid w:val="002E7EAE"/>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2E7EAE"/>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2E7EAE"/>
    <w:rPr>
      <w:rFonts w:ascii="Tahoma" w:eastAsia="Times New Roman" w:hAnsi="Tahoma" w:cs="Tahoma"/>
      <w:spacing w:val="4"/>
      <w:sz w:val="16"/>
      <w:szCs w:val="16"/>
    </w:rPr>
  </w:style>
  <w:style w:type="table" w:styleId="Tabellrutenett">
    <w:name w:val="Table Grid"/>
    <w:basedOn w:val="Vanligtabell"/>
    <w:uiPriority w:val="59"/>
    <w:rsid w:val="002E7EAE"/>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2E7EAE"/>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2E7EAE"/>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2E7EAE"/>
    <w:rPr>
      <w:rFonts w:ascii="Times New Roman" w:eastAsia="Times New Roman" w:hAnsi="Times New Roman"/>
      <w:i/>
      <w:iCs/>
      <w:color w:val="5B9BD5" w:themeColor="accent1"/>
      <w:spacing w:val="4"/>
      <w:sz w:val="24"/>
    </w:rPr>
  </w:style>
  <w:style w:type="character" w:styleId="Svakutheving">
    <w:name w:val="Subtle Emphasis"/>
    <w:uiPriority w:val="19"/>
    <w:qFormat/>
    <w:rsid w:val="002E7EAE"/>
    <w:rPr>
      <w:i/>
      <w:iCs/>
      <w:color w:val="808080"/>
    </w:rPr>
  </w:style>
  <w:style w:type="character" w:styleId="Sterkutheving">
    <w:name w:val="Intense Emphasis"/>
    <w:uiPriority w:val="21"/>
    <w:qFormat/>
    <w:rsid w:val="002E7EAE"/>
    <w:rPr>
      <w:b/>
      <w:bCs/>
      <w:i/>
      <w:iCs/>
      <w:color w:val="4F81BD"/>
    </w:rPr>
  </w:style>
  <w:style w:type="character" w:styleId="Svakreferanse">
    <w:name w:val="Subtle Reference"/>
    <w:uiPriority w:val="31"/>
    <w:qFormat/>
    <w:rsid w:val="002E7EAE"/>
    <w:rPr>
      <w:smallCaps/>
      <w:color w:val="C0504D"/>
      <w:u w:val="single"/>
    </w:rPr>
  </w:style>
  <w:style w:type="character" w:styleId="Sterkreferanse">
    <w:name w:val="Intense Reference"/>
    <w:uiPriority w:val="32"/>
    <w:qFormat/>
    <w:rsid w:val="002E7EAE"/>
    <w:rPr>
      <w:b/>
      <w:bCs/>
      <w:smallCaps/>
      <w:color w:val="C0504D"/>
      <w:spacing w:val="5"/>
      <w:u w:val="single"/>
    </w:rPr>
  </w:style>
  <w:style w:type="character" w:styleId="Boktittel">
    <w:name w:val="Book Title"/>
    <w:uiPriority w:val="33"/>
    <w:qFormat/>
    <w:rsid w:val="002E7EAE"/>
    <w:rPr>
      <w:b/>
      <w:bCs/>
      <w:smallCaps/>
      <w:spacing w:val="5"/>
    </w:rPr>
  </w:style>
  <w:style w:type="paragraph" w:styleId="Bibliografi">
    <w:name w:val="Bibliography"/>
    <w:basedOn w:val="Normal"/>
    <w:next w:val="Normal"/>
    <w:uiPriority w:val="37"/>
    <w:semiHidden/>
    <w:unhideWhenUsed/>
    <w:rsid w:val="002E7EAE"/>
  </w:style>
  <w:style w:type="paragraph" w:styleId="Overskriftforinnholdsfortegnelse">
    <w:name w:val="TOC Heading"/>
    <w:basedOn w:val="Overskrift1"/>
    <w:next w:val="Normal"/>
    <w:uiPriority w:val="39"/>
    <w:semiHidden/>
    <w:unhideWhenUsed/>
    <w:qFormat/>
    <w:rsid w:val="002E7EAE"/>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2E7EAE"/>
    <w:pPr>
      <w:numPr>
        <w:numId w:val="29"/>
      </w:numPr>
    </w:pPr>
  </w:style>
  <w:style w:type="numbering" w:customStyle="1" w:styleId="NrListeStil">
    <w:name w:val="NrListeStil"/>
    <w:uiPriority w:val="99"/>
    <w:rsid w:val="002E7EAE"/>
    <w:pPr>
      <w:numPr>
        <w:numId w:val="30"/>
      </w:numPr>
    </w:pPr>
  </w:style>
  <w:style w:type="numbering" w:customStyle="1" w:styleId="RomListeStil">
    <w:name w:val="RomListeStil"/>
    <w:uiPriority w:val="99"/>
    <w:rsid w:val="002E7EAE"/>
    <w:pPr>
      <w:numPr>
        <w:numId w:val="31"/>
      </w:numPr>
    </w:pPr>
  </w:style>
  <w:style w:type="numbering" w:customStyle="1" w:styleId="StrekListeStil">
    <w:name w:val="StrekListeStil"/>
    <w:uiPriority w:val="99"/>
    <w:rsid w:val="002E7EAE"/>
    <w:pPr>
      <w:numPr>
        <w:numId w:val="32"/>
      </w:numPr>
    </w:pPr>
  </w:style>
  <w:style w:type="numbering" w:customStyle="1" w:styleId="OpplistingListeStil">
    <w:name w:val="OpplistingListeStil"/>
    <w:uiPriority w:val="99"/>
    <w:rsid w:val="002E7EAE"/>
    <w:pPr>
      <w:numPr>
        <w:numId w:val="33"/>
      </w:numPr>
    </w:pPr>
  </w:style>
  <w:style w:type="numbering" w:customStyle="1" w:styleId="l-NummerertListeStil">
    <w:name w:val="l-NummerertListeStil"/>
    <w:uiPriority w:val="99"/>
    <w:rsid w:val="002E7EAE"/>
    <w:pPr>
      <w:numPr>
        <w:numId w:val="34"/>
      </w:numPr>
    </w:pPr>
  </w:style>
  <w:style w:type="numbering" w:customStyle="1" w:styleId="l-AlfaListeStil">
    <w:name w:val="l-AlfaListeStil"/>
    <w:uiPriority w:val="99"/>
    <w:rsid w:val="002E7EAE"/>
    <w:pPr>
      <w:numPr>
        <w:numId w:val="35"/>
      </w:numPr>
    </w:pPr>
  </w:style>
  <w:style w:type="numbering" w:customStyle="1" w:styleId="OverskrifterListeStil">
    <w:name w:val="OverskrifterListeStil"/>
    <w:uiPriority w:val="99"/>
    <w:rsid w:val="002E7EAE"/>
    <w:pPr>
      <w:numPr>
        <w:numId w:val="36"/>
      </w:numPr>
    </w:pPr>
  </w:style>
  <w:style w:type="numbering" w:customStyle="1" w:styleId="l-ListeStilMal">
    <w:name w:val="l-ListeStilMal"/>
    <w:uiPriority w:val="99"/>
    <w:rsid w:val="002E7EAE"/>
    <w:pPr>
      <w:numPr>
        <w:numId w:val="37"/>
      </w:numPr>
    </w:pPr>
  </w:style>
  <w:style w:type="paragraph" w:styleId="Avsenderadresse">
    <w:name w:val="envelope return"/>
    <w:basedOn w:val="Normal"/>
    <w:uiPriority w:val="99"/>
    <w:semiHidden/>
    <w:unhideWhenUsed/>
    <w:rsid w:val="002E7EAE"/>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2E7EAE"/>
  </w:style>
  <w:style w:type="character" w:customStyle="1" w:styleId="BrdtekstTegn">
    <w:name w:val="Brødtekst Tegn"/>
    <w:link w:val="Brdtekst"/>
    <w:semiHidden/>
    <w:rsid w:val="002E7EAE"/>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2E7EAE"/>
    <w:pPr>
      <w:ind w:firstLine="360"/>
    </w:pPr>
  </w:style>
  <w:style w:type="character" w:customStyle="1" w:styleId="Brdtekst-frsteinnrykkTegn">
    <w:name w:val="Brødtekst - første innrykk Tegn"/>
    <w:link w:val="Brdtekst-frsteinnrykk"/>
    <w:uiPriority w:val="99"/>
    <w:semiHidden/>
    <w:rsid w:val="002E7EAE"/>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2E7EAE"/>
    <w:pPr>
      <w:ind w:left="283"/>
    </w:pPr>
  </w:style>
  <w:style w:type="character" w:customStyle="1" w:styleId="BrdtekstinnrykkTegn">
    <w:name w:val="Brødtekstinnrykk Tegn"/>
    <w:link w:val="Brdtekstinnrykk"/>
    <w:uiPriority w:val="99"/>
    <w:semiHidden/>
    <w:rsid w:val="002E7EAE"/>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2E7EAE"/>
    <w:pPr>
      <w:ind w:left="360" w:firstLine="360"/>
    </w:pPr>
  </w:style>
  <w:style w:type="character" w:customStyle="1" w:styleId="Brdtekst-frsteinnrykk2Tegn">
    <w:name w:val="Brødtekst - første innrykk 2 Tegn"/>
    <w:link w:val="Brdtekst-frsteinnrykk2"/>
    <w:uiPriority w:val="99"/>
    <w:semiHidden/>
    <w:rsid w:val="002E7EAE"/>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2E7EAE"/>
    <w:pPr>
      <w:spacing w:line="480" w:lineRule="auto"/>
    </w:pPr>
  </w:style>
  <w:style w:type="character" w:customStyle="1" w:styleId="Brdtekst2Tegn">
    <w:name w:val="Brødtekst 2 Tegn"/>
    <w:link w:val="Brdtekst2"/>
    <w:uiPriority w:val="99"/>
    <w:semiHidden/>
    <w:rsid w:val="002E7EAE"/>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2E7EAE"/>
    <w:rPr>
      <w:sz w:val="16"/>
      <w:szCs w:val="16"/>
    </w:rPr>
  </w:style>
  <w:style w:type="character" w:customStyle="1" w:styleId="Brdtekst3Tegn">
    <w:name w:val="Brødtekst 3 Tegn"/>
    <w:link w:val="Brdtekst3"/>
    <w:uiPriority w:val="99"/>
    <w:semiHidden/>
    <w:rsid w:val="002E7EAE"/>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2E7EAE"/>
    <w:pPr>
      <w:spacing w:line="480" w:lineRule="auto"/>
      <w:ind w:left="283"/>
    </w:pPr>
  </w:style>
  <w:style w:type="character" w:customStyle="1" w:styleId="Brdtekstinnrykk2Tegn">
    <w:name w:val="Brødtekstinnrykk 2 Tegn"/>
    <w:link w:val="Brdtekstinnrykk2"/>
    <w:uiPriority w:val="99"/>
    <w:semiHidden/>
    <w:rsid w:val="002E7EAE"/>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2E7EAE"/>
    <w:pPr>
      <w:ind w:left="283"/>
    </w:pPr>
    <w:rPr>
      <w:sz w:val="16"/>
      <w:szCs w:val="16"/>
    </w:rPr>
  </w:style>
  <w:style w:type="character" w:customStyle="1" w:styleId="Brdtekstinnrykk3Tegn">
    <w:name w:val="Brødtekstinnrykk 3 Tegn"/>
    <w:link w:val="Brdtekstinnrykk3"/>
    <w:uiPriority w:val="99"/>
    <w:semiHidden/>
    <w:rsid w:val="002E7EAE"/>
    <w:rPr>
      <w:rFonts w:ascii="Times New Roman" w:eastAsia="Times New Roman" w:hAnsi="Times New Roman"/>
      <w:spacing w:val="4"/>
      <w:sz w:val="16"/>
      <w:szCs w:val="16"/>
    </w:rPr>
  </w:style>
  <w:style w:type="paragraph" w:customStyle="1" w:styleId="Sammendrag">
    <w:name w:val="Sammendrag"/>
    <w:basedOn w:val="Overskrift1"/>
    <w:qFormat/>
    <w:rsid w:val="002E7EAE"/>
    <w:pPr>
      <w:numPr>
        <w:numId w:val="0"/>
      </w:numPr>
    </w:pPr>
  </w:style>
  <w:style w:type="paragraph" w:customStyle="1" w:styleId="TrykkeriMerknad">
    <w:name w:val="TrykkeriMerknad"/>
    <w:basedOn w:val="Normal"/>
    <w:qFormat/>
    <w:rsid w:val="002E7EAE"/>
    <w:pPr>
      <w:spacing w:before="60"/>
    </w:pPr>
    <w:rPr>
      <w:rFonts w:ascii="Arial" w:hAnsi="Arial"/>
      <w:color w:val="943634"/>
      <w:sz w:val="26"/>
    </w:rPr>
  </w:style>
  <w:style w:type="paragraph" w:customStyle="1" w:styleId="ForfatterMerknad">
    <w:name w:val="ForfatterMerknad"/>
    <w:basedOn w:val="TrykkeriMerknad"/>
    <w:qFormat/>
    <w:rsid w:val="002E7EAE"/>
    <w:pPr>
      <w:shd w:val="clear" w:color="auto" w:fill="FFFF99"/>
      <w:spacing w:line="240" w:lineRule="auto"/>
    </w:pPr>
    <w:rPr>
      <w:color w:val="632423"/>
    </w:rPr>
  </w:style>
  <w:style w:type="paragraph" w:customStyle="1" w:styleId="tblRad">
    <w:name w:val="tblRad"/>
    <w:rsid w:val="002E7EA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E7EAE"/>
  </w:style>
  <w:style w:type="paragraph" w:customStyle="1" w:styleId="tbl2LinjeSumBold">
    <w:name w:val="tbl2LinjeSumBold"/>
    <w:basedOn w:val="tblRad"/>
    <w:rsid w:val="002E7EAE"/>
    <w:rPr>
      <w:b/>
    </w:rPr>
  </w:style>
  <w:style w:type="paragraph" w:customStyle="1" w:styleId="tblDelsum1">
    <w:name w:val="tblDelsum1"/>
    <w:basedOn w:val="tblRad"/>
    <w:rsid w:val="002E7EAE"/>
    <w:rPr>
      <w:i/>
    </w:rPr>
  </w:style>
  <w:style w:type="paragraph" w:customStyle="1" w:styleId="tblDelsum1-Kapittel">
    <w:name w:val="tblDelsum1 - Kapittel"/>
    <w:basedOn w:val="tblDelsum1"/>
    <w:rsid w:val="002E7EAE"/>
    <w:pPr>
      <w:keepNext w:val="0"/>
    </w:pPr>
  </w:style>
  <w:style w:type="paragraph" w:customStyle="1" w:styleId="tblDelsum2">
    <w:name w:val="tblDelsum2"/>
    <w:basedOn w:val="tblRad"/>
    <w:rsid w:val="002E7EAE"/>
    <w:rPr>
      <w:b/>
      <w:i/>
    </w:rPr>
  </w:style>
  <w:style w:type="paragraph" w:customStyle="1" w:styleId="tblDelsum2-Kapittel">
    <w:name w:val="tblDelsum2 - Kapittel"/>
    <w:basedOn w:val="tblDelsum2"/>
    <w:rsid w:val="002E7EAE"/>
    <w:pPr>
      <w:keepNext w:val="0"/>
    </w:pPr>
  </w:style>
  <w:style w:type="paragraph" w:customStyle="1" w:styleId="tblTabelloverskrift">
    <w:name w:val="tblTabelloverskrift"/>
    <w:rsid w:val="002E7EA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E7EAE"/>
    <w:pPr>
      <w:spacing w:after="0"/>
      <w:jc w:val="right"/>
    </w:pPr>
    <w:rPr>
      <w:b w:val="0"/>
      <w:caps w:val="0"/>
      <w:sz w:val="16"/>
    </w:rPr>
  </w:style>
  <w:style w:type="paragraph" w:customStyle="1" w:styleId="tblKategoriOverskrift">
    <w:name w:val="tblKategoriOverskrift"/>
    <w:basedOn w:val="tblRad"/>
    <w:rsid w:val="002E7EAE"/>
    <w:pPr>
      <w:spacing w:before="120"/>
    </w:pPr>
    <w:rPr>
      <w:b/>
    </w:rPr>
  </w:style>
  <w:style w:type="paragraph" w:customStyle="1" w:styleId="tblKolonneoverskrift">
    <w:name w:val="tblKolonneoverskrift"/>
    <w:basedOn w:val="Normal"/>
    <w:rsid w:val="002E7EAE"/>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E7EAE"/>
    <w:pPr>
      <w:spacing w:after="360"/>
      <w:jc w:val="center"/>
    </w:pPr>
    <w:rPr>
      <w:b w:val="0"/>
      <w:caps w:val="0"/>
    </w:rPr>
  </w:style>
  <w:style w:type="paragraph" w:customStyle="1" w:styleId="tblKolonneoverskrift-Vedtak">
    <w:name w:val="tblKolonneoverskrift - Vedtak"/>
    <w:basedOn w:val="tblTabelloverskrift-Vedtak"/>
    <w:rsid w:val="002E7EAE"/>
    <w:pPr>
      <w:spacing w:after="0"/>
    </w:pPr>
  </w:style>
  <w:style w:type="paragraph" w:customStyle="1" w:styleId="tblOverskrift-Vedtak">
    <w:name w:val="tblOverskrift - Vedtak"/>
    <w:basedOn w:val="tblRad"/>
    <w:rsid w:val="002E7EAE"/>
    <w:pPr>
      <w:spacing w:before="360"/>
      <w:jc w:val="center"/>
    </w:pPr>
  </w:style>
  <w:style w:type="paragraph" w:customStyle="1" w:styleId="tblRadBold">
    <w:name w:val="tblRadBold"/>
    <w:basedOn w:val="tblRad"/>
    <w:rsid w:val="002E7EAE"/>
    <w:rPr>
      <w:b/>
    </w:rPr>
  </w:style>
  <w:style w:type="paragraph" w:customStyle="1" w:styleId="tblRadItalic">
    <w:name w:val="tblRadItalic"/>
    <w:basedOn w:val="tblRad"/>
    <w:rsid w:val="002E7EAE"/>
    <w:rPr>
      <w:i/>
    </w:rPr>
  </w:style>
  <w:style w:type="paragraph" w:customStyle="1" w:styleId="tblRadItalicSiste">
    <w:name w:val="tblRadItalicSiste"/>
    <w:basedOn w:val="tblRadItalic"/>
    <w:rsid w:val="002E7EAE"/>
  </w:style>
  <w:style w:type="paragraph" w:customStyle="1" w:styleId="tblRadMedLuft">
    <w:name w:val="tblRadMedLuft"/>
    <w:basedOn w:val="tblRad"/>
    <w:rsid w:val="002E7EAE"/>
    <w:pPr>
      <w:spacing w:before="120"/>
    </w:pPr>
  </w:style>
  <w:style w:type="paragraph" w:customStyle="1" w:styleId="tblRadMedLuftSiste">
    <w:name w:val="tblRadMedLuftSiste"/>
    <w:basedOn w:val="tblRadMedLuft"/>
    <w:rsid w:val="002E7EAE"/>
    <w:pPr>
      <w:spacing w:after="120"/>
    </w:pPr>
  </w:style>
  <w:style w:type="paragraph" w:customStyle="1" w:styleId="tblRadMedLuftSiste-Vedtak">
    <w:name w:val="tblRadMedLuftSiste - Vedtak"/>
    <w:basedOn w:val="tblRadMedLuftSiste"/>
    <w:rsid w:val="002E7EAE"/>
    <w:pPr>
      <w:keepNext w:val="0"/>
    </w:pPr>
  </w:style>
  <w:style w:type="paragraph" w:customStyle="1" w:styleId="tblRadSiste">
    <w:name w:val="tblRadSiste"/>
    <w:basedOn w:val="tblRad"/>
    <w:rsid w:val="002E7EAE"/>
  </w:style>
  <w:style w:type="paragraph" w:customStyle="1" w:styleId="tblSluttsum">
    <w:name w:val="tblSluttsum"/>
    <w:basedOn w:val="tblRad"/>
    <w:rsid w:val="002E7EAE"/>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A1EE-CDBB-4B2F-BF3A-E20A5DF1B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17</Pages>
  <Words>7397</Words>
  <Characters>39208</Characters>
  <Application>Microsoft Office Word</Application>
  <DocSecurity>0</DocSecurity>
  <Lines>326</Lines>
  <Paragraphs>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2020-04-07T08:39:00Z</dcterms:created>
  <dcterms:modified xsi:type="dcterms:W3CDTF">2020-04-07T08:39:00Z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2020-04-07T08:38:52.8673726Z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1efdc6f4-3600-473b-89d8-ef71c07d424e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