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26F23" w:rsidP="00226F23">
      <w:pPr>
        <w:pStyle w:val="i-dep"/>
      </w:pPr>
      <w:r>
        <w:t>Klima- og miljødepartementet</w:t>
      </w:r>
    </w:p>
    <w:p w:rsidR="00000000" w:rsidRPr="00226F23" w:rsidRDefault="00E51C9C" w:rsidP="00226F23">
      <w:pPr>
        <w:pStyle w:val="i-budkap-over"/>
        <w:rPr>
          <w:rFonts w:ascii="Times New Roman" w:hAnsi="Times New Roman" w:cs="Times New Roman"/>
          <w:bCs/>
          <w:szCs w:val="24"/>
        </w:rPr>
      </w:pPr>
      <w:r>
        <w:t>Kap. 1400, 1410, 1412, 1420, 14</w:t>
      </w:r>
      <w:bookmarkStart w:id="0" w:name="_GoBack"/>
      <w:bookmarkEnd w:id="0"/>
      <w:r>
        <w:t>23, 1429, 1471, 1481, 4420, 4423 og 4481</w:t>
      </w:r>
    </w:p>
    <w:p w:rsidR="00000000" w:rsidRDefault="00E51C9C" w:rsidP="00226F23">
      <w:pPr>
        <w:pStyle w:val="i-hode"/>
      </w:pPr>
      <w:r>
        <w:t>Prop. 21 S</w:t>
      </w:r>
    </w:p>
    <w:p w:rsidR="00000000" w:rsidRDefault="00E51C9C" w:rsidP="00226F23">
      <w:pPr>
        <w:pStyle w:val="i-sesjon"/>
      </w:pPr>
      <w:r>
        <w:t>(2019–2020)</w:t>
      </w:r>
    </w:p>
    <w:p w:rsidR="00000000" w:rsidRDefault="00E51C9C" w:rsidP="00226F23">
      <w:pPr>
        <w:pStyle w:val="i-hode-tit"/>
      </w:pPr>
      <w:r>
        <w:t>Proposisjon til Stortinget (forslag til stortingsvedtak)</w:t>
      </w:r>
    </w:p>
    <w:p w:rsidR="00000000" w:rsidRDefault="00E51C9C" w:rsidP="00226F23">
      <w:pPr>
        <w:pStyle w:val="i-tit"/>
      </w:pPr>
      <w:r>
        <w:t xml:space="preserve">Endringer i statsbudsjettet 2019 under </w:t>
      </w:r>
      <w:r>
        <w:br/>
        <w:t>Klim</w:t>
      </w:r>
      <w:r>
        <w:t>a- og miljødepartementet</w:t>
      </w:r>
    </w:p>
    <w:p w:rsidR="00000000" w:rsidRDefault="00E51C9C" w:rsidP="00226F23">
      <w:pPr>
        <w:pStyle w:val="i-statsrdato"/>
      </w:pPr>
      <w:r>
        <w:t xml:space="preserve">Tilråding fra Klima- og miljødepartementet 22. november 2019, </w:t>
      </w:r>
      <w:r>
        <w:br/>
        <w:t xml:space="preserve">godkjent i statsråd samme dag. </w:t>
      </w:r>
      <w:r>
        <w:br/>
        <w:t xml:space="preserve">(Regjeringen Solberg) </w:t>
      </w:r>
    </w:p>
    <w:p w:rsidR="00000000" w:rsidRDefault="00E51C9C" w:rsidP="00226F23">
      <w:pPr>
        <w:pStyle w:val="Overskrift1"/>
      </w:pPr>
      <w:r>
        <w:t>Innledning</w:t>
      </w:r>
    </w:p>
    <w:p w:rsidR="00000000" w:rsidRDefault="00E51C9C" w:rsidP="00226F23">
      <w:r>
        <w:t>I denne proposisjonen legger Klima- og miljød</w:t>
      </w:r>
      <w:r>
        <w:t>epartementet fram forslag til endringer i statsbudsjettet for 2019.</w:t>
      </w:r>
    </w:p>
    <w:p w:rsidR="00000000" w:rsidRDefault="00E51C9C" w:rsidP="00226F23">
      <w:pPr>
        <w:pStyle w:val="Overskrift1"/>
      </w:pPr>
      <w:r>
        <w:t>Endringsforslag</w:t>
      </w:r>
    </w:p>
    <w:p w:rsidR="00000000" w:rsidRDefault="00E51C9C" w:rsidP="00226F23">
      <w:pPr>
        <w:pStyle w:val="b-budkaptit"/>
      </w:pPr>
      <w:r>
        <w:t>Kap. 1400 Klima- og miljødepartementet</w:t>
      </w:r>
    </w:p>
    <w:p w:rsidR="00000000" w:rsidRDefault="00E51C9C" w:rsidP="00226F23">
      <w:pPr>
        <w:pStyle w:val="b-post"/>
      </w:pPr>
      <w:r>
        <w:t>Post 21 Spesielle driftsutgifter</w:t>
      </w:r>
    </w:p>
    <w:p w:rsidR="00000000" w:rsidRDefault="00E51C9C" w:rsidP="00226F23">
      <w:r>
        <w:t>Det foreslås å redusere bevilgningen på kap. 1400, post 21 med 11,5 mill. kroner.</w:t>
      </w:r>
    </w:p>
    <w:p w:rsidR="00000000" w:rsidRDefault="00E51C9C" w:rsidP="00226F23">
      <w:r>
        <w:t>7,5 mill. kron</w:t>
      </w:r>
      <w:r>
        <w:t>er av bevilgningen på kap. 1400, post 21 foreslås brukt til tiltak mot marin forsøpling. Dette er tilskudd som skal utbetales fra en 70-post, og midlene foreslås omdisponert til kap. 1400, post 76.</w:t>
      </w:r>
    </w:p>
    <w:p w:rsidR="00000000" w:rsidRDefault="00E51C9C" w:rsidP="00226F23">
      <w:r>
        <w:t>Videre er det behov for å dekke økte kostnader til drift a</w:t>
      </w:r>
      <w:r>
        <w:t>v forskningsstasjonen Troll i Antarktis over kap. 1471, post 21. Det foreslås en delvis inndekning på 4 mill. kroner fra kap. 1400, post 21.</w:t>
      </w:r>
    </w:p>
    <w:p w:rsidR="00000000" w:rsidRDefault="00E51C9C" w:rsidP="00226F23">
      <w:pPr>
        <w:pStyle w:val="b-post"/>
      </w:pPr>
      <w:r>
        <w:t>Post 76 Støtte til nasjonale og internasjonale miljøtiltak, kan overføres</w:t>
      </w:r>
    </w:p>
    <w:p w:rsidR="00000000" w:rsidRDefault="00E51C9C" w:rsidP="00226F23">
      <w:r>
        <w:t>Samlet sett foreslås det å øke bevilgning</w:t>
      </w:r>
      <w:r>
        <w:t xml:space="preserve">en på kap. 1400, post 76 med 5,3 mill. kroner. </w:t>
      </w:r>
    </w:p>
    <w:p w:rsidR="00000000" w:rsidRDefault="00E51C9C" w:rsidP="00226F23">
      <w:r>
        <w:t xml:space="preserve">Det foreslås å øke bevilgningen på kap. 1400, post 76 med 7,5 mill. kroner mot en tilsvarende reduksjon av bevilgningen på kap. 1400, post 21. Videre foreslås det å redusere bevilgningen med 2,2 mill. kroner </w:t>
      </w:r>
      <w:r>
        <w:t>mot en økning av bevilgningen på 0,5 mill. kroner på kap. 1410, post 70 og 1,7 mill. kroner på kap. 1471, post 21.</w:t>
      </w:r>
    </w:p>
    <w:p w:rsidR="00000000" w:rsidRDefault="00E51C9C" w:rsidP="00226F23">
      <w:r>
        <w:t>Til sammen 7,5 mill. kroner fra kap. 1400, post 21 ønskes brukt til tiltak mot marin forsøpling. Av disse skal 4,5 mill. kroner gå til GRID-A</w:t>
      </w:r>
      <w:r>
        <w:t>rendals arbeid med kommunikasjon, Arktis og urfolk, og globale prosesser som FNs miljøforsamling og Basel-konvensjonen m.m. 3 mill. kroner skal dekke reisestøtte til deltakere på internasjonale møter om marin forsøpling, bl.a. til Basel-konvensjonens arbei</w:t>
      </w:r>
      <w:r>
        <w:t>d med å følge opp plastavfallsarbeidet og partnerskapets første møte.</w:t>
      </w:r>
    </w:p>
    <w:p w:rsidR="00000000" w:rsidRDefault="00E51C9C" w:rsidP="00226F23">
      <w:r>
        <w:t>I forbindelse med Norsk institutt for naturforskning (NINA) sin deltakelse i Vitenskapskomiteen for mat og miljø (VKM), skal NINA tilgodeses med 0,5 mill. kroner. Det foreslås å flytte 0</w:t>
      </w:r>
      <w:r>
        <w:t xml:space="preserve">,5 mill. kroner fra kap. 1400, post 76 til kap. 1410, post 70 slik at midlene blir utbetalt fra riktig post. </w:t>
      </w:r>
    </w:p>
    <w:p w:rsidR="00000000" w:rsidRDefault="00E51C9C" w:rsidP="00226F23">
      <w:r>
        <w:lastRenderedPageBreak/>
        <w:t xml:space="preserve">Videre er det behov for å dekke økte kostnader til drift av forskningsstasjonen Troll i Antarktis over kap. 1471, post 21. Det foreslås en delvis </w:t>
      </w:r>
      <w:r>
        <w:t xml:space="preserve">inndekning på 1,7 mill. kroner fra kap. 1400, post 76. </w:t>
      </w:r>
    </w:p>
    <w:p w:rsidR="00000000" w:rsidRDefault="00E51C9C" w:rsidP="00226F23">
      <w:pPr>
        <w:pStyle w:val="b-budkaptit"/>
      </w:pPr>
      <w:r>
        <w:t>Kap. 1410 Kunnskap om klima og miljø</w:t>
      </w:r>
    </w:p>
    <w:p w:rsidR="00000000" w:rsidRDefault="00E51C9C" w:rsidP="00226F23">
      <w:pPr>
        <w:pStyle w:val="b-post"/>
      </w:pPr>
      <w:r>
        <w:t>Post 70 Nasjonale oppgaver ved miljøforskningsinstituttene</w:t>
      </w:r>
    </w:p>
    <w:p w:rsidR="00000000" w:rsidRDefault="00E51C9C" w:rsidP="00226F23">
      <w:r>
        <w:t xml:space="preserve">Det foreslås å øke bevilgningen på kap. 1410, post 70 med 0,5 mill. kroner mot en tilsvarende reduksjon </w:t>
      </w:r>
      <w:r>
        <w:t xml:space="preserve">under kap. 1400, post 76. Midlene skal finansiere Norsk institutt for naturforskning (NINA) sin deltakelse i Vitenskapskomiteen for mat og miljø (VKM), jf. omtale under kap. 1400, post 76. </w:t>
      </w:r>
    </w:p>
    <w:p w:rsidR="00000000" w:rsidRDefault="00E51C9C" w:rsidP="00226F23">
      <w:pPr>
        <w:pStyle w:val="b-budkaptit"/>
      </w:pPr>
      <w:r>
        <w:t>Kap. 1412 Meteorologisk institutt</w:t>
      </w:r>
    </w:p>
    <w:p w:rsidR="00000000" w:rsidRDefault="00E51C9C" w:rsidP="00226F23">
      <w:pPr>
        <w:pStyle w:val="b-post"/>
      </w:pPr>
      <w:r>
        <w:t>Post 70 Internasjonale samarbeidsprosjekt</w:t>
      </w:r>
    </w:p>
    <w:p w:rsidR="00000000" w:rsidRDefault="00E51C9C" w:rsidP="00226F23">
      <w:r>
        <w:t xml:space="preserve">Bevilgningen på posten dekker kontingentutgifter for Norges deltakelse i internasjonale meteorologiorganisasjoner. </w:t>
      </w:r>
    </w:p>
    <w:p w:rsidR="00000000" w:rsidRDefault="00E51C9C" w:rsidP="00226F23">
      <w:r>
        <w:t>Det foreslås det å redusere bevilgningen på kap. 1412, post 70 med 3,234 mill. kroner grunnet forv</w:t>
      </w:r>
      <w:r>
        <w:t>entinger om reduserte kontingentutgifter.</w:t>
      </w:r>
    </w:p>
    <w:p w:rsidR="00000000" w:rsidRDefault="00E51C9C" w:rsidP="00226F23">
      <w:pPr>
        <w:pStyle w:val="b-budkaptit"/>
      </w:pPr>
      <w:r>
        <w:t>Kap. 1420 Miljødirektoratet</w:t>
      </w:r>
    </w:p>
    <w:p w:rsidR="00000000" w:rsidRDefault="00E51C9C" w:rsidP="00226F23">
      <w:pPr>
        <w:pStyle w:val="b-post"/>
      </w:pPr>
      <w:r>
        <w:t>Post 22 Statlige vannmiljøtiltak</w:t>
      </w:r>
    </w:p>
    <w:p w:rsidR="00000000" w:rsidRDefault="00E51C9C" w:rsidP="00226F23">
      <w:r>
        <w:t>Arbeidet med bygging av genbank på Ims i Rogaland for Hardangerfjordbestandene av villaks og sjøørret er i gang, og skal ferdigstilles i 2020. Det foresl</w:t>
      </w:r>
      <w:r>
        <w:t>ås å øke bestillingsfullmakten på kap. 1420, post 22 med 2,5 mill. kroner, jf. forslag til romertallsvedtak. Forslaget skyldes forskyvning i utbetalingstidspunkt og behov for å ha dekning for siste del av utbetalingene som kommer til betaling i 2020. Kostn</w:t>
      </w:r>
      <w:r>
        <w:t xml:space="preserve">adene til etableringen av genbanken er omtrent 70 mill. kroner, og dekkes innenfor postens bevilgning i 2020. </w:t>
      </w:r>
    </w:p>
    <w:p w:rsidR="00000000" w:rsidRDefault="00E51C9C" w:rsidP="00226F23">
      <w:pPr>
        <w:pStyle w:val="b-post"/>
      </w:pPr>
      <w:r>
        <w:t>Post 23 Oppdrags- og gebyrrelatert virksomhet, kan overføres</w:t>
      </w:r>
    </w:p>
    <w:p w:rsidR="00000000" w:rsidRDefault="00E51C9C" w:rsidP="00226F23">
      <w:r>
        <w:t>Som følge av økte gebyrinntekter på forurensningsområdet under kap. 4420, post 04, e</w:t>
      </w:r>
      <w:r>
        <w:t>r det behov for å øke bevilgningen på kap. 1420, post 23 med 5,6 mill. kroner.</w:t>
      </w:r>
    </w:p>
    <w:p w:rsidR="00000000" w:rsidRDefault="00E51C9C" w:rsidP="00226F23">
      <w:r>
        <w:t xml:space="preserve">Se også omtale under kap 4420, post 04. </w:t>
      </w:r>
    </w:p>
    <w:p w:rsidR="00000000" w:rsidRDefault="00E51C9C" w:rsidP="00226F23">
      <w:pPr>
        <w:pStyle w:val="b-post"/>
      </w:pPr>
      <w:r>
        <w:t>Post 33 Statlige erverv, nytt vern, kan overføres</w:t>
      </w:r>
    </w:p>
    <w:p w:rsidR="00000000" w:rsidRDefault="00E51C9C" w:rsidP="00226F23">
      <w:r>
        <w:t xml:space="preserve">Det blir ikke fattet vernevedtak for områder i marin verneplan i 2019 og det foreslås </w:t>
      </w:r>
      <w:r>
        <w:t xml:space="preserve">dermed å sette ned bevilgningen på kap. 1420, post 33 med 6 mill. kroner i 2019. </w:t>
      </w:r>
    </w:p>
    <w:p w:rsidR="00000000" w:rsidRDefault="00E51C9C" w:rsidP="00226F23">
      <w:pPr>
        <w:pStyle w:val="b-post"/>
      </w:pPr>
      <w:r>
        <w:t>Post 34 Statlige erverv, nasjonalparker, kan overføres</w:t>
      </w:r>
    </w:p>
    <w:p w:rsidR="00000000" w:rsidRDefault="00E51C9C" w:rsidP="00226F23">
      <w:r>
        <w:t xml:space="preserve">Midlene på posten skal dekke utgifter til gjennomføring av nasjonalparkplanen jf. St.meld. nr. 62 (1991–92) </w:t>
      </w:r>
      <w:r>
        <w:rPr>
          <w:rStyle w:val="kursiv"/>
          <w:sz w:val="21"/>
          <w:szCs w:val="21"/>
        </w:rPr>
        <w:t>Ny landspl</w:t>
      </w:r>
      <w:r>
        <w:rPr>
          <w:rStyle w:val="kursiv"/>
          <w:sz w:val="21"/>
          <w:szCs w:val="21"/>
        </w:rPr>
        <w:t>an for nasjonalparker og andre større verneområder i Norge.</w:t>
      </w:r>
      <w:r>
        <w:t xml:space="preserve"> Det foreslås å øke tilsagnsfullmakten på kap. 1420, post 34 med 12,9 mill. kroner, fra 18,3 mill. kroner til 31,2 mill. kroner, jf. forslag til romertallsvedtak. Forslaget skyldes forskyvning i pl</w:t>
      </w:r>
      <w:r>
        <w:t>anlagte utbetalinger til 2020, samt oppjustering av kostnadsanslag for gjenstående erstatningssaker.</w:t>
      </w:r>
    </w:p>
    <w:p w:rsidR="00000000" w:rsidRDefault="00E51C9C" w:rsidP="00226F23">
      <w:pPr>
        <w:pStyle w:val="b-post"/>
      </w:pPr>
      <w:r>
        <w:t>Post 63 Returordning for kasserte fritidsbåter</w:t>
      </w:r>
    </w:p>
    <w:p w:rsidR="00000000" w:rsidRDefault="00E51C9C" w:rsidP="00226F23">
      <w:r>
        <w:t>Det foreslås å redusere bevilgningen på kap. 1420, post 63 med 8 mill. kroner, som følge av få søknader i 20</w:t>
      </w:r>
      <w:r>
        <w:t xml:space="preserve">19. Posten ble opprettet i 2017 for tilskudd til kommunale anlegg for behandling av kasserte fritidsbåter </w:t>
      </w:r>
      <w:r>
        <w:lastRenderedPageBreak/>
        <w:t>under 15 fot. Tilskudd til private behandlingsanlegg blir utbetalt fra kap. 1420, post 75. Tilskudd til kommunale og interkommunale selskap som er org</w:t>
      </w:r>
      <w:r>
        <w:t>anisert som egne rettssubjekt er også omfattet av post 75.</w:t>
      </w:r>
    </w:p>
    <w:p w:rsidR="00000000" w:rsidRDefault="00E51C9C" w:rsidP="00226F23">
      <w:r>
        <w:t xml:space="preserve">I 2018 var utbetalingene på 0,5 mill. kroner. Siden ordningen fortsatt må anses som ny er det få erfaringstall. </w:t>
      </w:r>
    </w:p>
    <w:p w:rsidR="00000000" w:rsidRDefault="00E51C9C" w:rsidP="00226F23">
      <w:pPr>
        <w:pStyle w:val="b-post"/>
      </w:pPr>
      <w:r>
        <w:t>Post 64 Skrantesykeprøver fra fallvilt</w:t>
      </w:r>
    </w:p>
    <w:p w:rsidR="00000000" w:rsidRDefault="00E51C9C" w:rsidP="00226F23">
      <w:r>
        <w:t xml:space="preserve">Det foreslås å redusere bevilgningen på kap. </w:t>
      </w:r>
      <w:r>
        <w:t xml:space="preserve">1420, post 64 med 1,4 mill. kroner. </w:t>
      </w:r>
    </w:p>
    <w:p w:rsidR="00000000" w:rsidRDefault="00E51C9C" w:rsidP="00226F23">
      <w:r>
        <w:t>Posten skal dekke utgifter kommuner har med kartlegging av skrantesyke hos fallvilt. Bevilgningen er estimert fra gjennomsnittlig antall fallvilt som det er lovpålagt å varsle Mattilsynet om. Rapportering av fallvilt fø</w:t>
      </w:r>
      <w:r>
        <w:t>lger jaktåret (1. april – 31. mars). For jaktåret 2018/2019 søkte 59 kommuner om tilskudd for 868 prøver til en samlet sum på 303 800 kroner. Dette er langt lavere enn estimert, og det anslås derfor et mindreforbruk på ca. 1,4 mill. kroner i 2019.</w:t>
      </w:r>
    </w:p>
    <w:p w:rsidR="00000000" w:rsidRDefault="00E51C9C" w:rsidP="00226F23">
      <w:pPr>
        <w:pStyle w:val="b-post"/>
      </w:pPr>
      <w:r>
        <w:t xml:space="preserve">Post 74 </w:t>
      </w:r>
      <w:r>
        <w:t>CO</w:t>
      </w:r>
      <w:r>
        <w:rPr>
          <w:rStyle w:val="skrift-senket"/>
          <w:sz w:val="21"/>
          <w:szCs w:val="21"/>
        </w:rPr>
        <w:t>2</w:t>
      </w:r>
      <w:r>
        <w:t>-kompensasjonsordning for industrien</w:t>
      </w:r>
    </w:p>
    <w:p w:rsidR="00000000" w:rsidRDefault="00E51C9C" w:rsidP="00226F23">
      <w:r>
        <w:t xml:space="preserve">Samlet sett foreslås bevilgningen på kap. 1420, post 74 økt med 5,8 mill. kroner. </w:t>
      </w:r>
    </w:p>
    <w:p w:rsidR="00000000" w:rsidRDefault="00E51C9C" w:rsidP="00226F23">
      <w:r>
        <w:t>Klima- og miljødepartementet har endret Miljødirektoratets vedtak om grunnlag for CO</w:t>
      </w:r>
      <w:r>
        <w:rPr>
          <w:rStyle w:val="skrift-senket"/>
          <w:sz w:val="21"/>
          <w:szCs w:val="21"/>
        </w:rPr>
        <w:t>2</w:t>
      </w:r>
      <w:r>
        <w:t xml:space="preserve">-kompensasjon for perioden 2013–2020 for Norske </w:t>
      </w:r>
      <w:r>
        <w:t>Skog Saugbrugs. Det innebærer at selskapet ikke lenger skal få avkortet CO</w:t>
      </w:r>
      <w:r>
        <w:rPr>
          <w:rStyle w:val="skrift-senket"/>
          <w:sz w:val="21"/>
          <w:szCs w:val="21"/>
        </w:rPr>
        <w:t>2</w:t>
      </w:r>
      <w:r>
        <w:t>-kompensasjonen for sin produksjon. Full CO</w:t>
      </w:r>
      <w:r>
        <w:rPr>
          <w:rStyle w:val="skrift-senket"/>
          <w:sz w:val="21"/>
          <w:szCs w:val="21"/>
        </w:rPr>
        <w:t>2</w:t>
      </w:r>
      <w:r>
        <w:t>-kompensasjon til Saugbrugs for støtteårene 2018–2020 innebærer økte utbetalinger til ordningen. For 2019 innebærer dette en ekstra utbet</w:t>
      </w:r>
      <w:r>
        <w:t xml:space="preserve">aling fra posten på ca. 31,1 mill. kroner. </w:t>
      </w:r>
    </w:p>
    <w:p w:rsidR="00000000" w:rsidRDefault="00E51C9C" w:rsidP="00226F23">
      <w:r>
        <w:t>Bevilgningen på kap. 1420 post 74 er på 538,2 mill. kroner i 2019, mens utbetalingene til industrien i 2019 er 512,9 mill. kroner. Mindreutgiften på 25,3 mill. kroner skyldes flere forhold, blant annet at enkelte</w:t>
      </w:r>
      <w:r>
        <w:t xml:space="preserve"> bedrifter har fått avkorting i kompensasjonen i henhold til vilkårene. Dette er i tråd med forskriften for ordningen. </w:t>
      </w:r>
    </w:p>
    <w:p w:rsidR="00000000" w:rsidRDefault="00E51C9C" w:rsidP="00226F23">
      <w:pPr>
        <w:pStyle w:val="b-budkaptit"/>
      </w:pPr>
      <w:r>
        <w:t>Kap. 1423 Radioaktiv forurensning i det ytre miljø</w:t>
      </w:r>
    </w:p>
    <w:p w:rsidR="00000000" w:rsidRDefault="00E51C9C" w:rsidP="00226F23">
      <w:pPr>
        <w:pStyle w:val="b-post"/>
      </w:pPr>
      <w:r>
        <w:t>Post 01 Driftsutgifter</w:t>
      </w:r>
    </w:p>
    <w:p w:rsidR="00000000" w:rsidRDefault="00E51C9C" w:rsidP="00226F23">
      <w:r>
        <w:t>Fra 1. januar 2019 fikk Direktoratet for strålevern og atomsik</w:t>
      </w:r>
      <w:r>
        <w:t>kerhet (DSA) hjemmel til å kreve inn gebyrer etter forurensningsforskriftens kap. 39, som igjen er hjemlet i forurensningsloven. Gebyrene skal dekke forurensningsmyndighetens arbeid med tillatelser etter forurensningsloven. Det foreslås en økning av utgift</w:t>
      </w:r>
      <w:r>
        <w:t xml:space="preserve">sbevilgningen på 0,5 mill. kroner under kap. 1423, post 01, og en tilsvarende økning av inntektsbevilgningen under kap. 4423, post 01, jf. omtale under kap. 4423, post 01. </w:t>
      </w:r>
    </w:p>
    <w:p w:rsidR="00000000" w:rsidRDefault="00E51C9C" w:rsidP="00226F23">
      <w:pPr>
        <w:pStyle w:val="b-budkaptit"/>
      </w:pPr>
      <w:r>
        <w:t>Kap. 1429 Riksantikvaren</w:t>
      </w:r>
    </w:p>
    <w:p w:rsidR="00000000" w:rsidRDefault="00E51C9C" w:rsidP="00226F23">
      <w:pPr>
        <w:pStyle w:val="b-post"/>
      </w:pPr>
      <w:r>
        <w:t>Post 01 Driftsutgifter</w:t>
      </w:r>
    </w:p>
    <w:p w:rsidR="00000000" w:rsidRDefault="00E51C9C" w:rsidP="00226F23">
      <w:r>
        <w:t>Samlet sett foreslås det å</w:t>
      </w:r>
      <w:r>
        <w:t xml:space="preserve"> redusere bevilgningen på kap. 1429, post 01 med 4,1 mill. kroner.</w:t>
      </w:r>
    </w:p>
    <w:p w:rsidR="00000000" w:rsidRDefault="00E51C9C" w:rsidP="00226F23">
      <w:r>
        <w:t>På Barne- og familiedepartementets (BFD) budsjettkapittel 882 Kirkebygg og gravplasser er det for 2019 bevilget i alt 40 mill. kroner til istandsetting og sikring av fredete og verneverdige</w:t>
      </w:r>
      <w:r>
        <w:t xml:space="preserve"> kirker, hvorav 20 mill. kroner på kap. 882, post 70 Tilskudd til sentrale tiltak for kirkebygg og gravplasser. Riksantikvaren er gitt i oppgave å være tilskuddsforvalter og i samråd med kirkelige instanser beslutte hvilke kirkebygg og hvilke istandsetting</w:t>
      </w:r>
      <w:r>
        <w:t>s- og sikringstiltak som skal prioriteres for tildeling. Det foreslås å øke kap. 1429, post 01 med 0,4 mill. kroner mot en tilsvarende reduksjon på kap. 882, post 70 for å dekke merutgiftene som Riksantikvaren har som tilskuddsforvalter i 2019.</w:t>
      </w:r>
    </w:p>
    <w:p w:rsidR="00000000" w:rsidRDefault="00E51C9C" w:rsidP="00226F23">
      <w:r>
        <w:t>Det er satt</w:t>
      </w:r>
      <w:r>
        <w:t xml:space="preserve"> av midler til prosjektet Kulturminneforvaltningen 2020 (KF 2020) på flere poster. KF 2020 startet opp i 2017 og forventes avsluttet i 2020. Deler av midlene som er satt av på 2019-budsjettet forventes ikke å komme til utbetaling før i 2020. For 2020 er mi</w:t>
      </w:r>
      <w:r>
        <w:t xml:space="preserve">dlene til prosjektet samlet på 22-posten. Det foreslås derfor å omdisponere til sammen 7,395 mill. kroner til 22-posten, 4,5 mill. kroner fra kap. 1429, post 01 og 2,895 mill. kroner fra kap. 1429, post 21. </w:t>
      </w:r>
    </w:p>
    <w:p w:rsidR="00000000" w:rsidRDefault="00E51C9C" w:rsidP="00226F23">
      <w:pPr>
        <w:pStyle w:val="b-post"/>
      </w:pPr>
      <w:r>
        <w:lastRenderedPageBreak/>
        <w:t>Post 21 Spesielle driftsutgifter</w:t>
      </w:r>
    </w:p>
    <w:p w:rsidR="00000000" w:rsidRDefault="00E51C9C" w:rsidP="00226F23">
      <w:r>
        <w:t>Bevilgningen på</w:t>
      </w:r>
      <w:r>
        <w:t xml:space="preserve"> kap. 1429, post 21 foreslås redusert med 2,895 mill. kroner, jfr. omtale under kap. 1429, post 01.</w:t>
      </w:r>
    </w:p>
    <w:p w:rsidR="00000000" w:rsidRDefault="00E51C9C" w:rsidP="00226F23">
      <w:pPr>
        <w:pStyle w:val="b-post"/>
      </w:pPr>
      <w:r>
        <w:t>Post 22 Bevaringsoppgaver, kan overføres</w:t>
      </w:r>
    </w:p>
    <w:p w:rsidR="00000000" w:rsidRDefault="00E51C9C" w:rsidP="00226F23">
      <w:r>
        <w:t>Bevilgningen på kap. 1429, post 22 foreslås økt med 7,395 mill. kroner, jfr. omtale under kap. 1429, post 01.</w:t>
      </w:r>
    </w:p>
    <w:p w:rsidR="00000000" w:rsidRDefault="00E51C9C" w:rsidP="00226F23">
      <w:pPr>
        <w:pStyle w:val="b-budkaptit"/>
      </w:pPr>
      <w:r>
        <w:t xml:space="preserve">Kap. </w:t>
      </w:r>
      <w:r>
        <w:t>1471 Norsk Polarinstitutt</w:t>
      </w:r>
    </w:p>
    <w:p w:rsidR="00000000" w:rsidRDefault="00E51C9C" w:rsidP="00226F23">
      <w:pPr>
        <w:pStyle w:val="b-post"/>
      </w:pPr>
      <w:r>
        <w:t>Post 21 Spesielle driftsutgifter, kan overføres</w:t>
      </w:r>
    </w:p>
    <w:p w:rsidR="00000000" w:rsidRDefault="00E51C9C" w:rsidP="00226F23">
      <w:r>
        <w:t>Bevilgningen på kap. 1471, post 21 foreslås økt med 5,7 mill. kroner som følge av økte driftsutgifter ved Norsk Polarinstitutts forskningsstasjon Troll i Antarktis. Merutgiften finan</w:t>
      </w:r>
      <w:r>
        <w:t>sieres ved omdisponering av hhv. 4 mill. kroner fra kap. 1400, post 21 og 1,7 mill. kroner fra kap. 1400, post 76.</w:t>
      </w:r>
    </w:p>
    <w:p w:rsidR="00000000" w:rsidRDefault="00E51C9C" w:rsidP="00226F23">
      <w:r>
        <w:t>Forskningsstasjonen Troll i Dronning Maud Land gir Norge en tydelig tilstedeværelse i Antarktis, og en fast plattform for Norges forskning og</w:t>
      </w:r>
      <w:r>
        <w:t xml:space="preserve"> overvåking i polarområdene i sør. Stabil helårsdrift av stasjonen er viktig for Norges rolle i miljøsamarbeidet under Antarktistraktaten og bygger opp under de overordnede målene for norsk Antarktispolitikk. </w:t>
      </w:r>
    </w:p>
    <w:p w:rsidR="00000000" w:rsidRDefault="00E51C9C" w:rsidP="00226F23">
      <w:r>
        <w:t>Årsaken til kostnadsøkningen er økte priser fo</w:t>
      </w:r>
      <w:r>
        <w:t xml:space="preserve">r charterleie av fartøy og fly, kombinert med en svekket krone mot Euro og US Dollar. I tillegg har prisen på tungolje og diesel økt. </w:t>
      </w:r>
    </w:p>
    <w:p w:rsidR="00000000" w:rsidRDefault="00E51C9C" w:rsidP="00226F23">
      <w:r>
        <w:t>Deler av driftsutgiftene til Troll er i perioder dekket av eksterne samarbeidsaktører. Avsluttet samarbeid gjennom året h</w:t>
      </w:r>
      <w:r>
        <w:t xml:space="preserve">ar også medført økte driftsutgifter. </w:t>
      </w:r>
    </w:p>
    <w:p w:rsidR="00000000" w:rsidRDefault="00E51C9C" w:rsidP="00226F23">
      <w:pPr>
        <w:pStyle w:val="b-budkaptit"/>
      </w:pPr>
      <w:r>
        <w:t>Kap. 1481 Klimakvoter</w:t>
      </w:r>
    </w:p>
    <w:p w:rsidR="00000000" w:rsidRDefault="00E51C9C" w:rsidP="00226F23">
      <w:pPr>
        <w:pStyle w:val="b-post"/>
      </w:pPr>
      <w:r>
        <w:t>Post 01 Driftsutgifter, kan overføres</w:t>
      </w:r>
    </w:p>
    <w:p w:rsidR="00000000" w:rsidRDefault="00E51C9C" w:rsidP="00226F23">
      <w:r>
        <w:t>Bevilgningen på kap. 1481, post 01 foreslås redusert med 4,499 mill. kroner. Forslaget skyldes reduserte utgifter til kjøp av eksterne tjenester som kommersie</w:t>
      </w:r>
      <w:r>
        <w:t>ll og juridisk rådgivning, samt andre driftsutgifter i forbindelse med kjøp av utslippsreduksjoner.</w:t>
      </w:r>
    </w:p>
    <w:p w:rsidR="00000000" w:rsidRDefault="00E51C9C" w:rsidP="00226F23">
      <w:pPr>
        <w:pStyle w:val="b-budkaptit"/>
      </w:pPr>
      <w:r>
        <w:t>Kap. 4420 Miljødirektoratet</w:t>
      </w:r>
    </w:p>
    <w:p w:rsidR="00000000" w:rsidRDefault="00E51C9C" w:rsidP="00226F23">
      <w:pPr>
        <w:pStyle w:val="b-post"/>
      </w:pPr>
      <w:r>
        <w:t>Post 04 Gebyrer, forurensningsområdet</w:t>
      </w:r>
    </w:p>
    <w:p w:rsidR="00000000" w:rsidRDefault="00E51C9C" w:rsidP="00226F23">
      <w:r>
        <w:t xml:space="preserve">Inntekter på forurensningsområdet er anslått til å øke med 5,6 mill. kroner.Størst økning </w:t>
      </w:r>
      <w:r>
        <w:t>forventes i inntekter vedrørende konsesjonsbehandling i henhold til forurensningsforskriften. I 2019 har det vært mange søknader om leteboring, og flere nye store tillatelser eller endring av ramme. I tillegg har det vært behandling av konsesjoner i forbin</w:t>
      </w:r>
      <w:r>
        <w:t>delse med endring av tankforskriften og flere kompliserte saker.</w:t>
      </w:r>
    </w:p>
    <w:p w:rsidR="00000000" w:rsidRDefault="00E51C9C" w:rsidP="00226F23">
      <w:r>
        <w:t xml:space="preserve">Det forslås å øke inntektsbevilgningen på kap. 4420, post 04 med 5,6 mill. kroner, og en tilsvarende økning av bevilgningen på kap. 1420, post 23, jf. omtale under kap. 1420, post 23. </w:t>
      </w:r>
    </w:p>
    <w:p w:rsidR="00000000" w:rsidRDefault="00E51C9C" w:rsidP="00226F23">
      <w:pPr>
        <w:pStyle w:val="b-budkaptit"/>
      </w:pPr>
      <w:r>
        <w:t>Kap. 4</w:t>
      </w:r>
      <w:r>
        <w:t>423 Radioaktiv forurensning i det ytre miljø</w:t>
      </w:r>
    </w:p>
    <w:p w:rsidR="00000000" w:rsidRDefault="00E51C9C" w:rsidP="00226F23">
      <w:pPr>
        <w:pStyle w:val="b-post"/>
      </w:pPr>
      <w:r>
        <w:t>Post 01 (Ny) Gebyrer, radioaktiv forurensning</w:t>
      </w:r>
    </w:p>
    <w:p w:rsidR="00000000" w:rsidRDefault="00E51C9C" w:rsidP="00226F23">
      <w:r>
        <w:t>Det foreslås en inntektsbevilgning på 0,5 mill. kroner på kap. 4423, post 01, jfr. omtale under kap. 1423, post 01. Videre foreslås det at bevilgningen på kap. 1423,</w:t>
      </w:r>
      <w:r>
        <w:t xml:space="preserve"> post 01 kan overskrides mot tilsvarende merinntekter under denne posten, jfr. forslag til romertallsvedtak.</w:t>
      </w:r>
    </w:p>
    <w:p w:rsidR="00000000" w:rsidRDefault="00E51C9C" w:rsidP="00226F23">
      <w:pPr>
        <w:pStyle w:val="b-budkaptit"/>
      </w:pPr>
      <w:r>
        <w:lastRenderedPageBreak/>
        <w:t>Kap. 4481 Salg av klimakvoter</w:t>
      </w:r>
    </w:p>
    <w:p w:rsidR="00000000" w:rsidRDefault="00E51C9C" w:rsidP="00226F23">
      <w:pPr>
        <w:pStyle w:val="b-post"/>
      </w:pPr>
      <w:r>
        <w:t>Post 01 Salgsinntekter</w:t>
      </w:r>
    </w:p>
    <w:p w:rsidR="00000000" w:rsidRDefault="00E51C9C" w:rsidP="00226F23">
      <w:r>
        <w:t>Det foreslås å øke bevilgningen på kap. 4481, post 01 med 211,2 mill. kroner.</w:t>
      </w:r>
    </w:p>
    <w:p w:rsidR="00000000" w:rsidRDefault="00E51C9C" w:rsidP="00226F23">
      <w:r>
        <w:t>I revidert nasjo</w:t>
      </w:r>
      <w:r>
        <w:t>nalbudsjett ble salgsinntektene nedjustert med 2,6 mrd. kroner, fra 7,2 mrd. kroner til 4,6 mrd. kroner,som følge av at det akkumulerte kvotevolumet fra 2013–2018 skal spres over auksjonene i 2019 og 2020. Det justerte inntektsanslaget var basert på kvotep</w:t>
      </w:r>
      <w:r>
        <w:t>risen i markedet våren 2019.</w:t>
      </w:r>
    </w:p>
    <w:p w:rsidR="00000000" w:rsidRDefault="00E51C9C" w:rsidP="00226F23">
      <w:r>
        <w:t xml:space="preserve">Oppdaterte anslag tilsier at det er behov for å oppjustere salgsinntektene med 211,2 mill. kroner, fra 4,6 mrd. kroner til 4,8 mrd. kroner. </w:t>
      </w:r>
    </w:p>
    <w:p w:rsidR="00000000" w:rsidRDefault="00E51C9C" w:rsidP="00226F23">
      <w:pPr>
        <w:pStyle w:val="avsnitt-tittel"/>
      </w:pPr>
      <w:r>
        <w:t xml:space="preserve">Andre saker </w:t>
      </w:r>
    </w:p>
    <w:p w:rsidR="00000000" w:rsidRDefault="00E51C9C" w:rsidP="00226F23">
      <w:pPr>
        <w:pStyle w:val="avsnitt-undertittel"/>
      </w:pPr>
      <w:r>
        <w:t>Fullmakt til å</w:t>
      </w:r>
      <w:r>
        <w:t xml:space="preserve"> delta i Verdensbankprogrammet Partnership for Market Implementation </w:t>
      </w:r>
    </w:p>
    <w:p w:rsidR="00000000" w:rsidRDefault="00E51C9C" w:rsidP="00226F23">
      <w:pPr>
        <w:pStyle w:val="b-budkaptit"/>
      </w:pPr>
      <w:r>
        <w:t>Kap. 1481 Klimakvoter</w:t>
      </w:r>
    </w:p>
    <w:p w:rsidR="00000000" w:rsidRDefault="00E51C9C" w:rsidP="00226F23">
      <w:pPr>
        <w:pStyle w:val="b-post"/>
      </w:pPr>
      <w:r>
        <w:t>Post 22 Kvotekjøp, generell ordning, kan overføres</w:t>
      </w:r>
    </w:p>
    <w:p w:rsidR="00000000" w:rsidRDefault="00E51C9C" w:rsidP="00226F23">
      <w:r>
        <w:t xml:space="preserve">Norge har siden 2010 deltatt i Verdensbankens Partnership for Market Readiness (PMR). Formålet med programmet er </w:t>
      </w:r>
      <w:r>
        <w:t xml:space="preserve">å støtte opp om utvikling og gjennomføring av markedsbasert klimapolitikk. Programmet er i sluttfasen, og planlegges fulgt opp med programmet Partnership for Market Implementation (PMI). </w:t>
      </w:r>
    </w:p>
    <w:p w:rsidR="00000000" w:rsidRDefault="00E51C9C" w:rsidP="00226F23">
      <w:r>
        <w:t>PMI skal arbeide for at det på mellomlang/lang sikt innføres et klar</w:t>
      </w:r>
      <w:r>
        <w:t>t prissignal for utslipp av klimagasser i alle land. På kortere sikt vil programmet støtte opp om utvikling av karbonprisingsinstrumenter, og bidra til samarbeid mellom land om klimagassreduksjoner innenfor rammen av Parisavtalen. PMI vil være viktig for N</w:t>
      </w:r>
      <w:r>
        <w:t>orges bidrag til arbeidet med å sette en pris på CO</w:t>
      </w:r>
      <w:r>
        <w:rPr>
          <w:rStyle w:val="skrift-senket"/>
          <w:sz w:val="21"/>
          <w:szCs w:val="21"/>
        </w:rPr>
        <w:t>2</w:t>
      </w:r>
      <w:r>
        <w:t xml:space="preserve"> globalt, og for utvikling av effektive, fungerende karbonmarkeder. PMI vil være et virkemiddel i arbeidet med å prøve ut former for samarbeid mellom land om klimagassreduksjoner i perioden fra 2021 til 2</w:t>
      </w:r>
      <w:r>
        <w:t xml:space="preserve">030 i samsvar med Parisavtalens artikkel 6. Dette kan støtte opp under arbeidet i </w:t>
      </w:r>
      <w:r>
        <w:rPr>
          <w:spacing w:val="-2"/>
        </w:rPr>
        <w:t>Verdensbankprogrammet Transformative Carbon</w:t>
      </w:r>
      <w:r>
        <w:t xml:space="preserve"> Asset Facility (TCAF), et initiativ der Norge bidrar med 80 mill. US dollar. TCAF skal gi klimagassreduksjoner som kan benyttes ti</w:t>
      </w:r>
      <w:r>
        <w:t>l å oppnå målet om karbonnøytralitet fra 2030.</w:t>
      </w:r>
    </w:p>
    <w:p w:rsidR="00000000" w:rsidRDefault="00E51C9C" w:rsidP="00226F23">
      <w:r>
        <w:t>Det foreslås at Norge gir et bindende tilsagn om å delta i PMI med 7 mill. USD, noe som er på linje med bidraget i PMR når en tar hensyn til prisutviklingen siden 2010. Bidrag skal betales inn over ti år, i ta</w:t>
      </w:r>
      <w:r>
        <w:t xml:space="preserve">kt med utbetalinger fra fondet, og foreslås dekket løpende under kap 1481 post 22 Kvotekjøp, generell ordning, jfr. forslag til romertallsvedtak. </w:t>
      </w:r>
    </w:p>
    <w:p w:rsidR="00000000" w:rsidRDefault="00E51C9C" w:rsidP="00226F23">
      <w:pPr>
        <w:pStyle w:val="avsnitt-undertittel"/>
      </w:pPr>
      <w:r>
        <w:t>Fullmakt til å melde inn en intensjon om at Norge fra og med 2021 vil konvertere et begrenset antall kvoter f</w:t>
      </w:r>
      <w:r>
        <w:t>ra Det europeiske kvotesystemet til utslippsenheter under innsatsfordelingsforordningen</w:t>
      </w:r>
    </w:p>
    <w:p w:rsidR="00000000" w:rsidRDefault="00E51C9C" w:rsidP="00226F23">
      <w:pPr>
        <w:pStyle w:val="b-budkaptit"/>
      </w:pPr>
      <w:r>
        <w:t>Kap. 4481 Salg av Klimakvoter</w:t>
      </w:r>
    </w:p>
    <w:p w:rsidR="00000000" w:rsidRDefault="00E51C9C" w:rsidP="00226F23">
      <w:pPr>
        <w:pStyle w:val="b-post"/>
      </w:pPr>
      <w:r>
        <w:t>Post 01 Salgsinntekter</w:t>
      </w:r>
    </w:p>
    <w:p w:rsidR="00000000" w:rsidRDefault="00E51C9C" w:rsidP="00226F23">
      <w:r>
        <w:t>For å oppnå større sikkerhet for at Norge vil kunne oppfylle de årlige utslippsbudsjettene i perioden 2021–2030, fo</w:t>
      </w:r>
      <w:r>
        <w:t>reslår Regjeringen at Norge melder inn en intensjon om årlig å konvertere kvoter fra Det europeiske kvotesystemet (EU Emission Trading System (EU ETS)) tilsvarende inntil 2 pst. av 2005-utslippene under innsatsfordelingsforordningen (Effort Sharing Regulat</w:t>
      </w:r>
      <w:r>
        <w:t>ion, ESR).</w:t>
      </w:r>
    </w:p>
    <w:p w:rsidR="00000000" w:rsidRDefault="00E51C9C" w:rsidP="00226F23">
      <w:r>
        <w:t>Ifølge avtalen med EU om felles oppfyllelse med EU av utslippsmålet, må Norge innen utgangen av 2019 melde inn til EFTAs overvåkningsorgan (ESA) om Norge vil benytte seg av adgangen til å konvertere et begrenset antall kvoter fra EU ETS til utsl</w:t>
      </w:r>
      <w:r>
        <w:t>ippsenheter (Annual Emissions Allocations (AEA)) under innsatsfordelingsforordningen. Denne fristen forutsetter at avtalen med EU trer i kraft innen 31. desember 2019. Dersom avtalen ikke trer i kraft i 2019, vil fristen for Norge etter alt å dømme bli dag</w:t>
      </w:r>
      <w:r>
        <w:t>en etter at avtalen trer i kraft.</w:t>
      </w:r>
    </w:p>
    <w:p w:rsidR="00000000" w:rsidRDefault="00E51C9C" w:rsidP="00226F23">
      <w:r>
        <w:t>Innmeldingen (notifikasjonen) vil kun være bindende for de første fem årene. For årene deretter kan Norge nedskalere eller si fra seg konverteringen av kvoter. En konvertering vil i utgangspunktet redusere inntekter fra sa</w:t>
      </w:r>
      <w:r>
        <w:t xml:space="preserve">lg av kvoter. Med dagens kvotepriser og valutakurser vil en konvertering på antatt knappe 600 000 kvoter fra EU ETS redusere statens årlige salgsinntekter i perioden 2021–2025 med </w:t>
      </w:r>
      <w:r>
        <w:lastRenderedPageBreak/>
        <w:t xml:space="preserve">rundt 160 mill. kroner. Adgang til å inngå en avtale som medfører reduksjon </w:t>
      </w:r>
      <w:r>
        <w:t>i framtidige inntekter forutsetter Stortingets samtykke, jfr. forslag til romertallsvedtak.</w:t>
      </w:r>
    </w:p>
    <w:p w:rsidR="00000000" w:rsidRDefault="00E51C9C" w:rsidP="00226F23">
      <w:pPr>
        <w:pStyle w:val="avsnitt-under-undertittel"/>
      </w:pPr>
      <w:r>
        <w:t>Bakgrunn</w:t>
      </w:r>
    </w:p>
    <w:p w:rsidR="00000000" w:rsidRDefault="00E51C9C" w:rsidP="00226F23">
      <w:r>
        <w:t>Gjennom EØS-avtalen har Norge siden 2008 deltatt i EU ETS. Ved en avtale om felles oppfyllelse av utslippsmålet for 2030 vil Norge og EU i perioden 2021–20</w:t>
      </w:r>
      <w:r>
        <w:t>30 også samarbeide innenfor de to andre pilarene i EUs klimaregelverk: innsatsfordelingsforordningen for ikke-kvotepliktig utslipp og EUs regelverk for skog- og arealbruk (Land Use, Land-Use Change and Forestry Regulation, LULUCF). Samarbeid om utslippsred</w:t>
      </w:r>
      <w:r>
        <w:t>uksjoner mellom EU-land og fleksibilitet mellom de ulike klimaregelverkene er sentrale deler av EUs strategi for oppfyllelse av 2030-målet.</w:t>
      </w:r>
    </w:p>
    <w:p w:rsidR="00000000" w:rsidRDefault="00E51C9C" w:rsidP="00226F23">
      <w:r>
        <w:t>Under innsatsfordelingsforordningen vil Norge få et nasjonalt mål om å redusere utslippene med 40 pst. i 2030 sammen</w:t>
      </w:r>
      <w:r>
        <w:t xml:space="preserve">liknet med 2005. En avtale om felles oppfyllelse reduserer likevel ikke muligheten til å gjennomføre utslippskutt utover de bindende fastsatte nasjonale målene. I Granavolden-plattformen står det blant annet at regjeringen vil at Norges ikke-kvotepliktige </w:t>
      </w:r>
      <w:r>
        <w:t>utslipp skal reduseres med minst 45 pst. sammenliknet med 2005. Regjeringen har som mål at reduksjonen skjer gjennom innenlandske tiltak og planlegger for dette. Om strengt nødvendig kan fleksibiliteten i EUs rammeverk benyttes.</w:t>
      </w:r>
    </w:p>
    <w:p w:rsidR="00000000" w:rsidRDefault="00E51C9C" w:rsidP="00226F23">
      <w:r>
        <w:t>Landenes nasjonale mål unde</w:t>
      </w:r>
      <w:r>
        <w:t>r innsatsfordelingsforordningen vil gjøres om til bindende utslippsbudsjetter for hvert av årene i perioden 2021–2030. Landene vil vederlagsfritt få utstedt utslippsenheter for hvert år i perioden i samsvar med sine utslippsbudsjetter. For hvert tonn utsli</w:t>
      </w:r>
      <w:r>
        <w:t>pp et land har innenfor sektorene som omfattes av innsatsfordelingsforordningen, må landet i etterhånd levere inn én utslippsenhet til oppgjør i et register. Dersom et land ikke leverer tilstrekkelig utslippsenheter for ett av årene, vil det overskytende u</w:t>
      </w:r>
      <w:r>
        <w:t>tslippet legges til det påfølgende året med et tillegg på 8 pst.</w:t>
      </w:r>
    </w:p>
    <w:p w:rsidR="00000000" w:rsidRDefault="00E51C9C" w:rsidP="00226F23">
      <w:r>
        <w:t>For å muliggjøre at utslippsreduksjoner i EU kan gjennomføres på en kostnadseffektiv måte, samt å sikre at landene vil nå sine årlige utslippsbudsjetter gjennom hele perioden, er det åpnet fo</w:t>
      </w:r>
      <w:r>
        <w:t>r bruk av fleksible mekanismer. En form for fleksibilitet, som er forbeholdt land som har fått et nasjonalt mål vesentlig over gjennomsnittet i EU, er muligheten til å årlig konvertere et begrenset antall kvoter fra EU ETS til innsatsfordelingsforordningen</w:t>
      </w:r>
      <w:r>
        <w:t>. Norges årlige tilgang til å konvertere kvoter fra EU ETS er begrenset til 2 pst. av 2005-utslippene under innsatsfordelingsforordningen, og vil ifølge foreløpige beregninger utgjøre totalt knapt 3 mill. kvoter de fem første årene som Norge binder seg til</w:t>
      </w:r>
      <w:r>
        <w:t xml:space="preserve"> ved en notifikasjon.</w:t>
      </w:r>
    </w:p>
    <w:p w:rsidR="00000000" w:rsidRDefault="00E51C9C" w:rsidP="00226F23">
      <w:r>
        <w:t>Ifølge innsatsfordelingsforordningen skal kvoter som etter denne bestemmelsen tas ut av EU ETS, rent tekniske fortsatt regnes med i kvotegrunnlaget for markedsstabiliseringsreserven. Antall kvoter som slettes gjennom markedsstabiliser</w:t>
      </w:r>
      <w:r>
        <w:t xml:space="preserve">ingsreserven blir dermed ikke påvirket. Det innebærer at kvoter som konverteres fra EU ETS til utslippsenheter under innsatsfordelingsforordningen vil motsvares av like store utslippsreduksjoner i kvotepliktig sektor. </w:t>
      </w:r>
    </w:p>
    <w:p w:rsidR="00000000" w:rsidRDefault="00E51C9C" w:rsidP="00226F23">
      <w:r>
        <w:t xml:space="preserve">Ifølge avtalen om felles oppfyllelse </w:t>
      </w:r>
      <w:r>
        <w:t>med EU av utslippsmålet for 2030, må Norge gi beskjed til ESA innen 31. desember 2019 om konverteringen skal benyttes jf. innsatsfordelingsforordningen artikkel 6 nr. 3. Denne fristen forutsetter at avtalen med EU trer i kraft innen 31. desember 2019. Ders</w:t>
      </w:r>
      <w:r>
        <w:t>om avtalen ikke trer i kraft i 2019, vil fristen for Norge etter alt å dømme bli dagen etter at avtalen trer i kraft.</w:t>
      </w:r>
    </w:p>
    <w:p w:rsidR="00000000" w:rsidRDefault="00E51C9C" w:rsidP="00226F23">
      <w:pPr>
        <w:pStyle w:val="avsnitt-under-undertittel"/>
      </w:pPr>
      <w:r>
        <w:t>Usikkerhet om behovet for utslippsenheter</w:t>
      </w:r>
    </w:p>
    <w:p w:rsidR="00000000" w:rsidRDefault="00E51C9C" w:rsidP="00226F23">
      <w:r>
        <w:t>Behovet for utslippsenheter for å oppfylle de årlige utslippsbudsjettene under innsatsfordelings</w:t>
      </w:r>
      <w:r>
        <w:t>forordningen er usikkert. Utslippsbudsjettet Norge vil få under innsatsfordelingsforordningen blir ikke avklart før i 2020. I klimalov</w:t>
      </w:r>
      <w:r>
        <w:rPr>
          <w:spacing w:val="-1"/>
        </w:rPr>
        <w:t>rapporteringen i statsbudsjettet for 2020 (Prop. 1 S</w:t>
      </w:r>
      <w:r>
        <w:t xml:space="preserve"> (2019–2020) Klima- og miljødepartementet) gis et foreløpig anslag på </w:t>
      </w:r>
      <w:r>
        <w:t>utslippsbudsjettet på om lag 212 millioner tonn samlet over perioden 2021–2030. Endelige tall fastsettes ikke før i 2020. Framskrevne utslipp over perioden med videreføring av dagens klimapolitikk er anslått til i størrelsesorden 224 millioner tonn. Utslip</w:t>
      </w:r>
      <w:r>
        <w:t>psgapet anslås dermed foreløpig til å være om lag 12 millioner tonn over perioden. Utslippene som omfattes av innsatsfordelingsforordningen påvirkes imidlertid av handlingene til noen hundre tusen bedrifter, flere millioner personer, samt den økonomiske og</w:t>
      </w:r>
      <w:r>
        <w:t xml:space="preserve"> teknologiske utviklingen. Utviklingen i disse utslippene fra ett år til det neste kan ikke styres med stor presisjon. Samtidig vil vi få et utslippsbudsjett som skal overholdes årlig.</w:t>
      </w:r>
    </w:p>
    <w:p w:rsidR="00000000" w:rsidRDefault="00E51C9C" w:rsidP="00226F23">
      <w:r>
        <w:lastRenderedPageBreak/>
        <w:t xml:space="preserve">EU arbeider med en eventuell forsterking av sitt klimamål for 2030. Et </w:t>
      </w:r>
      <w:r>
        <w:t>økt ambisjonsnivå i EU kan gjennomføres på flere måter. Endringer i EUs klimaregelverk vil ikke uten videre bli bindende for Norge. Regjeringen har i RNB 2019 formidlet at de ønsker å gjennomføre et forsterket klimamål for 2030 i samarbeid med EU. En event</w:t>
      </w:r>
      <w:r>
        <w:t>uell innstramming av innsatsfordelingsforordningen vil isolert sett kunne øke Norges utslippsgap.</w:t>
      </w:r>
    </w:p>
    <w:p w:rsidR="00000000" w:rsidRDefault="00E51C9C" w:rsidP="00226F23">
      <w:r>
        <w:t>Under regelverket for skog- og arealsektoren (LULUCF), vil Norge få et mål om at samlede utslipp ikke skal overstige opptak beregnet etter EUs bokføringsregle</w:t>
      </w:r>
      <w:r>
        <w:t>r. Et eventuelt underskudd i skog- og arealsektoren kan dekkes med utslippsenheter fra skog- og arealsektoren i andre land (skogkreditter) eller konvertering av utslippsenheter fra innsatsfordelingsforordningen. Utviklingen i sektoren vil dermed kunne påvi</w:t>
      </w:r>
      <w:r>
        <w:t xml:space="preserve">rke behovet for utslippsenheter under innsatsfordelingsforordningen. Det er, og vil fortsatt være, stor usikkerhet knyttet til hvordan Norge ligger an til å oppfylle forpliktelsen om netto null utslipp fra skog- og arealbrukssektoren. Hvordan vi ligger an </w:t>
      </w:r>
      <w:r>
        <w:t xml:space="preserve">kommer særlig an på vedtatt referansebane for forvaltet skog sammenlignet med hvordan skogen drives, i tillegg til hvor mye vi avskoger i perioden 2021–2030. </w:t>
      </w:r>
    </w:p>
    <w:p w:rsidR="00000000" w:rsidRDefault="00E51C9C" w:rsidP="00226F23">
      <w:pPr>
        <w:pStyle w:val="avsnitt-under-undertittel"/>
      </w:pPr>
      <w:r>
        <w:t>Konvertering av kvoter fra Det europeiske kvotesystemet (EU ETS) til innsatsfordelingsforordninge</w:t>
      </w:r>
      <w:r>
        <w:t>n</w:t>
      </w:r>
    </w:p>
    <w:p w:rsidR="00000000" w:rsidRDefault="00E51C9C" w:rsidP="00226F23">
      <w:r>
        <w:t>For å oppnå større sikkerhet for at Norge vil kunne oppfylle de årlige utslippsbudsjettene i perioden 2021–2030, foreslår Regjeringen fullmakt til å meddele til ESA at Norge har som intensjon å konvertere kvoter fra EU ETS til utslippsenheter som kan ben</w:t>
      </w:r>
      <w:r>
        <w:t xml:space="preserve">yttes under innsatsfordelingsforordningen tilsvarende hele Norges tilgang for perioden 2021–2030, jf. innsatsfordelingsforordningen artikkel 6 nr. 3, jf. forslag til romertallsvedtak. </w:t>
      </w:r>
    </w:p>
    <w:p w:rsidR="00000000" w:rsidRDefault="00E51C9C" w:rsidP="00226F23">
      <w:r>
        <w:t>Å</w:t>
      </w:r>
      <w:r>
        <w:t xml:space="preserve"> konvertere kvoter fra EU ETS gir Norge garantert tilgang til fleksibilitet dersom det skulle vise seg å bli strengt nødvendig for å oppfylle utslippsforpliktelsene. Å si ja til å konvertere kvoter fra EU ETS innebærer ikke nødvendigvis at disse kvotene fa</w:t>
      </w:r>
      <w:r>
        <w:t>ktisk vil bli benyttet under innsatsfordelingsforordningen. Kvotene som konverteres blir satt inn på en egen, lukket konto i kvoteregisteret under innsatsfordelingsforordningen. Utslippsenheter som står på denne kontoen kan kun benyttes dersom Norge har et</w:t>
      </w:r>
      <w:r>
        <w:t xml:space="preserve"> underskudd, dvs. at vi ikke har oppfylt det årlige utslippsbudsjettet gjennom innenlandske utslippsreduksjoner eller utnyttelse av andre former for fleksibilitet. Konverterte kvoter fra EU ETS som står på denne </w:t>
      </w:r>
      <w:r>
        <w:rPr>
          <w:spacing w:val="-1"/>
        </w:rPr>
        <w:t xml:space="preserve">kontoen og som ikke benyttes til å oppfylle </w:t>
      </w:r>
      <w:r>
        <w:rPr>
          <w:spacing w:val="-1"/>
        </w:rPr>
        <w:t>Norges</w:t>
      </w:r>
      <w:r>
        <w:t xml:space="preserve"> </w:t>
      </w:r>
      <w:r>
        <w:rPr>
          <w:spacing w:val="-2"/>
        </w:rPr>
        <w:t xml:space="preserve">mål under innsatsfordelingsforordningen, vil slettes </w:t>
      </w:r>
      <w:r>
        <w:t xml:space="preserve">på slutten av perioden og bidra til overoppfyllelse av klimamålet på EU-nivå. Det er mulig å nedskalere eller si fra seg konvertering fra EU ETS for den siste femårsperioden, det vil si fra 2026. </w:t>
      </w:r>
    </w:p>
    <w:p w:rsidR="00000000" w:rsidRDefault="00E51C9C" w:rsidP="00226F23">
      <w:r>
        <w:t>Kvoter som Norge konverterer vil tas direkte fra det norske auksjonsvolumet som auksjoneres årlig innenfor EU ETS. Kostnad ved konvertering tilsvarer dermed auksjonsprisen på kvoter i EU ETS de enkelte år. Om Norge benytter adgangen til å konvertere knapt</w:t>
      </w:r>
      <w:r>
        <w:t xml:space="preserve"> 3 millioner kvoter, er kostnaden med dagens priser beregnet til rundt 800 mill. kroner over perioden 2021–2025. Prisene i kvotemarkedet svinger sterkt og beløpet er derfor usikkert.</w:t>
      </w:r>
    </w:p>
    <w:p w:rsidR="00000000" w:rsidRDefault="00E51C9C" w:rsidP="00226F23">
      <w:r>
        <w:t xml:space="preserve">Innsatsfordelingsforordningen åpner også for kjøp av utslippsenheter fra </w:t>
      </w:r>
      <w:r>
        <w:t>EU-land. Det er ingen kvantitative begrensninger i regelverket på slike kjøp, men forutsetter at land overoppfyller sine mål og er villige til å selge overskuddet. Regelverket åpner også for at et begrenset antall kreditter fra EUs regelverk for skog- og a</w:t>
      </w:r>
      <w:r>
        <w:t>realbruk kan benyttes for å oppfylle de årlige utslippsbudsjettene under innsatsfordelingsforordningen, for Norge oppad begrenset til om lag 1,6 mill. tonn over perioden 2021–2030. Bruk av denne formen for fleksibilitet forutsetter imidlertid at landene ha</w:t>
      </w:r>
      <w:r>
        <w:t xml:space="preserve">r et tilsvarende netto opptak fra skog- og arealbrukssektoren i henhold regelverket. </w:t>
      </w:r>
    </w:p>
    <w:p w:rsidR="00000000" w:rsidRDefault="00E51C9C" w:rsidP="00226F23">
      <w:pPr>
        <w:pStyle w:val="a-tilraar-dep"/>
      </w:pPr>
      <w:r>
        <w:lastRenderedPageBreak/>
        <w:t>Klima- og miljødepartementet</w:t>
      </w:r>
    </w:p>
    <w:p w:rsidR="00000000" w:rsidRDefault="00E51C9C" w:rsidP="00226F23">
      <w:pPr>
        <w:pStyle w:val="a-tilraar-tit"/>
      </w:pPr>
      <w:r>
        <w:t>tilrår:</w:t>
      </w:r>
    </w:p>
    <w:p w:rsidR="00000000" w:rsidRDefault="00E51C9C" w:rsidP="00226F23">
      <w:r>
        <w:t xml:space="preserve">At Deres Majestet godkjenner og skriver under et framlagt forslag til proposisjon til Stortinget om endringer i statsbudsjettet 2019 </w:t>
      </w:r>
      <w:r>
        <w:t>under Klima- og miljødepartementet.</w:t>
      </w:r>
    </w:p>
    <w:p w:rsidR="00000000" w:rsidRDefault="00E51C9C" w:rsidP="00226F23">
      <w:pPr>
        <w:pStyle w:val="a-konge-tekst"/>
        <w:rPr>
          <w:rStyle w:val="halvfet0"/>
          <w:sz w:val="21"/>
          <w:szCs w:val="21"/>
        </w:rPr>
      </w:pPr>
      <w:r>
        <w:rPr>
          <w:rStyle w:val="halvfet0"/>
          <w:sz w:val="21"/>
          <w:szCs w:val="21"/>
        </w:rPr>
        <w:t xml:space="preserve">Vi HARALD, </w:t>
      </w:r>
      <w:r>
        <w:t>Norges Konge,</w:t>
      </w:r>
    </w:p>
    <w:p w:rsidR="00000000" w:rsidRDefault="00E51C9C" w:rsidP="00226F23">
      <w:pPr>
        <w:pStyle w:val="a-konge-tit"/>
      </w:pPr>
      <w:r>
        <w:t>stadfester:</w:t>
      </w:r>
    </w:p>
    <w:p w:rsidR="00000000" w:rsidRDefault="00E51C9C" w:rsidP="00226F23">
      <w:r>
        <w:t>Stortinget blir bedt om å gjøre vedtak om endringer i statsbudsjettet 2019 under Klima- og miljødepartementet i samsvar med et vedlagt forslag.</w:t>
      </w:r>
    </w:p>
    <w:p w:rsidR="00000000" w:rsidRDefault="00E51C9C" w:rsidP="00226F23">
      <w:pPr>
        <w:pStyle w:val="a-vedtak-tit"/>
      </w:pPr>
      <w:r>
        <w:lastRenderedPageBreak/>
        <w:t xml:space="preserve">Forslag </w:t>
      </w:r>
    </w:p>
    <w:p w:rsidR="00000000" w:rsidRDefault="00E51C9C" w:rsidP="00226F23">
      <w:pPr>
        <w:pStyle w:val="a-vedtak-tit"/>
      </w:pPr>
      <w:r>
        <w:t>til vedtak om endringer i stat</w:t>
      </w:r>
      <w:r>
        <w:t xml:space="preserve">sbudsjettet 2019 under </w:t>
      </w:r>
      <w:r>
        <w:br/>
        <w:t>Klima- og miljødepartementet</w:t>
      </w:r>
    </w:p>
    <w:p w:rsidR="00000000" w:rsidRDefault="00E51C9C" w:rsidP="00226F23">
      <w:pPr>
        <w:pStyle w:val="a-vedtak-del"/>
      </w:pPr>
      <w:r>
        <w:t>I</w:t>
      </w:r>
    </w:p>
    <w:p w:rsidR="00000000" w:rsidRDefault="00E51C9C" w:rsidP="00226F23">
      <w:r>
        <w:t>I statsbudsjettet 2019 gjøres følgende endringer:</w:t>
      </w:r>
    </w:p>
    <w:p w:rsidR="00000000" w:rsidRDefault="00E51C9C" w:rsidP="00226F23">
      <w:pPr>
        <w:pStyle w:val="a-vedtak-tekst"/>
      </w:pPr>
      <w:r>
        <w:t>Utgifter:</w:t>
      </w:r>
    </w:p>
    <w:p w:rsidR="00000000" w:rsidRDefault="00E51C9C" w:rsidP="00226F23">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5953"/>
        <w:gridCol w:w="1687"/>
      </w:tblGrid>
      <w:tr w:rsidR="00000000" w:rsidTr="00226F23">
        <w:trPr>
          <w:trHeight w:val="360"/>
        </w:trPr>
        <w:tc>
          <w:tcPr>
            <w:tcW w:w="851" w:type="dxa"/>
            <w:shd w:val="clear" w:color="auto" w:fill="FFFFFF"/>
          </w:tcPr>
          <w:p w:rsidR="00000000" w:rsidRDefault="00E51C9C" w:rsidP="00226F23">
            <w:r>
              <w:t>Kap.</w:t>
            </w:r>
          </w:p>
        </w:tc>
        <w:tc>
          <w:tcPr>
            <w:tcW w:w="709" w:type="dxa"/>
          </w:tcPr>
          <w:p w:rsidR="00000000" w:rsidRDefault="00E51C9C" w:rsidP="00226F23">
            <w:r>
              <w:t>Post</w:t>
            </w:r>
          </w:p>
        </w:tc>
        <w:tc>
          <w:tcPr>
            <w:tcW w:w="5953" w:type="dxa"/>
          </w:tcPr>
          <w:p w:rsidR="00000000" w:rsidRDefault="00E51C9C" w:rsidP="00226F23">
            <w:r>
              <w:t>Formål</w:t>
            </w:r>
          </w:p>
        </w:tc>
        <w:tc>
          <w:tcPr>
            <w:tcW w:w="1687" w:type="dxa"/>
          </w:tcPr>
          <w:p w:rsidR="00000000" w:rsidRDefault="00E51C9C" w:rsidP="00226F23">
            <w:pPr>
              <w:jc w:val="right"/>
            </w:pPr>
            <w:r>
              <w:t>Kroner</w:t>
            </w:r>
          </w:p>
        </w:tc>
      </w:tr>
      <w:tr w:rsidR="00000000" w:rsidTr="00226F23">
        <w:trPr>
          <w:trHeight w:val="380"/>
        </w:trPr>
        <w:tc>
          <w:tcPr>
            <w:tcW w:w="851" w:type="dxa"/>
          </w:tcPr>
          <w:p w:rsidR="00000000" w:rsidRDefault="00E51C9C" w:rsidP="00226F23">
            <w:r>
              <w:t>1400</w:t>
            </w:r>
          </w:p>
        </w:tc>
        <w:tc>
          <w:tcPr>
            <w:tcW w:w="709" w:type="dxa"/>
          </w:tcPr>
          <w:p w:rsidR="00000000" w:rsidRDefault="00E51C9C" w:rsidP="00226F23"/>
        </w:tc>
        <w:tc>
          <w:tcPr>
            <w:tcW w:w="5953" w:type="dxa"/>
          </w:tcPr>
          <w:p w:rsidR="00000000" w:rsidRDefault="00E51C9C" w:rsidP="00226F23">
            <w:r>
              <w:t>Klima- og miljødepartementet</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21</w:t>
            </w:r>
          </w:p>
        </w:tc>
        <w:tc>
          <w:tcPr>
            <w:tcW w:w="5953" w:type="dxa"/>
          </w:tcPr>
          <w:p w:rsidR="00000000" w:rsidRDefault="00E51C9C" w:rsidP="00226F23">
            <w:r>
              <w:t xml:space="preserve">Spesielle driftsutgifter, nedsettes med </w:t>
            </w:r>
            <w:r>
              <w:tab/>
            </w:r>
          </w:p>
        </w:tc>
        <w:tc>
          <w:tcPr>
            <w:tcW w:w="1687" w:type="dxa"/>
          </w:tcPr>
          <w:p w:rsidR="00000000" w:rsidRDefault="00E51C9C" w:rsidP="00226F23">
            <w:pPr>
              <w:jc w:val="right"/>
            </w:pPr>
            <w:r>
              <w:t>11 500 000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w:t>
            </w:r>
            <w:r>
              <w:t>109 008 000 til kr 97 508 000</w:t>
            </w:r>
          </w:p>
        </w:tc>
        <w:tc>
          <w:tcPr>
            <w:tcW w:w="1687" w:type="dxa"/>
          </w:tcPr>
          <w:p w:rsidR="00000000" w:rsidRDefault="00E51C9C" w:rsidP="00226F23">
            <w:pPr>
              <w:jc w:val="right"/>
            </w:pPr>
          </w:p>
        </w:tc>
      </w:tr>
      <w:tr w:rsidR="00000000" w:rsidTr="00226F23">
        <w:trPr>
          <w:trHeight w:val="640"/>
        </w:trPr>
        <w:tc>
          <w:tcPr>
            <w:tcW w:w="851" w:type="dxa"/>
          </w:tcPr>
          <w:p w:rsidR="00000000" w:rsidRDefault="00E51C9C" w:rsidP="00226F23"/>
        </w:tc>
        <w:tc>
          <w:tcPr>
            <w:tcW w:w="709" w:type="dxa"/>
          </w:tcPr>
          <w:p w:rsidR="00000000" w:rsidRDefault="00E51C9C" w:rsidP="00226F23">
            <w:r>
              <w:t>76</w:t>
            </w:r>
          </w:p>
        </w:tc>
        <w:tc>
          <w:tcPr>
            <w:tcW w:w="5953" w:type="dxa"/>
          </w:tcPr>
          <w:p w:rsidR="00000000" w:rsidRDefault="00E51C9C" w:rsidP="00226F23">
            <w:r>
              <w:t>Støtte til nasjonale og internasjonale miljøtiltak</w:t>
            </w:r>
            <w:r>
              <w:rPr>
                <w:rStyle w:val="kursiv"/>
                <w:sz w:val="21"/>
                <w:szCs w:val="21"/>
              </w:rPr>
              <w:t>, kan overføres</w:t>
            </w:r>
            <w:r>
              <w:t xml:space="preserve">, </w:t>
            </w:r>
            <w:r>
              <w:br/>
              <w:t xml:space="preserve">forhøyes med </w:t>
            </w:r>
            <w:r>
              <w:tab/>
            </w:r>
          </w:p>
        </w:tc>
        <w:tc>
          <w:tcPr>
            <w:tcW w:w="1687" w:type="dxa"/>
          </w:tcPr>
          <w:p w:rsidR="00000000" w:rsidRDefault="00E51C9C" w:rsidP="00226F23">
            <w:pPr>
              <w:jc w:val="right"/>
            </w:pPr>
            <w:r>
              <w:t>5 300 000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98 882 000 til kr 104 182 000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1410</w:t>
            </w:r>
          </w:p>
        </w:tc>
        <w:tc>
          <w:tcPr>
            <w:tcW w:w="709" w:type="dxa"/>
          </w:tcPr>
          <w:p w:rsidR="00000000" w:rsidRDefault="00E51C9C" w:rsidP="00226F23"/>
        </w:tc>
        <w:tc>
          <w:tcPr>
            <w:tcW w:w="5953" w:type="dxa"/>
          </w:tcPr>
          <w:p w:rsidR="00000000" w:rsidRDefault="00E51C9C" w:rsidP="00226F23">
            <w:r>
              <w:t>Kunnskap om klima og miljø</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70</w:t>
            </w:r>
          </w:p>
        </w:tc>
        <w:tc>
          <w:tcPr>
            <w:tcW w:w="5953" w:type="dxa"/>
          </w:tcPr>
          <w:p w:rsidR="00000000" w:rsidRDefault="00E51C9C" w:rsidP="00226F23">
            <w:r>
              <w:t>Nasjonale oppgaver ved miljøf</w:t>
            </w:r>
            <w:r>
              <w:t xml:space="preserve">orskningsinstituttene, forhøyes med </w:t>
            </w:r>
            <w:r>
              <w:tab/>
            </w:r>
          </w:p>
        </w:tc>
        <w:tc>
          <w:tcPr>
            <w:tcW w:w="1687" w:type="dxa"/>
          </w:tcPr>
          <w:p w:rsidR="00000000" w:rsidRDefault="00E51C9C" w:rsidP="00226F23">
            <w:pPr>
              <w:jc w:val="right"/>
            </w:pPr>
            <w:r>
              <w:t>500 000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38 007 000 til kr 38 507 000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1412</w:t>
            </w:r>
          </w:p>
        </w:tc>
        <w:tc>
          <w:tcPr>
            <w:tcW w:w="709" w:type="dxa"/>
          </w:tcPr>
          <w:p w:rsidR="00000000" w:rsidRDefault="00E51C9C" w:rsidP="00226F23"/>
        </w:tc>
        <w:tc>
          <w:tcPr>
            <w:tcW w:w="5953" w:type="dxa"/>
          </w:tcPr>
          <w:p w:rsidR="00000000" w:rsidRDefault="00E51C9C" w:rsidP="00226F23">
            <w:r>
              <w:t>Meteorologiformål</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70</w:t>
            </w:r>
          </w:p>
        </w:tc>
        <w:tc>
          <w:tcPr>
            <w:tcW w:w="5953" w:type="dxa"/>
          </w:tcPr>
          <w:p w:rsidR="00000000" w:rsidRDefault="00E51C9C" w:rsidP="00226F23">
            <w:r>
              <w:t xml:space="preserve">Internasjonale samarbeidsprosjekt, nedsettes med </w:t>
            </w:r>
            <w:r>
              <w:tab/>
            </w:r>
          </w:p>
        </w:tc>
        <w:tc>
          <w:tcPr>
            <w:tcW w:w="1687" w:type="dxa"/>
          </w:tcPr>
          <w:p w:rsidR="00000000" w:rsidRDefault="00E51C9C" w:rsidP="00226F23">
            <w:pPr>
              <w:jc w:val="right"/>
            </w:pPr>
            <w:r>
              <w:t>3 234 000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142 668 000 til kr 139 434 000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1420</w:t>
            </w:r>
          </w:p>
        </w:tc>
        <w:tc>
          <w:tcPr>
            <w:tcW w:w="709" w:type="dxa"/>
          </w:tcPr>
          <w:p w:rsidR="00000000" w:rsidRDefault="00E51C9C" w:rsidP="00226F23"/>
        </w:tc>
        <w:tc>
          <w:tcPr>
            <w:tcW w:w="5953" w:type="dxa"/>
          </w:tcPr>
          <w:p w:rsidR="00000000" w:rsidRDefault="00E51C9C" w:rsidP="00226F23">
            <w:r>
              <w:t>Miljødirektoratet</w:t>
            </w:r>
          </w:p>
        </w:tc>
        <w:tc>
          <w:tcPr>
            <w:tcW w:w="1687" w:type="dxa"/>
          </w:tcPr>
          <w:p w:rsidR="00000000" w:rsidRDefault="00E51C9C" w:rsidP="00226F23">
            <w:pPr>
              <w:jc w:val="right"/>
            </w:pPr>
          </w:p>
        </w:tc>
      </w:tr>
      <w:tr w:rsidR="00000000" w:rsidTr="00226F23">
        <w:trPr>
          <w:trHeight w:val="640"/>
        </w:trPr>
        <w:tc>
          <w:tcPr>
            <w:tcW w:w="851" w:type="dxa"/>
          </w:tcPr>
          <w:p w:rsidR="00000000" w:rsidRDefault="00E51C9C" w:rsidP="00226F23"/>
        </w:tc>
        <w:tc>
          <w:tcPr>
            <w:tcW w:w="709" w:type="dxa"/>
          </w:tcPr>
          <w:p w:rsidR="00000000" w:rsidRDefault="00E51C9C" w:rsidP="00226F23">
            <w:r>
              <w:t>23</w:t>
            </w:r>
          </w:p>
        </w:tc>
        <w:tc>
          <w:tcPr>
            <w:tcW w:w="5953" w:type="dxa"/>
          </w:tcPr>
          <w:p w:rsidR="00000000" w:rsidRDefault="00E51C9C" w:rsidP="00226F23">
            <w:r>
              <w:t>Oppdrags- og gebyrrelatert virksomhet</w:t>
            </w:r>
            <w:r>
              <w:rPr>
                <w:rStyle w:val="kursiv"/>
                <w:sz w:val="21"/>
                <w:szCs w:val="21"/>
              </w:rPr>
              <w:t>, kan overføres</w:t>
            </w:r>
            <w:r>
              <w:t xml:space="preserve">, </w:t>
            </w:r>
            <w:r>
              <w:br/>
              <w:t xml:space="preserve">forhøyes med </w:t>
            </w:r>
            <w:r>
              <w:tab/>
            </w:r>
          </w:p>
        </w:tc>
        <w:tc>
          <w:tcPr>
            <w:tcW w:w="1687" w:type="dxa"/>
          </w:tcPr>
          <w:p w:rsidR="00000000" w:rsidRDefault="00E51C9C" w:rsidP="00226F23">
            <w:pPr>
              <w:jc w:val="right"/>
            </w:pPr>
            <w:r>
              <w:t>5 600 000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135 608 000 til kr 141 208 000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33</w:t>
            </w:r>
          </w:p>
        </w:tc>
        <w:tc>
          <w:tcPr>
            <w:tcW w:w="5953" w:type="dxa"/>
          </w:tcPr>
          <w:p w:rsidR="00000000" w:rsidRDefault="00E51C9C" w:rsidP="00226F23">
            <w:r>
              <w:t>Statlige erverv, nytt vern</w:t>
            </w:r>
            <w:r>
              <w:rPr>
                <w:rStyle w:val="kursiv"/>
                <w:sz w:val="21"/>
                <w:szCs w:val="21"/>
              </w:rPr>
              <w:t>, kan overføres</w:t>
            </w:r>
            <w:r>
              <w:t xml:space="preserve">, nedsettes med </w:t>
            </w:r>
            <w:r>
              <w:tab/>
            </w:r>
          </w:p>
        </w:tc>
        <w:tc>
          <w:tcPr>
            <w:tcW w:w="1687" w:type="dxa"/>
          </w:tcPr>
          <w:p w:rsidR="00000000" w:rsidRDefault="00E51C9C" w:rsidP="00226F23">
            <w:pPr>
              <w:jc w:val="right"/>
            </w:pPr>
            <w:r>
              <w:t>6 000 000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6 200 000 til kr 200 000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63</w:t>
            </w:r>
          </w:p>
        </w:tc>
        <w:tc>
          <w:tcPr>
            <w:tcW w:w="5953" w:type="dxa"/>
          </w:tcPr>
          <w:p w:rsidR="00000000" w:rsidRDefault="00E51C9C" w:rsidP="00226F23">
            <w:r>
              <w:t xml:space="preserve">Returordning for kasserte fritidsbåter, nedsettes med </w:t>
            </w:r>
            <w:r>
              <w:tab/>
            </w:r>
          </w:p>
        </w:tc>
        <w:tc>
          <w:tcPr>
            <w:tcW w:w="1687" w:type="dxa"/>
          </w:tcPr>
          <w:p w:rsidR="00000000" w:rsidRDefault="00E51C9C" w:rsidP="00226F23">
            <w:pPr>
              <w:jc w:val="right"/>
            </w:pPr>
            <w:r>
              <w:t>8 000 000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10 000 000 til kr 2 000 000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64</w:t>
            </w:r>
          </w:p>
        </w:tc>
        <w:tc>
          <w:tcPr>
            <w:tcW w:w="5953" w:type="dxa"/>
          </w:tcPr>
          <w:p w:rsidR="00000000" w:rsidRDefault="00E51C9C" w:rsidP="00226F23">
            <w:r>
              <w:t xml:space="preserve">Skrantesykeprøver fra fallvilt, nedsettes med </w:t>
            </w:r>
            <w:r>
              <w:tab/>
            </w:r>
          </w:p>
        </w:tc>
        <w:tc>
          <w:tcPr>
            <w:tcW w:w="1687" w:type="dxa"/>
          </w:tcPr>
          <w:p w:rsidR="00000000" w:rsidRDefault="00E51C9C" w:rsidP="00226F23">
            <w:pPr>
              <w:jc w:val="right"/>
            </w:pPr>
            <w:r>
              <w:t>1 400 000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1 748 000 til kr 348 000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74</w:t>
            </w:r>
          </w:p>
        </w:tc>
        <w:tc>
          <w:tcPr>
            <w:tcW w:w="5953" w:type="dxa"/>
          </w:tcPr>
          <w:p w:rsidR="00000000" w:rsidRDefault="00E51C9C" w:rsidP="00226F23">
            <w:r>
              <w:t>CO</w:t>
            </w:r>
            <w:r>
              <w:rPr>
                <w:rStyle w:val="skrift-senket"/>
                <w:sz w:val="21"/>
                <w:szCs w:val="21"/>
              </w:rPr>
              <w:t>2</w:t>
            </w:r>
            <w:r>
              <w:t>-kompensasjonsordning for industrien, forhøy</w:t>
            </w:r>
            <w:r>
              <w:t xml:space="preserve">es med </w:t>
            </w:r>
            <w:r>
              <w:tab/>
            </w:r>
          </w:p>
        </w:tc>
        <w:tc>
          <w:tcPr>
            <w:tcW w:w="1687" w:type="dxa"/>
          </w:tcPr>
          <w:p w:rsidR="00000000" w:rsidRDefault="00E51C9C" w:rsidP="00226F23">
            <w:pPr>
              <w:jc w:val="right"/>
            </w:pPr>
            <w:r>
              <w:t>5 828 000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538 167 000 til kr 543 995 000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1423</w:t>
            </w:r>
          </w:p>
        </w:tc>
        <w:tc>
          <w:tcPr>
            <w:tcW w:w="709" w:type="dxa"/>
          </w:tcPr>
          <w:p w:rsidR="00000000" w:rsidRDefault="00E51C9C" w:rsidP="00226F23"/>
        </w:tc>
        <w:tc>
          <w:tcPr>
            <w:tcW w:w="5953" w:type="dxa"/>
          </w:tcPr>
          <w:p w:rsidR="00000000" w:rsidRDefault="00E51C9C" w:rsidP="00226F23">
            <w:r>
              <w:t>Radioaktiv forurensning i det ytre miljø</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01</w:t>
            </w:r>
          </w:p>
        </w:tc>
        <w:tc>
          <w:tcPr>
            <w:tcW w:w="5953" w:type="dxa"/>
          </w:tcPr>
          <w:p w:rsidR="00000000" w:rsidRDefault="00E51C9C" w:rsidP="00226F23">
            <w:r>
              <w:t xml:space="preserve">Driftsutgifter, forhøyes med </w:t>
            </w:r>
            <w:r>
              <w:tab/>
            </w:r>
          </w:p>
        </w:tc>
        <w:tc>
          <w:tcPr>
            <w:tcW w:w="1687" w:type="dxa"/>
          </w:tcPr>
          <w:p w:rsidR="00000000" w:rsidRDefault="00E51C9C" w:rsidP="00226F23">
            <w:pPr>
              <w:jc w:val="right"/>
            </w:pPr>
            <w:r>
              <w:t>500 000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27 363 000 til kr 27 863 000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1429</w:t>
            </w:r>
          </w:p>
        </w:tc>
        <w:tc>
          <w:tcPr>
            <w:tcW w:w="709" w:type="dxa"/>
          </w:tcPr>
          <w:p w:rsidR="00000000" w:rsidRDefault="00E51C9C" w:rsidP="00226F23"/>
        </w:tc>
        <w:tc>
          <w:tcPr>
            <w:tcW w:w="5953" w:type="dxa"/>
          </w:tcPr>
          <w:p w:rsidR="00000000" w:rsidRDefault="00E51C9C" w:rsidP="00226F23">
            <w:r>
              <w:t>Riksantikvaren</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01</w:t>
            </w:r>
          </w:p>
        </w:tc>
        <w:tc>
          <w:tcPr>
            <w:tcW w:w="5953" w:type="dxa"/>
          </w:tcPr>
          <w:p w:rsidR="00000000" w:rsidRDefault="00E51C9C" w:rsidP="00226F23">
            <w:r>
              <w:t xml:space="preserve">Driftsutgifter, nedsettes med </w:t>
            </w:r>
            <w:r>
              <w:tab/>
            </w:r>
          </w:p>
        </w:tc>
        <w:tc>
          <w:tcPr>
            <w:tcW w:w="1687" w:type="dxa"/>
          </w:tcPr>
          <w:p w:rsidR="00000000" w:rsidRDefault="00E51C9C" w:rsidP="00226F23">
            <w:pPr>
              <w:jc w:val="right"/>
            </w:pPr>
            <w:r>
              <w:t>4 </w:t>
            </w:r>
            <w:r>
              <w:t>100 000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148 301 000 til kr 144 201 000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21</w:t>
            </w:r>
          </w:p>
        </w:tc>
        <w:tc>
          <w:tcPr>
            <w:tcW w:w="5953" w:type="dxa"/>
          </w:tcPr>
          <w:p w:rsidR="00000000" w:rsidRDefault="00E51C9C" w:rsidP="00226F23">
            <w:r>
              <w:t xml:space="preserve">Spesielle driftsutgifter, nedsettes med </w:t>
            </w:r>
            <w:r>
              <w:tab/>
            </w:r>
          </w:p>
        </w:tc>
        <w:tc>
          <w:tcPr>
            <w:tcW w:w="1687" w:type="dxa"/>
          </w:tcPr>
          <w:p w:rsidR="00000000" w:rsidRDefault="00E51C9C" w:rsidP="00226F23">
            <w:pPr>
              <w:jc w:val="right"/>
            </w:pPr>
            <w:r>
              <w:t>2 895 000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40 719 000 til kr 37 824 000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22</w:t>
            </w:r>
          </w:p>
        </w:tc>
        <w:tc>
          <w:tcPr>
            <w:tcW w:w="5953" w:type="dxa"/>
          </w:tcPr>
          <w:p w:rsidR="00000000" w:rsidRDefault="00E51C9C" w:rsidP="00226F23">
            <w:r>
              <w:t>Bevaringsoppgaver</w:t>
            </w:r>
            <w:r>
              <w:rPr>
                <w:rStyle w:val="kursiv"/>
                <w:sz w:val="21"/>
                <w:szCs w:val="21"/>
              </w:rPr>
              <w:t>, kan overføres</w:t>
            </w:r>
            <w:r>
              <w:t xml:space="preserve">, forhøyes med </w:t>
            </w:r>
            <w:r>
              <w:tab/>
            </w:r>
          </w:p>
        </w:tc>
        <w:tc>
          <w:tcPr>
            <w:tcW w:w="1687" w:type="dxa"/>
          </w:tcPr>
          <w:p w:rsidR="00000000" w:rsidRDefault="00E51C9C" w:rsidP="00226F23">
            <w:pPr>
              <w:jc w:val="right"/>
            </w:pPr>
            <w:r>
              <w:t>7 395 000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21 708 000 til kr 29 103 000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1471</w:t>
            </w:r>
          </w:p>
        </w:tc>
        <w:tc>
          <w:tcPr>
            <w:tcW w:w="709" w:type="dxa"/>
          </w:tcPr>
          <w:p w:rsidR="00000000" w:rsidRDefault="00E51C9C" w:rsidP="00226F23"/>
        </w:tc>
        <w:tc>
          <w:tcPr>
            <w:tcW w:w="5953" w:type="dxa"/>
          </w:tcPr>
          <w:p w:rsidR="00000000" w:rsidRDefault="00E51C9C" w:rsidP="00226F23">
            <w:r>
              <w:t>Norsk Polarinstitutt</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21</w:t>
            </w:r>
          </w:p>
        </w:tc>
        <w:tc>
          <w:tcPr>
            <w:tcW w:w="5953" w:type="dxa"/>
          </w:tcPr>
          <w:p w:rsidR="00000000" w:rsidRDefault="00E51C9C" w:rsidP="00226F23">
            <w:r>
              <w:t>Spesielle driftsutgifter</w:t>
            </w:r>
            <w:r>
              <w:rPr>
                <w:rStyle w:val="kursiv"/>
                <w:sz w:val="21"/>
                <w:szCs w:val="21"/>
              </w:rPr>
              <w:t>, kan overføres</w:t>
            </w:r>
            <w:r>
              <w:t xml:space="preserve">, forhøyes med </w:t>
            </w:r>
            <w:r>
              <w:tab/>
            </w:r>
          </w:p>
        </w:tc>
        <w:tc>
          <w:tcPr>
            <w:tcW w:w="1687" w:type="dxa"/>
          </w:tcPr>
          <w:p w:rsidR="00000000" w:rsidRDefault="00E51C9C" w:rsidP="00226F23">
            <w:pPr>
              <w:jc w:val="right"/>
            </w:pPr>
            <w:r>
              <w:t>5 700 000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75 457 000 til kr 81 157 000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1481</w:t>
            </w:r>
          </w:p>
        </w:tc>
        <w:tc>
          <w:tcPr>
            <w:tcW w:w="709" w:type="dxa"/>
          </w:tcPr>
          <w:p w:rsidR="00000000" w:rsidRDefault="00E51C9C" w:rsidP="00226F23"/>
        </w:tc>
        <w:tc>
          <w:tcPr>
            <w:tcW w:w="5953" w:type="dxa"/>
          </w:tcPr>
          <w:p w:rsidR="00000000" w:rsidRDefault="00E51C9C" w:rsidP="00226F23">
            <w:r>
              <w:t>Klimakvoter</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01</w:t>
            </w:r>
          </w:p>
        </w:tc>
        <w:tc>
          <w:tcPr>
            <w:tcW w:w="5953" w:type="dxa"/>
          </w:tcPr>
          <w:p w:rsidR="00000000" w:rsidRDefault="00E51C9C" w:rsidP="00226F23">
            <w:r>
              <w:t>Driftsutgifter</w:t>
            </w:r>
            <w:r>
              <w:rPr>
                <w:rStyle w:val="kursiv"/>
                <w:sz w:val="21"/>
                <w:szCs w:val="21"/>
              </w:rPr>
              <w:t>, kan overføres</w:t>
            </w:r>
            <w:r>
              <w:t xml:space="preserve">, nedsettes med </w:t>
            </w:r>
            <w:r>
              <w:tab/>
            </w:r>
          </w:p>
        </w:tc>
        <w:tc>
          <w:tcPr>
            <w:tcW w:w="1687" w:type="dxa"/>
          </w:tcPr>
          <w:p w:rsidR="00000000" w:rsidRDefault="00E51C9C" w:rsidP="00226F23">
            <w:pPr>
              <w:jc w:val="right"/>
            </w:pPr>
            <w:r>
              <w:t>4 499 000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4 501 000 til kr 2 000</w:t>
            </w:r>
          </w:p>
        </w:tc>
        <w:tc>
          <w:tcPr>
            <w:tcW w:w="1687" w:type="dxa"/>
          </w:tcPr>
          <w:p w:rsidR="00000000" w:rsidRDefault="00E51C9C" w:rsidP="00226F23">
            <w:pPr>
              <w:jc w:val="right"/>
            </w:pPr>
          </w:p>
        </w:tc>
      </w:tr>
    </w:tbl>
    <w:p w:rsidR="00000000" w:rsidRDefault="00E51C9C" w:rsidP="00226F23">
      <w:pPr>
        <w:pStyle w:val="a-vedtak-tekst"/>
      </w:pPr>
      <w:r>
        <w:t>Inntekter:</w:t>
      </w:r>
    </w:p>
    <w:p w:rsidR="00000000" w:rsidRDefault="00E51C9C" w:rsidP="00226F23">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5953"/>
        <w:gridCol w:w="1687"/>
      </w:tblGrid>
      <w:tr w:rsidR="00000000" w:rsidTr="00226F23">
        <w:trPr>
          <w:trHeight w:val="360"/>
        </w:trPr>
        <w:tc>
          <w:tcPr>
            <w:tcW w:w="851" w:type="dxa"/>
            <w:shd w:val="clear" w:color="auto" w:fill="FFFFFF"/>
          </w:tcPr>
          <w:p w:rsidR="00000000" w:rsidRDefault="00E51C9C" w:rsidP="00226F23">
            <w:r>
              <w:t>Kap.</w:t>
            </w:r>
          </w:p>
        </w:tc>
        <w:tc>
          <w:tcPr>
            <w:tcW w:w="709" w:type="dxa"/>
          </w:tcPr>
          <w:p w:rsidR="00000000" w:rsidRDefault="00E51C9C" w:rsidP="00226F23">
            <w:r>
              <w:t>Post</w:t>
            </w:r>
          </w:p>
        </w:tc>
        <w:tc>
          <w:tcPr>
            <w:tcW w:w="5953" w:type="dxa"/>
          </w:tcPr>
          <w:p w:rsidR="00000000" w:rsidRDefault="00E51C9C" w:rsidP="00226F23">
            <w:r>
              <w:t>Formål</w:t>
            </w:r>
          </w:p>
        </w:tc>
        <w:tc>
          <w:tcPr>
            <w:tcW w:w="1687" w:type="dxa"/>
          </w:tcPr>
          <w:p w:rsidR="00000000" w:rsidRDefault="00E51C9C" w:rsidP="00226F23">
            <w:pPr>
              <w:jc w:val="right"/>
            </w:pPr>
            <w:r>
              <w:t>Kroner</w:t>
            </w:r>
          </w:p>
        </w:tc>
      </w:tr>
      <w:tr w:rsidR="00000000" w:rsidTr="00226F23">
        <w:trPr>
          <w:trHeight w:val="380"/>
        </w:trPr>
        <w:tc>
          <w:tcPr>
            <w:tcW w:w="851" w:type="dxa"/>
          </w:tcPr>
          <w:p w:rsidR="00000000" w:rsidRDefault="00E51C9C" w:rsidP="00226F23">
            <w:r>
              <w:t>4420</w:t>
            </w:r>
          </w:p>
        </w:tc>
        <w:tc>
          <w:tcPr>
            <w:tcW w:w="709" w:type="dxa"/>
          </w:tcPr>
          <w:p w:rsidR="00000000" w:rsidRDefault="00E51C9C" w:rsidP="00226F23"/>
        </w:tc>
        <w:tc>
          <w:tcPr>
            <w:tcW w:w="5953" w:type="dxa"/>
          </w:tcPr>
          <w:p w:rsidR="00000000" w:rsidRDefault="00E51C9C" w:rsidP="00226F23">
            <w:r>
              <w:t>Miljødirektoratet</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04</w:t>
            </w:r>
          </w:p>
        </w:tc>
        <w:tc>
          <w:tcPr>
            <w:tcW w:w="5953" w:type="dxa"/>
          </w:tcPr>
          <w:p w:rsidR="00000000" w:rsidRDefault="00E51C9C" w:rsidP="00226F23">
            <w:r>
              <w:t xml:space="preserve">Gebyrer, forurensningsområdet, forhøyes med </w:t>
            </w:r>
            <w:r>
              <w:tab/>
            </w:r>
          </w:p>
        </w:tc>
        <w:tc>
          <w:tcPr>
            <w:tcW w:w="1687" w:type="dxa"/>
          </w:tcPr>
          <w:p w:rsidR="00000000" w:rsidRDefault="00E51C9C" w:rsidP="00226F23">
            <w:pPr>
              <w:jc w:val="right"/>
            </w:pPr>
            <w:r>
              <w:t>5 600 000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41 141 000 til kr 46 741 000</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4423</w:t>
            </w:r>
          </w:p>
        </w:tc>
        <w:tc>
          <w:tcPr>
            <w:tcW w:w="709" w:type="dxa"/>
          </w:tcPr>
          <w:p w:rsidR="00000000" w:rsidRDefault="00E51C9C" w:rsidP="00226F23"/>
        </w:tc>
        <w:tc>
          <w:tcPr>
            <w:tcW w:w="5953" w:type="dxa"/>
          </w:tcPr>
          <w:p w:rsidR="00000000" w:rsidRDefault="00E51C9C" w:rsidP="00226F23">
            <w:r>
              <w:t>Radioaktiv forurensning i det ytre miljø</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r>
              <w:t>(NY)</w:t>
            </w:r>
          </w:p>
        </w:tc>
        <w:tc>
          <w:tcPr>
            <w:tcW w:w="709" w:type="dxa"/>
          </w:tcPr>
          <w:p w:rsidR="00000000" w:rsidRDefault="00E51C9C" w:rsidP="00226F23">
            <w:r>
              <w:t>01</w:t>
            </w:r>
          </w:p>
        </w:tc>
        <w:tc>
          <w:tcPr>
            <w:tcW w:w="5953" w:type="dxa"/>
          </w:tcPr>
          <w:p w:rsidR="00000000" w:rsidRDefault="00E51C9C" w:rsidP="00226F23">
            <w:r>
              <w:t xml:space="preserve">Gebyrer, radioaktiv forurensning, bevilges med </w:t>
            </w:r>
            <w:r>
              <w:tab/>
            </w:r>
          </w:p>
        </w:tc>
        <w:tc>
          <w:tcPr>
            <w:tcW w:w="1687" w:type="dxa"/>
          </w:tcPr>
          <w:p w:rsidR="00000000" w:rsidRDefault="00E51C9C" w:rsidP="00226F23">
            <w:pPr>
              <w:jc w:val="right"/>
            </w:pPr>
            <w:r>
              <w:t>500 000</w:t>
            </w:r>
          </w:p>
        </w:tc>
      </w:tr>
      <w:tr w:rsidR="00000000" w:rsidTr="00226F23">
        <w:trPr>
          <w:trHeight w:val="380"/>
        </w:trPr>
        <w:tc>
          <w:tcPr>
            <w:tcW w:w="851" w:type="dxa"/>
          </w:tcPr>
          <w:p w:rsidR="00000000" w:rsidRDefault="00E51C9C" w:rsidP="00226F23">
            <w:r>
              <w:t>4481</w:t>
            </w:r>
          </w:p>
        </w:tc>
        <w:tc>
          <w:tcPr>
            <w:tcW w:w="709" w:type="dxa"/>
          </w:tcPr>
          <w:p w:rsidR="00000000" w:rsidRDefault="00E51C9C" w:rsidP="00226F23"/>
        </w:tc>
        <w:tc>
          <w:tcPr>
            <w:tcW w:w="5953" w:type="dxa"/>
          </w:tcPr>
          <w:p w:rsidR="00000000" w:rsidRDefault="00E51C9C" w:rsidP="00226F23">
            <w:r>
              <w:t>Salg av klimakvoter</w:t>
            </w:r>
          </w:p>
        </w:tc>
        <w:tc>
          <w:tcPr>
            <w:tcW w:w="1687"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01</w:t>
            </w:r>
          </w:p>
        </w:tc>
        <w:tc>
          <w:tcPr>
            <w:tcW w:w="5953" w:type="dxa"/>
          </w:tcPr>
          <w:p w:rsidR="00000000" w:rsidRDefault="00E51C9C" w:rsidP="00226F23">
            <w:r>
              <w:t xml:space="preserve">Salgsinntekter, forhøyes med </w:t>
            </w:r>
            <w:r>
              <w:tab/>
            </w:r>
          </w:p>
        </w:tc>
        <w:tc>
          <w:tcPr>
            <w:tcW w:w="1687" w:type="dxa"/>
          </w:tcPr>
          <w:p w:rsidR="00000000" w:rsidRDefault="00E51C9C" w:rsidP="00226F23">
            <w:pPr>
              <w:jc w:val="right"/>
            </w:pPr>
            <w:r>
              <w:t>211 245 000</w:t>
            </w:r>
          </w:p>
        </w:tc>
      </w:tr>
      <w:tr w:rsidR="00000000" w:rsidTr="00226F23">
        <w:trPr>
          <w:trHeight w:val="380"/>
        </w:trPr>
        <w:tc>
          <w:tcPr>
            <w:tcW w:w="851" w:type="dxa"/>
          </w:tcPr>
          <w:p w:rsidR="00000000" w:rsidRDefault="00E51C9C" w:rsidP="00226F23"/>
        </w:tc>
        <w:tc>
          <w:tcPr>
            <w:tcW w:w="709" w:type="dxa"/>
          </w:tcPr>
          <w:p w:rsidR="00000000" w:rsidRDefault="00E51C9C" w:rsidP="00226F23"/>
        </w:tc>
        <w:tc>
          <w:tcPr>
            <w:tcW w:w="5953" w:type="dxa"/>
          </w:tcPr>
          <w:p w:rsidR="00000000" w:rsidRDefault="00E51C9C" w:rsidP="00226F23">
            <w:r>
              <w:t>fra kr 4 616 722 000 til kr 4 827 967 000</w:t>
            </w:r>
          </w:p>
        </w:tc>
        <w:tc>
          <w:tcPr>
            <w:tcW w:w="1687" w:type="dxa"/>
          </w:tcPr>
          <w:p w:rsidR="00000000" w:rsidRDefault="00E51C9C" w:rsidP="00226F23">
            <w:pPr>
              <w:jc w:val="right"/>
            </w:pPr>
          </w:p>
        </w:tc>
      </w:tr>
    </w:tbl>
    <w:p w:rsidR="00000000" w:rsidRDefault="00E51C9C" w:rsidP="00226F23">
      <w:pPr>
        <w:pStyle w:val="a-vedtak-del"/>
      </w:pPr>
      <w:r>
        <w:t>II</w:t>
      </w:r>
    </w:p>
    <w:p w:rsidR="00000000" w:rsidRDefault="00E51C9C" w:rsidP="00226F23">
      <w:pPr>
        <w:pStyle w:val="a-vedtak-tekst"/>
      </w:pPr>
      <w:r>
        <w:t>Merinntektsfullmakt</w:t>
      </w:r>
    </w:p>
    <w:p w:rsidR="00000000" w:rsidRDefault="00E51C9C" w:rsidP="00226F23">
      <w:r>
        <w:t>Stortinget samtykker i at Klima- og miljød</w:t>
      </w:r>
      <w:r>
        <w:t>epartementet i 2019 kan:</w:t>
      </w:r>
    </w:p>
    <w:p w:rsidR="00000000" w:rsidRDefault="00E51C9C" w:rsidP="00226F23">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000000" w:rsidTr="00226F23">
        <w:trPr>
          <w:trHeight w:val="360"/>
        </w:trPr>
        <w:tc>
          <w:tcPr>
            <w:tcW w:w="4600" w:type="dxa"/>
            <w:shd w:val="clear" w:color="auto" w:fill="FFFFFF"/>
          </w:tcPr>
          <w:p w:rsidR="00000000" w:rsidRDefault="00E51C9C" w:rsidP="00226F23">
            <w:r>
              <w:t>overskride bevilgningen under</w:t>
            </w:r>
          </w:p>
        </w:tc>
        <w:tc>
          <w:tcPr>
            <w:tcW w:w="4600" w:type="dxa"/>
          </w:tcPr>
          <w:p w:rsidR="00000000" w:rsidRDefault="00E51C9C" w:rsidP="00226F23">
            <w:r>
              <w:t>mot tilsvarende merinntekter under</w:t>
            </w:r>
          </w:p>
        </w:tc>
      </w:tr>
      <w:tr w:rsidR="00000000" w:rsidTr="00226F23">
        <w:trPr>
          <w:trHeight w:val="380"/>
        </w:trPr>
        <w:tc>
          <w:tcPr>
            <w:tcW w:w="4600" w:type="dxa"/>
          </w:tcPr>
          <w:p w:rsidR="00000000" w:rsidRDefault="00E51C9C" w:rsidP="00226F23">
            <w:r>
              <w:t>kap. 1423 post 01</w:t>
            </w:r>
          </w:p>
        </w:tc>
        <w:tc>
          <w:tcPr>
            <w:tcW w:w="4600" w:type="dxa"/>
          </w:tcPr>
          <w:p w:rsidR="00000000" w:rsidRDefault="00E51C9C" w:rsidP="00226F23">
            <w:r>
              <w:t>kap. 4423 post 01</w:t>
            </w:r>
          </w:p>
        </w:tc>
      </w:tr>
    </w:tbl>
    <w:p w:rsidR="00000000" w:rsidRDefault="00E51C9C" w:rsidP="00226F23">
      <w:r>
        <w:t>Merinntekt som gir grunnlag for overskridelse, skal også dekke merverdiavgift knyttet til overskridelsen, og berør</w:t>
      </w:r>
      <w:r>
        <w:t>er derfor også kap. 1633 post 01 for de statlige forvaltningsorganene som inngår i nettoordningen for merverdiavgift. Merinntekter og eventuelle mindreinntekter tas med i beregningen av overføring av ubrukt bevilgning til neste år.</w:t>
      </w:r>
    </w:p>
    <w:p w:rsidR="00000000" w:rsidRDefault="00E51C9C" w:rsidP="00226F23">
      <w:pPr>
        <w:pStyle w:val="a-vedtak-del"/>
      </w:pPr>
      <w:r>
        <w:t>III</w:t>
      </w:r>
    </w:p>
    <w:p w:rsidR="00000000" w:rsidRDefault="00E51C9C" w:rsidP="00226F23">
      <w:pPr>
        <w:pStyle w:val="a-vedtak-tekst"/>
      </w:pPr>
      <w:r>
        <w:t>Bestillingsfullmakt</w:t>
      </w:r>
    </w:p>
    <w:p w:rsidR="00000000" w:rsidRDefault="00E51C9C" w:rsidP="00226F23">
      <w:r>
        <w:t>Stortinget samtykker i at Klima- og miljødepartementet i 2019 kan foreta bestillinger av materiell o.l. ut over gitte bevilgninger, men slik at samlet ramme for nye bestillinger og gammelt ansvar ikke overstiger følgende beløp:</w:t>
      </w:r>
    </w:p>
    <w:p w:rsidR="00000000" w:rsidRDefault="00E51C9C" w:rsidP="00226F23">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5340"/>
        <w:gridCol w:w="2300"/>
      </w:tblGrid>
      <w:tr w:rsidR="00000000" w:rsidTr="00226F23">
        <w:trPr>
          <w:trHeight w:val="360"/>
        </w:trPr>
        <w:tc>
          <w:tcPr>
            <w:tcW w:w="851" w:type="dxa"/>
            <w:shd w:val="clear" w:color="auto" w:fill="FFFFFF"/>
          </w:tcPr>
          <w:p w:rsidR="00000000" w:rsidRDefault="00E51C9C" w:rsidP="00226F23">
            <w:r>
              <w:t>Kap.</w:t>
            </w:r>
          </w:p>
        </w:tc>
        <w:tc>
          <w:tcPr>
            <w:tcW w:w="709" w:type="dxa"/>
          </w:tcPr>
          <w:p w:rsidR="00000000" w:rsidRDefault="00E51C9C" w:rsidP="00226F23">
            <w:r>
              <w:t>Post</w:t>
            </w:r>
          </w:p>
        </w:tc>
        <w:tc>
          <w:tcPr>
            <w:tcW w:w="5340" w:type="dxa"/>
          </w:tcPr>
          <w:p w:rsidR="00000000" w:rsidRDefault="00E51C9C" w:rsidP="00226F23">
            <w:r>
              <w:t>Betegnelse</w:t>
            </w:r>
          </w:p>
        </w:tc>
        <w:tc>
          <w:tcPr>
            <w:tcW w:w="2300" w:type="dxa"/>
          </w:tcPr>
          <w:p w:rsidR="00000000" w:rsidRDefault="00E51C9C" w:rsidP="00226F23">
            <w:pPr>
              <w:jc w:val="right"/>
            </w:pPr>
            <w:r>
              <w:t>Samlet ramme</w:t>
            </w:r>
          </w:p>
        </w:tc>
      </w:tr>
      <w:tr w:rsidR="00000000" w:rsidTr="00226F23">
        <w:trPr>
          <w:trHeight w:val="380"/>
        </w:trPr>
        <w:tc>
          <w:tcPr>
            <w:tcW w:w="851" w:type="dxa"/>
          </w:tcPr>
          <w:p w:rsidR="00000000" w:rsidRDefault="00E51C9C" w:rsidP="00226F23">
            <w:r>
              <w:t>1420</w:t>
            </w:r>
          </w:p>
        </w:tc>
        <w:tc>
          <w:tcPr>
            <w:tcW w:w="709" w:type="dxa"/>
          </w:tcPr>
          <w:p w:rsidR="00000000" w:rsidRDefault="00E51C9C" w:rsidP="00226F23"/>
        </w:tc>
        <w:tc>
          <w:tcPr>
            <w:tcW w:w="5340" w:type="dxa"/>
          </w:tcPr>
          <w:p w:rsidR="00000000" w:rsidRDefault="00E51C9C" w:rsidP="00226F23">
            <w:r>
              <w:t>Miljødirektoratet</w:t>
            </w:r>
          </w:p>
        </w:tc>
        <w:tc>
          <w:tcPr>
            <w:tcW w:w="2300"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22</w:t>
            </w:r>
          </w:p>
        </w:tc>
        <w:tc>
          <w:tcPr>
            <w:tcW w:w="5340" w:type="dxa"/>
          </w:tcPr>
          <w:p w:rsidR="00000000" w:rsidRDefault="00E51C9C" w:rsidP="00226F23">
            <w:r>
              <w:t>Statlige vannmiljøtiltak</w:t>
            </w:r>
          </w:p>
        </w:tc>
        <w:tc>
          <w:tcPr>
            <w:tcW w:w="2300" w:type="dxa"/>
          </w:tcPr>
          <w:p w:rsidR="00000000" w:rsidRDefault="00E51C9C" w:rsidP="00226F23">
            <w:pPr>
              <w:jc w:val="right"/>
            </w:pPr>
            <w:r>
              <w:t>11,6 mill. kroner</w:t>
            </w:r>
          </w:p>
        </w:tc>
      </w:tr>
    </w:tbl>
    <w:p w:rsidR="00000000" w:rsidRDefault="00E51C9C" w:rsidP="00226F23">
      <w:pPr>
        <w:pStyle w:val="a-vedtak-del"/>
      </w:pPr>
      <w:r>
        <w:t>IV</w:t>
      </w:r>
    </w:p>
    <w:p w:rsidR="00000000" w:rsidRDefault="00E51C9C" w:rsidP="00226F23">
      <w:pPr>
        <w:pStyle w:val="a-vedtak-tekst"/>
      </w:pPr>
      <w:r>
        <w:t>Tilsagnsfullmakt</w:t>
      </w:r>
    </w:p>
    <w:p w:rsidR="00000000" w:rsidRDefault="00E51C9C" w:rsidP="00226F23">
      <w:r>
        <w:t>Stortinget samtykker i at Klima- og miljødepartementet i 2019 kan gi tilskudd ut over gitte bevilgninger, men slik at samlet ramme for nye ti</w:t>
      </w:r>
      <w:r>
        <w:t>lsagn og gammelt ansvar ikke overstiger følgende beløp:</w:t>
      </w:r>
    </w:p>
    <w:p w:rsidR="00000000" w:rsidRDefault="00E51C9C" w:rsidP="00226F23">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5340"/>
        <w:gridCol w:w="2300"/>
      </w:tblGrid>
      <w:tr w:rsidR="00000000" w:rsidTr="00226F23">
        <w:trPr>
          <w:trHeight w:val="360"/>
        </w:trPr>
        <w:tc>
          <w:tcPr>
            <w:tcW w:w="851" w:type="dxa"/>
            <w:shd w:val="clear" w:color="auto" w:fill="FFFFFF"/>
          </w:tcPr>
          <w:p w:rsidR="00000000" w:rsidRDefault="00E51C9C" w:rsidP="00226F23">
            <w:r>
              <w:t>Kap.</w:t>
            </w:r>
          </w:p>
        </w:tc>
        <w:tc>
          <w:tcPr>
            <w:tcW w:w="709" w:type="dxa"/>
          </w:tcPr>
          <w:p w:rsidR="00000000" w:rsidRDefault="00E51C9C" w:rsidP="00226F23">
            <w:r>
              <w:t>Post</w:t>
            </w:r>
          </w:p>
        </w:tc>
        <w:tc>
          <w:tcPr>
            <w:tcW w:w="5340" w:type="dxa"/>
          </w:tcPr>
          <w:p w:rsidR="00000000" w:rsidRDefault="00E51C9C" w:rsidP="00226F23">
            <w:r>
              <w:t>Betegnelse</w:t>
            </w:r>
          </w:p>
        </w:tc>
        <w:tc>
          <w:tcPr>
            <w:tcW w:w="2300" w:type="dxa"/>
          </w:tcPr>
          <w:p w:rsidR="00000000" w:rsidRDefault="00E51C9C" w:rsidP="00226F23">
            <w:pPr>
              <w:jc w:val="right"/>
            </w:pPr>
            <w:r>
              <w:t>Samlet ramme</w:t>
            </w:r>
          </w:p>
        </w:tc>
      </w:tr>
      <w:tr w:rsidR="00000000" w:rsidTr="00226F23">
        <w:trPr>
          <w:trHeight w:val="380"/>
        </w:trPr>
        <w:tc>
          <w:tcPr>
            <w:tcW w:w="851" w:type="dxa"/>
          </w:tcPr>
          <w:p w:rsidR="00000000" w:rsidRDefault="00E51C9C" w:rsidP="00226F23">
            <w:r>
              <w:lastRenderedPageBreak/>
              <w:t>1420</w:t>
            </w:r>
          </w:p>
        </w:tc>
        <w:tc>
          <w:tcPr>
            <w:tcW w:w="709" w:type="dxa"/>
          </w:tcPr>
          <w:p w:rsidR="00000000" w:rsidRDefault="00E51C9C" w:rsidP="00226F23"/>
        </w:tc>
        <w:tc>
          <w:tcPr>
            <w:tcW w:w="5340" w:type="dxa"/>
          </w:tcPr>
          <w:p w:rsidR="00000000" w:rsidRDefault="00E51C9C" w:rsidP="00226F23">
            <w:r>
              <w:t>Miljødirektoratet</w:t>
            </w:r>
          </w:p>
        </w:tc>
        <w:tc>
          <w:tcPr>
            <w:tcW w:w="2300" w:type="dxa"/>
          </w:tcPr>
          <w:p w:rsidR="00000000" w:rsidRDefault="00E51C9C" w:rsidP="00226F23">
            <w:pPr>
              <w:jc w:val="right"/>
            </w:pPr>
          </w:p>
        </w:tc>
      </w:tr>
      <w:tr w:rsidR="00000000" w:rsidTr="00226F23">
        <w:trPr>
          <w:trHeight w:val="380"/>
        </w:trPr>
        <w:tc>
          <w:tcPr>
            <w:tcW w:w="851" w:type="dxa"/>
          </w:tcPr>
          <w:p w:rsidR="00000000" w:rsidRDefault="00E51C9C" w:rsidP="00226F23"/>
        </w:tc>
        <w:tc>
          <w:tcPr>
            <w:tcW w:w="709" w:type="dxa"/>
          </w:tcPr>
          <w:p w:rsidR="00000000" w:rsidRDefault="00E51C9C" w:rsidP="00226F23">
            <w:r>
              <w:t>34</w:t>
            </w:r>
          </w:p>
        </w:tc>
        <w:tc>
          <w:tcPr>
            <w:tcW w:w="5340" w:type="dxa"/>
          </w:tcPr>
          <w:p w:rsidR="00000000" w:rsidRDefault="00E51C9C" w:rsidP="00226F23">
            <w:r>
              <w:t>Statlige erverv, nasjonalparker</w:t>
            </w:r>
          </w:p>
        </w:tc>
        <w:tc>
          <w:tcPr>
            <w:tcW w:w="2300" w:type="dxa"/>
          </w:tcPr>
          <w:p w:rsidR="00000000" w:rsidRDefault="00E51C9C" w:rsidP="00226F23">
            <w:pPr>
              <w:jc w:val="right"/>
            </w:pPr>
            <w:r>
              <w:t>31,2 mill. kroner</w:t>
            </w:r>
          </w:p>
        </w:tc>
      </w:tr>
    </w:tbl>
    <w:p w:rsidR="00000000" w:rsidRDefault="00E51C9C" w:rsidP="00226F23">
      <w:pPr>
        <w:pStyle w:val="a-vedtak-del"/>
      </w:pPr>
      <w:r>
        <w:t>V</w:t>
      </w:r>
    </w:p>
    <w:p w:rsidR="00000000" w:rsidRDefault="00E51C9C" w:rsidP="00226F23">
      <w:pPr>
        <w:pStyle w:val="a-vedtak-tekst"/>
      </w:pPr>
      <w:r>
        <w:t>Deltakelse i Verdensbankprogrammet Partnership for Market Implementation</w:t>
      </w:r>
    </w:p>
    <w:p w:rsidR="00000000" w:rsidRDefault="00E51C9C" w:rsidP="00226F23">
      <w:r>
        <w:t>Stortinget samtykker i at Klima- og miljødepartementet får fullmakt til å gi tilsagn om å delta i Verdensbankprogrammet Partnership for Market Implementation med 7 mill. USD.</w:t>
      </w:r>
    </w:p>
    <w:p w:rsidR="00000000" w:rsidRDefault="00E51C9C" w:rsidP="00226F23">
      <w:pPr>
        <w:pStyle w:val="a-vedtak-del"/>
      </w:pPr>
      <w:r>
        <w:t>VI</w:t>
      </w:r>
    </w:p>
    <w:p w:rsidR="00000000" w:rsidRDefault="00E51C9C" w:rsidP="00226F23">
      <w:pPr>
        <w:pStyle w:val="a-vedtak-tekst"/>
      </w:pPr>
      <w:r>
        <w:t xml:space="preserve">Konvertering av kvoter fra </w:t>
      </w:r>
      <w:r>
        <w:br/>
        <w:t xml:space="preserve">Det europeiske kvotesystemet (EU ETS) </w:t>
      </w:r>
      <w:r>
        <w:br/>
        <w:t>til innsats</w:t>
      </w:r>
      <w:r>
        <w:t>fordelingsforordningen</w:t>
      </w:r>
    </w:p>
    <w:p w:rsidR="00000000" w:rsidRDefault="00E51C9C" w:rsidP="00226F23">
      <w:r>
        <w:t>Stortinget samtykker i at Klima- og miljødepartementet kan meddele til EFTAs overvåkingsorgan at Norge har som intensjon å</w:t>
      </w:r>
      <w:r>
        <w:t xml:space="preserve"> konvertere kvoter fra Det europeiske kvotesystemet (EU ETS) til utslippsenheter som kan benyttes under EUs innsatsfordelingsforordning tilsvarende hele Norges tilgang for perioden 2021–2030, jf. innsatsfordelingsforordningen artikkel 6 nr. 3.</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51C9C">
      <w:pPr>
        <w:spacing w:after="0" w:line="240" w:lineRule="auto"/>
      </w:pPr>
      <w:r>
        <w:separator/>
      </w:r>
    </w:p>
  </w:endnote>
  <w:endnote w:type="continuationSeparator" w:id="0">
    <w:p w:rsidR="00000000" w:rsidRDefault="00E5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23" w:rsidRDefault="00226F2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23" w:rsidRDefault="00226F2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23" w:rsidRDefault="00226F23" w:rsidP="00226F23">
    <w:pPr>
      <w:pStyle w:val="Bunntekst"/>
      <w:jc w:val="center"/>
    </w:pPr>
    <w:r>
      <w:t xml:space="preserve">Side </w:t>
    </w:r>
    <w:r>
      <w:fldChar w:fldCharType="begin"/>
    </w:r>
    <w:r>
      <w:instrText xml:space="preserve"> PAGE  </w:instrText>
    </w:r>
    <w:r>
      <w:fldChar w:fldCharType="separate"/>
    </w:r>
    <w:r w:rsidR="00E51C9C">
      <w:rPr>
        <w:noProof/>
      </w:rPr>
      <w:t>1</w:t>
    </w:r>
    <w:r>
      <w:fldChar w:fldCharType="end"/>
    </w:r>
    <w:r>
      <w:t xml:space="preserve"> av </w:t>
    </w:r>
    <w:fldSimple w:instr=" NUMPAGES  ">
      <w:r w:rsidR="00E51C9C">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51C9C">
      <w:pPr>
        <w:spacing w:after="0" w:line="240" w:lineRule="auto"/>
      </w:pPr>
      <w:r>
        <w:separator/>
      </w:r>
    </w:p>
  </w:footnote>
  <w:footnote w:type="continuationSeparator" w:id="0">
    <w:p w:rsidR="00000000" w:rsidRDefault="00E5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23" w:rsidRDefault="00226F2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23" w:rsidRDefault="00226F2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23" w:rsidRDefault="00226F2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8AA40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FFA13D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85E632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7BCFEA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54E77E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E20B3E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26F23"/>
    <w:rsid w:val="00226F23"/>
    <w:rsid w:val="00E51C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65591"/>
  <w14:defaultImageDpi w14:val="0"/>
  <w15:docId w15:val="{DB014B49-3FAD-4A16-B65B-1F304925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F2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26F23"/>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26F23"/>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226F23"/>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226F23"/>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226F23"/>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226F23"/>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226F23"/>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226F23"/>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226F23"/>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226F2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26F2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26F23"/>
    <w:pPr>
      <w:keepNext/>
      <w:keepLines/>
      <w:spacing w:before="240" w:after="240"/>
    </w:pPr>
  </w:style>
  <w:style w:type="paragraph" w:customStyle="1" w:styleId="a-konge-tit">
    <w:name w:val="a-konge-tit"/>
    <w:basedOn w:val="Normal"/>
    <w:next w:val="Normal"/>
    <w:rsid w:val="00226F23"/>
    <w:pPr>
      <w:keepNext/>
      <w:keepLines/>
      <w:spacing w:before="240"/>
      <w:jc w:val="center"/>
    </w:pPr>
    <w:rPr>
      <w:spacing w:val="30"/>
    </w:rPr>
  </w:style>
  <w:style w:type="paragraph" w:customStyle="1" w:styleId="a-tilraar-dep">
    <w:name w:val="a-tilraar-dep"/>
    <w:basedOn w:val="Normal"/>
    <w:next w:val="Normal"/>
    <w:rsid w:val="00226F2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26F2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26F2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26F2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26F2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26F2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26F23"/>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26F23"/>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26F2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26F2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26F2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26F2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26F23"/>
  </w:style>
  <w:style w:type="paragraph" w:customStyle="1" w:styleId="Def">
    <w:name w:val="Def"/>
    <w:basedOn w:val="hengende-innrykk"/>
    <w:rsid w:val="00226F23"/>
    <w:pPr>
      <w:spacing w:line="240" w:lineRule="auto"/>
      <w:ind w:left="0" w:firstLine="0"/>
    </w:pPr>
    <w:rPr>
      <w:rFonts w:ascii="Times" w:eastAsia="Batang" w:hAnsi="Times"/>
      <w:spacing w:val="0"/>
      <w:szCs w:val="20"/>
    </w:rPr>
  </w:style>
  <w:style w:type="paragraph" w:customStyle="1" w:styleId="del-nr">
    <w:name w:val="del-nr"/>
    <w:basedOn w:val="Normal"/>
    <w:qFormat/>
    <w:rsid w:val="00226F2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26F2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26F23"/>
  </w:style>
  <w:style w:type="paragraph" w:customStyle="1" w:styleId="figur-noter">
    <w:name w:val="figur-noter"/>
    <w:basedOn w:val="Normal"/>
    <w:next w:val="Normal"/>
    <w:rsid w:val="00226F2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26F2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26F23"/>
    <w:rPr>
      <w:sz w:val="20"/>
    </w:rPr>
  </w:style>
  <w:style w:type="character" w:customStyle="1" w:styleId="FotnotetekstTegn">
    <w:name w:val="Fotnotetekst Tegn"/>
    <w:link w:val="Fotnotetekst"/>
    <w:rsid w:val="00226F2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26F23"/>
    <w:pPr>
      <w:ind w:left="1418" w:hanging="1418"/>
    </w:pPr>
  </w:style>
  <w:style w:type="paragraph" w:customStyle="1" w:styleId="i-budkap-over">
    <w:name w:val="i-budkap-over"/>
    <w:basedOn w:val="Normal"/>
    <w:next w:val="Normal"/>
    <w:rsid w:val="00226F23"/>
    <w:pPr>
      <w:jc w:val="right"/>
    </w:pPr>
    <w:rPr>
      <w:rFonts w:ascii="Times" w:hAnsi="Times"/>
      <w:b/>
      <w:noProof/>
    </w:rPr>
  </w:style>
  <w:style w:type="paragraph" w:customStyle="1" w:styleId="i-dep">
    <w:name w:val="i-dep"/>
    <w:basedOn w:val="Normal"/>
    <w:next w:val="Normal"/>
    <w:rsid w:val="00226F2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26F2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26F23"/>
    <w:pPr>
      <w:ind w:left="1985" w:hanging="1985"/>
    </w:pPr>
    <w:rPr>
      <w:spacing w:val="0"/>
    </w:rPr>
  </w:style>
  <w:style w:type="paragraph" w:customStyle="1" w:styleId="i-statsrdato">
    <w:name w:val="i-statsr.dato"/>
    <w:basedOn w:val="Normal"/>
    <w:next w:val="Normal"/>
    <w:rsid w:val="00226F23"/>
    <w:pPr>
      <w:spacing w:after="0"/>
      <w:jc w:val="center"/>
    </w:pPr>
    <w:rPr>
      <w:rFonts w:ascii="Times" w:hAnsi="Times"/>
      <w:i/>
      <w:noProof/>
    </w:rPr>
  </w:style>
  <w:style w:type="paragraph" w:customStyle="1" w:styleId="i-termin">
    <w:name w:val="i-termin"/>
    <w:basedOn w:val="Normal"/>
    <w:next w:val="Normal"/>
    <w:rsid w:val="00226F23"/>
    <w:pPr>
      <w:spacing w:before="360"/>
      <w:jc w:val="center"/>
    </w:pPr>
    <w:rPr>
      <w:b/>
      <w:noProof/>
      <w:sz w:val="28"/>
    </w:rPr>
  </w:style>
  <w:style w:type="paragraph" w:customStyle="1" w:styleId="i-tit">
    <w:name w:val="i-tit"/>
    <w:basedOn w:val="Normal"/>
    <w:next w:val="i-statsrdato"/>
    <w:rsid w:val="00226F2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26F23"/>
  </w:style>
  <w:style w:type="paragraph" w:customStyle="1" w:styleId="Kilde">
    <w:name w:val="Kilde"/>
    <w:basedOn w:val="Normal"/>
    <w:next w:val="Normal"/>
    <w:rsid w:val="00226F2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26F2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26F2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26F2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26F2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26F23"/>
    <w:pPr>
      <w:spacing w:after="0"/>
    </w:pPr>
  </w:style>
  <w:style w:type="paragraph" w:customStyle="1" w:styleId="l-tit-endr-avsnitt">
    <w:name w:val="l-tit-endr-avsnitt"/>
    <w:basedOn w:val="l-tit-endr-lovkap"/>
    <w:qFormat/>
    <w:rsid w:val="00226F23"/>
  </w:style>
  <w:style w:type="paragraph" w:customStyle="1" w:styleId="l-tit-endr-ledd">
    <w:name w:val="l-tit-endr-ledd"/>
    <w:basedOn w:val="Normal"/>
    <w:qFormat/>
    <w:rsid w:val="00226F23"/>
    <w:pPr>
      <w:keepNext/>
      <w:spacing w:before="240" w:after="0" w:line="240" w:lineRule="auto"/>
    </w:pPr>
    <w:rPr>
      <w:rFonts w:ascii="Times" w:hAnsi="Times"/>
      <w:noProof/>
      <w:lang w:val="nn-NO"/>
    </w:rPr>
  </w:style>
  <w:style w:type="paragraph" w:customStyle="1" w:styleId="l-tit-endr-lov">
    <w:name w:val="l-tit-endr-lov"/>
    <w:basedOn w:val="Normal"/>
    <w:qFormat/>
    <w:rsid w:val="00226F2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26F23"/>
    <w:pPr>
      <w:keepNext/>
      <w:spacing w:before="240" w:after="0" w:line="240" w:lineRule="auto"/>
    </w:pPr>
    <w:rPr>
      <w:rFonts w:ascii="Times" w:hAnsi="Times"/>
      <w:noProof/>
      <w:lang w:val="nn-NO"/>
    </w:rPr>
  </w:style>
  <w:style w:type="paragraph" w:customStyle="1" w:styleId="l-tit-endr-lovkap">
    <w:name w:val="l-tit-endr-lovkap"/>
    <w:basedOn w:val="Normal"/>
    <w:qFormat/>
    <w:rsid w:val="00226F23"/>
    <w:pPr>
      <w:keepNext/>
      <w:spacing w:before="240" w:after="0" w:line="240" w:lineRule="auto"/>
    </w:pPr>
    <w:rPr>
      <w:rFonts w:ascii="Times" w:hAnsi="Times"/>
      <w:noProof/>
      <w:lang w:val="nn-NO"/>
    </w:rPr>
  </w:style>
  <w:style w:type="paragraph" w:customStyle="1" w:styleId="l-tit-endr-punktum">
    <w:name w:val="l-tit-endr-punktum"/>
    <w:basedOn w:val="l-tit-endr-ledd"/>
    <w:qFormat/>
    <w:rsid w:val="00226F2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26F23"/>
    <w:pPr>
      <w:spacing w:before="60" w:after="0"/>
      <w:ind w:left="397"/>
    </w:pPr>
    <w:rPr>
      <w:spacing w:val="0"/>
    </w:rPr>
  </w:style>
  <w:style w:type="paragraph" w:customStyle="1" w:styleId="Listeavsnitt2">
    <w:name w:val="Listeavsnitt 2"/>
    <w:basedOn w:val="Normal"/>
    <w:qFormat/>
    <w:rsid w:val="00226F23"/>
    <w:pPr>
      <w:spacing w:before="60" w:after="0"/>
      <w:ind w:left="794"/>
    </w:pPr>
    <w:rPr>
      <w:spacing w:val="0"/>
    </w:rPr>
  </w:style>
  <w:style w:type="paragraph" w:customStyle="1" w:styleId="Listeavsnitt3">
    <w:name w:val="Listeavsnitt 3"/>
    <w:basedOn w:val="Normal"/>
    <w:qFormat/>
    <w:rsid w:val="00226F23"/>
    <w:pPr>
      <w:spacing w:before="60" w:after="0"/>
      <w:ind w:left="1191"/>
    </w:pPr>
    <w:rPr>
      <w:spacing w:val="0"/>
    </w:rPr>
  </w:style>
  <w:style w:type="paragraph" w:customStyle="1" w:styleId="Listeavsnitt4">
    <w:name w:val="Listeavsnitt 4"/>
    <w:basedOn w:val="Normal"/>
    <w:qFormat/>
    <w:rsid w:val="00226F23"/>
    <w:pPr>
      <w:spacing w:before="60" w:after="0"/>
      <w:ind w:left="1588"/>
    </w:pPr>
    <w:rPr>
      <w:spacing w:val="0"/>
    </w:rPr>
  </w:style>
  <w:style w:type="paragraph" w:customStyle="1" w:styleId="Listeavsnitt5">
    <w:name w:val="Listeavsnitt 5"/>
    <w:basedOn w:val="Normal"/>
    <w:qFormat/>
    <w:rsid w:val="00226F2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26F2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26F2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26F2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26F23"/>
    <w:pPr>
      <w:keepNext/>
      <w:keepLines/>
      <w:spacing w:before="360"/>
    </w:pPr>
    <w:rPr>
      <w:rFonts w:ascii="Arial" w:hAnsi="Arial"/>
      <w:b/>
      <w:sz w:val="28"/>
    </w:rPr>
  </w:style>
  <w:style w:type="character" w:customStyle="1" w:styleId="UndertittelTegn">
    <w:name w:val="Undertittel Tegn"/>
    <w:link w:val="Undertittel"/>
    <w:rsid w:val="00226F2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26F2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26F2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26F2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26F2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26F2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26F2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26F2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26F2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26F2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26F23"/>
    <w:pPr>
      <w:numPr>
        <w:numId w:val="0"/>
      </w:numPr>
    </w:pPr>
    <w:rPr>
      <w:b w:val="0"/>
      <w:i/>
    </w:rPr>
  </w:style>
  <w:style w:type="paragraph" w:customStyle="1" w:styleId="Undervedl-tittel">
    <w:name w:val="Undervedl-tittel"/>
    <w:basedOn w:val="Normal"/>
    <w:next w:val="Normal"/>
    <w:rsid w:val="00226F2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26F23"/>
    <w:pPr>
      <w:numPr>
        <w:numId w:val="0"/>
      </w:numPr>
      <w:outlineLvl w:val="9"/>
    </w:pPr>
  </w:style>
  <w:style w:type="paragraph" w:customStyle="1" w:styleId="v-Overskrift2">
    <w:name w:val="v-Overskrift 2"/>
    <w:basedOn w:val="Overskrift2"/>
    <w:next w:val="Normal"/>
    <w:rsid w:val="00226F2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26F2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26F23"/>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26F2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26F2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26F23"/>
    <w:pPr>
      <w:keepNext/>
      <w:keepLines/>
      <w:spacing w:before="720"/>
      <w:jc w:val="center"/>
    </w:pPr>
    <w:rPr>
      <w:rFonts w:ascii="Times" w:hAnsi="Times"/>
      <w:b/>
      <w:noProof/>
      <w:sz w:val="56"/>
    </w:rPr>
  </w:style>
  <w:style w:type="paragraph" w:customStyle="1" w:styleId="i-sesjon">
    <w:name w:val="i-sesjon"/>
    <w:basedOn w:val="Normal"/>
    <w:next w:val="Normal"/>
    <w:rsid w:val="00226F23"/>
    <w:pPr>
      <w:jc w:val="center"/>
    </w:pPr>
    <w:rPr>
      <w:rFonts w:ascii="Times" w:hAnsi="Times"/>
      <w:b/>
      <w:noProof/>
      <w:sz w:val="28"/>
    </w:rPr>
  </w:style>
  <w:style w:type="paragraph" w:customStyle="1" w:styleId="i-mtit">
    <w:name w:val="i-mtit"/>
    <w:basedOn w:val="Normal"/>
    <w:next w:val="Normal"/>
    <w:rsid w:val="00226F2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26F23"/>
    <w:rPr>
      <w:rFonts w:ascii="Arial" w:eastAsia="Times New Roman" w:hAnsi="Arial"/>
      <w:b/>
      <w:spacing w:val="4"/>
      <w:sz w:val="28"/>
    </w:rPr>
  </w:style>
  <w:style w:type="character" w:customStyle="1" w:styleId="Overskrift3Tegn">
    <w:name w:val="Overskrift 3 Tegn"/>
    <w:link w:val="Overskrift3"/>
    <w:rsid w:val="00226F23"/>
    <w:rPr>
      <w:rFonts w:ascii="Arial" w:eastAsia="Times New Roman" w:hAnsi="Arial"/>
      <w:b/>
      <w:sz w:val="24"/>
    </w:rPr>
  </w:style>
  <w:style w:type="character" w:customStyle="1" w:styleId="Overskrift4Tegn">
    <w:name w:val="Overskrift 4 Tegn"/>
    <w:link w:val="Overskrift4"/>
    <w:rsid w:val="00226F23"/>
    <w:rPr>
      <w:rFonts w:ascii="Arial" w:eastAsia="Times New Roman" w:hAnsi="Arial"/>
      <w:i/>
      <w:spacing w:val="4"/>
      <w:sz w:val="24"/>
    </w:rPr>
  </w:style>
  <w:style w:type="character" w:customStyle="1" w:styleId="Overskrift5Tegn">
    <w:name w:val="Overskrift 5 Tegn"/>
    <w:link w:val="Overskrift5"/>
    <w:rsid w:val="00226F23"/>
    <w:rPr>
      <w:rFonts w:ascii="Arial" w:eastAsia="Times New Roman" w:hAnsi="Arial"/>
      <w:i/>
      <w:sz w:val="24"/>
    </w:rPr>
  </w:style>
  <w:style w:type="paragraph" w:styleId="Liste">
    <w:name w:val="List"/>
    <w:basedOn w:val="Normal"/>
    <w:rsid w:val="00226F23"/>
    <w:pPr>
      <w:numPr>
        <w:numId w:val="13"/>
      </w:numPr>
      <w:spacing w:line="240" w:lineRule="auto"/>
      <w:contextualSpacing/>
    </w:pPr>
  </w:style>
  <w:style w:type="paragraph" w:styleId="Liste2">
    <w:name w:val="List 2"/>
    <w:basedOn w:val="Normal"/>
    <w:rsid w:val="00226F23"/>
    <w:pPr>
      <w:numPr>
        <w:ilvl w:val="1"/>
        <w:numId w:val="13"/>
      </w:numPr>
      <w:spacing w:after="0"/>
    </w:pPr>
  </w:style>
  <w:style w:type="paragraph" w:styleId="Liste3">
    <w:name w:val="List 3"/>
    <w:basedOn w:val="Normal"/>
    <w:rsid w:val="00226F23"/>
    <w:pPr>
      <w:numPr>
        <w:ilvl w:val="2"/>
        <w:numId w:val="13"/>
      </w:numPr>
      <w:spacing w:after="0"/>
    </w:pPr>
    <w:rPr>
      <w:spacing w:val="0"/>
    </w:rPr>
  </w:style>
  <w:style w:type="paragraph" w:styleId="Liste4">
    <w:name w:val="List 4"/>
    <w:basedOn w:val="Normal"/>
    <w:rsid w:val="00226F23"/>
    <w:pPr>
      <w:numPr>
        <w:ilvl w:val="3"/>
        <w:numId w:val="13"/>
      </w:numPr>
      <w:spacing w:after="0"/>
    </w:pPr>
    <w:rPr>
      <w:spacing w:val="0"/>
    </w:rPr>
  </w:style>
  <w:style w:type="paragraph" w:styleId="Liste5">
    <w:name w:val="List 5"/>
    <w:basedOn w:val="Normal"/>
    <w:rsid w:val="00226F23"/>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26F23"/>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26F23"/>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26F23"/>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26F23"/>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26F23"/>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226F23"/>
    <w:pPr>
      <w:numPr>
        <w:numId w:val="21"/>
      </w:numPr>
      <w:tabs>
        <w:tab w:val="left" w:pos="397"/>
      </w:tabs>
      <w:ind w:left="397" w:hanging="397"/>
    </w:pPr>
  </w:style>
  <w:style w:type="paragraph" w:customStyle="1" w:styleId="Listebombe2">
    <w:name w:val="Liste bombe 2"/>
    <w:basedOn w:val="Liste2"/>
    <w:qFormat/>
    <w:rsid w:val="00226F23"/>
    <w:pPr>
      <w:numPr>
        <w:ilvl w:val="0"/>
        <w:numId w:val="22"/>
      </w:numPr>
      <w:ind w:left="794" w:hanging="397"/>
    </w:pPr>
  </w:style>
  <w:style w:type="paragraph" w:customStyle="1" w:styleId="Listebombe3">
    <w:name w:val="Liste bombe 3"/>
    <w:basedOn w:val="Liste3"/>
    <w:qFormat/>
    <w:rsid w:val="00226F23"/>
    <w:pPr>
      <w:numPr>
        <w:ilvl w:val="0"/>
        <w:numId w:val="23"/>
      </w:numPr>
      <w:ind w:left="1191" w:hanging="397"/>
    </w:pPr>
  </w:style>
  <w:style w:type="paragraph" w:customStyle="1" w:styleId="Listebombe4">
    <w:name w:val="Liste bombe 4"/>
    <w:basedOn w:val="Liste4"/>
    <w:qFormat/>
    <w:rsid w:val="00226F23"/>
    <w:pPr>
      <w:numPr>
        <w:ilvl w:val="0"/>
        <w:numId w:val="24"/>
      </w:numPr>
      <w:ind w:left="1588" w:hanging="397"/>
    </w:pPr>
  </w:style>
  <w:style w:type="paragraph" w:customStyle="1" w:styleId="Listebombe5">
    <w:name w:val="Liste bombe 5"/>
    <w:basedOn w:val="Liste5"/>
    <w:qFormat/>
    <w:rsid w:val="00226F23"/>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26F23"/>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26F23"/>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26F23"/>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26F23"/>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26F23"/>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26F23"/>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26F23"/>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26F23"/>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26F23"/>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26F23"/>
    <w:pPr>
      <w:numPr>
        <w:ilvl w:val="4"/>
        <w:numId w:val="20"/>
      </w:numPr>
      <w:spacing w:after="0"/>
    </w:pPr>
  </w:style>
  <w:style w:type="paragraph" w:customStyle="1" w:styleId="opplisting">
    <w:name w:val="opplisting"/>
    <w:basedOn w:val="Normal"/>
    <w:rsid w:val="00226F23"/>
    <w:pPr>
      <w:spacing w:after="0"/>
    </w:pPr>
    <w:rPr>
      <w:rFonts w:ascii="Times" w:hAnsi="Times" w:cs="Times New Roman"/>
      <w:spacing w:val="0"/>
    </w:rPr>
  </w:style>
  <w:style w:type="paragraph" w:customStyle="1" w:styleId="opplisting2">
    <w:name w:val="opplisting 2"/>
    <w:basedOn w:val="Normal"/>
    <w:qFormat/>
    <w:rsid w:val="00226F23"/>
    <w:pPr>
      <w:spacing w:after="0"/>
      <w:ind w:left="397"/>
    </w:pPr>
    <w:rPr>
      <w:spacing w:val="0"/>
      <w:lang w:val="en-US"/>
    </w:rPr>
  </w:style>
  <w:style w:type="paragraph" w:customStyle="1" w:styleId="opplisting3">
    <w:name w:val="opplisting 3"/>
    <w:basedOn w:val="Normal"/>
    <w:qFormat/>
    <w:rsid w:val="00226F23"/>
    <w:pPr>
      <w:spacing w:after="0"/>
      <w:ind w:left="794"/>
    </w:pPr>
    <w:rPr>
      <w:spacing w:val="0"/>
    </w:rPr>
  </w:style>
  <w:style w:type="paragraph" w:customStyle="1" w:styleId="opplisting4">
    <w:name w:val="opplisting 4"/>
    <w:basedOn w:val="Normal"/>
    <w:qFormat/>
    <w:rsid w:val="00226F23"/>
    <w:pPr>
      <w:spacing w:after="0"/>
      <w:ind w:left="1191"/>
    </w:pPr>
    <w:rPr>
      <w:spacing w:val="0"/>
    </w:rPr>
  </w:style>
  <w:style w:type="paragraph" w:customStyle="1" w:styleId="opplisting5">
    <w:name w:val="opplisting 5"/>
    <w:basedOn w:val="Normal"/>
    <w:qFormat/>
    <w:rsid w:val="00226F23"/>
    <w:pPr>
      <w:spacing w:after="0"/>
      <w:ind w:left="1588"/>
    </w:pPr>
    <w:rPr>
      <w:spacing w:val="0"/>
    </w:rPr>
  </w:style>
  <w:style w:type="paragraph" w:customStyle="1" w:styleId="friliste">
    <w:name w:val="friliste"/>
    <w:basedOn w:val="Normal"/>
    <w:qFormat/>
    <w:rsid w:val="00226F23"/>
    <w:pPr>
      <w:tabs>
        <w:tab w:val="left" w:pos="397"/>
      </w:tabs>
      <w:spacing w:after="0"/>
      <w:ind w:left="397" w:hanging="397"/>
    </w:pPr>
    <w:rPr>
      <w:spacing w:val="0"/>
    </w:rPr>
  </w:style>
  <w:style w:type="paragraph" w:customStyle="1" w:styleId="friliste2">
    <w:name w:val="friliste 2"/>
    <w:basedOn w:val="Normal"/>
    <w:qFormat/>
    <w:rsid w:val="00226F23"/>
    <w:pPr>
      <w:tabs>
        <w:tab w:val="left" w:pos="794"/>
      </w:tabs>
      <w:spacing w:after="0"/>
      <w:ind w:left="794" w:hanging="397"/>
    </w:pPr>
    <w:rPr>
      <w:spacing w:val="0"/>
    </w:rPr>
  </w:style>
  <w:style w:type="paragraph" w:customStyle="1" w:styleId="friliste3">
    <w:name w:val="friliste 3"/>
    <w:basedOn w:val="Normal"/>
    <w:qFormat/>
    <w:rsid w:val="00226F23"/>
    <w:pPr>
      <w:tabs>
        <w:tab w:val="left" w:pos="1191"/>
      </w:tabs>
      <w:spacing w:after="0"/>
      <w:ind w:left="1191" w:hanging="397"/>
    </w:pPr>
    <w:rPr>
      <w:spacing w:val="0"/>
    </w:rPr>
  </w:style>
  <w:style w:type="paragraph" w:customStyle="1" w:styleId="friliste4">
    <w:name w:val="friliste 4"/>
    <w:basedOn w:val="Normal"/>
    <w:qFormat/>
    <w:rsid w:val="00226F23"/>
    <w:pPr>
      <w:tabs>
        <w:tab w:val="left" w:pos="1588"/>
      </w:tabs>
      <w:spacing w:after="0"/>
      <w:ind w:left="1588" w:hanging="397"/>
    </w:pPr>
    <w:rPr>
      <w:spacing w:val="0"/>
    </w:rPr>
  </w:style>
  <w:style w:type="paragraph" w:customStyle="1" w:styleId="friliste5">
    <w:name w:val="friliste 5"/>
    <w:basedOn w:val="Normal"/>
    <w:qFormat/>
    <w:rsid w:val="00226F2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26F23"/>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26F23"/>
    <w:pPr>
      <w:numPr>
        <w:numId w:val="19"/>
      </w:numPr>
    </w:pPr>
  </w:style>
  <w:style w:type="paragraph" w:customStyle="1" w:styleId="avsnitt-undertittel">
    <w:name w:val="avsnitt-undertittel"/>
    <w:basedOn w:val="Normal"/>
    <w:next w:val="Normal"/>
    <w:rsid w:val="00226F2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26F23"/>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26F23"/>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26F23"/>
    <w:pPr>
      <w:numPr>
        <w:numId w:val="19"/>
      </w:numPr>
    </w:pPr>
  </w:style>
  <w:style w:type="paragraph" w:customStyle="1" w:styleId="avsnitt-under-undertittel">
    <w:name w:val="avsnitt-under-undertittel"/>
    <w:basedOn w:val="Normal"/>
    <w:next w:val="Normal"/>
    <w:rsid w:val="00226F23"/>
    <w:pPr>
      <w:keepNext/>
      <w:keepLines/>
      <w:spacing w:before="360" w:line="240" w:lineRule="auto"/>
    </w:pPr>
    <w:rPr>
      <w:rFonts w:eastAsia="Batang"/>
      <w:i/>
      <w:spacing w:val="0"/>
      <w:szCs w:val="20"/>
    </w:rPr>
  </w:style>
  <w:style w:type="paragraph" w:customStyle="1" w:styleId="blokksit">
    <w:name w:val="blokksit"/>
    <w:basedOn w:val="Normal"/>
    <w:qFormat/>
    <w:rsid w:val="00226F2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26F23"/>
    <w:pPr>
      <w:spacing w:before="180" w:after="0"/>
    </w:pPr>
    <w:rPr>
      <w:rFonts w:ascii="Times" w:hAnsi="Times"/>
      <w:i/>
    </w:rPr>
  </w:style>
  <w:style w:type="paragraph" w:customStyle="1" w:styleId="l-ledd">
    <w:name w:val="l-ledd"/>
    <w:basedOn w:val="Normal"/>
    <w:qFormat/>
    <w:rsid w:val="00226F23"/>
    <w:pPr>
      <w:spacing w:after="0"/>
      <w:ind w:firstLine="397"/>
    </w:pPr>
    <w:rPr>
      <w:rFonts w:ascii="Times" w:hAnsi="Times"/>
    </w:rPr>
  </w:style>
  <w:style w:type="paragraph" w:customStyle="1" w:styleId="l-tit-endr-paragraf">
    <w:name w:val="l-tit-endr-paragraf"/>
    <w:basedOn w:val="Normal"/>
    <w:qFormat/>
    <w:rsid w:val="00226F2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26F23"/>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26F23"/>
    <w:rPr>
      <w:rFonts w:ascii="Times New Roman" w:eastAsia="Times New Roman" w:hAnsi="Times New Roman"/>
      <w:spacing w:val="4"/>
      <w:sz w:val="20"/>
    </w:rPr>
  </w:style>
  <w:style w:type="character" w:customStyle="1" w:styleId="DatoTegn">
    <w:name w:val="Dato Tegn"/>
    <w:link w:val="Dato0"/>
    <w:rsid w:val="00226F23"/>
    <w:rPr>
      <w:rFonts w:ascii="Times New Roman" w:eastAsia="Times New Roman" w:hAnsi="Times New Roman"/>
      <w:spacing w:val="4"/>
      <w:sz w:val="24"/>
    </w:rPr>
  </w:style>
  <w:style w:type="character" w:styleId="Fotnotereferanse">
    <w:name w:val="footnote reference"/>
    <w:rsid w:val="00226F23"/>
    <w:rPr>
      <w:vertAlign w:val="superscript"/>
    </w:rPr>
  </w:style>
  <w:style w:type="character" w:customStyle="1" w:styleId="gjennomstreket">
    <w:name w:val="gjennomstreket"/>
    <w:uiPriority w:val="1"/>
    <w:rsid w:val="00226F23"/>
    <w:rPr>
      <w:strike/>
      <w:dstrike w:val="0"/>
    </w:rPr>
  </w:style>
  <w:style w:type="character" w:customStyle="1" w:styleId="halvfet0">
    <w:name w:val="halvfet"/>
    <w:rsid w:val="00226F23"/>
    <w:rPr>
      <w:b/>
    </w:rPr>
  </w:style>
  <w:style w:type="character" w:styleId="Hyperkobling">
    <w:name w:val="Hyperlink"/>
    <w:uiPriority w:val="99"/>
    <w:unhideWhenUsed/>
    <w:rsid w:val="00226F23"/>
    <w:rPr>
      <w:color w:val="0000FF"/>
      <w:u w:val="single"/>
    </w:rPr>
  </w:style>
  <w:style w:type="character" w:customStyle="1" w:styleId="kursiv">
    <w:name w:val="kursiv"/>
    <w:rsid w:val="00226F23"/>
    <w:rPr>
      <w:i/>
    </w:rPr>
  </w:style>
  <w:style w:type="character" w:customStyle="1" w:styleId="l-endring">
    <w:name w:val="l-endring"/>
    <w:rsid w:val="00226F2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26F23"/>
  </w:style>
  <w:style w:type="character" w:styleId="Plassholdertekst">
    <w:name w:val="Placeholder Text"/>
    <w:uiPriority w:val="99"/>
    <w:rsid w:val="00226F23"/>
    <w:rPr>
      <w:color w:val="808080"/>
    </w:rPr>
  </w:style>
  <w:style w:type="character" w:customStyle="1" w:styleId="regular">
    <w:name w:val="regular"/>
    <w:uiPriority w:val="1"/>
    <w:qFormat/>
    <w:rsid w:val="00226F2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26F23"/>
    <w:rPr>
      <w:vertAlign w:val="superscript"/>
    </w:rPr>
  </w:style>
  <w:style w:type="character" w:customStyle="1" w:styleId="skrift-senket">
    <w:name w:val="skrift-senket"/>
    <w:rsid w:val="00226F23"/>
    <w:rPr>
      <w:vertAlign w:val="subscript"/>
    </w:rPr>
  </w:style>
  <w:style w:type="character" w:customStyle="1" w:styleId="SluttnotetekstTegn">
    <w:name w:val="Sluttnotetekst Tegn"/>
    <w:link w:val="Sluttnotetekst"/>
    <w:uiPriority w:val="99"/>
    <w:semiHidden/>
    <w:rsid w:val="00226F23"/>
    <w:rPr>
      <w:rFonts w:ascii="Times New Roman" w:eastAsia="Times New Roman" w:hAnsi="Times New Roman"/>
      <w:spacing w:val="4"/>
      <w:sz w:val="20"/>
      <w:szCs w:val="20"/>
    </w:rPr>
  </w:style>
  <w:style w:type="character" w:customStyle="1" w:styleId="sperret0">
    <w:name w:val="sperret"/>
    <w:rsid w:val="00226F23"/>
    <w:rPr>
      <w:spacing w:val="30"/>
    </w:rPr>
  </w:style>
  <w:style w:type="character" w:customStyle="1" w:styleId="SterktsitatTegn">
    <w:name w:val="Sterkt sitat Tegn"/>
    <w:link w:val="Sterktsitat"/>
    <w:uiPriority w:val="30"/>
    <w:rsid w:val="00226F23"/>
    <w:rPr>
      <w:rFonts w:ascii="Times New Roman" w:eastAsia="Times New Roman" w:hAnsi="Times New Roman"/>
      <w:b/>
      <w:bCs/>
      <w:i/>
      <w:iCs/>
      <w:color w:val="4F81BD"/>
      <w:spacing w:val="4"/>
      <w:sz w:val="24"/>
    </w:rPr>
  </w:style>
  <w:style w:type="character" w:customStyle="1" w:styleId="Stikkord">
    <w:name w:val="Stikkord"/>
    <w:rsid w:val="00226F23"/>
    <w:rPr>
      <w:color w:val="0000FF"/>
    </w:rPr>
  </w:style>
  <w:style w:type="character" w:customStyle="1" w:styleId="stikkord0">
    <w:name w:val="stikkord"/>
    <w:uiPriority w:val="99"/>
  </w:style>
  <w:style w:type="character" w:styleId="Sterk">
    <w:name w:val="Strong"/>
    <w:uiPriority w:val="22"/>
    <w:qFormat/>
    <w:rsid w:val="00226F23"/>
    <w:rPr>
      <w:b/>
      <w:bCs/>
    </w:rPr>
  </w:style>
  <w:style w:type="character" w:customStyle="1" w:styleId="TopptekstTegn">
    <w:name w:val="Topptekst Tegn"/>
    <w:link w:val="Topptekst"/>
    <w:rsid w:val="00226F23"/>
    <w:rPr>
      <w:rFonts w:ascii="Times New Roman" w:eastAsia="Times New Roman" w:hAnsi="Times New Roman"/>
      <w:sz w:val="20"/>
    </w:rPr>
  </w:style>
  <w:style w:type="character" w:customStyle="1" w:styleId="UnderskriftTegn">
    <w:name w:val="Underskrift Tegn"/>
    <w:link w:val="Underskrift"/>
    <w:uiPriority w:val="99"/>
    <w:rsid w:val="00226F23"/>
    <w:rPr>
      <w:rFonts w:ascii="Times New Roman" w:eastAsia="Times New Roman" w:hAnsi="Times New Roman"/>
      <w:spacing w:val="4"/>
      <w:sz w:val="24"/>
    </w:rPr>
  </w:style>
  <w:style w:type="paragraph" w:styleId="Topptekst">
    <w:name w:val="header"/>
    <w:basedOn w:val="Normal"/>
    <w:link w:val="TopptekstTegn"/>
    <w:rsid w:val="00226F2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26F23"/>
    <w:rPr>
      <w:rFonts w:ascii="UniCentury Old Style" w:hAnsi="UniCentury Old Style" w:cs="UniCentury Old Style"/>
      <w:color w:val="000000"/>
      <w:w w:val="0"/>
      <w:sz w:val="20"/>
      <w:szCs w:val="20"/>
    </w:rPr>
  </w:style>
  <w:style w:type="paragraph" w:styleId="Bunntekst">
    <w:name w:val="footer"/>
    <w:basedOn w:val="Normal"/>
    <w:link w:val="BunntekstTegn"/>
    <w:rsid w:val="00226F23"/>
    <w:pPr>
      <w:tabs>
        <w:tab w:val="center" w:pos="4153"/>
        <w:tab w:val="right" w:pos="8306"/>
      </w:tabs>
    </w:pPr>
    <w:rPr>
      <w:sz w:val="20"/>
    </w:rPr>
  </w:style>
  <w:style w:type="character" w:customStyle="1" w:styleId="BunntekstTegn1">
    <w:name w:val="Bunntekst Tegn1"/>
    <w:basedOn w:val="Standardskriftforavsnitt"/>
    <w:uiPriority w:val="99"/>
    <w:semiHidden/>
    <w:rsid w:val="00226F23"/>
    <w:rPr>
      <w:rFonts w:ascii="UniCentury Old Style" w:hAnsi="UniCentury Old Style" w:cs="UniCentury Old Style"/>
      <w:color w:val="000000"/>
      <w:w w:val="0"/>
      <w:sz w:val="20"/>
      <w:szCs w:val="20"/>
    </w:rPr>
  </w:style>
  <w:style w:type="character" w:customStyle="1" w:styleId="Overskrift6Tegn">
    <w:name w:val="Overskrift 6 Tegn"/>
    <w:link w:val="Overskrift6"/>
    <w:rsid w:val="00226F23"/>
    <w:rPr>
      <w:rFonts w:ascii="Arial" w:eastAsia="Times New Roman" w:hAnsi="Arial"/>
      <w:i/>
      <w:spacing w:val="4"/>
    </w:rPr>
  </w:style>
  <w:style w:type="character" w:customStyle="1" w:styleId="Overskrift7Tegn">
    <w:name w:val="Overskrift 7 Tegn"/>
    <w:link w:val="Overskrift7"/>
    <w:rsid w:val="00226F23"/>
    <w:rPr>
      <w:rFonts w:ascii="Arial" w:eastAsia="Times New Roman" w:hAnsi="Arial"/>
      <w:spacing w:val="4"/>
      <w:sz w:val="24"/>
    </w:rPr>
  </w:style>
  <w:style w:type="character" w:customStyle="1" w:styleId="Overskrift8Tegn">
    <w:name w:val="Overskrift 8 Tegn"/>
    <w:link w:val="Overskrift8"/>
    <w:rsid w:val="00226F23"/>
    <w:rPr>
      <w:rFonts w:ascii="Arial" w:eastAsia="Times New Roman" w:hAnsi="Arial"/>
      <w:i/>
      <w:spacing w:val="4"/>
      <w:sz w:val="24"/>
    </w:rPr>
  </w:style>
  <w:style w:type="character" w:customStyle="1" w:styleId="Overskrift9Tegn">
    <w:name w:val="Overskrift 9 Tegn"/>
    <w:link w:val="Overskrift9"/>
    <w:rsid w:val="00226F23"/>
    <w:rPr>
      <w:rFonts w:ascii="Arial" w:eastAsia="Times New Roman" w:hAnsi="Arial"/>
      <w:i/>
      <w:spacing w:val="4"/>
      <w:sz w:val="18"/>
    </w:rPr>
  </w:style>
  <w:style w:type="table" w:customStyle="1" w:styleId="Tabell-VM">
    <w:name w:val="Tabell-VM"/>
    <w:basedOn w:val="Tabelltemaer"/>
    <w:uiPriority w:val="99"/>
    <w:qFormat/>
    <w:rsid w:val="00226F2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26F2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26F2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26F2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26F2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26F23"/>
    <w:pPr>
      <w:tabs>
        <w:tab w:val="right" w:leader="dot" w:pos="8306"/>
      </w:tabs>
    </w:pPr>
    <w:rPr>
      <w:spacing w:val="0"/>
    </w:rPr>
  </w:style>
  <w:style w:type="paragraph" w:styleId="INNH2">
    <w:name w:val="toc 2"/>
    <w:basedOn w:val="Normal"/>
    <w:next w:val="Normal"/>
    <w:rsid w:val="00226F23"/>
    <w:pPr>
      <w:tabs>
        <w:tab w:val="right" w:leader="dot" w:pos="8306"/>
      </w:tabs>
      <w:ind w:left="200"/>
    </w:pPr>
    <w:rPr>
      <w:spacing w:val="0"/>
    </w:rPr>
  </w:style>
  <w:style w:type="paragraph" w:styleId="INNH3">
    <w:name w:val="toc 3"/>
    <w:basedOn w:val="Normal"/>
    <w:next w:val="Normal"/>
    <w:rsid w:val="00226F23"/>
    <w:pPr>
      <w:tabs>
        <w:tab w:val="right" w:leader="dot" w:pos="8306"/>
      </w:tabs>
      <w:ind w:left="400"/>
    </w:pPr>
    <w:rPr>
      <w:spacing w:val="0"/>
    </w:rPr>
  </w:style>
  <w:style w:type="paragraph" w:styleId="INNH4">
    <w:name w:val="toc 4"/>
    <w:basedOn w:val="Normal"/>
    <w:next w:val="Normal"/>
    <w:rsid w:val="00226F23"/>
    <w:pPr>
      <w:tabs>
        <w:tab w:val="right" w:leader="dot" w:pos="8306"/>
      </w:tabs>
      <w:ind w:left="600"/>
    </w:pPr>
    <w:rPr>
      <w:spacing w:val="0"/>
    </w:rPr>
  </w:style>
  <w:style w:type="paragraph" w:styleId="INNH5">
    <w:name w:val="toc 5"/>
    <w:basedOn w:val="Normal"/>
    <w:next w:val="Normal"/>
    <w:rsid w:val="00226F23"/>
    <w:pPr>
      <w:tabs>
        <w:tab w:val="right" w:leader="dot" w:pos="8306"/>
      </w:tabs>
      <w:ind w:left="800"/>
    </w:pPr>
    <w:rPr>
      <w:spacing w:val="0"/>
    </w:rPr>
  </w:style>
  <w:style w:type="character" w:styleId="Merknadsreferanse">
    <w:name w:val="annotation reference"/>
    <w:rsid w:val="00226F23"/>
    <w:rPr>
      <w:sz w:val="16"/>
    </w:rPr>
  </w:style>
  <w:style w:type="paragraph" w:styleId="Merknadstekst">
    <w:name w:val="annotation text"/>
    <w:basedOn w:val="Normal"/>
    <w:link w:val="MerknadstekstTegn"/>
    <w:rsid w:val="00226F23"/>
    <w:rPr>
      <w:spacing w:val="0"/>
      <w:sz w:val="20"/>
    </w:rPr>
  </w:style>
  <w:style w:type="character" w:customStyle="1" w:styleId="MerknadstekstTegn">
    <w:name w:val="Merknadstekst Tegn"/>
    <w:link w:val="Merknadstekst"/>
    <w:rsid w:val="00226F23"/>
    <w:rPr>
      <w:rFonts w:ascii="Times New Roman" w:eastAsia="Times New Roman" w:hAnsi="Times New Roman"/>
      <w:sz w:val="20"/>
    </w:rPr>
  </w:style>
  <w:style w:type="paragraph" w:styleId="Punktliste">
    <w:name w:val="List Bullet"/>
    <w:basedOn w:val="Normal"/>
    <w:rsid w:val="00226F23"/>
    <w:pPr>
      <w:spacing w:after="0"/>
      <w:ind w:left="284" w:hanging="284"/>
    </w:pPr>
  </w:style>
  <w:style w:type="paragraph" w:styleId="Punktliste2">
    <w:name w:val="List Bullet 2"/>
    <w:basedOn w:val="Normal"/>
    <w:rsid w:val="00226F23"/>
    <w:pPr>
      <w:spacing w:after="0"/>
      <w:ind w:left="568" w:hanging="284"/>
    </w:pPr>
  </w:style>
  <w:style w:type="paragraph" w:styleId="Punktliste3">
    <w:name w:val="List Bullet 3"/>
    <w:basedOn w:val="Normal"/>
    <w:rsid w:val="00226F23"/>
    <w:pPr>
      <w:spacing w:after="0"/>
      <w:ind w:left="851" w:hanging="284"/>
    </w:pPr>
  </w:style>
  <w:style w:type="paragraph" w:styleId="Punktliste4">
    <w:name w:val="List Bullet 4"/>
    <w:basedOn w:val="Normal"/>
    <w:rsid w:val="00226F23"/>
    <w:pPr>
      <w:spacing w:after="0"/>
      <w:ind w:left="1135" w:hanging="284"/>
    </w:pPr>
    <w:rPr>
      <w:spacing w:val="0"/>
    </w:rPr>
  </w:style>
  <w:style w:type="paragraph" w:styleId="Punktliste5">
    <w:name w:val="List Bullet 5"/>
    <w:basedOn w:val="Normal"/>
    <w:rsid w:val="00226F23"/>
    <w:pPr>
      <w:spacing w:after="0"/>
      <w:ind w:left="1418" w:hanging="284"/>
    </w:pPr>
    <w:rPr>
      <w:spacing w:val="0"/>
    </w:rPr>
  </w:style>
  <w:style w:type="table" w:customStyle="1" w:styleId="StandardTabell">
    <w:name w:val="StandardTabell"/>
    <w:basedOn w:val="Vanligtabell"/>
    <w:uiPriority w:val="99"/>
    <w:qFormat/>
    <w:rsid w:val="00226F2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26F2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26F2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26F23"/>
    <w:pPr>
      <w:spacing w:after="0" w:line="240" w:lineRule="auto"/>
      <w:ind w:left="240" w:hanging="240"/>
    </w:pPr>
  </w:style>
  <w:style w:type="paragraph" w:styleId="Indeks2">
    <w:name w:val="index 2"/>
    <w:basedOn w:val="Normal"/>
    <w:next w:val="Normal"/>
    <w:autoRedefine/>
    <w:uiPriority w:val="99"/>
    <w:semiHidden/>
    <w:unhideWhenUsed/>
    <w:rsid w:val="00226F23"/>
    <w:pPr>
      <w:spacing w:after="0" w:line="240" w:lineRule="auto"/>
      <w:ind w:left="480" w:hanging="240"/>
    </w:pPr>
  </w:style>
  <w:style w:type="paragraph" w:styleId="Indeks3">
    <w:name w:val="index 3"/>
    <w:basedOn w:val="Normal"/>
    <w:next w:val="Normal"/>
    <w:autoRedefine/>
    <w:uiPriority w:val="99"/>
    <w:semiHidden/>
    <w:unhideWhenUsed/>
    <w:rsid w:val="00226F23"/>
    <w:pPr>
      <w:spacing w:after="0" w:line="240" w:lineRule="auto"/>
      <w:ind w:left="720" w:hanging="240"/>
    </w:pPr>
  </w:style>
  <w:style w:type="paragraph" w:styleId="Indeks4">
    <w:name w:val="index 4"/>
    <w:basedOn w:val="Normal"/>
    <w:next w:val="Normal"/>
    <w:autoRedefine/>
    <w:uiPriority w:val="99"/>
    <w:semiHidden/>
    <w:unhideWhenUsed/>
    <w:rsid w:val="00226F23"/>
    <w:pPr>
      <w:spacing w:after="0" w:line="240" w:lineRule="auto"/>
      <w:ind w:left="960" w:hanging="240"/>
    </w:pPr>
  </w:style>
  <w:style w:type="paragraph" w:styleId="Indeks5">
    <w:name w:val="index 5"/>
    <w:basedOn w:val="Normal"/>
    <w:next w:val="Normal"/>
    <w:autoRedefine/>
    <w:uiPriority w:val="99"/>
    <w:semiHidden/>
    <w:unhideWhenUsed/>
    <w:rsid w:val="00226F23"/>
    <w:pPr>
      <w:spacing w:after="0" w:line="240" w:lineRule="auto"/>
      <w:ind w:left="1200" w:hanging="240"/>
    </w:pPr>
  </w:style>
  <w:style w:type="paragraph" w:styleId="Indeks6">
    <w:name w:val="index 6"/>
    <w:basedOn w:val="Normal"/>
    <w:next w:val="Normal"/>
    <w:autoRedefine/>
    <w:uiPriority w:val="99"/>
    <w:semiHidden/>
    <w:unhideWhenUsed/>
    <w:rsid w:val="00226F23"/>
    <w:pPr>
      <w:spacing w:after="0" w:line="240" w:lineRule="auto"/>
      <w:ind w:left="1440" w:hanging="240"/>
    </w:pPr>
  </w:style>
  <w:style w:type="paragraph" w:styleId="Indeks7">
    <w:name w:val="index 7"/>
    <w:basedOn w:val="Normal"/>
    <w:next w:val="Normal"/>
    <w:autoRedefine/>
    <w:uiPriority w:val="99"/>
    <w:semiHidden/>
    <w:unhideWhenUsed/>
    <w:rsid w:val="00226F23"/>
    <w:pPr>
      <w:spacing w:after="0" w:line="240" w:lineRule="auto"/>
      <w:ind w:left="1680" w:hanging="240"/>
    </w:pPr>
  </w:style>
  <w:style w:type="paragraph" w:styleId="Indeks8">
    <w:name w:val="index 8"/>
    <w:basedOn w:val="Normal"/>
    <w:next w:val="Normal"/>
    <w:autoRedefine/>
    <w:uiPriority w:val="99"/>
    <w:semiHidden/>
    <w:unhideWhenUsed/>
    <w:rsid w:val="00226F23"/>
    <w:pPr>
      <w:spacing w:after="0" w:line="240" w:lineRule="auto"/>
      <w:ind w:left="1920" w:hanging="240"/>
    </w:pPr>
  </w:style>
  <w:style w:type="paragraph" w:styleId="Indeks9">
    <w:name w:val="index 9"/>
    <w:basedOn w:val="Normal"/>
    <w:next w:val="Normal"/>
    <w:autoRedefine/>
    <w:uiPriority w:val="99"/>
    <w:semiHidden/>
    <w:unhideWhenUsed/>
    <w:rsid w:val="00226F23"/>
    <w:pPr>
      <w:spacing w:after="0" w:line="240" w:lineRule="auto"/>
      <w:ind w:left="2160" w:hanging="240"/>
    </w:pPr>
  </w:style>
  <w:style w:type="paragraph" w:styleId="INNH6">
    <w:name w:val="toc 6"/>
    <w:basedOn w:val="Normal"/>
    <w:next w:val="Normal"/>
    <w:autoRedefine/>
    <w:uiPriority w:val="39"/>
    <w:semiHidden/>
    <w:unhideWhenUsed/>
    <w:rsid w:val="00226F23"/>
    <w:pPr>
      <w:spacing w:after="100"/>
      <w:ind w:left="1200"/>
    </w:pPr>
  </w:style>
  <w:style w:type="paragraph" w:styleId="INNH7">
    <w:name w:val="toc 7"/>
    <w:basedOn w:val="Normal"/>
    <w:next w:val="Normal"/>
    <w:autoRedefine/>
    <w:uiPriority w:val="39"/>
    <w:semiHidden/>
    <w:unhideWhenUsed/>
    <w:rsid w:val="00226F23"/>
    <w:pPr>
      <w:spacing w:after="100"/>
      <w:ind w:left="1440"/>
    </w:pPr>
  </w:style>
  <w:style w:type="paragraph" w:styleId="INNH8">
    <w:name w:val="toc 8"/>
    <w:basedOn w:val="Normal"/>
    <w:next w:val="Normal"/>
    <w:autoRedefine/>
    <w:uiPriority w:val="39"/>
    <w:semiHidden/>
    <w:unhideWhenUsed/>
    <w:rsid w:val="00226F23"/>
    <w:pPr>
      <w:spacing w:after="100"/>
      <w:ind w:left="1680"/>
    </w:pPr>
  </w:style>
  <w:style w:type="paragraph" w:styleId="INNH9">
    <w:name w:val="toc 9"/>
    <w:basedOn w:val="Normal"/>
    <w:next w:val="Normal"/>
    <w:autoRedefine/>
    <w:uiPriority w:val="39"/>
    <w:semiHidden/>
    <w:unhideWhenUsed/>
    <w:rsid w:val="00226F23"/>
    <w:pPr>
      <w:spacing w:after="100"/>
      <w:ind w:left="1920"/>
    </w:pPr>
  </w:style>
  <w:style w:type="paragraph" w:styleId="Vanliginnrykk">
    <w:name w:val="Normal Indent"/>
    <w:basedOn w:val="Normal"/>
    <w:uiPriority w:val="99"/>
    <w:semiHidden/>
    <w:unhideWhenUsed/>
    <w:rsid w:val="00226F23"/>
    <w:pPr>
      <w:ind w:left="708"/>
    </w:pPr>
  </w:style>
  <w:style w:type="paragraph" w:styleId="Stikkordregisteroverskrift">
    <w:name w:val="index heading"/>
    <w:basedOn w:val="Normal"/>
    <w:next w:val="Indeks1"/>
    <w:uiPriority w:val="99"/>
    <w:semiHidden/>
    <w:unhideWhenUsed/>
    <w:rsid w:val="00226F23"/>
    <w:rPr>
      <w:rFonts w:ascii="Cambria" w:hAnsi="Cambria" w:cs="Times New Roman"/>
      <w:b/>
      <w:bCs/>
    </w:rPr>
  </w:style>
  <w:style w:type="paragraph" w:styleId="Bildetekst">
    <w:name w:val="caption"/>
    <w:basedOn w:val="Normal"/>
    <w:next w:val="Normal"/>
    <w:uiPriority w:val="35"/>
    <w:semiHidden/>
    <w:unhideWhenUsed/>
    <w:qFormat/>
    <w:rsid w:val="00226F2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26F23"/>
    <w:pPr>
      <w:spacing w:after="0"/>
    </w:pPr>
  </w:style>
  <w:style w:type="paragraph" w:styleId="Konvoluttadresse">
    <w:name w:val="envelope address"/>
    <w:basedOn w:val="Normal"/>
    <w:uiPriority w:val="99"/>
    <w:semiHidden/>
    <w:unhideWhenUsed/>
    <w:rsid w:val="00226F2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26F23"/>
  </w:style>
  <w:style w:type="character" w:styleId="Sluttnotereferanse">
    <w:name w:val="endnote reference"/>
    <w:uiPriority w:val="99"/>
    <w:semiHidden/>
    <w:unhideWhenUsed/>
    <w:rsid w:val="00226F23"/>
    <w:rPr>
      <w:vertAlign w:val="superscript"/>
    </w:rPr>
  </w:style>
  <w:style w:type="paragraph" w:styleId="Sluttnotetekst">
    <w:name w:val="endnote text"/>
    <w:basedOn w:val="Normal"/>
    <w:link w:val="SluttnotetekstTegn"/>
    <w:uiPriority w:val="99"/>
    <w:semiHidden/>
    <w:unhideWhenUsed/>
    <w:rsid w:val="00226F23"/>
    <w:pPr>
      <w:spacing w:after="0" w:line="240" w:lineRule="auto"/>
    </w:pPr>
    <w:rPr>
      <w:sz w:val="20"/>
      <w:szCs w:val="20"/>
    </w:rPr>
  </w:style>
  <w:style w:type="character" w:customStyle="1" w:styleId="SluttnotetekstTegn1">
    <w:name w:val="Sluttnotetekst Tegn1"/>
    <w:basedOn w:val="Standardskriftforavsnitt"/>
    <w:uiPriority w:val="99"/>
    <w:semiHidden/>
    <w:rsid w:val="00226F2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26F23"/>
    <w:pPr>
      <w:spacing w:after="0"/>
      <w:ind w:left="240" w:hanging="240"/>
    </w:pPr>
  </w:style>
  <w:style w:type="paragraph" w:styleId="Makrotekst">
    <w:name w:val="macro"/>
    <w:link w:val="MakrotekstTegn"/>
    <w:uiPriority w:val="99"/>
    <w:semiHidden/>
    <w:unhideWhenUsed/>
    <w:rsid w:val="00226F2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26F23"/>
    <w:rPr>
      <w:rFonts w:ascii="Consolas" w:eastAsia="Times New Roman" w:hAnsi="Consolas"/>
      <w:spacing w:val="4"/>
    </w:rPr>
  </w:style>
  <w:style w:type="paragraph" w:styleId="Kildelisteoverskrift">
    <w:name w:val="toa heading"/>
    <w:basedOn w:val="Normal"/>
    <w:next w:val="Normal"/>
    <w:uiPriority w:val="99"/>
    <w:semiHidden/>
    <w:unhideWhenUsed/>
    <w:rsid w:val="00226F23"/>
    <w:pPr>
      <w:spacing w:before="120"/>
    </w:pPr>
    <w:rPr>
      <w:rFonts w:ascii="Cambria" w:hAnsi="Cambria" w:cs="Times New Roman"/>
      <w:b/>
      <w:bCs/>
      <w:szCs w:val="24"/>
    </w:rPr>
  </w:style>
  <w:style w:type="paragraph" w:styleId="Tittel">
    <w:name w:val="Title"/>
    <w:basedOn w:val="Normal"/>
    <w:next w:val="Normal"/>
    <w:link w:val="TittelTegn"/>
    <w:uiPriority w:val="10"/>
    <w:qFormat/>
    <w:rsid w:val="00226F2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26F2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26F23"/>
    <w:pPr>
      <w:spacing w:after="0" w:line="240" w:lineRule="auto"/>
      <w:ind w:left="4252"/>
    </w:pPr>
  </w:style>
  <w:style w:type="character" w:customStyle="1" w:styleId="HilsenTegn">
    <w:name w:val="Hilsen Tegn"/>
    <w:link w:val="Hilsen"/>
    <w:uiPriority w:val="99"/>
    <w:semiHidden/>
    <w:rsid w:val="00226F23"/>
    <w:rPr>
      <w:rFonts w:ascii="Times New Roman" w:eastAsia="Times New Roman" w:hAnsi="Times New Roman"/>
      <w:spacing w:val="4"/>
      <w:sz w:val="24"/>
    </w:rPr>
  </w:style>
  <w:style w:type="paragraph" w:styleId="Underskrift">
    <w:name w:val="Signature"/>
    <w:basedOn w:val="Normal"/>
    <w:link w:val="UnderskriftTegn"/>
    <w:uiPriority w:val="99"/>
    <w:unhideWhenUsed/>
    <w:rsid w:val="00226F23"/>
    <w:pPr>
      <w:spacing w:after="0" w:line="240" w:lineRule="auto"/>
      <w:ind w:left="4252"/>
    </w:pPr>
  </w:style>
  <w:style w:type="character" w:customStyle="1" w:styleId="UnderskriftTegn1">
    <w:name w:val="Underskrift Tegn1"/>
    <w:basedOn w:val="Standardskriftforavsnitt"/>
    <w:uiPriority w:val="99"/>
    <w:semiHidden/>
    <w:rsid w:val="00226F23"/>
    <w:rPr>
      <w:rFonts w:ascii="Times New Roman" w:eastAsia="Times New Roman" w:hAnsi="Times New Roman"/>
      <w:spacing w:val="4"/>
      <w:sz w:val="24"/>
    </w:rPr>
  </w:style>
  <w:style w:type="paragraph" w:styleId="Liste-forts">
    <w:name w:val="List Continue"/>
    <w:basedOn w:val="Normal"/>
    <w:uiPriority w:val="99"/>
    <w:semiHidden/>
    <w:unhideWhenUsed/>
    <w:rsid w:val="00226F23"/>
    <w:pPr>
      <w:ind w:left="283"/>
      <w:contextualSpacing/>
    </w:pPr>
  </w:style>
  <w:style w:type="paragraph" w:styleId="Liste-forts2">
    <w:name w:val="List Continue 2"/>
    <w:basedOn w:val="Normal"/>
    <w:uiPriority w:val="99"/>
    <w:semiHidden/>
    <w:unhideWhenUsed/>
    <w:rsid w:val="00226F23"/>
    <w:pPr>
      <w:ind w:left="566"/>
      <w:contextualSpacing/>
    </w:pPr>
  </w:style>
  <w:style w:type="paragraph" w:styleId="Liste-forts3">
    <w:name w:val="List Continue 3"/>
    <w:basedOn w:val="Normal"/>
    <w:uiPriority w:val="99"/>
    <w:semiHidden/>
    <w:unhideWhenUsed/>
    <w:rsid w:val="00226F23"/>
    <w:pPr>
      <w:ind w:left="849"/>
      <w:contextualSpacing/>
    </w:pPr>
  </w:style>
  <w:style w:type="paragraph" w:styleId="Liste-forts4">
    <w:name w:val="List Continue 4"/>
    <w:basedOn w:val="Normal"/>
    <w:uiPriority w:val="99"/>
    <w:semiHidden/>
    <w:unhideWhenUsed/>
    <w:rsid w:val="00226F23"/>
    <w:pPr>
      <w:ind w:left="1132"/>
      <w:contextualSpacing/>
    </w:pPr>
  </w:style>
  <w:style w:type="paragraph" w:styleId="Liste-forts5">
    <w:name w:val="List Continue 5"/>
    <w:basedOn w:val="Normal"/>
    <w:uiPriority w:val="99"/>
    <w:semiHidden/>
    <w:unhideWhenUsed/>
    <w:rsid w:val="00226F23"/>
    <w:pPr>
      <w:ind w:left="1415"/>
      <w:contextualSpacing/>
    </w:pPr>
  </w:style>
  <w:style w:type="paragraph" w:styleId="Meldingshode">
    <w:name w:val="Message Header"/>
    <w:basedOn w:val="Normal"/>
    <w:link w:val="MeldingshodeTegn"/>
    <w:uiPriority w:val="99"/>
    <w:semiHidden/>
    <w:unhideWhenUsed/>
    <w:rsid w:val="00226F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26F2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26F23"/>
  </w:style>
  <w:style w:type="character" w:customStyle="1" w:styleId="InnledendehilsenTegn">
    <w:name w:val="Innledende hilsen Tegn"/>
    <w:link w:val="Innledendehilsen"/>
    <w:uiPriority w:val="99"/>
    <w:semiHidden/>
    <w:rsid w:val="00226F23"/>
    <w:rPr>
      <w:rFonts w:ascii="Times New Roman" w:eastAsia="Times New Roman" w:hAnsi="Times New Roman"/>
      <w:spacing w:val="4"/>
      <w:sz w:val="24"/>
    </w:rPr>
  </w:style>
  <w:style w:type="paragraph" w:styleId="Dato0">
    <w:name w:val="Date"/>
    <w:basedOn w:val="Normal"/>
    <w:next w:val="Normal"/>
    <w:link w:val="DatoTegn"/>
    <w:rsid w:val="00226F23"/>
  </w:style>
  <w:style w:type="character" w:customStyle="1" w:styleId="DatoTegn1">
    <w:name w:val="Dato Tegn1"/>
    <w:basedOn w:val="Standardskriftforavsnitt"/>
    <w:uiPriority w:val="99"/>
    <w:semiHidden/>
    <w:rsid w:val="00226F2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26F23"/>
    <w:pPr>
      <w:spacing w:after="0" w:line="240" w:lineRule="auto"/>
    </w:pPr>
  </w:style>
  <w:style w:type="character" w:customStyle="1" w:styleId="NotatoverskriftTegn">
    <w:name w:val="Notatoverskrift Tegn"/>
    <w:link w:val="Notatoverskrift"/>
    <w:uiPriority w:val="99"/>
    <w:semiHidden/>
    <w:rsid w:val="00226F23"/>
    <w:rPr>
      <w:rFonts w:ascii="Times New Roman" w:eastAsia="Times New Roman" w:hAnsi="Times New Roman"/>
      <w:spacing w:val="4"/>
      <w:sz w:val="24"/>
    </w:rPr>
  </w:style>
  <w:style w:type="paragraph" w:styleId="Blokktekst">
    <w:name w:val="Block Text"/>
    <w:basedOn w:val="Normal"/>
    <w:uiPriority w:val="99"/>
    <w:semiHidden/>
    <w:unhideWhenUsed/>
    <w:rsid w:val="00226F2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26F23"/>
    <w:rPr>
      <w:color w:val="800080"/>
      <w:u w:val="single"/>
    </w:rPr>
  </w:style>
  <w:style w:type="character" w:styleId="Utheving">
    <w:name w:val="Emphasis"/>
    <w:uiPriority w:val="20"/>
    <w:qFormat/>
    <w:rsid w:val="00226F23"/>
    <w:rPr>
      <w:i/>
      <w:iCs/>
    </w:rPr>
  </w:style>
  <w:style w:type="paragraph" w:styleId="Dokumentkart">
    <w:name w:val="Document Map"/>
    <w:basedOn w:val="Normal"/>
    <w:link w:val="DokumentkartTegn"/>
    <w:uiPriority w:val="99"/>
    <w:semiHidden/>
    <w:rsid w:val="00226F23"/>
    <w:pPr>
      <w:shd w:val="clear" w:color="auto" w:fill="000080"/>
    </w:pPr>
    <w:rPr>
      <w:rFonts w:ascii="Tahoma" w:hAnsi="Tahoma" w:cs="Tahoma"/>
    </w:rPr>
  </w:style>
  <w:style w:type="character" w:customStyle="1" w:styleId="DokumentkartTegn">
    <w:name w:val="Dokumentkart Tegn"/>
    <w:link w:val="Dokumentkart"/>
    <w:uiPriority w:val="99"/>
    <w:semiHidden/>
    <w:rsid w:val="00226F2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26F23"/>
    <w:rPr>
      <w:rFonts w:ascii="Courier New" w:hAnsi="Courier New" w:cs="Courier New"/>
      <w:sz w:val="20"/>
    </w:rPr>
  </w:style>
  <w:style w:type="character" w:customStyle="1" w:styleId="RentekstTegn">
    <w:name w:val="Ren tekst Tegn"/>
    <w:link w:val="Rentekst"/>
    <w:uiPriority w:val="99"/>
    <w:semiHidden/>
    <w:rsid w:val="00226F2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26F23"/>
    <w:pPr>
      <w:spacing w:after="0" w:line="240" w:lineRule="auto"/>
    </w:pPr>
  </w:style>
  <w:style w:type="character" w:customStyle="1" w:styleId="E-postsignaturTegn">
    <w:name w:val="E-postsignatur Tegn"/>
    <w:link w:val="E-postsignatur"/>
    <w:uiPriority w:val="99"/>
    <w:semiHidden/>
    <w:rsid w:val="00226F23"/>
    <w:rPr>
      <w:rFonts w:ascii="Times New Roman" w:eastAsia="Times New Roman" w:hAnsi="Times New Roman"/>
      <w:spacing w:val="4"/>
      <w:sz w:val="24"/>
    </w:rPr>
  </w:style>
  <w:style w:type="paragraph" w:styleId="NormalWeb">
    <w:name w:val="Normal (Web)"/>
    <w:basedOn w:val="Normal"/>
    <w:uiPriority w:val="99"/>
    <w:semiHidden/>
    <w:unhideWhenUsed/>
    <w:rsid w:val="00226F23"/>
    <w:rPr>
      <w:szCs w:val="24"/>
    </w:rPr>
  </w:style>
  <w:style w:type="character" w:styleId="HTML-akronym">
    <w:name w:val="HTML Acronym"/>
    <w:uiPriority w:val="99"/>
    <w:semiHidden/>
    <w:unhideWhenUsed/>
    <w:rsid w:val="00226F23"/>
  </w:style>
  <w:style w:type="paragraph" w:styleId="HTML-adresse">
    <w:name w:val="HTML Address"/>
    <w:basedOn w:val="Normal"/>
    <w:link w:val="HTML-adresseTegn"/>
    <w:uiPriority w:val="99"/>
    <w:semiHidden/>
    <w:unhideWhenUsed/>
    <w:rsid w:val="00226F23"/>
    <w:pPr>
      <w:spacing w:after="0" w:line="240" w:lineRule="auto"/>
    </w:pPr>
    <w:rPr>
      <w:i/>
      <w:iCs/>
    </w:rPr>
  </w:style>
  <w:style w:type="character" w:customStyle="1" w:styleId="HTML-adresseTegn">
    <w:name w:val="HTML-adresse Tegn"/>
    <w:link w:val="HTML-adresse"/>
    <w:uiPriority w:val="99"/>
    <w:semiHidden/>
    <w:rsid w:val="00226F23"/>
    <w:rPr>
      <w:rFonts w:ascii="Times New Roman" w:eastAsia="Times New Roman" w:hAnsi="Times New Roman"/>
      <w:i/>
      <w:iCs/>
      <w:spacing w:val="4"/>
      <w:sz w:val="24"/>
    </w:rPr>
  </w:style>
  <w:style w:type="character" w:styleId="HTML-sitat">
    <w:name w:val="HTML Cite"/>
    <w:uiPriority w:val="99"/>
    <w:semiHidden/>
    <w:unhideWhenUsed/>
    <w:rsid w:val="00226F23"/>
    <w:rPr>
      <w:i/>
      <w:iCs/>
    </w:rPr>
  </w:style>
  <w:style w:type="character" w:styleId="HTML-kode">
    <w:name w:val="HTML Code"/>
    <w:uiPriority w:val="99"/>
    <w:semiHidden/>
    <w:unhideWhenUsed/>
    <w:rsid w:val="00226F23"/>
    <w:rPr>
      <w:rFonts w:ascii="Consolas" w:hAnsi="Consolas"/>
      <w:sz w:val="20"/>
      <w:szCs w:val="20"/>
    </w:rPr>
  </w:style>
  <w:style w:type="character" w:styleId="HTML-definisjon">
    <w:name w:val="HTML Definition"/>
    <w:uiPriority w:val="99"/>
    <w:semiHidden/>
    <w:unhideWhenUsed/>
    <w:rsid w:val="00226F23"/>
    <w:rPr>
      <w:i/>
      <w:iCs/>
    </w:rPr>
  </w:style>
  <w:style w:type="character" w:styleId="HTML-tastatur">
    <w:name w:val="HTML Keyboard"/>
    <w:uiPriority w:val="99"/>
    <w:semiHidden/>
    <w:unhideWhenUsed/>
    <w:rsid w:val="00226F23"/>
    <w:rPr>
      <w:rFonts w:ascii="Consolas" w:hAnsi="Consolas"/>
      <w:sz w:val="20"/>
      <w:szCs w:val="20"/>
    </w:rPr>
  </w:style>
  <w:style w:type="paragraph" w:styleId="HTML-forhndsformatert">
    <w:name w:val="HTML Preformatted"/>
    <w:basedOn w:val="Normal"/>
    <w:link w:val="HTML-forhndsformatertTegn"/>
    <w:uiPriority w:val="99"/>
    <w:semiHidden/>
    <w:unhideWhenUsed/>
    <w:rsid w:val="00226F2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26F23"/>
    <w:rPr>
      <w:rFonts w:ascii="Consolas" w:eastAsia="Times New Roman" w:hAnsi="Consolas"/>
      <w:spacing w:val="4"/>
      <w:sz w:val="20"/>
      <w:szCs w:val="20"/>
    </w:rPr>
  </w:style>
  <w:style w:type="character" w:styleId="HTML-eksempel">
    <w:name w:val="HTML Sample"/>
    <w:uiPriority w:val="99"/>
    <w:semiHidden/>
    <w:unhideWhenUsed/>
    <w:rsid w:val="00226F23"/>
    <w:rPr>
      <w:rFonts w:ascii="Consolas" w:hAnsi="Consolas"/>
      <w:sz w:val="24"/>
      <w:szCs w:val="24"/>
    </w:rPr>
  </w:style>
  <w:style w:type="character" w:styleId="HTML-skrivemaskin">
    <w:name w:val="HTML Typewriter"/>
    <w:uiPriority w:val="99"/>
    <w:semiHidden/>
    <w:unhideWhenUsed/>
    <w:rsid w:val="00226F23"/>
    <w:rPr>
      <w:rFonts w:ascii="Consolas" w:hAnsi="Consolas"/>
      <w:sz w:val="20"/>
      <w:szCs w:val="20"/>
    </w:rPr>
  </w:style>
  <w:style w:type="character" w:styleId="HTML-variabel">
    <w:name w:val="HTML Variable"/>
    <w:uiPriority w:val="99"/>
    <w:semiHidden/>
    <w:unhideWhenUsed/>
    <w:rsid w:val="00226F23"/>
    <w:rPr>
      <w:i/>
      <w:iCs/>
    </w:rPr>
  </w:style>
  <w:style w:type="paragraph" w:styleId="Kommentaremne">
    <w:name w:val="annotation subject"/>
    <w:basedOn w:val="Merknadstekst"/>
    <w:next w:val="Merknadstekst"/>
    <w:link w:val="KommentaremneTegn"/>
    <w:uiPriority w:val="99"/>
    <w:semiHidden/>
    <w:unhideWhenUsed/>
    <w:rsid w:val="00226F23"/>
    <w:pPr>
      <w:spacing w:line="240" w:lineRule="auto"/>
    </w:pPr>
    <w:rPr>
      <w:b/>
      <w:bCs/>
      <w:spacing w:val="4"/>
      <w:szCs w:val="20"/>
    </w:rPr>
  </w:style>
  <w:style w:type="character" w:customStyle="1" w:styleId="KommentaremneTegn">
    <w:name w:val="Kommentaremne Tegn"/>
    <w:link w:val="Kommentaremne"/>
    <w:uiPriority w:val="99"/>
    <w:semiHidden/>
    <w:rsid w:val="00226F2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26F2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26F23"/>
    <w:rPr>
      <w:rFonts w:ascii="Tahoma" w:eastAsia="Times New Roman" w:hAnsi="Tahoma" w:cs="Tahoma"/>
      <w:spacing w:val="4"/>
      <w:sz w:val="16"/>
      <w:szCs w:val="16"/>
    </w:rPr>
  </w:style>
  <w:style w:type="table" w:styleId="Tabellrutenett">
    <w:name w:val="Table Grid"/>
    <w:basedOn w:val="Vanligtabell"/>
    <w:uiPriority w:val="59"/>
    <w:rsid w:val="00226F2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26F2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26F2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26F23"/>
    <w:rPr>
      <w:rFonts w:ascii="Times New Roman" w:eastAsia="Times New Roman" w:hAnsi="Times New Roman"/>
      <w:i/>
      <w:iCs/>
      <w:color w:val="5B9BD5" w:themeColor="accent1"/>
      <w:spacing w:val="4"/>
      <w:sz w:val="24"/>
    </w:rPr>
  </w:style>
  <w:style w:type="character" w:styleId="Svakutheving">
    <w:name w:val="Subtle Emphasis"/>
    <w:uiPriority w:val="19"/>
    <w:qFormat/>
    <w:rsid w:val="00226F23"/>
    <w:rPr>
      <w:i/>
      <w:iCs/>
      <w:color w:val="808080"/>
    </w:rPr>
  </w:style>
  <w:style w:type="character" w:styleId="Sterkutheving">
    <w:name w:val="Intense Emphasis"/>
    <w:uiPriority w:val="21"/>
    <w:qFormat/>
    <w:rsid w:val="00226F23"/>
    <w:rPr>
      <w:b/>
      <w:bCs/>
      <w:i/>
      <w:iCs/>
      <w:color w:val="4F81BD"/>
    </w:rPr>
  </w:style>
  <w:style w:type="character" w:styleId="Svakreferanse">
    <w:name w:val="Subtle Reference"/>
    <w:uiPriority w:val="31"/>
    <w:qFormat/>
    <w:rsid w:val="00226F23"/>
    <w:rPr>
      <w:smallCaps/>
      <w:color w:val="C0504D"/>
      <w:u w:val="single"/>
    </w:rPr>
  </w:style>
  <w:style w:type="character" w:styleId="Sterkreferanse">
    <w:name w:val="Intense Reference"/>
    <w:uiPriority w:val="32"/>
    <w:qFormat/>
    <w:rsid w:val="00226F23"/>
    <w:rPr>
      <w:b/>
      <w:bCs/>
      <w:smallCaps/>
      <w:color w:val="C0504D"/>
      <w:spacing w:val="5"/>
      <w:u w:val="single"/>
    </w:rPr>
  </w:style>
  <w:style w:type="character" w:styleId="Boktittel">
    <w:name w:val="Book Title"/>
    <w:uiPriority w:val="33"/>
    <w:qFormat/>
    <w:rsid w:val="00226F23"/>
    <w:rPr>
      <w:b/>
      <w:bCs/>
      <w:smallCaps/>
      <w:spacing w:val="5"/>
    </w:rPr>
  </w:style>
  <w:style w:type="paragraph" w:styleId="Bibliografi">
    <w:name w:val="Bibliography"/>
    <w:basedOn w:val="Normal"/>
    <w:next w:val="Normal"/>
    <w:uiPriority w:val="37"/>
    <w:semiHidden/>
    <w:unhideWhenUsed/>
    <w:rsid w:val="00226F23"/>
  </w:style>
  <w:style w:type="paragraph" w:styleId="Overskriftforinnholdsfortegnelse">
    <w:name w:val="TOC Heading"/>
    <w:basedOn w:val="Overskrift1"/>
    <w:next w:val="Normal"/>
    <w:uiPriority w:val="39"/>
    <w:semiHidden/>
    <w:unhideWhenUsed/>
    <w:qFormat/>
    <w:rsid w:val="00226F2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26F23"/>
    <w:pPr>
      <w:numPr>
        <w:numId w:val="10"/>
      </w:numPr>
    </w:pPr>
  </w:style>
  <w:style w:type="numbering" w:customStyle="1" w:styleId="NrListeStil">
    <w:name w:val="NrListeStil"/>
    <w:uiPriority w:val="99"/>
    <w:rsid w:val="00226F23"/>
    <w:pPr>
      <w:numPr>
        <w:numId w:val="11"/>
      </w:numPr>
    </w:pPr>
  </w:style>
  <w:style w:type="numbering" w:customStyle="1" w:styleId="RomListeStil">
    <w:name w:val="RomListeStil"/>
    <w:uiPriority w:val="99"/>
    <w:rsid w:val="00226F23"/>
    <w:pPr>
      <w:numPr>
        <w:numId w:val="12"/>
      </w:numPr>
    </w:pPr>
  </w:style>
  <w:style w:type="numbering" w:customStyle="1" w:styleId="StrekListeStil">
    <w:name w:val="StrekListeStil"/>
    <w:uiPriority w:val="99"/>
    <w:rsid w:val="00226F23"/>
    <w:pPr>
      <w:numPr>
        <w:numId w:val="13"/>
      </w:numPr>
    </w:pPr>
  </w:style>
  <w:style w:type="numbering" w:customStyle="1" w:styleId="OpplistingListeStil">
    <w:name w:val="OpplistingListeStil"/>
    <w:uiPriority w:val="99"/>
    <w:rsid w:val="00226F23"/>
    <w:pPr>
      <w:numPr>
        <w:numId w:val="14"/>
      </w:numPr>
    </w:pPr>
  </w:style>
  <w:style w:type="numbering" w:customStyle="1" w:styleId="l-NummerertListeStil">
    <w:name w:val="l-NummerertListeStil"/>
    <w:uiPriority w:val="99"/>
    <w:rsid w:val="00226F23"/>
    <w:pPr>
      <w:numPr>
        <w:numId w:val="15"/>
      </w:numPr>
    </w:pPr>
  </w:style>
  <w:style w:type="numbering" w:customStyle="1" w:styleId="l-AlfaListeStil">
    <w:name w:val="l-AlfaListeStil"/>
    <w:uiPriority w:val="99"/>
    <w:rsid w:val="00226F23"/>
    <w:pPr>
      <w:numPr>
        <w:numId w:val="16"/>
      </w:numPr>
    </w:pPr>
  </w:style>
  <w:style w:type="numbering" w:customStyle="1" w:styleId="OverskrifterListeStil">
    <w:name w:val="OverskrifterListeStil"/>
    <w:uiPriority w:val="99"/>
    <w:rsid w:val="00226F23"/>
    <w:pPr>
      <w:numPr>
        <w:numId w:val="17"/>
      </w:numPr>
    </w:pPr>
  </w:style>
  <w:style w:type="numbering" w:customStyle="1" w:styleId="l-ListeStilMal">
    <w:name w:val="l-ListeStilMal"/>
    <w:uiPriority w:val="99"/>
    <w:rsid w:val="00226F23"/>
    <w:pPr>
      <w:numPr>
        <w:numId w:val="18"/>
      </w:numPr>
    </w:pPr>
  </w:style>
  <w:style w:type="paragraph" w:styleId="Avsenderadresse">
    <w:name w:val="envelope return"/>
    <w:basedOn w:val="Normal"/>
    <w:uiPriority w:val="99"/>
    <w:semiHidden/>
    <w:unhideWhenUsed/>
    <w:rsid w:val="00226F2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26F23"/>
  </w:style>
  <w:style w:type="character" w:customStyle="1" w:styleId="BrdtekstTegn">
    <w:name w:val="Brødtekst Tegn"/>
    <w:link w:val="Brdtekst"/>
    <w:semiHidden/>
    <w:rsid w:val="00226F2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26F23"/>
    <w:pPr>
      <w:ind w:firstLine="360"/>
    </w:pPr>
  </w:style>
  <w:style w:type="character" w:customStyle="1" w:styleId="Brdtekst-frsteinnrykkTegn">
    <w:name w:val="Brødtekst - første innrykk Tegn"/>
    <w:link w:val="Brdtekst-frsteinnrykk"/>
    <w:uiPriority w:val="99"/>
    <w:semiHidden/>
    <w:rsid w:val="00226F2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26F23"/>
    <w:pPr>
      <w:ind w:left="283"/>
    </w:pPr>
  </w:style>
  <w:style w:type="character" w:customStyle="1" w:styleId="BrdtekstinnrykkTegn">
    <w:name w:val="Brødtekstinnrykk Tegn"/>
    <w:link w:val="Brdtekstinnrykk"/>
    <w:uiPriority w:val="99"/>
    <w:semiHidden/>
    <w:rsid w:val="00226F2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26F23"/>
    <w:pPr>
      <w:ind w:left="360" w:firstLine="360"/>
    </w:pPr>
  </w:style>
  <w:style w:type="character" w:customStyle="1" w:styleId="Brdtekst-frsteinnrykk2Tegn">
    <w:name w:val="Brødtekst - første innrykk 2 Tegn"/>
    <w:link w:val="Brdtekst-frsteinnrykk2"/>
    <w:uiPriority w:val="99"/>
    <w:semiHidden/>
    <w:rsid w:val="00226F2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26F23"/>
    <w:pPr>
      <w:spacing w:line="480" w:lineRule="auto"/>
    </w:pPr>
  </w:style>
  <w:style w:type="character" w:customStyle="1" w:styleId="Brdtekst2Tegn">
    <w:name w:val="Brødtekst 2 Tegn"/>
    <w:link w:val="Brdtekst2"/>
    <w:uiPriority w:val="99"/>
    <w:semiHidden/>
    <w:rsid w:val="00226F2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26F23"/>
    <w:rPr>
      <w:sz w:val="16"/>
      <w:szCs w:val="16"/>
    </w:rPr>
  </w:style>
  <w:style w:type="character" w:customStyle="1" w:styleId="Brdtekst3Tegn">
    <w:name w:val="Brødtekst 3 Tegn"/>
    <w:link w:val="Brdtekst3"/>
    <w:uiPriority w:val="99"/>
    <w:semiHidden/>
    <w:rsid w:val="00226F2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26F23"/>
    <w:pPr>
      <w:spacing w:line="480" w:lineRule="auto"/>
      <w:ind w:left="283"/>
    </w:pPr>
  </w:style>
  <w:style w:type="character" w:customStyle="1" w:styleId="Brdtekstinnrykk2Tegn">
    <w:name w:val="Brødtekstinnrykk 2 Tegn"/>
    <w:link w:val="Brdtekstinnrykk2"/>
    <w:uiPriority w:val="99"/>
    <w:semiHidden/>
    <w:rsid w:val="00226F2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26F23"/>
    <w:pPr>
      <w:ind w:left="283"/>
    </w:pPr>
    <w:rPr>
      <w:sz w:val="16"/>
      <w:szCs w:val="16"/>
    </w:rPr>
  </w:style>
  <w:style w:type="character" w:customStyle="1" w:styleId="Brdtekstinnrykk3Tegn">
    <w:name w:val="Brødtekstinnrykk 3 Tegn"/>
    <w:link w:val="Brdtekstinnrykk3"/>
    <w:uiPriority w:val="99"/>
    <w:semiHidden/>
    <w:rsid w:val="00226F23"/>
    <w:rPr>
      <w:rFonts w:ascii="Times New Roman" w:eastAsia="Times New Roman" w:hAnsi="Times New Roman"/>
      <w:spacing w:val="4"/>
      <w:sz w:val="16"/>
      <w:szCs w:val="16"/>
    </w:rPr>
  </w:style>
  <w:style w:type="paragraph" w:customStyle="1" w:styleId="Sammendrag">
    <w:name w:val="Sammendrag"/>
    <w:basedOn w:val="Overskrift1"/>
    <w:qFormat/>
    <w:rsid w:val="00226F23"/>
    <w:pPr>
      <w:numPr>
        <w:numId w:val="0"/>
      </w:numPr>
    </w:pPr>
  </w:style>
  <w:style w:type="paragraph" w:customStyle="1" w:styleId="TrykkeriMerknad">
    <w:name w:val="TrykkeriMerknad"/>
    <w:basedOn w:val="Normal"/>
    <w:qFormat/>
    <w:rsid w:val="00226F23"/>
    <w:pPr>
      <w:spacing w:before="60"/>
    </w:pPr>
    <w:rPr>
      <w:rFonts w:ascii="Arial" w:hAnsi="Arial"/>
      <w:color w:val="943634"/>
      <w:sz w:val="26"/>
    </w:rPr>
  </w:style>
  <w:style w:type="paragraph" w:customStyle="1" w:styleId="ForfatterMerknad">
    <w:name w:val="ForfatterMerknad"/>
    <w:basedOn w:val="TrykkeriMerknad"/>
    <w:qFormat/>
    <w:rsid w:val="00226F23"/>
    <w:pPr>
      <w:shd w:val="clear" w:color="auto" w:fill="FFFF99"/>
      <w:spacing w:line="240" w:lineRule="auto"/>
    </w:pPr>
    <w:rPr>
      <w:color w:val="632423"/>
    </w:rPr>
  </w:style>
  <w:style w:type="paragraph" w:customStyle="1" w:styleId="tblRad">
    <w:name w:val="tblRad"/>
    <w:rsid w:val="00226F2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26F23"/>
  </w:style>
  <w:style w:type="paragraph" w:customStyle="1" w:styleId="tbl2LinjeSumBold">
    <w:name w:val="tbl2LinjeSumBold"/>
    <w:basedOn w:val="tblRad"/>
    <w:rsid w:val="00226F23"/>
    <w:rPr>
      <w:b/>
    </w:rPr>
  </w:style>
  <w:style w:type="paragraph" w:customStyle="1" w:styleId="tblDelsum1">
    <w:name w:val="tblDelsum1"/>
    <w:basedOn w:val="tblRad"/>
    <w:rsid w:val="00226F23"/>
    <w:rPr>
      <w:i/>
    </w:rPr>
  </w:style>
  <w:style w:type="paragraph" w:customStyle="1" w:styleId="tblDelsum1-Kapittel">
    <w:name w:val="tblDelsum1 - Kapittel"/>
    <w:basedOn w:val="tblDelsum1"/>
    <w:rsid w:val="00226F23"/>
    <w:pPr>
      <w:keepNext w:val="0"/>
    </w:pPr>
  </w:style>
  <w:style w:type="paragraph" w:customStyle="1" w:styleId="tblDelsum2">
    <w:name w:val="tblDelsum2"/>
    <w:basedOn w:val="tblRad"/>
    <w:rsid w:val="00226F23"/>
    <w:rPr>
      <w:b/>
      <w:i/>
    </w:rPr>
  </w:style>
  <w:style w:type="paragraph" w:customStyle="1" w:styleId="tblDelsum2-Kapittel">
    <w:name w:val="tblDelsum2 - Kapittel"/>
    <w:basedOn w:val="tblDelsum2"/>
    <w:rsid w:val="00226F23"/>
    <w:pPr>
      <w:keepNext w:val="0"/>
    </w:pPr>
  </w:style>
  <w:style w:type="paragraph" w:customStyle="1" w:styleId="tblTabelloverskrift">
    <w:name w:val="tblTabelloverskrift"/>
    <w:rsid w:val="00226F2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26F23"/>
    <w:pPr>
      <w:spacing w:after="0"/>
      <w:jc w:val="right"/>
    </w:pPr>
    <w:rPr>
      <w:b w:val="0"/>
      <w:caps w:val="0"/>
      <w:sz w:val="16"/>
    </w:rPr>
  </w:style>
  <w:style w:type="paragraph" w:customStyle="1" w:styleId="tblKategoriOverskrift">
    <w:name w:val="tblKategoriOverskrift"/>
    <w:basedOn w:val="tblRad"/>
    <w:rsid w:val="00226F23"/>
    <w:pPr>
      <w:spacing w:before="120"/>
    </w:pPr>
    <w:rPr>
      <w:b/>
    </w:rPr>
  </w:style>
  <w:style w:type="paragraph" w:customStyle="1" w:styleId="tblKolonneoverskrift">
    <w:name w:val="tblKolonneoverskrift"/>
    <w:basedOn w:val="Normal"/>
    <w:rsid w:val="00226F2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26F23"/>
    <w:pPr>
      <w:spacing w:after="360"/>
      <w:jc w:val="center"/>
    </w:pPr>
    <w:rPr>
      <w:b w:val="0"/>
      <w:caps w:val="0"/>
    </w:rPr>
  </w:style>
  <w:style w:type="paragraph" w:customStyle="1" w:styleId="tblKolonneoverskrift-Vedtak">
    <w:name w:val="tblKolonneoverskrift - Vedtak"/>
    <w:basedOn w:val="tblTabelloverskrift-Vedtak"/>
    <w:rsid w:val="00226F23"/>
    <w:pPr>
      <w:spacing w:after="0"/>
    </w:pPr>
  </w:style>
  <w:style w:type="paragraph" w:customStyle="1" w:styleId="tblOverskrift-Vedtak">
    <w:name w:val="tblOverskrift - Vedtak"/>
    <w:basedOn w:val="tblRad"/>
    <w:rsid w:val="00226F23"/>
    <w:pPr>
      <w:spacing w:before="360"/>
      <w:jc w:val="center"/>
    </w:pPr>
  </w:style>
  <w:style w:type="paragraph" w:customStyle="1" w:styleId="tblRadBold">
    <w:name w:val="tblRadBold"/>
    <w:basedOn w:val="tblRad"/>
    <w:rsid w:val="00226F23"/>
    <w:rPr>
      <w:b/>
    </w:rPr>
  </w:style>
  <w:style w:type="paragraph" w:customStyle="1" w:styleId="tblRadItalic">
    <w:name w:val="tblRadItalic"/>
    <w:basedOn w:val="tblRad"/>
    <w:rsid w:val="00226F23"/>
    <w:rPr>
      <w:i/>
    </w:rPr>
  </w:style>
  <w:style w:type="paragraph" w:customStyle="1" w:styleId="tblRadItalicSiste">
    <w:name w:val="tblRadItalicSiste"/>
    <w:basedOn w:val="tblRadItalic"/>
    <w:rsid w:val="00226F23"/>
  </w:style>
  <w:style w:type="paragraph" w:customStyle="1" w:styleId="tblRadMedLuft">
    <w:name w:val="tblRadMedLuft"/>
    <w:basedOn w:val="tblRad"/>
    <w:rsid w:val="00226F23"/>
    <w:pPr>
      <w:spacing w:before="120"/>
    </w:pPr>
  </w:style>
  <w:style w:type="paragraph" w:customStyle="1" w:styleId="tblRadMedLuftSiste">
    <w:name w:val="tblRadMedLuftSiste"/>
    <w:basedOn w:val="tblRadMedLuft"/>
    <w:rsid w:val="00226F23"/>
    <w:pPr>
      <w:spacing w:after="120"/>
    </w:pPr>
  </w:style>
  <w:style w:type="paragraph" w:customStyle="1" w:styleId="tblRadMedLuftSiste-Vedtak">
    <w:name w:val="tblRadMedLuftSiste - Vedtak"/>
    <w:basedOn w:val="tblRadMedLuftSiste"/>
    <w:rsid w:val="00226F23"/>
    <w:pPr>
      <w:keepNext w:val="0"/>
    </w:pPr>
  </w:style>
  <w:style w:type="paragraph" w:customStyle="1" w:styleId="tblRadSiste">
    <w:name w:val="tblRadSiste"/>
    <w:basedOn w:val="tblRad"/>
    <w:rsid w:val="00226F23"/>
  </w:style>
  <w:style w:type="paragraph" w:customStyle="1" w:styleId="tblSluttsum">
    <w:name w:val="tblSluttsum"/>
    <w:basedOn w:val="tblRad"/>
    <w:rsid w:val="00226F23"/>
    <w:pPr>
      <w:spacing w:before="120"/>
    </w:pPr>
    <w:rPr>
      <w:b/>
      <w:i/>
    </w:rPr>
  </w:style>
  <w:style w:type="paragraph" w:styleId="Sitat0">
    <w:name w:val="Quote"/>
    <w:basedOn w:val="Normal"/>
    <w:next w:val="Normal"/>
    <w:link w:val="SitatTegn1"/>
    <w:uiPriority w:val="29"/>
    <w:qFormat/>
    <w:rsid w:val="00226F2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26F23"/>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B5EA-F9E6-4133-8C92-5B7AEADF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13</Pages>
  <Words>4555</Words>
  <Characters>24142</Characters>
  <Application>Microsoft Office Word</Application>
  <DocSecurity>0</DocSecurity>
  <Lines>201</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2019-11-20T18:17:00Z</dcterms:created>
  <dcterms:modified xsi:type="dcterms:W3CDTF">2019-11-20T18:17:00Z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2019-11-20T18:16:45.6856648Z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e0772398-bd79-4b28-b82e-1c15eee008bf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