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740A4" w14:textId="77777777" w:rsidR="008323D3" w:rsidRDefault="00185409">
      <w:pPr>
        <w:pStyle w:val="Brdtekst"/>
        <w:rPr>
          <w:rFonts w:ascii="Times New Roman"/>
          <w:sz w:val="20"/>
        </w:rPr>
      </w:pPr>
      <w:r>
        <w:rPr>
          <w:noProof/>
          <w:lang w:val="nb-NO" w:eastAsia="nb-NO" w:bidi="ar-SA"/>
        </w:rPr>
        <w:drawing>
          <wp:anchor distT="0" distB="0" distL="0" distR="0" simplePos="0" relativeHeight="251658240" behindDoc="0" locked="0" layoutInCell="1" allowOverlap="1" wp14:anchorId="3CF5BB37" wp14:editId="3A1C0C84">
            <wp:simplePos x="0" y="0"/>
            <wp:positionH relativeFrom="page">
              <wp:posOffset>565784</wp:posOffset>
            </wp:positionH>
            <wp:positionV relativeFrom="page">
              <wp:posOffset>295649</wp:posOffset>
            </wp:positionV>
            <wp:extent cx="1443289" cy="1039825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443289" cy="10398252"/>
                    </a:xfrm>
                    <a:prstGeom prst="rect">
                      <a:avLst/>
                    </a:prstGeom>
                  </pic:spPr>
                </pic:pic>
              </a:graphicData>
            </a:graphic>
          </wp:anchor>
        </w:drawing>
      </w:r>
    </w:p>
    <w:p w14:paraId="48778FD2" w14:textId="77777777" w:rsidR="008323D3" w:rsidRDefault="008323D3">
      <w:pPr>
        <w:pStyle w:val="Brdtekst"/>
        <w:spacing w:before="7"/>
        <w:rPr>
          <w:rFonts w:ascii="Times New Roman"/>
          <w:sz w:val="28"/>
        </w:rPr>
      </w:pPr>
    </w:p>
    <w:p w14:paraId="2DD546A1" w14:textId="77777777" w:rsidR="008323D3" w:rsidRDefault="00185409">
      <w:pPr>
        <w:pStyle w:val="Brdtekst"/>
        <w:ind w:left="6159"/>
        <w:rPr>
          <w:rFonts w:ascii="Times New Roman"/>
          <w:sz w:val="20"/>
        </w:rPr>
      </w:pPr>
      <w:r>
        <w:rPr>
          <w:rFonts w:ascii="Times New Roman"/>
          <w:noProof/>
          <w:sz w:val="20"/>
          <w:lang w:val="nb-NO" w:eastAsia="nb-NO" w:bidi="ar-SA"/>
        </w:rPr>
        <w:drawing>
          <wp:inline distT="0" distB="0" distL="0" distR="0" wp14:anchorId="6118EE21" wp14:editId="14746173">
            <wp:extent cx="2176189" cy="44338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176189" cy="443388"/>
                    </a:xfrm>
                    <a:prstGeom prst="rect">
                      <a:avLst/>
                    </a:prstGeom>
                  </pic:spPr>
                </pic:pic>
              </a:graphicData>
            </a:graphic>
          </wp:inline>
        </w:drawing>
      </w:r>
    </w:p>
    <w:p w14:paraId="6A035212" w14:textId="77777777" w:rsidR="008323D3" w:rsidRDefault="008323D3">
      <w:pPr>
        <w:pStyle w:val="Brdtekst"/>
        <w:rPr>
          <w:rFonts w:ascii="Times New Roman"/>
          <w:sz w:val="20"/>
        </w:rPr>
      </w:pPr>
    </w:p>
    <w:p w14:paraId="1C70769A" w14:textId="77777777" w:rsidR="008323D3" w:rsidRDefault="008323D3">
      <w:pPr>
        <w:pStyle w:val="Brdtekst"/>
        <w:rPr>
          <w:rFonts w:ascii="Times New Roman"/>
          <w:sz w:val="20"/>
        </w:rPr>
      </w:pPr>
    </w:p>
    <w:p w14:paraId="2182A14D" w14:textId="77777777" w:rsidR="008323D3" w:rsidRDefault="008323D3">
      <w:pPr>
        <w:pStyle w:val="Brdtekst"/>
        <w:rPr>
          <w:rFonts w:ascii="Times New Roman"/>
          <w:sz w:val="20"/>
        </w:rPr>
      </w:pPr>
    </w:p>
    <w:p w14:paraId="2B72D905" w14:textId="77777777" w:rsidR="008323D3" w:rsidRDefault="008323D3">
      <w:pPr>
        <w:pStyle w:val="Brdtekst"/>
        <w:rPr>
          <w:rFonts w:ascii="Times New Roman"/>
          <w:sz w:val="20"/>
        </w:rPr>
      </w:pPr>
    </w:p>
    <w:p w14:paraId="6FFC6AAE" w14:textId="77777777" w:rsidR="008323D3" w:rsidRDefault="008323D3">
      <w:pPr>
        <w:pStyle w:val="Brdtekst"/>
        <w:rPr>
          <w:rFonts w:ascii="Times New Roman"/>
          <w:sz w:val="20"/>
        </w:rPr>
      </w:pPr>
    </w:p>
    <w:p w14:paraId="41959B8F" w14:textId="77777777" w:rsidR="008323D3" w:rsidRDefault="008323D3">
      <w:pPr>
        <w:pStyle w:val="Brdtekst"/>
        <w:rPr>
          <w:rFonts w:ascii="Times New Roman"/>
          <w:sz w:val="20"/>
        </w:rPr>
      </w:pPr>
    </w:p>
    <w:p w14:paraId="237D8AA7" w14:textId="77777777" w:rsidR="008323D3" w:rsidRDefault="008323D3">
      <w:pPr>
        <w:pStyle w:val="Brdtekst"/>
        <w:rPr>
          <w:rFonts w:ascii="Times New Roman"/>
          <w:sz w:val="20"/>
        </w:rPr>
      </w:pPr>
    </w:p>
    <w:p w14:paraId="223CEA02" w14:textId="77777777" w:rsidR="008323D3" w:rsidRDefault="008323D3">
      <w:pPr>
        <w:pStyle w:val="Brdtekst"/>
        <w:rPr>
          <w:rFonts w:ascii="Times New Roman"/>
          <w:sz w:val="20"/>
        </w:rPr>
      </w:pPr>
    </w:p>
    <w:p w14:paraId="15EA1131" w14:textId="77777777" w:rsidR="008323D3" w:rsidRDefault="008323D3">
      <w:pPr>
        <w:pStyle w:val="Brdtekst"/>
        <w:rPr>
          <w:rFonts w:ascii="Times New Roman"/>
          <w:sz w:val="20"/>
        </w:rPr>
      </w:pPr>
    </w:p>
    <w:p w14:paraId="4FA23CB2" w14:textId="77777777" w:rsidR="008323D3" w:rsidRDefault="008323D3">
      <w:pPr>
        <w:pStyle w:val="Brdtekst"/>
        <w:rPr>
          <w:rFonts w:ascii="Times New Roman"/>
          <w:sz w:val="20"/>
        </w:rPr>
      </w:pPr>
    </w:p>
    <w:p w14:paraId="1DFF65D6" w14:textId="77777777" w:rsidR="008323D3" w:rsidRDefault="008323D3">
      <w:pPr>
        <w:pStyle w:val="Brdtekst"/>
        <w:rPr>
          <w:rFonts w:ascii="Times New Roman"/>
          <w:sz w:val="20"/>
        </w:rPr>
      </w:pPr>
    </w:p>
    <w:p w14:paraId="69F28F2B" w14:textId="77777777" w:rsidR="008323D3" w:rsidRDefault="008323D3">
      <w:pPr>
        <w:pStyle w:val="Brdtekst"/>
        <w:rPr>
          <w:rFonts w:ascii="Times New Roman"/>
          <w:sz w:val="20"/>
        </w:rPr>
      </w:pPr>
    </w:p>
    <w:p w14:paraId="196B48F4" w14:textId="77777777" w:rsidR="008323D3" w:rsidRDefault="008323D3">
      <w:pPr>
        <w:pStyle w:val="Brdtekst"/>
        <w:rPr>
          <w:rFonts w:ascii="Times New Roman"/>
          <w:sz w:val="20"/>
        </w:rPr>
      </w:pPr>
    </w:p>
    <w:p w14:paraId="43DA746F" w14:textId="77777777" w:rsidR="008323D3" w:rsidRDefault="008323D3">
      <w:pPr>
        <w:pStyle w:val="Brdtekst"/>
        <w:spacing w:before="11"/>
        <w:rPr>
          <w:rFonts w:ascii="Times New Roman"/>
          <w:sz w:val="15"/>
        </w:rPr>
      </w:pPr>
    </w:p>
    <w:p w14:paraId="2EB19E37" w14:textId="77777777" w:rsidR="008323D3" w:rsidRDefault="00185409">
      <w:pPr>
        <w:pStyle w:val="Overskrift1"/>
        <w:spacing w:before="88"/>
        <w:ind w:left="3195" w:right="894"/>
      </w:pPr>
      <w:r>
        <w:t>Oppfølging av styringsbudskap fra Helse- og omsorgs- departementet om intensiv- kapasitet</w:t>
      </w:r>
    </w:p>
    <w:p w14:paraId="6F0F804A" w14:textId="77777777" w:rsidR="008323D3" w:rsidRDefault="008323D3">
      <w:pPr>
        <w:pStyle w:val="Brdtekst"/>
        <w:rPr>
          <w:rFonts w:ascii="Arial"/>
          <w:b/>
          <w:sz w:val="44"/>
        </w:rPr>
      </w:pPr>
    </w:p>
    <w:p w14:paraId="40B98EB2" w14:textId="77777777" w:rsidR="008323D3" w:rsidRDefault="008323D3">
      <w:pPr>
        <w:pStyle w:val="Brdtekst"/>
        <w:spacing w:before="6"/>
        <w:rPr>
          <w:rFonts w:ascii="Arial"/>
          <w:b/>
          <w:sz w:val="35"/>
        </w:rPr>
      </w:pPr>
    </w:p>
    <w:p w14:paraId="29A4073A" w14:textId="77777777" w:rsidR="008323D3" w:rsidRDefault="00185409">
      <w:pPr>
        <w:ind w:left="3195"/>
        <w:rPr>
          <w:rFonts w:ascii="Arial" w:hAnsi="Arial"/>
          <w:b/>
          <w:sz w:val="36"/>
        </w:rPr>
      </w:pPr>
      <w:r>
        <w:rPr>
          <w:rFonts w:ascii="Arial" w:hAnsi="Arial"/>
          <w:b/>
          <w:sz w:val="36"/>
        </w:rPr>
        <w:t>Delrapport fra Helse Sør-Øst RHF</w:t>
      </w:r>
    </w:p>
    <w:p w14:paraId="14B5F744" w14:textId="77777777" w:rsidR="008323D3" w:rsidRDefault="008323D3">
      <w:pPr>
        <w:pStyle w:val="Brdtekst"/>
        <w:rPr>
          <w:rFonts w:ascii="Arial"/>
          <w:b/>
          <w:sz w:val="40"/>
        </w:rPr>
      </w:pPr>
    </w:p>
    <w:p w14:paraId="23DBB236" w14:textId="77777777" w:rsidR="008323D3" w:rsidRDefault="008323D3">
      <w:pPr>
        <w:pStyle w:val="Brdtekst"/>
        <w:rPr>
          <w:rFonts w:ascii="Arial"/>
          <w:b/>
          <w:sz w:val="40"/>
        </w:rPr>
      </w:pPr>
    </w:p>
    <w:p w14:paraId="3E509889" w14:textId="77777777" w:rsidR="008323D3" w:rsidRDefault="008323D3">
      <w:pPr>
        <w:pStyle w:val="Brdtekst"/>
        <w:rPr>
          <w:rFonts w:ascii="Arial"/>
          <w:b/>
          <w:sz w:val="40"/>
        </w:rPr>
      </w:pPr>
    </w:p>
    <w:p w14:paraId="34F88E38" w14:textId="77777777" w:rsidR="008323D3" w:rsidRDefault="008323D3">
      <w:pPr>
        <w:pStyle w:val="Brdtekst"/>
        <w:rPr>
          <w:rFonts w:ascii="Arial"/>
          <w:b/>
          <w:sz w:val="40"/>
        </w:rPr>
      </w:pPr>
    </w:p>
    <w:p w14:paraId="3E74DB00" w14:textId="77777777" w:rsidR="008323D3" w:rsidRDefault="00185409">
      <w:pPr>
        <w:spacing w:before="245"/>
        <w:ind w:left="3195"/>
        <w:rPr>
          <w:rFonts w:ascii="Arial"/>
          <w:b/>
          <w:sz w:val="36"/>
        </w:rPr>
      </w:pPr>
      <w:r>
        <w:rPr>
          <w:rFonts w:ascii="Arial"/>
          <w:b/>
          <w:sz w:val="36"/>
        </w:rPr>
        <w:t>15. juni 2022</w:t>
      </w:r>
      <w:r w:rsidR="00CD370C">
        <w:rPr>
          <w:rFonts w:ascii="Arial"/>
          <w:b/>
          <w:sz w:val="36"/>
        </w:rPr>
        <w:t xml:space="preserve"> </w:t>
      </w:r>
    </w:p>
    <w:p w14:paraId="240274FB" w14:textId="77777777" w:rsidR="00CD370C" w:rsidRPr="00CD370C" w:rsidRDefault="00CD370C">
      <w:pPr>
        <w:spacing w:before="245"/>
        <w:ind w:left="3195"/>
        <w:rPr>
          <w:rFonts w:ascii="Arial"/>
          <w:b/>
        </w:rPr>
      </w:pPr>
      <w:r w:rsidRPr="00CD370C">
        <w:rPr>
          <w:rFonts w:ascii="Arial"/>
          <w:b/>
        </w:rPr>
        <w:t>(Revidert 24.06.22)</w:t>
      </w:r>
    </w:p>
    <w:p w14:paraId="0D4E7CD4" w14:textId="77777777" w:rsidR="008323D3" w:rsidRDefault="008323D3">
      <w:pPr>
        <w:rPr>
          <w:rFonts w:ascii="Arial"/>
          <w:sz w:val="36"/>
        </w:rPr>
        <w:sectPr w:rsidR="008323D3">
          <w:headerReference w:type="even" r:id="rId9"/>
          <w:headerReference w:type="default" r:id="rId10"/>
          <w:footerReference w:type="even" r:id="rId11"/>
          <w:footerReference w:type="default" r:id="rId12"/>
          <w:headerReference w:type="first" r:id="rId13"/>
          <w:footerReference w:type="first" r:id="rId14"/>
          <w:type w:val="continuous"/>
          <w:pgSz w:w="11910" w:h="16850"/>
          <w:pgMar w:top="460" w:right="1020" w:bottom="0" w:left="780" w:header="708" w:footer="708" w:gutter="0"/>
          <w:cols w:space="708"/>
        </w:sectPr>
      </w:pPr>
    </w:p>
    <w:p w14:paraId="17179AF9" w14:textId="77777777" w:rsidR="008323D3" w:rsidRDefault="008323D3">
      <w:pPr>
        <w:pStyle w:val="Brdtekst"/>
        <w:rPr>
          <w:rFonts w:ascii="Arial"/>
          <w:b/>
          <w:sz w:val="20"/>
        </w:rPr>
      </w:pPr>
    </w:p>
    <w:p w14:paraId="7FA100A5" w14:textId="77777777" w:rsidR="008323D3" w:rsidRDefault="008323D3">
      <w:pPr>
        <w:pStyle w:val="Brdtekst"/>
        <w:rPr>
          <w:rFonts w:ascii="Arial"/>
          <w:b/>
          <w:sz w:val="20"/>
        </w:rPr>
      </w:pPr>
    </w:p>
    <w:p w14:paraId="5EA2B100" w14:textId="77777777" w:rsidR="008323D3" w:rsidRDefault="008323D3">
      <w:pPr>
        <w:pStyle w:val="Brdtekst"/>
        <w:rPr>
          <w:rFonts w:ascii="Arial"/>
          <w:b/>
          <w:sz w:val="20"/>
        </w:rPr>
      </w:pPr>
    </w:p>
    <w:p w14:paraId="226D3EF8" w14:textId="77777777" w:rsidR="008323D3" w:rsidRDefault="008323D3">
      <w:pPr>
        <w:pStyle w:val="Brdtekst"/>
        <w:rPr>
          <w:rFonts w:ascii="Arial"/>
          <w:b/>
          <w:sz w:val="20"/>
        </w:rPr>
      </w:pPr>
    </w:p>
    <w:p w14:paraId="54156E22" w14:textId="77777777" w:rsidR="008323D3" w:rsidRDefault="008323D3">
      <w:pPr>
        <w:pStyle w:val="Brdtekst"/>
        <w:rPr>
          <w:rFonts w:ascii="Arial"/>
          <w:b/>
          <w:sz w:val="20"/>
        </w:rPr>
      </w:pPr>
    </w:p>
    <w:p w14:paraId="552EF77A" w14:textId="77777777" w:rsidR="008323D3" w:rsidRDefault="008323D3">
      <w:pPr>
        <w:pStyle w:val="Brdtekst"/>
        <w:spacing w:before="6"/>
        <w:rPr>
          <w:rFonts w:ascii="Arial"/>
          <w:b/>
          <w:sz w:val="26"/>
        </w:rPr>
      </w:pPr>
    </w:p>
    <w:p w14:paraId="05D8D718" w14:textId="77777777" w:rsidR="008323D3" w:rsidRDefault="00185409">
      <w:pPr>
        <w:pStyle w:val="Overskrift1"/>
        <w:rPr>
          <w:rFonts w:ascii="Calibri"/>
        </w:rPr>
      </w:pPr>
      <w:r>
        <w:rPr>
          <w:rFonts w:ascii="Calibri"/>
        </w:rPr>
        <w:t>Innhold</w:t>
      </w:r>
    </w:p>
    <w:sdt>
      <w:sdtPr>
        <w:id w:val="1118264469"/>
        <w:docPartObj>
          <w:docPartGallery w:val="Table of Contents"/>
          <w:docPartUnique/>
        </w:docPartObj>
      </w:sdtPr>
      <w:sdtEndPr/>
      <w:sdtContent>
        <w:p w14:paraId="6AC06A0A" w14:textId="77777777" w:rsidR="008323D3" w:rsidRDefault="00506118">
          <w:pPr>
            <w:pStyle w:val="INNH1"/>
            <w:numPr>
              <w:ilvl w:val="0"/>
              <w:numId w:val="6"/>
            </w:numPr>
            <w:tabs>
              <w:tab w:val="left" w:pos="1118"/>
              <w:tab w:val="left" w:pos="1119"/>
              <w:tab w:val="right" w:leader="dot" w:pos="9987"/>
            </w:tabs>
            <w:spacing w:before="532"/>
          </w:pPr>
          <w:hyperlink w:anchor="_bookmark0" w:history="1">
            <w:r w:rsidR="00185409">
              <w:t>Innledning</w:t>
            </w:r>
            <w:r w:rsidR="00185409">
              <w:tab/>
              <w:t>3</w:t>
            </w:r>
          </w:hyperlink>
        </w:p>
        <w:p w14:paraId="72B0F5EB" w14:textId="77777777" w:rsidR="008323D3" w:rsidRDefault="00506118">
          <w:pPr>
            <w:pStyle w:val="INNH1"/>
            <w:numPr>
              <w:ilvl w:val="0"/>
              <w:numId w:val="6"/>
            </w:numPr>
            <w:tabs>
              <w:tab w:val="left" w:pos="1118"/>
              <w:tab w:val="left" w:pos="1119"/>
              <w:tab w:val="right" w:leader="dot" w:pos="9987"/>
            </w:tabs>
            <w:spacing w:before="361"/>
          </w:pPr>
          <w:hyperlink w:anchor="_bookmark1" w:history="1">
            <w:r w:rsidR="00185409">
              <w:t>Bakgrunn</w:t>
            </w:r>
            <w:r w:rsidR="00185409">
              <w:rPr>
                <w:spacing w:val="-2"/>
              </w:rPr>
              <w:t xml:space="preserve"> </w:t>
            </w:r>
            <w:r w:rsidR="00185409">
              <w:t>for</w:t>
            </w:r>
            <w:r w:rsidR="00185409">
              <w:rPr>
                <w:spacing w:val="-1"/>
              </w:rPr>
              <w:t xml:space="preserve"> </w:t>
            </w:r>
            <w:r w:rsidR="00185409">
              <w:t>oppdraget</w:t>
            </w:r>
            <w:r w:rsidR="00185409">
              <w:tab/>
              <w:t>3</w:t>
            </w:r>
          </w:hyperlink>
        </w:p>
        <w:p w14:paraId="09D734FB" w14:textId="77777777" w:rsidR="008323D3" w:rsidRDefault="00506118">
          <w:pPr>
            <w:pStyle w:val="INNH1"/>
            <w:numPr>
              <w:ilvl w:val="0"/>
              <w:numId w:val="6"/>
            </w:numPr>
            <w:tabs>
              <w:tab w:val="left" w:pos="1118"/>
              <w:tab w:val="left" w:pos="1119"/>
              <w:tab w:val="right" w:leader="dot" w:pos="9987"/>
            </w:tabs>
            <w:spacing w:before="360"/>
          </w:pPr>
          <w:hyperlink w:anchor="_bookmark2" w:history="1">
            <w:r w:rsidR="00185409">
              <w:t>Statusrapport</w:t>
            </w:r>
            <w:r w:rsidR="00185409">
              <w:tab/>
              <w:t>3</w:t>
            </w:r>
          </w:hyperlink>
        </w:p>
        <w:p w14:paraId="2018375C" w14:textId="77777777" w:rsidR="008323D3" w:rsidRDefault="00506118">
          <w:pPr>
            <w:pStyle w:val="INNH2"/>
            <w:numPr>
              <w:ilvl w:val="1"/>
              <w:numId w:val="6"/>
            </w:numPr>
            <w:tabs>
              <w:tab w:val="left" w:pos="1359"/>
              <w:tab w:val="right" w:leader="dot" w:pos="9987"/>
            </w:tabs>
            <w:spacing w:before="241"/>
          </w:pPr>
          <w:hyperlink w:anchor="_bookmark3" w:history="1">
            <w:r w:rsidR="00185409">
              <w:t>Status for antall intensivsenger, overvåkningssenger</w:t>
            </w:r>
            <w:r w:rsidR="00185409">
              <w:rPr>
                <w:spacing w:val="-3"/>
              </w:rPr>
              <w:t xml:space="preserve"> </w:t>
            </w:r>
            <w:r w:rsidR="00185409">
              <w:t>og</w:t>
            </w:r>
            <w:r w:rsidR="00185409">
              <w:rPr>
                <w:spacing w:val="-2"/>
              </w:rPr>
              <w:t xml:space="preserve"> </w:t>
            </w:r>
            <w:r w:rsidR="00185409">
              <w:t>observasjonssenger</w:t>
            </w:r>
            <w:r w:rsidR="00185409">
              <w:tab/>
              <w:t>3</w:t>
            </w:r>
          </w:hyperlink>
        </w:p>
        <w:p w14:paraId="5C108469" w14:textId="77777777" w:rsidR="008323D3" w:rsidRDefault="00506118">
          <w:pPr>
            <w:pStyle w:val="INNH3"/>
            <w:numPr>
              <w:ilvl w:val="2"/>
              <w:numId w:val="6"/>
            </w:numPr>
            <w:tabs>
              <w:tab w:val="left" w:pos="1838"/>
              <w:tab w:val="left" w:pos="1839"/>
              <w:tab w:val="right" w:leader="dot" w:pos="9987"/>
            </w:tabs>
          </w:pPr>
          <w:hyperlink w:anchor="_bookmark4" w:history="1">
            <w:r w:rsidR="00185409">
              <w:t>Planlagt økning</w:t>
            </w:r>
            <w:r w:rsidR="00185409">
              <w:rPr>
                <w:spacing w:val="-2"/>
              </w:rPr>
              <w:t xml:space="preserve"> </w:t>
            </w:r>
            <w:r w:rsidR="00185409">
              <w:t>av</w:t>
            </w:r>
            <w:r w:rsidR="00185409">
              <w:rPr>
                <w:spacing w:val="-2"/>
              </w:rPr>
              <w:t xml:space="preserve"> </w:t>
            </w:r>
            <w:r w:rsidR="00185409">
              <w:t>intensivkapasiteten</w:t>
            </w:r>
            <w:r w:rsidR="00185409">
              <w:tab/>
              <w:t>5</w:t>
            </w:r>
          </w:hyperlink>
        </w:p>
        <w:p w14:paraId="00B48EA2" w14:textId="77777777" w:rsidR="008323D3" w:rsidRDefault="00506118">
          <w:pPr>
            <w:pStyle w:val="INNH2"/>
            <w:numPr>
              <w:ilvl w:val="1"/>
              <w:numId w:val="6"/>
            </w:numPr>
            <w:tabs>
              <w:tab w:val="left" w:pos="1359"/>
              <w:tab w:val="right" w:leader="dot" w:pos="9987"/>
            </w:tabs>
            <w:spacing w:line="267" w:lineRule="exact"/>
          </w:pPr>
          <w:hyperlink w:anchor="_bookmark5" w:history="1">
            <w:r w:rsidR="00185409">
              <w:t>Status for bemanning</w:t>
            </w:r>
            <w:r w:rsidR="00185409">
              <w:rPr>
                <w:spacing w:val="-2"/>
              </w:rPr>
              <w:t xml:space="preserve"> </w:t>
            </w:r>
            <w:r w:rsidR="00185409">
              <w:t>/personell</w:t>
            </w:r>
            <w:r w:rsidR="00185409">
              <w:tab/>
              <w:t>5</w:t>
            </w:r>
          </w:hyperlink>
        </w:p>
        <w:p w14:paraId="29D09234" w14:textId="77777777" w:rsidR="008323D3" w:rsidRDefault="00506118">
          <w:pPr>
            <w:pStyle w:val="INNH3"/>
            <w:numPr>
              <w:ilvl w:val="2"/>
              <w:numId w:val="6"/>
            </w:numPr>
            <w:tabs>
              <w:tab w:val="left" w:pos="1838"/>
              <w:tab w:val="left" w:pos="1839"/>
              <w:tab w:val="right" w:leader="dot" w:pos="9987"/>
            </w:tabs>
            <w:spacing w:line="267" w:lineRule="exact"/>
          </w:pPr>
          <w:hyperlink w:anchor="_bookmark6" w:history="1">
            <w:r w:rsidR="00185409">
              <w:t>Tiltak for bedre analyse av</w:t>
            </w:r>
            <w:r w:rsidR="00185409">
              <w:rPr>
                <w:spacing w:val="-2"/>
              </w:rPr>
              <w:t xml:space="preserve"> </w:t>
            </w:r>
            <w:r w:rsidR="00185409">
              <w:t>fremtidig</w:t>
            </w:r>
            <w:r w:rsidR="00185409">
              <w:rPr>
                <w:spacing w:val="-2"/>
              </w:rPr>
              <w:t xml:space="preserve"> </w:t>
            </w:r>
            <w:r w:rsidR="00185409">
              <w:t>bemanningsbehov</w:t>
            </w:r>
            <w:r w:rsidR="00185409">
              <w:tab/>
              <w:t>6</w:t>
            </w:r>
          </w:hyperlink>
        </w:p>
        <w:p w14:paraId="418594F5" w14:textId="77777777" w:rsidR="008323D3" w:rsidRDefault="00506118">
          <w:pPr>
            <w:pStyle w:val="INNH3"/>
            <w:numPr>
              <w:ilvl w:val="2"/>
              <w:numId w:val="6"/>
            </w:numPr>
            <w:tabs>
              <w:tab w:val="left" w:pos="1838"/>
              <w:tab w:val="left" w:pos="1839"/>
              <w:tab w:val="right" w:leader="dot" w:pos="9987"/>
            </w:tabs>
          </w:pPr>
          <w:hyperlink w:anchor="_bookmark7" w:history="1">
            <w:r w:rsidR="00185409">
              <w:t>Utdanningskapasitet</w:t>
            </w:r>
            <w:r w:rsidR="00185409">
              <w:tab/>
              <w:t>6</w:t>
            </w:r>
          </w:hyperlink>
        </w:p>
        <w:p w14:paraId="3CB04598" w14:textId="77777777" w:rsidR="008323D3" w:rsidRDefault="00506118">
          <w:pPr>
            <w:pStyle w:val="INNH3"/>
            <w:numPr>
              <w:ilvl w:val="2"/>
              <w:numId w:val="6"/>
            </w:numPr>
            <w:tabs>
              <w:tab w:val="left" w:pos="1838"/>
              <w:tab w:val="left" w:pos="1839"/>
              <w:tab w:val="right" w:leader="dot" w:pos="9987"/>
            </w:tabs>
            <w:spacing w:before="1"/>
          </w:pPr>
          <w:hyperlink w:anchor="_bookmark8" w:history="1">
            <w:r w:rsidR="00185409">
              <w:t>Kompetansehevende tiltak for å møte et</w:t>
            </w:r>
            <w:r w:rsidR="00185409">
              <w:rPr>
                <w:spacing w:val="-14"/>
              </w:rPr>
              <w:t xml:space="preserve"> </w:t>
            </w:r>
            <w:r w:rsidR="00185409">
              <w:t>økt</w:t>
            </w:r>
            <w:r w:rsidR="00185409">
              <w:rPr>
                <w:spacing w:val="-1"/>
              </w:rPr>
              <w:t xml:space="preserve"> </w:t>
            </w:r>
            <w:r w:rsidR="00185409">
              <w:t>bemanningsbehov</w:t>
            </w:r>
            <w:r w:rsidR="00185409">
              <w:tab/>
              <w:t>7</w:t>
            </w:r>
          </w:hyperlink>
        </w:p>
        <w:p w14:paraId="516ABE6C" w14:textId="77777777" w:rsidR="008323D3" w:rsidRDefault="00506118">
          <w:pPr>
            <w:pStyle w:val="INNH2"/>
            <w:numPr>
              <w:ilvl w:val="1"/>
              <w:numId w:val="6"/>
            </w:numPr>
            <w:tabs>
              <w:tab w:val="left" w:pos="1359"/>
              <w:tab w:val="right" w:leader="dot" w:pos="9987"/>
            </w:tabs>
          </w:pPr>
          <w:hyperlink w:anchor="_bookmark9" w:history="1">
            <w:r w:rsidR="00185409">
              <w:t>Tiltak for å skape</w:t>
            </w:r>
            <w:r w:rsidR="00185409">
              <w:rPr>
                <w:spacing w:val="-1"/>
              </w:rPr>
              <w:t xml:space="preserve"> </w:t>
            </w:r>
            <w:r w:rsidR="00185409">
              <w:t>fleksibilitet</w:t>
            </w:r>
            <w:r w:rsidR="00185409">
              <w:tab/>
              <w:t>7</w:t>
            </w:r>
          </w:hyperlink>
        </w:p>
        <w:p w14:paraId="071805C9" w14:textId="77777777" w:rsidR="008323D3" w:rsidRDefault="00506118">
          <w:pPr>
            <w:pStyle w:val="INNH1"/>
            <w:numPr>
              <w:ilvl w:val="0"/>
              <w:numId w:val="6"/>
            </w:numPr>
            <w:tabs>
              <w:tab w:val="left" w:pos="1118"/>
              <w:tab w:val="left" w:pos="1119"/>
            </w:tabs>
          </w:pPr>
          <w:hyperlink w:anchor="_bookmark10" w:history="1">
            <w:r w:rsidR="00185409">
              <w:t>Status</w:t>
            </w:r>
            <w:r w:rsidR="00185409">
              <w:rPr>
                <w:spacing w:val="-3"/>
              </w:rPr>
              <w:t xml:space="preserve"> </w:t>
            </w:r>
            <w:r w:rsidR="00185409">
              <w:t>for</w:t>
            </w:r>
            <w:r w:rsidR="00185409">
              <w:rPr>
                <w:spacing w:val="-3"/>
              </w:rPr>
              <w:t xml:space="preserve"> </w:t>
            </w:r>
            <w:r w:rsidR="00185409">
              <w:t>regionale</w:t>
            </w:r>
            <w:r w:rsidR="00185409">
              <w:rPr>
                <w:spacing w:val="-4"/>
              </w:rPr>
              <w:t xml:space="preserve"> </w:t>
            </w:r>
            <w:r w:rsidR="00185409">
              <w:t>lagre</w:t>
            </w:r>
            <w:r w:rsidR="00185409">
              <w:rPr>
                <w:spacing w:val="-4"/>
              </w:rPr>
              <w:t xml:space="preserve"> </w:t>
            </w:r>
            <w:r w:rsidR="00185409">
              <w:t>for</w:t>
            </w:r>
            <w:r w:rsidR="00185409">
              <w:rPr>
                <w:spacing w:val="-3"/>
              </w:rPr>
              <w:t xml:space="preserve"> </w:t>
            </w:r>
            <w:r w:rsidR="00185409">
              <w:t>klinisk</w:t>
            </w:r>
            <w:r w:rsidR="00185409">
              <w:rPr>
                <w:spacing w:val="-6"/>
              </w:rPr>
              <w:t xml:space="preserve"> </w:t>
            </w:r>
            <w:r w:rsidR="00185409">
              <w:t>medisinsk</w:t>
            </w:r>
            <w:r w:rsidR="00185409">
              <w:rPr>
                <w:spacing w:val="-6"/>
              </w:rPr>
              <w:t xml:space="preserve"> </w:t>
            </w:r>
            <w:r w:rsidR="00185409">
              <w:t>teknisk</w:t>
            </w:r>
            <w:r w:rsidR="00185409">
              <w:rPr>
                <w:spacing w:val="-3"/>
              </w:rPr>
              <w:t xml:space="preserve"> </w:t>
            </w:r>
            <w:r w:rsidR="00185409">
              <w:t>utstyr,</w:t>
            </w:r>
            <w:r w:rsidR="00185409">
              <w:rPr>
                <w:spacing w:val="-5"/>
              </w:rPr>
              <w:t xml:space="preserve"> </w:t>
            </w:r>
            <w:r w:rsidR="00185409">
              <w:t>forbruksmateriell</w:t>
            </w:r>
            <w:r w:rsidR="00185409">
              <w:rPr>
                <w:spacing w:val="-5"/>
              </w:rPr>
              <w:t xml:space="preserve"> </w:t>
            </w:r>
            <w:r w:rsidR="00185409">
              <w:t>og</w:t>
            </w:r>
            <w:r w:rsidR="00185409">
              <w:rPr>
                <w:spacing w:val="-3"/>
              </w:rPr>
              <w:t xml:space="preserve"> </w:t>
            </w:r>
            <w:r w:rsidR="00185409">
              <w:t>legemidler</w:t>
            </w:r>
            <w:r w:rsidR="00185409">
              <w:rPr>
                <w:spacing w:val="-14"/>
              </w:rPr>
              <w:t xml:space="preserve"> </w:t>
            </w:r>
            <w:r w:rsidR="00185409">
              <w:t>...</w:t>
            </w:r>
            <w:r w:rsidR="00185409">
              <w:rPr>
                <w:spacing w:val="-18"/>
              </w:rPr>
              <w:t xml:space="preserve"> </w:t>
            </w:r>
            <w:r w:rsidR="00185409">
              <w:t>8</w:t>
            </w:r>
          </w:hyperlink>
        </w:p>
        <w:p w14:paraId="3FA2AD9C" w14:textId="77777777" w:rsidR="008323D3" w:rsidRDefault="00506118">
          <w:pPr>
            <w:pStyle w:val="INNH2"/>
            <w:numPr>
              <w:ilvl w:val="1"/>
              <w:numId w:val="6"/>
            </w:numPr>
            <w:tabs>
              <w:tab w:val="left" w:pos="1359"/>
              <w:tab w:val="right" w:leader="dot" w:pos="9987"/>
            </w:tabs>
            <w:spacing w:before="241"/>
          </w:pPr>
          <w:hyperlink w:anchor="_bookmark11" w:history="1">
            <w:r w:rsidR="00185409">
              <w:t>Klinisk medisinsk teknisk</w:t>
            </w:r>
            <w:r w:rsidR="00185409">
              <w:rPr>
                <w:spacing w:val="-5"/>
              </w:rPr>
              <w:t xml:space="preserve"> </w:t>
            </w:r>
            <w:r w:rsidR="00185409">
              <w:t>utstyr</w:t>
            </w:r>
            <w:r w:rsidR="00185409">
              <w:rPr>
                <w:spacing w:val="-3"/>
              </w:rPr>
              <w:t xml:space="preserve"> </w:t>
            </w:r>
            <w:r w:rsidR="00185409">
              <w:t>(MTU)</w:t>
            </w:r>
            <w:r w:rsidR="00185409">
              <w:tab/>
              <w:t>8</w:t>
            </w:r>
          </w:hyperlink>
        </w:p>
        <w:p w14:paraId="5EEB1F59" w14:textId="77777777" w:rsidR="008323D3" w:rsidRDefault="00506118">
          <w:pPr>
            <w:pStyle w:val="INNH2"/>
            <w:numPr>
              <w:ilvl w:val="1"/>
              <w:numId w:val="6"/>
            </w:numPr>
            <w:tabs>
              <w:tab w:val="left" w:pos="1359"/>
              <w:tab w:val="right" w:leader="dot" w:pos="9987"/>
            </w:tabs>
          </w:pPr>
          <w:hyperlink w:anchor="_bookmark12" w:history="1">
            <w:r w:rsidR="00185409">
              <w:t>Forbruksmateriell</w:t>
            </w:r>
            <w:r w:rsidR="00185409">
              <w:tab/>
              <w:t>9</w:t>
            </w:r>
          </w:hyperlink>
        </w:p>
        <w:p w14:paraId="7D1E85D3" w14:textId="77777777" w:rsidR="008323D3" w:rsidRDefault="00506118">
          <w:pPr>
            <w:pStyle w:val="INNH2"/>
            <w:numPr>
              <w:ilvl w:val="1"/>
              <w:numId w:val="6"/>
            </w:numPr>
            <w:tabs>
              <w:tab w:val="left" w:pos="1359"/>
              <w:tab w:val="right" w:leader="dot" w:pos="9988"/>
            </w:tabs>
          </w:pPr>
          <w:hyperlink w:anchor="_bookmark13" w:history="1">
            <w:r w:rsidR="00185409">
              <w:t>Legemidler</w:t>
            </w:r>
            <w:r w:rsidR="00185409">
              <w:tab/>
              <w:t>10</w:t>
            </w:r>
          </w:hyperlink>
        </w:p>
        <w:p w14:paraId="1700F075" w14:textId="77777777" w:rsidR="008323D3" w:rsidRDefault="00506118">
          <w:pPr>
            <w:pStyle w:val="INNH1"/>
            <w:numPr>
              <w:ilvl w:val="0"/>
              <w:numId w:val="6"/>
            </w:numPr>
            <w:tabs>
              <w:tab w:val="left" w:pos="1118"/>
              <w:tab w:val="left" w:pos="1119"/>
              <w:tab w:val="right" w:leader="dot" w:pos="9988"/>
            </w:tabs>
          </w:pPr>
          <w:hyperlink w:anchor="_bookmark14" w:history="1">
            <w:r w:rsidR="00185409">
              <w:t>Videre regionalt og</w:t>
            </w:r>
            <w:r w:rsidR="00185409">
              <w:rPr>
                <w:spacing w:val="-3"/>
              </w:rPr>
              <w:t xml:space="preserve"> </w:t>
            </w:r>
            <w:r w:rsidR="00185409">
              <w:t>lokalt</w:t>
            </w:r>
            <w:r w:rsidR="00185409">
              <w:rPr>
                <w:spacing w:val="-3"/>
              </w:rPr>
              <w:t xml:space="preserve"> </w:t>
            </w:r>
            <w:r w:rsidR="00185409">
              <w:t>arbeid</w:t>
            </w:r>
            <w:r w:rsidR="00185409">
              <w:tab/>
              <w:t>10</w:t>
            </w:r>
          </w:hyperlink>
        </w:p>
      </w:sdtContent>
    </w:sdt>
    <w:p w14:paraId="1A157546" w14:textId="77777777" w:rsidR="008323D3" w:rsidRDefault="008323D3">
      <w:pPr>
        <w:sectPr w:rsidR="008323D3">
          <w:headerReference w:type="even" r:id="rId15"/>
          <w:headerReference w:type="default" r:id="rId16"/>
          <w:pgSz w:w="11910" w:h="16850"/>
          <w:pgMar w:top="1000" w:right="1020" w:bottom="280" w:left="780" w:header="710" w:footer="0" w:gutter="0"/>
          <w:pgNumType w:start="2"/>
          <w:cols w:space="708"/>
        </w:sectPr>
      </w:pPr>
    </w:p>
    <w:p w14:paraId="4440BDD2" w14:textId="77777777" w:rsidR="008323D3" w:rsidRDefault="008323D3">
      <w:pPr>
        <w:pStyle w:val="Brdtekst"/>
        <w:spacing w:before="9"/>
        <w:rPr>
          <w:b/>
        </w:rPr>
      </w:pPr>
    </w:p>
    <w:p w14:paraId="02BEEE65" w14:textId="77777777" w:rsidR="008323D3" w:rsidRDefault="00185409">
      <w:pPr>
        <w:pStyle w:val="Overskrift2"/>
        <w:numPr>
          <w:ilvl w:val="0"/>
          <w:numId w:val="5"/>
        </w:numPr>
        <w:tabs>
          <w:tab w:val="left" w:pos="833"/>
          <w:tab w:val="left" w:pos="834"/>
        </w:tabs>
        <w:spacing w:before="1"/>
      </w:pPr>
      <w:bookmarkStart w:id="0" w:name="_bookmark0"/>
      <w:bookmarkEnd w:id="0"/>
      <w:r>
        <w:t>Innledning</w:t>
      </w:r>
    </w:p>
    <w:p w14:paraId="71CC48A5" w14:textId="77777777" w:rsidR="008323D3" w:rsidRDefault="008323D3">
      <w:pPr>
        <w:pStyle w:val="Brdtekst"/>
        <w:spacing w:before="11"/>
        <w:rPr>
          <w:b/>
          <w:sz w:val="23"/>
        </w:rPr>
      </w:pPr>
    </w:p>
    <w:p w14:paraId="450BC560" w14:textId="77777777" w:rsidR="008323D3" w:rsidRDefault="00185409">
      <w:pPr>
        <w:pStyle w:val="Brdtekst"/>
        <w:spacing w:before="1"/>
        <w:ind w:left="352" w:right="624"/>
      </w:pPr>
      <w:r>
        <w:t>I Helse Sør-Øst tilbyr intensivbehandling i åtte helseforetak, hvorav ett regionsykehus og ett universitetssykehus, samt to private ideelle sykehus med eget opptaksområde. I enkelte helseforetak skjer intensivbehandlingen på flere ulike lokalisasjoner. Med unntak av Oslo universitetssykehus HF er intensivavdelingene i Helse Sør-Øst organisert som generelle intensivavdelinger som favner både medisinske og kirurgiske intensivpasienter. Ved Oslo universitetssykehus finnes det i tillegg spesialiserte intensivenheter som er tilpasset definerte pasientgrupper som nevrokirurgiske-, thoraxkirurgiske- eller kardiologiske pasienter.</w:t>
      </w:r>
    </w:p>
    <w:p w14:paraId="6F9FBFC6" w14:textId="77777777" w:rsidR="008323D3" w:rsidRDefault="008323D3">
      <w:pPr>
        <w:pStyle w:val="Brdtekst"/>
      </w:pPr>
    </w:p>
    <w:p w14:paraId="5E8D0F35" w14:textId="77777777" w:rsidR="008323D3" w:rsidRDefault="008323D3">
      <w:pPr>
        <w:pStyle w:val="Brdtekst"/>
        <w:spacing w:before="2"/>
      </w:pPr>
    </w:p>
    <w:p w14:paraId="648D3CE4" w14:textId="77777777" w:rsidR="008323D3" w:rsidRDefault="00185409">
      <w:pPr>
        <w:pStyle w:val="Overskrift2"/>
        <w:numPr>
          <w:ilvl w:val="0"/>
          <w:numId w:val="5"/>
        </w:numPr>
        <w:tabs>
          <w:tab w:val="left" w:pos="833"/>
          <w:tab w:val="left" w:pos="834"/>
        </w:tabs>
      </w:pPr>
      <w:bookmarkStart w:id="1" w:name="_bookmark1"/>
      <w:bookmarkEnd w:id="1"/>
      <w:r>
        <w:t>Bakgrunn for</w:t>
      </w:r>
      <w:r>
        <w:rPr>
          <w:spacing w:val="-3"/>
        </w:rPr>
        <w:t xml:space="preserve"> </w:t>
      </w:r>
      <w:r>
        <w:t>oppdraget</w:t>
      </w:r>
    </w:p>
    <w:p w14:paraId="1965F276" w14:textId="77777777" w:rsidR="008323D3" w:rsidRDefault="00185409">
      <w:pPr>
        <w:pStyle w:val="Brdtekst"/>
        <w:ind w:left="352" w:right="1083"/>
      </w:pPr>
      <w:r>
        <w:t>De fire regionale helseforetakene er gitt to felles oppdrag i 2021 og ett i 2022 som alle er knyttet til intensivkapasiteten.</w:t>
      </w:r>
    </w:p>
    <w:p w14:paraId="77136777" w14:textId="77777777" w:rsidR="008323D3" w:rsidRDefault="008323D3">
      <w:pPr>
        <w:pStyle w:val="Brdtekst"/>
        <w:spacing w:before="11"/>
        <w:rPr>
          <w:sz w:val="23"/>
        </w:rPr>
      </w:pPr>
    </w:p>
    <w:p w14:paraId="3E752ED3" w14:textId="77777777" w:rsidR="008323D3" w:rsidRDefault="00185409">
      <w:pPr>
        <w:pStyle w:val="Brdtekst"/>
        <w:ind w:left="352" w:right="692"/>
      </w:pPr>
      <w:r>
        <w:t>Ansvaret for disse oppdragene er i Helse Sør-Øst RHF fordelt mellom avdelingene Medisin og helsefag og Personal og kompetanseutvikling. Alle helseforetak har i oppdrag og bestillingsdokumentet 2021 og 2022 fått i oppdrag å delta i arbeidet.</w:t>
      </w:r>
    </w:p>
    <w:p w14:paraId="30923264" w14:textId="77777777" w:rsidR="008323D3" w:rsidRDefault="008323D3">
      <w:pPr>
        <w:pStyle w:val="Brdtekst"/>
      </w:pPr>
    </w:p>
    <w:p w14:paraId="73A3E2B8" w14:textId="77777777" w:rsidR="008323D3" w:rsidRDefault="00185409">
      <w:pPr>
        <w:pStyle w:val="Brdtekst"/>
        <w:ind w:left="352"/>
      </w:pPr>
      <w:r>
        <w:t>Arbeidet med oppdragene omfatter tre ulike faser med hvert sitt mandat:</w:t>
      </w:r>
    </w:p>
    <w:p w14:paraId="713D961E" w14:textId="77777777" w:rsidR="008323D3" w:rsidRDefault="00185409">
      <w:pPr>
        <w:pStyle w:val="Brdtekst"/>
        <w:ind w:left="352" w:right="600"/>
      </w:pPr>
      <w:r>
        <w:t>Et interregionalt prosjekt (fase 1), som på oppdrag fra interregionalt fagdirektørmøte og ledet av Helse Sør-Øst RHF, har utarbeidet definisjoner for intensiv- og overvåkningssenger, beskrevet hvordan intensivkapasiteten skal beregnes og hvordan innrette beredskap for hendelser som krever endring i prioritering og organisering. Rapporten (vedlagt i felles oversendelsesbrev) legges til grunn i det videre regionale og lokale arbeidet i fase 2.</w:t>
      </w:r>
    </w:p>
    <w:p w14:paraId="62B4DEAE" w14:textId="77777777" w:rsidR="008323D3" w:rsidRDefault="00185409">
      <w:pPr>
        <w:pStyle w:val="Brdtekst"/>
        <w:spacing w:line="242" w:lineRule="auto"/>
        <w:ind w:left="352" w:right="575"/>
      </w:pPr>
      <w:r>
        <w:t>De regionale helseforetakene vil deretter ta stilling til behov og tiltak i hver region og i samråd på nasjonalt nivå (fase 3).</w:t>
      </w:r>
    </w:p>
    <w:p w14:paraId="4FCF94B3" w14:textId="77777777" w:rsidR="008323D3" w:rsidRDefault="008323D3">
      <w:pPr>
        <w:pStyle w:val="Brdtekst"/>
        <w:spacing w:before="7"/>
        <w:rPr>
          <w:sz w:val="23"/>
        </w:rPr>
      </w:pPr>
    </w:p>
    <w:p w14:paraId="6988688C" w14:textId="77777777" w:rsidR="008323D3" w:rsidRDefault="00185409">
      <w:pPr>
        <w:pStyle w:val="Brdtekst"/>
        <w:ind w:left="352" w:right="547"/>
      </w:pPr>
      <w:r>
        <w:t>De fire helseregionene er bedt om å utarbeide en rapport til Helse -og omsorgsdepartementet med status for arbeidet innen 15. juni 2022, med vekt på tiltak på kort sikt. Helse Sør-Øst RHF har derfor i brev 23. mai 2022 til helseforetakene bedt om en oppdatert rapportering på intensivkapasitet i henhold til nye definisjoner og noen supplerende spørsmål, med frist innen</w:t>
      </w:r>
    </w:p>
    <w:p w14:paraId="311FB4AD" w14:textId="77777777" w:rsidR="008323D3" w:rsidRDefault="00185409">
      <w:pPr>
        <w:pStyle w:val="Brdtekst"/>
        <w:ind w:left="352"/>
      </w:pPr>
      <w:r>
        <w:t>3. juni.</w:t>
      </w:r>
    </w:p>
    <w:p w14:paraId="28632751" w14:textId="77777777" w:rsidR="008323D3" w:rsidRDefault="008323D3">
      <w:pPr>
        <w:pStyle w:val="Brdtekst"/>
      </w:pPr>
    </w:p>
    <w:p w14:paraId="7EE8196D" w14:textId="77777777" w:rsidR="008323D3" w:rsidRDefault="008323D3">
      <w:pPr>
        <w:pStyle w:val="Brdtekst"/>
      </w:pPr>
    </w:p>
    <w:p w14:paraId="292463FC" w14:textId="77777777" w:rsidR="008323D3" w:rsidRDefault="00185409">
      <w:pPr>
        <w:pStyle w:val="Overskrift2"/>
        <w:numPr>
          <w:ilvl w:val="0"/>
          <w:numId w:val="5"/>
        </w:numPr>
        <w:tabs>
          <w:tab w:val="left" w:pos="833"/>
          <w:tab w:val="left" w:pos="834"/>
        </w:tabs>
      </w:pPr>
      <w:bookmarkStart w:id="2" w:name="_bookmark2"/>
      <w:bookmarkEnd w:id="2"/>
      <w:r>
        <w:t>Statusrapport</w:t>
      </w:r>
    </w:p>
    <w:p w14:paraId="741C77E9" w14:textId="77777777" w:rsidR="008323D3" w:rsidRDefault="008323D3">
      <w:pPr>
        <w:pStyle w:val="Brdtekst"/>
        <w:rPr>
          <w:b/>
        </w:rPr>
      </w:pPr>
    </w:p>
    <w:p w14:paraId="03311CC9" w14:textId="77777777" w:rsidR="008323D3" w:rsidRDefault="00185409">
      <w:pPr>
        <w:pStyle w:val="Overskrift3"/>
        <w:numPr>
          <w:ilvl w:val="1"/>
          <w:numId w:val="5"/>
        </w:numPr>
        <w:tabs>
          <w:tab w:val="left" w:pos="1073"/>
          <w:tab w:val="left" w:pos="1074"/>
        </w:tabs>
        <w:spacing w:line="240" w:lineRule="auto"/>
        <w:ind w:right="2584"/>
      </w:pPr>
      <w:bookmarkStart w:id="3" w:name="_bookmark3"/>
      <w:bookmarkEnd w:id="3"/>
      <w:r>
        <w:t>Status for antall intensivsenger, overvåkningssenger og observasjonssenger</w:t>
      </w:r>
    </w:p>
    <w:p w14:paraId="0E29F74E" w14:textId="77777777" w:rsidR="008323D3" w:rsidRDefault="00185409">
      <w:pPr>
        <w:pStyle w:val="Brdtekst"/>
        <w:spacing w:before="1"/>
        <w:ind w:left="352" w:right="659"/>
      </w:pPr>
      <w:r>
        <w:t>Med bakgrunn i definisjonene fra det interregionale arbeidet ble det i juni 2022, gjennomført en kartlegging av kategori 3 (intensivseng), 2 (intermediærseng), og 1 (observasjonsseng) i regionen med følgende fordeling i Helse Sør-Øst:</w:t>
      </w:r>
    </w:p>
    <w:p w14:paraId="7B012C39" w14:textId="77777777" w:rsidR="008323D3" w:rsidRDefault="008323D3">
      <w:pPr>
        <w:sectPr w:rsidR="008323D3">
          <w:pgSz w:w="11910" w:h="16850"/>
          <w:pgMar w:top="1000" w:right="1020" w:bottom="280" w:left="780" w:header="710" w:footer="0" w:gutter="0"/>
          <w:cols w:space="708"/>
        </w:sectPr>
      </w:pPr>
    </w:p>
    <w:p w14:paraId="770A8316" w14:textId="77777777" w:rsidR="008323D3" w:rsidRDefault="008323D3">
      <w:pPr>
        <w:pStyle w:val="Brdtekst"/>
        <w:spacing w:before="9"/>
      </w:pPr>
    </w:p>
    <w:tbl>
      <w:tblPr>
        <w:tblStyle w:val="TableNormal"/>
        <w:tblW w:w="0" w:type="auto"/>
        <w:tblInd w:w="7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1557"/>
        <w:gridCol w:w="1490"/>
        <w:gridCol w:w="1485"/>
      </w:tblGrid>
      <w:tr w:rsidR="008323D3" w14:paraId="3F78F2B0" w14:textId="77777777">
        <w:trPr>
          <w:trHeight w:val="779"/>
        </w:trPr>
        <w:tc>
          <w:tcPr>
            <w:tcW w:w="3401" w:type="dxa"/>
            <w:tcBorders>
              <w:bottom w:val="single" w:sz="8" w:space="0" w:color="000000"/>
            </w:tcBorders>
            <w:shd w:val="clear" w:color="auto" w:fill="5B9BD4"/>
          </w:tcPr>
          <w:p w14:paraId="6953D0E9" w14:textId="77777777" w:rsidR="008323D3" w:rsidRDefault="00185409">
            <w:pPr>
              <w:pStyle w:val="TableParagraph"/>
              <w:spacing w:before="0" w:line="268" w:lineRule="exact"/>
              <w:ind w:left="69"/>
              <w:rPr>
                <w:b/>
              </w:rPr>
            </w:pPr>
            <w:r>
              <w:rPr>
                <w:b/>
                <w:color w:val="FFFFFF"/>
              </w:rPr>
              <w:t>Helseforetak</w:t>
            </w:r>
          </w:p>
        </w:tc>
        <w:tc>
          <w:tcPr>
            <w:tcW w:w="1557" w:type="dxa"/>
            <w:tcBorders>
              <w:bottom w:val="single" w:sz="8" w:space="0" w:color="000000"/>
            </w:tcBorders>
            <w:shd w:val="clear" w:color="auto" w:fill="5B9BD4"/>
          </w:tcPr>
          <w:p w14:paraId="4F826677" w14:textId="77777777" w:rsidR="008323D3" w:rsidRDefault="00185409">
            <w:pPr>
              <w:pStyle w:val="TableParagraph"/>
              <w:spacing w:before="0" w:line="268" w:lineRule="exact"/>
              <w:ind w:left="292" w:right="283"/>
              <w:jc w:val="center"/>
              <w:rPr>
                <w:b/>
              </w:rPr>
            </w:pPr>
            <w:r>
              <w:rPr>
                <w:b/>
                <w:color w:val="FFFFFF"/>
              </w:rPr>
              <w:t>Kategori 3</w:t>
            </w:r>
          </w:p>
        </w:tc>
        <w:tc>
          <w:tcPr>
            <w:tcW w:w="1490" w:type="dxa"/>
            <w:tcBorders>
              <w:bottom w:val="single" w:sz="8" w:space="0" w:color="000000"/>
            </w:tcBorders>
            <w:shd w:val="clear" w:color="auto" w:fill="5B9BD4"/>
          </w:tcPr>
          <w:p w14:paraId="58A1CBAE" w14:textId="77777777" w:rsidR="008323D3" w:rsidRDefault="00185409">
            <w:pPr>
              <w:pStyle w:val="TableParagraph"/>
              <w:spacing w:before="0" w:line="268" w:lineRule="exact"/>
              <w:ind w:left="259" w:right="248"/>
              <w:jc w:val="center"/>
              <w:rPr>
                <w:b/>
              </w:rPr>
            </w:pPr>
            <w:r>
              <w:rPr>
                <w:b/>
                <w:color w:val="FFFFFF"/>
              </w:rPr>
              <w:t>Kategori 2</w:t>
            </w:r>
          </w:p>
        </w:tc>
        <w:tc>
          <w:tcPr>
            <w:tcW w:w="1485" w:type="dxa"/>
            <w:tcBorders>
              <w:bottom w:val="single" w:sz="8" w:space="0" w:color="000000"/>
            </w:tcBorders>
            <w:shd w:val="clear" w:color="auto" w:fill="5B9BD4"/>
          </w:tcPr>
          <w:p w14:paraId="520FB3FE" w14:textId="77777777" w:rsidR="008323D3" w:rsidRDefault="00185409">
            <w:pPr>
              <w:pStyle w:val="TableParagraph"/>
              <w:spacing w:before="0" w:line="268" w:lineRule="exact"/>
              <w:ind w:left="257" w:right="245"/>
              <w:jc w:val="center"/>
              <w:rPr>
                <w:b/>
              </w:rPr>
            </w:pPr>
            <w:r>
              <w:rPr>
                <w:b/>
                <w:color w:val="FFFFFF"/>
              </w:rPr>
              <w:t>Kategori 1</w:t>
            </w:r>
          </w:p>
        </w:tc>
      </w:tr>
      <w:tr w:rsidR="008323D3" w14:paraId="2080D5D6" w14:textId="77777777">
        <w:trPr>
          <w:trHeight w:val="301"/>
        </w:trPr>
        <w:tc>
          <w:tcPr>
            <w:tcW w:w="3401" w:type="dxa"/>
            <w:tcBorders>
              <w:top w:val="single" w:sz="8" w:space="0" w:color="000000"/>
            </w:tcBorders>
            <w:shd w:val="clear" w:color="auto" w:fill="DDEBF7"/>
          </w:tcPr>
          <w:p w14:paraId="1E03147E" w14:textId="77777777" w:rsidR="008323D3" w:rsidRDefault="00185409">
            <w:pPr>
              <w:pStyle w:val="TableParagraph"/>
              <w:spacing w:before="32"/>
              <w:ind w:left="69"/>
            </w:pPr>
            <w:r>
              <w:t>Akershus universitetssykehus</w:t>
            </w:r>
          </w:p>
        </w:tc>
        <w:tc>
          <w:tcPr>
            <w:tcW w:w="1557" w:type="dxa"/>
            <w:tcBorders>
              <w:top w:val="single" w:sz="8" w:space="0" w:color="000000"/>
            </w:tcBorders>
            <w:shd w:val="clear" w:color="auto" w:fill="DDEBF7"/>
          </w:tcPr>
          <w:p w14:paraId="7735F558" w14:textId="77777777" w:rsidR="008323D3" w:rsidRDefault="00185409">
            <w:pPr>
              <w:pStyle w:val="TableParagraph"/>
              <w:spacing w:before="32"/>
              <w:ind w:left="9"/>
              <w:jc w:val="center"/>
            </w:pPr>
            <w:r>
              <w:t>8</w:t>
            </w:r>
          </w:p>
        </w:tc>
        <w:tc>
          <w:tcPr>
            <w:tcW w:w="1490" w:type="dxa"/>
            <w:tcBorders>
              <w:top w:val="single" w:sz="8" w:space="0" w:color="000000"/>
            </w:tcBorders>
            <w:shd w:val="clear" w:color="auto" w:fill="DDEBF7"/>
          </w:tcPr>
          <w:p w14:paraId="6C122D6C" w14:textId="77777777" w:rsidR="008323D3" w:rsidRDefault="00185409">
            <w:pPr>
              <w:pStyle w:val="TableParagraph"/>
              <w:spacing w:before="32"/>
              <w:ind w:left="259" w:right="244"/>
              <w:jc w:val="center"/>
            </w:pPr>
            <w:r>
              <w:t>22</w:t>
            </w:r>
          </w:p>
        </w:tc>
        <w:tc>
          <w:tcPr>
            <w:tcW w:w="1485" w:type="dxa"/>
            <w:tcBorders>
              <w:top w:val="single" w:sz="8" w:space="0" w:color="000000"/>
            </w:tcBorders>
            <w:shd w:val="clear" w:color="auto" w:fill="DDEBF7"/>
          </w:tcPr>
          <w:p w14:paraId="10657D33" w14:textId="77777777" w:rsidR="008323D3" w:rsidRDefault="00185409">
            <w:pPr>
              <w:pStyle w:val="TableParagraph"/>
              <w:spacing w:before="32"/>
              <w:ind w:left="256" w:right="245"/>
              <w:jc w:val="center"/>
            </w:pPr>
            <w:r>
              <w:t>21</w:t>
            </w:r>
          </w:p>
        </w:tc>
      </w:tr>
      <w:tr w:rsidR="008323D3" w14:paraId="110606ED" w14:textId="77777777">
        <w:trPr>
          <w:trHeight w:val="299"/>
        </w:trPr>
        <w:tc>
          <w:tcPr>
            <w:tcW w:w="3401" w:type="dxa"/>
          </w:tcPr>
          <w:p w14:paraId="09983116" w14:textId="77777777" w:rsidR="008323D3" w:rsidRDefault="00185409" w:rsidP="00F53654">
            <w:pPr>
              <w:pStyle w:val="TableParagraph"/>
              <w:ind w:left="69"/>
            </w:pPr>
            <w:r>
              <w:t>Oslo universitetssykehus</w:t>
            </w:r>
            <w:r w:rsidR="00F53654">
              <w:rPr>
                <w:rStyle w:val="Fotnotereferanse"/>
              </w:rPr>
              <w:footnoteReference w:id="1"/>
            </w:r>
          </w:p>
        </w:tc>
        <w:tc>
          <w:tcPr>
            <w:tcW w:w="1557" w:type="dxa"/>
          </w:tcPr>
          <w:p w14:paraId="2E9FD144" w14:textId="77777777" w:rsidR="008323D3" w:rsidRDefault="00F53654" w:rsidP="00995705">
            <w:pPr>
              <w:pStyle w:val="TableParagraph"/>
              <w:ind w:left="12"/>
              <w:jc w:val="center"/>
            </w:pPr>
            <w:r>
              <w:t>63</w:t>
            </w:r>
          </w:p>
        </w:tc>
        <w:tc>
          <w:tcPr>
            <w:tcW w:w="1490" w:type="dxa"/>
          </w:tcPr>
          <w:p w14:paraId="442BE0FD" w14:textId="77777777" w:rsidR="008323D3" w:rsidRDefault="00F53654" w:rsidP="00995705">
            <w:pPr>
              <w:pStyle w:val="TableParagraph"/>
              <w:ind w:left="12"/>
              <w:jc w:val="center"/>
            </w:pPr>
            <w:r>
              <w:t>140</w:t>
            </w:r>
          </w:p>
        </w:tc>
        <w:tc>
          <w:tcPr>
            <w:tcW w:w="1485" w:type="dxa"/>
          </w:tcPr>
          <w:p w14:paraId="62632818" w14:textId="77777777" w:rsidR="008323D3" w:rsidRPr="00995705" w:rsidRDefault="00743CF5" w:rsidP="00F31E5A">
            <w:pPr>
              <w:pStyle w:val="TableParagraph"/>
              <w:ind w:left="12"/>
              <w:jc w:val="center"/>
            </w:pPr>
            <w:r w:rsidRPr="00995705">
              <w:t>82</w:t>
            </w:r>
          </w:p>
        </w:tc>
      </w:tr>
      <w:tr w:rsidR="008323D3" w14:paraId="4A03EED3" w14:textId="77777777">
        <w:trPr>
          <w:trHeight w:val="299"/>
        </w:trPr>
        <w:tc>
          <w:tcPr>
            <w:tcW w:w="3401" w:type="dxa"/>
            <w:shd w:val="clear" w:color="auto" w:fill="DDEBF7"/>
          </w:tcPr>
          <w:p w14:paraId="2F445C49" w14:textId="77777777" w:rsidR="008323D3" w:rsidRDefault="00185409">
            <w:pPr>
              <w:pStyle w:val="TableParagraph"/>
              <w:ind w:left="69"/>
            </w:pPr>
            <w:r>
              <w:t>Sykehuset i Vestfold</w:t>
            </w:r>
          </w:p>
        </w:tc>
        <w:tc>
          <w:tcPr>
            <w:tcW w:w="1557" w:type="dxa"/>
            <w:shd w:val="clear" w:color="auto" w:fill="DDEBF7"/>
          </w:tcPr>
          <w:p w14:paraId="6C951A1C" w14:textId="77777777" w:rsidR="008323D3" w:rsidRDefault="00185409">
            <w:pPr>
              <w:pStyle w:val="TableParagraph"/>
              <w:ind w:left="9"/>
              <w:jc w:val="center"/>
            </w:pPr>
            <w:r>
              <w:t>4</w:t>
            </w:r>
          </w:p>
        </w:tc>
        <w:tc>
          <w:tcPr>
            <w:tcW w:w="1490" w:type="dxa"/>
            <w:shd w:val="clear" w:color="auto" w:fill="DDEBF7"/>
          </w:tcPr>
          <w:p w14:paraId="2F1789DA" w14:textId="77777777" w:rsidR="008323D3" w:rsidRDefault="00185409">
            <w:pPr>
              <w:pStyle w:val="TableParagraph"/>
              <w:ind w:left="11"/>
              <w:jc w:val="center"/>
            </w:pPr>
            <w:r>
              <w:t>5</w:t>
            </w:r>
          </w:p>
        </w:tc>
        <w:tc>
          <w:tcPr>
            <w:tcW w:w="1485" w:type="dxa"/>
            <w:shd w:val="clear" w:color="auto" w:fill="DDEBF7"/>
          </w:tcPr>
          <w:p w14:paraId="35103667" w14:textId="77777777" w:rsidR="008323D3" w:rsidRDefault="00185409">
            <w:pPr>
              <w:pStyle w:val="TableParagraph"/>
              <w:ind w:left="12"/>
              <w:jc w:val="center"/>
            </w:pPr>
            <w:r>
              <w:t>3</w:t>
            </w:r>
          </w:p>
        </w:tc>
      </w:tr>
      <w:tr w:rsidR="008323D3" w14:paraId="4201EAA8" w14:textId="77777777">
        <w:trPr>
          <w:trHeight w:val="299"/>
        </w:trPr>
        <w:tc>
          <w:tcPr>
            <w:tcW w:w="3401" w:type="dxa"/>
          </w:tcPr>
          <w:p w14:paraId="13EDF397" w14:textId="77777777" w:rsidR="008323D3" w:rsidRDefault="00185409">
            <w:pPr>
              <w:pStyle w:val="TableParagraph"/>
              <w:ind w:left="69"/>
            </w:pPr>
            <w:r>
              <w:t>Sykehuset Innlandet</w:t>
            </w:r>
          </w:p>
        </w:tc>
        <w:tc>
          <w:tcPr>
            <w:tcW w:w="1557" w:type="dxa"/>
          </w:tcPr>
          <w:p w14:paraId="2AA6A0A7" w14:textId="77777777" w:rsidR="008323D3" w:rsidRDefault="00185409">
            <w:pPr>
              <w:pStyle w:val="TableParagraph"/>
              <w:ind w:left="291" w:right="283"/>
              <w:jc w:val="center"/>
            </w:pPr>
            <w:r>
              <w:t>11</w:t>
            </w:r>
          </w:p>
        </w:tc>
        <w:tc>
          <w:tcPr>
            <w:tcW w:w="1490" w:type="dxa"/>
          </w:tcPr>
          <w:p w14:paraId="556DF45E" w14:textId="77777777" w:rsidR="008323D3" w:rsidRDefault="00185409">
            <w:pPr>
              <w:pStyle w:val="TableParagraph"/>
              <w:ind w:left="259" w:right="244"/>
              <w:jc w:val="center"/>
            </w:pPr>
            <w:r>
              <w:t>30</w:t>
            </w:r>
          </w:p>
        </w:tc>
        <w:tc>
          <w:tcPr>
            <w:tcW w:w="1485" w:type="dxa"/>
          </w:tcPr>
          <w:p w14:paraId="7644A1D9" w14:textId="77777777" w:rsidR="008323D3" w:rsidRDefault="00185409">
            <w:pPr>
              <w:pStyle w:val="TableParagraph"/>
              <w:ind w:left="12"/>
              <w:jc w:val="center"/>
            </w:pPr>
            <w:r>
              <w:t>6</w:t>
            </w:r>
          </w:p>
        </w:tc>
      </w:tr>
      <w:tr w:rsidR="008323D3" w14:paraId="67D69FC4" w14:textId="77777777">
        <w:trPr>
          <w:trHeight w:val="299"/>
        </w:trPr>
        <w:tc>
          <w:tcPr>
            <w:tcW w:w="3401" w:type="dxa"/>
            <w:shd w:val="clear" w:color="auto" w:fill="DDEBF7"/>
          </w:tcPr>
          <w:p w14:paraId="5E940D5D" w14:textId="77777777" w:rsidR="008323D3" w:rsidRDefault="00185409">
            <w:pPr>
              <w:pStyle w:val="TableParagraph"/>
              <w:ind w:left="69"/>
            </w:pPr>
            <w:r>
              <w:t>Sykehuset Telemark</w:t>
            </w:r>
          </w:p>
        </w:tc>
        <w:tc>
          <w:tcPr>
            <w:tcW w:w="1557" w:type="dxa"/>
            <w:shd w:val="clear" w:color="auto" w:fill="DDEBF7"/>
          </w:tcPr>
          <w:p w14:paraId="70D19CEC" w14:textId="77777777" w:rsidR="008323D3" w:rsidRDefault="00185409">
            <w:pPr>
              <w:pStyle w:val="TableParagraph"/>
              <w:ind w:left="9"/>
              <w:jc w:val="center"/>
            </w:pPr>
            <w:r>
              <w:t>4</w:t>
            </w:r>
          </w:p>
        </w:tc>
        <w:tc>
          <w:tcPr>
            <w:tcW w:w="1490" w:type="dxa"/>
            <w:shd w:val="clear" w:color="auto" w:fill="DDEBF7"/>
          </w:tcPr>
          <w:p w14:paraId="347DF868" w14:textId="77777777" w:rsidR="008323D3" w:rsidRDefault="00185409">
            <w:pPr>
              <w:pStyle w:val="TableParagraph"/>
              <w:ind w:left="11"/>
              <w:jc w:val="center"/>
            </w:pPr>
            <w:r>
              <w:t>2</w:t>
            </w:r>
          </w:p>
        </w:tc>
        <w:tc>
          <w:tcPr>
            <w:tcW w:w="1485" w:type="dxa"/>
            <w:shd w:val="clear" w:color="auto" w:fill="DDEBF7"/>
          </w:tcPr>
          <w:p w14:paraId="5FAF6C32" w14:textId="77777777" w:rsidR="008323D3" w:rsidRDefault="00185409">
            <w:pPr>
              <w:pStyle w:val="TableParagraph"/>
              <w:ind w:left="12"/>
              <w:jc w:val="center"/>
            </w:pPr>
            <w:r>
              <w:t>6</w:t>
            </w:r>
          </w:p>
        </w:tc>
      </w:tr>
      <w:tr w:rsidR="008323D3" w14:paraId="5418BE3E" w14:textId="77777777">
        <w:trPr>
          <w:trHeight w:val="302"/>
        </w:trPr>
        <w:tc>
          <w:tcPr>
            <w:tcW w:w="3401" w:type="dxa"/>
          </w:tcPr>
          <w:p w14:paraId="2FBC07BB" w14:textId="77777777" w:rsidR="008323D3" w:rsidRDefault="00185409">
            <w:pPr>
              <w:pStyle w:val="TableParagraph"/>
              <w:spacing w:before="32"/>
              <w:ind w:left="69"/>
            </w:pPr>
            <w:r>
              <w:t>Sykehuset Østfold</w:t>
            </w:r>
          </w:p>
        </w:tc>
        <w:tc>
          <w:tcPr>
            <w:tcW w:w="1557" w:type="dxa"/>
          </w:tcPr>
          <w:p w14:paraId="5B816F7E" w14:textId="77777777" w:rsidR="008323D3" w:rsidRDefault="00185409">
            <w:pPr>
              <w:pStyle w:val="TableParagraph"/>
              <w:spacing w:before="32"/>
              <w:ind w:left="9"/>
              <w:jc w:val="center"/>
            </w:pPr>
            <w:r>
              <w:t>6</w:t>
            </w:r>
          </w:p>
        </w:tc>
        <w:tc>
          <w:tcPr>
            <w:tcW w:w="1490" w:type="dxa"/>
          </w:tcPr>
          <w:p w14:paraId="0F9F1775" w14:textId="77777777" w:rsidR="008323D3" w:rsidRDefault="00185409">
            <w:pPr>
              <w:pStyle w:val="TableParagraph"/>
              <w:spacing w:before="32"/>
              <w:ind w:left="259" w:right="244"/>
              <w:jc w:val="center"/>
            </w:pPr>
            <w:r>
              <w:t>10</w:t>
            </w:r>
          </w:p>
        </w:tc>
        <w:tc>
          <w:tcPr>
            <w:tcW w:w="1485" w:type="dxa"/>
          </w:tcPr>
          <w:p w14:paraId="65539F72" w14:textId="77777777" w:rsidR="008323D3" w:rsidRDefault="00185409">
            <w:pPr>
              <w:pStyle w:val="TableParagraph"/>
              <w:spacing w:before="32"/>
              <w:ind w:left="12"/>
              <w:jc w:val="center"/>
            </w:pPr>
            <w:r>
              <w:t>6</w:t>
            </w:r>
          </w:p>
        </w:tc>
      </w:tr>
      <w:tr w:rsidR="008323D3" w14:paraId="44388836" w14:textId="77777777">
        <w:trPr>
          <w:trHeight w:val="299"/>
        </w:trPr>
        <w:tc>
          <w:tcPr>
            <w:tcW w:w="3401" w:type="dxa"/>
            <w:shd w:val="clear" w:color="auto" w:fill="DDEBF7"/>
          </w:tcPr>
          <w:p w14:paraId="54472498" w14:textId="77777777" w:rsidR="008323D3" w:rsidRDefault="00185409">
            <w:pPr>
              <w:pStyle w:val="TableParagraph"/>
              <w:ind w:left="69"/>
            </w:pPr>
            <w:r>
              <w:t>Sørlandet sykehus</w:t>
            </w:r>
          </w:p>
        </w:tc>
        <w:tc>
          <w:tcPr>
            <w:tcW w:w="1557" w:type="dxa"/>
            <w:shd w:val="clear" w:color="auto" w:fill="DDEBF7"/>
          </w:tcPr>
          <w:p w14:paraId="4853AD6A" w14:textId="77777777" w:rsidR="008323D3" w:rsidRDefault="00185409">
            <w:pPr>
              <w:pStyle w:val="TableParagraph"/>
              <w:ind w:left="9"/>
              <w:jc w:val="center"/>
            </w:pPr>
            <w:r>
              <w:t>9</w:t>
            </w:r>
          </w:p>
        </w:tc>
        <w:tc>
          <w:tcPr>
            <w:tcW w:w="1490" w:type="dxa"/>
            <w:shd w:val="clear" w:color="auto" w:fill="DDEBF7"/>
          </w:tcPr>
          <w:p w14:paraId="4D309F50" w14:textId="77777777" w:rsidR="008323D3" w:rsidRDefault="00185409">
            <w:pPr>
              <w:pStyle w:val="TableParagraph"/>
              <w:ind w:left="259" w:right="244"/>
              <w:jc w:val="center"/>
            </w:pPr>
            <w:r>
              <w:t>13</w:t>
            </w:r>
          </w:p>
        </w:tc>
        <w:tc>
          <w:tcPr>
            <w:tcW w:w="1485" w:type="dxa"/>
            <w:shd w:val="clear" w:color="auto" w:fill="DDEBF7"/>
          </w:tcPr>
          <w:p w14:paraId="5D5C97CD" w14:textId="77777777" w:rsidR="008323D3" w:rsidRDefault="00185409">
            <w:pPr>
              <w:pStyle w:val="TableParagraph"/>
              <w:ind w:left="12"/>
              <w:jc w:val="center"/>
            </w:pPr>
            <w:r>
              <w:t>2</w:t>
            </w:r>
          </w:p>
        </w:tc>
      </w:tr>
      <w:tr w:rsidR="008323D3" w14:paraId="19A7BB7B" w14:textId="77777777">
        <w:trPr>
          <w:trHeight w:val="300"/>
        </w:trPr>
        <w:tc>
          <w:tcPr>
            <w:tcW w:w="3401" w:type="dxa"/>
          </w:tcPr>
          <w:p w14:paraId="47CE594E" w14:textId="77777777" w:rsidR="008323D3" w:rsidRDefault="00185409">
            <w:pPr>
              <w:pStyle w:val="TableParagraph"/>
              <w:spacing w:before="31"/>
              <w:ind w:left="69"/>
            </w:pPr>
            <w:r>
              <w:t>Vestre Viken</w:t>
            </w:r>
          </w:p>
        </w:tc>
        <w:tc>
          <w:tcPr>
            <w:tcW w:w="1557" w:type="dxa"/>
          </w:tcPr>
          <w:p w14:paraId="5244EF6F" w14:textId="77777777" w:rsidR="008323D3" w:rsidRDefault="00185409">
            <w:pPr>
              <w:pStyle w:val="TableParagraph"/>
              <w:spacing w:before="31"/>
              <w:ind w:left="291" w:right="283"/>
              <w:jc w:val="center"/>
            </w:pPr>
            <w:r>
              <w:t>12</w:t>
            </w:r>
          </w:p>
        </w:tc>
        <w:tc>
          <w:tcPr>
            <w:tcW w:w="1490" w:type="dxa"/>
          </w:tcPr>
          <w:p w14:paraId="39A256F5" w14:textId="77777777" w:rsidR="008323D3" w:rsidRDefault="00185409">
            <w:pPr>
              <w:pStyle w:val="TableParagraph"/>
              <w:spacing w:before="31"/>
              <w:ind w:left="259" w:right="244"/>
              <w:jc w:val="center"/>
            </w:pPr>
            <w:r>
              <w:t>12</w:t>
            </w:r>
          </w:p>
        </w:tc>
        <w:tc>
          <w:tcPr>
            <w:tcW w:w="1485" w:type="dxa"/>
          </w:tcPr>
          <w:p w14:paraId="23EEC27B" w14:textId="77777777" w:rsidR="008323D3" w:rsidRDefault="00185409">
            <w:pPr>
              <w:pStyle w:val="TableParagraph"/>
              <w:spacing w:before="31"/>
              <w:ind w:left="12"/>
              <w:jc w:val="center"/>
            </w:pPr>
            <w:r>
              <w:t>7</w:t>
            </w:r>
          </w:p>
        </w:tc>
      </w:tr>
      <w:tr w:rsidR="008323D3" w14:paraId="780CE1DA" w14:textId="77777777">
        <w:trPr>
          <w:trHeight w:val="299"/>
        </w:trPr>
        <w:tc>
          <w:tcPr>
            <w:tcW w:w="3401" w:type="dxa"/>
            <w:shd w:val="clear" w:color="auto" w:fill="DDEBF7"/>
          </w:tcPr>
          <w:p w14:paraId="52D02C82" w14:textId="77777777" w:rsidR="008323D3" w:rsidRDefault="00185409">
            <w:pPr>
              <w:pStyle w:val="TableParagraph"/>
              <w:ind w:left="69"/>
            </w:pPr>
            <w:r>
              <w:t>Diakonhjemmet Sykehus</w:t>
            </w:r>
          </w:p>
        </w:tc>
        <w:tc>
          <w:tcPr>
            <w:tcW w:w="1557" w:type="dxa"/>
            <w:shd w:val="clear" w:color="auto" w:fill="DDEBF7"/>
          </w:tcPr>
          <w:p w14:paraId="1748545E" w14:textId="77777777" w:rsidR="008323D3" w:rsidRDefault="00185409">
            <w:pPr>
              <w:pStyle w:val="TableParagraph"/>
              <w:ind w:left="9"/>
              <w:jc w:val="center"/>
            </w:pPr>
            <w:r>
              <w:t>4</w:t>
            </w:r>
          </w:p>
        </w:tc>
        <w:tc>
          <w:tcPr>
            <w:tcW w:w="1490" w:type="dxa"/>
            <w:shd w:val="clear" w:color="auto" w:fill="DDEBF7"/>
          </w:tcPr>
          <w:p w14:paraId="4CD94528" w14:textId="77777777" w:rsidR="008323D3" w:rsidRDefault="008323D3">
            <w:pPr>
              <w:pStyle w:val="TableParagraph"/>
              <w:spacing w:before="0" w:line="240" w:lineRule="auto"/>
              <w:rPr>
                <w:rFonts w:ascii="Times New Roman"/>
              </w:rPr>
            </w:pPr>
          </w:p>
        </w:tc>
        <w:tc>
          <w:tcPr>
            <w:tcW w:w="1485" w:type="dxa"/>
            <w:shd w:val="clear" w:color="auto" w:fill="DDEBF7"/>
          </w:tcPr>
          <w:p w14:paraId="463EF369" w14:textId="77777777" w:rsidR="008323D3" w:rsidRDefault="008323D3">
            <w:pPr>
              <w:pStyle w:val="TableParagraph"/>
              <w:spacing w:before="0" w:line="240" w:lineRule="auto"/>
              <w:rPr>
                <w:rFonts w:ascii="Times New Roman"/>
              </w:rPr>
            </w:pPr>
          </w:p>
        </w:tc>
      </w:tr>
      <w:tr w:rsidR="008323D3" w14:paraId="0818E76D" w14:textId="77777777">
        <w:trPr>
          <w:trHeight w:val="316"/>
        </w:trPr>
        <w:tc>
          <w:tcPr>
            <w:tcW w:w="3401" w:type="dxa"/>
            <w:tcBorders>
              <w:bottom w:val="nil"/>
            </w:tcBorders>
          </w:tcPr>
          <w:p w14:paraId="214158D1" w14:textId="77777777" w:rsidR="008323D3" w:rsidRDefault="00185409">
            <w:pPr>
              <w:pStyle w:val="TableParagraph"/>
              <w:spacing w:before="47"/>
              <w:ind w:left="69"/>
            </w:pPr>
            <w:r>
              <w:t>Lovisenberg Diakonale sykehus</w:t>
            </w:r>
          </w:p>
        </w:tc>
        <w:tc>
          <w:tcPr>
            <w:tcW w:w="1557" w:type="dxa"/>
            <w:tcBorders>
              <w:bottom w:val="nil"/>
            </w:tcBorders>
          </w:tcPr>
          <w:p w14:paraId="62F8FDB3" w14:textId="77777777" w:rsidR="008323D3" w:rsidRDefault="00185409">
            <w:pPr>
              <w:pStyle w:val="TableParagraph"/>
              <w:spacing w:before="47"/>
              <w:ind w:left="9"/>
              <w:jc w:val="center"/>
            </w:pPr>
            <w:r>
              <w:t>2</w:t>
            </w:r>
          </w:p>
        </w:tc>
        <w:tc>
          <w:tcPr>
            <w:tcW w:w="1490" w:type="dxa"/>
            <w:tcBorders>
              <w:bottom w:val="nil"/>
            </w:tcBorders>
          </w:tcPr>
          <w:p w14:paraId="0529A994" w14:textId="77777777" w:rsidR="008323D3" w:rsidRDefault="00185409">
            <w:pPr>
              <w:pStyle w:val="TableParagraph"/>
              <w:spacing w:before="47"/>
              <w:ind w:left="11"/>
              <w:jc w:val="center"/>
            </w:pPr>
            <w:r>
              <w:t>3</w:t>
            </w:r>
          </w:p>
        </w:tc>
        <w:tc>
          <w:tcPr>
            <w:tcW w:w="1485" w:type="dxa"/>
            <w:tcBorders>
              <w:bottom w:val="nil"/>
            </w:tcBorders>
          </w:tcPr>
          <w:p w14:paraId="2A5B354F" w14:textId="77777777" w:rsidR="008323D3" w:rsidRDefault="00185409">
            <w:pPr>
              <w:pStyle w:val="TableParagraph"/>
              <w:spacing w:before="47"/>
              <w:ind w:left="12"/>
              <w:jc w:val="center"/>
            </w:pPr>
            <w:r>
              <w:t>0</w:t>
            </w:r>
          </w:p>
        </w:tc>
      </w:tr>
      <w:tr w:rsidR="00743CF5" w:rsidRPr="00743CF5" w14:paraId="35B3A165" w14:textId="77777777">
        <w:trPr>
          <w:trHeight w:val="359"/>
        </w:trPr>
        <w:tc>
          <w:tcPr>
            <w:tcW w:w="3401" w:type="dxa"/>
            <w:tcBorders>
              <w:top w:val="nil"/>
            </w:tcBorders>
            <w:shd w:val="clear" w:color="auto" w:fill="5B9BD4"/>
          </w:tcPr>
          <w:p w14:paraId="3E72FE44" w14:textId="77777777" w:rsidR="008323D3" w:rsidRPr="00743CF5" w:rsidRDefault="00185409">
            <w:pPr>
              <w:pStyle w:val="TableParagraph"/>
              <w:spacing w:before="90"/>
              <w:ind w:left="69"/>
              <w:rPr>
                <w:b/>
                <w:color w:val="FFFFFF" w:themeColor="background1"/>
              </w:rPr>
            </w:pPr>
            <w:r w:rsidRPr="00743CF5">
              <w:rPr>
                <w:b/>
                <w:color w:val="FFFFFF" w:themeColor="background1"/>
              </w:rPr>
              <w:t>Totalt</w:t>
            </w:r>
          </w:p>
        </w:tc>
        <w:tc>
          <w:tcPr>
            <w:tcW w:w="1557" w:type="dxa"/>
            <w:tcBorders>
              <w:top w:val="nil"/>
            </w:tcBorders>
            <w:shd w:val="clear" w:color="auto" w:fill="5B9BD4"/>
          </w:tcPr>
          <w:p w14:paraId="5C913CFC" w14:textId="77777777" w:rsidR="008323D3" w:rsidRPr="00743CF5" w:rsidRDefault="00F53654">
            <w:pPr>
              <w:pStyle w:val="TableParagraph"/>
              <w:spacing w:before="90"/>
              <w:ind w:left="290" w:right="283"/>
              <w:jc w:val="center"/>
              <w:rPr>
                <w:b/>
                <w:color w:val="FFFFFF" w:themeColor="background1"/>
              </w:rPr>
            </w:pPr>
            <w:r w:rsidRPr="00743CF5">
              <w:rPr>
                <w:b/>
                <w:color w:val="FFFFFF" w:themeColor="background1"/>
              </w:rPr>
              <w:t>123</w:t>
            </w:r>
          </w:p>
        </w:tc>
        <w:tc>
          <w:tcPr>
            <w:tcW w:w="1490" w:type="dxa"/>
            <w:tcBorders>
              <w:top w:val="nil"/>
            </w:tcBorders>
            <w:shd w:val="clear" w:color="auto" w:fill="5B9BD4"/>
          </w:tcPr>
          <w:p w14:paraId="4ADD77EC" w14:textId="77777777" w:rsidR="008323D3" w:rsidRPr="00743CF5" w:rsidRDefault="00F53654">
            <w:pPr>
              <w:pStyle w:val="TableParagraph"/>
              <w:spacing w:before="90"/>
              <w:ind w:left="259" w:right="246"/>
              <w:jc w:val="center"/>
              <w:rPr>
                <w:b/>
                <w:color w:val="FFFFFF" w:themeColor="background1"/>
              </w:rPr>
            </w:pPr>
            <w:r w:rsidRPr="00743CF5">
              <w:rPr>
                <w:b/>
                <w:color w:val="FFFFFF" w:themeColor="background1"/>
              </w:rPr>
              <w:t>237</w:t>
            </w:r>
          </w:p>
        </w:tc>
        <w:tc>
          <w:tcPr>
            <w:tcW w:w="1485" w:type="dxa"/>
            <w:tcBorders>
              <w:top w:val="nil"/>
            </w:tcBorders>
            <w:shd w:val="clear" w:color="auto" w:fill="5B9BD4"/>
          </w:tcPr>
          <w:p w14:paraId="2D4E738D" w14:textId="77777777" w:rsidR="008323D3" w:rsidRPr="00743CF5" w:rsidRDefault="00743CF5">
            <w:pPr>
              <w:pStyle w:val="TableParagraph"/>
              <w:spacing w:before="90"/>
              <w:ind w:left="256" w:right="245"/>
              <w:jc w:val="center"/>
              <w:rPr>
                <w:b/>
                <w:color w:val="FFFFFF" w:themeColor="background1"/>
              </w:rPr>
            </w:pPr>
            <w:r w:rsidRPr="00743CF5">
              <w:rPr>
                <w:b/>
                <w:color w:val="FFFFFF" w:themeColor="background1"/>
              </w:rPr>
              <w:t>133</w:t>
            </w:r>
          </w:p>
        </w:tc>
      </w:tr>
    </w:tbl>
    <w:p w14:paraId="474369DF" w14:textId="77777777" w:rsidR="008323D3" w:rsidRDefault="00185409">
      <w:pPr>
        <w:spacing w:line="243" w:lineRule="exact"/>
        <w:ind w:left="638"/>
        <w:rPr>
          <w:i/>
          <w:sz w:val="20"/>
        </w:rPr>
      </w:pPr>
      <w:r>
        <w:rPr>
          <w:i/>
          <w:sz w:val="20"/>
        </w:rPr>
        <w:t>Tabell 1 Antall intensivsenger innen ulike kategorier i Helse Sør-Øst.</w:t>
      </w:r>
    </w:p>
    <w:p w14:paraId="0041631D" w14:textId="77777777" w:rsidR="008323D3" w:rsidRDefault="008323D3">
      <w:pPr>
        <w:pStyle w:val="Brdtekst"/>
        <w:rPr>
          <w:i/>
          <w:sz w:val="20"/>
        </w:rPr>
      </w:pPr>
    </w:p>
    <w:p w14:paraId="6783ED81" w14:textId="77777777" w:rsidR="008323D3" w:rsidRDefault="008323D3">
      <w:pPr>
        <w:pStyle w:val="Brdtekst"/>
        <w:spacing w:before="1"/>
        <w:rPr>
          <w:i/>
          <w:sz w:val="28"/>
        </w:rPr>
      </w:pPr>
    </w:p>
    <w:tbl>
      <w:tblPr>
        <w:tblStyle w:val="TableNormal"/>
        <w:tblW w:w="0" w:type="auto"/>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39"/>
        <w:gridCol w:w="1260"/>
        <w:gridCol w:w="1260"/>
        <w:gridCol w:w="1214"/>
        <w:gridCol w:w="1187"/>
      </w:tblGrid>
      <w:tr w:rsidR="00743CF5" w:rsidRPr="00743CF5" w14:paraId="4218E9CE" w14:textId="77777777" w:rsidTr="00DE0E5C">
        <w:trPr>
          <w:trHeight w:val="779"/>
        </w:trPr>
        <w:tc>
          <w:tcPr>
            <w:tcW w:w="3039" w:type="dxa"/>
            <w:tcBorders>
              <w:bottom w:val="single" w:sz="4" w:space="0" w:color="000000"/>
              <w:right w:val="single" w:sz="4" w:space="0" w:color="000000"/>
            </w:tcBorders>
            <w:shd w:val="clear" w:color="auto" w:fill="5B9BD4"/>
          </w:tcPr>
          <w:p w14:paraId="4B3B60E1" w14:textId="77777777" w:rsidR="008323D3" w:rsidRPr="00743CF5" w:rsidRDefault="00185409">
            <w:pPr>
              <w:pStyle w:val="TableParagraph"/>
              <w:spacing w:before="0" w:line="267" w:lineRule="exact"/>
              <w:ind w:left="66"/>
              <w:rPr>
                <w:b/>
                <w:color w:val="FFFFFF" w:themeColor="background1"/>
              </w:rPr>
            </w:pPr>
            <w:r w:rsidRPr="00743CF5">
              <w:rPr>
                <w:b/>
                <w:color w:val="FFFFFF" w:themeColor="background1"/>
              </w:rPr>
              <w:t>Helseforetak</w:t>
            </w:r>
          </w:p>
        </w:tc>
        <w:tc>
          <w:tcPr>
            <w:tcW w:w="1260" w:type="dxa"/>
            <w:tcBorders>
              <w:left w:val="single" w:sz="4" w:space="0" w:color="000000"/>
              <w:bottom w:val="single" w:sz="4" w:space="0" w:color="000000"/>
              <w:right w:val="single" w:sz="4" w:space="0" w:color="000000"/>
            </w:tcBorders>
            <w:shd w:val="clear" w:color="auto" w:fill="5B9BD4"/>
          </w:tcPr>
          <w:p w14:paraId="400078FF" w14:textId="77777777" w:rsidR="008323D3" w:rsidRPr="00743CF5" w:rsidRDefault="00185409">
            <w:pPr>
              <w:pStyle w:val="TableParagraph"/>
              <w:spacing w:before="0" w:line="267" w:lineRule="exact"/>
              <w:ind w:left="74"/>
              <w:rPr>
                <w:b/>
                <w:color w:val="FFFFFF" w:themeColor="background1"/>
              </w:rPr>
            </w:pPr>
            <w:r w:rsidRPr="00743CF5">
              <w:rPr>
                <w:b/>
                <w:color w:val="FFFFFF" w:themeColor="background1"/>
              </w:rPr>
              <w:t>Befolkning</w:t>
            </w:r>
          </w:p>
        </w:tc>
        <w:tc>
          <w:tcPr>
            <w:tcW w:w="1260" w:type="dxa"/>
            <w:tcBorders>
              <w:top w:val="single" w:sz="4" w:space="0" w:color="000000"/>
              <w:left w:val="single" w:sz="4" w:space="0" w:color="000000"/>
              <w:bottom w:val="single" w:sz="4" w:space="0" w:color="000000"/>
              <w:right w:val="single" w:sz="4" w:space="0" w:color="000000"/>
            </w:tcBorders>
            <w:shd w:val="clear" w:color="auto" w:fill="5B9BD4"/>
          </w:tcPr>
          <w:p w14:paraId="6D2E9FA2" w14:textId="77777777" w:rsidR="008323D3" w:rsidRPr="00743CF5" w:rsidRDefault="00185409">
            <w:pPr>
              <w:pStyle w:val="TableParagraph"/>
              <w:spacing w:before="0" w:line="267" w:lineRule="exact"/>
              <w:ind w:left="167"/>
              <w:rPr>
                <w:b/>
                <w:color w:val="FFFFFF" w:themeColor="background1"/>
              </w:rPr>
            </w:pPr>
            <w:r w:rsidRPr="00743CF5">
              <w:rPr>
                <w:b/>
                <w:color w:val="FFFFFF" w:themeColor="background1"/>
              </w:rPr>
              <w:t>Kategori 3</w:t>
            </w:r>
          </w:p>
          <w:p w14:paraId="30AEF141" w14:textId="77777777" w:rsidR="008323D3" w:rsidRPr="00743CF5" w:rsidRDefault="00185409">
            <w:pPr>
              <w:pStyle w:val="TableParagraph"/>
              <w:spacing w:before="0" w:line="240" w:lineRule="auto"/>
              <w:ind w:left="150"/>
              <w:rPr>
                <w:b/>
                <w:color w:val="FFFFFF" w:themeColor="background1"/>
              </w:rPr>
            </w:pPr>
            <w:r w:rsidRPr="00743CF5">
              <w:rPr>
                <w:b/>
                <w:color w:val="FFFFFF" w:themeColor="background1"/>
              </w:rPr>
              <w:t>Pr 100 000</w:t>
            </w:r>
          </w:p>
        </w:tc>
        <w:tc>
          <w:tcPr>
            <w:tcW w:w="1214" w:type="dxa"/>
            <w:tcBorders>
              <w:top w:val="single" w:sz="4" w:space="0" w:color="000000"/>
              <w:left w:val="single" w:sz="4" w:space="0" w:color="000000"/>
              <w:bottom w:val="single" w:sz="4" w:space="0" w:color="000000"/>
              <w:right w:val="single" w:sz="4" w:space="0" w:color="000000"/>
            </w:tcBorders>
            <w:shd w:val="clear" w:color="auto" w:fill="5B9BD4"/>
          </w:tcPr>
          <w:p w14:paraId="426A1791" w14:textId="77777777" w:rsidR="008323D3" w:rsidRPr="00743CF5" w:rsidRDefault="00185409">
            <w:pPr>
              <w:pStyle w:val="TableParagraph"/>
              <w:spacing w:before="0" w:line="267" w:lineRule="exact"/>
              <w:ind w:left="139"/>
              <w:rPr>
                <w:b/>
                <w:color w:val="FFFFFF" w:themeColor="background1"/>
              </w:rPr>
            </w:pPr>
            <w:r w:rsidRPr="00743CF5">
              <w:rPr>
                <w:b/>
                <w:color w:val="FFFFFF" w:themeColor="background1"/>
              </w:rPr>
              <w:t>Kategori 2</w:t>
            </w:r>
          </w:p>
          <w:p w14:paraId="7B16DE0E" w14:textId="77777777" w:rsidR="008323D3" w:rsidRPr="00743CF5" w:rsidRDefault="00185409">
            <w:pPr>
              <w:pStyle w:val="TableParagraph"/>
              <w:spacing w:before="0" w:line="240" w:lineRule="auto"/>
              <w:ind w:left="122"/>
              <w:rPr>
                <w:b/>
                <w:color w:val="FFFFFF" w:themeColor="background1"/>
              </w:rPr>
            </w:pPr>
            <w:r w:rsidRPr="00743CF5">
              <w:rPr>
                <w:b/>
                <w:color w:val="FFFFFF" w:themeColor="background1"/>
              </w:rPr>
              <w:t>Pr 100 000</w:t>
            </w:r>
          </w:p>
        </w:tc>
        <w:tc>
          <w:tcPr>
            <w:tcW w:w="1187" w:type="dxa"/>
            <w:tcBorders>
              <w:top w:val="single" w:sz="4" w:space="0" w:color="000000"/>
              <w:left w:val="single" w:sz="4" w:space="0" w:color="000000"/>
              <w:bottom w:val="single" w:sz="4" w:space="0" w:color="000000"/>
              <w:right w:val="single" w:sz="4" w:space="0" w:color="000000"/>
            </w:tcBorders>
            <w:shd w:val="clear" w:color="auto" w:fill="5B9BD4"/>
          </w:tcPr>
          <w:p w14:paraId="3751AAC2" w14:textId="77777777" w:rsidR="008323D3" w:rsidRPr="00743CF5" w:rsidRDefault="00185409">
            <w:pPr>
              <w:pStyle w:val="TableParagraph"/>
              <w:spacing w:before="0" w:line="267" w:lineRule="exact"/>
              <w:ind w:left="139"/>
              <w:rPr>
                <w:b/>
                <w:color w:val="FFFFFF" w:themeColor="background1"/>
              </w:rPr>
            </w:pPr>
            <w:r w:rsidRPr="00743CF5">
              <w:rPr>
                <w:b/>
                <w:color w:val="FFFFFF" w:themeColor="background1"/>
              </w:rPr>
              <w:t>Kategori 1</w:t>
            </w:r>
          </w:p>
          <w:p w14:paraId="5310AF10" w14:textId="77777777" w:rsidR="008323D3" w:rsidRPr="00743CF5" w:rsidRDefault="00185409">
            <w:pPr>
              <w:pStyle w:val="TableParagraph"/>
              <w:spacing w:before="0" w:line="240" w:lineRule="auto"/>
              <w:ind w:left="122"/>
              <w:rPr>
                <w:b/>
                <w:color w:val="FFFFFF" w:themeColor="background1"/>
              </w:rPr>
            </w:pPr>
            <w:r w:rsidRPr="00743CF5">
              <w:rPr>
                <w:b/>
                <w:color w:val="FFFFFF" w:themeColor="background1"/>
              </w:rPr>
              <w:t>Pr 100 000</w:t>
            </w:r>
          </w:p>
        </w:tc>
      </w:tr>
      <w:tr w:rsidR="008323D3" w14:paraId="60363A48" w14:textId="77777777" w:rsidTr="00DE0E5C">
        <w:trPr>
          <w:trHeight w:val="300"/>
        </w:trPr>
        <w:tc>
          <w:tcPr>
            <w:tcW w:w="3039" w:type="dxa"/>
            <w:tcBorders>
              <w:top w:val="single" w:sz="4" w:space="0" w:color="000000"/>
              <w:bottom w:val="single" w:sz="4" w:space="0" w:color="000000"/>
              <w:right w:val="single" w:sz="4" w:space="0" w:color="000000"/>
            </w:tcBorders>
            <w:shd w:val="clear" w:color="auto" w:fill="DDEBF7"/>
          </w:tcPr>
          <w:p w14:paraId="50CE5A61" w14:textId="77777777" w:rsidR="008323D3" w:rsidRDefault="00185409">
            <w:pPr>
              <w:pStyle w:val="TableParagraph"/>
              <w:spacing w:line="250" w:lineRule="exact"/>
              <w:ind w:left="66"/>
            </w:pPr>
            <w:r>
              <w:t>Akershus universitetssykehus</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176E0D36" w14:textId="77777777" w:rsidR="008323D3" w:rsidRDefault="00185409">
            <w:pPr>
              <w:pStyle w:val="TableParagraph"/>
              <w:spacing w:line="250" w:lineRule="exact"/>
              <w:ind w:left="273"/>
            </w:pPr>
            <w:r>
              <w:t>593 545</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73FD9F84" w14:textId="77777777" w:rsidR="008323D3" w:rsidRDefault="00185409">
            <w:pPr>
              <w:pStyle w:val="TableParagraph"/>
              <w:spacing w:line="250" w:lineRule="exact"/>
              <w:ind w:left="494"/>
            </w:pPr>
            <w:r>
              <w:t>1,4</w:t>
            </w:r>
          </w:p>
        </w:tc>
        <w:tc>
          <w:tcPr>
            <w:tcW w:w="1214" w:type="dxa"/>
            <w:tcBorders>
              <w:top w:val="single" w:sz="4" w:space="0" w:color="000000"/>
              <w:left w:val="single" w:sz="4" w:space="0" w:color="000000"/>
              <w:bottom w:val="single" w:sz="4" w:space="0" w:color="000000"/>
              <w:right w:val="single" w:sz="4" w:space="0" w:color="000000"/>
            </w:tcBorders>
            <w:shd w:val="clear" w:color="auto" w:fill="DDEBF7"/>
          </w:tcPr>
          <w:p w14:paraId="63DD6F0E" w14:textId="77777777" w:rsidR="008323D3" w:rsidRDefault="00185409">
            <w:pPr>
              <w:pStyle w:val="TableParagraph"/>
              <w:spacing w:line="250" w:lineRule="exact"/>
              <w:ind w:left="390" w:right="369"/>
              <w:jc w:val="center"/>
            </w:pPr>
            <w:r>
              <w:t>3,7</w:t>
            </w:r>
          </w:p>
        </w:tc>
        <w:tc>
          <w:tcPr>
            <w:tcW w:w="1187" w:type="dxa"/>
            <w:tcBorders>
              <w:top w:val="single" w:sz="4" w:space="0" w:color="000000"/>
              <w:left w:val="single" w:sz="4" w:space="0" w:color="000000"/>
              <w:bottom w:val="single" w:sz="4" w:space="0" w:color="000000"/>
              <w:right w:val="single" w:sz="4" w:space="0" w:color="000000"/>
            </w:tcBorders>
            <w:shd w:val="clear" w:color="auto" w:fill="DDEBF7"/>
          </w:tcPr>
          <w:p w14:paraId="40FA5FB3" w14:textId="77777777" w:rsidR="008323D3" w:rsidRDefault="00185409">
            <w:pPr>
              <w:pStyle w:val="TableParagraph"/>
              <w:spacing w:line="250" w:lineRule="exact"/>
              <w:ind w:right="443"/>
              <w:jc w:val="right"/>
            </w:pPr>
            <w:r>
              <w:t>3,5</w:t>
            </w:r>
          </w:p>
        </w:tc>
      </w:tr>
      <w:tr w:rsidR="008323D3" w14:paraId="329C6A65" w14:textId="77777777" w:rsidTr="00DE0E5C">
        <w:trPr>
          <w:trHeight w:val="299"/>
        </w:trPr>
        <w:tc>
          <w:tcPr>
            <w:tcW w:w="3039" w:type="dxa"/>
            <w:tcBorders>
              <w:top w:val="single" w:sz="4" w:space="0" w:color="000000"/>
              <w:bottom w:val="single" w:sz="4" w:space="0" w:color="000000"/>
              <w:right w:val="single" w:sz="4" w:space="0" w:color="000000"/>
            </w:tcBorders>
          </w:tcPr>
          <w:p w14:paraId="1B66B759" w14:textId="77777777" w:rsidR="008323D3" w:rsidRDefault="00185409">
            <w:pPr>
              <w:pStyle w:val="TableParagraph"/>
              <w:ind w:left="66"/>
            </w:pPr>
            <w:r>
              <w:t>Oslo universitetssykehus</w:t>
            </w:r>
          </w:p>
        </w:tc>
        <w:tc>
          <w:tcPr>
            <w:tcW w:w="1260" w:type="dxa"/>
            <w:tcBorders>
              <w:top w:val="single" w:sz="4" w:space="0" w:color="000000"/>
              <w:left w:val="single" w:sz="4" w:space="0" w:color="000000"/>
              <w:bottom w:val="single" w:sz="4" w:space="0" w:color="000000"/>
              <w:right w:val="single" w:sz="4" w:space="0" w:color="000000"/>
            </w:tcBorders>
          </w:tcPr>
          <w:p w14:paraId="4E9486FB" w14:textId="77777777" w:rsidR="008323D3" w:rsidRDefault="00185409" w:rsidP="00DE0E5C">
            <w:pPr>
              <w:pStyle w:val="TableParagraph"/>
              <w:ind w:left="438"/>
            </w:pPr>
            <w:r>
              <w:t>278 807</w:t>
            </w:r>
          </w:p>
        </w:tc>
        <w:tc>
          <w:tcPr>
            <w:tcW w:w="1260" w:type="dxa"/>
            <w:tcBorders>
              <w:top w:val="single" w:sz="4" w:space="0" w:color="000000"/>
              <w:left w:val="single" w:sz="4" w:space="0" w:color="000000"/>
              <w:bottom w:val="single" w:sz="4" w:space="0" w:color="000000"/>
              <w:right w:val="single" w:sz="4" w:space="0" w:color="000000"/>
            </w:tcBorders>
          </w:tcPr>
          <w:p w14:paraId="330B271F" w14:textId="77777777" w:rsidR="008323D3" w:rsidRDefault="00F53654" w:rsidP="00DE0E5C">
            <w:pPr>
              <w:pStyle w:val="TableParagraph"/>
              <w:ind w:left="438"/>
            </w:pPr>
            <w:r>
              <w:t>22,6</w:t>
            </w:r>
          </w:p>
        </w:tc>
        <w:tc>
          <w:tcPr>
            <w:tcW w:w="1214" w:type="dxa"/>
            <w:tcBorders>
              <w:top w:val="single" w:sz="4" w:space="0" w:color="000000"/>
              <w:left w:val="single" w:sz="4" w:space="0" w:color="000000"/>
              <w:bottom w:val="single" w:sz="4" w:space="0" w:color="000000"/>
              <w:right w:val="single" w:sz="4" w:space="0" w:color="000000"/>
            </w:tcBorders>
          </w:tcPr>
          <w:p w14:paraId="4DE8A53B" w14:textId="77777777" w:rsidR="008323D3" w:rsidRDefault="00F53654" w:rsidP="00DE0E5C">
            <w:pPr>
              <w:pStyle w:val="TableParagraph"/>
              <w:ind w:left="438" w:right="370"/>
              <w:jc w:val="center"/>
            </w:pPr>
            <w:r>
              <w:t>50,2</w:t>
            </w:r>
          </w:p>
        </w:tc>
        <w:tc>
          <w:tcPr>
            <w:tcW w:w="1187" w:type="dxa"/>
            <w:tcBorders>
              <w:top w:val="single" w:sz="4" w:space="0" w:color="000000"/>
              <w:left w:val="single" w:sz="4" w:space="0" w:color="000000"/>
              <w:bottom w:val="single" w:sz="4" w:space="0" w:color="000000"/>
              <w:right w:val="single" w:sz="4" w:space="0" w:color="000000"/>
            </w:tcBorders>
          </w:tcPr>
          <w:p w14:paraId="7117A185" w14:textId="77777777" w:rsidR="008323D3" w:rsidRPr="00DE0E5C" w:rsidRDefault="00743CF5" w:rsidP="00DE0E5C">
            <w:pPr>
              <w:pStyle w:val="TableParagraph"/>
              <w:spacing w:before="0" w:line="240" w:lineRule="auto"/>
              <w:ind w:left="438"/>
            </w:pPr>
            <w:r w:rsidRPr="00DE0E5C">
              <w:t>29,4</w:t>
            </w:r>
          </w:p>
        </w:tc>
      </w:tr>
      <w:tr w:rsidR="008323D3" w14:paraId="565755EA" w14:textId="77777777" w:rsidTr="00DE0E5C">
        <w:trPr>
          <w:trHeight w:val="299"/>
        </w:trPr>
        <w:tc>
          <w:tcPr>
            <w:tcW w:w="3039" w:type="dxa"/>
            <w:tcBorders>
              <w:top w:val="single" w:sz="4" w:space="0" w:color="000000"/>
              <w:bottom w:val="single" w:sz="4" w:space="0" w:color="000000"/>
              <w:right w:val="single" w:sz="4" w:space="0" w:color="000000"/>
            </w:tcBorders>
            <w:shd w:val="clear" w:color="auto" w:fill="DDEBF7"/>
          </w:tcPr>
          <w:p w14:paraId="35AA80EE" w14:textId="77777777" w:rsidR="008323D3" w:rsidRDefault="00185409">
            <w:pPr>
              <w:pStyle w:val="TableParagraph"/>
              <w:ind w:left="66"/>
            </w:pPr>
            <w:r>
              <w:t>Sykehuset i Vestfold</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6920F4F0" w14:textId="77777777" w:rsidR="008323D3" w:rsidRDefault="00185409">
            <w:pPr>
              <w:pStyle w:val="TableParagraph"/>
              <w:ind w:left="273"/>
            </w:pPr>
            <w:r>
              <w:t>240 306</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30618A28" w14:textId="77777777" w:rsidR="008323D3" w:rsidRDefault="00185409">
            <w:pPr>
              <w:pStyle w:val="TableParagraph"/>
              <w:ind w:left="494"/>
            </w:pPr>
            <w:r>
              <w:t>1,7</w:t>
            </w:r>
          </w:p>
        </w:tc>
        <w:tc>
          <w:tcPr>
            <w:tcW w:w="1214" w:type="dxa"/>
            <w:tcBorders>
              <w:top w:val="single" w:sz="4" w:space="0" w:color="000000"/>
              <w:left w:val="single" w:sz="4" w:space="0" w:color="000000"/>
              <w:bottom w:val="single" w:sz="4" w:space="0" w:color="000000"/>
              <w:right w:val="single" w:sz="4" w:space="0" w:color="000000"/>
            </w:tcBorders>
            <w:shd w:val="clear" w:color="auto" w:fill="DDEBF7"/>
          </w:tcPr>
          <w:p w14:paraId="28FDFABF" w14:textId="77777777" w:rsidR="008323D3" w:rsidRDefault="00185409">
            <w:pPr>
              <w:pStyle w:val="TableParagraph"/>
              <w:ind w:left="390" w:right="369"/>
              <w:jc w:val="center"/>
            </w:pPr>
            <w:r>
              <w:t>2,1</w:t>
            </w:r>
          </w:p>
        </w:tc>
        <w:tc>
          <w:tcPr>
            <w:tcW w:w="1187" w:type="dxa"/>
            <w:tcBorders>
              <w:top w:val="single" w:sz="4" w:space="0" w:color="000000"/>
              <w:left w:val="single" w:sz="4" w:space="0" w:color="000000"/>
              <w:bottom w:val="single" w:sz="4" w:space="0" w:color="000000"/>
              <w:right w:val="single" w:sz="4" w:space="0" w:color="000000"/>
            </w:tcBorders>
            <w:shd w:val="clear" w:color="auto" w:fill="DDEBF7"/>
          </w:tcPr>
          <w:p w14:paraId="32893F8A" w14:textId="77777777" w:rsidR="008323D3" w:rsidRDefault="00185409">
            <w:pPr>
              <w:pStyle w:val="TableParagraph"/>
              <w:ind w:right="443"/>
              <w:jc w:val="right"/>
            </w:pPr>
            <w:r>
              <w:t>1,3</w:t>
            </w:r>
          </w:p>
        </w:tc>
      </w:tr>
      <w:tr w:rsidR="008323D3" w14:paraId="06DCDF2A" w14:textId="77777777" w:rsidTr="00DE0E5C">
        <w:trPr>
          <w:trHeight w:val="301"/>
        </w:trPr>
        <w:tc>
          <w:tcPr>
            <w:tcW w:w="3039" w:type="dxa"/>
            <w:tcBorders>
              <w:top w:val="single" w:sz="4" w:space="0" w:color="000000"/>
              <w:bottom w:val="single" w:sz="4" w:space="0" w:color="000000"/>
              <w:right w:val="single" w:sz="4" w:space="0" w:color="000000"/>
            </w:tcBorders>
          </w:tcPr>
          <w:p w14:paraId="6F87E878" w14:textId="77777777" w:rsidR="008323D3" w:rsidRDefault="00185409">
            <w:pPr>
              <w:pStyle w:val="TableParagraph"/>
              <w:spacing w:before="32"/>
              <w:ind w:left="66"/>
            </w:pPr>
            <w:r>
              <w:t>Sykehuset Innlandet</w:t>
            </w:r>
          </w:p>
        </w:tc>
        <w:tc>
          <w:tcPr>
            <w:tcW w:w="1260" w:type="dxa"/>
            <w:tcBorders>
              <w:top w:val="single" w:sz="4" w:space="0" w:color="000000"/>
              <w:left w:val="single" w:sz="4" w:space="0" w:color="000000"/>
              <w:bottom w:val="single" w:sz="4" w:space="0" w:color="000000"/>
              <w:right w:val="single" w:sz="4" w:space="0" w:color="000000"/>
            </w:tcBorders>
          </w:tcPr>
          <w:p w14:paraId="4BEE241A" w14:textId="77777777" w:rsidR="008323D3" w:rsidRDefault="00185409">
            <w:pPr>
              <w:pStyle w:val="TableParagraph"/>
              <w:spacing w:before="32"/>
              <w:ind w:left="273"/>
            </w:pPr>
            <w:r>
              <w:t>338 874</w:t>
            </w:r>
          </w:p>
        </w:tc>
        <w:tc>
          <w:tcPr>
            <w:tcW w:w="1260" w:type="dxa"/>
            <w:tcBorders>
              <w:top w:val="single" w:sz="4" w:space="0" w:color="000000"/>
              <w:left w:val="single" w:sz="4" w:space="0" w:color="000000"/>
              <w:bottom w:val="single" w:sz="4" w:space="0" w:color="000000"/>
              <w:right w:val="single" w:sz="4" w:space="0" w:color="000000"/>
            </w:tcBorders>
          </w:tcPr>
          <w:p w14:paraId="09EBD17D" w14:textId="77777777" w:rsidR="008323D3" w:rsidRDefault="00185409">
            <w:pPr>
              <w:pStyle w:val="TableParagraph"/>
              <w:spacing w:before="32"/>
              <w:ind w:left="494"/>
            </w:pPr>
            <w:r>
              <w:t>3,3</w:t>
            </w:r>
          </w:p>
        </w:tc>
        <w:tc>
          <w:tcPr>
            <w:tcW w:w="1214" w:type="dxa"/>
            <w:tcBorders>
              <w:top w:val="single" w:sz="4" w:space="0" w:color="000000"/>
              <w:left w:val="single" w:sz="4" w:space="0" w:color="000000"/>
              <w:bottom w:val="single" w:sz="4" w:space="0" w:color="000000"/>
              <w:right w:val="single" w:sz="4" w:space="0" w:color="000000"/>
            </w:tcBorders>
          </w:tcPr>
          <w:p w14:paraId="36D06C4C" w14:textId="77777777" w:rsidR="008323D3" w:rsidRDefault="00185409">
            <w:pPr>
              <w:pStyle w:val="TableParagraph"/>
              <w:spacing w:before="32"/>
              <w:ind w:left="390" w:right="369"/>
              <w:jc w:val="center"/>
            </w:pPr>
            <w:r>
              <w:t>8,9</w:t>
            </w:r>
          </w:p>
        </w:tc>
        <w:tc>
          <w:tcPr>
            <w:tcW w:w="1187" w:type="dxa"/>
            <w:tcBorders>
              <w:top w:val="single" w:sz="4" w:space="0" w:color="000000"/>
              <w:left w:val="single" w:sz="4" w:space="0" w:color="000000"/>
              <w:bottom w:val="single" w:sz="4" w:space="0" w:color="000000"/>
              <w:right w:val="single" w:sz="4" w:space="0" w:color="000000"/>
            </w:tcBorders>
          </w:tcPr>
          <w:p w14:paraId="74D768D0" w14:textId="77777777" w:rsidR="008323D3" w:rsidRDefault="00185409">
            <w:pPr>
              <w:pStyle w:val="TableParagraph"/>
              <w:spacing w:before="32"/>
              <w:ind w:right="443"/>
              <w:jc w:val="right"/>
            </w:pPr>
            <w:r>
              <w:t>1,8</w:t>
            </w:r>
          </w:p>
        </w:tc>
      </w:tr>
      <w:tr w:rsidR="008323D3" w14:paraId="7AFFABE8" w14:textId="77777777" w:rsidTr="00DE0E5C">
        <w:trPr>
          <w:trHeight w:val="299"/>
        </w:trPr>
        <w:tc>
          <w:tcPr>
            <w:tcW w:w="3039" w:type="dxa"/>
            <w:tcBorders>
              <w:top w:val="single" w:sz="4" w:space="0" w:color="000000"/>
              <w:bottom w:val="single" w:sz="4" w:space="0" w:color="000000"/>
              <w:right w:val="single" w:sz="4" w:space="0" w:color="000000"/>
            </w:tcBorders>
            <w:shd w:val="clear" w:color="auto" w:fill="DDEBF7"/>
          </w:tcPr>
          <w:p w14:paraId="6269FB70" w14:textId="77777777" w:rsidR="008323D3" w:rsidRDefault="00185409">
            <w:pPr>
              <w:pStyle w:val="TableParagraph"/>
              <w:ind w:left="66"/>
            </w:pPr>
            <w:r>
              <w:t>Sykehuset Telemark</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16DFE5D6" w14:textId="77777777" w:rsidR="008323D3" w:rsidRDefault="00185409">
            <w:pPr>
              <w:pStyle w:val="TableParagraph"/>
              <w:ind w:left="273"/>
            </w:pPr>
            <w:r>
              <w:t>173 970</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2680F6AB" w14:textId="77777777" w:rsidR="008323D3" w:rsidRDefault="00185409">
            <w:pPr>
              <w:pStyle w:val="TableParagraph"/>
              <w:ind w:left="494"/>
            </w:pPr>
            <w:r>
              <w:t>2,3</w:t>
            </w:r>
          </w:p>
        </w:tc>
        <w:tc>
          <w:tcPr>
            <w:tcW w:w="1214" w:type="dxa"/>
            <w:tcBorders>
              <w:top w:val="single" w:sz="4" w:space="0" w:color="000000"/>
              <w:left w:val="single" w:sz="4" w:space="0" w:color="000000"/>
              <w:bottom w:val="single" w:sz="4" w:space="0" w:color="000000"/>
              <w:right w:val="single" w:sz="4" w:space="0" w:color="000000"/>
            </w:tcBorders>
            <w:shd w:val="clear" w:color="auto" w:fill="DDEBF7"/>
          </w:tcPr>
          <w:p w14:paraId="3C83D33D" w14:textId="77777777" w:rsidR="008323D3" w:rsidRDefault="00185409">
            <w:pPr>
              <w:pStyle w:val="TableParagraph"/>
              <w:ind w:left="390" w:right="369"/>
              <w:jc w:val="center"/>
            </w:pPr>
            <w:r>
              <w:t>1,2</w:t>
            </w:r>
          </w:p>
        </w:tc>
        <w:tc>
          <w:tcPr>
            <w:tcW w:w="1187" w:type="dxa"/>
            <w:tcBorders>
              <w:top w:val="single" w:sz="4" w:space="0" w:color="000000"/>
              <w:left w:val="single" w:sz="4" w:space="0" w:color="000000"/>
              <w:bottom w:val="single" w:sz="4" w:space="0" w:color="000000"/>
              <w:right w:val="single" w:sz="4" w:space="0" w:color="000000"/>
            </w:tcBorders>
            <w:shd w:val="clear" w:color="auto" w:fill="DDEBF7"/>
          </w:tcPr>
          <w:p w14:paraId="284BB230" w14:textId="77777777" w:rsidR="008323D3" w:rsidRDefault="00185409">
            <w:pPr>
              <w:pStyle w:val="TableParagraph"/>
              <w:ind w:right="443"/>
              <w:jc w:val="right"/>
            </w:pPr>
            <w:r>
              <w:t>3,5</w:t>
            </w:r>
          </w:p>
        </w:tc>
      </w:tr>
      <w:tr w:rsidR="008323D3" w14:paraId="2177703E" w14:textId="77777777" w:rsidTr="00DE0E5C">
        <w:trPr>
          <w:trHeight w:val="299"/>
        </w:trPr>
        <w:tc>
          <w:tcPr>
            <w:tcW w:w="3039" w:type="dxa"/>
            <w:tcBorders>
              <w:top w:val="single" w:sz="4" w:space="0" w:color="000000"/>
              <w:bottom w:val="single" w:sz="4" w:space="0" w:color="000000"/>
              <w:right w:val="single" w:sz="4" w:space="0" w:color="000000"/>
            </w:tcBorders>
          </w:tcPr>
          <w:p w14:paraId="3D72E6A2" w14:textId="77777777" w:rsidR="008323D3" w:rsidRDefault="00185409">
            <w:pPr>
              <w:pStyle w:val="TableParagraph"/>
              <w:ind w:left="66"/>
            </w:pPr>
            <w:r>
              <w:t>Sykehuset Østfold</w:t>
            </w:r>
          </w:p>
        </w:tc>
        <w:tc>
          <w:tcPr>
            <w:tcW w:w="1260" w:type="dxa"/>
            <w:tcBorders>
              <w:top w:val="single" w:sz="4" w:space="0" w:color="000000"/>
              <w:left w:val="single" w:sz="4" w:space="0" w:color="000000"/>
              <w:bottom w:val="single" w:sz="4" w:space="0" w:color="000000"/>
              <w:right w:val="single" w:sz="4" w:space="0" w:color="000000"/>
            </w:tcBorders>
          </w:tcPr>
          <w:p w14:paraId="7C06985C" w14:textId="77777777" w:rsidR="008323D3" w:rsidRDefault="00185409">
            <w:pPr>
              <w:pStyle w:val="TableParagraph"/>
              <w:ind w:left="273"/>
            </w:pPr>
            <w:r>
              <w:t>323 453</w:t>
            </w:r>
          </w:p>
        </w:tc>
        <w:tc>
          <w:tcPr>
            <w:tcW w:w="1260" w:type="dxa"/>
            <w:tcBorders>
              <w:top w:val="single" w:sz="4" w:space="0" w:color="000000"/>
              <w:left w:val="single" w:sz="4" w:space="0" w:color="000000"/>
              <w:bottom w:val="single" w:sz="4" w:space="0" w:color="000000"/>
              <w:right w:val="single" w:sz="4" w:space="0" w:color="000000"/>
            </w:tcBorders>
          </w:tcPr>
          <w:p w14:paraId="240FF484" w14:textId="77777777" w:rsidR="008323D3" w:rsidRDefault="00185409">
            <w:pPr>
              <w:pStyle w:val="TableParagraph"/>
              <w:ind w:left="494"/>
            </w:pPr>
            <w:r>
              <w:t>1,9</w:t>
            </w:r>
          </w:p>
        </w:tc>
        <w:tc>
          <w:tcPr>
            <w:tcW w:w="1214" w:type="dxa"/>
            <w:tcBorders>
              <w:top w:val="single" w:sz="4" w:space="0" w:color="000000"/>
              <w:left w:val="single" w:sz="4" w:space="0" w:color="000000"/>
              <w:bottom w:val="single" w:sz="4" w:space="0" w:color="000000"/>
              <w:right w:val="single" w:sz="4" w:space="0" w:color="000000"/>
            </w:tcBorders>
          </w:tcPr>
          <w:p w14:paraId="13241F6F" w14:textId="77777777" w:rsidR="008323D3" w:rsidRDefault="00185409">
            <w:pPr>
              <w:pStyle w:val="TableParagraph"/>
              <w:ind w:left="390" w:right="369"/>
              <w:jc w:val="center"/>
            </w:pPr>
            <w:r>
              <w:t>3,1</w:t>
            </w:r>
          </w:p>
        </w:tc>
        <w:tc>
          <w:tcPr>
            <w:tcW w:w="1187" w:type="dxa"/>
            <w:tcBorders>
              <w:top w:val="single" w:sz="4" w:space="0" w:color="000000"/>
              <w:left w:val="single" w:sz="4" w:space="0" w:color="000000"/>
              <w:bottom w:val="single" w:sz="4" w:space="0" w:color="000000"/>
              <w:right w:val="single" w:sz="4" w:space="0" w:color="000000"/>
            </w:tcBorders>
          </w:tcPr>
          <w:p w14:paraId="6BD690A1" w14:textId="77777777" w:rsidR="008323D3" w:rsidRDefault="00185409">
            <w:pPr>
              <w:pStyle w:val="TableParagraph"/>
              <w:ind w:right="443"/>
              <w:jc w:val="right"/>
            </w:pPr>
            <w:r>
              <w:t>1,9</w:t>
            </w:r>
          </w:p>
        </w:tc>
      </w:tr>
      <w:tr w:rsidR="008323D3" w14:paraId="79EB9B82" w14:textId="77777777" w:rsidTr="00DE0E5C">
        <w:trPr>
          <w:trHeight w:val="299"/>
        </w:trPr>
        <w:tc>
          <w:tcPr>
            <w:tcW w:w="3039" w:type="dxa"/>
            <w:tcBorders>
              <w:top w:val="single" w:sz="4" w:space="0" w:color="000000"/>
              <w:bottom w:val="single" w:sz="4" w:space="0" w:color="000000"/>
              <w:right w:val="single" w:sz="4" w:space="0" w:color="000000"/>
            </w:tcBorders>
            <w:shd w:val="clear" w:color="auto" w:fill="DDEBF7"/>
          </w:tcPr>
          <w:p w14:paraId="7E19C8D2" w14:textId="77777777" w:rsidR="008323D3" w:rsidRDefault="00185409">
            <w:pPr>
              <w:pStyle w:val="TableParagraph"/>
              <w:ind w:left="66"/>
            </w:pPr>
            <w:r>
              <w:t>Sørlandet sykehus</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3E3A1960" w14:textId="77777777" w:rsidR="008323D3" w:rsidRDefault="00185409">
            <w:pPr>
              <w:pStyle w:val="TableParagraph"/>
              <w:ind w:left="273"/>
            </w:pPr>
            <w:r>
              <w:t>311 134</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55EC3FBB" w14:textId="77777777" w:rsidR="008323D3" w:rsidRDefault="00185409">
            <w:pPr>
              <w:pStyle w:val="TableParagraph"/>
              <w:ind w:left="494"/>
            </w:pPr>
            <w:r>
              <w:t>2,9</w:t>
            </w:r>
          </w:p>
        </w:tc>
        <w:tc>
          <w:tcPr>
            <w:tcW w:w="1214" w:type="dxa"/>
            <w:tcBorders>
              <w:top w:val="single" w:sz="4" w:space="0" w:color="000000"/>
              <w:left w:val="single" w:sz="4" w:space="0" w:color="000000"/>
              <w:bottom w:val="single" w:sz="4" w:space="0" w:color="000000"/>
              <w:right w:val="single" w:sz="4" w:space="0" w:color="000000"/>
            </w:tcBorders>
            <w:shd w:val="clear" w:color="auto" w:fill="DDEBF7"/>
          </w:tcPr>
          <w:p w14:paraId="6355CA30" w14:textId="77777777" w:rsidR="008323D3" w:rsidRDefault="00185409">
            <w:pPr>
              <w:pStyle w:val="TableParagraph"/>
              <w:ind w:left="390" w:right="369"/>
              <w:jc w:val="center"/>
            </w:pPr>
            <w:r>
              <w:t>4,2</w:t>
            </w:r>
          </w:p>
        </w:tc>
        <w:tc>
          <w:tcPr>
            <w:tcW w:w="1187" w:type="dxa"/>
            <w:tcBorders>
              <w:top w:val="single" w:sz="4" w:space="0" w:color="000000"/>
              <w:left w:val="single" w:sz="4" w:space="0" w:color="000000"/>
              <w:bottom w:val="single" w:sz="4" w:space="0" w:color="000000"/>
              <w:right w:val="single" w:sz="4" w:space="0" w:color="000000"/>
            </w:tcBorders>
            <w:shd w:val="clear" w:color="auto" w:fill="DDEBF7"/>
          </w:tcPr>
          <w:p w14:paraId="6D3A8ACC" w14:textId="77777777" w:rsidR="008323D3" w:rsidRDefault="00185409">
            <w:pPr>
              <w:pStyle w:val="TableParagraph"/>
              <w:ind w:right="443"/>
              <w:jc w:val="right"/>
            </w:pPr>
            <w:r>
              <w:t>0,6</w:t>
            </w:r>
          </w:p>
        </w:tc>
      </w:tr>
      <w:tr w:rsidR="008323D3" w14:paraId="66B7E82C" w14:textId="77777777" w:rsidTr="00DE0E5C">
        <w:trPr>
          <w:trHeight w:val="299"/>
        </w:trPr>
        <w:tc>
          <w:tcPr>
            <w:tcW w:w="3039" w:type="dxa"/>
            <w:tcBorders>
              <w:top w:val="single" w:sz="4" w:space="0" w:color="000000"/>
              <w:bottom w:val="single" w:sz="4" w:space="0" w:color="000000"/>
              <w:right w:val="single" w:sz="4" w:space="0" w:color="000000"/>
            </w:tcBorders>
          </w:tcPr>
          <w:p w14:paraId="5EB9BD8A" w14:textId="77777777" w:rsidR="008323D3" w:rsidRDefault="00185409">
            <w:pPr>
              <w:pStyle w:val="TableParagraph"/>
              <w:ind w:left="66"/>
            </w:pPr>
            <w:r>
              <w:t>Vestre Viken</w:t>
            </w:r>
          </w:p>
        </w:tc>
        <w:tc>
          <w:tcPr>
            <w:tcW w:w="1260" w:type="dxa"/>
            <w:tcBorders>
              <w:top w:val="single" w:sz="4" w:space="0" w:color="000000"/>
              <w:left w:val="single" w:sz="4" w:space="0" w:color="000000"/>
              <w:bottom w:val="single" w:sz="4" w:space="0" w:color="000000"/>
              <w:right w:val="single" w:sz="4" w:space="0" w:color="000000"/>
            </w:tcBorders>
          </w:tcPr>
          <w:p w14:paraId="16A945F4" w14:textId="77777777" w:rsidR="008323D3" w:rsidRDefault="00185409">
            <w:pPr>
              <w:pStyle w:val="TableParagraph"/>
              <w:ind w:left="273"/>
            </w:pPr>
            <w:r>
              <w:t>505 445</w:t>
            </w:r>
          </w:p>
        </w:tc>
        <w:tc>
          <w:tcPr>
            <w:tcW w:w="1260" w:type="dxa"/>
            <w:tcBorders>
              <w:top w:val="single" w:sz="4" w:space="0" w:color="000000"/>
              <w:left w:val="single" w:sz="4" w:space="0" w:color="000000"/>
              <w:bottom w:val="single" w:sz="4" w:space="0" w:color="000000"/>
              <w:right w:val="single" w:sz="4" w:space="0" w:color="000000"/>
            </w:tcBorders>
          </w:tcPr>
          <w:p w14:paraId="76ED6DEA" w14:textId="77777777" w:rsidR="008323D3" w:rsidRDefault="00185409">
            <w:pPr>
              <w:pStyle w:val="TableParagraph"/>
              <w:ind w:left="494"/>
            </w:pPr>
            <w:r>
              <w:t>2,4</w:t>
            </w:r>
          </w:p>
        </w:tc>
        <w:tc>
          <w:tcPr>
            <w:tcW w:w="1214" w:type="dxa"/>
            <w:tcBorders>
              <w:top w:val="single" w:sz="4" w:space="0" w:color="000000"/>
              <w:left w:val="single" w:sz="4" w:space="0" w:color="000000"/>
              <w:bottom w:val="single" w:sz="4" w:space="0" w:color="000000"/>
              <w:right w:val="single" w:sz="4" w:space="0" w:color="000000"/>
            </w:tcBorders>
          </w:tcPr>
          <w:p w14:paraId="0D9EA6C4" w14:textId="77777777" w:rsidR="008323D3" w:rsidRDefault="00185409">
            <w:pPr>
              <w:pStyle w:val="TableParagraph"/>
              <w:ind w:left="390" w:right="369"/>
              <w:jc w:val="center"/>
            </w:pPr>
            <w:r>
              <w:t>2,4</w:t>
            </w:r>
          </w:p>
        </w:tc>
        <w:tc>
          <w:tcPr>
            <w:tcW w:w="1187" w:type="dxa"/>
            <w:tcBorders>
              <w:top w:val="single" w:sz="4" w:space="0" w:color="000000"/>
              <w:left w:val="single" w:sz="4" w:space="0" w:color="000000"/>
              <w:bottom w:val="single" w:sz="4" w:space="0" w:color="000000"/>
              <w:right w:val="single" w:sz="4" w:space="0" w:color="000000"/>
            </w:tcBorders>
          </w:tcPr>
          <w:p w14:paraId="1A707151" w14:textId="77777777" w:rsidR="008323D3" w:rsidRDefault="00185409">
            <w:pPr>
              <w:pStyle w:val="TableParagraph"/>
              <w:ind w:right="443"/>
              <w:jc w:val="right"/>
            </w:pPr>
            <w:r>
              <w:t>1,4</w:t>
            </w:r>
          </w:p>
        </w:tc>
      </w:tr>
      <w:tr w:rsidR="008323D3" w14:paraId="7F95C29B" w14:textId="77777777" w:rsidTr="00DE0E5C">
        <w:trPr>
          <w:trHeight w:val="299"/>
        </w:trPr>
        <w:tc>
          <w:tcPr>
            <w:tcW w:w="3039" w:type="dxa"/>
            <w:tcBorders>
              <w:top w:val="single" w:sz="4" w:space="0" w:color="000000"/>
              <w:bottom w:val="single" w:sz="4" w:space="0" w:color="000000"/>
              <w:right w:val="single" w:sz="4" w:space="0" w:color="000000"/>
            </w:tcBorders>
            <w:shd w:val="clear" w:color="auto" w:fill="DDEBF7"/>
          </w:tcPr>
          <w:p w14:paraId="3852BF38" w14:textId="77777777" w:rsidR="008323D3" w:rsidRDefault="00185409">
            <w:pPr>
              <w:pStyle w:val="TableParagraph"/>
              <w:ind w:left="66"/>
            </w:pPr>
            <w:r>
              <w:t>Diakonhjemmet Sykehus</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597E9C03" w14:textId="77777777" w:rsidR="008323D3" w:rsidRDefault="00185409">
            <w:pPr>
              <w:pStyle w:val="TableParagraph"/>
              <w:ind w:left="273"/>
            </w:pPr>
            <w:r>
              <w:t>145 723</w:t>
            </w:r>
          </w:p>
        </w:tc>
        <w:tc>
          <w:tcPr>
            <w:tcW w:w="1260" w:type="dxa"/>
            <w:tcBorders>
              <w:top w:val="single" w:sz="4" w:space="0" w:color="000000"/>
              <w:left w:val="single" w:sz="4" w:space="0" w:color="000000"/>
              <w:bottom w:val="single" w:sz="4" w:space="0" w:color="000000"/>
              <w:right w:val="single" w:sz="4" w:space="0" w:color="000000"/>
            </w:tcBorders>
            <w:shd w:val="clear" w:color="auto" w:fill="DDEBF7"/>
          </w:tcPr>
          <w:p w14:paraId="693402AB" w14:textId="77777777" w:rsidR="008323D3" w:rsidRDefault="00185409">
            <w:pPr>
              <w:pStyle w:val="TableParagraph"/>
              <w:ind w:left="494"/>
            </w:pPr>
            <w:r>
              <w:t>2,7</w:t>
            </w:r>
          </w:p>
        </w:tc>
        <w:tc>
          <w:tcPr>
            <w:tcW w:w="1214" w:type="dxa"/>
            <w:tcBorders>
              <w:top w:val="single" w:sz="4" w:space="0" w:color="000000"/>
              <w:left w:val="single" w:sz="4" w:space="0" w:color="000000"/>
              <w:bottom w:val="single" w:sz="4" w:space="0" w:color="000000"/>
              <w:right w:val="single" w:sz="4" w:space="0" w:color="000000"/>
            </w:tcBorders>
            <w:shd w:val="clear" w:color="auto" w:fill="DDEBF7"/>
          </w:tcPr>
          <w:p w14:paraId="0B574353" w14:textId="77777777" w:rsidR="008323D3" w:rsidRDefault="008323D3">
            <w:pPr>
              <w:pStyle w:val="TableParagraph"/>
              <w:spacing w:before="0" w:line="240" w:lineRule="auto"/>
              <w:rPr>
                <w:rFonts w:ascii="Times New Roman"/>
              </w:rPr>
            </w:pPr>
          </w:p>
        </w:tc>
        <w:tc>
          <w:tcPr>
            <w:tcW w:w="1187" w:type="dxa"/>
            <w:tcBorders>
              <w:top w:val="single" w:sz="4" w:space="0" w:color="000000"/>
              <w:left w:val="single" w:sz="4" w:space="0" w:color="000000"/>
              <w:bottom w:val="single" w:sz="4" w:space="0" w:color="000000"/>
              <w:right w:val="single" w:sz="4" w:space="0" w:color="000000"/>
            </w:tcBorders>
            <w:shd w:val="clear" w:color="auto" w:fill="DDEBF7"/>
          </w:tcPr>
          <w:p w14:paraId="2DBE7B87" w14:textId="77777777" w:rsidR="008323D3" w:rsidRDefault="008323D3">
            <w:pPr>
              <w:pStyle w:val="TableParagraph"/>
              <w:spacing w:before="0" w:line="240" w:lineRule="auto"/>
              <w:rPr>
                <w:rFonts w:ascii="Times New Roman"/>
              </w:rPr>
            </w:pPr>
          </w:p>
        </w:tc>
      </w:tr>
      <w:tr w:rsidR="008323D3" w14:paraId="0744DE10" w14:textId="77777777" w:rsidTr="00DE0E5C">
        <w:trPr>
          <w:trHeight w:val="316"/>
        </w:trPr>
        <w:tc>
          <w:tcPr>
            <w:tcW w:w="3039" w:type="dxa"/>
            <w:tcBorders>
              <w:top w:val="single" w:sz="4" w:space="0" w:color="000000"/>
              <w:bottom w:val="single" w:sz="4" w:space="0" w:color="000000"/>
              <w:right w:val="single" w:sz="4" w:space="0" w:color="000000"/>
            </w:tcBorders>
          </w:tcPr>
          <w:p w14:paraId="2F57A8F9" w14:textId="77777777" w:rsidR="008323D3" w:rsidRDefault="00185409">
            <w:pPr>
              <w:pStyle w:val="TableParagraph"/>
              <w:spacing w:before="47"/>
              <w:ind w:left="66"/>
            </w:pPr>
            <w:r>
              <w:t>Lovisenberg Diakonale sykehus</w:t>
            </w:r>
          </w:p>
        </w:tc>
        <w:tc>
          <w:tcPr>
            <w:tcW w:w="1260" w:type="dxa"/>
            <w:tcBorders>
              <w:top w:val="single" w:sz="4" w:space="0" w:color="000000"/>
              <w:left w:val="single" w:sz="4" w:space="0" w:color="000000"/>
              <w:bottom w:val="single" w:sz="4" w:space="0" w:color="000000"/>
              <w:right w:val="single" w:sz="4" w:space="0" w:color="000000"/>
            </w:tcBorders>
          </w:tcPr>
          <w:p w14:paraId="50FA2B41" w14:textId="77777777" w:rsidR="008323D3" w:rsidRDefault="00185409">
            <w:pPr>
              <w:pStyle w:val="TableParagraph"/>
              <w:spacing w:before="47"/>
              <w:ind w:left="273"/>
            </w:pPr>
            <w:r>
              <w:t>165 019</w:t>
            </w:r>
          </w:p>
        </w:tc>
        <w:tc>
          <w:tcPr>
            <w:tcW w:w="1260" w:type="dxa"/>
            <w:tcBorders>
              <w:top w:val="single" w:sz="4" w:space="0" w:color="000000"/>
              <w:left w:val="single" w:sz="4" w:space="0" w:color="000000"/>
              <w:bottom w:val="nil"/>
              <w:right w:val="single" w:sz="4" w:space="0" w:color="000000"/>
            </w:tcBorders>
          </w:tcPr>
          <w:p w14:paraId="285A2B71" w14:textId="77777777" w:rsidR="008323D3" w:rsidRDefault="00185409">
            <w:pPr>
              <w:pStyle w:val="TableParagraph"/>
              <w:spacing w:before="47"/>
              <w:ind w:left="494"/>
            </w:pPr>
            <w:r>
              <w:t>1,2</w:t>
            </w:r>
          </w:p>
        </w:tc>
        <w:tc>
          <w:tcPr>
            <w:tcW w:w="1214" w:type="dxa"/>
            <w:tcBorders>
              <w:top w:val="single" w:sz="4" w:space="0" w:color="000000"/>
              <w:left w:val="single" w:sz="4" w:space="0" w:color="000000"/>
              <w:bottom w:val="nil"/>
              <w:right w:val="single" w:sz="4" w:space="0" w:color="000000"/>
            </w:tcBorders>
          </w:tcPr>
          <w:p w14:paraId="264144D3" w14:textId="77777777" w:rsidR="008323D3" w:rsidRDefault="00185409">
            <w:pPr>
              <w:pStyle w:val="TableParagraph"/>
              <w:spacing w:before="47"/>
              <w:ind w:left="390" w:right="369"/>
              <w:jc w:val="center"/>
            </w:pPr>
            <w:r>
              <w:t>1,8</w:t>
            </w:r>
          </w:p>
        </w:tc>
        <w:tc>
          <w:tcPr>
            <w:tcW w:w="1187" w:type="dxa"/>
            <w:tcBorders>
              <w:top w:val="single" w:sz="4" w:space="0" w:color="000000"/>
              <w:left w:val="single" w:sz="4" w:space="0" w:color="000000"/>
              <w:bottom w:val="nil"/>
              <w:right w:val="single" w:sz="4" w:space="0" w:color="000000"/>
            </w:tcBorders>
          </w:tcPr>
          <w:p w14:paraId="30FA2407" w14:textId="77777777" w:rsidR="008323D3" w:rsidRDefault="008323D3">
            <w:pPr>
              <w:pStyle w:val="TableParagraph"/>
              <w:spacing w:before="0" w:line="240" w:lineRule="auto"/>
              <w:rPr>
                <w:rFonts w:ascii="Times New Roman"/>
              </w:rPr>
            </w:pPr>
          </w:p>
        </w:tc>
      </w:tr>
      <w:tr w:rsidR="00743CF5" w:rsidRPr="00743CF5" w14:paraId="60977160" w14:textId="77777777" w:rsidTr="00DE0E5C">
        <w:trPr>
          <w:trHeight w:val="350"/>
        </w:trPr>
        <w:tc>
          <w:tcPr>
            <w:tcW w:w="3039" w:type="dxa"/>
            <w:tcBorders>
              <w:top w:val="single" w:sz="4" w:space="0" w:color="000000"/>
              <w:right w:val="single" w:sz="4" w:space="0" w:color="000000"/>
            </w:tcBorders>
            <w:shd w:val="clear" w:color="auto" w:fill="5B9BD4"/>
          </w:tcPr>
          <w:p w14:paraId="7807C428" w14:textId="77777777" w:rsidR="008323D3" w:rsidRPr="00743CF5" w:rsidRDefault="00185409">
            <w:pPr>
              <w:pStyle w:val="TableParagraph"/>
              <w:spacing w:before="81"/>
              <w:ind w:left="66"/>
              <w:rPr>
                <w:color w:val="FFFFFF" w:themeColor="background1"/>
              </w:rPr>
            </w:pPr>
            <w:r w:rsidRPr="00743CF5">
              <w:rPr>
                <w:color w:val="FFFFFF" w:themeColor="background1"/>
              </w:rPr>
              <w:t>Totalt</w:t>
            </w:r>
          </w:p>
        </w:tc>
        <w:tc>
          <w:tcPr>
            <w:tcW w:w="1260" w:type="dxa"/>
            <w:tcBorders>
              <w:top w:val="single" w:sz="4" w:space="0" w:color="000000"/>
              <w:left w:val="single" w:sz="4" w:space="0" w:color="000000"/>
              <w:right w:val="single" w:sz="4" w:space="0" w:color="000000"/>
            </w:tcBorders>
            <w:shd w:val="clear" w:color="auto" w:fill="5B9BD4"/>
          </w:tcPr>
          <w:p w14:paraId="5CFD2326" w14:textId="77777777" w:rsidR="008323D3" w:rsidRPr="00743CF5" w:rsidRDefault="00185409">
            <w:pPr>
              <w:pStyle w:val="TableParagraph"/>
              <w:spacing w:before="81"/>
              <w:ind w:left="194"/>
              <w:rPr>
                <w:b/>
                <w:color w:val="FFFFFF" w:themeColor="background1"/>
              </w:rPr>
            </w:pPr>
            <w:r w:rsidRPr="00743CF5">
              <w:rPr>
                <w:b/>
                <w:color w:val="FFFFFF" w:themeColor="background1"/>
              </w:rPr>
              <w:t>3 076 276</w:t>
            </w:r>
          </w:p>
        </w:tc>
        <w:tc>
          <w:tcPr>
            <w:tcW w:w="1260" w:type="dxa"/>
            <w:tcBorders>
              <w:top w:val="nil"/>
              <w:left w:val="single" w:sz="4" w:space="0" w:color="000000"/>
              <w:bottom w:val="single" w:sz="4" w:space="0" w:color="9BC2E6"/>
              <w:right w:val="single" w:sz="4" w:space="0" w:color="000000"/>
            </w:tcBorders>
            <w:shd w:val="clear" w:color="auto" w:fill="5B9BD4"/>
          </w:tcPr>
          <w:p w14:paraId="763A42F1" w14:textId="77777777" w:rsidR="008323D3" w:rsidRPr="00743CF5" w:rsidRDefault="00F53654" w:rsidP="00F53654">
            <w:pPr>
              <w:pStyle w:val="TableParagraph"/>
              <w:spacing w:before="81"/>
              <w:ind w:left="388" w:right="370"/>
              <w:jc w:val="center"/>
              <w:rPr>
                <w:b/>
                <w:color w:val="FFFFFF" w:themeColor="background1"/>
              </w:rPr>
            </w:pPr>
            <w:r w:rsidRPr="00743CF5">
              <w:rPr>
                <w:b/>
                <w:color w:val="FFFFFF" w:themeColor="background1"/>
              </w:rPr>
              <w:t>4</w:t>
            </w:r>
          </w:p>
        </w:tc>
        <w:tc>
          <w:tcPr>
            <w:tcW w:w="1214" w:type="dxa"/>
            <w:tcBorders>
              <w:top w:val="nil"/>
              <w:left w:val="single" w:sz="4" w:space="0" w:color="000000"/>
              <w:bottom w:val="single" w:sz="4" w:space="0" w:color="9BC2E6"/>
              <w:right w:val="single" w:sz="4" w:space="0" w:color="000000"/>
            </w:tcBorders>
            <w:shd w:val="clear" w:color="auto" w:fill="5B9BD4"/>
          </w:tcPr>
          <w:p w14:paraId="34270519" w14:textId="77777777" w:rsidR="008323D3" w:rsidRPr="00743CF5" w:rsidRDefault="00F53654">
            <w:pPr>
              <w:pStyle w:val="TableParagraph"/>
              <w:spacing w:before="81"/>
              <w:ind w:left="388" w:right="370"/>
              <w:jc w:val="center"/>
              <w:rPr>
                <w:b/>
                <w:color w:val="FFFFFF" w:themeColor="background1"/>
              </w:rPr>
            </w:pPr>
            <w:r w:rsidRPr="00743CF5">
              <w:rPr>
                <w:b/>
                <w:color w:val="FFFFFF" w:themeColor="background1"/>
              </w:rPr>
              <w:t>7,7</w:t>
            </w:r>
          </w:p>
        </w:tc>
        <w:tc>
          <w:tcPr>
            <w:tcW w:w="1187" w:type="dxa"/>
            <w:tcBorders>
              <w:top w:val="nil"/>
              <w:left w:val="single" w:sz="4" w:space="0" w:color="000000"/>
              <w:bottom w:val="single" w:sz="4" w:space="0" w:color="9BC2E6"/>
              <w:right w:val="single" w:sz="4" w:space="0" w:color="000000"/>
            </w:tcBorders>
            <w:shd w:val="clear" w:color="auto" w:fill="5B9BD4"/>
          </w:tcPr>
          <w:p w14:paraId="57FB5923" w14:textId="77777777" w:rsidR="008323D3" w:rsidRPr="00743CF5" w:rsidRDefault="00743CF5">
            <w:pPr>
              <w:pStyle w:val="TableParagraph"/>
              <w:spacing w:before="81"/>
              <w:ind w:right="443"/>
              <w:jc w:val="right"/>
              <w:rPr>
                <w:b/>
                <w:color w:val="FFFFFF" w:themeColor="background1"/>
              </w:rPr>
            </w:pPr>
            <w:r w:rsidRPr="00743CF5">
              <w:rPr>
                <w:b/>
                <w:color w:val="FFFFFF" w:themeColor="background1"/>
              </w:rPr>
              <w:t>4,3</w:t>
            </w:r>
          </w:p>
        </w:tc>
      </w:tr>
    </w:tbl>
    <w:p w14:paraId="2CE54BAA" w14:textId="77777777" w:rsidR="008323D3" w:rsidRDefault="00185409">
      <w:pPr>
        <w:spacing w:before="1"/>
        <w:ind w:left="638"/>
        <w:rPr>
          <w:i/>
          <w:sz w:val="20"/>
        </w:rPr>
      </w:pPr>
      <w:r>
        <w:rPr>
          <w:i/>
          <w:sz w:val="20"/>
        </w:rPr>
        <w:t>Tabell 2 Antall senger pr 100 000.</w:t>
      </w:r>
    </w:p>
    <w:p w14:paraId="73947FC9" w14:textId="77777777" w:rsidR="008323D3" w:rsidRDefault="008323D3">
      <w:pPr>
        <w:pStyle w:val="Brdtekst"/>
        <w:spacing w:before="11"/>
        <w:rPr>
          <w:i/>
          <w:sz w:val="23"/>
        </w:rPr>
      </w:pPr>
    </w:p>
    <w:p w14:paraId="22F749B7" w14:textId="77777777" w:rsidR="008323D3" w:rsidRDefault="00185409">
      <w:pPr>
        <w:pStyle w:val="Brdtekst"/>
        <w:ind w:left="638" w:right="333"/>
      </w:pPr>
      <w:r>
        <w:t>Flere helseforetak ligger lavt på antall intensivsenger pr 100 000. Samtidig er flere av helseforetakene med relativt få senger også blant de som hadde størt pasientbelasning under Covid-19 pandemien (AHUS, Vestre Viken, Sykehuset i Vestfold og Sykehuset Østfold).</w:t>
      </w:r>
    </w:p>
    <w:p w14:paraId="03D3C986" w14:textId="77777777" w:rsidR="008323D3" w:rsidRDefault="008323D3">
      <w:pPr>
        <w:pStyle w:val="Brdtekst"/>
        <w:spacing w:before="11"/>
        <w:rPr>
          <w:sz w:val="23"/>
        </w:rPr>
      </w:pPr>
    </w:p>
    <w:p w14:paraId="6EE6DD90" w14:textId="77777777" w:rsidR="008323D3" w:rsidRDefault="00185409">
      <w:pPr>
        <w:pStyle w:val="Brdtekst"/>
        <w:ind w:left="638" w:right="285"/>
      </w:pPr>
      <w:r>
        <w:t>Intensivavdelingene i Helse Sør-Øst består i hovedsak av både kategori 2- og 3- senger og hvor bemanning, plass og utstyr i noe grad må sees under ett. Ressursfordelingen vil avhenge av pasientpågang, pasientens intensiv- eller overvåkningsbehov, og hvorvidt sykepleiere vil alternere mellom enhetene.</w:t>
      </w:r>
    </w:p>
    <w:p w14:paraId="29CECCE2" w14:textId="77777777" w:rsidR="008323D3" w:rsidRDefault="008323D3">
      <w:pPr>
        <w:pStyle w:val="Brdtekst"/>
        <w:spacing w:before="2"/>
      </w:pPr>
    </w:p>
    <w:p w14:paraId="7D96BF68" w14:textId="77777777" w:rsidR="008323D3" w:rsidRDefault="00185409">
      <w:pPr>
        <w:pStyle w:val="Brdtekst"/>
        <w:ind w:left="638" w:right="208"/>
      </w:pPr>
      <w:r>
        <w:t>Det å kombinere kategori 3- og 2-senger, gir en viss grad av fleksibilitet, men samtidig utfordrende å sette et nøyaktig tall på kapasiteten i de to sengekategoriene. De oppgitte tall er derfor oppgitt med et visst forbehold.</w:t>
      </w:r>
    </w:p>
    <w:p w14:paraId="1B39F9A9" w14:textId="77777777" w:rsidR="008323D3" w:rsidRDefault="008323D3">
      <w:pPr>
        <w:sectPr w:rsidR="008323D3">
          <w:pgSz w:w="11910" w:h="16850"/>
          <w:pgMar w:top="1000" w:right="1020" w:bottom="280" w:left="780" w:header="710" w:footer="0" w:gutter="0"/>
          <w:cols w:space="708"/>
        </w:sectPr>
      </w:pPr>
    </w:p>
    <w:p w14:paraId="1A2B8C0F" w14:textId="77777777" w:rsidR="008323D3" w:rsidRDefault="008323D3">
      <w:pPr>
        <w:pStyle w:val="Brdtekst"/>
        <w:rPr>
          <w:sz w:val="20"/>
        </w:rPr>
      </w:pPr>
    </w:p>
    <w:p w14:paraId="13A8CFC1" w14:textId="77777777" w:rsidR="008323D3" w:rsidRDefault="008323D3">
      <w:pPr>
        <w:pStyle w:val="Brdtekst"/>
        <w:rPr>
          <w:sz w:val="20"/>
        </w:rPr>
      </w:pPr>
    </w:p>
    <w:p w14:paraId="4E36CA59" w14:textId="77777777" w:rsidR="008323D3" w:rsidRDefault="008323D3">
      <w:pPr>
        <w:pStyle w:val="Brdtekst"/>
        <w:spacing w:before="6"/>
        <w:rPr>
          <w:sz w:val="18"/>
        </w:rPr>
      </w:pPr>
    </w:p>
    <w:p w14:paraId="26FD8AC1" w14:textId="77777777" w:rsidR="008323D3" w:rsidRDefault="00185409">
      <w:pPr>
        <w:tabs>
          <w:tab w:val="left" w:pos="1073"/>
        </w:tabs>
        <w:spacing w:before="1"/>
        <w:ind w:left="352"/>
        <w:rPr>
          <w:i/>
        </w:rPr>
      </w:pPr>
      <w:bookmarkStart w:id="4" w:name="_bookmark4"/>
      <w:bookmarkEnd w:id="4"/>
      <w:r>
        <w:rPr>
          <w:i/>
        </w:rPr>
        <w:t>3.1.1</w:t>
      </w:r>
      <w:r>
        <w:rPr>
          <w:i/>
        </w:rPr>
        <w:tab/>
        <w:t>Planlagt økning av</w:t>
      </w:r>
      <w:r>
        <w:rPr>
          <w:i/>
          <w:spacing w:val="-2"/>
        </w:rPr>
        <w:t xml:space="preserve"> </w:t>
      </w:r>
      <w:r>
        <w:rPr>
          <w:i/>
        </w:rPr>
        <w:t>intensivkapasiteten</w:t>
      </w:r>
    </w:p>
    <w:p w14:paraId="67C0E075" w14:textId="77777777" w:rsidR="008323D3" w:rsidRDefault="00185409">
      <w:pPr>
        <w:pStyle w:val="Brdtekst"/>
        <w:ind w:left="352" w:right="446"/>
      </w:pPr>
      <w:r>
        <w:t>Alle helseforetak beskriver behov for å øke intensivkapasiteten. Kapasiteten vurderes økt med flere kategori 3-senger, men også en økning av kategori 2-, og 1-senger. Helseforetakene beskriver at tilgang på intensivsykepleiere er den sentrale begrensningen for å oppskalere kapasiteten. Samtidig er oppgavedeling og tilstrekkelig kompetanse og kapasitet på alle nivå beskrevet som viktig. Allikevel er det gjennom pandemien allerede etablert og planlagt etablert et økt antall intensivplasser ved noen av våre helseforetak.</w:t>
      </w:r>
    </w:p>
    <w:p w14:paraId="6D6FDA3E" w14:textId="77777777" w:rsidR="008323D3" w:rsidRDefault="008323D3">
      <w:pPr>
        <w:pStyle w:val="Brdtekst"/>
        <w:spacing w:before="1"/>
      </w:pPr>
    </w:p>
    <w:p w14:paraId="77147262" w14:textId="77777777" w:rsidR="008323D3" w:rsidRDefault="00185409">
      <w:pPr>
        <w:pStyle w:val="Brdtekst"/>
        <w:ind w:left="352" w:right="451"/>
      </w:pPr>
      <w:r>
        <w:t>Oppdrag om å vurdere økning av intensivkapasiteten på kort (1-2 år), mellomlang (3-5 år) og lang sikt, samt beskrive konkrete planer for en slik økning vil bli gitt til alle helseforetakene som en del av det regionale prosjektet (se avsni</w:t>
      </w:r>
      <w:hyperlink w:anchor="_bookmark14" w:history="1">
        <w:r>
          <w:t>tt 5</w:t>
        </w:r>
      </w:hyperlink>
      <w:r>
        <w:t>).</w:t>
      </w:r>
    </w:p>
    <w:p w14:paraId="66750F29" w14:textId="77777777" w:rsidR="008323D3" w:rsidRDefault="008323D3">
      <w:pPr>
        <w:pStyle w:val="Brdtekst"/>
      </w:pPr>
    </w:p>
    <w:p w14:paraId="33D397F3" w14:textId="77777777" w:rsidR="008323D3" w:rsidRDefault="008323D3">
      <w:pPr>
        <w:pStyle w:val="Brdtekst"/>
      </w:pPr>
    </w:p>
    <w:p w14:paraId="57790903" w14:textId="77777777" w:rsidR="008323D3" w:rsidRDefault="00185409">
      <w:pPr>
        <w:pStyle w:val="Overskrift3"/>
        <w:numPr>
          <w:ilvl w:val="1"/>
          <w:numId w:val="5"/>
        </w:numPr>
        <w:tabs>
          <w:tab w:val="left" w:pos="1073"/>
          <w:tab w:val="left" w:pos="1074"/>
        </w:tabs>
        <w:spacing w:line="240" w:lineRule="auto"/>
      </w:pPr>
      <w:bookmarkStart w:id="5" w:name="_bookmark5"/>
      <w:bookmarkEnd w:id="5"/>
      <w:r>
        <w:t>Status for bemanning</w:t>
      </w:r>
      <w:r>
        <w:rPr>
          <w:spacing w:val="-4"/>
        </w:rPr>
        <w:t xml:space="preserve"> </w:t>
      </w:r>
      <w:r>
        <w:t>/personell</w:t>
      </w:r>
    </w:p>
    <w:p w14:paraId="595B99B8" w14:textId="77777777" w:rsidR="008323D3" w:rsidRDefault="00185409">
      <w:pPr>
        <w:spacing w:before="1" w:line="256" w:lineRule="auto"/>
        <w:ind w:left="352" w:right="551"/>
        <w:rPr>
          <w:sz w:val="24"/>
        </w:rPr>
      </w:pPr>
      <w:r>
        <w:rPr>
          <w:sz w:val="24"/>
        </w:rPr>
        <w:t>Styret i Helse Sør-Øst RHF vedtok 19. august 2021 en egen «</w:t>
      </w:r>
      <w:r>
        <w:rPr>
          <w:i/>
          <w:sz w:val="24"/>
        </w:rPr>
        <w:t>Regional delstrategi for utdanning og kompetanse</w:t>
      </w:r>
      <w:r>
        <w:rPr>
          <w:sz w:val="24"/>
        </w:rPr>
        <w:t>». Et av satsningsområdene i strategien er spesialutdanning av sykepleiere.</w:t>
      </w:r>
    </w:p>
    <w:p w14:paraId="2A251BAF" w14:textId="77777777" w:rsidR="008323D3" w:rsidRDefault="00185409">
      <w:pPr>
        <w:pStyle w:val="Brdtekst"/>
        <w:spacing w:before="5" w:line="256" w:lineRule="auto"/>
        <w:ind w:left="352" w:right="562"/>
      </w:pPr>
      <w:r>
        <w:t>Delstrategien er gjort gjeldende for helseforetakene i regionen igjennom oppdrag og bestilling 2022.</w:t>
      </w:r>
    </w:p>
    <w:p w14:paraId="6CA3DB5E" w14:textId="77777777" w:rsidR="008323D3" w:rsidRDefault="00185409">
      <w:pPr>
        <w:pStyle w:val="Brdtekst"/>
        <w:spacing w:before="165" w:line="259" w:lineRule="auto"/>
        <w:ind w:left="352" w:right="548"/>
      </w:pPr>
      <w:r>
        <w:t>I Helse Sør-Øst er antallet månedsverk og antallet intensivsykepleiere stabilt i forhold til nåværende utdanningskapasitet (se tabell 3). Det er små variasjonen mellom helseforetakene, noe som kan indikere at helseforetakene mer eller mindre klarer å beholde denne spesialkompetansen. Oversikten inneholder alle som er ansatt ved helseforetaket som er registrert med stillingskoden intensivsykepleiere. Antallet speiler således ikke det antallet intensivsykepleiere som har sitt ansettelsesforhold til en intensivenhet i regionen. Igjennom arbeidet som planlegges høsten 2022 vil det regionale helseforetaket i større grad få oversikt over hvordan personellsammensetningen er ved de ulike enhetene.</w:t>
      </w:r>
    </w:p>
    <w:p w14:paraId="65239A56" w14:textId="77777777" w:rsidR="008323D3" w:rsidRDefault="008323D3">
      <w:pPr>
        <w:pStyle w:val="Brdtekst"/>
        <w:spacing w:before="11"/>
        <w:rPr>
          <w:sz w:val="12"/>
        </w:rPr>
      </w:pPr>
    </w:p>
    <w:tbl>
      <w:tblPr>
        <w:tblStyle w:val="TableNormal"/>
        <w:tblW w:w="0" w:type="auto"/>
        <w:tblInd w:w="35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94"/>
        <w:gridCol w:w="852"/>
        <w:gridCol w:w="866"/>
        <w:gridCol w:w="866"/>
        <w:gridCol w:w="866"/>
        <w:gridCol w:w="866"/>
        <w:gridCol w:w="866"/>
        <w:gridCol w:w="866"/>
        <w:gridCol w:w="866"/>
        <w:gridCol w:w="866"/>
      </w:tblGrid>
      <w:tr w:rsidR="008323D3" w14:paraId="5D9C049C" w14:textId="77777777">
        <w:trPr>
          <w:trHeight w:val="201"/>
        </w:trPr>
        <w:tc>
          <w:tcPr>
            <w:tcW w:w="9074" w:type="dxa"/>
            <w:gridSpan w:val="10"/>
          </w:tcPr>
          <w:p w14:paraId="21E4B261" w14:textId="77777777" w:rsidR="008323D3" w:rsidRDefault="00185409">
            <w:pPr>
              <w:pStyle w:val="TableParagraph"/>
              <w:spacing w:before="0" w:line="181" w:lineRule="exact"/>
              <w:ind w:left="1540"/>
              <w:rPr>
                <w:b/>
                <w:sz w:val="17"/>
              </w:rPr>
            </w:pPr>
            <w:r>
              <w:rPr>
                <w:b/>
                <w:sz w:val="17"/>
              </w:rPr>
              <w:t>Utvikling i antallet månedsverk (brutto) og antall ansatte i Helse Sør-Øst 2021-22 april</w:t>
            </w:r>
          </w:p>
        </w:tc>
      </w:tr>
      <w:tr w:rsidR="008323D3" w14:paraId="5C4F59FB" w14:textId="77777777">
        <w:trPr>
          <w:trHeight w:val="548"/>
        </w:trPr>
        <w:tc>
          <w:tcPr>
            <w:tcW w:w="1294" w:type="dxa"/>
          </w:tcPr>
          <w:p w14:paraId="4569B88D" w14:textId="77777777" w:rsidR="008323D3" w:rsidRDefault="008323D3">
            <w:pPr>
              <w:pStyle w:val="TableParagraph"/>
              <w:spacing w:before="0" w:line="240" w:lineRule="auto"/>
              <w:rPr>
                <w:rFonts w:ascii="Times New Roman"/>
              </w:rPr>
            </w:pPr>
          </w:p>
        </w:tc>
        <w:tc>
          <w:tcPr>
            <w:tcW w:w="852" w:type="dxa"/>
          </w:tcPr>
          <w:p w14:paraId="03D9D7F0" w14:textId="77777777" w:rsidR="008323D3" w:rsidRDefault="00185409">
            <w:pPr>
              <w:pStyle w:val="TableParagraph"/>
              <w:spacing w:before="2" w:line="240" w:lineRule="auto"/>
              <w:ind w:left="20"/>
              <w:rPr>
                <w:b/>
                <w:i/>
                <w:sz w:val="14"/>
              </w:rPr>
            </w:pPr>
            <w:r>
              <w:rPr>
                <w:b/>
                <w:i/>
                <w:sz w:val="14"/>
              </w:rPr>
              <w:t>Oslo</w:t>
            </w:r>
          </w:p>
          <w:p w14:paraId="573DB614" w14:textId="77777777" w:rsidR="008323D3" w:rsidRDefault="00185409">
            <w:pPr>
              <w:pStyle w:val="TableParagraph"/>
              <w:spacing w:before="3" w:line="180" w:lineRule="atLeast"/>
              <w:ind w:left="20" w:right="87"/>
              <w:rPr>
                <w:b/>
                <w:i/>
                <w:sz w:val="14"/>
              </w:rPr>
            </w:pPr>
            <w:r>
              <w:rPr>
                <w:b/>
                <w:i/>
                <w:sz w:val="14"/>
              </w:rPr>
              <w:t>universitets- sykehus</w:t>
            </w:r>
          </w:p>
        </w:tc>
        <w:tc>
          <w:tcPr>
            <w:tcW w:w="866" w:type="dxa"/>
          </w:tcPr>
          <w:p w14:paraId="757EF754" w14:textId="77777777" w:rsidR="008323D3" w:rsidRDefault="008323D3">
            <w:pPr>
              <w:pStyle w:val="TableParagraph"/>
              <w:spacing w:before="0" w:line="240" w:lineRule="auto"/>
              <w:rPr>
                <w:sz w:val="14"/>
              </w:rPr>
            </w:pPr>
          </w:p>
          <w:p w14:paraId="22E33818" w14:textId="77777777" w:rsidR="008323D3" w:rsidRDefault="008323D3">
            <w:pPr>
              <w:pStyle w:val="TableParagraph"/>
              <w:spacing w:before="2" w:line="240" w:lineRule="auto"/>
              <w:rPr>
                <w:sz w:val="16"/>
              </w:rPr>
            </w:pPr>
          </w:p>
          <w:p w14:paraId="01EBBDD3" w14:textId="77777777" w:rsidR="008323D3" w:rsidRDefault="00185409">
            <w:pPr>
              <w:pStyle w:val="TableParagraph"/>
              <w:spacing w:before="0" w:line="160" w:lineRule="exact"/>
              <w:ind w:right="97"/>
              <w:jc w:val="right"/>
              <w:rPr>
                <w:b/>
                <w:i/>
                <w:sz w:val="14"/>
              </w:rPr>
            </w:pPr>
            <w:r>
              <w:rPr>
                <w:b/>
                <w:i/>
                <w:sz w:val="14"/>
              </w:rPr>
              <w:t>Vestre Viken</w:t>
            </w:r>
          </w:p>
        </w:tc>
        <w:tc>
          <w:tcPr>
            <w:tcW w:w="866" w:type="dxa"/>
          </w:tcPr>
          <w:p w14:paraId="4BDDF79B" w14:textId="77777777" w:rsidR="008323D3" w:rsidRDefault="008323D3">
            <w:pPr>
              <w:pStyle w:val="TableParagraph"/>
              <w:spacing w:before="5" w:line="240" w:lineRule="auto"/>
              <w:rPr>
                <w:sz w:val="14"/>
              </w:rPr>
            </w:pPr>
          </w:p>
          <w:p w14:paraId="1D70D8BE" w14:textId="77777777" w:rsidR="008323D3" w:rsidRDefault="00185409">
            <w:pPr>
              <w:pStyle w:val="TableParagraph"/>
              <w:spacing w:before="0" w:line="180" w:lineRule="atLeast"/>
              <w:ind w:left="19" w:right="234"/>
              <w:rPr>
                <w:b/>
                <w:i/>
                <w:sz w:val="14"/>
              </w:rPr>
            </w:pPr>
            <w:r>
              <w:rPr>
                <w:b/>
                <w:i/>
                <w:sz w:val="14"/>
              </w:rPr>
              <w:t>Sykehuset Telemark</w:t>
            </w:r>
          </w:p>
        </w:tc>
        <w:tc>
          <w:tcPr>
            <w:tcW w:w="866" w:type="dxa"/>
          </w:tcPr>
          <w:p w14:paraId="0D37BCEE" w14:textId="77777777" w:rsidR="008323D3" w:rsidRDefault="008323D3">
            <w:pPr>
              <w:pStyle w:val="TableParagraph"/>
              <w:spacing w:before="5" w:line="240" w:lineRule="auto"/>
              <w:rPr>
                <w:sz w:val="14"/>
              </w:rPr>
            </w:pPr>
          </w:p>
          <w:p w14:paraId="2E57AA03" w14:textId="77777777" w:rsidR="008323D3" w:rsidRDefault="00185409">
            <w:pPr>
              <w:pStyle w:val="TableParagraph"/>
              <w:spacing w:before="0" w:line="180" w:lineRule="atLeast"/>
              <w:ind w:left="19" w:right="168"/>
              <w:rPr>
                <w:b/>
                <w:i/>
                <w:sz w:val="14"/>
              </w:rPr>
            </w:pPr>
            <w:r>
              <w:rPr>
                <w:b/>
                <w:i/>
                <w:sz w:val="14"/>
              </w:rPr>
              <w:t>Sykehuset i Vestfold</w:t>
            </w:r>
          </w:p>
        </w:tc>
        <w:tc>
          <w:tcPr>
            <w:tcW w:w="866" w:type="dxa"/>
          </w:tcPr>
          <w:p w14:paraId="74220DBA" w14:textId="77777777" w:rsidR="008323D3" w:rsidRDefault="008323D3">
            <w:pPr>
              <w:pStyle w:val="TableParagraph"/>
              <w:spacing w:before="5" w:line="240" w:lineRule="auto"/>
              <w:rPr>
                <w:sz w:val="14"/>
              </w:rPr>
            </w:pPr>
          </w:p>
          <w:p w14:paraId="59759433" w14:textId="77777777" w:rsidR="008323D3" w:rsidRDefault="00185409">
            <w:pPr>
              <w:pStyle w:val="TableParagraph"/>
              <w:spacing w:before="0" w:line="180" w:lineRule="atLeast"/>
              <w:ind w:left="18" w:right="259"/>
              <w:rPr>
                <w:b/>
                <w:i/>
                <w:sz w:val="14"/>
              </w:rPr>
            </w:pPr>
            <w:r>
              <w:rPr>
                <w:b/>
                <w:i/>
                <w:sz w:val="14"/>
              </w:rPr>
              <w:t>Sørlandet Sykehus</w:t>
            </w:r>
          </w:p>
        </w:tc>
        <w:tc>
          <w:tcPr>
            <w:tcW w:w="866" w:type="dxa"/>
          </w:tcPr>
          <w:p w14:paraId="0EC35DA5" w14:textId="77777777" w:rsidR="008323D3" w:rsidRDefault="00185409">
            <w:pPr>
              <w:pStyle w:val="TableParagraph"/>
              <w:spacing w:before="2" w:line="240" w:lineRule="auto"/>
              <w:ind w:left="18"/>
              <w:rPr>
                <w:b/>
                <w:i/>
                <w:sz w:val="14"/>
              </w:rPr>
            </w:pPr>
            <w:r>
              <w:rPr>
                <w:b/>
                <w:i/>
                <w:sz w:val="14"/>
              </w:rPr>
              <w:t>Akershus</w:t>
            </w:r>
          </w:p>
          <w:p w14:paraId="77EC32BE" w14:textId="77777777" w:rsidR="008323D3" w:rsidRDefault="00185409">
            <w:pPr>
              <w:pStyle w:val="TableParagraph"/>
              <w:spacing w:before="3" w:line="180" w:lineRule="atLeast"/>
              <w:ind w:left="18" w:right="103"/>
              <w:rPr>
                <w:b/>
                <w:i/>
                <w:sz w:val="14"/>
              </w:rPr>
            </w:pPr>
            <w:r>
              <w:rPr>
                <w:b/>
                <w:i/>
                <w:sz w:val="14"/>
              </w:rPr>
              <w:t>universitets- sykehus</w:t>
            </w:r>
          </w:p>
        </w:tc>
        <w:tc>
          <w:tcPr>
            <w:tcW w:w="866" w:type="dxa"/>
          </w:tcPr>
          <w:p w14:paraId="3B639EE1" w14:textId="77777777" w:rsidR="008323D3" w:rsidRDefault="008323D3">
            <w:pPr>
              <w:pStyle w:val="TableParagraph"/>
              <w:spacing w:before="5" w:line="240" w:lineRule="auto"/>
              <w:rPr>
                <w:sz w:val="14"/>
              </w:rPr>
            </w:pPr>
          </w:p>
          <w:p w14:paraId="77D30151" w14:textId="77777777" w:rsidR="008323D3" w:rsidRDefault="00185409">
            <w:pPr>
              <w:pStyle w:val="TableParagraph"/>
              <w:spacing w:before="0" w:line="180" w:lineRule="atLeast"/>
              <w:ind w:left="18" w:right="235"/>
              <w:rPr>
                <w:b/>
                <w:i/>
                <w:sz w:val="14"/>
              </w:rPr>
            </w:pPr>
            <w:r>
              <w:rPr>
                <w:b/>
                <w:i/>
                <w:sz w:val="14"/>
              </w:rPr>
              <w:t>Sykehuset Østfold</w:t>
            </w:r>
          </w:p>
        </w:tc>
        <w:tc>
          <w:tcPr>
            <w:tcW w:w="866" w:type="dxa"/>
          </w:tcPr>
          <w:p w14:paraId="74E6699F" w14:textId="77777777" w:rsidR="008323D3" w:rsidRDefault="008323D3">
            <w:pPr>
              <w:pStyle w:val="TableParagraph"/>
              <w:spacing w:before="5" w:line="240" w:lineRule="auto"/>
              <w:rPr>
                <w:sz w:val="14"/>
              </w:rPr>
            </w:pPr>
          </w:p>
          <w:p w14:paraId="466EF9DD" w14:textId="77777777" w:rsidR="008323D3" w:rsidRDefault="00185409">
            <w:pPr>
              <w:pStyle w:val="TableParagraph"/>
              <w:spacing w:before="0" w:line="180" w:lineRule="atLeast"/>
              <w:ind w:left="17" w:right="236"/>
              <w:rPr>
                <w:b/>
                <w:i/>
                <w:sz w:val="14"/>
              </w:rPr>
            </w:pPr>
            <w:r>
              <w:rPr>
                <w:b/>
                <w:i/>
                <w:sz w:val="14"/>
              </w:rPr>
              <w:t>Sykehuset Innlandet</w:t>
            </w:r>
          </w:p>
        </w:tc>
        <w:tc>
          <w:tcPr>
            <w:tcW w:w="866" w:type="dxa"/>
          </w:tcPr>
          <w:p w14:paraId="2A746BED" w14:textId="77777777" w:rsidR="008323D3" w:rsidRDefault="008323D3">
            <w:pPr>
              <w:pStyle w:val="TableParagraph"/>
              <w:spacing w:before="0" w:line="240" w:lineRule="auto"/>
              <w:rPr>
                <w:sz w:val="14"/>
              </w:rPr>
            </w:pPr>
          </w:p>
          <w:p w14:paraId="4F5D385E" w14:textId="77777777" w:rsidR="008323D3" w:rsidRDefault="008323D3">
            <w:pPr>
              <w:pStyle w:val="TableParagraph"/>
              <w:spacing w:before="2" w:line="240" w:lineRule="auto"/>
              <w:rPr>
                <w:sz w:val="16"/>
              </w:rPr>
            </w:pPr>
          </w:p>
          <w:p w14:paraId="46483CC0" w14:textId="77777777" w:rsidR="008323D3" w:rsidRDefault="00185409">
            <w:pPr>
              <w:pStyle w:val="TableParagraph"/>
              <w:spacing w:before="0" w:line="160" w:lineRule="exact"/>
              <w:ind w:left="17"/>
              <w:rPr>
                <w:b/>
                <w:i/>
                <w:sz w:val="14"/>
              </w:rPr>
            </w:pPr>
            <w:r>
              <w:rPr>
                <w:b/>
                <w:i/>
                <w:sz w:val="14"/>
              </w:rPr>
              <w:t>Totalt HSØ</w:t>
            </w:r>
          </w:p>
        </w:tc>
      </w:tr>
      <w:tr w:rsidR="008323D3" w14:paraId="7A9B3822" w14:textId="77777777">
        <w:trPr>
          <w:trHeight w:val="194"/>
        </w:trPr>
        <w:tc>
          <w:tcPr>
            <w:tcW w:w="1294" w:type="dxa"/>
            <w:tcBorders>
              <w:bottom w:val="single" w:sz="4" w:space="0" w:color="000000"/>
            </w:tcBorders>
          </w:tcPr>
          <w:p w14:paraId="6B3BCFEB" w14:textId="77777777" w:rsidR="008323D3" w:rsidRDefault="00185409">
            <w:pPr>
              <w:pStyle w:val="TableParagraph"/>
              <w:spacing w:before="11" w:line="162" w:lineRule="exact"/>
              <w:ind w:left="25"/>
              <w:rPr>
                <w:b/>
                <w:i/>
                <w:sz w:val="15"/>
              </w:rPr>
            </w:pPr>
            <w:r>
              <w:rPr>
                <w:b/>
                <w:i/>
                <w:w w:val="105"/>
                <w:sz w:val="15"/>
              </w:rPr>
              <w:t>Månedsverk 2022</w:t>
            </w:r>
          </w:p>
        </w:tc>
        <w:tc>
          <w:tcPr>
            <w:tcW w:w="852" w:type="dxa"/>
            <w:tcBorders>
              <w:bottom w:val="single" w:sz="4" w:space="0" w:color="000000"/>
            </w:tcBorders>
          </w:tcPr>
          <w:p w14:paraId="70A44D20" w14:textId="77777777" w:rsidR="008323D3" w:rsidRDefault="00185409">
            <w:pPr>
              <w:pStyle w:val="TableParagraph"/>
              <w:spacing w:before="11" w:line="162" w:lineRule="exact"/>
              <w:ind w:right="20"/>
              <w:jc w:val="right"/>
              <w:rPr>
                <w:sz w:val="15"/>
              </w:rPr>
            </w:pPr>
            <w:r>
              <w:rPr>
                <w:sz w:val="15"/>
              </w:rPr>
              <w:t>711</w:t>
            </w:r>
          </w:p>
        </w:tc>
        <w:tc>
          <w:tcPr>
            <w:tcW w:w="866" w:type="dxa"/>
            <w:tcBorders>
              <w:bottom w:val="single" w:sz="4" w:space="0" w:color="000000"/>
            </w:tcBorders>
          </w:tcPr>
          <w:p w14:paraId="6A2FAE0C" w14:textId="77777777" w:rsidR="008323D3" w:rsidRDefault="00185409">
            <w:pPr>
              <w:pStyle w:val="TableParagraph"/>
              <w:spacing w:before="11" w:line="162" w:lineRule="exact"/>
              <w:ind w:right="20"/>
              <w:jc w:val="right"/>
              <w:rPr>
                <w:sz w:val="15"/>
              </w:rPr>
            </w:pPr>
            <w:r>
              <w:rPr>
                <w:sz w:val="15"/>
              </w:rPr>
              <w:t>193</w:t>
            </w:r>
          </w:p>
        </w:tc>
        <w:tc>
          <w:tcPr>
            <w:tcW w:w="866" w:type="dxa"/>
            <w:tcBorders>
              <w:bottom w:val="single" w:sz="4" w:space="0" w:color="000000"/>
            </w:tcBorders>
          </w:tcPr>
          <w:p w14:paraId="4234F214" w14:textId="77777777" w:rsidR="008323D3" w:rsidRDefault="00185409">
            <w:pPr>
              <w:pStyle w:val="TableParagraph"/>
              <w:spacing w:before="11" w:line="162" w:lineRule="exact"/>
              <w:ind w:right="20"/>
              <w:jc w:val="right"/>
              <w:rPr>
                <w:sz w:val="15"/>
              </w:rPr>
            </w:pPr>
            <w:r>
              <w:rPr>
                <w:sz w:val="15"/>
              </w:rPr>
              <w:t>67</w:t>
            </w:r>
          </w:p>
        </w:tc>
        <w:tc>
          <w:tcPr>
            <w:tcW w:w="866" w:type="dxa"/>
            <w:tcBorders>
              <w:bottom w:val="single" w:sz="4" w:space="0" w:color="000000"/>
            </w:tcBorders>
          </w:tcPr>
          <w:p w14:paraId="0437BC71" w14:textId="77777777" w:rsidR="008323D3" w:rsidRDefault="00185409">
            <w:pPr>
              <w:pStyle w:val="TableParagraph"/>
              <w:spacing w:before="11" w:line="162" w:lineRule="exact"/>
              <w:ind w:right="21"/>
              <w:jc w:val="right"/>
              <w:rPr>
                <w:sz w:val="15"/>
              </w:rPr>
            </w:pPr>
            <w:r>
              <w:rPr>
                <w:sz w:val="15"/>
              </w:rPr>
              <w:t>94</w:t>
            </w:r>
          </w:p>
        </w:tc>
        <w:tc>
          <w:tcPr>
            <w:tcW w:w="866" w:type="dxa"/>
            <w:tcBorders>
              <w:bottom w:val="single" w:sz="4" w:space="0" w:color="000000"/>
            </w:tcBorders>
          </w:tcPr>
          <w:p w14:paraId="6944DFFD" w14:textId="77777777" w:rsidR="008323D3" w:rsidRDefault="00185409">
            <w:pPr>
              <w:pStyle w:val="TableParagraph"/>
              <w:spacing w:before="11" w:line="162" w:lineRule="exact"/>
              <w:ind w:right="21"/>
              <w:jc w:val="right"/>
              <w:rPr>
                <w:sz w:val="15"/>
              </w:rPr>
            </w:pPr>
            <w:r>
              <w:rPr>
                <w:sz w:val="15"/>
              </w:rPr>
              <w:t>151</w:t>
            </w:r>
          </w:p>
        </w:tc>
        <w:tc>
          <w:tcPr>
            <w:tcW w:w="866" w:type="dxa"/>
            <w:tcBorders>
              <w:bottom w:val="single" w:sz="4" w:space="0" w:color="000000"/>
            </w:tcBorders>
          </w:tcPr>
          <w:p w14:paraId="1251DBCF" w14:textId="77777777" w:rsidR="008323D3" w:rsidRDefault="00185409">
            <w:pPr>
              <w:pStyle w:val="TableParagraph"/>
              <w:spacing w:before="11" w:line="162" w:lineRule="exact"/>
              <w:ind w:right="22"/>
              <w:jc w:val="right"/>
              <w:rPr>
                <w:sz w:val="15"/>
              </w:rPr>
            </w:pPr>
            <w:r>
              <w:rPr>
                <w:sz w:val="15"/>
              </w:rPr>
              <w:t>169</w:t>
            </w:r>
          </w:p>
        </w:tc>
        <w:tc>
          <w:tcPr>
            <w:tcW w:w="866" w:type="dxa"/>
            <w:tcBorders>
              <w:bottom w:val="single" w:sz="4" w:space="0" w:color="000000"/>
            </w:tcBorders>
          </w:tcPr>
          <w:p w14:paraId="696A4114" w14:textId="77777777" w:rsidR="008323D3" w:rsidRDefault="00185409">
            <w:pPr>
              <w:pStyle w:val="TableParagraph"/>
              <w:spacing w:before="11" w:line="162" w:lineRule="exact"/>
              <w:ind w:right="22"/>
              <w:jc w:val="right"/>
              <w:rPr>
                <w:sz w:val="15"/>
              </w:rPr>
            </w:pPr>
            <w:r>
              <w:rPr>
                <w:sz w:val="15"/>
              </w:rPr>
              <w:t>150</w:t>
            </w:r>
          </w:p>
        </w:tc>
        <w:tc>
          <w:tcPr>
            <w:tcW w:w="866" w:type="dxa"/>
            <w:tcBorders>
              <w:bottom w:val="single" w:sz="4" w:space="0" w:color="000000"/>
            </w:tcBorders>
          </w:tcPr>
          <w:p w14:paraId="2C4F94E7" w14:textId="77777777" w:rsidR="008323D3" w:rsidRDefault="00185409">
            <w:pPr>
              <w:pStyle w:val="TableParagraph"/>
              <w:spacing w:before="11" w:line="162" w:lineRule="exact"/>
              <w:ind w:right="23"/>
              <w:jc w:val="right"/>
              <w:rPr>
                <w:sz w:val="15"/>
              </w:rPr>
            </w:pPr>
            <w:r>
              <w:rPr>
                <w:sz w:val="15"/>
              </w:rPr>
              <w:t>221</w:t>
            </w:r>
          </w:p>
        </w:tc>
        <w:tc>
          <w:tcPr>
            <w:tcW w:w="866" w:type="dxa"/>
            <w:tcBorders>
              <w:bottom w:val="single" w:sz="4" w:space="0" w:color="000000"/>
            </w:tcBorders>
          </w:tcPr>
          <w:p w14:paraId="04102655" w14:textId="77777777" w:rsidR="008323D3" w:rsidRDefault="00185409">
            <w:pPr>
              <w:pStyle w:val="TableParagraph"/>
              <w:spacing w:before="11" w:line="162" w:lineRule="exact"/>
              <w:ind w:right="23"/>
              <w:jc w:val="right"/>
              <w:rPr>
                <w:sz w:val="15"/>
              </w:rPr>
            </w:pPr>
            <w:r>
              <w:rPr>
                <w:sz w:val="15"/>
              </w:rPr>
              <w:t>1757</w:t>
            </w:r>
          </w:p>
        </w:tc>
      </w:tr>
      <w:tr w:rsidR="008323D3" w14:paraId="2EF196A6" w14:textId="77777777">
        <w:trPr>
          <w:trHeight w:val="194"/>
        </w:trPr>
        <w:tc>
          <w:tcPr>
            <w:tcW w:w="1294" w:type="dxa"/>
            <w:tcBorders>
              <w:top w:val="single" w:sz="4" w:space="0" w:color="000000"/>
            </w:tcBorders>
          </w:tcPr>
          <w:p w14:paraId="2FC56577" w14:textId="77777777" w:rsidR="008323D3" w:rsidRDefault="00185409">
            <w:pPr>
              <w:pStyle w:val="TableParagraph"/>
              <w:spacing w:before="9" w:line="165" w:lineRule="exact"/>
              <w:ind w:left="25"/>
              <w:rPr>
                <w:b/>
                <w:i/>
                <w:sz w:val="15"/>
              </w:rPr>
            </w:pPr>
            <w:r>
              <w:rPr>
                <w:b/>
                <w:i/>
                <w:w w:val="105"/>
                <w:sz w:val="15"/>
              </w:rPr>
              <w:t>Månedsverk 2021</w:t>
            </w:r>
          </w:p>
        </w:tc>
        <w:tc>
          <w:tcPr>
            <w:tcW w:w="852" w:type="dxa"/>
            <w:tcBorders>
              <w:top w:val="single" w:sz="4" w:space="0" w:color="000000"/>
            </w:tcBorders>
          </w:tcPr>
          <w:p w14:paraId="42D25C79" w14:textId="77777777" w:rsidR="008323D3" w:rsidRDefault="00185409">
            <w:pPr>
              <w:pStyle w:val="TableParagraph"/>
              <w:spacing w:before="9" w:line="165" w:lineRule="exact"/>
              <w:ind w:right="20"/>
              <w:jc w:val="right"/>
              <w:rPr>
                <w:sz w:val="15"/>
              </w:rPr>
            </w:pPr>
            <w:r>
              <w:rPr>
                <w:sz w:val="15"/>
              </w:rPr>
              <w:t>713</w:t>
            </w:r>
          </w:p>
        </w:tc>
        <w:tc>
          <w:tcPr>
            <w:tcW w:w="866" w:type="dxa"/>
            <w:tcBorders>
              <w:top w:val="single" w:sz="4" w:space="0" w:color="000000"/>
            </w:tcBorders>
          </w:tcPr>
          <w:p w14:paraId="1B326A6C" w14:textId="77777777" w:rsidR="008323D3" w:rsidRDefault="00185409">
            <w:pPr>
              <w:pStyle w:val="TableParagraph"/>
              <w:spacing w:before="9" w:line="165" w:lineRule="exact"/>
              <w:ind w:right="20"/>
              <w:jc w:val="right"/>
              <w:rPr>
                <w:sz w:val="15"/>
              </w:rPr>
            </w:pPr>
            <w:r>
              <w:rPr>
                <w:sz w:val="15"/>
              </w:rPr>
              <w:t>191</w:t>
            </w:r>
          </w:p>
        </w:tc>
        <w:tc>
          <w:tcPr>
            <w:tcW w:w="866" w:type="dxa"/>
            <w:tcBorders>
              <w:top w:val="single" w:sz="4" w:space="0" w:color="000000"/>
            </w:tcBorders>
          </w:tcPr>
          <w:p w14:paraId="78296A40" w14:textId="77777777" w:rsidR="008323D3" w:rsidRDefault="00185409">
            <w:pPr>
              <w:pStyle w:val="TableParagraph"/>
              <w:spacing w:before="9" w:line="165" w:lineRule="exact"/>
              <w:ind w:right="20"/>
              <w:jc w:val="right"/>
              <w:rPr>
                <w:sz w:val="15"/>
              </w:rPr>
            </w:pPr>
            <w:r>
              <w:rPr>
                <w:sz w:val="15"/>
              </w:rPr>
              <w:t>71</w:t>
            </w:r>
          </w:p>
        </w:tc>
        <w:tc>
          <w:tcPr>
            <w:tcW w:w="866" w:type="dxa"/>
            <w:tcBorders>
              <w:top w:val="single" w:sz="4" w:space="0" w:color="000000"/>
            </w:tcBorders>
          </w:tcPr>
          <w:p w14:paraId="67DE2238" w14:textId="77777777" w:rsidR="008323D3" w:rsidRDefault="00185409">
            <w:pPr>
              <w:pStyle w:val="TableParagraph"/>
              <w:spacing w:before="9" w:line="165" w:lineRule="exact"/>
              <w:ind w:right="21"/>
              <w:jc w:val="right"/>
              <w:rPr>
                <w:sz w:val="15"/>
              </w:rPr>
            </w:pPr>
            <w:r>
              <w:rPr>
                <w:sz w:val="15"/>
              </w:rPr>
              <w:t>95</w:t>
            </w:r>
          </w:p>
        </w:tc>
        <w:tc>
          <w:tcPr>
            <w:tcW w:w="866" w:type="dxa"/>
            <w:tcBorders>
              <w:top w:val="single" w:sz="4" w:space="0" w:color="000000"/>
            </w:tcBorders>
          </w:tcPr>
          <w:p w14:paraId="4FD399AE" w14:textId="77777777" w:rsidR="008323D3" w:rsidRDefault="00185409">
            <w:pPr>
              <w:pStyle w:val="TableParagraph"/>
              <w:spacing w:before="9" w:line="165" w:lineRule="exact"/>
              <w:ind w:right="21"/>
              <w:jc w:val="right"/>
              <w:rPr>
                <w:sz w:val="15"/>
              </w:rPr>
            </w:pPr>
            <w:r>
              <w:rPr>
                <w:sz w:val="15"/>
              </w:rPr>
              <w:t>157</w:t>
            </w:r>
          </w:p>
        </w:tc>
        <w:tc>
          <w:tcPr>
            <w:tcW w:w="866" w:type="dxa"/>
            <w:tcBorders>
              <w:top w:val="single" w:sz="4" w:space="0" w:color="000000"/>
            </w:tcBorders>
          </w:tcPr>
          <w:p w14:paraId="03BB922A" w14:textId="77777777" w:rsidR="008323D3" w:rsidRDefault="00185409">
            <w:pPr>
              <w:pStyle w:val="TableParagraph"/>
              <w:spacing w:before="9" w:line="165" w:lineRule="exact"/>
              <w:ind w:right="22"/>
              <w:jc w:val="right"/>
              <w:rPr>
                <w:sz w:val="15"/>
              </w:rPr>
            </w:pPr>
            <w:r>
              <w:rPr>
                <w:sz w:val="15"/>
              </w:rPr>
              <w:t>164</w:t>
            </w:r>
          </w:p>
        </w:tc>
        <w:tc>
          <w:tcPr>
            <w:tcW w:w="866" w:type="dxa"/>
            <w:tcBorders>
              <w:top w:val="single" w:sz="4" w:space="0" w:color="000000"/>
            </w:tcBorders>
          </w:tcPr>
          <w:p w14:paraId="4DE30297" w14:textId="77777777" w:rsidR="008323D3" w:rsidRDefault="00185409">
            <w:pPr>
              <w:pStyle w:val="TableParagraph"/>
              <w:spacing w:before="9" w:line="165" w:lineRule="exact"/>
              <w:ind w:right="22"/>
              <w:jc w:val="right"/>
              <w:rPr>
                <w:sz w:val="15"/>
              </w:rPr>
            </w:pPr>
            <w:r>
              <w:rPr>
                <w:sz w:val="15"/>
              </w:rPr>
              <w:t>155</w:t>
            </w:r>
          </w:p>
        </w:tc>
        <w:tc>
          <w:tcPr>
            <w:tcW w:w="866" w:type="dxa"/>
            <w:tcBorders>
              <w:top w:val="single" w:sz="4" w:space="0" w:color="000000"/>
            </w:tcBorders>
          </w:tcPr>
          <w:p w14:paraId="18E73093" w14:textId="77777777" w:rsidR="008323D3" w:rsidRDefault="00185409">
            <w:pPr>
              <w:pStyle w:val="TableParagraph"/>
              <w:spacing w:before="9" w:line="165" w:lineRule="exact"/>
              <w:ind w:right="23"/>
              <w:jc w:val="right"/>
              <w:rPr>
                <w:sz w:val="15"/>
              </w:rPr>
            </w:pPr>
            <w:r>
              <w:rPr>
                <w:sz w:val="15"/>
              </w:rPr>
              <w:t>215</w:t>
            </w:r>
          </w:p>
        </w:tc>
        <w:tc>
          <w:tcPr>
            <w:tcW w:w="866" w:type="dxa"/>
            <w:tcBorders>
              <w:top w:val="single" w:sz="4" w:space="0" w:color="000000"/>
            </w:tcBorders>
          </w:tcPr>
          <w:p w14:paraId="783F4972" w14:textId="77777777" w:rsidR="008323D3" w:rsidRDefault="00185409">
            <w:pPr>
              <w:pStyle w:val="TableParagraph"/>
              <w:spacing w:before="9" w:line="165" w:lineRule="exact"/>
              <w:ind w:right="23"/>
              <w:jc w:val="right"/>
              <w:rPr>
                <w:sz w:val="15"/>
              </w:rPr>
            </w:pPr>
            <w:r>
              <w:rPr>
                <w:sz w:val="15"/>
              </w:rPr>
              <w:t>1761</w:t>
            </w:r>
          </w:p>
        </w:tc>
      </w:tr>
      <w:tr w:rsidR="008323D3" w14:paraId="2799A263" w14:textId="77777777">
        <w:trPr>
          <w:trHeight w:val="196"/>
        </w:trPr>
        <w:tc>
          <w:tcPr>
            <w:tcW w:w="1294" w:type="dxa"/>
          </w:tcPr>
          <w:p w14:paraId="052D1814" w14:textId="77777777" w:rsidR="008323D3" w:rsidRDefault="00185409">
            <w:pPr>
              <w:pStyle w:val="TableParagraph"/>
              <w:spacing w:before="11" w:line="165" w:lineRule="exact"/>
              <w:ind w:left="25"/>
              <w:rPr>
                <w:b/>
                <w:i/>
                <w:sz w:val="15"/>
              </w:rPr>
            </w:pPr>
            <w:r>
              <w:rPr>
                <w:b/>
                <w:i/>
                <w:w w:val="105"/>
                <w:sz w:val="15"/>
              </w:rPr>
              <w:t>Endring 2021-22</w:t>
            </w:r>
          </w:p>
        </w:tc>
        <w:tc>
          <w:tcPr>
            <w:tcW w:w="852" w:type="dxa"/>
            <w:shd w:val="clear" w:color="auto" w:fill="FBE3D5"/>
          </w:tcPr>
          <w:p w14:paraId="2E016C77" w14:textId="77777777" w:rsidR="008323D3" w:rsidRDefault="00185409">
            <w:pPr>
              <w:pStyle w:val="TableParagraph"/>
              <w:spacing w:before="11" w:line="165" w:lineRule="exact"/>
              <w:ind w:right="21"/>
              <w:jc w:val="right"/>
              <w:rPr>
                <w:sz w:val="15"/>
              </w:rPr>
            </w:pPr>
            <w:r>
              <w:rPr>
                <w:w w:val="103"/>
                <w:sz w:val="15"/>
              </w:rPr>
              <w:t>2</w:t>
            </w:r>
          </w:p>
        </w:tc>
        <w:tc>
          <w:tcPr>
            <w:tcW w:w="866" w:type="dxa"/>
            <w:shd w:val="clear" w:color="auto" w:fill="E1EEDA"/>
          </w:tcPr>
          <w:p w14:paraId="07AAE9B9" w14:textId="77777777" w:rsidR="008323D3" w:rsidRDefault="00185409">
            <w:pPr>
              <w:pStyle w:val="TableParagraph"/>
              <w:spacing w:before="11" w:line="165" w:lineRule="exact"/>
              <w:ind w:right="21"/>
              <w:jc w:val="right"/>
              <w:rPr>
                <w:sz w:val="15"/>
              </w:rPr>
            </w:pPr>
            <w:r>
              <w:rPr>
                <w:w w:val="103"/>
                <w:sz w:val="15"/>
              </w:rPr>
              <w:t>2</w:t>
            </w:r>
          </w:p>
        </w:tc>
        <w:tc>
          <w:tcPr>
            <w:tcW w:w="866" w:type="dxa"/>
            <w:shd w:val="clear" w:color="auto" w:fill="FBE3D5"/>
          </w:tcPr>
          <w:p w14:paraId="42D5258A" w14:textId="77777777" w:rsidR="008323D3" w:rsidRDefault="00185409">
            <w:pPr>
              <w:pStyle w:val="TableParagraph"/>
              <w:spacing w:before="11" w:line="165" w:lineRule="exact"/>
              <w:ind w:right="21"/>
              <w:jc w:val="right"/>
              <w:rPr>
                <w:sz w:val="15"/>
              </w:rPr>
            </w:pPr>
            <w:r>
              <w:rPr>
                <w:w w:val="103"/>
                <w:sz w:val="15"/>
              </w:rPr>
              <w:t>4</w:t>
            </w:r>
          </w:p>
        </w:tc>
        <w:tc>
          <w:tcPr>
            <w:tcW w:w="866" w:type="dxa"/>
            <w:shd w:val="clear" w:color="auto" w:fill="FBE3D5"/>
          </w:tcPr>
          <w:p w14:paraId="060DF5FB" w14:textId="77777777" w:rsidR="008323D3" w:rsidRDefault="00185409">
            <w:pPr>
              <w:pStyle w:val="TableParagraph"/>
              <w:spacing w:before="11" w:line="165" w:lineRule="exact"/>
              <w:ind w:right="22"/>
              <w:jc w:val="right"/>
              <w:rPr>
                <w:sz w:val="15"/>
              </w:rPr>
            </w:pPr>
            <w:r>
              <w:rPr>
                <w:w w:val="103"/>
                <w:sz w:val="15"/>
              </w:rPr>
              <w:t>1</w:t>
            </w:r>
          </w:p>
        </w:tc>
        <w:tc>
          <w:tcPr>
            <w:tcW w:w="866" w:type="dxa"/>
            <w:shd w:val="clear" w:color="auto" w:fill="FBE3D5"/>
          </w:tcPr>
          <w:p w14:paraId="60A23F4D" w14:textId="77777777" w:rsidR="008323D3" w:rsidRDefault="00185409">
            <w:pPr>
              <w:pStyle w:val="TableParagraph"/>
              <w:spacing w:before="11" w:line="165" w:lineRule="exact"/>
              <w:ind w:right="22"/>
              <w:jc w:val="right"/>
              <w:rPr>
                <w:sz w:val="15"/>
              </w:rPr>
            </w:pPr>
            <w:r>
              <w:rPr>
                <w:w w:val="103"/>
                <w:sz w:val="15"/>
              </w:rPr>
              <w:t>6</w:t>
            </w:r>
          </w:p>
        </w:tc>
        <w:tc>
          <w:tcPr>
            <w:tcW w:w="866" w:type="dxa"/>
            <w:shd w:val="clear" w:color="auto" w:fill="E1EEDA"/>
          </w:tcPr>
          <w:p w14:paraId="4B6351C0" w14:textId="77777777" w:rsidR="008323D3" w:rsidRDefault="00185409">
            <w:pPr>
              <w:pStyle w:val="TableParagraph"/>
              <w:spacing w:before="11" w:line="165" w:lineRule="exact"/>
              <w:ind w:right="23"/>
              <w:jc w:val="right"/>
              <w:rPr>
                <w:sz w:val="15"/>
              </w:rPr>
            </w:pPr>
            <w:r>
              <w:rPr>
                <w:w w:val="103"/>
                <w:sz w:val="15"/>
              </w:rPr>
              <w:t>5</w:t>
            </w:r>
          </w:p>
        </w:tc>
        <w:tc>
          <w:tcPr>
            <w:tcW w:w="866" w:type="dxa"/>
            <w:shd w:val="clear" w:color="auto" w:fill="FBE3D5"/>
          </w:tcPr>
          <w:p w14:paraId="3C44185A" w14:textId="77777777" w:rsidR="008323D3" w:rsidRDefault="00185409">
            <w:pPr>
              <w:pStyle w:val="TableParagraph"/>
              <w:spacing w:before="11" w:line="165" w:lineRule="exact"/>
              <w:ind w:right="23"/>
              <w:jc w:val="right"/>
              <w:rPr>
                <w:sz w:val="15"/>
              </w:rPr>
            </w:pPr>
            <w:r>
              <w:rPr>
                <w:w w:val="103"/>
                <w:sz w:val="15"/>
              </w:rPr>
              <w:t>5</w:t>
            </w:r>
          </w:p>
        </w:tc>
        <w:tc>
          <w:tcPr>
            <w:tcW w:w="866" w:type="dxa"/>
            <w:shd w:val="clear" w:color="auto" w:fill="E1EEDA"/>
          </w:tcPr>
          <w:p w14:paraId="1B671A3A" w14:textId="77777777" w:rsidR="008323D3" w:rsidRDefault="00185409">
            <w:pPr>
              <w:pStyle w:val="TableParagraph"/>
              <w:spacing w:before="11" w:line="165" w:lineRule="exact"/>
              <w:ind w:right="24"/>
              <w:jc w:val="right"/>
              <w:rPr>
                <w:sz w:val="15"/>
              </w:rPr>
            </w:pPr>
            <w:r>
              <w:rPr>
                <w:w w:val="103"/>
                <w:sz w:val="15"/>
              </w:rPr>
              <w:t>6</w:t>
            </w:r>
          </w:p>
        </w:tc>
        <w:tc>
          <w:tcPr>
            <w:tcW w:w="866" w:type="dxa"/>
            <w:shd w:val="clear" w:color="auto" w:fill="FBE3D5"/>
          </w:tcPr>
          <w:p w14:paraId="5D65DB44" w14:textId="77777777" w:rsidR="008323D3" w:rsidRDefault="00185409">
            <w:pPr>
              <w:pStyle w:val="TableParagraph"/>
              <w:spacing w:before="11" w:line="165" w:lineRule="exact"/>
              <w:ind w:right="24"/>
              <w:jc w:val="right"/>
              <w:rPr>
                <w:sz w:val="15"/>
              </w:rPr>
            </w:pPr>
            <w:r>
              <w:rPr>
                <w:w w:val="103"/>
                <w:sz w:val="15"/>
              </w:rPr>
              <w:t>4</w:t>
            </w:r>
          </w:p>
        </w:tc>
      </w:tr>
      <w:tr w:rsidR="008323D3" w14:paraId="0E66BA78" w14:textId="77777777">
        <w:trPr>
          <w:trHeight w:val="196"/>
        </w:trPr>
        <w:tc>
          <w:tcPr>
            <w:tcW w:w="1294" w:type="dxa"/>
          </w:tcPr>
          <w:p w14:paraId="4BF76BE8" w14:textId="77777777" w:rsidR="008323D3" w:rsidRDefault="008323D3">
            <w:pPr>
              <w:pStyle w:val="TableParagraph"/>
              <w:spacing w:before="0" w:line="240" w:lineRule="auto"/>
              <w:rPr>
                <w:rFonts w:ascii="Times New Roman"/>
                <w:sz w:val="12"/>
              </w:rPr>
            </w:pPr>
          </w:p>
        </w:tc>
        <w:tc>
          <w:tcPr>
            <w:tcW w:w="852" w:type="dxa"/>
          </w:tcPr>
          <w:p w14:paraId="6DF3891B" w14:textId="77777777" w:rsidR="008323D3" w:rsidRDefault="008323D3">
            <w:pPr>
              <w:pStyle w:val="TableParagraph"/>
              <w:spacing w:before="0" w:line="240" w:lineRule="auto"/>
              <w:rPr>
                <w:rFonts w:ascii="Times New Roman"/>
                <w:sz w:val="12"/>
              </w:rPr>
            </w:pPr>
          </w:p>
        </w:tc>
        <w:tc>
          <w:tcPr>
            <w:tcW w:w="866" w:type="dxa"/>
          </w:tcPr>
          <w:p w14:paraId="32DFCB3E" w14:textId="77777777" w:rsidR="008323D3" w:rsidRDefault="008323D3">
            <w:pPr>
              <w:pStyle w:val="TableParagraph"/>
              <w:spacing w:before="0" w:line="240" w:lineRule="auto"/>
              <w:rPr>
                <w:rFonts w:ascii="Times New Roman"/>
                <w:sz w:val="12"/>
              </w:rPr>
            </w:pPr>
          </w:p>
        </w:tc>
        <w:tc>
          <w:tcPr>
            <w:tcW w:w="866" w:type="dxa"/>
          </w:tcPr>
          <w:p w14:paraId="4E84DBDE" w14:textId="77777777" w:rsidR="008323D3" w:rsidRDefault="008323D3">
            <w:pPr>
              <w:pStyle w:val="TableParagraph"/>
              <w:spacing w:before="0" w:line="240" w:lineRule="auto"/>
              <w:rPr>
                <w:rFonts w:ascii="Times New Roman"/>
                <w:sz w:val="12"/>
              </w:rPr>
            </w:pPr>
          </w:p>
        </w:tc>
        <w:tc>
          <w:tcPr>
            <w:tcW w:w="866" w:type="dxa"/>
          </w:tcPr>
          <w:p w14:paraId="59F3C563" w14:textId="77777777" w:rsidR="008323D3" w:rsidRDefault="008323D3">
            <w:pPr>
              <w:pStyle w:val="TableParagraph"/>
              <w:spacing w:before="0" w:line="240" w:lineRule="auto"/>
              <w:rPr>
                <w:rFonts w:ascii="Times New Roman"/>
                <w:sz w:val="12"/>
              </w:rPr>
            </w:pPr>
          </w:p>
        </w:tc>
        <w:tc>
          <w:tcPr>
            <w:tcW w:w="866" w:type="dxa"/>
          </w:tcPr>
          <w:p w14:paraId="77E85CD3" w14:textId="77777777" w:rsidR="008323D3" w:rsidRDefault="008323D3">
            <w:pPr>
              <w:pStyle w:val="TableParagraph"/>
              <w:spacing w:before="0" w:line="240" w:lineRule="auto"/>
              <w:rPr>
                <w:rFonts w:ascii="Times New Roman"/>
                <w:sz w:val="12"/>
              </w:rPr>
            </w:pPr>
          </w:p>
        </w:tc>
        <w:tc>
          <w:tcPr>
            <w:tcW w:w="866" w:type="dxa"/>
          </w:tcPr>
          <w:p w14:paraId="283E0024" w14:textId="77777777" w:rsidR="008323D3" w:rsidRDefault="008323D3">
            <w:pPr>
              <w:pStyle w:val="TableParagraph"/>
              <w:spacing w:before="0" w:line="240" w:lineRule="auto"/>
              <w:rPr>
                <w:rFonts w:ascii="Times New Roman"/>
                <w:sz w:val="12"/>
              </w:rPr>
            </w:pPr>
          </w:p>
        </w:tc>
        <w:tc>
          <w:tcPr>
            <w:tcW w:w="866" w:type="dxa"/>
          </w:tcPr>
          <w:p w14:paraId="6D9837B9" w14:textId="77777777" w:rsidR="008323D3" w:rsidRDefault="008323D3">
            <w:pPr>
              <w:pStyle w:val="TableParagraph"/>
              <w:spacing w:before="0" w:line="240" w:lineRule="auto"/>
              <w:rPr>
                <w:rFonts w:ascii="Times New Roman"/>
                <w:sz w:val="12"/>
              </w:rPr>
            </w:pPr>
          </w:p>
        </w:tc>
        <w:tc>
          <w:tcPr>
            <w:tcW w:w="866" w:type="dxa"/>
          </w:tcPr>
          <w:p w14:paraId="039E9B76" w14:textId="77777777" w:rsidR="008323D3" w:rsidRDefault="008323D3">
            <w:pPr>
              <w:pStyle w:val="TableParagraph"/>
              <w:spacing w:before="0" w:line="240" w:lineRule="auto"/>
              <w:rPr>
                <w:rFonts w:ascii="Times New Roman"/>
                <w:sz w:val="12"/>
              </w:rPr>
            </w:pPr>
          </w:p>
        </w:tc>
        <w:tc>
          <w:tcPr>
            <w:tcW w:w="866" w:type="dxa"/>
          </w:tcPr>
          <w:p w14:paraId="76BEBD07" w14:textId="77777777" w:rsidR="008323D3" w:rsidRDefault="008323D3">
            <w:pPr>
              <w:pStyle w:val="TableParagraph"/>
              <w:spacing w:before="0" w:line="240" w:lineRule="auto"/>
              <w:rPr>
                <w:rFonts w:ascii="Times New Roman"/>
                <w:sz w:val="12"/>
              </w:rPr>
            </w:pPr>
          </w:p>
        </w:tc>
      </w:tr>
      <w:tr w:rsidR="008323D3" w14:paraId="3BD81749" w14:textId="77777777">
        <w:trPr>
          <w:trHeight w:val="196"/>
        </w:trPr>
        <w:tc>
          <w:tcPr>
            <w:tcW w:w="1294" w:type="dxa"/>
          </w:tcPr>
          <w:p w14:paraId="160C4A10" w14:textId="77777777" w:rsidR="008323D3" w:rsidRDefault="00185409">
            <w:pPr>
              <w:pStyle w:val="TableParagraph"/>
              <w:spacing w:before="11" w:line="165" w:lineRule="exact"/>
              <w:ind w:left="25"/>
              <w:rPr>
                <w:b/>
                <w:i/>
                <w:sz w:val="15"/>
              </w:rPr>
            </w:pPr>
            <w:r>
              <w:rPr>
                <w:b/>
                <w:i/>
                <w:w w:val="105"/>
                <w:sz w:val="15"/>
              </w:rPr>
              <w:t xml:space="preserve">Antall </w:t>
            </w:r>
            <w:r>
              <w:rPr>
                <w:b/>
                <w:i/>
                <w:spacing w:val="-3"/>
                <w:w w:val="105"/>
                <w:sz w:val="15"/>
              </w:rPr>
              <w:t xml:space="preserve">ansatte </w:t>
            </w:r>
            <w:r>
              <w:rPr>
                <w:b/>
                <w:i/>
                <w:w w:val="105"/>
                <w:sz w:val="15"/>
              </w:rPr>
              <w:t>2022</w:t>
            </w:r>
          </w:p>
        </w:tc>
        <w:tc>
          <w:tcPr>
            <w:tcW w:w="852" w:type="dxa"/>
          </w:tcPr>
          <w:p w14:paraId="708211B0" w14:textId="77777777" w:rsidR="008323D3" w:rsidRDefault="00185409">
            <w:pPr>
              <w:pStyle w:val="TableParagraph"/>
              <w:spacing w:before="11" w:line="165" w:lineRule="exact"/>
              <w:ind w:right="20"/>
              <w:jc w:val="right"/>
              <w:rPr>
                <w:sz w:val="15"/>
              </w:rPr>
            </w:pPr>
            <w:r>
              <w:rPr>
                <w:sz w:val="15"/>
              </w:rPr>
              <w:t>880</w:t>
            </w:r>
          </w:p>
        </w:tc>
        <w:tc>
          <w:tcPr>
            <w:tcW w:w="866" w:type="dxa"/>
          </w:tcPr>
          <w:p w14:paraId="48ED90E3" w14:textId="77777777" w:rsidR="008323D3" w:rsidRDefault="00185409">
            <w:pPr>
              <w:pStyle w:val="TableParagraph"/>
              <w:spacing w:before="11" w:line="165" w:lineRule="exact"/>
              <w:ind w:right="20"/>
              <w:jc w:val="right"/>
              <w:rPr>
                <w:sz w:val="15"/>
              </w:rPr>
            </w:pPr>
            <w:r>
              <w:rPr>
                <w:sz w:val="15"/>
              </w:rPr>
              <w:t>251</w:t>
            </w:r>
          </w:p>
        </w:tc>
        <w:tc>
          <w:tcPr>
            <w:tcW w:w="866" w:type="dxa"/>
          </w:tcPr>
          <w:p w14:paraId="5CDC295B" w14:textId="77777777" w:rsidR="008323D3" w:rsidRDefault="00185409">
            <w:pPr>
              <w:pStyle w:val="TableParagraph"/>
              <w:spacing w:before="11" w:line="165" w:lineRule="exact"/>
              <w:ind w:right="20"/>
              <w:jc w:val="right"/>
              <w:rPr>
                <w:sz w:val="15"/>
              </w:rPr>
            </w:pPr>
            <w:r>
              <w:rPr>
                <w:sz w:val="15"/>
              </w:rPr>
              <w:t>83</w:t>
            </w:r>
          </w:p>
        </w:tc>
        <w:tc>
          <w:tcPr>
            <w:tcW w:w="866" w:type="dxa"/>
          </w:tcPr>
          <w:p w14:paraId="052B808C" w14:textId="77777777" w:rsidR="008323D3" w:rsidRDefault="00185409">
            <w:pPr>
              <w:pStyle w:val="TableParagraph"/>
              <w:spacing w:before="11" w:line="165" w:lineRule="exact"/>
              <w:ind w:right="21"/>
              <w:jc w:val="right"/>
              <w:rPr>
                <w:sz w:val="15"/>
              </w:rPr>
            </w:pPr>
            <w:r>
              <w:rPr>
                <w:sz w:val="15"/>
              </w:rPr>
              <w:t>114</w:t>
            </w:r>
          </w:p>
        </w:tc>
        <w:tc>
          <w:tcPr>
            <w:tcW w:w="866" w:type="dxa"/>
          </w:tcPr>
          <w:p w14:paraId="70EF3154" w14:textId="77777777" w:rsidR="008323D3" w:rsidRDefault="00185409">
            <w:pPr>
              <w:pStyle w:val="TableParagraph"/>
              <w:spacing w:before="11" w:line="165" w:lineRule="exact"/>
              <w:ind w:right="21"/>
              <w:jc w:val="right"/>
              <w:rPr>
                <w:sz w:val="15"/>
              </w:rPr>
            </w:pPr>
            <w:r>
              <w:rPr>
                <w:sz w:val="15"/>
              </w:rPr>
              <w:t>197</w:t>
            </w:r>
          </w:p>
        </w:tc>
        <w:tc>
          <w:tcPr>
            <w:tcW w:w="866" w:type="dxa"/>
          </w:tcPr>
          <w:p w14:paraId="234465BE" w14:textId="77777777" w:rsidR="008323D3" w:rsidRDefault="00185409">
            <w:pPr>
              <w:pStyle w:val="TableParagraph"/>
              <w:spacing w:before="11" w:line="165" w:lineRule="exact"/>
              <w:ind w:right="22"/>
              <w:jc w:val="right"/>
              <w:rPr>
                <w:sz w:val="15"/>
              </w:rPr>
            </w:pPr>
            <w:r>
              <w:rPr>
                <w:sz w:val="15"/>
              </w:rPr>
              <w:t>227</w:t>
            </w:r>
          </w:p>
        </w:tc>
        <w:tc>
          <w:tcPr>
            <w:tcW w:w="866" w:type="dxa"/>
          </w:tcPr>
          <w:p w14:paraId="11FFF82D" w14:textId="77777777" w:rsidR="008323D3" w:rsidRDefault="00185409">
            <w:pPr>
              <w:pStyle w:val="TableParagraph"/>
              <w:spacing w:before="11" w:line="165" w:lineRule="exact"/>
              <w:ind w:right="22"/>
              <w:jc w:val="right"/>
              <w:rPr>
                <w:sz w:val="15"/>
              </w:rPr>
            </w:pPr>
            <w:r>
              <w:rPr>
                <w:sz w:val="15"/>
              </w:rPr>
              <w:t>207</w:t>
            </w:r>
          </w:p>
        </w:tc>
        <w:tc>
          <w:tcPr>
            <w:tcW w:w="866" w:type="dxa"/>
          </w:tcPr>
          <w:p w14:paraId="23E09B22" w14:textId="77777777" w:rsidR="008323D3" w:rsidRDefault="00185409">
            <w:pPr>
              <w:pStyle w:val="TableParagraph"/>
              <w:spacing w:before="11" w:line="165" w:lineRule="exact"/>
              <w:ind w:right="23"/>
              <w:jc w:val="right"/>
              <w:rPr>
                <w:sz w:val="15"/>
              </w:rPr>
            </w:pPr>
            <w:r>
              <w:rPr>
                <w:sz w:val="15"/>
              </w:rPr>
              <w:t>301</w:t>
            </w:r>
          </w:p>
        </w:tc>
        <w:tc>
          <w:tcPr>
            <w:tcW w:w="866" w:type="dxa"/>
          </w:tcPr>
          <w:p w14:paraId="7AAC3772" w14:textId="77777777" w:rsidR="008323D3" w:rsidRDefault="00185409">
            <w:pPr>
              <w:pStyle w:val="TableParagraph"/>
              <w:spacing w:before="11" w:line="165" w:lineRule="exact"/>
              <w:ind w:right="23"/>
              <w:jc w:val="right"/>
              <w:rPr>
                <w:sz w:val="15"/>
              </w:rPr>
            </w:pPr>
            <w:r>
              <w:rPr>
                <w:sz w:val="15"/>
              </w:rPr>
              <w:t>2258</w:t>
            </w:r>
          </w:p>
        </w:tc>
      </w:tr>
      <w:tr w:rsidR="008323D3" w14:paraId="71EAA7FF" w14:textId="77777777">
        <w:trPr>
          <w:trHeight w:val="196"/>
        </w:trPr>
        <w:tc>
          <w:tcPr>
            <w:tcW w:w="1294" w:type="dxa"/>
          </w:tcPr>
          <w:p w14:paraId="6C02238F" w14:textId="77777777" w:rsidR="008323D3" w:rsidRDefault="00185409">
            <w:pPr>
              <w:pStyle w:val="TableParagraph"/>
              <w:spacing w:before="11" w:line="165" w:lineRule="exact"/>
              <w:ind w:left="25"/>
              <w:rPr>
                <w:b/>
                <w:i/>
                <w:sz w:val="15"/>
              </w:rPr>
            </w:pPr>
            <w:r>
              <w:rPr>
                <w:b/>
                <w:i/>
                <w:w w:val="105"/>
                <w:sz w:val="15"/>
              </w:rPr>
              <w:t xml:space="preserve">Antall </w:t>
            </w:r>
            <w:r>
              <w:rPr>
                <w:b/>
                <w:i/>
                <w:spacing w:val="-3"/>
                <w:w w:val="105"/>
                <w:sz w:val="15"/>
              </w:rPr>
              <w:t xml:space="preserve">ansatte </w:t>
            </w:r>
            <w:r>
              <w:rPr>
                <w:b/>
                <w:i/>
                <w:w w:val="105"/>
                <w:sz w:val="15"/>
              </w:rPr>
              <w:t>2021</w:t>
            </w:r>
          </w:p>
        </w:tc>
        <w:tc>
          <w:tcPr>
            <w:tcW w:w="852" w:type="dxa"/>
          </w:tcPr>
          <w:p w14:paraId="291B0F33" w14:textId="77777777" w:rsidR="008323D3" w:rsidRDefault="00185409">
            <w:pPr>
              <w:pStyle w:val="TableParagraph"/>
              <w:spacing w:before="11" w:line="165" w:lineRule="exact"/>
              <w:ind w:right="20"/>
              <w:jc w:val="right"/>
              <w:rPr>
                <w:sz w:val="15"/>
              </w:rPr>
            </w:pPr>
            <w:r>
              <w:rPr>
                <w:sz w:val="15"/>
              </w:rPr>
              <w:t>889</w:t>
            </w:r>
          </w:p>
        </w:tc>
        <w:tc>
          <w:tcPr>
            <w:tcW w:w="866" w:type="dxa"/>
          </w:tcPr>
          <w:p w14:paraId="0E22E0E3" w14:textId="77777777" w:rsidR="008323D3" w:rsidRDefault="00185409">
            <w:pPr>
              <w:pStyle w:val="TableParagraph"/>
              <w:spacing w:before="11" w:line="165" w:lineRule="exact"/>
              <w:ind w:right="20"/>
              <w:jc w:val="right"/>
              <w:rPr>
                <w:sz w:val="15"/>
              </w:rPr>
            </w:pPr>
            <w:r>
              <w:rPr>
                <w:sz w:val="15"/>
              </w:rPr>
              <w:t>247</w:t>
            </w:r>
          </w:p>
        </w:tc>
        <w:tc>
          <w:tcPr>
            <w:tcW w:w="866" w:type="dxa"/>
          </w:tcPr>
          <w:p w14:paraId="6B1A1145" w14:textId="77777777" w:rsidR="008323D3" w:rsidRDefault="00185409">
            <w:pPr>
              <w:pStyle w:val="TableParagraph"/>
              <w:spacing w:before="11" w:line="165" w:lineRule="exact"/>
              <w:ind w:right="20"/>
              <w:jc w:val="right"/>
              <w:rPr>
                <w:sz w:val="15"/>
              </w:rPr>
            </w:pPr>
            <w:r>
              <w:rPr>
                <w:sz w:val="15"/>
              </w:rPr>
              <w:t>87</w:t>
            </w:r>
          </w:p>
        </w:tc>
        <w:tc>
          <w:tcPr>
            <w:tcW w:w="866" w:type="dxa"/>
          </w:tcPr>
          <w:p w14:paraId="621575BB" w14:textId="77777777" w:rsidR="008323D3" w:rsidRDefault="00185409">
            <w:pPr>
              <w:pStyle w:val="TableParagraph"/>
              <w:spacing w:before="11" w:line="165" w:lineRule="exact"/>
              <w:ind w:right="21"/>
              <w:jc w:val="right"/>
              <w:rPr>
                <w:sz w:val="15"/>
              </w:rPr>
            </w:pPr>
            <w:r>
              <w:rPr>
                <w:sz w:val="15"/>
              </w:rPr>
              <w:t>121</w:t>
            </w:r>
          </w:p>
        </w:tc>
        <w:tc>
          <w:tcPr>
            <w:tcW w:w="866" w:type="dxa"/>
          </w:tcPr>
          <w:p w14:paraId="6C5275E6" w14:textId="77777777" w:rsidR="008323D3" w:rsidRDefault="00185409">
            <w:pPr>
              <w:pStyle w:val="TableParagraph"/>
              <w:spacing w:before="11" w:line="165" w:lineRule="exact"/>
              <w:ind w:right="21"/>
              <w:jc w:val="right"/>
              <w:rPr>
                <w:sz w:val="15"/>
              </w:rPr>
            </w:pPr>
            <w:r>
              <w:rPr>
                <w:sz w:val="15"/>
              </w:rPr>
              <w:t>196</w:t>
            </w:r>
          </w:p>
        </w:tc>
        <w:tc>
          <w:tcPr>
            <w:tcW w:w="866" w:type="dxa"/>
          </w:tcPr>
          <w:p w14:paraId="3281F922" w14:textId="77777777" w:rsidR="008323D3" w:rsidRDefault="00185409">
            <w:pPr>
              <w:pStyle w:val="TableParagraph"/>
              <w:spacing w:before="11" w:line="165" w:lineRule="exact"/>
              <w:ind w:right="22"/>
              <w:jc w:val="right"/>
              <w:rPr>
                <w:sz w:val="15"/>
              </w:rPr>
            </w:pPr>
            <w:r>
              <w:rPr>
                <w:sz w:val="15"/>
              </w:rPr>
              <w:t>233</w:t>
            </w:r>
          </w:p>
        </w:tc>
        <w:tc>
          <w:tcPr>
            <w:tcW w:w="866" w:type="dxa"/>
          </w:tcPr>
          <w:p w14:paraId="3F3F5B81" w14:textId="77777777" w:rsidR="008323D3" w:rsidRDefault="00185409">
            <w:pPr>
              <w:pStyle w:val="TableParagraph"/>
              <w:spacing w:before="11" w:line="165" w:lineRule="exact"/>
              <w:ind w:right="22"/>
              <w:jc w:val="right"/>
              <w:rPr>
                <w:sz w:val="15"/>
              </w:rPr>
            </w:pPr>
            <w:r>
              <w:rPr>
                <w:sz w:val="15"/>
              </w:rPr>
              <w:t>207</w:t>
            </w:r>
          </w:p>
        </w:tc>
        <w:tc>
          <w:tcPr>
            <w:tcW w:w="866" w:type="dxa"/>
          </w:tcPr>
          <w:p w14:paraId="7CA628A5" w14:textId="77777777" w:rsidR="008323D3" w:rsidRDefault="00185409">
            <w:pPr>
              <w:pStyle w:val="TableParagraph"/>
              <w:spacing w:before="11" w:line="165" w:lineRule="exact"/>
              <w:ind w:right="23"/>
              <w:jc w:val="right"/>
              <w:rPr>
                <w:sz w:val="15"/>
              </w:rPr>
            </w:pPr>
            <w:r>
              <w:rPr>
                <w:sz w:val="15"/>
              </w:rPr>
              <w:t>294</w:t>
            </w:r>
          </w:p>
        </w:tc>
        <w:tc>
          <w:tcPr>
            <w:tcW w:w="866" w:type="dxa"/>
          </w:tcPr>
          <w:p w14:paraId="0D723868" w14:textId="77777777" w:rsidR="008323D3" w:rsidRDefault="00185409">
            <w:pPr>
              <w:pStyle w:val="TableParagraph"/>
              <w:spacing w:before="11" w:line="165" w:lineRule="exact"/>
              <w:ind w:right="23"/>
              <w:jc w:val="right"/>
              <w:rPr>
                <w:sz w:val="15"/>
              </w:rPr>
            </w:pPr>
            <w:r>
              <w:rPr>
                <w:sz w:val="15"/>
              </w:rPr>
              <w:t>2272</w:t>
            </w:r>
          </w:p>
        </w:tc>
      </w:tr>
      <w:tr w:rsidR="008323D3" w14:paraId="4EB1D5D0" w14:textId="77777777">
        <w:trPr>
          <w:trHeight w:val="196"/>
        </w:trPr>
        <w:tc>
          <w:tcPr>
            <w:tcW w:w="1294" w:type="dxa"/>
          </w:tcPr>
          <w:p w14:paraId="523BE702" w14:textId="77777777" w:rsidR="008323D3" w:rsidRDefault="00185409">
            <w:pPr>
              <w:pStyle w:val="TableParagraph"/>
              <w:spacing w:before="11" w:line="165" w:lineRule="exact"/>
              <w:ind w:left="25"/>
              <w:rPr>
                <w:b/>
                <w:i/>
                <w:sz w:val="15"/>
              </w:rPr>
            </w:pPr>
            <w:r>
              <w:rPr>
                <w:b/>
                <w:i/>
                <w:w w:val="105"/>
                <w:sz w:val="15"/>
              </w:rPr>
              <w:t>Endring 2021-22</w:t>
            </w:r>
          </w:p>
        </w:tc>
        <w:tc>
          <w:tcPr>
            <w:tcW w:w="852" w:type="dxa"/>
            <w:shd w:val="clear" w:color="auto" w:fill="FBE3D5"/>
          </w:tcPr>
          <w:p w14:paraId="5F1A1DDA" w14:textId="77777777" w:rsidR="008323D3" w:rsidRDefault="00185409">
            <w:pPr>
              <w:pStyle w:val="TableParagraph"/>
              <w:spacing w:before="11" w:line="165" w:lineRule="exact"/>
              <w:ind w:right="21"/>
              <w:jc w:val="right"/>
              <w:rPr>
                <w:sz w:val="15"/>
              </w:rPr>
            </w:pPr>
            <w:r>
              <w:rPr>
                <w:w w:val="103"/>
                <w:sz w:val="15"/>
              </w:rPr>
              <w:t>9</w:t>
            </w:r>
          </w:p>
        </w:tc>
        <w:tc>
          <w:tcPr>
            <w:tcW w:w="866" w:type="dxa"/>
            <w:shd w:val="clear" w:color="auto" w:fill="E1EEDA"/>
          </w:tcPr>
          <w:p w14:paraId="07F82424" w14:textId="77777777" w:rsidR="008323D3" w:rsidRDefault="00185409">
            <w:pPr>
              <w:pStyle w:val="TableParagraph"/>
              <w:spacing w:before="11" w:line="165" w:lineRule="exact"/>
              <w:ind w:right="21"/>
              <w:jc w:val="right"/>
              <w:rPr>
                <w:sz w:val="15"/>
              </w:rPr>
            </w:pPr>
            <w:r>
              <w:rPr>
                <w:w w:val="103"/>
                <w:sz w:val="15"/>
              </w:rPr>
              <w:t>4</w:t>
            </w:r>
          </w:p>
        </w:tc>
        <w:tc>
          <w:tcPr>
            <w:tcW w:w="866" w:type="dxa"/>
            <w:shd w:val="clear" w:color="auto" w:fill="FBE3D5"/>
          </w:tcPr>
          <w:p w14:paraId="558F3ACA" w14:textId="77777777" w:rsidR="008323D3" w:rsidRDefault="00185409">
            <w:pPr>
              <w:pStyle w:val="TableParagraph"/>
              <w:spacing w:before="11" w:line="165" w:lineRule="exact"/>
              <w:ind w:right="21"/>
              <w:jc w:val="right"/>
              <w:rPr>
                <w:sz w:val="15"/>
              </w:rPr>
            </w:pPr>
            <w:r>
              <w:rPr>
                <w:w w:val="103"/>
                <w:sz w:val="15"/>
              </w:rPr>
              <w:t>4</w:t>
            </w:r>
          </w:p>
        </w:tc>
        <w:tc>
          <w:tcPr>
            <w:tcW w:w="866" w:type="dxa"/>
            <w:shd w:val="clear" w:color="auto" w:fill="FBE3D5"/>
          </w:tcPr>
          <w:p w14:paraId="72CF3CAF" w14:textId="77777777" w:rsidR="008323D3" w:rsidRDefault="00185409">
            <w:pPr>
              <w:pStyle w:val="TableParagraph"/>
              <w:spacing w:before="11" w:line="165" w:lineRule="exact"/>
              <w:ind w:right="22"/>
              <w:jc w:val="right"/>
              <w:rPr>
                <w:sz w:val="15"/>
              </w:rPr>
            </w:pPr>
            <w:r>
              <w:rPr>
                <w:w w:val="103"/>
                <w:sz w:val="15"/>
              </w:rPr>
              <w:t>7</w:t>
            </w:r>
          </w:p>
        </w:tc>
        <w:tc>
          <w:tcPr>
            <w:tcW w:w="866" w:type="dxa"/>
            <w:shd w:val="clear" w:color="auto" w:fill="E1EEDA"/>
          </w:tcPr>
          <w:p w14:paraId="1357F598" w14:textId="77777777" w:rsidR="008323D3" w:rsidRDefault="00185409">
            <w:pPr>
              <w:pStyle w:val="TableParagraph"/>
              <w:spacing w:before="11" w:line="165" w:lineRule="exact"/>
              <w:ind w:right="22"/>
              <w:jc w:val="right"/>
              <w:rPr>
                <w:sz w:val="15"/>
              </w:rPr>
            </w:pPr>
            <w:r>
              <w:rPr>
                <w:w w:val="103"/>
                <w:sz w:val="15"/>
              </w:rPr>
              <w:t>1</w:t>
            </w:r>
          </w:p>
        </w:tc>
        <w:tc>
          <w:tcPr>
            <w:tcW w:w="866" w:type="dxa"/>
            <w:shd w:val="clear" w:color="auto" w:fill="FBE3D5"/>
          </w:tcPr>
          <w:p w14:paraId="307590FA" w14:textId="77777777" w:rsidR="008323D3" w:rsidRDefault="00185409">
            <w:pPr>
              <w:pStyle w:val="TableParagraph"/>
              <w:spacing w:before="11" w:line="165" w:lineRule="exact"/>
              <w:ind w:right="23"/>
              <w:jc w:val="right"/>
              <w:rPr>
                <w:sz w:val="15"/>
              </w:rPr>
            </w:pPr>
            <w:r>
              <w:rPr>
                <w:w w:val="103"/>
                <w:sz w:val="15"/>
              </w:rPr>
              <w:t>6</w:t>
            </w:r>
          </w:p>
        </w:tc>
        <w:tc>
          <w:tcPr>
            <w:tcW w:w="866" w:type="dxa"/>
          </w:tcPr>
          <w:p w14:paraId="2947889C" w14:textId="77777777" w:rsidR="008323D3" w:rsidRDefault="00185409">
            <w:pPr>
              <w:pStyle w:val="TableParagraph"/>
              <w:spacing w:before="11" w:line="165" w:lineRule="exact"/>
              <w:ind w:right="23"/>
              <w:jc w:val="right"/>
              <w:rPr>
                <w:sz w:val="15"/>
              </w:rPr>
            </w:pPr>
            <w:r>
              <w:rPr>
                <w:w w:val="103"/>
                <w:sz w:val="15"/>
              </w:rPr>
              <w:t>0</w:t>
            </w:r>
          </w:p>
        </w:tc>
        <w:tc>
          <w:tcPr>
            <w:tcW w:w="866" w:type="dxa"/>
            <w:shd w:val="clear" w:color="auto" w:fill="E1EEDA"/>
          </w:tcPr>
          <w:p w14:paraId="38508E95" w14:textId="77777777" w:rsidR="008323D3" w:rsidRDefault="00185409">
            <w:pPr>
              <w:pStyle w:val="TableParagraph"/>
              <w:spacing w:before="11" w:line="165" w:lineRule="exact"/>
              <w:ind w:right="24"/>
              <w:jc w:val="right"/>
              <w:rPr>
                <w:sz w:val="15"/>
              </w:rPr>
            </w:pPr>
            <w:r>
              <w:rPr>
                <w:w w:val="103"/>
                <w:sz w:val="15"/>
              </w:rPr>
              <w:t>7</w:t>
            </w:r>
          </w:p>
        </w:tc>
        <w:tc>
          <w:tcPr>
            <w:tcW w:w="866" w:type="dxa"/>
            <w:shd w:val="clear" w:color="auto" w:fill="FBE3D5"/>
          </w:tcPr>
          <w:p w14:paraId="057AAFAB" w14:textId="77777777" w:rsidR="008323D3" w:rsidRDefault="00185409">
            <w:pPr>
              <w:pStyle w:val="TableParagraph"/>
              <w:spacing w:before="11" w:line="165" w:lineRule="exact"/>
              <w:ind w:right="23"/>
              <w:jc w:val="right"/>
              <w:rPr>
                <w:sz w:val="15"/>
              </w:rPr>
            </w:pPr>
            <w:r>
              <w:rPr>
                <w:sz w:val="15"/>
              </w:rPr>
              <w:t>12</w:t>
            </w:r>
          </w:p>
        </w:tc>
      </w:tr>
    </w:tbl>
    <w:p w14:paraId="17646A3A" w14:textId="77777777" w:rsidR="008323D3" w:rsidRDefault="00185409">
      <w:pPr>
        <w:spacing w:before="185"/>
        <w:ind w:left="352"/>
        <w:rPr>
          <w:i/>
          <w:sz w:val="20"/>
        </w:rPr>
      </w:pPr>
      <w:r>
        <w:rPr>
          <w:i/>
          <w:sz w:val="20"/>
        </w:rPr>
        <w:t>Tabell 3 Utvikling i antall månedsverk og antall ansatte i Helse Sør-Øst 2021-april 2022.</w:t>
      </w:r>
    </w:p>
    <w:p w14:paraId="024BE880" w14:textId="77777777" w:rsidR="008323D3" w:rsidRDefault="008323D3">
      <w:pPr>
        <w:pStyle w:val="Brdtekst"/>
        <w:spacing w:before="11"/>
        <w:rPr>
          <w:i/>
          <w:sz w:val="21"/>
        </w:rPr>
      </w:pPr>
    </w:p>
    <w:p w14:paraId="3523172B" w14:textId="77777777" w:rsidR="008323D3" w:rsidRDefault="00185409">
      <w:pPr>
        <w:pStyle w:val="Brdtekst"/>
        <w:ind w:left="352"/>
      </w:pPr>
      <w:r>
        <w:rPr>
          <w:u w:val="single"/>
        </w:rPr>
        <w:t>Andre helsepersonellgrupper</w:t>
      </w:r>
    </w:p>
    <w:p w14:paraId="1E3CADF5" w14:textId="77777777" w:rsidR="008323D3" w:rsidRDefault="00185409">
      <w:pPr>
        <w:pStyle w:val="Brdtekst"/>
        <w:spacing w:before="185" w:line="259" w:lineRule="auto"/>
        <w:ind w:left="352" w:right="525"/>
      </w:pPr>
      <w:r>
        <w:t>Gjennom en enkel kartlegging ved regionens intensivenheter får Helse Sør-Øst RHF tilbakemelding om at det i de senere årene er rekruttert flere andre helsepersonellgrupper inn på de fleste enhetene. Mange enheter har rekruttert blant annet helsefagarbeidere, servicemedarbeidere, forsyningsportørtjeneste, renholdere og helsesekretærer.</w:t>
      </w:r>
    </w:p>
    <w:p w14:paraId="18EA589D" w14:textId="77777777" w:rsidR="008323D3" w:rsidRDefault="008323D3">
      <w:pPr>
        <w:spacing w:line="259" w:lineRule="auto"/>
        <w:sectPr w:rsidR="008323D3">
          <w:pgSz w:w="11910" w:h="16850"/>
          <w:pgMar w:top="1000" w:right="1020" w:bottom="280" w:left="780" w:header="710" w:footer="0" w:gutter="0"/>
          <w:cols w:space="708"/>
        </w:sectPr>
      </w:pPr>
    </w:p>
    <w:p w14:paraId="715632E2" w14:textId="77777777" w:rsidR="008323D3" w:rsidRDefault="008323D3">
      <w:pPr>
        <w:pStyle w:val="Brdtekst"/>
        <w:spacing w:before="1"/>
        <w:rPr>
          <w:sz w:val="20"/>
        </w:rPr>
      </w:pPr>
    </w:p>
    <w:p w14:paraId="12EAFC9E" w14:textId="77777777" w:rsidR="008323D3" w:rsidRDefault="00185409">
      <w:pPr>
        <w:pStyle w:val="Listeavsnitt"/>
        <w:numPr>
          <w:ilvl w:val="2"/>
          <w:numId w:val="4"/>
        </w:numPr>
        <w:tabs>
          <w:tab w:val="left" w:pos="1358"/>
          <w:tab w:val="left" w:pos="1359"/>
        </w:tabs>
        <w:spacing w:before="57"/>
        <w:jc w:val="left"/>
        <w:rPr>
          <w:i/>
        </w:rPr>
      </w:pPr>
      <w:bookmarkStart w:id="6" w:name="_bookmark6"/>
      <w:bookmarkEnd w:id="6"/>
      <w:r>
        <w:rPr>
          <w:i/>
        </w:rPr>
        <w:t>Tiltak for bedre analyse av fremtidig</w:t>
      </w:r>
      <w:r>
        <w:rPr>
          <w:i/>
          <w:spacing w:val="-7"/>
        </w:rPr>
        <w:t xml:space="preserve"> </w:t>
      </w:r>
      <w:r>
        <w:rPr>
          <w:i/>
        </w:rPr>
        <w:t>bemanningsbehov</w:t>
      </w:r>
    </w:p>
    <w:p w14:paraId="5BE9FE42" w14:textId="77777777" w:rsidR="008323D3" w:rsidRDefault="00185409">
      <w:pPr>
        <w:pStyle w:val="Brdtekst"/>
        <w:spacing w:line="259" w:lineRule="auto"/>
        <w:ind w:left="638" w:right="137"/>
      </w:pPr>
      <w:r>
        <w:t>En god og realistisk plan for å sikre tilstrekkelig tilgang til intensiv- og spesialsykepleiere på kort, mellomlang- og lang sikt bør tilnærme seg helseforetakenes/sykehusenes organisering av og innhold i behandlingen. Det er ikke tilstrekkelig å utarbeide en plan på et for aggregert nivå. I Helse Sør-Øst viser foreløpig analyser at 2/3 av intensivsykepleiere arbeider på intensivenheter. Dette peker til dels på at det er mye kompetanse i sykehusene som ikke direkte arbeider på intensivenheter, men samtidig indikerer en større risiko for feilvurderinger av utdanning- og rekrutteringsbehov, enn dersom man tar utgangspunkt i relevante enheter. Behovet for intensivkompetanse strekker seg utover rene intensivenheter. Organiseringen av disse enhetene er ulike for de ulike helseforetakene. En god behovsanalyse og plan for tilgang til relevant kompetanse, er derfor avhengig av kunnskap om denne organisering ved de ulike helseforetakene. Med bakgrunn i den nasjonale anbefalingen om kategorisering av intensiv-</w:t>
      </w:r>
    </w:p>
    <w:p w14:paraId="3ACC010B" w14:textId="77777777" w:rsidR="008323D3" w:rsidRDefault="00185409">
      <w:pPr>
        <w:pStyle w:val="Brdtekst"/>
        <w:spacing w:line="259" w:lineRule="auto"/>
        <w:ind w:left="638" w:right="142"/>
      </w:pPr>
      <w:r>
        <w:t>/overvåkingsplasser vil vi kartlegge disse enhetene og se nærmere på bemanningssammensetning og eksisterende kapasitet. Vi forventer å ha ferdigstilt en kartlegging av de ulike sengekategoriene før august 2022, noe som da vil innebære en foreløpig god modell for planlegging av tilgang på intensivsykepleiere på kort og mellomlang sikt i september/oktober 2022.</w:t>
      </w:r>
    </w:p>
    <w:p w14:paraId="3F50DF62" w14:textId="77777777" w:rsidR="008323D3" w:rsidRDefault="008323D3">
      <w:pPr>
        <w:pStyle w:val="Brdtekst"/>
        <w:spacing w:before="9"/>
        <w:rPr>
          <w:sz w:val="22"/>
        </w:rPr>
      </w:pPr>
    </w:p>
    <w:p w14:paraId="1C968B05" w14:textId="77777777" w:rsidR="008323D3" w:rsidRDefault="00185409">
      <w:pPr>
        <w:pStyle w:val="Listeavsnitt"/>
        <w:numPr>
          <w:ilvl w:val="2"/>
          <w:numId w:val="4"/>
        </w:numPr>
        <w:tabs>
          <w:tab w:val="left" w:pos="1358"/>
          <w:tab w:val="left" w:pos="1359"/>
        </w:tabs>
        <w:jc w:val="left"/>
        <w:rPr>
          <w:i/>
        </w:rPr>
      </w:pPr>
      <w:bookmarkStart w:id="7" w:name="_bookmark7"/>
      <w:bookmarkEnd w:id="7"/>
      <w:r>
        <w:rPr>
          <w:i/>
        </w:rPr>
        <w:t>Utdanningskapasitet</w:t>
      </w:r>
    </w:p>
    <w:p w14:paraId="565FFF2E" w14:textId="77777777" w:rsidR="008323D3" w:rsidRDefault="00185409">
      <w:pPr>
        <w:pStyle w:val="Brdtekst"/>
        <w:spacing w:before="1" w:line="259" w:lineRule="auto"/>
        <w:ind w:left="638" w:right="163"/>
      </w:pPr>
      <w:r>
        <w:t>Utdanningskapasiteten har økt ved at antallet studieplasser er økt ved utdanningsinstitusjonene og helseforetakene har økt antallet utdanningsstillinger i forhold til de oppdrag som er gitt. Heleforetakene eller utdanningsinsitusjonene i regionen gir tilbakemelding om at det ikke er rekrutteringsutfordringer til verken studieplasser eller utdanningsstillinger. Det rapporteres om 3-4 søkere per studieplass. Hvis det skulle være behov for ytterligere økning av utdanningskapasitet for intensivsykepleiere forutsetter dette vesentlig endringer i studiestedenes programplaner. Helseforetakene må i større grad få legge premissene for hvor praksisperiodene plasseres, mer simulering og ferdighetstrening må tas i bruk og det må åpnes for kortere praksisperioder som ikke reduserer læringsutbytteoppnåelse for studentene. En stor andel av de som gjennomfører en intensivutdanning i regionen fullfører denne med en master.</w:t>
      </w:r>
    </w:p>
    <w:p w14:paraId="3BCD62AD" w14:textId="77777777" w:rsidR="008323D3" w:rsidRDefault="008323D3">
      <w:pPr>
        <w:pStyle w:val="Brdtekst"/>
        <w:spacing w:before="9"/>
        <w:rPr>
          <w:sz w:val="12"/>
        </w:rPr>
      </w:pPr>
    </w:p>
    <w:tbl>
      <w:tblPr>
        <w:tblStyle w:val="TableNormal"/>
        <w:tblW w:w="0" w:type="auto"/>
        <w:tblInd w:w="6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94"/>
        <w:gridCol w:w="852"/>
        <w:gridCol w:w="866"/>
        <w:gridCol w:w="866"/>
        <w:gridCol w:w="866"/>
        <w:gridCol w:w="866"/>
        <w:gridCol w:w="866"/>
        <w:gridCol w:w="866"/>
        <w:gridCol w:w="866"/>
        <w:gridCol w:w="866"/>
      </w:tblGrid>
      <w:tr w:rsidR="008323D3" w14:paraId="6A6E71F0" w14:textId="77777777">
        <w:trPr>
          <w:trHeight w:val="217"/>
        </w:trPr>
        <w:tc>
          <w:tcPr>
            <w:tcW w:w="9074" w:type="dxa"/>
            <w:gridSpan w:val="10"/>
          </w:tcPr>
          <w:p w14:paraId="514F4DF4" w14:textId="77777777" w:rsidR="008323D3" w:rsidRDefault="00185409">
            <w:pPr>
              <w:pStyle w:val="TableParagraph"/>
              <w:spacing w:before="8" w:line="189" w:lineRule="exact"/>
              <w:ind w:left="1451"/>
              <w:rPr>
                <w:b/>
                <w:sz w:val="17"/>
              </w:rPr>
            </w:pPr>
            <w:r>
              <w:rPr>
                <w:b/>
                <w:sz w:val="17"/>
              </w:rPr>
              <w:t>Utvikling i antallet utdanningsstillinger for intensivsykepleiere i Helse Sør-Øst 2020-2022</w:t>
            </w:r>
          </w:p>
        </w:tc>
      </w:tr>
      <w:tr w:rsidR="008323D3" w14:paraId="2EA7121D" w14:textId="77777777">
        <w:trPr>
          <w:trHeight w:val="550"/>
        </w:trPr>
        <w:tc>
          <w:tcPr>
            <w:tcW w:w="1294" w:type="dxa"/>
            <w:tcBorders>
              <w:bottom w:val="single" w:sz="4" w:space="0" w:color="000000"/>
            </w:tcBorders>
          </w:tcPr>
          <w:p w14:paraId="2A15FE66" w14:textId="77777777" w:rsidR="008323D3" w:rsidRDefault="008323D3">
            <w:pPr>
              <w:pStyle w:val="TableParagraph"/>
              <w:spacing w:before="0" w:line="240" w:lineRule="auto"/>
              <w:rPr>
                <w:rFonts w:ascii="Times New Roman"/>
              </w:rPr>
            </w:pPr>
          </w:p>
        </w:tc>
        <w:tc>
          <w:tcPr>
            <w:tcW w:w="852" w:type="dxa"/>
            <w:tcBorders>
              <w:bottom w:val="single" w:sz="4" w:space="0" w:color="000000"/>
            </w:tcBorders>
          </w:tcPr>
          <w:p w14:paraId="28CD4C59" w14:textId="77777777" w:rsidR="008323D3" w:rsidRDefault="00185409">
            <w:pPr>
              <w:pStyle w:val="TableParagraph"/>
              <w:spacing w:before="3" w:line="240" w:lineRule="auto"/>
              <w:ind w:left="20"/>
              <w:rPr>
                <w:b/>
                <w:i/>
                <w:sz w:val="14"/>
              </w:rPr>
            </w:pPr>
            <w:r>
              <w:rPr>
                <w:b/>
                <w:i/>
                <w:sz w:val="14"/>
              </w:rPr>
              <w:t>Oslo</w:t>
            </w:r>
          </w:p>
          <w:p w14:paraId="66F6BC22" w14:textId="77777777" w:rsidR="008323D3" w:rsidRDefault="00185409">
            <w:pPr>
              <w:pStyle w:val="TableParagraph"/>
              <w:spacing w:before="5" w:line="180" w:lineRule="atLeast"/>
              <w:ind w:left="20" w:right="87"/>
              <w:rPr>
                <w:b/>
                <w:i/>
                <w:sz w:val="14"/>
              </w:rPr>
            </w:pPr>
            <w:r>
              <w:rPr>
                <w:b/>
                <w:i/>
                <w:sz w:val="14"/>
              </w:rPr>
              <w:t>universitets- sykehus</w:t>
            </w:r>
          </w:p>
        </w:tc>
        <w:tc>
          <w:tcPr>
            <w:tcW w:w="866" w:type="dxa"/>
            <w:tcBorders>
              <w:bottom w:val="single" w:sz="4" w:space="0" w:color="000000"/>
            </w:tcBorders>
          </w:tcPr>
          <w:p w14:paraId="229C6156" w14:textId="77777777" w:rsidR="008323D3" w:rsidRDefault="008323D3">
            <w:pPr>
              <w:pStyle w:val="TableParagraph"/>
              <w:spacing w:before="0" w:line="240" w:lineRule="auto"/>
              <w:rPr>
                <w:sz w:val="14"/>
              </w:rPr>
            </w:pPr>
          </w:p>
          <w:p w14:paraId="644ED2D1" w14:textId="77777777" w:rsidR="008323D3" w:rsidRDefault="008323D3">
            <w:pPr>
              <w:pStyle w:val="TableParagraph"/>
              <w:spacing w:before="6" w:line="240" w:lineRule="auto"/>
              <w:rPr>
                <w:sz w:val="16"/>
              </w:rPr>
            </w:pPr>
          </w:p>
          <w:p w14:paraId="3EFA8D11" w14:textId="77777777" w:rsidR="008323D3" w:rsidRDefault="00185409">
            <w:pPr>
              <w:pStyle w:val="TableParagraph"/>
              <w:spacing w:before="0" w:line="158" w:lineRule="exact"/>
              <w:ind w:left="20"/>
              <w:rPr>
                <w:b/>
                <w:i/>
                <w:sz w:val="14"/>
              </w:rPr>
            </w:pPr>
            <w:r>
              <w:rPr>
                <w:b/>
                <w:i/>
                <w:sz w:val="14"/>
              </w:rPr>
              <w:t>Vestre Viken</w:t>
            </w:r>
          </w:p>
        </w:tc>
        <w:tc>
          <w:tcPr>
            <w:tcW w:w="866" w:type="dxa"/>
            <w:tcBorders>
              <w:bottom w:val="single" w:sz="4" w:space="0" w:color="000000"/>
            </w:tcBorders>
          </w:tcPr>
          <w:p w14:paraId="2D02A9A8" w14:textId="77777777" w:rsidR="008323D3" w:rsidRDefault="008323D3">
            <w:pPr>
              <w:pStyle w:val="TableParagraph"/>
              <w:spacing w:before="7" w:line="240" w:lineRule="auto"/>
              <w:rPr>
                <w:sz w:val="14"/>
              </w:rPr>
            </w:pPr>
          </w:p>
          <w:p w14:paraId="5A335BC2" w14:textId="77777777" w:rsidR="008323D3" w:rsidRDefault="00185409">
            <w:pPr>
              <w:pStyle w:val="TableParagraph"/>
              <w:spacing w:before="1" w:line="180" w:lineRule="atLeast"/>
              <w:ind w:left="19" w:right="234"/>
              <w:rPr>
                <w:b/>
                <w:i/>
                <w:sz w:val="14"/>
              </w:rPr>
            </w:pPr>
            <w:r>
              <w:rPr>
                <w:b/>
                <w:i/>
                <w:sz w:val="14"/>
              </w:rPr>
              <w:t>Sykehuset Telemark</w:t>
            </w:r>
          </w:p>
        </w:tc>
        <w:tc>
          <w:tcPr>
            <w:tcW w:w="866" w:type="dxa"/>
            <w:tcBorders>
              <w:bottom w:val="single" w:sz="4" w:space="0" w:color="000000"/>
            </w:tcBorders>
          </w:tcPr>
          <w:p w14:paraId="7F54177C" w14:textId="77777777" w:rsidR="008323D3" w:rsidRDefault="008323D3">
            <w:pPr>
              <w:pStyle w:val="TableParagraph"/>
              <w:spacing w:before="7" w:line="240" w:lineRule="auto"/>
              <w:rPr>
                <w:sz w:val="14"/>
              </w:rPr>
            </w:pPr>
          </w:p>
          <w:p w14:paraId="5815F378" w14:textId="77777777" w:rsidR="008323D3" w:rsidRDefault="00185409">
            <w:pPr>
              <w:pStyle w:val="TableParagraph"/>
              <w:spacing w:before="1" w:line="180" w:lineRule="atLeast"/>
              <w:ind w:left="19" w:right="168"/>
              <w:rPr>
                <w:b/>
                <w:i/>
                <w:sz w:val="14"/>
              </w:rPr>
            </w:pPr>
            <w:r>
              <w:rPr>
                <w:b/>
                <w:i/>
                <w:sz w:val="14"/>
              </w:rPr>
              <w:t>Sykehuset i Vestfold</w:t>
            </w:r>
          </w:p>
        </w:tc>
        <w:tc>
          <w:tcPr>
            <w:tcW w:w="866" w:type="dxa"/>
            <w:tcBorders>
              <w:bottom w:val="single" w:sz="4" w:space="0" w:color="000000"/>
            </w:tcBorders>
          </w:tcPr>
          <w:p w14:paraId="5D2A3382" w14:textId="77777777" w:rsidR="008323D3" w:rsidRDefault="008323D3">
            <w:pPr>
              <w:pStyle w:val="TableParagraph"/>
              <w:spacing w:before="7" w:line="240" w:lineRule="auto"/>
              <w:rPr>
                <w:sz w:val="14"/>
              </w:rPr>
            </w:pPr>
          </w:p>
          <w:p w14:paraId="3706F82A" w14:textId="77777777" w:rsidR="008323D3" w:rsidRDefault="00185409">
            <w:pPr>
              <w:pStyle w:val="TableParagraph"/>
              <w:spacing w:before="1" w:line="180" w:lineRule="atLeast"/>
              <w:ind w:left="18" w:right="259"/>
              <w:rPr>
                <w:b/>
                <w:i/>
                <w:sz w:val="14"/>
              </w:rPr>
            </w:pPr>
            <w:r>
              <w:rPr>
                <w:b/>
                <w:i/>
                <w:sz w:val="14"/>
              </w:rPr>
              <w:t>Sørlandet Sykehus</w:t>
            </w:r>
          </w:p>
        </w:tc>
        <w:tc>
          <w:tcPr>
            <w:tcW w:w="866" w:type="dxa"/>
            <w:tcBorders>
              <w:bottom w:val="single" w:sz="4" w:space="0" w:color="000000"/>
            </w:tcBorders>
          </w:tcPr>
          <w:p w14:paraId="216B395A" w14:textId="77777777" w:rsidR="008323D3" w:rsidRDefault="00185409">
            <w:pPr>
              <w:pStyle w:val="TableParagraph"/>
              <w:spacing w:before="3" w:line="259" w:lineRule="auto"/>
              <w:ind w:left="18" w:right="116"/>
              <w:rPr>
                <w:b/>
                <w:i/>
                <w:sz w:val="14"/>
              </w:rPr>
            </w:pPr>
            <w:r>
              <w:rPr>
                <w:b/>
                <w:i/>
                <w:sz w:val="14"/>
              </w:rPr>
              <w:t>Akershus universitets-</w:t>
            </w:r>
          </w:p>
          <w:p w14:paraId="29840039" w14:textId="77777777" w:rsidR="008323D3" w:rsidRDefault="00185409">
            <w:pPr>
              <w:pStyle w:val="TableParagraph"/>
              <w:spacing w:before="0" w:line="158" w:lineRule="exact"/>
              <w:ind w:left="18"/>
              <w:rPr>
                <w:b/>
                <w:i/>
                <w:sz w:val="14"/>
              </w:rPr>
            </w:pPr>
            <w:r>
              <w:rPr>
                <w:b/>
                <w:i/>
                <w:sz w:val="14"/>
              </w:rPr>
              <w:t>sykehus</w:t>
            </w:r>
          </w:p>
        </w:tc>
        <w:tc>
          <w:tcPr>
            <w:tcW w:w="866" w:type="dxa"/>
            <w:tcBorders>
              <w:bottom w:val="single" w:sz="4" w:space="0" w:color="000000"/>
            </w:tcBorders>
          </w:tcPr>
          <w:p w14:paraId="48094BF8" w14:textId="77777777" w:rsidR="008323D3" w:rsidRDefault="008323D3">
            <w:pPr>
              <w:pStyle w:val="TableParagraph"/>
              <w:spacing w:before="7" w:line="240" w:lineRule="auto"/>
              <w:rPr>
                <w:sz w:val="14"/>
              </w:rPr>
            </w:pPr>
          </w:p>
          <w:p w14:paraId="27B44AF4" w14:textId="77777777" w:rsidR="008323D3" w:rsidRDefault="00185409">
            <w:pPr>
              <w:pStyle w:val="TableParagraph"/>
              <w:spacing w:before="1" w:line="180" w:lineRule="atLeast"/>
              <w:ind w:left="18" w:right="235"/>
              <w:rPr>
                <w:b/>
                <w:i/>
                <w:sz w:val="14"/>
              </w:rPr>
            </w:pPr>
            <w:r>
              <w:rPr>
                <w:b/>
                <w:i/>
                <w:sz w:val="14"/>
              </w:rPr>
              <w:t>Sykehuset Østfold</w:t>
            </w:r>
          </w:p>
        </w:tc>
        <w:tc>
          <w:tcPr>
            <w:tcW w:w="866" w:type="dxa"/>
            <w:tcBorders>
              <w:bottom w:val="single" w:sz="4" w:space="0" w:color="000000"/>
            </w:tcBorders>
          </w:tcPr>
          <w:p w14:paraId="4AAC2EA8" w14:textId="77777777" w:rsidR="008323D3" w:rsidRDefault="008323D3">
            <w:pPr>
              <w:pStyle w:val="TableParagraph"/>
              <w:spacing w:before="7" w:line="240" w:lineRule="auto"/>
              <w:rPr>
                <w:sz w:val="14"/>
              </w:rPr>
            </w:pPr>
          </w:p>
          <w:p w14:paraId="4A86CFD4" w14:textId="77777777" w:rsidR="008323D3" w:rsidRDefault="00185409">
            <w:pPr>
              <w:pStyle w:val="TableParagraph"/>
              <w:spacing w:before="1" w:line="180" w:lineRule="atLeast"/>
              <w:ind w:left="17" w:right="236"/>
              <w:rPr>
                <w:b/>
                <w:i/>
                <w:sz w:val="14"/>
              </w:rPr>
            </w:pPr>
            <w:r>
              <w:rPr>
                <w:b/>
                <w:i/>
                <w:sz w:val="14"/>
              </w:rPr>
              <w:t>Sykehuset Innlandet</w:t>
            </w:r>
          </w:p>
        </w:tc>
        <w:tc>
          <w:tcPr>
            <w:tcW w:w="866" w:type="dxa"/>
            <w:tcBorders>
              <w:bottom w:val="single" w:sz="4" w:space="0" w:color="000000"/>
            </w:tcBorders>
          </w:tcPr>
          <w:p w14:paraId="30DFC7F7" w14:textId="77777777" w:rsidR="008323D3" w:rsidRDefault="008323D3">
            <w:pPr>
              <w:pStyle w:val="TableParagraph"/>
              <w:spacing w:before="0" w:line="240" w:lineRule="auto"/>
              <w:rPr>
                <w:sz w:val="14"/>
              </w:rPr>
            </w:pPr>
          </w:p>
          <w:p w14:paraId="1407214E" w14:textId="77777777" w:rsidR="008323D3" w:rsidRDefault="008323D3">
            <w:pPr>
              <w:pStyle w:val="TableParagraph"/>
              <w:spacing w:before="6" w:line="240" w:lineRule="auto"/>
              <w:rPr>
                <w:sz w:val="16"/>
              </w:rPr>
            </w:pPr>
          </w:p>
          <w:p w14:paraId="70956741" w14:textId="77777777" w:rsidR="008323D3" w:rsidRDefault="00185409">
            <w:pPr>
              <w:pStyle w:val="TableParagraph"/>
              <w:spacing w:before="0" w:line="158" w:lineRule="exact"/>
              <w:ind w:left="17"/>
              <w:rPr>
                <w:b/>
                <w:i/>
                <w:sz w:val="14"/>
              </w:rPr>
            </w:pPr>
            <w:r>
              <w:rPr>
                <w:b/>
                <w:i/>
                <w:sz w:val="14"/>
              </w:rPr>
              <w:t>Totalt HSØ</w:t>
            </w:r>
          </w:p>
        </w:tc>
      </w:tr>
      <w:tr w:rsidR="008323D3" w14:paraId="7D75BC08" w14:textId="77777777">
        <w:trPr>
          <w:trHeight w:val="195"/>
        </w:trPr>
        <w:tc>
          <w:tcPr>
            <w:tcW w:w="1294" w:type="dxa"/>
            <w:tcBorders>
              <w:top w:val="single" w:sz="4" w:space="0" w:color="000000"/>
            </w:tcBorders>
          </w:tcPr>
          <w:p w14:paraId="5A6EB2C8" w14:textId="77777777" w:rsidR="008323D3" w:rsidRDefault="00185409">
            <w:pPr>
              <w:pStyle w:val="TableParagraph"/>
              <w:spacing w:before="10" w:line="165" w:lineRule="exact"/>
              <w:ind w:left="25"/>
              <w:rPr>
                <w:b/>
                <w:i/>
                <w:sz w:val="15"/>
              </w:rPr>
            </w:pPr>
            <w:r>
              <w:rPr>
                <w:b/>
                <w:i/>
                <w:w w:val="105"/>
                <w:sz w:val="15"/>
              </w:rPr>
              <w:t>November 2020</w:t>
            </w:r>
          </w:p>
        </w:tc>
        <w:tc>
          <w:tcPr>
            <w:tcW w:w="852" w:type="dxa"/>
            <w:tcBorders>
              <w:top w:val="single" w:sz="4" w:space="0" w:color="000000"/>
            </w:tcBorders>
          </w:tcPr>
          <w:p w14:paraId="63CD9119" w14:textId="77777777" w:rsidR="008323D3" w:rsidRDefault="00185409">
            <w:pPr>
              <w:pStyle w:val="TableParagraph"/>
              <w:spacing w:before="10" w:line="165" w:lineRule="exact"/>
              <w:ind w:right="20"/>
              <w:jc w:val="right"/>
              <w:rPr>
                <w:sz w:val="15"/>
              </w:rPr>
            </w:pPr>
            <w:r>
              <w:rPr>
                <w:sz w:val="15"/>
              </w:rPr>
              <w:t>53</w:t>
            </w:r>
          </w:p>
        </w:tc>
        <w:tc>
          <w:tcPr>
            <w:tcW w:w="866" w:type="dxa"/>
            <w:tcBorders>
              <w:top w:val="single" w:sz="4" w:space="0" w:color="000000"/>
            </w:tcBorders>
          </w:tcPr>
          <w:p w14:paraId="6044623E" w14:textId="77777777" w:rsidR="008323D3" w:rsidRDefault="00185409">
            <w:pPr>
              <w:pStyle w:val="TableParagraph"/>
              <w:spacing w:before="10" w:line="165" w:lineRule="exact"/>
              <w:ind w:right="20"/>
              <w:jc w:val="right"/>
              <w:rPr>
                <w:sz w:val="15"/>
              </w:rPr>
            </w:pPr>
            <w:r>
              <w:rPr>
                <w:sz w:val="15"/>
              </w:rPr>
              <w:t>15</w:t>
            </w:r>
          </w:p>
        </w:tc>
        <w:tc>
          <w:tcPr>
            <w:tcW w:w="866" w:type="dxa"/>
            <w:tcBorders>
              <w:top w:val="single" w:sz="4" w:space="0" w:color="000000"/>
            </w:tcBorders>
          </w:tcPr>
          <w:p w14:paraId="3A79CF86" w14:textId="77777777" w:rsidR="008323D3" w:rsidRDefault="00185409">
            <w:pPr>
              <w:pStyle w:val="TableParagraph"/>
              <w:spacing w:before="10" w:line="165" w:lineRule="exact"/>
              <w:ind w:right="21"/>
              <w:jc w:val="right"/>
              <w:rPr>
                <w:sz w:val="15"/>
              </w:rPr>
            </w:pPr>
            <w:r>
              <w:rPr>
                <w:w w:val="103"/>
                <w:sz w:val="15"/>
              </w:rPr>
              <w:t>3</w:t>
            </w:r>
          </w:p>
        </w:tc>
        <w:tc>
          <w:tcPr>
            <w:tcW w:w="866" w:type="dxa"/>
            <w:tcBorders>
              <w:top w:val="single" w:sz="4" w:space="0" w:color="000000"/>
            </w:tcBorders>
          </w:tcPr>
          <w:p w14:paraId="6E1B09D7" w14:textId="77777777" w:rsidR="008323D3" w:rsidRDefault="00185409">
            <w:pPr>
              <w:pStyle w:val="TableParagraph"/>
              <w:spacing w:before="10" w:line="165" w:lineRule="exact"/>
              <w:ind w:right="22"/>
              <w:jc w:val="right"/>
              <w:rPr>
                <w:sz w:val="15"/>
              </w:rPr>
            </w:pPr>
            <w:r>
              <w:rPr>
                <w:w w:val="103"/>
                <w:sz w:val="15"/>
              </w:rPr>
              <w:t>9</w:t>
            </w:r>
          </w:p>
        </w:tc>
        <w:tc>
          <w:tcPr>
            <w:tcW w:w="866" w:type="dxa"/>
            <w:tcBorders>
              <w:top w:val="single" w:sz="4" w:space="0" w:color="000000"/>
            </w:tcBorders>
          </w:tcPr>
          <w:p w14:paraId="1E5565DC" w14:textId="77777777" w:rsidR="008323D3" w:rsidRDefault="00185409">
            <w:pPr>
              <w:pStyle w:val="TableParagraph"/>
              <w:spacing w:before="10" w:line="165" w:lineRule="exact"/>
              <w:ind w:right="21"/>
              <w:jc w:val="right"/>
              <w:rPr>
                <w:sz w:val="15"/>
              </w:rPr>
            </w:pPr>
            <w:r>
              <w:rPr>
                <w:sz w:val="15"/>
              </w:rPr>
              <w:t>15</w:t>
            </w:r>
          </w:p>
        </w:tc>
        <w:tc>
          <w:tcPr>
            <w:tcW w:w="866" w:type="dxa"/>
            <w:tcBorders>
              <w:top w:val="single" w:sz="4" w:space="0" w:color="000000"/>
            </w:tcBorders>
          </w:tcPr>
          <w:p w14:paraId="4D315A00" w14:textId="77777777" w:rsidR="008323D3" w:rsidRDefault="00185409">
            <w:pPr>
              <w:pStyle w:val="TableParagraph"/>
              <w:spacing w:before="10" w:line="165" w:lineRule="exact"/>
              <w:ind w:right="22"/>
              <w:jc w:val="right"/>
              <w:rPr>
                <w:sz w:val="15"/>
              </w:rPr>
            </w:pPr>
            <w:r>
              <w:rPr>
                <w:sz w:val="15"/>
              </w:rPr>
              <w:t>17</w:t>
            </w:r>
          </w:p>
        </w:tc>
        <w:tc>
          <w:tcPr>
            <w:tcW w:w="866" w:type="dxa"/>
            <w:tcBorders>
              <w:top w:val="single" w:sz="4" w:space="0" w:color="000000"/>
            </w:tcBorders>
          </w:tcPr>
          <w:p w14:paraId="79568ADD" w14:textId="77777777" w:rsidR="008323D3" w:rsidRDefault="00185409">
            <w:pPr>
              <w:pStyle w:val="TableParagraph"/>
              <w:spacing w:before="10" w:line="165" w:lineRule="exact"/>
              <w:ind w:right="22"/>
              <w:jc w:val="right"/>
              <w:rPr>
                <w:sz w:val="15"/>
              </w:rPr>
            </w:pPr>
            <w:r>
              <w:rPr>
                <w:sz w:val="15"/>
              </w:rPr>
              <w:t>10</w:t>
            </w:r>
          </w:p>
        </w:tc>
        <w:tc>
          <w:tcPr>
            <w:tcW w:w="866" w:type="dxa"/>
            <w:tcBorders>
              <w:top w:val="single" w:sz="4" w:space="0" w:color="000000"/>
            </w:tcBorders>
          </w:tcPr>
          <w:p w14:paraId="081A2A76" w14:textId="77777777" w:rsidR="008323D3" w:rsidRDefault="00185409">
            <w:pPr>
              <w:pStyle w:val="TableParagraph"/>
              <w:spacing w:before="10" w:line="165" w:lineRule="exact"/>
              <w:ind w:right="23"/>
              <w:jc w:val="right"/>
              <w:rPr>
                <w:sz w:val="15"/>
              </w:rPr>
            </w:pPr>
            <w:r>
              <w:rPr>
                <w:sz w:val="15"/>
              </w:rPr>
              <w:t>10</w:t>
            </w:r>
          </w:p>
        </w:tc>
        <w:tc>
          <w:tcPr>
            <w:tcW w:w="866" w:type="dxa"/>
            <w:tcBorders>
              <w:top w:val="single" w:sz="4" w:space="0" w:color="000000"/>
            </w:tcBorders>
          </w:tcPr>
          <w:p w14:paraId="6EDBB32D" w14:textId="77777777" w:rsidR="008323D3" w:rsidRDefault="00185409">
            <w:pPr>
              <w:pStyle w:val="TableParagraph"/>
              <w:spacing w:before="10" w:line="165" w:lineRule="exact"/>
              <w:ind w:right="23"/>
              <w:jc w:val="right"/>
              <w:rPr>
                <w:sz w:val="15"/>
              </w:rPr>
            </w:pPr>
            <w:r>
              <w:rPr>
                <w:sz w:val="15"/>
              </w:rPr>
              <w:t>132</w:t>
            </w:r>
          </w:p>
        </w:tc>
      </w:tr>
      <w:tr w:rsidR="008323D3" w14:paraId="1ECBBCEA" w14:textId="77777777">
        <w:trPr>
          <w:trHeight w:val="198"/>
        </w:trPr>
        <w:tc>
          <w:tcPr>
            <w:tcW w:w="1294" w:type="dxa"/>
          </w:tcPr>
          <w:p w14:paraId="28BB7452" w14:textId="77777777" w:rsidR="008323D3" w:rsidRDefault="00185409">
            <w:pPr>
              <w:pStyle w:val="TableParagraph"/>
              <w:spacing w:before="13" w:line="165" w:lineRule="exact"/>
              <w:ind w:left="25"/>
              <w:rPr>
                <w:b/>
                <w:i/>
                <w:sz w:val="15"/>
              </w:rPr>
            </w:pPr>
            <w:r>
              <w:rPr>
                <w:b/>
                <w:i/>
                <w:w w:val="105"/>
                <w:sz w:val="15"/>
              </w:rPr>
              <w:t>November 2021</w:t>
            </w:r>
          </w:p>
        </w:tc>
        <w:tc>
          <w:tcPr>
            <w:tcW w:w="852" w:type="dxa"/>
          </w:tcPr>
          <w:p w14:paraId="3A6A398B" w14:textId="77777777" w:rsidR="008323D3" w:rsidRDefault="00185409">
            <w:pPr>
              <w:pStyle w:val="TableParagraph"/>
              <w:spacing w:before="13" w:line="165" w:lineRule="exact"/>
              <w:ind w:right="20"/>
              <w:jc w:val="right"/>
              <w:rPr>
                <w:sz w:val="15"/>
              </w:rPr>
            </w:pPr>
            <w:r>
              <w:rPr>
                <w:sz w:val="15"/>
              </w:rPr>
              <w:t>67</w:t>
            </w:r>
          </w:p>
        </w:tc>
        <w:tc>
          <w:tcPr>
            <w:tcW w:w="866" w:type="dxa"/>
          </w:tcPr>
          <w:p w14:paraId="182E557A" w14:textId="77777777" w:rsidR="008323D3" w:rsidRDefault="00185409">
            <w:pPr>
              <w:pStyle w:val="TableParagraph"/>
              <w:spacing w:before="13" w:line="165" w:lineRule="exact"/>
              <w:ind w:right="20"/>
              <w:jc w:val="right"/>
              <w:rPr>
                <w:sz w:val="15"/>
              </w:rPr>
            </w:pPr>
            <w:r>
              <w:rPr>
                <w:sz w:val="15"/>
              </w:rPr>
              <w:t>25</w:t>
            </w:r>
          </w:p>
        </w:tc>
        <w:tc>
          <w:tcPr>
            <w:tcW w:w="866" w:type="dxa"/>
          </w:tcPr>
          <w:p w14:paraId="4491E3D7" w14:textId="77777777" w:rsidR="008323D3" w:rsidRDefault="00185409">
            <w:pPr>
              <w:pStyle w:val="TableParagraph"/>
              <w:spacing w:before="13" w:line="165" w:lineRule="exact"/>
              <w:ind w:right="21"/>
              <w:jc w:val="right"/>
              <w:rPr>
                <w:sz w:val="15"/>
              </w:rPr>
            </w:pPr>
            <w:r>
              <w:rPr>
                <w:w w:val="103"/>
                <w:sz w:val="15"/>
              </w:rPr>
              <w:t>7</w:t>
            </w:r>
          </w:p>
        </w:tc>
        <w:tc>
          <w:tcPr>
            <w:tcW w:w="866" w:type="dxa"/>
          </w:tcPr>
          <w:p w14:paraId="2BDE83A0" w14:textId="77777777" w:rsidR="008323D3" w:rsidRDefault="00185409">
            <w:pPr>
              <w:pStyle w:val="TableParagraph"/>
              <w:spacing w:before="13" w:line="165" w:lineRule="exact"/>
              <w:ind w:right="21"/>
              <w:jc w:val="right"/>
              <w:rPr>
                <w:sz w:val="15"/>
              </w:rPr>
            </w:pPr>
            <w:r>
              <w:rPr>
                <w:sz w:val="15"/>
              </w:rPr>
              <w:t>12</w:t>
            </w:r>
          </w:p>
        </w:tc>
        <w:tc>
          <w:tcPr>
            <w:tcW w:w="866" w:type="dxa"/>
          </w:tcPr>
          <w:p w14:paraId="126C66C5" w14:textId="77777777" w:rsidR="008323D3" w:rsidRDefault="00185409">
            <w:pPr>
              <w:pStyle w:val="TableParagraph"/>
              <w:spacing w:before="13" w:line="165" w:lineRule="exact"/>
              <w:ind w:right="21"/>
              <w:jc w:val="right"/>
              <w:rPr>
                <w:sz w:val="15"/>
              </w:rPr>
            </w:pPr>
            <w:r>
              <w:rPr>
                <w:sz w:val="15"/>
              </w:rPr>
              <w:t>21</w:t>
            </w:r>
          </w:p>
        </w:tc>
        <w:tc>
          <w:tcPr>
            <w:tcW w:w="866" w:type="dxa"/>
          </w:tcPr>
          <w:p w14:paraId="63AF5EA5" w14:textId="77777777" w:rsidR="008323D3" w:rsidRDefault="00185409">
            <w:pPr>
              <w:pStyle w:val="TableParagraph"/>
              <w:spacing w:before="13" w:line="165" w:lineRule="exact"/>
              <w:ind w:right="22"/>
              <w:jc w:val="right"/>
              <w:rPr>
                <w:sz w:val="15"/>
              </w:rPr>
            </w:pPr>
            <w:r>
              <w:rPr>
                <w:sz w:val="15"/>
              </w:rPr>
              <w:t>33</w:t>
            </w:r>
          </w:p>
        </w:tc>
        <w:tc>
          <w:tcPr>
            <w:tcW w:w="866" w:type="dxa"/>
          </w:tcPr>
          <w:p w14:paraId="59CEB9EE" w14:textId="77777777" w:rsidR="008323D3" w:rsidRDefault="00185409">
            <w:pPr>
              <w:pStyle w:val="TableParagraph"/>
              <w:spacing w:before="13" w:line="165" w:lineRule="exact"/>
              <w:ind w:right="22"/>
              <w:jc w:val="right"/>
              <w:rPr>
                <w:sz w:val="15"/>
              </w:rPr>
            </w:pPr>
            <w:r>
              <w:rPr>
                <w:sz w:val="15"/>
              </w:rPr>
              <w:t>13</w:t>
            </w:r>
          </w:p>
        </w:tc>
        <w:tc>
          <w:tcPr>
            <w:tcW w:w="866" w:type="dxa"/>
          </w:tcPr>
          <w:p w14:paraId="6ABFBF11" w14:textId="77777777" w:rsidR="008323D3" w:rsidRDefault="00185409">
            <w:pPr>
              <w:pStyle w:val="TableParagraph"/>
              <w:spacing w:before="13" w:line="165" w:lineRule="exact"/>
              <w:ind w:right="23"/>
              <w:jc w:val="right"/>
              <w:rPr>
                <w:sz w:val="15"/>
              </w:rPr>
            </w:pPr>
            <w:r>
              <w:rPr>
                <w:sz w:val="15"/>
              </w:rPr>
              <w:t>18</w:t>
            </w:r>
          </w:p>
        </w:tc>
        <w:tc>
          <w:tcPr>
            <w:tcW w:w="866" w:type="dxa"/>
          </w:tcPr>
          <w:p w14:paraId="5911E6AF" w14:textId="77777777" w:rsidR="008323D3" w:rsidRDefault="00185409">
            <w:pPr>
              <w:pStyle w:val="TableParagraph"/>
              <w:spacing w:before="13" w:line="165" w:lineRule="exact"/>
              <w:ind w:right="23"/>
              <w:jc w:val="right"/>
              <w:rPr>
                <w:sz w:val="15"/>
              </w:rPr>
            </w:pPr>
            <w:r>
              <w:rPr>
                <w:sz w:val="15"/>
              </w:rPr>
              <w:t>196</w:t>
            </w:r>
          </w:p>
        </w:tc>
      </w:tr>
      <w:tr w:rsidR="008323D3" w14:paraId="3A346608" w14:textId="77777777">
        <w:trPr>
          <w:trHeight w:val="198"/>
        </w:trPr>
        <w:tc>
          <w:tcPr>
            <w:tcW w:w="1294" w:type="dxa"/>
          </w:tcPr>
          <w:p w14:paraId="091B21B9" w14:textId="77777777" w:rsidR="008323D3" w:rsidRDefault="00185409">
            <w:pPr>
              <w:pStyle w:val="TableParagraph"/>
              <w:spacing w:before="13" w:line="165" w:lineRule="exact"/>
              <w:ind w:left="25"/>
              <w:rPr>
                <w:b/>
                <w:i/>
                <w:sz w:val="15"/>
              </w:rPr>
            </w:pPr>
            <w:r>
              <w:rPr>
                <w:b/>
                <w:i/>
                <w:w w:val="105"/>
                <w:sz w:val="15"/>
              </w:rPr>
              <w:t>Foreløpig</w:t>
            </w:r>
            <w:r>
              <w:rPr>
                <w:b/>
                <w:i/>
                <w:spacing w:val="-18"/>
                <w:w w:val="105"/>
                <w:sz w:val="15"/>
              </w:rPr>
              <w:t xml:space="preserve"> </w:t>
            </w:r>
            <w:r>
              <w:rPr>
                <w:b/>
                <w:i/>
                <w:w w:val="105"/>
                <w:sz w:val="15"/>
              </w:rPr>
              <w:t>høst</w:t>
            </w:r>
            <w:r>
              <w:rPr>
                <w:b/>
                <w:i/>
                <w:spacing w:val="-18"/>
                <w:w w:val="105"/>
                <w:sz w:val="15"/>
              </w:rPr>
              <w:t xml:space="preserve"> </w:t>
            </w:r>
            <w:r>
              <w:rPr>
                <w:b/>
                <w:i/>
                <w:w w:val="105"/>
                <w:sz w:val="15"/>
              </w:rPr>
              <w:t>2022</w:t>
            </w:r>
          </w:p>
        </w:tc>
        <w:tc>
          <w:tcPr>
            <w:tcW w:w="852" w:type="dxa"/>
          </w:tcPr>
          <w:p w14:paraId="70E958F9" w14:textId="77777777" w:rsidR="008323D3" w:rsidRDefault="00185409">
            <w:pPr>
              <w:pStyle w:val="TableParagraph"/>
              <w:spacing w:before="13" w:line="165" w:lineRule="exact"/>
              <w:ind w:right="20"/>
              <w:jc w:val="right"/>
              <w:rPr>
                <w:sz w:val="15"/>
              </w:rPr>
            </w:pPr>
            <w:r>
              <w:rPr>
                <w:sz w:val="15"/>
              </w:rPr>
              <w:t>100</w:t>
            </w:r>
          </w:p>
        </w:tc>
        <w:tc>
          <w:tcPr>
            <w:tcW w:w="866" w:type="dxa"/>
          </w:tcPr>
          <w:p w14:paraId="43072D16" w14:textId="77777777" w:rsidR="008323D3" w:rsidRDefault="00185409">
            <w:pPr>
              <w:pStyle w:val="TableParagraph"/>
              <w:spacing w:before="13" w:line="165" w:lineRule="exact"/>
              <w:ind w:right="20"/>
              <w:jc w:val="right"/>
              <w:rPr>
                <w:sz w:val="15"/>
              </w:rPr>
            </w:pPr>
            <w:r>
              <w:rPr>
                <w:sz w:val="15"/>
              </w:rPr>
              <w:t>33</w:t>
            </w:r>
          </w:p>
        </w:tc>
        <w:tc>
          <w:tcPr>
            <w:tcW w:w="866" w:type="dxa"/>
          </w:tcPr>
          <w:p w14:paraId="05597CBD" w14:textId="77777777" w:rsidR="008323D3" w:rsidRDefault="00185409">
            <w:pPr>
              <w:pStyle w:val="TableParagraph"/>
              <w:spacing w:before="13" w:line="165" w:lineRule="exact"/>
              <w:ind w:right="20"/>
              <w:jc w:val="right"/>
              <w:rPr>
                <w:sz w:val="15"/>
              </w:rPr>
            </w:pPr>
            <w:r>
              <w:rPr>
                <w:sz w:val="15"/>
              </w:rPr>
              <w:t>13</w:t>
            </w:r>
          </w:p>
        </w:tc>
        <w:tc>
          <w:tcPr>
            <w:tcW w:w="866" w:type="dxa"/>
          </w:tcPr>
          <w:p w14:paraId="551306AC" w14:textId="77777777" w:rsidR="008323D3" w:rsidRDefault="00185409">
            <w:pPr>
              <w:pStyle w:val="TableParagraph"/>
              <w:spacing w:before="13" w:line="165" w:lineRule="exact"/>
              <w:ind w:right="21"/>
              <w:jc w:val="right"/>
              <w:rPr>
                <w:sz w:val="15"/>
              </w:rPr>
            </w:pPr>
            <w:r>
              <w:rPr>
                <w:sz w:val="15"/>
              </w:rPr>
              <w:t>14</w:t>
            </w:r>
          </w:p>
        </w:tc>
        <w:tc>
          <w:tcPr>
            <w:tcW w:w="866" w:type="dxa"/>
          </w:tcPr>
          <w:p w14:paraId="55F3CE2C" w14:textId="77777777" w:rsidR="008323D3" w:rsidRDefault="00185409">
            <w:pPr>
              <w:pStyle w:val="TableParagraph"/>
              <w:spacing w:before="13" w:line="165" w:lineRule="exact"/>
              <w:ind w:right="21"/>
              <w:jc w:val="right"/>
              <w:rPr>
                <w:sz w:val="15"/>
              </w:rPr>
            </w:pPr>
            <w:r>
              <w:rPr>
                <w:sz w:val="15"/>
              </w:rPr>
              <w:t>27</w:t>
            </w:r>
          </w:p>
        </w:tc>
        <w:tc>
          <w:tcPr>
            <w:tcW w:w="866" w:type="dxa"/>
          </w:tcPr>
          <w:p w14:paraId="05395816" w14:textId="77777777" w:rsidR="008323D3" w:rsidRDefault="00185409">
            <w:pPr>
              <w:pStyle w:val="TableParagraph"/>
              <w:spacing w:before="13" w:line="165" w:lineRule="exact"/>
              <w:ind w:right="22"/>
              <w:jc w:val="right"/>
              <w:rPr>
                <w:sz w:val="15"/>
              </w:rPr>
            </w:pPr>
            <w:r>
              <w:rPr>
                <w:sz w:val="15"/>
              </w:rPr>
              <w:t>41</w:t>
            </w:r>
          </w:p>
        </w:tc>
        <w:tc>
          <w:tcPr>
            <w:tcW w:w="866" w:type="dxa"/>
          </w:tcPr>
          <w:p w14:paraId="03F4FF44" w14:textId="77777777" w:rsidR="008323D3" w:rsidRDefault="00185409">
            <w:pPr>
              <w:pStyle w:val="TableParagraph"/>
              <w:spacing w:before="13" w:line="165" w:lineRule="exact"/>
              <w:ind w:right="22"/>
              <w:jc w:val="right"/>
              <w:rPr>
                <w:sz w:val="15"/>
              </w:rPr>
            </w:pPr>
            <w:r>
              <w:rPr>
                <w:sz w:val="15"/>
              </w:rPr>
              <w:t>13</w:t>
            </w:r>
          </w:p>
        </w:tc>
        <w:tc>
          <w:tcPr>
            <w:tcW w:w="866" w:type="dxa"/>
          </w:tcPr>
          <w:p w14:paraId="68F17AD0" w14:textId="77777777" w:rsidR="008323D3" w:rsidRDefault="00185409">
            <w:pPr>
              <w:pStyle w:val="TableParagraph"/>
              <w:spacing w:before="13" w:line="165" w:lineRule="exact"/>
              <w:ind w:right="23"/>
              <w:jc w:val="right"/>
              <w:rPr>
                <w:sz w:val="15"/>
              </w:rPr>
            </w:pPr>
            <w:r>
              <w:rPr>
                <w:sz w:val="15"/>
              </w:rPr>
              <w:t>24</w:t>
            </w:r>
          </w:p>
        </w:tc>
        <w:tc>
          <w:tcPr>
            <w:tcW w:w="866" w:type="dxa"/>
          </w:tcPr>
          <w:p w14:paraId="130176BA" w14:textId="77777777" w:rsidR="008323D3" w:rsidRDefault="00185409">
            <w:pPr>
              <w:pStyle w:val="TableParagraph"/>
              <w:spacing w:before="13" w:line="165" w:lineRule="exact"/>
              <w:ind w:right="23"/>
              <w:jc w:val="right"/>
              <w:rPr>
                <w:sz w:val="15"/>
              </w:rPr>
            </w:pPr>
            <w:r>
              <w:rPr>
                <w:sz w:val="15"/>
              </w:rPr>
              <w:t>265</w:t>
            </w:r>
          </w:p>
        </w:tc>
      </w:tr>
    </w:tbl>
    <w:p w14:paraId="073B1E0C" w14:textId="77777777" w:rsidR="008323D3" w:rsidRDefault="00185409">
      <w:pPr>
        <w:spacing w:before="185"/>
        <w:ind w:left="638"/>
        <w:rPr>
          <w:i/>
          <w:sz w:val="20"/>
        </w:rPr>
      </w:pPr>
      <w:r>
        <w:rPr>
          <w:i/>
          <w:sz w:val="20"/>
        </w:rPr>
        <w:t>Tabell 4 Utvikling i antall utdanningsstillinger for intensivsykepleiere i Helse Sør-Øst 2020-2022.</w:t>
      </w:r>
    </w:p>
    <w:p w14:paraId="01FC5D5F" w14:textId="77777777" w:rsidR="008323D3" w:rsidRDefault="00185409">
      <w:pPr>
        <w:pStyle w:val="Brdtekst"/>
        <w:spacing w:before="179" w:line="259" w:lineRule="auto"/>
        <w:ind w:left="638" w:right="183"/>
      </w:pPr>
      <w:r>
        <w:t>I 2021 ga Helse Sør-Øst helseforetakene og de private ideelle sykehusene med egen opptaksområder å opprette 68 utdanningsstillinger for intensivsykepleiere. I 2022 er det gitt i oppdrag å øke antallet utdanningsstillinger for anestesi-, barn-, intensiv-, operasjon- og kreftsykepleie, samt jordmødre med 125 stillinger. Helse Sør-Øst RHF har bedt helseforetakene om at minst halvparten av disse stillingene skal prioriteres intensivsykepleie. I tillegg er det stillet krav om at tildelte midler også skal dekke frikjøp av praksisveiledere,</w:t>
      </w:r>
    </w:p>
    <w:p w14:paraId="4996C307" w14:textId="77777777" w:rsidR="008323D3" w:rsidRDefault="008323D3">
      <w:pPr>
        <w:spacing w:line="259" w:lineRule="auto"/>
        <w:sectPr w:rsidR="008323D3">
          <w:pgSz w:w="11910" w:h="16850"/>
          <w:pgMar w:top="1000" w:right="1020" w:bottom="280" w:left="780" w:header="710" w:footer="0" w:gutter="0"/>
          <w:cols w:space="708"/>
        </w:sectPr>
      </w:pPr>
    </w:p>
    <w:p w14:paraId="37C4C241" w14:textId="77777777" w:rsidR="008323D3" w:rsidRDefault="008323D3">
      <w:pPr>
        <w:pStyle w:val="Brdtekst"/>
        <w:spacing w:before="6"/>
        <w:rPr>
          <w:sz w:val="20"/>
        </w:rPr>
      </w:pPr>
    </w:p>
    <w:p w14:paraId="125D18E0" w14:textId="77777777" w:rsidR="008323D3" w:rsidRDefault="00185409">
      <w:pPr>
        <w:pStyle w:val="Brdtekst"/>
        <w:spacing w:before="52" w:line="256" w:lineRule="auto"/>
        <w:ind w:left="352" w:right="1804"/>
      </w:pPr>
      <w:r>
        <w:t>kompetansehevende tiltak og at det skal etableres rutiner som beskriver hvordan praksisstudiene skal planlegges og gjennomføres.</w:t>
      </w:r>
    </w:p>
    <w:p w14:paraId="188FF403" w14:textId="77777777" w:rsidR="008323D3" w:rsidRDefault="008323D3">
      <w:pPr>
        <w:pStyle w:val="Brdtekst"/>
      </w:pPr>
    </w:p>
    <w:p w14:paraId="6590D820" w14:textId="77777777" w:rsidR="008323D3" w:rsidRDefault="008323D3">
      <w:pPr>
        <w:pStyle w:val="Brdtekst"/>
      </w:pPr>
    </w:p>
    <w:p w14:paraId="00C036F2" w14:textId="77777777" w:rsidR="008323D3" w:rsidRDefault="00185409">
      <w:pPr>
        <w:pStyle w:val="Listeavsnitt"/>
        <w:numPr>
          <w:ilvl w:val="2"/>
          <w:numId w:val="4"/>
        </w:numPr>
        <w:tabs>
          <w:tab w:val="left" w:pos="1073"/>
          <w:tab w:val="left" w:pos="1074"/>
        </w:tabs>
        <w:spacing w:before="176"/>
        <w:ind w:left="1073" w:hanging="721"/>
        <w:jc w:val="left"/>
        <w:rPr>
          <w:i/>
        </w:rPr>
      </w:pPr>
      <w:bookmarkStart w:id="8" w:name="_bookmark8"/>
      <w:bookmarkEnd w:id="8"/>
      <w:r>
        <w:rPr>
          <w:i/>
        </w:rPr>
        <w:t>Kompetansehevende tiltak for å møte et økt</w:t>
      </w:r>
      <w:r>
        <w:rPr>
          <w:i/>
          <w:spacing w:val="-8"/>
        </w:rPr>
        <w:t xml:space="preserve"> </w:t>
      </w:r>
      <w:r>
        <w:rPr>
          <w:i/>
        </w:rPr>
        <w:t>bemanningsbehov</w:t>
      </w:r>
    </w:p>
    <w:p w14:paraId="690883EE" w14:textId="77777777" w:rsidR="008323D3" w:rsidRDefault="00185409">
      <w:pPr>
        <w:pStyle w:val="Brdtekst"/>
        <w:spacing w:before="1" w:line="259" w:lineRule="auto"/>
        <w:ind w:left="352" w:right="496"/>
      </w:pPr>
      <w:r>
        <w:t>Som den siste regionen har nå helseforetakene i regionen innført kompetanseportalen. Dette vil på sikt gi både ansatte og ledere en betydelig bedre oversikt over kompetansebeholdningen og en helt ny mulighet til å etablere gode og effektive kompetansevedlikeholds- og utviklingsprogrammer.</w:t>
      </w:r>
    </w:p>
    <w:p w14:paraId="06BA2D23" w14:textId="77777777" w:rsidR="008323D3" w:rsidRDefault="00185409">
      <w:pPr>
        <w:pStyle w:val="Brdtekst"/>
        <w:spacing w:before="158" w:line="259" w:lineRule="auto"/>
        <w:ind w:left="352" w:right="425"/>
      </w:pPr>
      <w:r>
        <w:t>Under pandemien deltok representanter fra regionen i utarbeidelsen av det nasjonale opplæringsprogrammet for sykepleiere. Flere av helseforetakene i regionen implementerte hele eller deler av programmet i sin virksomhet. I tillegg har flere av helseforetakene utarbeidet interne undervisningsforløp med ulike læringsaktiviteter som e-læringskurs, simulering, ferdighetstrening, hospitering, film, podcast, osv. Det er gode erfaringer med denne kombinasjonen av opplæringsprogrammer, men det er også ressurskrevende, spesielt simuleringstrening med ulikt</w:t>
      </w:r>
      <w:r>
        <w:rPr>
          <w:spacing w:val="-4"/>
        </w:rPr>
        <w:t xml:space="preserve"> </w:t>
      </w:r>
      <w:r>
        <w:t>medisinsk-teknisk-utstyr.</w:t>
      </w:r>
    </w:p>
    <w:p w14:paraId="2F625755" w14:textId="77777777" w:rsidR="008323D3" w:rsidRDefault="00185409">
      <w:pPr>
        <w:pStyle w:val="Brdtekst"/>
        <w:spacing w:before="159" w:line="259" w:lineRule="auto"/>
        <w:ind w:left="352" w:right="826"/>
      </w:pPr>
      <w:r>
        <w:t>Flere helseforetak har etablert egne opplæringsprogram for andre spesialsykepleiegrupper, spesielt de med anestesi- og/eller operasjonsutdanning. Disse kan raskt bidra inn på intensivenheter. I regionen er det per april 2022 ansatt 1 474 i stillingskoden</w:t>
      </w:r>
    </w:p>
    <w:p w14:paraId="6ABD1385" w14:textId="77777777" w:rsidR="008323D3" w:rsidRDefault="00185409">
      <w:pPr>
        <w:pStyle w:val="Brdtekst"/>
        <w:spacing w:line="259" w:lineRule="auto"/>
        <w:ind w:left="352" w:right="481"/>
      </w:pPr>
      <w:r>
        <w:t>«operasjonssykepleier» og 1 136 «anestesisykepleiere». Omdisponering av disse vil selvfølgelig medføre at ordinær drift raskt må reduseres, men de utgjør et potensiale i forhold til rask økning i intensivkapasitet.</w:t>
      </w:r>
    </w:p>
    <w:p w14:paraId="72A2C5A2" w14:textId="77777777" w:rsidR="008323D3" w:rsidRDefault="008323D3">
      <w:pPr>
        <w:pStyle w:val="Brdtekst"/>
      </w:pPr>
    </w:p>
    <w:p w14:paraId="6984BC67" w14:textId="77777777" w:rsidR="008323D3" w:rsidRDefault="008323D3">
      <w:pPr>
        <w:pStyle w:val="Brdtekst"/>
        <w:spacing w:before="1"/>
        <w:rPr>
          <w:sz w:val="28"/>
        </w:rPr>
      </w:pPr>
    </w:p>
    <w:p w14:paraId="243CB2A2" w14:textId="77777777" w:rsidR="008323D3" w:rsidRDefault="00185409">
      <w:pPr>
        <w:pStyle w:val="Overskrift3"/>
        <w:numPr>
          <w:ilvl w:val="1"/>
          <w:numId w:val="4"/>
        </w:numPr>
        <w:tabs>
          <w:tab w:val="left" w:pos="1073"/>
          <w:tab w:val="left" w:pos="1074"/>
        </w:tabs>
        <w:spacing w:before="1"/>
        <w:ind w:left="1073" w:hanging="721"/>
        <w:jc w:val="left"/>
      </w:pPr>
      <w:bookmarkStart w:id="9" w:name="_bookmark9"/>
      <w:bookmarkEnd w:id="9"/>
      <w:r>
        <w:t>Tiltak for å skape</w:t>
      </w:r>
      <w:r>
        <w:rPr>
          <w:spacing w:val="-7"/>
        </w:rPr>
        <w:t xml:space="preserve"> </w:t>
      </w:r>
      <w:r>
        <w:t>fleksibilitet</w:t>
      </w:r>
    </w:p>
    <w:p w14:paraId="479DA3F4" w14:textId="77777777" w:rsidR="008323D3" w:rsidRDefault="00185409">
      <w:pPr>
        <w:pStyle w:val="Brdtekst"/>
        <w:spacing w:line="259" w:lineRule="auto"/>
        <w:ind w:left="352" w:right="397"/>
      </w:pPr>
      <w:r>
        <w:t>Flere helseforetak kan med enkle tiltak heve kategorien på en overvåkningsseng til et høyere nivå. Areal eller utstyr er ikke en av de kortsiktige utfordringene. Oppgraderingen av nivå krever tydelig ledelse og prioritering av de ulike pasientene kontinuerlig, slik at hver enkelt pasient behandles på rett omsorgsnivå med den rette kompetansen. Igjennom pandemien har de helseforetakene som hadde den største pågangen av Covid-19 pasienter fått mye erfaring med denne type drift. Dette blir viktig erfaringer å ta med seg videre i planleggingsarbeidet for fremtidig intensivkapasitet.</w:t>
      </w:r>
    </w:p>
    <w:p w14:paraId="05A79CD7" w14:textId="77777777" w:rsidR="008323D3" w:rsidRDefault="00185409">
      <w:pPr>
        <w:pStyle w:val="Brdtekst"/>
        <w:spacing w:before="158" w:line="259" w:lineRule="auto"/>
        <w:ind w:left="352" w:right="587"/>
      </w:pPr>
      <w:r>
        <w:t>Enkelte helseforetak jobber planmessig med å rekruttere spesialsykepleiere til interne bemanningsenheter/personalformidling for å kunne bedre tilgangen på kompetanse. Dette er et langsiktig arbeid. Andre helseforetak ser på muligheten for å etablere delte stillinger eller rotasjonsstillinger hvor medarbeidere som ønsker det arbeider på ulike enheter, for eksempel intensiv/postoperativ og intermediærenheter eller mellom medisinske og kirurgiske overvåkingsenheter.</w:t>
      </w:r>
    </w:p>
    <w:p w14:paraId="0A388561" w14:textId="77777777" w:rsidR="008323D3" w:rsidRDefault="00185409">
      <w:pPr>
        <w:pStyle w:val="Brdtekst"/>
        <w:spacing w:before="159" w:line="256" w:lineRule="auto"/>
        <w:ind w:left="352" w:right="456"/>
      </w:pPr>
      <w:r>
        <w:t>Vi kjenner også til flere eksempler hvor helseforetakene har igangsatt lokale prosjekter som ser nærmere på oppgavedeling på intensivenhetene. Oppdrag om vurdere dette vil bli gitt til alle helseforetakene som en del av det regionale prosjektet.</w:t>
      </w:r>
    </w:p>
    <w:p w14:paraId="3561803A" w14:textId="77777777" w:rsidR="008323D3" w:rsidRDefault="008323D3">
      <w:pPr>
        <w:spacing w:line="256" w:lineRule="auto"/>
        <w:sectPr w:rsidR="008323D3">
          <w:pgSz w:w="11910" w:h="16850"/>
          <w:pgMar w:top="1000" w:right="1020" w:bottom="280" w:left="780" w:header="710" w:footer="0" w:gutter="0"/>
          <w:cols w:space="708"/>
        </w:sectPr>
      </w:pPr>
    </w:p>
    <w:p w14:paraId="78810E6E" w14:textId="77777777" w:rsidR="008323D3" w:rsidRDefault="008323D3">
      <w:pPr>
        <w:pStyle w:val="Brdtekst"/>
        <w:spacing w:before="6"/>
        <w:rPr>
          <w:sz w:val="20"/>
        </w:rPr>
      </w:pPr>
    </w:p>
    <w:p w14:paraId="0A13783E" w14:textId="77777777" w:rsidR="008323D3" w:rsidRDefault="00185409">
      <w:pPr>
        <w:pStyle w:val="Brdtekst"/>
        <w:spacing w:before="52" w:line="259" w:lineRule="auto"/>
        <w:ind w:left="638" w:right="333"/>
      </w:pPr>
      <w:r>
        <w:t>Andre tiltak som helseforetakene nevner å ha gjennomført er å opprette intermediærsenger som bemannes med sykepleiere og at disse gjennomfører lokalt tilpassede opplæringsprogrammer med det målet om at de på et senere tidspunkt skal søke videreutdanning. Andre har etablert såkalte «trainee-stillinger» eller «rekrutteringsstillinger» på intensiv, både som et rekrutterende tiltak til videreutdanning, men også som et tiltak for å øke tilgjengelig kvalifisert personell.</w:t>
      </w:r>
    </w:p>
    <w:p w14:paraId="27F893C1" w14:textId="77777777" w:rsidR="008323D3" w:rsidRDefault="00185409">
      <w:pPr>
        <w:pStyle w:val="Brdtekst"/>
        <w:spacing w:before="158" w:line="259" w:lineRule="auto"/>
        <w:ind w:left="638" w:right="123"/>
      </w:pPr>
      <w:r>
        <w:t>Forut for pandemien var det i regionen, særlig gjennom sommerferie og under høytider, kommunikasjon mellom intensivavdelingene for å bistå hverandre og overflytte pasienter ved overbelastning ett sted. I starten på pandemien erkjente man raskt behovet for å sikre best mulig utnyttelse av intensivkapasiteten og Regional koordinering av pasientfordeling, for å utnytte ledig kapasitet og fordele belastning jevnt. Helse Sør-Øst RHF ga derfor Oslo universitetssykehus i oppdrag å koordinere intinsivkapasiteten i Helse Sør-Øst. Det ble organisert jevnlige digitale møter hvor representanter fra intensivenhetene i alle HF, representanter for prehospitale tjenester (AMK og ambulansetjenesten) i OUS og andre naturlige samarbeidspartnere deltok. Møtene ble også brukt til å dele kunnskap og erfaringer i behandlingen av Covid-19 pasienter. Møtehyppigheten ble fortløpende justert gjennom pandemien basert på innleggelsestall og belstning på intensivenetene. Helse Sør-Øst RHF deltok som observatører i disse møtene. Møtene bidro til en bedre helhetlig utnyttelse av kapasiteten i regionen, slik at en motvirket overbelastning på enkeltsykehus gjennom samarbeid og koordinering. Det har over tid være et ønske om en digital løsning der alle intensivenheter i regionen i sanntid har oversikt over ledig kapasitet ved andre HF, og en slik løsning er under utvikling.</w:t>
      </w:r>
    </w:p>
    <w:p w14:paraId="0649138E" w14:textId="77777777" w:rsidR="008323D3" w:rsidRDefault="00506118">
      <w:pPr>
        <w:pStyle w:val="Brdtekst"/>
        <w:spacing w:before="159" w:line="259" w:lineRule="auto"/>
        <w:ind w:left="638" w:right="329"/>
      </w:pPr>
      <w:hyperlink r:id="rId17">
        <w:r w:rsidR="00185409">
          <w:rPr>
            <w:i/>
            <w:color w:val="0000FF"/>
            <w:u w:val="single" w:color="0000FF"/>
          </w:rPr>
          <w:t>Nasjonal helse-og sykehusplan</w:t>
        </w:r>
        <w:r w:rsidR="00185409">
          <w:rPr>
            <w:i/>
            <w:color w:val="0000FF"/>
          </w:rPr>
          <w:t xml:space="preserve"> </w:t>
        </w:r>
      </w:hyperlink>
      <w:r w:rsidR="00185409">
        <w:t>(2016-2020) pekte på behov for bedre samarbeid mellom sykehus gjennom oppgavedeling og nettverk- «</w:t>
      </w:r>
      <w:r w:rsidR="00185409">
        <w:rPr>
          <w:i/>
        </w:rPr>
        <w:t>Sykehus i nettverk»</w:t>
      </w:r>
      <w:r w:rsidR="00185409">
        <w:t>. Nettverkene skal sikre hensiktsmessig oppgavedeling. De skal også sikre samarbeid om pasientforløp, bemanning, utdanning av helsepersonell og hospiterings- og ambuleringsordninger. Akutt hjerneslagbehandling i Helse Sør-Øst er organisert etter modellen «Sykehus i nettverk». Helse Sør-Øst RHF ønsker bruke organiseringen av hjerneslagbehandlingen som modell for å utvikle arbeidsformen «Sykehus i nettverk» for intensivområdet.</w:t>
      </w:r>
    </w:p>
    <w:p w14:paraId="3C7FEA28" w14:textId="77777777" w:rsidR="008323D3" w:rsidRDefault="008323D3">
      <w:pPr>
        <w:pStyle w:val="Brdtekst"/>
      </w:pPr>
    </w:p>
    <w:p w14:paraId="1246C385" w14:textId="77777777" w:rsidR="008323D3" w:rsidRDefault="008323D3">
      <w:pPr>
        <w:pStyle w:val="Brdtekst"/>
        <w:rPr>
          <w:sz w:val="28"/>
        </w:rPr>
      </w:pPr>
    </w:p>
    <w:p w14:paraId="3FC787A1" w14:textId="77777777" w:rsidR="008323D3" w:rsidRDefault="00185409">
      <w:pPr>
        <w:pStyle w:val="Overskrift2"/>
        <w:numPr>
          <w:ilvl w:val="0"/>
          <w:numId w:val="4"/>
        </w:numPr>
        <w:tabs>
          <w:tab w:val="left" w:pos="1118"/>
          <w:tab w:val="left" w:pos="1119"/>
        </w:tabs>
        <w:ind w:right="892" w:hanging="480"/>
      </w:pPr>
      <w:bookmarkStart w:id="10" w:name="_bookmark10"/>
      <w:bookmarkEnd w:id="10"/>
      <w:r>
        <w:t>Status for regionale lagre for klinisk medisinsk teknisk utstyr, forbruksmateriell og legemidler</w:t>
      </w:r>
    </w:p>
    <w:p w14:paraId="64AAFBCF" w14:textId="77777777" w:rsidR="008323D3" w:rsidRDefault="00185409">
      <w:pPr>
        <w:pStyle w:val="Overskrift3"/>
        <w:numPr>
          <w:ilvl w:val="1"/>
          <w:numId w:val="3"/>
        </w:numPr>
        <w:tabs>
          <w:tab w:val="left" w:pos="1358"/>
          <w:tab w:val="left" w:pos="1359"/>
        </w:tabs>
        <w:spacing w:before="270"/>
        <w:jc w:val="left"/>
      </w:pPr>
      <w:bookmarkStart w:id="11" w:name="_bookmark11"/>
      <w:bookmarkEnd w:id="11"/>
      <w:r>
        <w:t>Klinisk medisinsk teknisk utstyr</w:t>
      </w:r>
      <w:r>
        <w:rPr>
          <w:spacing w:val="-7"/>
        </w:rPr>
        <w:t xml:space="preserve"> </w:t>
      </w:r>
      <w:r>
        <w:t>(MTU)</w:t>
      </w:r>
    </w:p>
    <w:p w14:paraId="0E8B299D" w14:textId="77777777" w:rsidR="008323D3" w:rsidRDefault="00185409">
      <w:pPr>
        <w:pStyle w:val="Brdtekst"/>
        <w:spacing w:line="259" w:lineRule="auto"/>
        <w:ind w:left="638" w:right="355"/>
      </w:pPr>
      <w:r>
        <w:t>Regionalt kompetansesenter for samordning av MTU (RKMTU) i Helse Sør-Øst gjennomførte rett i forkant av pandemien en behovskartlegging for flere av utstyrsgruppene innen intensiv- og anestesiporteføljen. Porteføljen består av bl.a. disse utstyrsgruppene:</w:t>
      </w:r>
    </w:p>
    <w:p w14:paraId="0BC837B7" w14:textId="77777777" w:rsidR="008323D3" w:rsidRDefault="00185409">
      <w:pPr>
        <w:pStyle w:val="Listeavsnitt"/>
        <w:numPr>
          <w:ilvl w:val="2"/>
          <w:numId w:val="3"/>
        </w:numPr>
        <w:tabs>
          <w:tab w:val="left" w:pos="1358"/>
          <w:tab w:val="left" w:pos="1359"/>
        </w:tabs>
        <w:spacing w:before="158"/>
        <w:rPr>
          <w:sz w:val="24"/>
        </w:rPr>
      </w:pPr>
      <w:r>
        <w:rPr>
          <w:sz w:val="24"/>
        </w:rPr>
        <w:t>Intensivrespirator</w:t>
      </w:r>
    </w:p>
    <w:p w14:paraId="1B0E2C7E" w14:textId="77777777" w:rsidR="008323D3" w:rsidRDefault="00185409">
      <w:pPr>
        <w:pStyle w:val="Listeavsnitt"/>
        <w:numPr>
          <w:ilvl w:val="2"/>
          <w:numId w:val="3"/>
        </w:numPr>
        <w:tabs>
          <w:tab w:val="left" w:pos="1358"/>
          <w:tab w:val="left" w:pos="1359"/>
        </w:tabs>
        <w:spacing w:before="160"/>
        <w:rPr>
          <w:sz w:val="24"/>
        </w:rPr>
      </w:pPr>
      <w:r>
        <w:rPr>
          <w:sz w:val="24"/>
        </w:rPr>
        <w:t>Transportrespirator</w:t>
      </w:r>
    </w:p>
    <w:p w14:paraId="09CD9C6B" w14:textId="77777777" w:rsidR="008323D3" w:rsidRDefault="008323D3">
      <w:pPr>
        <w:rPr>
          <w:sz w:val="24"/>
        </w:rPr>
        <w:sectPr w:rsidR="008323D3">
          <w:pgSz w:w="11910" w:h="16850"/>
          <w:pgMar w:top="1000" w:right="1020" w:bottom="280" w:left="780" w:header="710" w:footer="0" w:gutter="0"/>
          <w:cols w:space="708"/>
        </w:sectPr>
      </w:pPr>
    </w:p>
    <w:p w14:paraId="2FF662A7" w14:textId="77777777" w:rsidR="008323D3" w:rsidRDefault="008323D3">
      <w:pPr>
        <w:pStyle w:val="Brdtekst"/>
        <w:spacing w:before="6"/>
        <w:rPr>
          <w:sz w:val="16"/>
        </w:rPr>
      </w:pPr>
    </w:p>
    <w:p w14:paraId="1A3379D6" w14:textId="77777777" w:rsidR="008323D3" w:rsidRDefault="00185409">
      <w:pPr>
        <w:pStyle w:val="Listeavsnitt"/>
        <w:numPr>
          <w:ilvl w:val="0"/>
          <w:numId w:val="2"/>
        </w:numPr>
        <w:tabs>
          <w:tab w:val="left" w:pos="1073"/>
          <w:tab w:val="left" w:pos="1074"/>
        </w:tabs>
        <w:spacing w:before="100"/>
        <w:rPr>
          <w:sz w:val="24"/>
        </w:rPr>
      </w:pPr>
      <w:r>
        <w:rPr>
          <w:sz w:val="24"/>
        </w:rPr>
        <w:t>Infusjonsutstyr, herunder sprøyte- og volumpumper, smertepumper, blodvarmere</w:t>
      </w:r>
      <w:r>
        <w:rPr>
          <w:spacing w:val="-16"/>
          <w:sz w:val="24"/>
        </w:rPr>
        <w:t xml:space="preserve"> </w:t>
      </w:r>
      <w:r>
        <w:rPr>
          <w:sz w:val="24"/>
        </w:rPr>
        <w:t>osv</w:t>
      </w:r>
    </w:p>
    <w:p w14:paraId="43D5C010" w14:textId="77777777" w:rsidR="008323D3" w:rsidRDefault="00185409">
      <w:pPr>
        <w:pStyle w:val="Listeavsnitt"/>
        <w:numPr>
          <w:ilvl w:val="0"/>
          <w:numId w:val="2"/>
        </w:numPr>
        <w:tabs>
          <w:tab w:val="left" w:pos="1073"/>
          <w:tab w:val="left" w:pos="1074"/>
        </w:tabs>
        <w:spacing w:before="160"/>
        <w:ind w:right="1179"/>
        <w:rPr>
          <w:sz w:val="24"/>
        </w:rPr>
      </w:pPr>
      <w:r>
        <w:rPr>
          <w:sz w:val="24"/>
        </w:rPr>
        <w:t>Pasientovervåkning, herunder alt fra høyintensiv pasientovervåkningsmonitorer, intermediær- og sengepostovervåkning og til mobile målenheter og håndholdte pulsoksymeter.</w:t>
      </w:r>
    </w:p>
    <w:p w14:paraId="7A35FDED" w14:textId="77777777" w:rsidR="008323D3" w:rsidRDefault="00185409">
      <w:pPr>
        <w:pStyle w:val="Listeavsnitt"/>
        <w:numPr>
          <w:ilvl w:val="0"/>
          <w:numId w:val="2"/>
        </w:numPr>
        <w:tabs>
          <w:tab w:val="left" w:pos="1073"/>
          <w:tab w:val="left" w:pos="1074"/>
        </w:tabs>
        <w:spacing w:before="162"/>
        <w:rPr>
          <w:sz w:val="24"/>
        </w:rPr>
      </w:pPr>
      <w:r>
        <w:rPr>
          <w:sz w:val="24"/>
        </w:rPr>
        <w:t>Anestesiapparater</w:t>
      </w:r>
    </w:p>
    <w:p w14:paraId="045B5E51" w14:textId="77777777" w:rsidR="008323D3" w:rsidRDefault="00185409">
      <w:pPr>
        <w:pStyle w:val="Listeavsnitt"/>
        <w:numPr>
          <w:ilvl w:val="0"/>
          <w:numId w:val="2"/>
        </w:numPr>
        <w:tabs>
          <w:tab w:val="left" w:pos="1073"/>
          <w:tab w:val="left" w:pos="1074"/>
        </w:tabs>
        <w:spacing w:before="160"/>
        <w:rPr>
          <w:sz w:val="24"/>
        </w:rPr>
      </w:pPr>
      <w:r>
        <w:rPr>
          <w:sz w:val="24"/>
        </w:rPr>
        <w:t>Akuttdialyseapparater</w:t>
      </w:r>
    </w:p>
    <w:p w14:paraId="403E0E96" w14:textId="77777777" w:rsidR="008323D3" w:rsidRDefault="00185409">
      <w:pPr>
        <w:pStyle w:val="Brdtekst"/>
        <w:spacing w:before="160" w:line="259" w:lineRule="auto"/>
        <w:ind w:left="352" w:right="505"/>
      </w:pPr>
      <w:r>
        <w:t>Kartleggingen av utstyrsparken ble gjennomført i samtlige helseforetak og gjennomgående for alle utstyrsgruppene var det liten eller ingen ekstra kapasitet, ut over den utstyrsparken som befant seg på hvert enkelt helseforetak og var beregnet utfra en normal driftsituasjon med mindre variasjoner. Det var utover dette ikke etablert et regionalt lager eller reserveløsning for MTU-området.</w:t>
      </w:r>
    </w:p>
    <w:p w14:paraId="27C25D12" w14:textId="77777777" w:rsidR="008323D3" w:rsidRDefault="00185409">
      <w:pPr>
        <w:pStyle w:val="Brdtekst"/>
        <w:spacing w:before="159" w:line="259" w:lineRule="auto"/>
        <w:ind w:left="352" w:right="523"/>
      </w:pPr>
      <w:r>
        <w:t>Samlet bestilte RKMTU pandemirelatert MTU for over 90 MNOK på vegne av helseforetakene i Helse Sør-Øst. Totalt ble det for regionen bestilt 75 stk. intensivrespiratorer og 107 transportrespiratorer for å ivareta respiratorberedskapen ved sykehusene i Helse Sør-Øst. I tillegg ble det anskaffet dialyseapparater og et betydelig antall sprøyte- og volumpumper samt overvåkningsutstyr.</w:t>
      </w:r>
    </w:p>
    <w:p w14:paraId="66794770" w14:textId="77777777" w:rsidR="008323D3" w:rsidRDefault="00185409">
      <w:pPr>
        <w:pStyle w:val="Brdtekst"/>
        <w:spacing w:before="158"/>
        <w:ind w:left="352" w:right="444"/>
      </w:pPr>
      <w:r>
        <w:t>De allerede etablerte regionale rammeavtalene hadde medført at flere av foretakene var i gang med flåteutskifting av eksisterende respiratorpark. 84 stk. intensivrespiratorer og 4 stk. transportrespiratorer var rett forut for pandemien levert til regionen, mens ytterligere 52 stk. intensiv- og 14 stk. transportrespiratorer var under levering. Dette gjorde at flere av foretakene ved inngangen til pandemien hadde økt tilgjengelighet på utstyr utover det de normalt kunne hatt. Etter hvert som utstyret ble levert til foretakene hadde de i drift både nytt og gammelt utstyr. Det gamle utstyret er i de fleste foretakene i dag faset ut, og det nye anskaffede pandemiutstyret er tatt i bruk i den normale driftsituasjon.</w:t>
      </w:r>
    </w:p>
    <w:p w14:paraId="55B693F7" w14:textId="77777777" w:rsidR="008323D3" w:rsidRDefault="00185409">
      <w:pPr>
        <w:pStyle w:val="Brdtekst"/>
        <w:spacing w:before="162"/>
        <w:ind w:left="352" w:right="1362"/>
      </w:pPr>
      <w:r>
        <w:t>Således er ustyrsparken på intensiv- og overvåkning/observasjonsenhetene i regionen oppdatert og i noen grad også utvidet.</w:t>
      </w:r>
    </w:p>
    <w:p w14:paraId="5857435F" w14:textId="77777777" w:rsidR="008323D3" w:rsidRDefault="008323D3">
      <w:pPr>
        <w:pStyle w:val="Brdtekst"/>
      </w:pPr>
    </w:p>
    <w:p w14:paraId="26C068C8" w14:textId="77777777" w:rsidR="008323D3" w:rsidRDefault="008323D3">
      <w:pPr>
        <w:pStyle w:val="Brdtekst"/>
        <w:spacing w:before="2"/>
        <w:rPr>
          <w:sz w:val="28"/>
        </w:rPr>
      </w:pPr>
    </w:p>
    <w:p w14:paraId="3E808F42" w14:textId="77777777" w:rsidR="008323D3" w:rsidRDefault="00185409">
      <w:pPr>
        <w:pStyle w:val="Overskrift3"/>
        <w:numPr>
          <w:ilvl w:val="1"/>
          <w:numId w:val="3"/>
        </w:numPr>
        <w:tabs>
          <w:tab w:val="left" w:pos="1073"/>
          <w:tab w:val="left" w:pos="1074"/>
        </w:tabs>
        <w:ind w:left="1073" w:hanging="721"/>
        <w:jc w:val="left"/>
      </w:pPr>
      <w:bookmarkStart w:id="12" w:name="_bookmark12"/>
      <w:bookmarkEnd w:id="12"/>
      <w:r>
        <w:t>Forbruksmateriell</w:t>
      </w:r>
    </w:p>
    <w:p w14:paraId="65049F35" w14:textId="77777777" w:rsidR="008323D3" w:rsidRDefault="00185409">
      <w:pPr>
        <w:pStyle w:val="Brdtekst"/>
        <w:ind w:left="352" w:right="884"/>
      </w:pPr>
      <w:r>
        <w:t>Forsyningssenteret i Helse Sør-Øst er et regionalt lager og har et etablert sikkerhetslager. Lageret sikrer ved normal drift i helseforetakene kontinuitet i forsyningen til sykehusene til tross for variasjoner i vareforbruket og tilgangen på varer. Sikkerhetslageret inneholder standard intensivprodukter tilsvarende 3-4 ukers normalt forbruk. I forbindelse med pandemien er det regionale beredskapslageret økt og inneholder p.t. minst 16 ukers normalforbruk for et utvalg forbruksmateriell hyppig brukt på intensivenheter.</w:t>
      </w:r>
    </w:p>
    <w:p w14:paraId="7D5C91FC" w14:textId="77777777" w:rsidR="008323D3" w:rsidRDefault="00185409">
      <w:pPr>
        <w:pStyle w:val="Brdtekst"/>
        <w:spacing w:before="159"/>
        <w:ind w:left="352" w:right="476"/>
      </w:pPr>
      <w:r>
        <w:t>Alle helseforetakene i Helse Sør-Øst kan bestille varer fra lageret gjennom innkjøpsportalen, og Forsyningslageret sørger for rotasjon av produktene slik at holdbarhetstid ikke overstiges.</w:t>
      </w:r>
    </w:p>
    <w:p w14:paraId="635979AA" w14:textId="77777777" w:rsidR="008323D3" w:rsidRDefault="00185409">
      <w:pPr>
        <w:pStyle w:val="Brdtekst"/>
        <w:ind w:left="352" w:right="595"/>
      </w:pPr>
      <w:r>
        <w:t>Forsyningssenteret har normalt ikke beredskapslager for standard intensivprodukter ut over det som til enhver tid finnes på sikkerhetslageret. I mars 2020 ble det derfor besluttet at Forsyningssenteret skulle bygge opp et beredskapslager tilsvarende 12 ukers normalt forbruk, med standard intensivprodukter definert som særlig relevante for Covid-19 pandemien. Alle</w:t>
      </w:r>
    </w:p>
    <w:p w14:paraId="7A9D582E" w14:textId="77777777" w:rsidR="008323D3" w:rsidRDefault="008323D3">
      <w:pPr>
        <w:sectPr w:rsidR="008323D3">
          <w:pgSz w:w="11910" w:h="16850"/>
          <w:pgMar w:top="1000" w:right="1020" w:bottom="280" w:left="780" w:header="710" w:footer="0" w:gutter="0"/>
          <w:cols w:space="708"/>
        </w:sectPr>
      </w:pPr>
    </w:p>
    <w:p w14:paraId="014CCC5C" w14:textId="77777777" w:rsidR="008323D3" w:rsidRDefault="008323D3">
      <w:pPr>
        <w:pStyle w:val="Brdtekst"/>
        <w:rPr>
          <w:sz w:val="3"/>
        </w:rPr>
      </w:pPr>
    </w:p>
    <w:p w14:paraId="7A488B68" w14:textId="77777777" w:rsidR="008323D3" w:rsidRDefault="00A42CB8">
      <w:pPr>
        <w:pStyle w:val="Brdtekst"/>
        <w:spacing w:line="20" w:lineRule="exact"/>
        <w:ind w:left="813"/>
        <w:rPr>
          <w:sz w:val="2"/>
        </w:rPr>
      </w:pPr>
      <w:r>
        <w:rPr>
          <w:noProof/>
          <w:sz w:val="2"/>
          <w:lang w:val="nb-NO" w:eastAsia="nb-NO" w:bidi="ar-SA"/>
        </w:rPr>
        <mc:AlternateContent>
          <mc:Choice Requires="wpg">
            <w:drawing>
              <wp:inline distT="0" distB="0" distL="0" distR="0" wp14:anchorId="4FCB3D1C" wp14:editId="42F44E30">
                <wp:extent cx="5828665" cy="3175"/>
                <wp:effectExtent l="13335" t="3810" r="6350" b="12065"/>
                <wp:docPr id="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3175"/>
                          <a:chOff x="0" y="0"/>
                          <a:chExt cx="9179" cy="5"/>
                        </a:xfrm>
                      </wpg:grpSpPr>
                      <wps:wsp>
                        <wps:cNvPr id="16" name="Line 5"/>
                        <wps:cNvCnPr>
                          <a:cxnSpLocks noChangeShapeType="1"/>
                        </wps:cNvCnPr>
                        <wps:spPr bwMode="auto">
                          <a:xfrm>
                            <a:off x="0" y="2"/>
                            <a:ext cx="9179"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089BEA0" id="Group 4" o:spid="_x0000_s1026" style="width:458.95pt;height:.25pt;mso-position-horizontal-relative:char;mso-position-vertical-relative:line" coordsize="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DAZfwIAAJEFAAAOAAAAZHJzL2Uyb0RvYy54bWykVF1v2jAUfZ+0/2DlnSahgUJUqCYCfenW&#10;Su1+gLGdDy2xLdsQ0LT/vuvrAF37UnU8GDv369xzrn17d+hashfGNkouovQqiYiQTPFGVovo58tm&#10;NIuIdVRy2iopFtFR2Ohu+fXLba9zMVa1arkwBJJIm/d6EdXO6TyOLatFR+2V0kKCsVSmow6Opoq5&#10;oT1k79p4nCTTuFeGa6OYsBa+FsEYLTF/WQrmHsvSCkfaRQTYHK4G161f4+UtzStDdd2wAQb9BIqO&#10;NhKKnlMV1FGyM827VF3DjLKqdFdMdbEqy4YJ7AG6SZM33dwbtdPYS5X3lT7TBNS+4enTadmP/ZMh&#10;DQftJhGRtAONsCzJPDe9rnJwuTf6WT+Z0CBsHxT7ZcEcv7X7cxWcybb/rjikozunkJtDaTqfArom&#10;B5TgeJZAHBxh8HEyG8+mU4DCwHad3kyCQqwGGd8FsXo9hM3Tm3mIwYCY5qEYAhwA+W5gyOyFR/t/&#10;PD7XVAuUx3qSTjxOTzw+NFIQxOMLg8dKBg7ZQQ4cEqlWNZWVwFwvRw18pb5lAP4qxB8sCPBBTseB&#10;tBOnF3Jw3s/k0Fwb6+6F6ojfLKIWAKNSdP9gnUdxcfHCSbVp2ha+07yVpAeBkmyGAVa1DfdGb7Om&#10;2q5aQ/bUXzr8YUtgee3maxbU1sEPTQE3TL3kWKUWlK+HvaNNG/aAqpW+EDQIOIdduG6/58l8PVvP&#10;slE2nq5HWVIUo2+bVTaabmCYiutitSrSPx5zmuV1w7mQHvbp6qfZx0ZieITCpT1f/jM/8b/ZkUgA&#10;e/pH0KiwFzXM5Vbx45M5KQ9TijOA9x7DhjfKPyyvz+h1eUmXfwEAAP//AwBQSwMEFAAGAAgAAAAh&#10;ADRmiSLaAAAAAgEAAA8AAABkcnMvZG93bnJldi54bWxMj0FLw0AQhe+C/2EZwZvdRKnamE0pRT0V&#10;wVYQb9PsNAnNzobsNkn/vaMXvQw83uO9b/Ll5Fo1UB8azwbSWQKKuPS24crAx+7l5hFUiMgWW89k&#10;4EwBlsXlRY6Z9SO/07CNlZISDhkaqGPsMq1DWZPDMPMdsXgH3zuMIvtK2x5HKXetvk2Se+2wYVmo&#10;saN1TeVxe3IGXkccV3fp87A5Htbnr9387XOTkjHXV9PqCVSkKf6F4Qdf0KEQpr0/sQ2qNSCPxN8r&#10;3iJ9WIDaG5iDLnL9H734BgAA//8DAFBLAQItABQABgAIAAAAIQC2gziS/gAAAOEBAAATAAAAAAAA&#10;AAAAAAAAAAAAAABbQ29udGVudF9UeXBlc10ueG1sUEsBAi0AFAAGAAgAAAAhADj9If/WAAAAlAEA&#10;AAsAAAAAAAAAAAAAAAAALwEAAF9yZWxzLy5yZWxzUEsBAi0AFAAGAAgAAAAhAHioMBl/AgAAkQUA&#10;AA4AAAAAAAAAAAAAAAAALgIAAGRycy9lMm9Eb2MueG1sUEsBAi0AFAAGAAgAAAAhADRmiSLaAAAA&#10;AgEAAA8AAAAAAAAAAAAAAAAA2QQAAGRycy9kb3ducmV2LnhtbFBLBQYAAAAABAAEAPMAAADgBQAA&#10;AAA=&#10;">
                <v:line id="Line 5" o:spid="_x0000_s1027" style="position:absolute;visibility:visible;mso-wrap-style:square" from="0,2" to="91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XDvwQAAANsAAAAPAAAAZHJzL2Rvd25yZXYueG1sRI9Pa8JA&#10;EMXvhX6HZYTe6kYPQaKriJBSvdU/9yE7ZtNmZ0N2a+K37xQEb2+YN783b7UZfatu1McmsIHZNANF&#10;XAXbcG3gfCrfF6BiQrbYBiYDd4qwWb++rLCwYeAvuh1TrQTCsUADLqWu0DpWjjzGaeiIZXcNvcck&#10;Y19r2+MgcN/qeZbl2mPDkuCwo52j6uf464WycHm7/wj6chiG723pS4mfGfM2GbdLUInG9DQ/rj+t&#10;vJ/DfxcRoNd/AAAA//8DAFBLAQItABQABgAIAAAAIQDb4fbL7gAAAIUBAAATAAAAAAAAAAAAAAAA&#10;AAAAAABbQ29udGVudF9UeXBlc10ueG1sUEsBAi0AFAAGAAgAAAAhAFr0LFu/AAAAFQEAAAsAAAAA&#10;AAAAAAAAAAAAHwEAAF9yZWxzLy5yZWxzUEsBAi0AFAAGAAgAAAAhAEx5cO/BAAAA2wAAAA8AAAAA&#10;AAAAAAAAAAAABwIAAGRycy9kb3ducmV2LnhtbFBLBQYAAAAAAwADALcAAAD1AgAAAAA=&#10;" strokeweight=".24pt"/>
                <w10:anchorlock/>
              </v:group>
            </w:pict>
          </mc:Fallback>
        </mc:AlternateContent>
      </w:r>
    </w:p>
    <w:p w14:paraId="4C191882" w14:textId="77777777" w:rsidR="008323D3" w:rsidRDefault="008323D3">
      <w:pPr>
        <w:pStyle w:val="Brdtekst"/>
        <w:spacing w:before="4"/>
        <w:rPr>
          <w:sz w:val="19"/>
        </w:rPr>
      </w:pPr>
    </w:p>
    <w:p w14:paraId="79CDFEAD" w14:textId="77777777" w:rsidR="008323D3" w:rsidRDefault="00185409">
      <w:pPr>
        <w:pStyle w:val="Brdtekst"/>
        <w:spacing w:before="52"/>
        <w:ind w:left="638" w:right="270"/>
      </w:pPr>
      <w:r>
        <w:t>Helseforetakene i regionen kunne melde inn behov for intensivprodukter på beredskapslisten, gjennom sine representanter i produktrådet for medisinske forbruksvarer intensiv.</w:t>
      </w:r>
    </w:p>
    <w:p w14:paraId="6EB02FAD" w14:textId="77777777" w:rsidR="008323D3" w:rsidRDefault="00185409">
      <w:pPr>
        <w:pStyle w:val="Brdtekst"/>
        <w:spacing w:before="161"/>
        <w:ind w:left="638" w:right="114"/>
      </w:pPr>
      <w:r>
        <w:t>Beredskapslageret er dynamisk og produktutvalget er senere økt ved at det er besluttet tatt inn andre forbruksartikler enn intensivmateriell (som for eksempel utstyr til behandling av barn) som er aktuelle ved andre hendelsestyper. For enkelte intensivprodukter har beredskapslageret vært på over 200% (dvs. over 24 ukers normalt forbruk), og det er gjort og gjøres en løpende vurdering av innhold og omfang av lageret, og om andre intensivprodukter skal tas inn/ut.</w:t>
      </w:r>
    </w:p>
    <w:p w14:paraId="7821F15C" w14:textId="77777777" w:rsidR="008323D3" w:rsidRDefault="00185409">
      <w:pPr>
        <w:pStyle w:val="Brdtekst"/>
        <w:spacing w:before="160"/>
        <w:ind w:left="638" w:right="363"/>
      </w:pPr>
      <w:r>
        <w:t>De globale transportutfordringer påvirker forsyningssituasjonen for alle innkjøpskategorier til spesialisthelsetjenesten, også intensivprodukter. Transport av varer på verdensmarkedet påvirkes fortsatt av pandemien, og den pågående krigen i Ukraina har også forverret situasjonen. Krigen kan også, både på kort og lenger sikt, påvirke tilgangen på enkelte produkter. Blant aktørene i det globale transportmarkedet er det ikke forventet forbedring i denne situasjonen de neste 24 månedene. Dimensjonering av beredskapslageret må derfor vurderes i lys av dette.</w:t>
      </w:r>
    </w:p>
    <w:p w14:paraId="49355DD1" w14:textId="77777777" w:rsidR="008323D3" w:rsidRDefault="008323D3">
      <w:pPr>
        <w:pStyle w:val="Brdtekst"/>
      </w:pPr>
    </w:p>
    <w:p w14:paraId="1F5CFD75" w14:textId="77777777" w:rsidR="008323D3" w:rsidRDefault="008323D3">
      <w:pPr>
        <w:pStyle w:val="Brdtekst"/>
        <w:spacing w:before="3"/>
        <w:rPr>
          <w:sz w:val="28"/>
        </w:rPr>
      </w:pPr>
    </w:p>
    <w:p w14:paraId="4D7445DF" w14:textId="77777777" w:rsidR="008323D3" w:rsidRDefault="00185409">
      <w:pPr>
        <w:pStyle w:val="Overskrift3"/>
        <w:numPr>
          <w:ilvl w:val="1"/>
          <w:numId w:val="3"/>
        </w:numPr>
        <w:tabs>
          <w:tab w:val="left" w:pos="1358"/>
          <w:tab w:val="left" w:pos="1359"/>
        </w:tabs>
        <w:jc w:val="left"/>
      </w:pPr>
      <w:bookmarkStart w:id="13" w:name="_bookmark13"/>
      <w:bookmarkEnd w:id="13"/>
      <w:r>
        <w:t>Legemidler</w:t>
      </w:r>
    </w:p>
    <w:p w14:paraId="00A96A16" w14:textId="77777777" w:rsidR="008323D3" w:rsidRDefault="00185409">
      <w:pPr>
        <w:pStyle w:val="Brdtekst"/>
        <w:ind w:left="638" w:right="132"/>
      </w:pPr>
      <w:r>
        <w:t xml:space="preserve">De fire regionale helseforetakene er i henhold til </w:t>
      </w:r>
      <w:hyperlink r:id="rId18">
        <w:r>
          <w:rPr>
            <w:color w:val="0000FF"/>
            <w:u w:val="single" w:color="0000FF"/>
          </w:rPr>
          <w:t>Nasjonal helseberedskapsplan</w:t>
        </w:r>
        <w:r>
          <w:rPr>
            <w:color w:val="0000FF"/>
          </w:rPr>
          <w:t xml:space="preserve"> </w:t>
        </w:r>
      </w:hyperlink>
      <w:r>
        <w:t>gitt ansvar for å etablere regional legemiddel- og antidotberedskap. Således skal de regionale helseforetakene sørge for at det i underliggende helseforetak/sykehus er nødvendige beredskapslager for legemidler, vaksiner, infusjonsvæsker og antidoter som skal dekke normalforbruket i en tid under beredskap eller ved forsyningssvikt. I vår region er det Sykehusapotekene HF som samarbeider med helseforetakene om dette. Sykehusapoteket HF har utarbeidet og vedlikeholder «</w:t>
      </w:r>
      <w:r>
        <w:rPr>
          <w:i/>
        </w:rPr>
        <w:t>Veileder for legemiddelberedskap</w:t>
      </w:r>
      <w:r>
        <w:t>» som er et godt verktøy i utvikling av legemiddelberedskapsplaner for våre helseforetak. Basert på lokale risiko- og sårbarehetsanalyser skal helseforetakene etablere legemiddelberedskap som skal dekke mulige beredskapshendelser. Sykehusapoteket HF (v/ lokalt sykehusapotek) samarbeider med helseforetakene om dette og det utarbeides og vedlikeholdes en liste over kritiske legemidler for et normalforbruk på minst 14 dager. Sykehusapoteket HF vil videre foreslå og gjennomføre tiltak for sikker og effektiv legemiddelforsyning til alle regionens helseforetak.</w:t>
      </w:r>
    </w:p>
    <w:p w14:paraId="7E577AF2" w14:textId="77777777" w:rsidR="008323D3" w:rsidRDefault="00185409">
      <w:pPr>
        <w:pStyle w:val="Brdtekst"/>
        <w:spacing w:before="161"/>
        <w:ind w:left="638" w:right="425"/>
      </w:pPr>
      <w:r>
        <w:t>I vår region er det videre etablert et nasjonalt senter for legemiddelmangel, Nasjonalt senter for legemiddelmangel og legemiddelberedskap i spesialisthelsetjenesten (populært kalt</w:t>
      </w:r>
    </w:p>
    <w:p w14:paraId="7D149584" w14:textId="77777777" w:rsidR="008323D3" w:rsidRDefault="00185409">
      <w:pPr>
        <w:pStyle w:val="Brdtekst"/>
        <w:ind w:left="638" w:right="160"/>
      </w:pPr>
      <w:r>
        <w:t>«Mangelsenteret»). Helse Sør-Øst RHF er gitt, på vegne av de regionale helseforetakene, oppgaven med etablering og drift av et slikt senter. Oppgaven er av Helse Sør-Øst RHF igjen gitt videre til Oslo universitetssykehus HF. Senteret overvåker forsyningssituasjonen for legemidler og sammen med sykehusapotekene bidrar til å finne de beste lønsingene/tiltakene for å demme opp for eventuelle mangler og kommunisere dette til berørte parter.</w:t>
      </w:r>
    </w:p>
    <w:p w14:paraId="19B8DB39" w14:textId="77777777" w:rsidR="008323D3" w:rsidRDefault="008323D3">
      <w:pPr>
        <w:pStyle w:val="Brdtekst"/>
      </w:pPr>
    </w:p>
    <w:p w14:paraId="63BECD55" w14:textId="77777777" w:rsidR="008323D3" w:rsidRDefault="008323D3">
      <w:pPr>
        <w:pStyle w:val="Brdtekst"/>
        <w:spacing w:before="1"/>
        <w:rPr>
          <w:sz w:val="28"/>
        </w:rPr>
      </w:pPr>
    </w:p>
    <w:p w14:paraId="29D8157D" w14:textId="77777777" w:rsidR="008323D3" w:rsidRDefault="00185409">
      <w:pPr>
        <w:pStyle w:val="Overskrift2"/>
        <w:numPr>
          <w:ilvl w:val="0"/>
          <w:numId w:val="3"/>
        </w:numPr>
        <w:tabs>
          <w:tab w:val="left" w:pos="1118"/>
          <w:tab w:val="left" w:pos="1119"/>
        </w:tabs>
        <w:ind w:left="1118" w:hanging="480"/>
      </w:pPr>
      <w:bookmarkStart w:id="14" w:name="_bookmark14"/>
      <w:bookmarkEnd w:id="14"/>
      <w:r>
        <w:t>Videre regionalt og lokalt</w:t>
      </w:r>
      <w:r>
        <w:rPr>
          <w:spacing w:val="-2"/>
        </w:rPr>
        <w:t xml:space="preserve"> </w:t>
      </w:r>
      <w:r>
        <w:t>arbeid</w:t>
      </w:r>
    </w:p>
    <w:p w14:paraId="61BD2D8E" w14:textId="77777777" w:rsidR="008323D3" w:rsidRDefault="00185409">
      <w:pPr>
        <w:pStyle w:val="Brdtekst"/>
        <w:ind w:left="638" w:right="114"/>
      </w:pPr>
      <w:r>
        <w:t>Hvert helseforetak har ansvar for å ha en tilstrekkelig intensivkapasitet som inkluderer beredskap og at de ansatte har nødvendig kompetanse for å utføre tilordnede oppgaver. Det er Helse Sør-Øst RHF sitt ansvar å sikre at tjenesten er samordnet og har den nødvendige totale</w:t>
      </w:r>
    </w:p>
    <w:p w14:paraId="318995ED" w14:textId="77777777" w:rsidR="008323D3" w:rsidRDefault="008323D3">
      <w:pPr>
        <w:sectPr w:rsidR="008323D3">
          <w:headerReference w:type="even" r:id="rId19"/>
          <w:headerReference w:type="default" r:id="rId20"/>
          <w:pgSz w:w="11910" w:h="16850"/>
          <w:pgMar w:top="940" w:right="1020" w:bottom="280" w:left="780" w:header="710" w:footer="0" w:gutter="0"/>
          <w:cols w:space="708"/>
        </w:sectPr>
      </w:pPr>
    </w:p>
    <w:p w14:paraId="064969D0" w14:textId="77777777" w:rsidR="008323D3" w:rsidRDefault="008323D3">
      <w:pPr>
        <w:pStyle w:val="Brdtekst"/>
        <w:rPr>
          <w:sz w:val="3"/>
        </w:rPr>
      </w:pPr>
    </w:p>
    <w:p w14:paraId="496CF354" w14:textId="77777777" w:rsidR="008323D3" w:rsidRDefault="00A42CB8">
      <w:pPr>
        <w:pStyle w:val="Brdtekst"/>
        <w:spacing w:line="20" w:lineRule="exact"/>
        <w:ind w:left="321"/>
        <w:rPr>
          <w:sz w:val="2"/>
        </w:rPr>
      </w:pPr>
      <w:r>
        <w:rPr>
          <w:noProof/>
          <w:sz w:val="2"/>
          <w:lang w:val="nb-NO" w:eastAsia="nb-NO" w:bidi="ar-SA"/>
        </w:rPr>
        <mc:AlternateContent>
          <mc:Choice Requires="wpg">
            <w:drawing>
              <wp:inline distT="0" distB="0" distL="0" distR="0" wp14:anchorId="31685A4F" wp14:editId="0B5D5E7F">
                <wp:extent cx="5847715" cy="3175"/>
                <wp:effectExtent l="7620" t="3810" r="12065" b="12065"/>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7715" cy="3175"/>
                          <a:chOff x="0" y="0"/>
                          <a:chExt cx="9209" cy="5"/>
                        </a:xfrm>
                      </wpg:grpSpPr>
                      <wps:wsp>
                        <wps:cNvPr id="14" name="Line 3"/>
                        <wps:cNvCnPr>
                          <a:cxnSpLocks noChangeShapeType="1"/>
                        </wps:cNvCnPr>
                        <wps:spPr bwMode="auto">
                          <a:xfrm>
                            <a:off x="0" y="2"/>
                            <a:ext cx="9208"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3FB5B4" id="Group 2" o:spid="_x0000_s1026" style="width:460.45pt;height:.25pt;mso-position-horizontal-relative:char;mso-position-vertical-relative:line" coordsize="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xBygwIAAJEFAAAOAAAAZHJzL2Uyb0RvYy54bWykVMtu2zAQvBfoPxC6O5JsJbGF2EFh2bmk&#10;bYCkH0CT1AOlSIJkLBtF/73Lpeyk6SVIfaBJ7YOzM7u8uT30kuyFdZ1WyyS/yBIiFNO8U80y+fG0&#10;ncwT4jxVnEqtxDI5Cpfcrj5/uhlMKaa61ZILSyCJcuVglknrvSnT1LFW9NRdaCMUGGtte+rhaJuU&#10;WzpA9l6m0yy7SgdtubGaCefgaxWNyQrz17Vg/ntdO+GJXCaAzeNqcd2FNV3d0LKx1LQdG2HQD6Do&#10;aafg0nOqinpKnm33T6q+Y1Y7XfsLpvtU13XHBNYA1eTZm2rurH42WEtTDo050wTUvuHpw2nZt/2D&#10;JR0H7WYJUbQHjfBaMg3cDKYpweXOmkfzYGOBsL3X7KcDc/rWHs5NdCa74avmkI4+e43cHGrbhxRQ&#10;NTmgBMezBOLgCYOPl/Pi+jq/TAgD2yy/vowKsRZk/CeItZsxbDHNFjEGA1JaxssQ4AgoVANN5l54&#10;dP/H42NLjUB5XCDpxGNx4vG+U4LMIo3osVaRQ3ZQI4dE6XVLVSMw19PRAF95iADgr0LCwYEA7+QU&#10;paPliVMgB6YwEIr9fiaHlsY6fyd0T8JmmUgAjErR/b3zAcWLSxBO6W0nJXynpVRkAIGyYo4BTsuO&#10;B2OwOdvs1tKSPQ1Dhz8sCSyv3cKdFXVt9ENTFBu6XnG8pRWUb8a9p52Me0AlVbgICgSc4y6O269F&#10;ttjMN/NiUkyvNpMiq6rJl+26mFxtoZmqWbVeV/nvgDkvyrbjXKgA+zT6efG+lhgfoTi05+E/85P+&#10;nR2JBLCnfwSNCgdRY1/uND8+2JPy0KXYAzj3GDa+UeFheX1Gr5eXdPUHAAD//wMAUEsDBBQABgAI&#10;AAAAIQDRMN5J2gAAAAIBAAAPAAAAZHJzL2Rvd25yZXYueG1sTI9BS8NAEIXvgv9hGcGb3aRSsTGb&#10;Uop6KoKtIN6m2WkSmp0N2W2S/ntHL3oZeLzHe9/kq8m1aqA+NJ4NpLMEFHHpbcOVgY/9y90jqBCR&#10;LbaeycCFAqyK66scM+tHfqdhFyslJRwyNFDH2GVah7Imh2HmO2Lxjr53GEX2lbY9jlLuWj1Pkgft&#10;sGFZqLGjTU3laXd2Bl5HHNf36fOwPR03l6/94u1zm5IxtzfT+glUpCn+heEHX9ChEKaDP7MNqjUg&#10;j8TfK95ynixBHQwsQBe5/o9efAMAAP//AwBQSwECLQAUAAYACAAAACEAtoM4kv4AAADhAQAAEwAA&#10;AAAAAAAAAAAAAAAAAAAAW0NvbnRlbnRfVHlwZXNdLnhtbFBLAQItABQABgAIAAAAIQA4/SH/1gAA&#10;AJQBAAALAAAAAAAAAAAAAAAAAC8BAABfcmVscy8ucmVsc1BLAQItABQABgAIAAAAIQD2WxBygwIA&#10;AJEFAAAOAAAAAAAAAAAAAAAAAC4CAABkcnMvZTJvRG9jLnhtbFBLAQItABQABgAIAAAAIQDRMN5J&#10;2gAAAAIBAAAPAAAAAAAAAAAAAAAAAN0EAABkcnMvZG93bnJldi54bWxQSwUGAAAAAAQABADzAAAA&#10;5AUAAAAA&#10;">
                <v:line id="Line 3" o:spid="_x0000_s1027" style="position:absolute;visibility:visible;mso-wrap-style:square" from="0,2" to="9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0sDwAAAANsAAAAPAAAAZHJzL2Rvd25yZXYueG1sRI9Ba8JA&#10;EIXvBf/DMoK3urGISHQVESLaW217H7JjNpqdDdmtif/eKRR6e8O8+d689XbwjbpTF+vABmbTDBRx&#10;GWzNlYGvz+J1CSomZItNYDLwoAjbzehljbkNPX/Q/ZwqJRCOORpwKbW51rF05DFOQ0ssu0voPCYZ&#10;u0rbDnuB+0a/ZdlCe6xZEhy2tHdU3s4/XihLt2hOh6C/3/v+uit8IfEzYybjYbcClWhI/+a/66OV&#10;9+fw20UE6M0TAAD//wMAUEsBAi0AFAAGAAgAAAAhANvh9svuAAAAhQEAABMAAAAAAAAAAAAAAAAA&#10;AAAAAFtDb250ZW50X1R5cGVzXS54bWxQSwECLQAUAAYACAAAACEAWvQsW78AAAAVAQAACwAAAAAA&#10;AAAAAAAAAAAfAQAAX3JlbHMvLnJlbHNQSwECLQAUAAYACAAAACEA0+dLA8AAAADbAAAADwAAAAAA&#10;AAAAAAAAAAAHAgAAZHJzL2Rvd25yZXYueG1sUEsFBgAAAAADAAMAtwAAAPQCAAAAAA==&#10;" strokeweight=".24pt"/>
                <w10:anchorlock/>
              </v:group>
            </w:pict>
          </mc:Fallback>
        </mc:AlternateContent>
      </w:r>
    </w:p>
    <w:p w14:paraId="73BFC224" w14:textId="77777777" w:rsidR="008323D3" w:rsidRDefault="008323D3">
      <w:pPr>
        <w:pStyle w:val="Brdtekst"/>
        <w:spacing w:before="4"/>
        <w:rPr>
          <w:sz w:val="19"/>
        </w:rPr>
      </w:pPr>
    </w:p>
    <w:p w14:paraId="1E87DD1C" w14:textId="77777777" w:rsidR="008323D3" w:rsidRDefault="00185409">
      <w:pPr>
        <w:pStyle w:val="Brdtekst"/>
        <w:spacing w:before="52"/>
        <w:ind w:left="352" w:right="1009"/>
      </w:pPr>
      <w:r>
        <w:t>kapasiteten. Hoveddelen av arbeidet må derfor gjøres i det enkelt helseforetak og private ideelle med eget opptaksområde.</w:t>
      </w:r>
    </w:p>
    <w:p w14:paraId="5D3A42BA" w14:textId="77777777" w:rsidR="008323D3" w:rsidRDefault="00185409">
      <w:pPr>
        <w:pStyle w:val="Brdtekst"/>
        <w:spacing w:before="161"/>
        <w:ind w:left="352" w:right="635"/>
      </w:pPr>
      <w:r>
        <w:t>Etter at Helse Sør-Øst RHF har gjennomgått aktivitetstall og oversikter/informasjon som nå er innrapportert fra helseforetakene i henhold til de nye definisjonene, ser RHF-et at helseforetakene i ulik grad har planer og utredninger som anses tilstrekkelige for å løse oppdragene. På den bakgrunn ser Helse Sør-Øst RHF det nødvendig å gi helseforetakene i oppdrag å utarbeide lokale planer og tiltak for å oppnå tilstrekkelig intensivkapasitet.</w:t>
      </w:r>
    </w:p>
    <w:p w14:paraId="1F1EC552" w14:textId="77777777" w:rsidR="008323D3" w:rsidRDefault="00185409">
      <w:pPr>
        <w:pStyle w:val="Brdtekst"/>
        <w:spacing w:line="292" w:lineRule="exact"/>
        <w:ind w:left="352"/>
      </w:pPr>
      <w:r>
        <w:t>Tilbakemeldingen bes inndelt i følgende områder:</w:t>
      </w:r>
    </w:p>
    <w:p w14:paraId="7A8495E7" w14:textId="77777777" w:rsidR="008323D3" w:rsidRDefault="00185409">
      <w:pPr>
        <w:pStyle w:val="Listeavsnitt"/>
        <w:numPr>
          <w:ilvl w:val="0"/>
          <w:numId w:val="1"/>
        </w:numPr>
        <w:tabs>
          <w:tab w:val="left" w:pos="1073"/>
          <w:tab w:val="left" w:pos="1074"/>
        </w:tabs>
        <w:spacing w:before="159"/>
        <w:rPr>
          <w:sz w:val="24"/>
        </w:rPr>
      </w:pPr>
      <w:r>
        <w:rPr>
          <w:sz w:val="24"/>
        </w:rPr>
        <w:t>Areal og tilgjengelighet av</w:t>
      </w:r>
      <w:r>
        <w:rPr>
          <w:spacing w:val="-3"/>
          <w:sz w:val="24"/>
        </w:rPr>
        <w:t xml:space="preserve"> </w:t>
      </w:r>
      <w:r>
        <w:rPr>
          <w:sz w:val="24"/>
        </w:rPr>
        <w:t>utstyr</w:t>
      </w:r>
    </w:p>
    <w:p w14:paraId="4B77CB2F" w14:textId="77777777" w:rsidR="008323D3" w:rsidRDefault="00185409">
      <w:pPr>
        <w:pStyle w:val="Listeavsnitt"/>
        <w:numPr>
          <w:ilvl w:val="0"/>
          <w:numId w:val="1"/>
        </w:numPr>
        <w:tabs>
          <w:tab w:val="left" w:pos="1073"/>
          <w:tab w:val="left" w:pos="1074"/>
        </w:tabs>
        <w:spacing w:before="2" w:line="305" w:lineRule="exact"/>
        <w:rPr>
          <w:sz w:val="24"/>
        </w:rPr>
      </w:pPr>
      <w:r>
        <w:rPr>
          <w:sz w:val="24"/>
        </w:rPr>
        <w:t>Organisering</w:t>
      </w:r>
    </w:p>
    <w:p w14:paraId="4DBAA51D" w14:textId="77777777" w:rsidR="008323D3" w:rsidRDefault="00185409">
      <w:pPr>
        <w:pStyle w:val="Listeavsnitt"/>
        <w:numPr>
          <w:ilvl w:val="0"/>
          <w:numId w:val="1"/>
        </w:numPr>
        <w:tabs>
          <w:tab w:val="left" w:pos="1073"/>
          <w:tab w:val="left" w:pos="1074"/>
        </w:tabs>
        <w:spacing w:line="305" w:lineRule="exact"/>
        <w:rPr>
          <w:sz w:val="24"/>
        </w:rPr>
      </w:pPr>
      <w:r>
        <w:rPr>
          <w:sz w:val="24"/>
        </w:rPr>
        <w:t>Kompetanse, utdanning og</w:t>
      </w:r>
      <w:r>
        <w:rPr>
          <w:spacing w:val="-4"/>
          <w:sz w:val="24"/>
        </w:rPr>
        <w:t xml:space="preserve"> </w:t>
      </w:r>
      <w:r>
        <w:rPr>
          <w:sz w:val="24"/>
        </w:rPr>
        <w:t>rekruttering</w:t>
      </w:r>
    </w:p>
    <w:p w14:paraId="0C5D179D" w14:textId="77777777" w:rsidR="008323D3" w:rsidRDefault="00185409">
      <w:pPr>
        <w:pStyle w:val="Listeavsnitt"/>
        <w:numPr>
          <w:ilvl w:val="0"/>
          <w:numId w:val="1"/>
        </w:numPr>
        <w:tabs>
          <w:tab w:val="left" w:pos="1073"/>
          <w:tab w:val="left" w:pos="1074"/>
        </w:tabs>
        <w:spacing w:line="305" w:lineRule="exact"/>
        <w:rPr>
          <w:sz w:val="24"/>
        </w:rPr>
      </w:pPr>
      <w:r>
        <w:rPr>
          <w:sz w:val="24"/>
        </w:rPr>
        <w:t>Ledelse</w:t>
      </w:r>
    </w:p>
    <w:p w14:paraId="6A5F9FD9" w14:textId="77777777" w:rsidR="008323D3" w:rsidRDefault="00185409">
      <w:pPr>
        <w:pStyle w:val="Brdtekst"/>
        <w:spacing w:before="161"/>
        <w:ind w:left="352" w:right="428"/>
      </w:pPr>
      <w:r>
        <w:t>Hensikten med å inndele oppdraget i ulike områder/tema er å forenkle sammenstillingen av innspillene/arbeidene fra helseforetakene, og legge til rette for at allerede påbegynt arbeid i de ulike helseforetak enkelt kan tilpasses innmeldingen.</w:t>
      </w:r>
    </w:p>
    <w:p w14:paraId="71844269" w14:textId="77777777" w:rsidR="008323D3" w:rsidRDefault="00185409">
      <w:pPr>
        <w:pStyle w:val="Brdtekst"/>
        <w:spacing w:before="160"/>
        <w:ind w:left="352" w:right="422"/>
      </w:pPr>
      <w:r>
        <w:t>Det regionale prosjektet er organisert med styringsgruppe, arbeidsgruppe og flere referansegrupper. Prosjekteier er admininstrerende direktør. Når prosjektet er gjennomført har Helse Sør-Øst RHF utarbeidet en rapport som beskriver status for intensivkapasiteten i Helse Sør-Øst med anbefalte tiltak på kort og lang sikt for å oppnå fremtidig intensivkapasitet som både takler naturlige svingninger, og samtidig er fleksibel nok til å skalere opp og takle større hendelser, som f.eks. håndtering av en langvarig pandemi.</w:t>
      </w:r>
    </w:p>
    <w:p w14:paraId="79F4BCA3" w14:textId="77777777" w:rsidR="008323D3" w:rsidRDefault="00185409">
      <w:pPr>
        <w:pStyle w:val="Brdtekst"/>
        <w:spacing w:before="161"/>
        <w:ind w:left="352" w:right="1054"/>
      </w:pPr>
      <w:r>
        <w:t>Rapporten fra Helse Sør-Øst RHF vil bli lagt til grunn når de regionale helseforetakene i samarbeid skal ta stilling til behovet for økning av intensivkapasiteten i hver region og nasjonalt. Rapportens anbefalinger fra fase 2 skal brukes i foretakenes videre arbeid med dimensjonering av intensivkapasiteten i regionen, og vil påvirke lokale utviklingsplaner.</w:t>
      </w:r>
    </w:p>
    <w:sectPr w:rsidR="008323D3">
      <w:pgSz w:w="11910" w:h="16850"/>
      <w:pgMar w:top="940" w:right="1020" w:bottom="280" w:left="780" w:header="71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69D1" w14:textId="77777777" w:rsidR="006B1C11" w:rsidRDefault="006B1C11">
      <w:r>
        <w:separator/>
      </w:r>
    </w:p>
  </w:endnote>
  <w:endnote w:type="continuationSeparator" w:id="0">
    <w:p w14:paraId="256C9B11" w14:textId="77777777" w:rsidR="006B1C11" w:rsidRDefault="006B1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7433" w14:textId="77777777" w:rsidR="00506118" w:rsidRDefault="0050611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D8A3" w14:textId="77777777" w:rsidR="00506118" w:rsidRDefault="0050611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ABC42" w14:textId="77777777" w:rsidR="00506118" w:rsidRDefault="0050611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EE0CB" w14:textId="77777777" w:rsidR="006B1C11" w:rsidRDefault="006B1C11">
      <w:r>
        <w:separator/>
      </w:r>
    </w:p>
  </w:footnote>
  <w:footnote w:type="continuationSeparator" w:id="0">
    <w:p w14:paraId="01A10D5A" w14:textId="77777777" w:rsidR="006B1C11" w:rsidRDefault="006B1C11">
      <w:r>
        <w:continuationSeparator/>
      </w:r>
    </w:p>
  </w:footnote>
  <w:footnote w:id="1">
    <w:p w14:paraId="38B29486" w14:textId="77777777" w:rsidR="00F53654" w:rsidRPr="00F53654" w:rsidRDefault="00F53654">
      <w:pPr>
        <w:pStyle w:val="Fotnotetekst"/>
        <w:rPr>
          <w:lang w:val="nb-NO"/>
        </w:rPr>
      </w:pPr>
      <w:r>
        <w:rPr>
          <w:rStyle w:val="Fotnotereferanse"/>
        </w:rPr>
        <w:footnoteRef/>
      </w:r>
      <w:r>
        <w:t xml:space="preserve"> </w:t>
      </w:r>
      <w:r w:rsidR="00DE255B">
        <w:t xml:space="preserve">OUS </w:t>
      </w:r>
      <w:r w:rsidR="00DE255B">
        <w:rPr>
          <w:lang w:val="nb-NO"/>
        </w:rPr>
        <w:t>oppdatert</w:t>
      </w:r>
      <w:r>
        <w:rPr>
          <w:lang w:val="nb-NO"/>
        </w:rPr>
        <w:t xml:space="preserve"> med nye tall 24.6.2022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A7BF" w14:textId="77777777" w:rsidR="00506118" w:rsidRDefault="0050611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1CBAC" w14:textId="77777777" w:rsidR="00506118" w:rsidRDefault="0050611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15D6" w14:textId="77777777" w:rsidR="00506118" w:rsidRDefault="00506118">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8C74" w14:textId="77777777" w:rsidR="008323D3" w:rsidRDefault="00A42CB8">
    <w:pPr>
      <w:pStyle w:val="Brdtekst"/>
      <w:spacing w:line="14" w:lineRule="auto"/>
      <w:rPr>
        <w:sz w:val="20"/>
      </w:rPr>
    </w:pPr>
    <w:r>
      <w:rPr>
        <w:noProof/>
        <w:lang w:val="nb-NO" w:eastAsia="nb-NO" w:bidi="ar-SA"/>
      </w:rPr>
      <mc:AlternateContent>
        <mc:Choice Requires="wps">
          <w:drawing>
            <wp:anchor distT="0" distB="0" distL="114300" distR="114300" simplePos="0" relativeHeight="503289272" behindDoc="1" locked="0" layoutInCell="1" allowOverlap="1" wp14:anchorId="799816DD" wp14:editId="5AB20569">
              <wp:simplePos x="0" y="0"/>
              <wp:positionH relativeFrom="page">
                <wp:posOffset>948055</wp:posOffset>
              </wp:positionH>
              <wp:positionV relativeFrom="page">
                <wp:posOffset>633730</wp:posOffset>
              </wp:positionV>
              <wp:extent cx="5894070" cy="0"/>
              <wp:effectExtent l="5080" t="5080" r="6350" b="1397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407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FD705" id="Line 10" o:spid="_x0000_s1026" style="position:absolute;z-index:-27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4.65pt,49.9pt" to="538.75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7LHwIAAEMEAAAOAAAAZHJzL2Uyb0RvYy54bWysU8GO2jAQvVfqP1i+QxI2y0JEWFUJ9EK7&#10;SLv9AGM7xKpjW7YhoKr/3rEDiG0vVVUOZpwZv3kzb2bxfOokOnLrhFYlzsYpRlxRzYTal/jb23o0&#10;w8h5ohiRWvESn7nDz8uPHxa9KfhEt1oybhGAKFf0psSt96ZIEkdb3hE31oYrcDbadsTD1e4TZkkP&#10;6J1MJmk6TXptmbGacufgaz048TLiNw2n/qVpHPdIlhi4+XjaeO7CmSwXpNhbYlpBLzTIP7DoiFCQ&#10;9AZVE0/QwYo/oDpBrXa68WOqu0Q3jaA81gDVZOlv1by2xPBYCzTHmVub3P+DpV+PW4sEA+0mGCnS&#10;gUYboTjKYm964woIqdTWhuroSb2ajabfHVK6aona88jx7WzgXRa6mbx7Ei7OQIZd/0UziCEHr2Oj&#10;To3tAiS0AJ2iHuebHvzkEYWPj7N5nj6BbPTqS0hxfWis85+57lAwSiyBdAQmx43zgQgpriEhj9Jr&#10;IWWUWyrUl/ghzWfxgdNSsOAMYc7ud5W06EjCwMRfrAo892EBuSauHeKiaxglqw+KxSwtJ2x1sT0R&#10;crCBlVQhEdQIPC/WMCo/5ul8NVvN8lE+ma5GeVrXo0/rKh9N19nTY/1QV1Wd/Qycs7xoBWNcBdrX&#10;sc3yvxuLywINA3cb3Ft/kvfosZFA9vofSUeRg65hz1yx0+y8tVfxYVJj8GWrwirc38G+3/3lLwAA&#10;AP//AwBQSwMEFAAGAAgAAAAhACN9qzreAAAACgEAAA8AAABkcnMvZG93bnJldi54bWxMj81OwzAQ&#10;hO9IvIO1SNyoTfgJCXEqQKIS5QIFCY52vDgR8TrEThveHlcc4Dizn2ZnquXserbFMXSeJJwuBDCk&#10;xpuOrITXl/uTK2AhKjKq94QSvjHAsj48qFRp/I6ecbuJlqUQCqWS0MY4lJyHpkWnwsIPSOn24Uen&#10;YpKj5WZUuxTuep4Jccmd6ih9aNWAdy02n5vJSVi/2+zr9jFfGa3F22QfVnp6yqQ8PppvroFFnOMf&#10;DPv6qTrUqZP2E5nA+qTPi7OESiiKNGEPiDy/AKZ/HV5X/P+E+gcAAP//AwBQSwECLQAUAAYACAAA&#10;ACEAtoM4kv4AAADhAQAAEwAAAAAAAAAAAAAAAAAAAAAAW0NvbnRlbnRfVHlwZXNdLnhtbFBLAQIt&#10;ABQABgAIAAAAIQA4/SH/1gAAAJQBAAALAAAAAAAAAAAAAAAAAC8BAABfcmVscy8ucmVsc1BLAQIt&#10;ABQABgAIAAAAIQCGrB7LHwIAAEMEAAAOAAAAAAAAAAAAAAAAAC4CAABkcnMvZTJvRG9jLnhtbFBL&#10;AQItABQABgAIAAAAIQAjfas63gAAAAoBAAAPAAAAAAAAAAAAAAAAAHkEAABkcnMvZG93bnJldi54&#10;bWxQSwUGAAAAAAQABADzAAAAhAUAAAAA&#10;" strokeweight=".24pt">
              <w10:wrap anchorx="page" anchory="page"/>
            </v:line>
          </w:pict>
        </mc:Fallback>
      </mc:AlternateContent>
    </w:r>
    <w:r>
      <w:rPr>
        <w:noProof/>
        <w:lang w:val="nb-NO" w:eastAsia="nb-NO" w:bidi="ar-SA"/>
      </w:rPr>
      <mc:AlternateContent>
        <mc:Choice Requires="wps">
          <w:drawing>
            <wp:anchor distT="0" distB="0" distL="114300" distR="114300" simplePos="0" relativeHeight="503289296" behindDoc="1" locked="0" layoutInCell="1" allowOverlap="1" wp14:anchorId="7A8660FC" wp14:editId="1043AD91">
              <wp:simplePos x="0" y="0"/>
              <wp:positionH relativeFrom="page">
                <wp:posOffset>875665</wp:posOffset>
              </wp:positionH>
              <wp:positionV relativeFrom="page">
                <wp:posOffset>438150</wp:posOffset>
              </wp:positionV>
              <wp:extent cx="116840" cy="18351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1D7D4" w14:textId="77777777" w:rsidR="008323D3" w:rsidRDefault="00185409">
                          <w:pPr>
                            <w:spacing w:before="20"/>
                            <w:ind w:left="40"/>
                            <w:rPr>
                              <w:rFonts w:ascii="Garamond"/>
                            </w:rPr>
                          </w:pPr>
                          <w:r>
                            <w:fldChar w:fldCharType="begin"/>
                          </w:r>
                          <w:r>
                            <w:rPr>
                              <w:rFonts w:ascii="Garamond"/>
                            </w:rPr>
                            <w:instrText xml:space="preserve"> PAGE </w:instrText>
                          </w:r>
                          <w:r>
                            <w:fldChar w:fldCharType="separate"/>
                          </w:r>
                          <w:r w:rsidR="00DE255B">
                            <w:rPr>
                              <w:rFonts w:ascii="Garamond"/>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68.95pt;margin-top:34.5pt;width:9.2pt;height:14.45pt;z-index:-2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8TQqwIAAKk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F2IkSAt9OiRDgbdyQEltjx9p1PweujAzwywDa6Oqu7uZflVIyFXDRFbequU7BtKKkgvtDf9k6sj&#10;jrYgm/6DrCAM2RnpgIZatbZ2UA0E6NCmp2NrbCqlDRku4ghOSjgK48t5OHcRSDpd7pQ276hskTUy&#10;rKDzDpzs77WxyZB0crGxhCwY5677XJxtgOO4A6Hhqj2zSbhm/kiCZB2v48iLZou1FwV57t0Wq8hb&#10;FOHVPL/MV6s8/GnjhlHasKqiwoaZhBVGf9a4g8RHSRylpSVnlYWzKWm13ay4QnsCwi7cdyjIiZt/&#10;noYrAnB5QSmcRcHdLPGKRXzlRUU095KrIPaCMLlLFkGURHlxTumeCfrvlFCf4WQ+m49a+i23wH2v&#10;uZG0ZQZGB2dthuOjE0mtAteicq01hPHRPimFTf+5FNDuqdFOr1aio1jNsBkAxYp4I6snUK6SoCwQ&#10;Icw7MBqpvmPUw+zIsP62I4pixN8LUL8dNJOhJmMzGUSUcDXDBqPRXJlxIO06xbYNII/vS8hbeCE1&#10;c+p9zuLwrmAeOBKH2WUHzum/83qesMtfAAAA//8DAFBLAwQUAAYACAAAACEAKOZqUd0AAAAJAQAA&#10;DwAAAGRycy9kb3ducmV2LnhtbEyPwU7DMBBE70j8g7VI3KgDFYGEOFVVwQkJkYYDRyfeJlbjdRq7&#10;bfh7tic4jmY086ZYzW4QJ5yC9aTgfpGAQGq9sdQp+Krf7p5BhKjJ6METKvjBAKvy+qrQufFnqvC0&#10;jZ3gEgq5VtDHOOZShrZHp8PCj0js7fzkdGQ5ddJM+szlbpAPSZJKpy3xQq9H3PTY7rdHp2D9TdWr&#10;PXw0n9WusnWdJfSe7pW6vZnXLyAizvEvDBd8RoeSmRp/JBPEwHr5lHFUQZrxp0vgMV2CaBRkbMiy&#10;kP8flL8AAAD//wMAUEsBAi0AFAAGAAgAAAAhALaDOJL+AAAA4QEAABMAAAAAAAAAAAAAAAAAAAAA&#10;AFtDb250ZW50X1R5cGVzXS54bWxQSwECLQAUAAYACAAAACEAOP0h/9YAAACUAQAACwAAAAAAAAAA&#10;AAAAAAAvAQAAX3JlbHMvLnJlbHNQSwECLQAUAAYACAAAACEATlfE0KsCAACpBQAADgAAAAAAAAAA&#10;AAAAAAAuAgAAZHJzL2Uyb0RvYy54bWxQSwECLQAUAAYACAAAACEAKOZqUd0AAAAJAQAADwAAAAAA&#10;AAAAAAAAAAAFBQAAZHJzL2Rvd25yZXYueG1sUEsFBgAAAAAEAAQA8wAAAA8GAAAAAA==&#10;" filled="f" stroked="f">
              <v:textbox inset="0,0,0,0">
                <w:txbxContent>
                  <w:p w:rsidR="008323D3" w:rsidRDefault="00185409">
                    <w:pPr>
                      <w:spacing w:before="20"/>
                      <w:ind w:left="40"/>
                      <w:rPr>
                        <w:rFonts w:ascii="Garamond"/>
                      </w:rPr>
                    </w:pPr>
                    <w:r>
                      <w:fldChar w:fldCharType="begin"/>
                    </w:r>
                    <w:r>
                      <w:rPr>
                        <w:rFonts w:ascii="Garamond"/>
                      </w:rPr>
                      <w:instrText xml:space="preserve"> PAGE </w:instrText>
                    </w:r>
                    <w:r>
                      <w:fldChar w:fldCharType="separate"/>
                    </w:r>
                    <w:r w:rsidR="00DE255B">
                      <w:rPr>
                        <w:rFonts w:ascii="Garamond"/>
                        <w:noProof/>
                      </w:rPr>
                      <w:t>8</w:t>
                    </w:r>
                    <w:r>
                      <w:fldChar w:fldCharType="end"/>
                    </w:r>
                  </w:p>
                </w:txbxContent>
              </v:textbox>
              <w10:wrap anchorx="page" anchory="page"/>
            </v:shape>
          </w:pict>
        </mc:Fallback>
      </mc:AlternateContent>
    </w:r>
    <w:r>
      <w:rPr>
        <w:noProof/>
        <w:lang w:val="nb-NO" w:eastAsia="nb-NO" w:bidi="ar-SA"/>
      </w:rPr>
      <mc:AlternateContent>
        <mc:Choice Requires="wps">
          <w:drawing>
            <wp:anchor distT="0" distB="0" distL="114300" distR="114300" simplePos="0" relativeHeight="503289320" behindDoc="1" locked="0" layoutInCell="1" allowOverlap="1" wp14:anchorId="0F665DA2" wp14:editId="6522CE0A">
              <wp:simplePos x="0" y="0"/>
              <wp:positionH relativeFrom="page">
                <wp:posOffset>4243070</wp:posOffset>
              </wp:positionH>
              <wp:positionV relativeFrom="page">
                <wp:posOffset>438150</wp:posOffset>
              </wp:positionV>
              <wp:extent cx="2595245" cy="183515"/>
              <wp:effectExtent l="4445" t="0" r="635"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A1A81" w14:textId="77777777" w:rsidR="008323D3" w:rsidRDefault="00185409">
                          <w:pPr>
                            <w:spacing w:before="20"/>
                            <w:ind w:left="20"/>
                            <w:rPr>
                              <w:rFonts w:ascii="Garamond" w:hAnsi="Garamond"/>
                              <w:i/>
                            </w:rPr>
                          </w:pPr>
                          <w:r>
                            <w:rPr>
                              <w:rFonts w:ascii="Garamond" w:hAnsi="Garamond"/>
                              <w:i/>
                            </w:rPr>
                            <w:t>Intensivkapasitet – delrapport fra Helse Sør-Øst RHF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334.1pt;margin-top:34.5pt;width:204.35pt;height:14.4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L1rwIAALEFAAAOAAAAZHJzL2Uyb0RvYy54bWysVG1vmzAQ/j5p/8Hyd8pLIQVUUrUhTJO6&#10;F6ndD3DABGtgM9sJdNP++84mpEmrSdM2PliHfX7uubvHd30zdi3aU6mY4Bn2LzyMKC9Fxfg2w18e&#10;CyfGSGnCK9IKTjP8RBW+Wb59cz30KQ1EI9qKSgQgXKVDn+FG6z51XVU2tCPqQvSUw2EtZEc0/Mqt&#10;W0kyAHrXuoHnLdxByKqXoqRKwW4+HeKlxa9rWupPda2oRm2GgZu2q7Trxqzu8pqkW0n6hpUHGuQv&#10;WHSEcQh6hMqJJmgn2SuojpVSKFHri1J0rqhrVlKbA2Tjey+yeWhIT20uUBzVH8uk/h9s+XH/WSJW&#10;Qe+gPJx00KNHOmp0J0YUm/IMvUrB66EHPz3CNrjaVFV/L8qvCnGxagjf0lspxdBQUgE939x0T65O&#10;OMqAbIYPooIwZKeFBRpr2ZnaQTUQoAOPp2NrDJUSNoMoiYIwwqiEMz++jPzIhiDpfLuXSr+jokPG&#10;yLCE1lt0sr9X2rAh6exignFRsLa17W/52QY4TjsQG66aM8PCdvNH4iXreB2HThgs1k7o5blzW6xC&#10;Z1H4V1F+ma9Wuf/TxPXDtGFVRbkJMyvLD/+scweNT5o4akuJllUGzlBScrtZtRLtCSi7sN+hICdu&#10;7jkNWwTI5UVKfhB6d0HiFIv4ygmLMHKSKy92PD+5SxZemIR5cZ7SPeP031NCQ4ahqdEkpt/m5tnv&#10;dW4k7ZiG2dGyLsPx0YmkRoJrXtnWasLayT4phaH/XApo99xoK1ij0UmtetyM09Mw0Y2YN6J6AgVL&#10;AQIDmcLcA6MR8jtGA8yQDKtvOyIpRu17Dq/ADJzZkLOxmQ3CS7iaYY3RZK70NJh2vWTbBpCnd8bF&#10;LbyUmlkRP7M4vC+YCzaXwwwzg+f033o9T9rlLwAAAP//AwBQSwMEFAAGAAgAAAAhAJZ8QQ3eAAAA&#10;CgEAAA8AAABkcnMvZG93bnJldi54bWxMj7FOwzAQhnekvoN1ldioTQe3DnGqCsGEhEjDwOjE1yRq&#10;fA6x24a3x51gu9N9+u/7893sBnbBKfSeNDyuBDCkxtueWg2f1evDFliIhqwZPKGGHwywKxZ3ucms&#10;v1KJl0NsWQqhkBkNXYxjxnloOnQmrPyIlG5HPzkT0zq13E7mmsLdwNdCSO5MT+lDZ0Z87rA5Hc5O&#10;w/6Lypf++73+KI9lX1VK0Js8aX2/nPdPwCLO8Q+Gm35ShyI51f5MNrBBg5TbdULToFKnGyA2UgGr&#10;NaiNAl7k/H+F4hcAAP//AwBQSwECLQAUAAYACAAAACEAtoM4kv4AAADhAQAAEwAAAAAAAAAAAAAA&#10;AAAAAAAAW0NvbnRlbnRfVHlwZXNdLnhtbFBLAQItABQABgAIAAAAIQA4/SH/1gAAAJQBAAALAAAA&#10;AAAAAAAAAAAAAC8BAABfcmVscy8ucmVsc1BLAQItABQABgAIAAAAIQBKp7L1rwIAALEFAAAOAAAA&#10;AAAAAAAAAAAAAC4CAABkcnMvZTJvRG9jLnhtbFBLAQItABQABgAIAAAAIQCWfEEN3gAAAAoBAAAP&#10;AAAAAAAAAAAAAAAAAAkFAABkcnMvZG93bnJldi54bWxQSwUGAAAAAAQABADzAAAAFAYAAAAA&#10;" filled="f" stroked="f">
              <v:textbox inset="0,0,0,0">
                <w:txbxContent>
                  <w:p w:rsidR="008323D3" w:rsidRDefault="00185409">
                    <w:pPr>
                      <w:spacing w:before="20"/>
                      <w:ind w:left="20"/>
                      <w:rPr>
                        <w:rFonts w:ascii="Garamond" w:hAnsi="Garamond"/>
                        <w:i/>
                      </w:rPr>
                    </w:pPr>
                    <w:r>
                      <w:rPr>
                        <w:rFonts w:ascii="Garamond" w:hAnsi="Garamond"/>
                        <w:i/>
                      </w:rPr>
                      <w:t>Intensivkapasitet – delrapport fra Helse Sør-Øst RHF</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A9211" w14:textId="77777777" w:rsidR="008323D3" w:rsidRDefault="00A42CB8">
    <w:pPr>
      <w:pStyle w:val="Brdtekst"/>
      <w:spacing w:line="14" w:lineRule="auto"/>
      <w:rPr>
        <w:sz w:val="20"/>
      </w:rPr>
    </w:pPr>
    <w:r>
      <w:rPr>
        <w:noProof/>
        <w:lang w:val="nb-NO" w:eastAsia="nb-NO" w:bidi="ar-SA"/>
      </w:rPr>
      <mc:AlternateContent>
        <mc:Choice Requires="wps">
          <w:drawing>
            <wp:anchor distT="0" distB="0" distL="114300" distR="114300" simplePos="0" relativeHeight="503289344" behindDoc="1" locked="0" layoutInCell="1" allowOverlap="1" wp14:anchorId="03474CB3" wp14:editId="61561431">
              <wp:simplePos x="0" y="0"/>
              <wp:positionH relativeFrom="page">
                <wp:posOffset>701040</wp:posOffset>
              </wp:positionH>
              <wp:positionV relativeFrom="page">
                <wp:posOffset>633730</wp:posOffset>
              </wp:positionV>
              <wp:extent cx="5913120" cy="0"/>
              <wp:effectExtent l="5715" t="5080" r="5715" b="1397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312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4518B" id="Line 7" o:spid="_x0000_s1026" style="position:absolute;z-index:-2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49.9pt" to="520.8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LbHQIAAEE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FRop0&#10;MKJnoTh6DJ3pjSsgoFJbG2qjJ/VqnjX97pDSVUvUnkeGb2cDaVnISN6lhI0zgL/rv2gGMeTgdWzT&#10;qbFdgIQGoFOcxvk2DX7yiMLhwyKbZhMYGr36ElJcE411/jPXHQpGiSVwjsDk+Ox8IEKKa0i4R+mN&#10;kDIOWyrUl3ia5vOY4LQULDhDmLP7XSUtOpIgl/jFqsBzHxaQa+LaIS66BiFZfVAs3tJywtYX2xMh&#10;BxtYSRUughqB58UahPJjkS7W8/U8H+WT2XqUp3U9+rSp8tFskz0+1NO6qursZ+Cc5UUrGOMq0L6K&#10;Nsv/ThSX5zPI7SbbW3+S9+ixkUD2+o+k45DDXAeF7DQ7b+11+KDTGHx5U+Eh3O/Bvn/5q18AAAD/&#10;/wMAUEsDBBQABgAIAAAAIQCdiwDV3gAAAAoBAAAPAAAAZHJzL2Rvd25yZXYueG1sTI/BTsMwEETv&#10;SPyDtUjcqJ2oKjTEqQCJSsCllErlaMeLExHbIXba8PdsxQGOM/s0O1OuJtexAw6xDV5CNhPA0NfB&#10;tN5K2L09Xt0Ai0l5o7rgUcI3RlhV52elKkw4+lc8bJNlFOJjoSQ0KfUF57Fu0Kk4Cz16un2EwalE&#10;crDcDOpI4a7juRAL7lTr6UOjenxosP7cjk7C87vNv+5frtdGa7Ef7dNaj5tcysuL6e4WWMIp/cFw&#10;qk/VoaJOOozeRNaRzsScUAnLJU04AWKeLYDpX4dXJf8/ofoBAAD//wMAUEsBAi0AFAAGAAgAAAAh&#10;ALaDOJL+AAAA4QEAABMAAAAAAAAAAAAAAAAAAAAAAFtDb250ZW50X1R5cGVzXS54bWxQSwECLQAU&#10;AAYACAAAACEAOP0h/9YAAACUAQAACwAAAAAAAAAAAAAAAAAvAQAAX3JlbHMvLnJlbHNQSwECLQAU&#10;AAYACAAAACEAmxYy2x0CAABBBAAADgAAAAAAAAAAAAAAAAAuAgAAZHJzL2Uyb0RvYy54bWxQSwEC&#10;LQAUAAYACAAAACEAnYsA1d4AAAAKAQAADwAAAAAAAAAAAAAAAAB3BAAAZHJzL2Rvd25yZXYueG1s&#10;UEsFBgAAAAAEAAQA8wAAAIIFAAAAAA==&#10;" strokeweight=".24pt">
              <w10:wrap anchorx="page" anchory="page"/>
            </v:line>
          </w:pict>
        </mc:Fallback>
      </mc:AlternateContent>
    </w:r>
    <w:r>
      <w:rPr>
        <w:noProof/>
        <w:lang w:val="nb-NO" w:eastAsia="nb-NO" w:bidi="ar-SA"/>
      </w:rPr>
      <mc:AlternateContent>
        <mc:Choice Requires="wps">
          <w:drawing>
            <wp:anchor distT="0" distB="0" distL="114300" distR="114300" simplePos="0" relativeHeight="503289368" behindDoc="1" locked="0" layoutInCell="1" allowOverlap="1" wp14:anchorId="3E51793D" wp14:editId="56A4F70B">
              <wp:simplePos x="0" y="0"/>
              <wp:positionH relativeFrom="page">
                <wp:posOffset>706755</wp:posOffset>
              </wp:positionH>
              <wp:positionV relativeFrom="page">
                <wp:posOffset>438150</wp:posOffset>
              </wp:positionV>
              <wp:extent cx="2595245" cy="183515"/>
              <wp:effectExtent l="1905" t="0" r="3175"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EF25" w14:textId="77777777" w:rsidR="008323D3" w:rsidRDefault="00185409">
                          <w:pPr>
                            <w:spacing w:before="20"/>
                            <w:ind w:left="20"/>
                            <w:rPr>
                              <w:rFonts w:ascii="Garamond" w:hAnsi="Garamond"/>
                              <w:i/>
                            </w:rPr>
                          </w:pPr>
                          <w:r>
                            <w:rPr>
                              <w:rFonts w:ascii="Garamond" w:hAnsi="Garamond"/>
                              <w:i/>
                            </w:rPr>
                            <w:t>Intensivkapasitet – delrapport fra Helse Sør-Øst RHF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55.65pt;margin-top:34.5pt;width:204.35pt;height:14.45pt;z-index:-27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B70rwIAALAFAAAOAAAAZHJzL2Uyb0RvYy54bWysVO1umzAU/T9p72D5P+WjkAZUUiUhTJO6&#10;D6ndAzhggjWwme0EumnvvmsT0qTVpGkbP6yLfX3uxzm+t3dD26ADlYoJnmL/ysOI8kKUjO9S/OUx&#10;d+YYKU14SRrBaYqfqMJ3i7dvbvsuoYGoRVNSiQCEq6TvUlxr3SWuq4qatkRdiY5yOKyEbImGX7lz&#10;S0l6QG8bN/C8mdsLWXZSFFQp2M3GQ7yw+FVFC/2pqhTVqEkx5KbtKu26Nau7uCXJTpKuZsUxDfIX&#10;WbSEcQh6gsqIJmgv2SuolhVSKFHpq0K0rqgqVlBbA1Tjey+qeahJR20t0BzVndqk/h9s8fHwWSJW&#10;phiI4qQFih7poNFKDGhmutN3KgGnhw7c9ADbwLKtVHX3oviqEBfrmvAdXUop+pqSErLzzU337OqI&#10;owzItv8gSghD9lpYoKGSrWkdNAMBOrD0dGLGpFLAZhDFURBGGBVw5s+vIz+yIUgy3e6k0u+oaJEx&#10;UiyBeYtODvdKm2xIMrmYYFzkrGks+w2/2ADHcQdiw1VzZrKwZP6IvXgz38xDJwxmGyf0ssxZ5uvQ&#10;meX+TZRdZ+t15v80cf0wqVlZUm7CTMLywz8j7ijxURInaSnRsNLAmZSU3G3XjUQHAsLO7XdsyJmb&#10;e5mGbQLU8qIkPwi9VRA7+Wx+44R5GDnxjTd3PD9exTMvjMMsvyzpnnH67yWhPsVAajSK6be1efZ7&#10;XRtJWqZhdDSsBe2enEhiJLjhpaVWE9aM9lkrTPrPrQC6J6KtYI1GR7XqYTvYlxGY6EbMW1E+gYKl&#10;AIGBTGHsgVEL+R2jHkZIitW3PZEUo+Y9h1dg5s1kyMnYTgbhBVxNscZoNNd6nEv7TrJdDcjjO+Ni&#10;CS+lYlbEz1kc3xeMBVvLcYSZuXP+b72eB+3iFwAAAP//AwBQSwMEFAAGAAgAAAAhAKE/wrrdAAAA&#10;CQEAAA8AAABkcnMvZG93bnJldi54bWxMj8FOwzAQRO9I/IO1SNyoExCBhDhVheCEhEjDgaMTbxOr&#10;8TrEbhv+nuVEj6MZzbwp14sbxRHnYD0pSFcJCKTOG0u9gs/m9eYRRIiajB49oYIfDLCuLi9KXRh/&#10;ohqP29gLLqFQaAVDjFMhZegGdDqs/ITE3s7PTkeWcy/NrE9c7kZ5mySZdNoSLwx6wucBu/324BRs&#10;vqh+sd/v7Ue9q23T5Am9ZXulrq+WzROIiEv8D8MfPqNDxUytP5AJYmSdpnccVZDl/IkD97wHolWQ&#10;P+Qgq1KeP6h+AQAA//8DAFBLAQItABQABgAIAAAAIQC2gziS/gAAAOEBAAATAAAAAAAAAAAAAAAA&#10;AAAAAABbQ29udGVudF9UeXBlc10ueG1sUEsBAi0AFAAGAAgAAAAhADj9If/WAAAAlAEAAAsAAAAA&#10;AAAAAAAAAAAALwEAAF9yZWxzLy5yZWxzUEsBAi0AFAAGAAgAAAAhAMKUHvSvAgAAsAUAAA4AAAAA&#10;AAAAAAAAAAAALgIAAGRycy9lMm9Eb2MueG1sUEsBAi0AFAAGAAgAAAAhAKE/wrrdAAAACQEAAA8A&#10;AAAAAAAAAAAAAAAACQUAAGRycy9kb3ducmV2LnhtbFBLBQYAAAAABAAEAPMAAAATBgAAAAA=&#10;" filled="f" stroked="f">
              <v:textbox inset="0,0,0,0">
                <w:txbxContent>
                  <w:p w:rsidR="008323D3" w:rsidRDefault="00185409">
                    <w:pPr>
                      <w:spacing w:before="20"/>
                      <w:ind w:left="20"/>
                      <w:rPr>
                        <w:rFonts w:ascii="Garamond" w:hAnsi="Garamond"/>
                        <w:i/>
                      </w:rPr>
                    </w:pPr>
                    <w:r>
                      <w:rPr>
                        <w:rFonts w:ascii="Garamond" w:hAnsi="Garamond"/>
                        <w:i/>
                      </w:rPr>
                      <w:t>Intensivkapasitet – delrapport fra Helse Sør-Øst RHF</w:t>
                    </w:r>
                  </w:p>
                </w:txbxContent>
              </v:textbox>
              <w10:wrap anchorx="page" anchory="page"/>
            </v:shape>
          </w:pict>
        </mc:Fallback>
      </mc:AlternateContent>
    </w:r>
    <w:r>
      <w:rPr>
        <w:noProof/>
        <w:lang w:val="nb-NO" w:eastAsia="nb-NO" w:bidi="ar-SA"/>
      </w:rPr>
      <mc:AlternateContent>
        <mc:Choice Requires="wps">
          <w:drawing>
            <wp:anchor distT="0" distB="0" distL="114300" distR="114300" simplePos="0" relativeHeight="503289392" behindDoc="1" locked="0" layoutInCell="1" allowOverlap="1" wp14:anchorId="11A651B1" wp14:editId="3498ADF8">
              <wp:simplePos x="0" y="0"/>
              <wp:positionH relativeFrom="page">
                <wp:posOffset>6570345</wp:posOffset>
              </wp:positionH>
              <wp:positionV relativeFrom="page">
                <wp:posOffset>438150</wp:posOffset>
              </wp:positionV>
              <wp:extent cx="116840" cy="18351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0968B" w14:textId="77777777" w:rsidR="008323D3" w:rsidRDefault="00185409">
                          <w:pPr>
                            <w:spacing w:before="20"/>
                            <w:ind w:left="40"/>
                            <w:rPr>
                              <w:rFonts w:ascii="Garamond"/>
                            </w:rPr>
                          </w:pPr>
                          <w:r>
                            <w:fldChar w:fldCharType="begin"/>
                          </w:r>
                          <w:r>
                            <w:rPr>
                              <w:rFonts w:ascii="Garamond"/>
                            </w:rPr>
                            <w:instrText xml:space="preserve"> PAGE </w:instrText>
                          </w:r>
                          <w:r>
                            <w:fldChar w:fldCharType="separate"/>
                          </w:r>
                          <w:r w:rsidR="00DE255B">
                            <w:rPr>
                              <w:rFonts w:ascii="Garamond"/>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517.35pt;margin-top:34.5pt;width:9.2pt;height:14.45pt;z-index:-2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FnWsQIAAK8FAAAOAAAAZHJzL2Uyb0RvYy54bWysVNuOmzAQfa/Uf7D8zgJZkgBastoNoaq0&#10;vUi7/QAHTLBqbGo7ge2q/96xCcleXqq2PFiDZ3zmdmauroeWowNVmkmR4fAiwIiKUlZM7DL87aHw&#10;Yoy0IaIiXAqa4Ueq8fXq/burvkvpTDaSV1QhABE67bsMN8Z0qe/rsqEt0ReyowKUtVQtMfCrdn6l&#10;SA/oLfdnQbDwe6mqTsmSag23+ajEK4df17Q0X+paU4N4hiE2407lzq09/dUVSXeKdA0rj2GQv4ii&#10;JUyA0xNUTgxBe8XeQLWsVFLL2lyUsvVlXbOSuhwgmzB4lc19QzrqcoHi6O5UJv3/YMvPh68KsSrD&#10;S4wEaaFFD3Qw6FYOaG6r03c6BaP7DszMANfQZZep7u5k+V0jIdcNETt6o5TsG0oqiC60L/1nT0cc&#10;bUG2/SdZgRuyN9IBDbVqbemgGAjQoUuPp87YUErrMlzEEWhKUIXx5Tx0sfkknR53SpsPVLbIChlW&#10;0HgHTg532thgSDqZWF9CFoxz13wuXlyA4XgDruGp1dkgXC+fkiDZxJs48qLZYuNFQZ57N8U68hZF&#10;uJznl/l6nYe/rN8wShtWVVRYNxOvwujP+nZk+MiIE7O05KyycDYkrXbbNVfoQIDXhftcyUFzNvNf&#10;huGKALm8SimcRcHtLPGKRbz0oiKae8kyiL0gTG6TRRAlUV68TOmOCfrvKaE+w8l8Nh+5dA76VW6B&#10;+97mRtKWGdgcnLUZjk9GJLUM3IjKtdYQxkf5WSls+OdSQLunRju+WoqOZDXDdnCDcTmNwVZWj0Bg&#10;JYFgwEXYeiA0Uv3EqIcNkmH9Y08UxYh/FDAEdt1MgpqE7SQQUcLTDBuMRnFtxrW07xTbNYA8jpmQ&#10;NzAoNXMkthM1RnEcL9gKLpfjBrNr5/m/szrv2dVvAAAA//8DAFBLAwQUAAYACAAAACEAdysLP+AA&#10;AAALAQAADwAAAGRycy9kb3ducmV2LnhtbEyPwU7DMBBE70j8g7VI3KhdCmmTxqkqBCckRBoOHJ14&#10;m1iN1yF22/D3uKdyHO3T7Jt8M9menXD0xpGE+UwAQ2qcNtRK+KreHlbAfFCkVe8IJfyih01xe5Or&#10;TLszlXjahZbFEvKZktCFMGSc+6ZDq/zMDUjxtnejVSHGseV6VOdYbnv+KETCrTIUP3RqwJcOm8Pu&#10;aCVsv6l8NT8f9We5L01VpYLek4OU93fTdg0s4BSuMFz0ozoU0al2R9Ke9TGLxdMyshKSNI66EOJ5&#10;MQdWS0iXKfAi5/83FH8AAAD//wMAUEsBAi0AFAAGAAgAAAAhALaDOJL+AAAA4QEAABMAAAAAAAAA&#10;AAAAAAAAAAAAAFtDb250ZW50X1R5cGVzXS54bWxQSwECLQAUAAYACAAAACEAOP0h/9YAAACUAQAA&#10;CwAAAAAAAAAAAAAAAAAvAQAAX3JlbHMvLnJlbHNQSwECLQAUAAYACAAAACEAfGhZ1rECAACvBQAA&#10;DgAAAAAAAAAAAAAAAAAuAgAAZHJzL2Uyb0RvYy54bWxQSwECLQAUAAYACAAAACEAdysLP+AAAAAL&#10;AQAADwAAAAAAAAAAAAAAAAALBQAAZHJzL2Rvd25yZXYueG1sUEsFBgAAAAAEAAQA8wAAABgGAAAA&#10;AA==&#10;" filled="f" stroked="f">
              <v:textbox inset="0,0,0,0">
                <w:txbxContent>
                  <w:p w:rsidR="008323D3" w:rsidRDefault="00185409">
                    <w:pPr>
                      <w:spacing w:before="20"/>
                      <w:ind w:left="40"/>
                      <w:rPr>
                        <w:rFonts w:ascii="Garamond"/>
                      </w:rPr>
                    </w:pPr>
                    <w:r>
                      <w:fldChar w:fldCharType="begin"/>
                    </w:r>
                    <w:r>
                      <w:rPr>
                        <w:rFonts w:ascii="Garamond"/>
                      </w:rPr>
                      <w:instrText xml:space="preserve"> PAGE </w:instrText>
                    </w:r>
                    <w:r>
                      <w:fldChar w:fldCharType="separate"/>
                    </w:r>
                    <w:r w:rsidR="00DE255B">
                      <w:rPr>
                        <w:rFonts w:ascii="Garamond"/>
                        <w:noProof/>
                      </w:rPr>
                      <w:t>7</w:t>
                    </w:r>
                    <w: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48CFD" w14:textId="77777777" w:rsidR="008323D3" w:rsidRDefault="00A42CB8">
    <w:pPr>
      <w:pStyle w:val="Brdtekst"/>
      <w:spacing w:line="14" w:lineRule="auto"/>
      <w:rPr>
        <w:sz w:val="20"/>
      </w:rPr>
    </w:pPr>
    <w:r>
      <w:rPr>
        <w:noProof/>
        <w:lang w:val="nb-NO" w:eastAsia="nb-NO" w:bidi="ar-SA"/>
      </w:rPr>
      <mc:AlternateContent>
        <mc:Choice Requires="wps">
          <w:drawing>
            <wp:anchor distT="0" distB="0" distL="114300" distR="114300" simplePos="0" relativeHeight="503289416" behindDoc="1" locked="0" layoutInCell="1" allowOverlap="1" wp14:anchorId="6056E58C" wp14:editId="00B11FA1">
              <wp:simplePos x="0" y="0"/>
              <wp:positionH relativeFrom="page">
                <wp:posOffset>888365</wp:posOffset>
              </wp:positionH>
              <wp:positionV relativeFrom="page">
                <wp:posOffset>438150</wp:posOffset>
              </wp:positionV>
              <wp:extent cx="156845" cy="183515"/>
              <wp:effectExtent l="2540" t="0" r="254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500BF" w14:textId="77777777" w:rsidR="008323D3" w:rsidRDefault="00185409">
                          <w:pPr>
                            <w:spacing w:before="20"/>
                            <w:ind w:left="20"/>
                            <w:rPr>
                              <w:rFonts w:ascii="Garamond"/>
                            </w:rPr>
                          </w:pPr>
                          <w:r>
                            <w:rPr>
                              <w:rFonts w:ascii="Garamond"/>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69.95pt;margin-top:34.5pt;width:12.35pt;height:14.45pt;z-index:-27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qXcrQIAAK8FAAAOAAAAZHJzL2Uyb0RvYy54bWysVG1vmzAQ/j5p/8HydwqkQAGVVG0I06Tu&#10;RWr3AxwwwRrYzHYC3bT/vrMJadJq0rSND9Zh3z339txd34xdi/ZUKiZ4hv0LDyPKS1Exvs3wl8fC&#10;iTFSmvCKtILTDD9RhW+Wb99cD31KF6IRbUUlAhCu0qHPcKN1n7quKhvaEXUhesrhsRayIxp+5dat&#10;JBkAvWvdhedF7iBk1UtRUqXgNp8e8dLi1zUt9ae6VlSjNsMQm7antOfGnO7ymqRbSfqGlYcwyF9E&#10;0RHGwekRKieaoJ1kr6A6VkqhRK0vStG5oq5ZSW0OkI3vvcjmoSE9tblAcVR/LJP6f7Dlx/1niViV&#10;4QgjTjpo0SMdNboTIwpMdYZepaD00IOaHuEaumwzVf29KL8qxMWqIXxLb6UUQ0NJBdH5xtI9MZ1w&#10;lAHZDB9EBW7ITgsLNNayM6WDYiBAhy49HTtjQimNyzCKgxCjEp78+DL0Q+uBpLNxL5V+R0WHjJBh&#10;CY234GR/r7QJhqSzivHFRcHa1ja/5WcXoDjdgGswNW8mCNvLH4mXrON1HDjBIlo7gZfnzm2xCpyo&#10;8K/C/DJfrXL/p/HrB2nDqopy42bmlR/8Wd8ODJ8YcWSWEi2rDJwJScntZtVKtCfA68J+h4KcqLnn&#10;YdgiQC4vUvIXgXe3SJwiiq+coAhCJ7nyYsfzk7sk8oIkyIvzlO4Zp/+eEhoynISLcOLSb3Pz7Pc6&#10;N5J2TMPmaFmX4fioRFLDwDWvbGs1Ye0kn5TChP9cCmj33GjLV0PRiax63Ix2MI5jsBHVExBYCiAY&#10;sBS2HgiNkN8xGmCDZFh92xFJMWrfcxgCs25mQc7CZhYIL8E0wxqjSVzpaS3tesm2DSBPY8bFLQxK&#10;zSyJzURNURzGC7aCzeWwwczaOf23Ws97dvkLAAD//wMAUEsDBBQABgAIAAAAIQD3q7Sb3QAAAAkB&#10;AAAPAAAAZHJzL2Rvd25yZXYueG1sTI/BTsMwEETvSPyDtUjcqFNABqdxqgrBCQmRhgNHJ3YTq/E6&#10;xG4b/p7tiR5H+zT7pljPfmBHO0UXUMFykQGz2AbjsFPwVb/dPQOLSaPRQ0Cr4NdGWJfXV4XOTThh&#10;ZY/b1DEqwZhrBX1KY855bHvrdVyE0SLddmHyOlGcOm4mfaJyP/D7LBPca4f0odejfeltu98evILN&#10;N1av7uej+ax2latrmeG72Ct1ezNvVsCSndM/DGd9UoeSnJpwQBPZQPlBSkIVCEmbzoB4FMAaBfJJ&#10;Ai8Lfrmg/AMAAP//AwBQSwECLQAUAAYACAAAACEAtoM4kv4AAADhAQAAEwAAAAAAAAAAAAAAAAAA&#10;AAAAW0NvbnRlbnRfVHlwZXNdLnhtbFBLAQItABQABgAIAAAAIQA4/SH/1gAAAJQBAAALAAAAAAAA&#10;AAAAAAAAAC8BAABfcmVscy8ucmVsc1BLAQItABQABgAIAAAAIQBWaqXcrQIAAK8FAAAOAAAAAAAA&#10;AAAAAAAAAC4CAABkcnMvZTJvRG9jLnhtbFBLAQItABQABgAIAAAAIQD3q7Sb3QAAAAkBAAAPAAAA&#10;AAAAAAAAAAAAAAcFAABkcnMvZG93bnJldi54bWxQSwUGAAAAAAQABADzAAAAEQYAAAAA&#10;" filled="f" stroked="f">
              <v:textbox inset="0,0,0,0">
                <w:txbxContent>
                  <w:p w:rsidR="008323D3" w:rsidRDefault="00185409">
                    <w:pPr>
                      <w:spacing w:before="20"/>
                      <w:ind w:left="20"/>
                      <w:rPr>
                        <w:rFonts w:ascii="Garamond"/>
                      </w:rPr>
                    </w:pPr>
                    <w:r>
                      <w:rPr>
                        <w:rFonts w:ascii="Garamond"/>
                      </w:rPr>
                      <w:t>10</w:t>
                    </w:r>
                  </w:p>
                </w:txbxContent>
              </v:textbox>
              <w10:wrap anchorx="page" anchory="page"/>
            </v:shape>
          </w:pict>
        </mc:Fallback>
      </mc:AlternateContent>
    </w:r>
    <w:r>
      <w:rPr>
        <w:noProof/>
        <w:lang w:val="nb-NO" w:eastAsia="nb-NO" w:bidi="ar-SA"/>
      </w:rPr>
      <mc:AlternateContent>
        <mc:Choice Requires="wps">
          <w:drawing>
            <wp:anchor distT="0" distB="0" distL="114300" distR="114300" simplePos="0" relativeHeight="503289440" behindDoc="1" locked="0" layoutInCell="1" allowOverlap="1" wp14:anchorId="261708F4" wp14:editId="5CBF4B96">
              <wp:simplePos x="0" y="0"/>
              <wp:positionH relativeFrom="page">
                <wp:posOffset>4243070</wp:posOffset>
              </wp:positionH>
              <wp:positionV relativeFrom="page">
                <wp:posOffset>438150</wp:posOffset>
              </wp:positionV>
              <wp:extent cx="2595245" cy="183515"/>
              <wp:effectExtent l="4445" t="0" r="63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272A1" w14:textId="77777777" w:rsidR="008323D3" w:rsidRDefault="00185409">
                          <w:pPr>
                            <w:spacing w:before="20"/>
                            <w:ind w:left="20"/>
                            <w:rPr>
                              <w:rFonts w:ascii="Garamond" w:hAnsi="Garamond"/>
                              <w:i/>
                            </w:rPr>
                          </w:pPr>
                          <w:r>
                            <w:rPr>
                              <w:rFonts w:ascii="Garamond" w:hAnsi="Garamond"/>
                              <w:i/>
                            </w:rPr>
                            <w:t>Intensivkapasitet – delrapport fra Helse Sør-Øst RHF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334.1pt;margin-top:34.5pt;width:204.35pt;height:14.45pt;z-index:-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1YX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hxEkHLXqko0Z3YkSXpjpDr1JweujBTY+wDV22TFV/L8qvCnGxagjf0lspxdBQUkF2vrnpnlyd&#10;cJQB2QwfRAVhyE4LCzTWsjOlg2IgQIcuPR07Y1IpYTOIkigIIcUSzvz4MvIjG4Kk8+1eKv2Oig4Z&#10;I8MSOm/Ryf5eaZMNSWcXE4yLgrWt7X7LzzbAcdqB2HDVnJksbDN/JF6yjtdx6ITBYu2EXp47t8Uq&#10;dBaFfxXll/lqlfs/TVw/TBtWVZSbMLOw/PDPGneQ+CSJo7SUaFll4ExKSm43q1aiPQFhF/Y7FOTE&#10;zT1PwxYBuLyg5AehdxckTrGIr5ywCCMnufJix/OTu2ThhUmYF+eU7hmn/04JDRmGpkaTmH7LzbPf&#10;a24k7ZiG0dGyLsPx0YmkRoJrXtnWasLayT4phUn/uRTQ7rnRVrBGo5Na9bgZDy8DwIyYN6J6AgVL&#10;AQIDmcLYA6MR8jtGA4yQDKtvOyIpRu17Dq/AzJvZkLOxmQ3CS7iaYY3RZK70NJd2vWTbBpCnd8bF&#10;LbyUmlkRP2dxeF8wFiyXwwgzc+f033o9D9rlLwAAAP//AwBQSwMEFAAGAAgAAAAhAJZ8QQ3eAAAA&#10;CgEAAA8AAABkcnMvZG93bnJldi54bWxMj7FOwzAQhnekvoN1ldioTQe3DnGqCsGEhEjDwOjE1yRq&#10;fA6x24a3x51gu9N9+u/7893sBnbBKfSeNDyuBDCkxtueWg2f1evDFliIhqwZPKGGHwywKxZ3ucms&#10;v1KJl0NsWQqhkBkNXYxjxnloOnQmrPyIlG5HPzkT0zq13E7mmsLdwNdCSO5MT+lDZ0Z87rA5Hc5O&#10;w/6Lypf++73+KI9lX1VK0Js8aX2/nPdPwCLO8Q+Gm35ShyI51f5MNrBBg5TbdULToFKnGyA2UgGr&#10;NaiNAl7k/H+F4hcAAP//AwBQSwECLQAUAAYACAAAACEAtoM4kv4AAADhAQAAEwAAAAAAAAAAAAAA&#10;AAAAAAAAW0NvbnRlbnRfVHlwZXNdLnhtbFBLAQItABQABgAIAAAAIQA4/SH/1gAAAJQBAAALAAAA&#10;AAAAAAAAAAAAAC8BAABfcmVscy8ucmVsc1BLAQItABQABgAIAAAAIQBHj1YXrwIAALAFAAAOAAAA&#10;AAAAAAAAAAAAAC4CAABkcnMvZTJvRG9jLnhtbFBLAQItABQABgAIAAAAIQCWfEEN3gAAAAoBAAAP&#10;AAAAAAAAAAAAAAAAAAkFAABkcnMvZG93bnJldi54bWxQSwUGAAAAAAQABADzAAAAFAYAAAAA&#10;" filled="f" stroked="f">
              <v:textbox inset="0,0,0,0">
                <w:txbxContent>
                  <w:p w:rsidR="008323D3" w:rsidRDefault="00185409">
                    <w:pPr>
                      <w:spacing w:before="20"/>
                      <w:ind w:left="20"/>
                      <w:rPr>
                        <w:rFonts w:ascii="Garamond" w:hAnsi="Garamond"/>
                        <w:i/>
                      </w:rPr>
                    </w:pPr>
                    <w:r>
                      <w:rPr>
                        <w:rFonts w:ascii="Garamond" w:hAnsi="Garamond"/>
                        <w:i/>
                      </w:rPr>
                      <w:t>Intensivkapasitet – delrapport fra Helse Sør-Øst RHF</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3B54" w14:textId="77777777" w:rsidR="008323D3" w:rsidRDefault="00A42CB8">
    <w:pPr>
      <w:pStyle w:val="Brdtekst"/>
      <w:spacing w:line="14" w:lineRule="auto"/>
      <w:rPr>
        <w:sz w:val="20"/>
      </w:rPr>
    </w:pPr>
    <w:r>
      <w:rPr>
        <w:noProof/>
        <w:lang w:val="nb-NO" w:eastAsia="nb-NO" w:bidi="ar-SA"/>
      </w:rPr>
      <mc:AlternateContent>
        <mc:Choice Requires="wps">
          <w:drawing>
            <wp:anchor distT="0" distB="0" distL="114300" distR="114300" simplePos="0" relativeHeight="503289464" behindDoc="1" locked="0" layoutInCell="1" allowOverlap="1" wp14:anchorId="31C3A1C2" wp14:editId="39214C9E">
              <wp:simplePos x="0" y="0"/>
              <wp:positionH relativeFrom="page">
                <wp:posOffset>706755</wp:posOffset>
              </wp:positionH>
              <wp:positionV relativeFrom="page">
                <wp:posOffset>438150</wp:posOffset>
              </wp:positionV>
              <wp:extent cx="2595245" cy="183515"/>
              <wp:effectExtent l="1905"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52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42D3EE" w14:textId="77777777" w:rsidR="008323D3" w:rsidRDefault="00185409">
                          <w:pPr>
                            <w:spacing w:before="20"/>
                            <w:ind w:left="20"/>
                            <w:rPr>
                              <w:rFonts w:ascii="Garamond" w:hAnsi="Garamond"/>
                              <w:i/>
                            </w:rPr>
                          </w:pPr>
                          <w:r>
                            <w:rPr>
                              <w:rFonts w:ascii="Garamond" w:hAnsi="Garamond"/>
                              <w:i/>
                            </w:rPr>
                            <w:t>Intensivkapasitet – delrapport fra Helse Sør-Øst RHF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5.65pt;margin-top:34.5pt;width:204.35pt;height:14.45pt;z-index:-27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nad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ixEkHLXqko0Z3YkSBqc7QqxScHnpw0yNsQ5ctU9Xfi/KrQlysGsK39FZKMTSUVJCdb266J1cn&#10;HGVANsMHUUEYstPCAo217EzpoBgI0KFLT8fOmFRK2AyiJArCCKMSzvz4MvIjG4Kk8+1eKv2Oig4Z&#10;I8MSOm/Ryf5eaZMNSWcXE4yLgrWt7X7LzzbAcdqB2HDVnJksbDN/JF6yjtdx6ITBYu2EXp47t8Uq&#10;dBaFfxXll/lqlfs/TVw/TBtWVZSbMLOw/PDPGneQ+CSJo7SUaFll4ExKSm43q1aiPQFhF/Y7FOTE&#10;zT1PwxYBuLyg5AehdxckTrGIr5ywCCMnufJix/OTu2ThhUmYF+eU7hmn/04JDRmGpkaTmH7LzbPf&#10;a24k7ZiG0dGyLsPx0YmkRoJrXtnWasLayT4phUn/uRTQ7rnRVrBGo5Na9bgZ7ctYmOhGzBtRPYGC&#10;pQCBgUxh7IHRCPkdowFGSIbVtx2RFKP2PYdXYObNbMjZ2MwG4SVczbDGaDJXeppLu16ybQPI0zvj&#10;4hZeSs2siJ+zOLwvGAuWy2GEmblz+m+9ngft8hcAAAD//wMAUEsDBBQABgAIAAAAIQChP8K63QAA&#10;AAkBAAAPAAAAZHJzL2Rvd25yZXYueG1sTI/BTsMwEETvSPyDtUjcqBMQgYQ4VYXghIRIw4GjE28T&#10;q/E6xG4b/p7lRI+jGc28KdeLG8UR52A9KUhXCQikzhtLvYLP5vXmEUSImowePaGCHwywri4vSl0Y&#10;f6Iaj9vYCy6hUGgFQ4xTIWXoBnQ6rPyExN7Oz05HlnMvzaxPXO5GeZskmXTaEi8MesLnAbv99uAU&#10;bL6ofrHf7+1Hvatt0+QJvWV7pa6vls0TiIhL/A/DHz6jQ8VMrT+QCWJknaZ3HFWQ5fyJA/e8B6JV&#10;kD/kIKtSnj+ofgEAAP//AwBQSwECLQAUAAYACAAAACEAtoM4kv4AAADhAQAAEwAAAAAAAAAAAAAA&#10;AAAAAAAAW0NvbnRlbnRfVHlwZXNdLnhtbFBLAQItABQABgAIAAAAIQA4/SH/1gAAAJQBAAALAAAA&#10;AAAAAAAAAAAAAC8BAABfcmVscy8ucmVsc1BLAQItABQABgAIAAAAIQDErnadsAIAALAFAAAOAAAA&#10;AAAAAAAAAAAAAC4CAABkcnMvZTJvRG9jLnhtbFBLAQItABQABgAIAAAAIQChP8K63QAAAAkBAAAP&#10;AAAAAAAAAAAAAAAAAAoFAABkcnMvZG93bnJldi54bWxQSwUGAAAAAAQABADzAAAAFAYAAAAA&#10;" filled="f" stroked="f">
              <v:textbox inset="0,0,0,0">
                <w:txbxContent>
                  <w:p w:rsidR="008323D3" w:rsidRDefault="00185409">
                    <w:pPr>
                      <w:spacing w:before="20"/>
                      <w:ind w:left="20"/>
                      <w:rPr>
                        <w:rFonts w:ascii="Garamond" w:hAnsi="Garamond"/>
                        <w:i/>
                      </w:rPr>
                    </w:pPr>
                    <w:r>
                      <w:rPr>
                        <w:rFonts w:ascii="Garamond" w:hAnsi="Garamond"/>
                        <w:i/>
                      </w:rPr>
                      <w:t>Intensivkapasitet – delrapport fra Helse Sør-Øst RHF</w:t>
                    </w:r>
                  </w:p>
                </w:txbxContent>
              </v:textbox>
              <w10:wrap anchorx="page" anchory="page"/>
            </v:shape>
          </w:pict>
        </mc:Fallback>
      </mc:AlternateContent>
    </w:r>
    <w:r>
      <w:rPr>
        <w:noProof/>
        <w:lang w:val="nb-NO" w:eastAsia="nb-NO" w:bidi="ar-SA"/>
      </w:rPr>
      <mc:AlternateContent>
        <mc:Choice Requires="wps">
          <w:drawing>
            <wp:anchor distT="0" distB="0" distL="114300" distR="114300" simplePos="0" relativeHeight="503289488" behindDoc="1" locked="0" layoutInCell="1" allowOverlap="1" wp14:anchorId="4D852BA1" wp14:editId="08E79E5A">
              <wp:simplePos x="0" y="0"/>
              <wp:positionH relativeFrom="page">
                <wp:posOffset>6517640</wp:posOffset>
              </wp:positionH>
              <wp:positionV relativeFrom="page">
                <wp:posOffset>438150</wp:posOffset>
              </wp:positionV>
              <wp:extent cx="156845" cy="183515"/>
              <wp:effectExtent l="2540" t="0"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5C9D9" w14:textId="77777777" w:rsidR="008323D3" w:rsidRDefault="00185409">
                          <w:pPr>
                            <w:spacing w:before="20"/>
                            <w:ind w:left="20"/>
                            <w:rPr>
                              <w:rFonts w:ascii="Garamond"/>
                            </w:rPr>
                          </w:pPr>
                          <w:r>
                            <w:rPr>
                              <w:rFonts w:ascii="Garamond"/>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3" type="#_x0000_t202" style="position:absolute;margin-left:513.2pt;margin-top:34.5pt;width:12.35pt;height:14.45pt;z-index:-26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kMrwIAAK8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aNFHEYYlXDkx5eRH5ncXJLOl3up9DsqOmSM&#10;DEtovAUnhzulJ9fZxcTiomBta5vf8mcbgDntQGi4as5MEraXPxIv2cSbOHTCYLFxQi/PnZtiHTqL&#10;wl9G+WW+Xuf+TxPXD9OGVRXlJsysKz/8s74dFT4p4qQsJVpWGTiTkpK77bqV6EBA14X9jgU5c3Of&#10;p2HrBVxeUPKD0LsNEqdYxEsnLMLISZZe7Hh+cpssvDAJ8+I5pTvG6b9TQkOGkyiIJi39lptnv9fc&#10;SNoxDZOjZV2G45MTSY0CN7yyrdWEtZN9VgqT/lMpoN1zo61ejUQnsepxO9qHsZyfwVZUjyBgKUBg&#10;oFKYemA0Qn7HaIAJkmH1bU8kxah9z+ERmHEzG3I2trNBeAlXM6wxmsy1nsbSvpds1wDy9My4uIGH&#10;UjMrYvOipiyAgVnAVLBcjhPMjJ3ztfV6mrOrXwAAAP//AwBQSwMEFAAGAAgAAAAhAJuTQZXfAAAA&#10;CwEAAA8AAABkcnMvZG93bnJldi54bWxMj8FOwzAQRO9I/IO1lbhROxUEksapKgQnJEQaDhyd2E2s&#10;xusQu234e7Ynehzt0+ybYjO7gZ3MFKxHCclSADPYem2xk/BVv90/AwtRoVaDRyPh1wTYlLc3hcq1&#10;P2NlTrvYMSrBkCsJfYxjznloe+NUWPrRIN32fnIqUpw6rid1pnI38JUQKXfKIn3o1WheetMedkcn&#10;YfuN1av9+Wg+q31l6zoT+J4epLxbzNs1sGjm+A/DRZ/UoSSnxh9RBzZQFqv0gVgJaUajLoR4TBJg&#10;jYTsKQNeFvx6Q/kHAAD//wMAUEsBAi0AFAAGAAgAAAAhALaDOJL+AAAA4QEAABMAAAAAAAAAAAAA&#10;AAAAAAAAAFtDb250ZW50X1R5cGVzXS54bWxQSwECLQAUAAYACAAAACEAOP0h/9YAAACUAQAACwAA&#10;AAAAAAAAAAAAAAAvAQAAX3JlbHMvLnJlbHNQSwECLQAUAAYACAAAACEAHdOpDK8CAACvBQAADgAA&#10;AAAAAAAAAAAAAAAuAgAAZHJzL2Uyb0RvYy54bWxQSwECLQAUAAYACAAAACEAm5NBld8AAAALAQAA&#10;DwAAAAAAAAAAAAAAAAAJBQAAZHJzL2Rvd25yZXYueG1sUEsFBgAAAAAEAAQA8wAAABUGAAAAAA==&#10;" filled="f" stroked="f">
              <v:textbox inset="0,0,0,0">
                <w:txbxContent>
                  <w:p w:rsidR="008323D3" w:rsidRDefault="00185409">
                    <w:pPr>
                      <w:spacing w:before="20"/>
                      <w:ind w:left="20"/>
                      <w:rPr>
                        <w:rFonts w:ascii="Garamond"/>
                      </w:rPr>
                    </w:pPr>
                    <w:r>
                      <w:rPr>
                        <w:rFonts w:ascii="Garamond"/>
                      </w:rPr>
                      <w:t>11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9F8"/>
    <w:multiLevelType w:val="multilevel"/>
    <w:tmpl w:val="A636FDD2"/>
    <w:lvl w:ilvl="0">
      <w:start w:val="1"/>
      <w:numFmt w:val="decimal"/>
      <w:lvlText w:val="%1"/>
      <w:lvlJc w:val="left"/>
      <w:pPr>
        <w:ind w:left="833" w:hanging="481"/>
      </w:pPr>
      <w:rPr>
        <w:rFonts w:ascii="Calibri" w:eastAsia="Calibri" w:hAnsi="Calibri" w:cs="Calibri" w:hint="default"/>
        <w:b/>
        <w:bCs/>
        <w:w w:val="99"/>
        <w:sz w:val="32"/>
        <w:szCs w:val="32"/>
        <w:lang w:val="nb" w:eastAsia="nb" w:bidi="nb"/>
      </w:rPr>
    </w:lvl>
    <w:lvl w:ilvl="1">
      <w:start w:val="1"/>
      <w:numFmt w:val="decimal"/>
      <w:lvlText w:val="%1.%2"/>
      <w:lvlJc w:val="left"/>
      <w:pPr>
        <w:ind w:left="1073" w:hanging="721"/>
      </w:pPr>
      <w:rPr>
        <w:rFonts w:ascii="Calibri" w:eastAsia="Calibri" w:hAnsi="Calibri" w:cs="Calibri" w:hint="default"/>
        <w:b/>
        <w:bCs/>
        <w:i/>
        <w:spacing w:val="-1"/>
        <w:w w:val="100"/>
        <w:sz w:val="28"/>
        <w:szCs w:val="28"/>
        <w:lang w:val="nb" w:eastAsia="nb" w:bidi="nb"/>
      </w:rPr>
    </w:lvl>
    <w:lvl w:ilvl="2">
      <w:numFmt w:val="bullet"/>
      <w:lvlText w:val="•"/>
      <w:lvlJc w:val="left"/>
      <w:pPr>
        <w:ind w:left="2082" w:hanging="721"/>
      </w:pPr>
      <w:rPr>
        <w:rFonts w:hint="default"/>
        <w:lang w:val="nb" w:eastAsia="nb" w:bidi="nb"/>
      </w:rPr>
    </w:lvl>
    <w:lvl w:ilvl="3">
      <w:numFmt w:val="bullet"/>
      <w:lvlText w:val="•"/>
      <w:lvlJc w:val="left"/>
      <w:pPr>
        <w:ind w:left="3085" w:hanging="721"/>
      </w:pPr>
      <w:rPr>
        <w:rFonts w:hint="default"/>
        <w:lang w:val="nb" w:eastAsia="nb" w:bidi="nb"/>
      </w:rPr>
    </w:lvl>
    <w:lvl w:ilvl="4">
      <w:numFmt w:val="bullet"/>
      <w:lvlText w:val="•"/>
      <w:lvlJc w:val="left"/>
      <w:pPr>
        <w:ind w:left="4088" w:hanging="721"/>
      </w:pPr>
      <w:rPr>
        <w:rFonts w:hint="default"/>
        <w:lang w:val="nb" w:eastAsia="nb" w:bidi="nb"/>
      </w:rPr>
    </w:lvl>
    <w:lvl w:ilvl="5">
      <w:numFmt w:val="bullet"/>
      <w:lvlText w:val="•"/>
      <w:lvlJc w:val="left"/>
      <w:pPr>
        <w:ind w:left="5091" w:hanging="721"/>
      </w:pPr>
      <w:rPr>
        <w:rFonts w:hint="default"/>
        <w:lang w:val="nb" w:eastAsia="nb" w:bidi="nb"/>
      </w:rPr>
    </w:lvl>
    <w:lvl w:ilvl="6">
      <w:numFmt w:val="bullet"/>
      <w:lvlText w:val="•"/>
      <w:lvlJc w:val="left"/>
      <w:pPr>
        <w:ind w:left="6094" w:hanging="721"/>
      </w:pPr>
      <w:rPr>
        <w:rFonts w:hint="default"/>
        <w:lang w:val="nb" w:eastAsia="nb" w:bidi="nb"/>
      </w:rPr>
    </w:lvl>
    <w:lvl w:ilvl="7">
      <w:numFmt w:val="bullet"/>
      <w:lvlText w:val="•"/>
      <w:lvlJc w:val="left"/>
      <w:pPr>
        <w:ind w:left="7097" w:hanging="721"/>
      </w:pPr>
      <w:rPr>
        <w:rFonts w:hint="default"/>
        <w:lang w:val="nb" w:eastAsia="nb" w:bidi="nb"/>
      </w:rPr>
    </w:lvl>
    <w:lvl w:ilvl="8">
      <w:numFmt w:val="bullet"/>
      <w:lvlText w:val="•"/>
      <w:lvlJc w:val="left"/>
      <w:pPr>
        <w:ind w:left="8100" w:hanging="721"/>
      </w:pPr>
      <w:rPr>
        <w:rFonts w:hint="default"/>
        <w:lang w:val="nb" w:eastAsia="nb" w:bidi="nb"/>
      </w:rPr>
    </w:lvl>
  </w:abstractNum>
  <w:abstractNum w:abstractNumId="1" w15:restartNumberingAfterBreak="0">
    <w:nsid w:val="153D74EE"/>
    <w:multiLevelType w:val="multilevel"/>
    <w:tmpl w:val="EE2234B6"/>
    <w:lvl w:ilvl="0">
      <w:start w:val="3"/>
      <w:numFmt w:val="decimal"/>
      <w:lvlText w:val="%1"/>
      <w:lvlJc w:val="left"/>
      <w:pPr>
        <w:ind w:left="1118" w:hanging="720"/>
      </w:pPr>
      <w:rPr>
        <w:rFonts w:hint="default"/>
        <w:lang w:val="nb" w:eastAsia="nb" w:bidi="nb"/>
      </w:rPr>
    </w:lvl>
    <w:lvl w:ilvl="1">
      <w:start w:val="2"/>
      <w:numFmt w:val="decimal"/>
      <w:lvlText w:val="%1.%2"/>
      <w:lvlJc w:val="left"/>
      <w:pPr>
        <w:ind w:left="1358" w:hanging="720"/>
        <w:jc w:val="right"/>
      </w:pPr>
      <w:rPr>
        <w:rFonts w:hint="default"/>
        <w:lang w:val="nb" w:eastAsia="nb" w:bidi="nb"/>
      </w:rPr>
    </w:lvl>
    <w:lvl w:ilvl="2">
      <w:start w:val="1"/>
      <w:numFmt w:val="decimal"/>
      <w:lvlText w:val="%1.%2.%3"/>
      <w:lvlJc w:val="left"/>
      <w:pPr>
        <w:ind w:left="1358" w:hanging="720"/>
        <w:jc w:val="right"/>
      </w:pPr>
      <w:rPr>
        <w:rFonts w:ascii="Calibri" w:eastAsia="Calibri" w:hAnsi="Calibri" w:cs="Calibri" w:hint="default"/>
        <w:i/>
        <w:spacing w:val="-1"/>
        <w:w w:val="100"/>
        <w:sz w:val="22"/>
        <w:szCs w:val="22"/>
        <w:lang w:val="nb" w:eastAsia="nb" w:bidi="nb"/>
      </w:rPr>
    </w:lvl>
    <w:lvl w:ilvl="3">
      <w:numFmt w:val="bullet"/>
      <w:lvlText w:val="•"/>
      <w:lvlJc w:val="left"/>
      <w:pPr>
        <w:ind w:left="3303" w:hanging="720"/>
      </w:pPr>
      <w:rPr>
        <w:rFonts w:hint="default"/>
        <w:lang w:val="nb" w:eastAsia="nb" w:bidi="nb"/>
      </w:rPr>
    </w:lvl>
    <w:lvl w:ilvl="4">
      <w:numFmt w:val="bullet"/>
      <w:lvlText w:val="•"/>
      <w:lvlJc w:val="left"/>
      <w:pPr>
        <w:ind w:left="4275" w:hanging="720"/>
      </w:pPr>
      <w:rPr>
        <w:rFonts w:hint="default"/>
        <w:lang w:val="nb" w:eastAsia="nb" w:bidi="nb"/>
      </w:rPr>
    </w:lvl>
    <w:lvl w:ilvl="5">
      <w:numFmt w:val="bullet"/>
      <w:lvlText w:val="•"/>
      <w:lvlJc w:val="left"/>
      <w:pPr>
        <w:ind w:left="5247" w:hanging="720"/>
      </w:pPr>
      <w:rPr>
        <w:rFonts w:hint="default"/>
        <w:lang w:val="nb" w:eastAsia="nb" w:bidi="nb"/>
      </w:rPr>
    </w:lvl>
    <w:lvl w:ilvl="6">
      <w:numFmt w:val="bullet"/>
      <w:lvlText w:val="•"/>
      <w:lvlJc w:val="left"/>
      <w:pPr>
        <w:ind w:left="6219" w:hanging="720"/>
      </w:pPr>
      <w:rPr>
        <w:rFonts w:hint="default"/>
        <w:lang w:val="nb" w:eastAsia="nb" w:bidi="nb"/>
      </w:rPr>
    </w:lvl>
    <w:lvl w:ilvl="7">
      <w:numFmt w:val="bullet"/>
      <w:lvlText w:val="•"/>
      <w:lvlJc w:val="left"/>
      <w:pPr>
        <w:ind w:left="7190" w:hanging="720"/>
      </w:pPr>
      <w:rPr>
        <w:rFonts w:hint="default"/>
        <w:lang w:val="nb" w:eastAsia="nb" w:bidi="nb"/>
      </w:rPr>
    </w:lvl>
    <w:lvl w:ilvl="8">
      <w:numFmt w:val="bullet"/>
      <w:lvlText w:val="•"/>
      <w:lvlJc w:val="left"/>
      <w:pPr>
        <w:ind w:left="8162" w:hanging="720"/>
      </w:pPr>
      <w:rPr>
        <w:rFonts w:hint="default"/>
        <w:lang w:val="nb" w:eastAsia="nb" w:bidi="nb"/>
      </w:rPr>
    </w:lvl>
  </w:abstractNum>
  <w:abstractNum w:abstractNumId="2" w15:restartNumberingAfterBreak="0">
    <w:nsid w:val="20BF0713"/>
    <w:multiLevelType w:val="hybridMultilevel"/>
    <w:tmpl w:val="2AC8A2FE"/>
    <w:lvl w:ilvl="0" w:tplc="6C60FB94">
      <w:numFmt w:val="bullet"/>
      <w:lvlText w:val=""/>
      <w:lvlJc w:val="left"/>
      <w:pPr>
        <w:ind w:left="1073" w:hanging="360"/>
      </w:pPr>
      <w:rPr>
        <w:rFonts w:ascii="Symbol" w:eastAsia="Symbol" w:hAnsi="Symbol" w:cs="Symbol" w:hint="default"/>
        <w:w w:val="100"/>
        <w:sz w:val="24"/>
        <w:szCs w:val="24"/>
        <w:lang w:val="nb" w:eastAsia="nb" w:bidi="nb"/>
      </w:rPr>
    </w:lvl>
    <w:lvl w:ilvl="1" w:tplc="1074735A">
      <w:numFmt w:val="bullet"/>
      <w:lvlText w:val="•"/>
      <w:lvlJc w:val="left"/>
      <w:pPr>
        <w:ind w:left="1982" w:hanging="360"/>
      </w:pPr>
      <w:rPr>
        <w:rFonts w:hint="default"/>
        <w:lang w:val="nb" w:eastAsia="nb" w:bidi="nb"/>
      </w:rPr>
    </w:lvl>
    <w:lvl w:ilvl="2" w:tplc="CF3CCC94">
      <w:numFmt w:val="bullet"/>
      <w:lvlText w:val="•"/>
      <w:lvlJc w:val="left"/>
      <w:pPr>
        <w:ind w:left="2885" w:hanging="360"/>
      </w:pPr>
      <w:rPr>
        <w:rFonts w:hint="default"/>
        <w:lang w:val="nb" w:eastAsia="nb" w:bidi="nb"/>
      </w:rPr>
    </w:lvl>
    <w:lvl w:ilvl="3" w:tplc="F04E637E">
      <w:numFmt w:val="bullet"/>
      <w:lvlText w:val="•"/>
      <w:lvlJc w:val="left"/>
      <w:pPr>
        <w:ind w:left="3787" w:hanging="360"/>
      </w:pPr>
      <w:rPr>
        <w:rFonts w:hint="default"/>
        <w:lang w:val="nb" w:eastAsia="nb" w:bidi="nb"/>
      </w:rPr>
    </w:lvl>
    <w:lvl w:ilvl="4" w:tplc="46DE0480">
      <w:numFmt w:val="bullet"/>
      <w:lvlText w:val="•"/>
      <w:lvlJc w:val="left"/>
      <w:pPr>
        <w:ind w:left="4690" w:hanging="360"/>
      </w:pPr>
      <w:rPr>
        <w:rFonts w:hint="default"/>
        <w:lang w:val="nb" w:eastAsia="nb" w:bidi="nb"/>
      </w:rPr>
    </w:lvl>
    <w:lvl w:ilvl="5" w:tplc="1474E836">
      <w:numFmt w:val="bullet"/>
      <w:lvlText w:val="•"/>
      <w:lvlJc w:val="left"/>
      <w:pPr>
        <w:ind w:left="5593" w:hanging="360"/>
      </w:pPr>
      <w:rPr>
        <w:rFonts w:hint="default"/>
        <w:lang w:val="nb" w:eastAsia="nb" w:bidi="nb"/>
      </w:rPr>
    </w:lvl>
    <w:lvl w:ilvl="6" w:tplc="F51A9F82">
      <w:numFmt w:val="bullet"/>
      <w:lvlText w:val="•"/>
      <w:lvlJc w:val="left"/>
      <w:pPr>
        <w:ind w:left="6495" w:hanging="360"/>
      </w:pPr>
      <w:rPr>
        <w:rFonts w:hint="default"/>
        <w:lang w:val="nb" w:eastAsia="nb" w:bidi="nb"/>
      </w:rPr>
    </w:lvl>
    <w:lvl w:ilvl="7" w:tplc="AE544B68">
      <w:numFmt w:val="bullet"/>
      <w:lvlText w:val="•"/>
      <w:lvlJc w:val="left"/>
      <w:pPr>
        <w:ind w:left="7398" w:hanging="360"/>
      </w:pPr>
      <w:rPr>
        <w:rFonts w:hint="default"/>
        <w:lang w:val="nb" w:eastAsia="nb" w:bidi="nb"/>
      </w:rPr>
    </w:lvl>
    <w:lvl w:ilvl="8" w:tplc="65E0CC4A">
      <w:numFmt w:val="bullet"/>
      <w:lvlText w:val="•"/>
      <w:lvlJc w:val="left"/>
      <w:pPr>
        <w:ind w:left="8301" w:hanging="360"/>
      </w:pPr>
      <w:rPr>
        <w:rFonts w:hint="default"/>
        <w:lang w:val="nb" w:eastAsia="nb" w:bidi="nb"/>
      </w:rPr>
    </w:lvl>
  </w:abstractNum>
  <w:abstractNum w:abstractNumId="3" w15:restartNumberingAfterBreak="0">
    <w:nsid w:val="46EF7D20"/>
    <w:multiLevelType w:val="hybridMultilevel"/>
    <w:tmpl w:val="2B2A6A14"/>
    <w:lvl w:ilvl="0" w:tplc="E0FCDAE4">
      <w:numFmt w:val="bullet"/>
      <w:lvlText w:val=""/>
      <w:lvlJc w:val="left"/>
      <w:pPr>
        <w:ind w:left="1073" w:hanging="360"/>
      </w:pPr>
      <w:rPr>
        <w:rFonts w:ascii="Symbol" w:eastAsia="Symbol" w:hAnsi="Symbol" w:cs="Symbol" w:hint="default"/>
        <w:w w:val="100"/>
        <w:sz w:val="24"/>
        <w:szCs w:val="24"/>
        <w:lang w:val="nb" w:eastAsia="nb" w:bidi="nb"/>
      </w:rPr>
    </w:lvl>
    <w:lvl w:ilvl="1" w:tplc="026E7C82">
      <w:numFmt w:val="bullet"/>
      <w:lvlText w:val="•"/>
      <w:lvlJc w:val="left"/>
      <w:pPr>
        <w:ind w:left="1982" w:hanging="360"/>
      </w:pPr>
      <w:rPr>
        <w:rFonts w:hint="default"/>
        <w:lang w:val="nb" w:eastAsia="nb" w:bidi="nb"/>
      </w:rPr>
    </w:lvl>
    <w:lvl w:ilvl="2" w:tplc="EA6E30F6">
      <w:numFmt w:val="bullet"/>
      <w:lvlText w:val="•"/>
      <w:lvlJc w:val="left"/>
      <w:pPr>
        <w:ind w:left="2885" w:hanging="360"/>
      </w:pPr>
      <w:rPr>
        <w:rFonts w:hint="default"/>
        <w:lang w:val="nb" w:eastAsia="nb" w:bidi="nb"/>
      </w:rPr>
    </w:lvl>
    <w:lvl w:ilvl="3" w:tplc="ADD08B12">
      <w:numFmt w:val="bullet"/>
      <w:lvlText w:val="•"/>
      <w:lvlJc w:val="left"/>
      <w:pPr>
        <w:ind w:left="3787" w:hanging="360"/>
      </w:pPr>
      <w:rPr>
        <w:rFonts w:hint="default"/>
        <w:lang w:val="nb" w:eastAsia="nb" w:bidi="nb"/>
      </w:rPr>
    </w:lvl>
    <w:lvl w:ilvl="4" w:tplc="AD68DC78">
      <w:numFmt w:val="bullet"/>
      <w:lvlText w:val="•"/>
      <w:lvlJc w:val="left"/>
      <w:pPr>
        <w:ind w:left="4690" w:hanging="360"/>
      </w:pPr>
      <w:rPr>
        <w:rFonts w:hint="default"/>
        <w:lang w:val="nb" w:eastAsia="nb" w:bidi="nb"/>
      </w:rPr>
    </w:lvl>
    <w:lvl w:ilvl="5" w:tplc="686EBB44">
      <w:numFmt w:val="bullet"/>
      <w:lvlText w:val="•"/>
      <w:lvlJc w:val="left"/>
      <w:pPr>
        <w:ind w:left="5593" w:hanging="360"/>
      </w:pPr>
      <w:rPr>
        <w:rFonts w:hint="default"/>
        <w:lang w:val="nb" w:eastAsia="nb" w:bidi="nb"/>
      </w:rPr>
    </w:lvl>
    <w:lvl w:ilvl="6" w:tplc="91446998">
      <w:numFmt w:val="bullet"/>
      <w:lvlText w:val="•"/>
      <w:lvlJc w:val="left"/>
      <w:pPr>
        <w:ind w:left="6495" w:hanging="360"/>
      </w:pPr>
      <w:rPr>
        <w:rFonts w:hint="default"/>
        <w:lang w:val="nb" w:eastAsia="nb" w:bidi="nb"/>
      </w:rPr>
    </w:lvl>
    <w:lvl w:ilvl="7" w:tplc="5C70AFE6">
      <w:numFmt w:val="bullet"/>
      <w:lvlText w:val="•"/>
      <w:lvlJc w:val="left"/>
      <w:pPr>
        <w:ind w:left="7398" w:hanging="360"/>
      </w:pPr>
      <w:rPr>
        <w:rFonts w:hint="default"/>
        <w:lang w:val="nb" w:eastAsia="nb" w:bidi="nb"/>
      </w:rPr>
    </w:lvl>
    <w:lvl w:ilvl="8" w:tplc="7A80E900">
      <w:numFmt w:val="bullet"/>
      <w:lvlText w:val="•"/>
      <w:lvlJc w:val="left"/>
      <w:pPr>
        <w:ind w:left="8301" w:hanging="360"/>
      </w:pPr>
      <w:rPr>
        <w:rFonts w:hint="default"/>
        <w:lang w:val="nb" w:eastAsia="nb" w:bidi="nb"/>
      </w:rPr>
    </w:lvl>
  </w:abstractNum>
  <w:abstractNum w:abstractNumId="4" w15:restartNumberingAfterBreak="0">
    <w:nsid w:val="538F5AAA"/>
    <w:multiLevelType w:val="multilevel"/>
    <w:tmpl w:val="8F264C7E"/>
    <w:lvl w:ilvl="0">
      <w:start w:val="4"/>
      <w:numFmt w:val="decimal"/>
      <w:lvlText w:val="%1"/>
      <w:lvlJc w:val="left"/>
      <w:pPr>
        <w:ind w:left="1358" w:hanging="720"/>
      </w:pPr>
      <w:rPr>
        <w:rFonts w:hint="default"/>
        <w:lang w:val="nb" w:eastAsia="nb" w:bidi="nb"/>
      </w:rPr>
    </w:lvl>
    <w:lvl w:ilvl="1">
      <w:start w:val="1"/>
      <w:numFmt w:val="decimal"/>
      <w:lvlText w:val="%1.%2"/>
      <w:lvlJc w:val="left"/>
      <w:pPr>
        <w:ind w:left="1358" w:hanging="720"/>
        <w:jc w:val="right"/>
      </w:pPr>
      <w:rPr>
        <w:rFonts w:ascii="Calibri" w:eastAsia="Calibri" w:hAnsi="Calibri" w:cs="Calibri" w:hint="default"/>
        <w:b/>
        <w:bCs/>
        <w:i/>
        <w:spacing w:val="-1"/>
        <w:w w:val="100"/>
        <w:sz w:val="28"/>
        <w:szCs w:val="28"/>
        <w:lang w:val="nb" w:eastAsia="nb" w:bidi="nb"/>
      </w:rPr>
    </w:lvl>
    <w:lvl w:ilvl="2">
      <w:numFmt w:val="bullet"/>
      <w:lvlText w:val=""/>
      <w:lvlJc w:val="left"/>
      <w:pPr>
        <w:ind w:left="1358" w:hanging="360"/>
      </w:pPr>
      <w:rPr>
        <w:rFonts w:ascii="Symbol" w:eastAsia="Symbol" w:hAnsi="Symbol" w:cs="Symbol" w:hint="default"/>
        <w:w w:val="100"/>
        <w:sz w:val="24"/>
        <w:szCs w:val="24"/>
        <w:lang w:val="nb" w:eastAsia="nb" w:bidi="nb"/>
      </w:rPr>
    </w:lvl>
    <w:lvl w:ilvl="3">
      <w:numFmt w:val="bullet"/>
      <w:lvlText w:val="•"/>
      <w:lvlJc w:val="left"/>
      <w:pPr>
        <w:ind w:left="3983" w:hanging="360"/>
      </w:pPr>
      <w:rPr>
        <w:rFonts w:hint="default"/>
        <w:lang w:val="nb" w:eastAsia="nb" w:bidi="nb"/>
      </w:rPr>
    </w:lvl>
    <w:lvl w:ilvl="4">
      <w:numFmt w:val="bullet"/>
      <w:lvlText w:val="•"/>
      <w:lvlJc w:val="left"/>
      <w:pPr>
        <w:ind w:left="4858" w:hanging="360"/>
      </w:pPr>
      <w:rPr>
        <w:rFonts w:hint="default"/>
        <w:lang w:val="nb" w:eastAsia="nb" w:bidi="nb"/>
      </w:rPr>
    </w:lvl>
    <w:lvl w:ilvl="5">
      <w:numFmt w:val="bullet"/>
      <w:lvlText w:val="•"/>
      <w:lvlJc w:val="left"/>
      <w:pPr>
        <w:ind w:left="5733" w:hanging="360"/>
      </w:pPr>
      <w:rPr>
        <w:rFonts w:hint="default"/>
        <w:lang w:val="nb" w:eastAsia="nb" w:bidi="nb"/>
      </w:rPr>
    </w:lvl>
    <w:lvl w:ilvl="6">
      <w:numFmt w:val="bullet"/>
      <w:lvlText w:val="•"/>
      <w:lvlJc w:val="left"/>
      <w:pPr>
        <w:ind w:left="6607" w:hanging="360"/>
      </w:pPr>
      <w:rPr>
        <w:rFonts w:hint="default"/>
        <w:lang w:val="nb" w:eastAsia="nb" w:bidi="nb"/>
      </w:rPr>
    </w:lvl>
    <w:lvl w:ilvl="7">
      <w:numFmt w:val="bullet"/>
      <w:lvlText w:val="•"/>
      <w:lvlJc w:val="left"/>
      <w:pPr>
        <w:ind w:left="7482" w:hanging="360"/>
      </w:pPr>
      <w:rPr>
        <w:rFonts w:hint="default"/>
        <w:lang w:val="nb" w:eastAsia="nb" w:bidi="nb"/>
      </w:rPr>
    </w:lvl>
    <w:lvl w:ilvl="8">
      <w:numFmt w:val="bullet"/>
      <w:lvlText w:val="•"/>
      <w:lvlJc w:val="left"/>
      <w:pPr>
        <w:ind w:left="8357" w:hanging="360"/>
      </w:pPr>
      <w:rPr>
        <w:rFonts w:hint="default"/>
        <w:lang w:val="nb" w:eastAsia="nb" w:bidi="nb"/>
      </w:rPr>
    </w:lvl>
  </w:abstractNum>
  <w:abstractNum w:abstractNumId="5" w15:restartNumberingAfterBreak="0">
    <w:nsid w:val="6FFE42A0"/>
    <w:multiLevelType w:val="multilevel"/>
    <w:tmpl w:val="140EE5E8"/>
    <w:lvl w:ilvl="0">
      <w:start w:val="1"/>
      <w:numFmt w:val="decimal"/>
      <w:lvlText w:val="%1"/>
      <w:lvlJc w:val="left"/>
      <w:pPr>
        <w:ind w:left="1118" w:hanging="480"/>
      </w:pPr>
      <w:rPr>
        <w:rFonts w:ascii="Calibri" w:eastAsia="Calibri" w:hAnsi="Calibri" w:cs="Calibri" w:hint="default"/>
        <w:b/>
        <w:bCs/>
        <w:w w:val="100"/>
        <w:sz w:val="22"/>
        <w:szCs w:val="22"/>
        <w:lang w:val="nb" w:eastAsia="nb" w:bidi="nb"/>
      </w:rPr>
    </w:lvl>
    <w:lvl w:ilvl="1">
      <w:start w:val="1"/>
      <w:numFmt w:val="decimal"/>
      <w:lvlText w:val="%1.%2"/>
      <w:lvlJc w:val="left"/>
      <w:pPr>
        <w:ind w:left="1358" w:hanging="480"/>
      </w:pPr>
      <w:rPr>
        <w:rFonts w:ascii="Calibri" w:eastAsia="Calibri" w:hAnsi="Calibri" w:cs="Calibri" w:hint="default"/>
        <w:i/>
        <w:spacing w:val="-1"/>
        <w:w w:val="100"/>
        <w:sz w:val="22"/>
        <w:szCs w:val="22"/>
        <w:lang w:val="nb" w:eastAsia="nb" w:bidi="nb"/>
      </w:rPr>
    </w:lvl>
    <w:lvl w:ilvl="2">
      <w:start w:val="1"/>
      <w:numFmt w:val="decimal"/>
      <w:lvlText w:val="%1.%2.%3"/>
      <w:lvlJc w:val="left"/>
      <w:pPr>
        <w:ind w:left="1838" w:hanging="720"/>
      </w:pPr>
      <w:rPr>
        <w:rFonts w:ascii="Calibri" w:eastAsia="Calibri" w:hAnsi="Calibri" w:cs="Calibri" w:hint="default"/>
        <w:spacing w:val="-1"/>
        <w:w w:val="100"/>
        <w:sz w:val="22"/>
        <w:szCs w:val="22"/>
        <w:lang w:val="nb" w:eastAsia="nb" w:bidi="nb"/>
      </w:rPr>
    </w:lvl>
    <w:lvl w:ilvl="3">
      <w:numFmt w:val="bullet"/>
      <w:lvlText w:val="•"/>
      <w:lvlJc w:val="left"/>
      <w:pPr>
        <w:ind w:left="2873" w:hanging="720"/>
      </w:pPr>
      <w:rPr>
        <w:rFonts w:hint="default"/>
        <w:lang w:val="nb" w:eastAsia="nb" w:bidi="nb"/>
      </w:rPr>
    </w:lvl>
    <w:lvl w:ilvl="4">
      <w:numFmt w:val="bullet"/>
      <w:lvlText w:val="•"/>
      <w:lvlJc w:val="left"/>
      <w:pPr>
        <w:ind w:left="3906" w:hanging="720"/>
      </w:pPr>
      <w:rPr>
        <w:rFonts w:hint="default"/>
        <w:lang w:val="nb" w:eastAsia="nb" w:bidi="nb"/>
      </w:rPr>
    </w:lvl>
    <w:lvl w:ilvl="5">
      <w:numFmt w:val="bullet"/>
      <w:lvlText w:val="•"/>
      <w:lvlJc w:val="left"/>
      <w:pPr>
        <w:ind w:left="4939" w:hanging="720"/>
      </w:pPr>
      <w:rPr>
        <w:rFonts w:hint="default"/>
        <w:lang w:val="nb" w:eastAsia="nb" w:bidi="nb"/>
      </w:rPr>
    </w:lvl>
    <w:lvl w:ilvl="6">
      <w:numFmt w:val="bullet"/>
      <w:lvlText w:val="•"/>
      <w:lvlJc w:val="left"/>
      <w:pPr>
        <w:ind w:left="5973" w:hanging="720"/>
      </w:pPr>
      <w:rPr>
        <w:rFonts w:hint="default"/>
        <w:lang w:val="nb" w:eastAsia="nb" w:bidi="nb"/>
      </w:rPr>
    </w:lvl>
    <w:lvl w:ilvl="7">
      <w:numFmt w:val="bullet"/>
      <w:lvlText w:val="•"/>
      <w:lvlJc w:val="left"/>
      <w:pPr>
        <w:ind w:left="7006" w:hanging="720"/>
      </w:pPr>
      <w:rPr>
        <w:rFonts w:hint="default"/>
        <w:lang w:val="nb" w:eastAsia="nb" w:bidi="nb"/>
      </w:rPr>
    </w:lvl>
    <w:lvl w:ilvl="8">
      <w:numFmt w:val="bullet"/>
      <w:lvlText w:val="•"/>
      <w:lvlJc w:val="left"/>
      <w:pPr>
        <w:ind w:left="8039" w:hanging="720"/>
      </w:pPr>
      <w:rPr>
        <w:rFonts w:hint="default"/>
        <w:lang w:val="nb" w:eastAsia="nb" w:bidi="nb"/>
      </w:r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3D3"/>
    <w:rsid w:val="00185409"/>
    <w:rsid w:val="00506118"/>
    <w:rsid w:val="006B1C11"/>
    <w:rsid w:val="00743CF5"/>
    <w:rsid w:val="007E3C0B"/>
    <w:rsid w:val="008323D3"/>
    <w:rsid w:val="00995705"/>
    <w:rsid w:val="00A42CB8"/>
    <w:rsid w:val="00A573AD"/>
    <w:rsid w:val="00CD370C"/>
    <w:rsid w:val="00DE0E5C"/>
    <w:rsid w:val="00DE255B"/>
    <w:rsid w:val="00F31E5A"/>
    <w:rsid w:val="00F536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EE3271"/>
  <w15:docId w15:val="{6A42E484-CB8A-4651-837C-9C287D91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nb" w:eastAsia="nb" w:bidi="nb"/>
    </w:rPr>
  </w:style>
  <w:style w:type="paragraph" w:styleId="Overskrift1">
    <w:name w:val="heading 1"/>
    <w:basedOn w:val="Normal"/>
    <w:uiPriority w:val="1"/>
    <w:qFormat/>
    <w:pPr>
      <w:spacing w:before="20"/>
      <w:ind w:left="638"/>
      <w:outlineLvl w:val="0"/>
    </w:pPr>
    <w:rPr>
      <w:rFonts w:ascii="Arial" w:eastAsia="Arial" w:hAnsi="Arial" w:cs="Arial"/>
      <w:b/>
      <w:bCs/>
      <w:sz w:val="40"/>
      <w:szCs w:val="40"/>
    </w:rPr>
  </w:style>
  <w:style w:type="paragraph" w:styleId="Overskrift2">
    <w:name w:val="heading 2"/>
    <w:basedOn w:val="Normal"/>
    <w:uiPriority w:val="1"/>
    <w:qFormat/>
    <w:pPr>
      <w:ind w:left="833" w:hanging="481"/>
      <w:outlineLvl w:val="1"/>
    </w:pPr>
    <w:rPr>
      <w:b/>
      <w:bCs/>
      <w:sz w:val="32"/>
      <w:szCs w:val="32"/>
    </w:rPr>
  </w:style>
  <w:style w:type="paragraph" w:styleId="Overskrift3">
    <w:name w:val="heading 3"/>
    <w:basedOn w:val="Normal"/>
    <w:uiPriority w:val="1"/>
    <w:qFormat/>
    <w:pPr>
      <w:spacing w:line="341" w:lineRule="exact"/>
      <w:ind w:left="1073" w:hanging="721"/>
      <w:outlineLvl w:val="2"/>
    </w:pPr>
    <w:rPr>
      <w:b/>
      <w:bCs/>
      <w:i/>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NH1">
    <w:name w:val="toc 1"/>
    <w:basedOn w:val="Normal"/>
    <w:uiPriority w:val="1"/>
    <w:qFormat/>
    <w:pPr>
      <w:spacing w:before="240"/>
      <w:ind w:left="1118" w:hanging="480"/>
    </w:pPr>
    <w:rPr>
      <w:b/>
      <w:bCs/>
    </w:rPr>
  </w:style>
  <w:style w:type="paragraph" w:styleId="INNH2">
    <w:name w:val="toc 2"/>
    <w:basedOn w:val="Normal"/>
    <w:uiPriority w:val="1"/>
    <w:qFormat/>
    <w:pPr>
      <w:spacing w:before="120"/>
      <w:ind w:left="1358" w:hanging="480"/>
    </w:pPr>
    <w:rPr>
      <w:i/>
    </w:rPr>
  </w:style>
  <w:style w:type="paragraph" w:styleId="INNH3">
    <w:name w:val="toc 3"/>
    <w:basedOn w:val="Normal"/>
    <w:uiPriority w:val="1"/>
    <w:qFormat/>
    <w:pPr>
      <w:ind w:left="1838" w:hanging="720"/>
    </w:pPr>
  </w:style>
  <w:style w:type="paragraph" w:styleId="Brdtekst">
    <w:name w:val="Body Text"/>
    <w:basedOn w:val="Normal"/>
    <w:uiPriority w:val="1"/>
    <w:qFormat/>
    <w:rPr>
      <w:sz w:val="24"/>
      <w:szCs w:val="24"/>
    </w:rPr>
  </w:style>
  <w:style w:type="paragraph" w:styleId="Listeavsnitt">
    <w:name w:val="List Paragraph"/>
    <w:basedOn w:val="Normal"/>
    <w:uiPriority w:val="1"/>
    <w:qFormat/>
    <w:pPr>
      <w:ind w:left="1073" w:hanging="480"/>
    </w:pPr>
  </w:style>
  <w:style w:type="paragraph" w:customStyle="1" w:styleId="TableParagraph">
    <w:name w:val="Table Paragraph"/>
    <w:basedOn w:val="Normal"/>
    <w:uiPriority w:val="1"/>
    <w:qFormat/>
    <w:pPr>
      <w:spacing w:before="30" w:line="249" w:lineRule="exact"/>
    </w:pPr>
  </w:style>
  <w:style w:type="character" w:styleId="Merknadsreferanse">
    <w:name w:val="annotation reference"/>
    <w:basedOn w:val="Standardskriftforavsnitt"/>
    <w:uiPriority w:val="99"/>
    <w:semiHidden/>
    <w:unhideWhenUsed/>
    <w:rsid w:val="00F53654"/>
    <w:rPr>
      <w:sz w:val="16"/>
      <w:szCs w:val="16"/>
    </w:rPr>
  </w:style>
  <w:style w:type="paragraph" w:styleId="Merknadstekst">
    <w:name w:val="annotation text"/>
    <w:basedOn w:val="Normal"/>
    <w:link w:val="MerknadstekstTegn"/>
    <w:uiPriority w:val="99"/>
    <w:semiHidden/>
    <w:unhideWhenUsed/>
    <w:rsid w:val="00F53654"/>
    <w:rPr>
      <w:sz w:val="20"/>
      <w:szCs w:val="20"/>
    </w:rPr>
  </w:style>
  <w:style w:type="character" w:customStyle="1" w:styleId="MerknadstekstTegn">
    <w:name w:val="Merknadstekst Tegn"/>
    <w:basedOn w:val="Standardskriftforavsnitt"/>
    <w:link w:val="Merknadstekst"/>
    <w:uiPriority w:val="99"/>
    <w:semiHidden/>
    <w:rsid w:val="00F53654"/>
    <w:rPr>
      <w:rFonts w:ascii="Calibri" w:eastAsia="Calibri" w:hAnsi="Calibri" w:cs="Calibri"/>
      <w:sz w:val="20"/>
      <w:szCs w:val="20"/>
      <w:lang w:val="nb" w:eastAsia="nb" w:bidi="nb"/>
    </w:rPr>
  </w:style>
  <w:style w:type="paragraph" w:styleId="Kommentaremne">
    <w:name w:val="annotation subject"/>
    <w:basedOn w:val="Merknadstekst"/>
    <w:next w:val="Merknadstekst"/>
    <w:link w:val="KommentaremneTegn"/>
    <w:uiPriority w:val="99"/>
    <w:semiHidden/>
    <w:unhideWhenUsed/>
    <w:rsid w:val="00F53654"/>
    <w:rPr>
      <w:b/>
      <w:bCs/>
    </w:rPr>
  </w:style>
  <w:style w:type="character" w:customStyle="1" w:styleId="KommentaremneTegn">
    <w:name w:val="Kommentaremne Tegn"/>
    <w:basedOn w:val="MerknadstekstTegn"/>
    <w:link w:val="Kommentaremne"/>
    <w:uiPriority w:val="99"/>
    <w:semiHidden/>
    <w:rsid w:val="00F53654"/>
    <w:rPr>
      <w:rFonts w:ascii="Calibri" w:eastAsia="Calibri" w:hAnsi="Calibri" w:cs="Calibri"/>
      <w:b/>
      <w:bCs/>
      <w:sz w:val="20"/>
      <w:szCs w:val="20"/>
      <w:lang w:val="nb" w:eastAsia="nb" w:bidi="nb"/>
    </w:rPr>
  </w:style>
  <w:style w:type="paragraph" w:styleId="Bobletekst">
    <w:name w:val="Balloon Text"/>
    <w:basedOn w:val="Normal"/>
    <w:link w:val="BobletekstTegn"/>
    <w:uiPriority w:val="99"/>
    <w:semiHidden/>
    <w:unhideWhenUsed/>
    <w:rsid w:val="00F53654"/>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53654"/>
    <w:rPr>
      <w:rFonts w:ascii="Segoe UI" w:eastAsia="Calibri" w:hAnsi="Segoe UI" w:cs="Segoe UI"/>
      <w:sz w:val="18"/>
      <w:szCs w:val="18"/>
      <w:lang w:val="nb" w:eastAsia="nb" w:bidi="nb"/>
    </w:rPr>
  </w:style>
  <w:style w:type="paragraph" w:styleId="Fotnotetekst">
    <w:name w:val="footnote text"/>
    <w:basedOn w:val="Normal"/>
    <w:link w:val="FotnotetekstTegn"/>
    <w:uiPriority w:val="99"/>
    <w:semiHidden/>
    <w:unhideWhenUsed/>
    <w:rsid w:val="00F53654"/>
    <w:rPr>
      <w:sz w:val="20"/>
      <w:szCs w:val="20"/>
    </w:rPr>
  </w:style>
  <w:style w:type="character" w:customStyle="1" w:styleId="FotnotetekstTegn">
    <w:name w:val="Fotnotetekst Tegn"/>
    <w:basedOn w:val="Standardskriftforavsnitt"/>
    <w:link w:val="Fotnotetekst"/>
    <w:uiPriority w:val="99"/>
    <w:semiHidden/>
    <w:rsid w:val="00F53654"/>
    <w:rPr>
      <w:rFonts w:ascii="Calibri" w:eastAsia="Calibri" w:hAnsi="Calibri" w:cs="Calibri"/>
      <w:sz w:val="20"/>
      <w:szCs w:val="20"/>
      <w:lang w:val="nb" w:eastAsia="nb" w:bidi="nb"/>
    </w:rPr>
  </w:style>
  <w:style w:type="character" w:styleId="Fotnotereferanse">
    <w:name w:val="footnote reference"/>
    <w:basedOn w:val="Standardskriftforavsnitt"/>
    <w:uiPriority w:val="99"/>
    <w:semiHidden/>
    <w:unhideWhenUsed/>
    <w:rsid w:val="00F53654"/>
    <w:rPr>
      <w:vertAlign w:val="superscript"/>
    </w:rPr>
  </w:style>
  <w:style w:type="paragraph" w:styleId="Topptekst">
    <w:name w:val="header"/>
    <w:basedOn w:val="Normal"/>
    <w:link w:val="TopptekstTegn"/>
    <w:uiPriority w:val="99"/>
    <w:unhideWhenUsed/>
    <w:rsid w:val="00506118"/>
    <w:pPr>
      <w:tabs>
        <w:tab w:val="center" w:pos="4536"/>
        <w:tab w:val="right" w:pos="9072"/>
      </w:tabs>
    </w:pPr>
  </w:style>
  <w:style w:type="character" w:customStyle="1" w:styleId="TopptekstTegn">
    <w:name w:val="Topptekst Tegn"/>
    <w:basedOn w:val="Standardskriftforavsnitt"/>
    <w:link w:val="Topptekst"/>
    <w:uiPriority w:val="99"/>
    <w:rsid w:val="00506118"/>
    <w:rPr>
      <w:rFonts w:ascii="Calibri" w:eastAsia="Calibri" w:hAnsi="Calibri" w:cs="Calibri"/>
      <w:lang w:val="nb" w:eastAsia="nb" w:bidi="nb"/>
    </w:rPr>
  </w:style>
  <w:style w:type="paragraph" w:styleId="Bunntekst">
    <w:name w:val="footer"/>
    <w:basedOn w:val="Normal"/>
    <w:link w:val="BunntekstTegn"/>
    <w:uiPriority w:val="99"/>
    <w:unhideWhenUsed/>
    <w:rsid w:val="00506118"/>
    <w:pPr>
      <w:tabs>
        <w:tab w:val="center" w:pos="4536"/>
        <w:tab w:val="right" w:pos="9072"/>
      </w:tabs>
    </w:pPr>
  </w:style>
  <w:style w:type="character" w:customStyle="1" w:styleId="BunntekstTegn">
    <w:name w:val="Bunntekst Tegn"/>
    <w:basedOn w:val="Standardskriftforavsnitt"/>
    <w:link w:val="Bunntekst"/>
    <w:uiPriority w:val="99"/>
    <w:rsid w:val="00506118"/>
    <w:rPr>
      <w:rFonts w:ascii="Calibri" w:eastAsia="Calibri" w:hAnsi="Calibri" w:cs="Calibri"/>
      <w:lang w:val="nb" w:eastAsia="nb" w:bidi="n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yperlink" Target="https://www.regjeringen.no/no/dokumenter/a-verne-om-liv-og-helse/id258317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regjeringen.no/contentassets/7b6ad7e0ef1a403d97958bcb34478609/no/pdfs/stm201520160011000dddpdfs.pdf"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3792</Words>
  <Characters>22070</Characters>
  <Application>Microsoft Office Word</Application>
  <DocSecurity>4</DocSecurity>
  <Lines>2207</Lines>
  <Paragraphs>1293</Paragraphs>
  <ScaleCrop>false</ScaleCrop>
  <HeadingPairs>
    <vt:vector size="2" baseType="variant">
      <vt:variant>
        <vt:lpstr>Tittel</vt:lpstr>
      </vt:variant>
      <vt:variant>
        <vt:i4>1</vt:i4>
      </vt:variant>
    </vt:vector>
  </HeadingPairs>
  <TitlesOfParts>
    <vt:vector size="1" baseType="lpstr">
      <vt:lpstr>1 Innledning/Formål</vt:lpstr>
    </vt:vector>
  </TitlesOfParts>
  <Company>Helse Sør-Øst</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Innledning/Formål</dc:title>
  <dc:creator>tootte</dc:creator>
  <cp:lastModifiedBy>Haga Andres</cp:lastModifiedBy>
  <cp:revision>2</cp:revision>
  <dcterms:created xsi:type="dcterms:W3CDTF">2022-08-31T07:44:00Z</dcterms:created>
  <dcterms:modified xsi:type="dcterms:W3CDTF">2022-08-31T07:44:00Z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2016</vt:lpwstr>
  </property>
  <property fmtid="{D5CDD505-2E9C-101B-9397-08002B2CF9AE}" pid="4" name="LastSaved">
    <vt:filetime>2022-08-25T00:00:00Z</vt:filetime>
  </property>
  <property fmtid="{D5CDD505-2E9C-101B-9397-08002B2CF9AE}" pid="5" name="MSIP_Label_52cb0b57-dde8-42fe-9f44-53162ebab993_Enabled">
    <vt:lpwstr>true</vt:lpwstr>
  </property>
  <property fmtid="{D5CDD505-2E9C-101B-9397-08002B2CF9AE}" pid="6" name="MSIP_Label_52cb0b57-dde8-42fe-9f44-53162ebab993_SetDate">
    <vt:lpwstr>2022-08-31T07:43:45Z</vt:lpwstr>
  </property>
  <property fmtid="{D5CDD505-2E9C-101B-9397-08002B2CF9AE}" pid="7" name="MSIP_Label_52cb0b57-dde8-42fe-9f44-53162ebab993_Method">
    <vt:lpwstr>Standard</vt:lpwstr>
  </property>
  <property fmtid="{D5CDD505-2E9C-101B-9397-08002B2CF9AE}" pid="8" name="MSIP_Label_52cb0b57-dde8-42fe-9f44-53162ebab993_Name">
    <vt:lpwstr>Intern (HOD)</vt:lpwstr>
  </property>
  <property fmtid="{D5CDD505-2E9C-101B-9397-08002B2CF9AE}" pid="9" name="MSIP_Label_52cb0b57-dde8-42fe-9f44-53162ebab993_SiteId">
    <vt:lpwstr>f696e186-1c3b-44cd-bf76-5ace0e7007bd</vt:lpwstr>
  </property>
  <property fmtid="{D5CDD505-2E9C-101B-9397-08002B2CF9AE}" pid="10" name="MSIP_Label_52cb0b57-dde8-42fe-9f44-53162ebab993_ActionId">
    <vt:lpwstr>537734e8-2758-48a6-8c16-f7a8c4a64931</vt:lpwstr>
  </property>
  <property fmtid="{D5CDD505-2E9C-101B-9397-08002B2CF9AE}" pid="11" name="MSIP_Label_52cb0b57-dde8-42fe-9f44-53162ebab993_ContentBits">
    <vt:lpwstr>0</vt:lpwstr>
  </property>
</Properties>
</file>